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47D2" w14:textId="77777777" w:rsidR="00AD4748" w:rsidRPr="00AD4748" w:rsidRDefault="00AD4748" w:rsidP="00AD4748">
      <w:pPr>
        <w:spacing w:after="0" w:line="720" w:lineRule="auto"/>
        <w:contextualSpacing/>
        <w:rPr>
          <w:rFonts w:ascii="Arial" w:hAnsi="Arial" w:cs="Arial"/>
          <w:b/>
          <w:sz w:val="20"/>
          <w:szCs w:val="20"/>
          <w:u w:val="single"/>
          <w:lang w:val="en-GB"/>
        </w:rPr>
      </w:pPr>
      <w:r w:rsidRPr="00AD4748">
        <w:rPr>
          <w:rFonts w:ascii="Arial" w:hAnsi="Arial" w:cs="Arial"/>
          <w:b/>
          <w:sz w:val="20"/>
          <w:szCs w:val="20"/>
          <w:u w:val="single"/>
          <w:lang w:val="en-GB"/>
        </w:rPr>
        <w:t>Abbreviations</w:t>
      </w:r>
    </w:p>
    <w:p w14:paraId="1FB12F43"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a</w:t>
      </w:r>
      <w:r w:rsidRPr="00AD4748">
        <w:rPr>
          <w:rFonts w:ascii="Arial" w:hAnsi="Arial" w:cs="Arial"/>
          <w:sz w:val="20"/>
          <w:szCs w:val="20"/>
          <w:vertAlign w:val="superscript"/>
          <w:lang w:val="en-GB"/>
        </w:rPr>
        <w:t>2</w:t>
      </w:r>
      <w:r w:rsidRPr="00AD4748">
        <w:rPr>
          <w:rFonts w:ascii="Arial" w:hAnsi="Arial" w:cs="Arial"/>
          <w:sz w:val="20"/>
          <w:szCs w:val="20"/>
          <w:lang w:val="en-GB"/>
        </w:rPr>
        <w:t xml:space="preserve">H </w:t>
      </w:r>
      <w:r w:rsidRPr="00AD4748">
        <w:rPr>
          <w:rFonts w:ascii="Arial" w:hAnsi="Arial" w:cs="Arial"/>
          <w:sz w:val="20"/>
          <w:szCs w:val="20"/>
          <w:lang w:val="en-GB"/>
        </w:rPr>
        <w:tab/>
      </w:r>
      <w:r w:rsidRPr="00AD4748">
        <w:rPr>
          <w:rFonts w:ascii="Arial" w:hAnsi="Arial" w:cs="Arial"/>
          <w:sz w:val="20"/>
          <w:szCs w:val="20"/>
          <w:vertAlign w:val="superscript"/>
          <w:lang w:val="en-GB"/>
        </w:rPr>
        <w:t>2</w:t>
      </w:r>
      <w:r w:rsidRPr="00AD4748">
        <w:rPr>
          <w:rFonts w:ascii="Arial" w:hAnsi="Arial" w:cs="Arial"/>
          <w:sz w:val="20"/>
          <w:szCs w:val="20"/>
          <w:lang w:val="en-GB"/>
        </w:rPr>
        <w:t>H abundance</w:t>
      </w:r>
    </w:p>
    <w:p w14:paraId="6B6EED5C"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 xml:space="preserve">BIA </w:t>
      </w:r>
      <w:r w:rsidRPr="00AD4748">
        <w:rPr>
          <w:rFonts w:ascii="Arial" w:hAnsi="Arial" w:cs="Arial"/>
          <w:sz w:val="20"/>
          <w:szCs w:val="20"/>
          <w:lang w:val="en-GB"/>
        </w:rPr>
        <w:tab/>
        <w:t xml:space="preserve">Bio-impedance assessment </w:t>
      </w:r>
    </w:p>
    <w:p w14:paraId="1994E254"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BMI</w:t>
      </w:r>
      <w:r w:rsidRPr="00AD4748">
        <w:rPr>
          <w:rFonts w:ascii="Arial" w:hAnsi="Arial" w:cs="Arial"/>
          <w:sz w:val="20"/>
          <w:szCs w:val="20"/>
          <w:lang w:val="en-GB"/>
        </w:rPr>
        <w:tab/>
        <w:t xml:space="preserve">Body Mass Index </w:t>
      </w:r>
    </w:p>
    <w:p w14:paraId="7FBB6663"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BW</w:t>
      </w:r>
      <w:r w:rsidRPr="00AD4748">
        <w:rPr>
          <w:rFonts w:ascii="Arial" w:hAnsi="Arial" w:cs="Arial"/>
          <w:sz w:val="20"/>
          <w:szCs w:val="20"/>
          <w:lang w:val="en-GB"/>
        </w:rPr>
        <w:tab/>
        <w:t xml:space="preserve">Body water </w:t>
      </w:r>
    </w:p>
    <w:p w14:paraId="5353D4CE"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vertAlign w:val="superscript"/>
          <w:lang w:val="en-GB"/>
        </w:rPr>
        <w:t>2</w:t>
      </w:r>
      <w:r w:rsidRPr="00AD4748">
        <w:rPr>
          <w:rFonts w:ascii="Arial" w:hAnsi="Arial" w:cs="Arial"/>
          <w:sz w:val="20"/>
          <w:szCs w:val="20"/>
          <w:lang w:val="en-GB"/>
        </w:rPr>
        <w:t>H</w:t>
      </w:r>
      <w:r w:rsidRPr="00AD4748">
        <w:rPr>
          <w:rFonts w:ascii="Arial" w:hAnsi="Arial" w:cs="Arial"/>
          <w:sz w:val="20"/>
          <w:szCs w:val="20"/>
          <w:vertAlign w:val="subscript"/>
          <w:lang w:val="en-GB"/>
        </w:rPr>
        <w:t>2</w:t>
      </w:r>
      <w:r w:rsidRPr="00AD4748">
        <w:rPr>
          <w:rFonts w:ascii="Arial" w:hAnsi="Arial" w:cs="Arial"/>
          <w:sz w:val="20"/>
          <w:szCs w:val="20"/>
          <w:lang w:val="en-GB"/>
        </w:rPr>
        <w:t>O</w:t>
      </w:r>
      <w:r w:rsidRPr="00AD4748">
        <w:rPr>
          <w:rFonts w:ascii="Arial" w:hAnsi="Arial" w:cs="Arial"/>
          <w:sz w:val="20"/>
          <w:szCs w:val="20"/>
          <w:lang w:val="en-GB"/>
        </w:rPr>
        <w:tab/>
        <w:t xml:space="preserve">Deuterium Oxide </w:t>
      </w:r>
    </w:p>
    <w:p w14:paraId="5217D1F4"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ECF</w:t>
      </w:r>
      <w:r w:rsidRPr="00AD4748">
        <w:rPr>
          <w:rFonts w:ascii="Arial" w:hAnsi="Arial" w:cs="Arial"/>
          <w:sz w:val="20"/>
          <w:szCs w:val="20"/>
          <w:lang w:val="en-GB"/>
        </w:rPr>
        <w:tab/>
        <w:t xml:space="preserve">Extracellular Fluid </w:t>
      </w:r>
    </w:p>
    <w:p w14:paraId="76DE65CA"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ICF</w:t>
      </w:r>
      <w:r w:rsidRPr="00AD4748">
        <w:rPr>
          <w:rFonts w:ascii="Arial" w:hAnsi="Arial" w:cs="Arial"/>
          <w:sz w:val="20"/>
          <w:szCs w:val="20"/>
          <w:lang w:val="en-GB"/>
        </w:rPr>
        <w:tab/>
        <w:t>Intracellular Fluid</w:t>
      </w:r>
    </w:p>
    <w:p w14:paraId="6C6E5442" w14:textId="77777777" w:rsid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ISF</w:t>
      </w:r>
      <w:r w:rsidRPr="00AD4748">
        <w:rPr>
          <w:rFonts w:ascii="Arial" w:hAnsi="Arial" w:cs="Arial"/>
          <w:sz w:val="20"/>
          <w:szCs w:val="20"/>
          <w:lang w:val="en-GB"/>
        </w:rPr>
        <w:tab/>
        <w:t>Interstitial Fluid</w:t>
      </w:r>
    </w:p>
    <w:p w14:paraId="4CF3E2A7" w14:textId="304C8624"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 xml:space="preserve"> NP</w:t>
      </w:r>
      <w:r w:rsidRPr="00AD4748">
        <w:rPr>
          <w:rFonts w:ascii="Arial" w:hAnsi="Arial" w:cs="Arial"/>
          <w:sz w:val="20"/>
          <w:szCs w:val="20"/>
          <w:lang w:val="en-GB"/>
        </w:rPr>
        <w:tab/>
        <w:t xml:space="preserve">Nocturnal Polyuria </w:t>
      </w:r>
    </w:p>
    <w:p w14:paraId="434B0CA4" w14:textId="77777777" w:rsidR="00AD4748" w:rsidRPr="00AD4748" w:rsidRDefault="00AD4748" w:rsidP="00AD4748">
      <w:pPr>
        <w:spacing w:after="0" w:line="720" w:lineRule="auto"/>
        <w:contextualSpacing/>
        <w:rPr>
          <w:rFonts w:ascii="Arial" w:hAnsi="Arial" w:cs="Arial"/>
          <w:sz w:val="20"/>
          <w:szCs w:val="20"/>
          <w:lang w:val="en-GB"/>
        </w:rPr>
      </w:pPr>
      <w:r w:rsidRPr="00AD4748">
        <w:rPr>
          <w:rFonts w:ascii="Arial" w:hAnsi="Arial" w:cs="Arial"/>
          <w:sz w:val="20"/>
          <w:szCs w:val="20"/>
          <w:lang w:val="en-GB"/>
        </w:rPr>
        <w:t>TBW</w:t>
      </w:r>
      <w:r w:rsidRPr="00AD4748">
        <w:rPr>
          <w:rFonts w:ascii="Arial" w:hAnsi="Arial" w:cs="Arial"/>
          <w:sz w:val="20"/>
          <w:szCs w:val="20"/>
          <w:lang w:val="en-GB"/>
        </w:rPr>
        <w:tab/>
        <w:t>Total body water</w:t>
      </w:r>
    </w:p>
    <w:p w14:paraId="3130BF9A" w14:textId="77777777" w:rsidR="00AD4748" w:rsidRPr="00AD4748" w:rsidRDefault="00AD4748" w:rsidP="00AD4748">
      <w:pPr>
        <w:spacing w:after="0" w:line="720" w:lineRule="auto"/>
        <w:contextualSpacing/>
        <w:rPr>
          <w:rFonts w:ascii="Arial" w:hAnsi="Arial" w:cs="Arial"/>
          <w:sz w:val="20"/>
          <w:szCs w:val="20"/>
          <w:lang w:val="en-GB"/>
        </w:rPr>
      </w:pPr>
    </w:p>
    <w:p w14:paraId="3633507C" w14:textId="77777777" w:rsidR="00AD4748" w:rsidRPr="00AD4748" w:rsidRDefault="00AD4748" w:rsidP="00AD4748">
      <w:pPr>
        <w:spacing w:after="0" w:line="720" w:lineRule="auto"/>
        <w:contextualSpacing/>
        <w:rPr>
          <w:rFonts w:ascii="Arial" w:hAnsi="Arial" w:cs="Arial"/>
          <w:sz w:val="20"/>
          <w:szCs w:val="20"/>
          <w:lang w:val="en-GB"/>
        </w:rPr>
      </w:pPr>
    </w:p>
    <w:p w14:paraId="69A38135" w14:textId="77777777" w:rsidR="00AD4748" w:rsidRPr="00AD4748" w:rsidRDefault="00AD4748" w:rsidP="00AD4748">
      <w:pPr>
        <w:spacing w:after="0" w:line="720" w:lineRule="auto"/>
        <w:contextualSpacing/>
        <w:rPr>
          <w:rFonts w:ascii="Arial" w:hAnsi="Arial" w:cs="Arial"/>
          <w:sz w:val="20"/>
          <w:szCs w:val="20"/>
          <w:lang w:val="en-GB"/>
        </w:rPr>
      </w:pPr>
    </w:p>
    <w:p w14:paraId="40A0B821" w14:textId="77777777" w:rsidR="00AD4748" w:rsidRPr="00AD4748" w:rsidRDefault="00AD4748" w:rsidP="00AD4748">
      <w:pPr>
        <w:spacing w:after="0" w:line="720" w:lineRule="auto"/>
        <w:contextualSpacing/>
        <w:rPr>
          <w:rFonts w:ascii="Arial" w:hAnsi="Arial" w:cs="Arial"/>
          <w:sz w:val="20"/>
          <w:szCs w:val="20"/>
          <w:lang w:val="en-GB"/>
        </w:rPr>
      </w:pPr>
    </w:p>
    <w:p w14:paraId="70C496B6" w14:textId="77777777" w:rsidR="00AD4748" w:rsidRPr="00AD4748" w:rsidRDefault="00AD4748" w:rsidP="00AD4748">
      <w:pPr>
        <w:spacing w:after="0" w:line="720" w:lineRule="auto"/>
        <w:contextualSpacing/>
        <w:rPr>
          <w:rFonts w:ascii="Arial" w:hAnsi="Arial" w:cs="Arial"/>
          <w:sz w:val="20"/>
          <w:szCs w:val="20"/>
          <w:lang w:val="en-GB"/>
        </w:rPr>
      </w:pPr>
    </w:p>
    <w:p w14:paraId="40D6C452" w14:textId="77777777" w:rsidR="00AD4748" w:rsidRPr="00AD4748" w:rsidRDefault="00AD4748" w:rsidP="00AD4748">
      <w:pPr>
        <w:spacing w:after="0" w:line="720" w:lineRule="auto"/>
        <w:contextualSpacing/>
        <w:rPr>
          <w:rFonts w:ascii="Arial" w:hAnsi="Arial" w:cs="Arial"/>
          <w:sz w:val="20"/>
          <w:szCs w:val="20"/>
          <w:lang w:val="en-GB"/>
        </w:rPr>
      </w:pPr>
    </w:p>
    <w:p w14:paraId="0A364F8A" w14:textId="77777777" w:rsidR="00AD4748" w:rsidRPr="00AD4748" w:rsidRDefault="00AD4748" w:rsidP="00AD4748">
      <w:pPr>
        <w:spacing w:after="0" w:line="720" w:lineRule="auto"/>
        <w:contextualSpacing/>
        <w:rPr>
          <w:rFonts w:ascii="Arial" w:hAnsi="Arial" w:cs="Arial"/>
          <w:sz w:val="20"/>
          <w:szCs w:val="20"/>
          <w:lang w:val="en-GB"/>
        </w:rPr>
      </w:pPr>
    </w:p>
    <w:p w14:paraId="60961B20" w14:textId="77777777" w:rsidR="00AD4748" w:rsidRPr="00AD4748" w:rsidRDefault="00AD4748" w:rsidP="00AD4748">
      <w:pPr>
        <w:spacing w:after="0" w:line="720" w:lineRule="auto"/>
        <w:contextualSpacing/>
        <w:rPr>
          <w:rFonts w:ascii="Arial" w:hAnsi="Arial" w:cs="Arial"/>
          <w:sz w:val="20"/>
          <w:szCs w:val="20"/>
          <w:lang w:val="en-GB"/>
        </w:rPr>
      </w:pPr>
    </w:p>
    <w:p w14:paraId="799B8B17" w14:textId="77777777" w:rsidR="00AD4748" w:rsidRPr="00AD4748" w:rsidRDefault="00AD4748" w:rsidP="00AD4748">
      <w:pPr>
        <w:spacing w:after="0" w:line="720" w:lineRule="auto"/>
        <w:contextualSpacing/>
        <w:rPr>
          <w:rFonts w:ascii="Arial" w:hAnsi="Arial" w:cs="Arial"/>
          <w:sz w:val="20"/>
          <w:szCs w:val="20"/>
          <w:lang w:val="en-GB"/>
        </w:rPr>
      </w:pPr>
    </w:p>
    <w:p w14:paraId="645318EA" w14:textId="77777777" w:rsidR="00AD4748" w:rsidRPr="00AD4748" w:rsidRDefault="00AD4748" w:rsidP="00AD4748">
      <w:pPr>
        <w:spacing w:after="0" w:line="720" w:lineRule="auto"/>
        <w:contextualSpacing/>
        <w:rPr>
          <w:rFonts w:ascii="Arial" w:eastAsia="Times New Roman" w:hAnsi="Arial" w:cs="Arial"/>
          <w:sz w:val="20"/>
          <w:szCs w:val="20"/>
          <w:lang w:val="en-AU"/>
        </w:rPr>
      </w:pPr>
      <w:r w:rsidRPr="00AD4748">
        <w:rPr>
          <w:rFonts w:ascii="Arial" w:eastAsia="Times New Roman" w:hAnsi="Arial" w:cs="Arial"/>
          <w:b/>
          <w:bCs/>
          <w:color w:val="000000"/>
          <w:sz w:val="20"/>
          <w:szCs w:val="20"/>
          <w:u w:val="single"/>
          <w:lang w:val="en-AU"/>
        </w:rPr>
        <w:lastRenderedPageBreak/>
        <w:t>Abstract</w:t>
      </w:r>
    </w:p>
    <w:p w14:paraId="62EFC683" w14:textId="77777777" w:rsidR="00AD4748" w:rsidRPr="00AD4748" w:rsidRDefault="00AD4748" w:rsidP="00AD4748">
      <w:pPr>
        <w:spacing w:after="0" w:line="720" w:lineRule="auto"/>
        <w:contextualSpacing/>
        <w:jc w:val="both"/>
        <w:rPr>
          <w:rFonts w:ascii="Arial" w:eastAsia="Times New Roman" w:hAnsi="Arial" w:cs="Arial"/>
          <w:sz w:val="20"/>
          <w:szCs w:val="20"/>
          <w:lang w:val="en-AU"/>
        </w:rPr>
      </w:pPr>
      <w:r w:rsidRPr="00AD4748">
        <w:rPr>
          <w:rFonts w:ascii="Arial" w:eastAsia="Times New Roman" w:hAnsi="Arial" w:cs="Arial"/>
          <w:b/>
          <w:bCs/>
          <w:color w:val="000000"/>
          <w:sz w:val="20"/>
          <w:szCs w:val="20"/>
          <w:lang w:val="en-AU"/>
        </w:rPr>
        <w:t>Aim</w:t>
      </w:r>
    </w:p>
    <w:p w14:paraId="239F72F2" w14:textId="77777777" w:rsidR="00AD4748" w:rsidRPr="00AD4748" w:rsidRDefault="00AD4748" w:rsidP="00AD4748">
      <w:pPr>
        <w:spacing w:after="0" w:line="720" w:lineRule="auto"/>
        <w:contextualSpacing/>
        <w:jc w:val="both"/>
        <w:rPr>
          <w:rFonts w:ascii="Arial" w:eastAsia="Times New Roman" w:hAnsi="Arial" w:cs="Arial"/>
          <w:sz w:val="20"/>
          <w:szCs w:val="20"/>
          <w:lang w:val="en-AU"/>
        </w:rPr>
      </w:pPr>
      <w:r w:rsidRPr="00AD4748">
        <w:rPr>
          <w:rFonts w:ascii="Arial" w:eastAsia="Times New Roman" w:hAnsi="Arial" w:cs="Arial"/>
          <w:color w:val="000000"/>
          <w:sz w:val="20"/>
          <w:szCs w:val="20"/>
          <w:lang w:val="en-AU"/>
        </w:rPr>
        <w:t>To evaluate the relevance of the use of deuterium oxide (</w:t>
      </w:r>
      <w:r w:rsidRPr="00AD4748">
        <w:rPr>
          <w:rFonts w:ascii="Arial" w:eastAsia="Times New Roman" w:hAnsi="Arial" w:cs="Arial"/>
          <w:color w:val="000000"/>
          <w:sz w:val="20"/>
          <w:szCs w:val="20"/>
          <w:vertAlign w:val="superscript"/>
          <w:lang w:val="en-AU"/>
        </w:rPr>
        <w:t>2</w:t>
      </w:r>
      <w:r w:rsidRPr="00AD4748">
        <w:rPr>
          <w:rFonts w:ascii="Arial" w:eastAsia="Times New Roman" w:hAnsi="Arial" w:cs="Arial"/>
          <w:color w:val="000000"/>
          <w:sz w:val="20"/>
          <w:szCs w:val="20"/>
          <w:lang w:val="en-AU"/>
        </w:rPr>
        <w:t>H</w:t>
      </w:r>
      <w:r w:rsidRPr="00AD4748">
        <w:rPr>
          <w:rFonts w:ascii="Arial" w:eastAsia="Times New Roman" w:hAnsi="Arial" w:cs="Arial"/>
          <w:color w:val="000000"/>
          <w:sz w:val="20"/>
          <w:szCs w:val="20"/>
          <w:vertAlign w:val="subscript"/>
          <w:lang w:val="en-AU"/>
        </w:rPr>
        <w:t>2</w:t>
      </w:r>
      <w:r w:rsidRPr="00AD4748">
        <w:rPr>
          <w:rFonts w:ascii="Arial" w:eastAsia="Times New Roman" w:hAnsi="Arial" w:cs="Arial"/>
          <w:color w:val="000000"/>
          <w:sz w:val="20"/>
          <w:szCs w:val="20"/>
          <w:lang w:val="en-AU"/>
        </w:rPr>
        <w:t xml:space="preserve">O) and Bio-Impedance Assessment (BIA) to assess the size and function of the </w:t>
      </w:r>
      <w:proofErr w:type="spellStart"/>
      <w:r w:rsidRPr="00AD4748">
        <w:rPr>
          <w:rFonts w:ascii="Arial" w:eastAsia="Times New Roman" w:hAnsi="Arial" w:cs="Arial"/>
          <w:color w:val="000000"/>
          <w:sz w:val="20"/>
          <w:szCs w:val="20"/>
          <w:lang w:val="en-AU"/>
        </w:rPr>
        <w:t>interstitium</w:t>
      </w:r>
      <w:proofErr w:type="spellEnd"/>
      <w:r w:rsidRPr="00AD4748">
        <w:rPr>
          <w:rFonts w:ascii="Arial" w:eastAsia="Times New Roman" w:hAnsi="Arial" w:cs="Arial"/>
          <w:color w:val="000000"/>
          <w:sz w:val="20"/>
          <w:szCs w:val="20"/>
          <w:lang w:val="en-AU"/>
        </w:rPr>
        <w:t xml:space="preserve"> and its further use in urological research. </w:t>
      </w:r>
    </w:p>
    <w:p w14:paraId="37098236" w14:textId="77777777" w:rsidR="00AD4748" w:rsidRPr="00AD4748" w:rsidRDefault="00AD4748" w:rsidP="00AD4748">
      <w:pPr>
        <w:spacing w:after="0" w:line="720" w:lineRule="auto"/>
        <w:contextualSpacing/>
        <w:jc w:val="both"/>
        <w:rPr>
          <w:rFonts w:ascii="Arial" w:eastAsia="Times New Roman" w:hAnsi="Arial" w:cs="Arial"/>
          <w:sz w:val="20"/>
          <w:szCs w:val="20"/>
          <w:lang w:val="en-AU"/>
        </w:rPr>
      </w:pPr>
      <w:r w:rsidRPr="00AD4748">
        <w:rPr>
          <w:rFonts w:ascii="Arial" w:eastAsia="Times New Roman" w:hAnsi="Arial" w:cs="Arial"/>
          <w:b/>
          <w:bCs/>
          <w:color w:val="000000"/>
          <w:sz w:val="20"/>
          <w:szCs w:val="20"/>
          <w:lang w:val="en-AU"/>
        </w:rPr>
        <w:t>Methods</w:t>
      </w:r>
    </w:p>
    <w:p w14:paraId="02D5125C" w14:textId="0CB5EC27" w:rsidR="00AD4748" w:rsidRPr="00AD4748" w:rsidRDefault="00AD4748" w:rsidP="00AD4748">
      <w:pPr>
        <w:spacing w:after="0" w:line="720" w:lineRule="auto"/>
        <w:contextualSpacing/>
        <w:jc w:val="both"/>
        <w:rPr>
          <w:rFonts w:ascii="Arial" w:eastAsia="Times New Roman" w:hAnsi="Arial" w:cs="Arial"/>
          <w:sz w:val="20"/>
          <w:szCs w:val="20"/>
          <w:lang w:val="en-AU"/>
        </w:rPr>
      </w:pPr>
      <w:r w:rsidRPr="00AD4748">
        <w:rPr>
          <w:rFonts w:ascii="Arial" w:eastAsia="Times New Roman" w:hAnsi="Arial" w:cs="Arial"/>
          <w:color w:val="000000"/>
          <w:sz w:val="20"/>
          <w:szCs w:val="20"/>
          <w:lang w:val="en-AU"/>
        </w:rPr>
        <w:t>Nineteen</w:t>
      </w:r>
      <w:r w:rsidRPr="00AD4748">
        <w:rPr>
          <w:rFonts w:ascii="Arial" w:eastAsia="Times New Roman" w:hAnsi="Arial" w:cs="Arial"/>
          <w:b/>
          <w:bCs/>
          <w:color w:val="000000"/>
          <w:sz w:val="20"/>
          <w:szCs w:val="20"/>
          <w:lang w:val="en-AU"/>
        </w:rPr>
        <w:t xml:space="preserve"> </w:t>
      </w:r>
      <w:r w:rsidRPr="00AD4748">
        <w:rPr>
          <w:rFonts w:ascii="Arial" w:eastAsia="Times New Roman" w:hAnsi="Arial" w:cs="Arial"/>
          <w:color w:val="000000"/>
          <w:sz w:val="20"/>
          <w:szCs w:val="20"/>
          <w:lang w:val="en-AU"/>
        </w:rPr>
        <w:t xml:space="preserve">volunteers were recruited in this prospective trail combining ingestion of </w:t>
      </w:r>
      <w:r w:rsidRPr="00AD4748">
        <w:rPr>
          <w:rFonts w:ascii="Arial" w:eastAsia="Times New Roman" w:hAnsi="Arial" w:cs="Arial"/>
          <w:color w:val="000000"/>
          <w:sz w:val="20"/>
          <w:szCs w:val="20"/>
          <w:vertAlign w:val="superscript"/>
          <w:lang w:val="en-AU"/>
        </w:rPr>
        <w:t>2</w:t>
      </w:r>
      <w:r w:rsidRPr="00AD4748">
        <w:rPr>
          <w:rFonts w:ascii="Arial" w:eastAsia="Times New Roman" w:hAnsi="Arial" w:cs="Arial"/>
          <w:color w:val="000000"/>
          <w:sz w:val="20"/>
          <w:szCs w:val="20"/>
          <w:lang w:val="en-AU"/>
        </w:rPr>
        <w:t>H</w:t>
      </w:r>
      <w:r w:rsidRPr="00AD4748">
        <w:rPr>
          <w:rFonts w:ascii="Arial" w:eastAsia="Times New Roman" w:hAnsi="Arial" w:cs="Arial"/>
          <w:color w:val="000000"/>
          <w:sz w:val="20"/>
          <w:szCs w:val="20"/>
          <w:vertAlign w:val="subscript"/>
          <w:lang w:val="en-AU"/>
        </w:rPr>
        <w:t>2</w:t>
      </w:r>
      <w:r w:rsidRPr="00AD4748">
        <w:rPr>
          <w:rFonts w:ascii="Arial" w:eastAsia="Times New Roman" w:hAnsi="Arial" w:cs="Arial"/>
          <w:color w:val="000000"/>
          <w:sz w:val="20"/>
          <w:szCs w:val="20"/>
          <w:lang w:val="en-AU"/>
        </w:rPr>
        <w:t xml:space="preserve">O enriched water </w:t>
      </w:r>
      <w:r>
        <w:rPr>
          <w:rFonts w:ascii="Arial" w:eastAsia="Times New Roman" w:hAnsi="Arial" w:cs="Arial"/>
          <w:color w:val="000000"/>
          <w:sz w:val="20"/>
          <w:szCs w:val="20"/>
          <w:lang w:val="en-AU"/>
        </w:rPr>
        <w:t>and</w:t>
      </w:r>
      <w:r w:rsidRPr="00AD4748">
        <w:rPr>
          <w:rFonts w:ascii="Arial" w:eastAsia="Times New Roman" w:hAnsi="Arial" w:cs="Arial"/>
          <w:color w:val="000000"/>
          <w:sz w:val="20"/>
          <w:szCs w:val="20"/>
          <w:lang w:val="en-AU"/>
        </w:rPr>
        <w:t xml:space="preserve"> BIA. Blood samples were obtained every 10 minutes after ingestion of </w:t>
      </w:r>
      <w:r w:rsidRPr="00AD4748">
        <w:rPr>
          <w:rFonts w:ascii="Arial" w:eastAsia="Times New Roman" w:hAnsi="Arial" w:cs="Arial"/>
          <w:color w:val="000000"/>
          <w:sz w:val="20"/>
          <w:szCs w:val="20"/>
          <w:vertAlign w:val="superscript"/>
          <w:lang w:val="en-AU"/>
        </w:rPr>
        <w:t>2</w:t>
      </w:r>
      <w:r w:rsidRPr="00AD4748">
        <w:rPr>
          <w:rFonts w:ascii="Arial" w:eastAsia="Times New Roman" w:hAnsi="Arial" w:cs="Arial"/>
          <w:color w:val="000000"/>
          <w:sz w:val="20"/>
          <w:szCs w:val="20"/>
          <w:lang w:val="en-AU"/>
        </w:rPr>
        <w:t>H</w:t>
      </w:r>
      <w:r w:rsidRPr="00AD4748">
        <w:rPr>
          <w:rFonts w:ascii="Arial" w:eastAsia="Times New Roman" w:hAnsi="Arial" w:cs="Arial"/>
          <w:color w:val="000000"/>
          <w:sz w:val="20"/>
          <w:szCs w:val="20"/>
          <w:vertAlign w:val="subscript"/>
          <w:lang w:val="en-AU"/>
        </w:rPr>
        <w:t>2</w:t>
      </w:r>
      <w:r w:rsidRPr="00AD4748">
        <w:rPr>
          <w:rFonts w:ascii="Arial" w:eastAsia="Times New Roman" w:hAnsi="Arial" w:cs="Arial"/>
          <w:color w:val="000000"/>
          <w:sz w:val="20"/>
          <w:szCs w:val="20"/>
          <w:lang w:val="en-AU"/>
        </w:rPr>
        <w:t xml:space="preserve">O enriched water. Urine was collected before and after the experiment. BIA was done every 5 minutes. Body position (standing vs lying) was changed to study the effect on the fluid distribution. The </w:t>
      </w:r>
      <w:r w:rsidRPr="00AD4748">
        <w:rPr>
          <w:rFonts w:ascii="Arial" w:eastAsia="Times New Roman" w:hAnsi="Arial" w:cs="Arial"/>
          <w:color w:val="000000"/>
          <w:sz w:val="20"/>
          <w:szCs w:val="20"/>
          <w:vertAlign w:val="superscript"/>
          <w:lang w:val="en-AU"/>
        </w:rPr>
        <w:t>2</w:t>
      </w:r>
      <w:r w:rsidRPr="00AD4748">
        <w:rPr>
          <w:rFonts w:ascii="Arial" w:eastAsia="Times New Roman" w:hAnsi="Arial" w:cs="Arial"/>
          <w:color w:val="000000"/>
          <w:sz w:val="20"/>
          <w:szCs w:val="20"/>
          <w:lang w:val="en-AU"/>
        </w:rPr>
        <w:t>H/H ratio was measured in all samples. </w:t>
      </w:r>
    </w:p>
    <w:p w14:paraId="432E0480" w14:textId="77777777" w:rsidR="00AD4748" w:rsidRPr="00AD4748" w:rsidRDefault="00AD4748" w:rsidP="00AD4748">
      <w:pPr>
        <w:spacing w:after="0" w:line="720" w:lineRule="auto"/>
        <w:contextualSpacing/>
        <w:jc w:val="both"/>
        <w:rPr>
          <w:rFonts w:ascii="Arial" w:eastAsia="Times New Roman" w:hAnsi="Arial" w:cs="Arial"/>
          <w:sz w:val="20"/>
          <w:szCs w:val="20"/>
          <w:lang w:val="en-AU"/>
        </w:rPr>
      </w:pPr>
      <w:r w:rsidRPr="00AD4748">
        <w:rPr>
          <w:rFonts w:ascii="Arial" w:eastAsia="Times New Roman" w:hAnsi="Arial" w:cs="Arial"/>
          <w:b/>
          <w:bCs/>
          <w:color w:val="000000"/>
          <w:sz w:val="20"/>
          <w:szCs w:val="20"/>
          <w:lang w:val="en-AU"/>
        </w:rPr>
        <w:t>Results</w:t>
      </w:r>
    </w:p>
    <w:p w14:paraId="576F7B5E" w14:textId="77777777" w:rsidR="00AD4748" w:rsidRPr="00AD4748" w:rsidRDefault="00AD4748" w:rsidP="00AD4748">
      <w:pPr>
        <w:spacing w:after="0" w:line="720" w:lineRule="auto"/>
        <w:contextualSpacing/>
        <w:jc w:val="both"/>
        <w:rPr>
          <w:rFonts w:ascii="Arial" w:eastAsia="Times New Roman" w:hAnsi="Arial" w:cs="Arial"/>
          <w:sz w:val="20"/>
          <w:szCs w:val="20"/>
          <w:lang w:val="en-AU"/>
        </w:rPr>
      </w:pPr>
      <w:r w:rsidRPr="00AD4748">
        <w:rPr>
          <w:rFonts w:ascii="Arial" w:eastAsia="Times New Roman" w:hAnsi="Arial" w:cs="Arial"/>
          <w:color w:val="000000"/>
          <w:sz w:val="20"/>
          <w:szCs w:val="20"/>
          <w:lang w:val="en-AU"/>
        </w:rPr>
        <w:t xml:space="preserve">A first order kinetic, representing the uptake of </w:t>
      </w:r>
      <w:r w:rsidRPr="00AD4748">
        <w:rPr>
          <w:rFonts w:ascii="Arial" w:eastAsia="Times New Roman" w:hAnsi="Arial" w:cs="Arial"/>
          <w:color w:val="000000"/>
          <w:sz w:val="20"/>
          <w:szCs w:val="20"/>
          <w:vertAlign w:val="superscript"/>
          <w:lang w:val="en-AU"/>
        </w:rPr>
        <w:t>2</w:t>
      </w:r>
      <w:r w:rsidRPr="00AD4748">
        <w:rPr>
          <w:rFonts w:ascii="Arial" w:eastAsia="Times New Roman" w:hAnsi="Arial" w:cs="Arial"/>
          <w:color w:val="000000"/>
          <w:sz w:val="20"/>
          <w:szCs w:val="20"/>
          <w:lang w:val="en-AU"/>
        </w:rPr>
        <w:t>H</w:t>
      </w:r>
      <w:r w:rsidRPr="00AD4748">
        <w:rPr>
          <w:rFonts w:ascii="Arial" w:eastAsia="Times New Roman" w:hAnsi="Arial" w:cs="Arial"/>
          <w:color w:val="000000"/>
          <w:sz w:val="20"/>
          <w:szCs w:val="20"/>
          <w:vertAlign w:val="subscript"/>
          <w:lang w:val="en-AU"/>
        </w:rPr>
        <w:t>2</w:t>
      </w:r>
      <w:r w:rsidRPr="00AD4748">
        <w:rPr>
          <w:rFonts w:ascii="Arial" w:eastAsia="Times New Roman" w:hAnsi="Arial" w:cs="Arial"/>
          <w:color w:val="000000"/>
          <w:sz w:val="20"/>
          <w:szCs w:val="20"/>
          <w:lang w:val="en-AU"/>
        </w:rPr>
        <w:t xml:space="preserve">O from the gastronomic tract to the blood was assumed.  Sex seemed to have an influence on this exchange rate, with a significantly slower exchange for women compared to men (p = 0.041, men: 0.052 min </w:t>
      </w:r>
      <w:r w:rsidRPr="00AD4748">
        <w:rPr>
          <w:rFonts w:ascii="Arial" w:eastAsia="Times New Roman" w:hAnsi="Arial" w:cs="Arial"/>
          <w:color w:val="000000"/>
          <w:sz w:val="20"/>
          <w:szCs w:val="20"/>
          <w:vertAlign w:val="superscript"/>
          <w:lang w:val="en-AU"/>
        </w:rPr>
        <w:t>-1</w:t>
      </w:r>
      <w:r w:rsidRPr="00AD4748">
        <w:rPr>
          <w:rFonts w:ascii="Arial" w:eastAsia="Times New Roman" w:hAnsi="Arial" w:cs="Arial"/>
          <w:color w:val="000000"/>
          <w:sz w:val="20"/>
          <w:szCs w:val="20"/>
          <w:lang w:val="en-AU"/>
        </w:rPr>
        <w:t>; women 0.038 min</w:t>
      </w:r>
      <w:r w:rsidRPr="00AD4748">
        <w:rPr>
          <w:rFonts w:ascii="Arial" w:eastAsia="Times New Roman" w:hAnsi="Arial" w:cs="Arial"/>
          <w:color w:val="000000"/>
          <w:sz w:val="20"/>
          <w:szCs w:val="20"/>
          <w:vertAlign w:val="superscript"/>
          <w:lang w:val="en-AU"/>
        </w:rPr>
        <w:t>-1</w:t>
      </w:r>
      <w:r w:rsidRPr="00AD4748">
        <w:rPr>
          <w:rFonts w:ascii="Arial" w:eastAsia="Times New Roman" w:hAnsi="Arial" w:cs="Arial"/>
          <w:color w:val="000000"/>
          <w:sz w:val="20"/>
          <w:szCs w:val="20"/>
          <w:lang w:val="en-AU"/>
        </w:rPr>
        <w:t>). </w:t>
      </w:r>
    </w:p>
    <w:p w14:paraId="6ADC9FF6" w14:textId="77777777" w:rsidR="00AD4748" w:rsidRPr="00AD4748" w:rsidRDefault="00AD4748" w:rsidP="00AD4748">
      <w:pPr>
        <w:spacing w:line="720" w:lineRule="auto"/>
        <w:contextualSpacing/>
        <w:jc w:val="both"/>
        <w:rPr>
          <w:rFonts w:ascii="Arial" w:eastAsia="Times New Roman" w:hAnsi="Arial" w:cs="Arial"/>
          <w:sz w:val="20"/>
          <w:szCs w:val="20"/>
          <w:lang w:val="en-AU"/>
        </w:rPr>
      </w:pPr>
      <w:r w:rsidRPr="00AD4748">
        <w:rPr>
          <w:rFonts w:ascii="Arial" w:eastAsia="Times New Roman" w:hAnsi="Arial" w:cs="Arial"/>
          <w:color w:val="000000"/>
          <w:sz w:val="20"/>
          <w:szCs w:val="20"/>
          <w:lang w:val="en-AU"/>
        </w:rPr>
        <w:t>Impedance measured in legs (men: p = 0.012, women: p = 0.008) and trunk (both p &lt;0.001) decreased significantly while moving from lying to standing. These changes probably reflect the orthostatic redistribution of fluid with an increase of fluid in both trunk and legs. </w:t>
      </w:r>
    </w:p>
    <w:p w14:paraId="2CF17FE7" w14:textId="77777777" w:rsidR="00AD4748" w:rsidRPr="00AD4748" w:rsidRDefault="00AD4748" w:rsidP="00AD4748">
      <w:pPr>
        <w:spacing w:after="0" w:line="720" w:lineRule="auto"/>
        <w:contextualSpacing/>
        <w:jc w:val="both"/>
        <w:rPr>
          <w:rFonts w:ascii="Arial" w:eastAsia="Times New Roman" w:hAnsi="Arial" w:cs="Arial"/>
          <w:sz w:val="20"/>
          <w:szCs w:val="20"/>
          <w:lang w:val="en-AU"/>
        </w:rPr>
      </w:pPr>
      <w:r w:rsidRPr="00AD4748">
        <w:rPr>
          <w:rFonts w:ascii="Arial" w:eastAsia="Times New Roman" w:hAnsi="Arial" w:cs="Arial"/>
          <w:b/>
          <w:bCs/>
          <w:color w:val="000000"/>
          <w:sz w:val="20"/>
          <w:szCs w:val="20"/>
          <w:lang w:val="en-AU"/>
        </w:rPr>
        <w:t>Conclusion</w:t>
      </w:r>
    </w:p>
    <w:p w14:paraId="47C48B2C" w14:textId="77777777" w:rsidR="00AD4748" w:rsidRPr="00AD4748" w:rsidRDefault="00AD4748" w:rsidP="00AD4748">
      <w:pPr>
        <w:spacing w:line="720" w:lineRule="auto"/>
        <w:contextualSpacing/>
        <w:jc w:val="both"/>
        <w:rPr>
          <w:rFonts w:ascii="Arial" w:eastAsia="Times New Roman" w:hAnsi="Arial" w:cs="Arial"/>
          <w:sz w:val="20"/>
          <w:szCs w:val="20"/>
          <w:lang w:val="en-AU"/>
        </w:rPr>
      </w:pPr>
      <w:r w:rsidRPr="00AD4748">
        <w:rPr>
          <w:rFonts w:ascii="Arial" w:eastAsia="Times New Roman" w:hAnsi="Arial" w:cs="Arial"/>
          <w:color w:val="000000"/>
          <w:sz w:val="20"/>
          <w:szCs w:val="20"/>
          <w:lang w:val="en-AU"/>
        </w:rPr>
        <w:t xml:space="preserve">Both methods were tested and found to be useful for further urological research. Significant sex differences were seen in uptake of </w:t>
      </w:r>
      <w:r w:rsidRPr="00AD4748">
        <w:rPr>
          <w:rFonts w:ascii="Arial" w:eastAsia="Times New Roman" w:hAnsi="Arial" w:cs="Arial"/>
          <w:color w:val="000000"/>
          <w:sz w:val="20"/>
          <w:szCs w:val="20"/>
          <w:vertAlign w:val="superscript"/>
          <w:lang w:val="en-AU"/>
        </w:rPr>
        <w:t>2</w:t>
      </w:r>
      <w:r w:rsidRPr="00AD4748">
        <w:rPr>
          <w:rFonts w:ascii="Arial" w:eastAsia="Times New Roman" w:hAnsi="Arial" w:cs="Arial"/>
          <w:color w:val="000000"/>
          <w:sz w:val="20"/>
          <w:szCs w:val="20"/>
          <w:lang w:val="en-AU"/>
        </w:rPr>
        <w:t>H</w:t>
      </w:r>
      <w:r w:rsidRPr="00AD4748">
        <w:rPr>
          <w:rFonts w:ascii="Arial" w:eastAsia="Times New Roman" w:hAnsi="Arial" w:cs="Arial"/>
          <w:color w:val="000000"/>
          <w:sz w:val="20"/>
          <w:szCs w:val="20"/>
          <w:vertAlign w:val="subscript"/>
          <w:lang w:val="en-AU"/>
        </w:rPr>
        <w:t>2</w:t>
      </w:r>
      <w:r w:rsidRPr="00AD4748">
        <w:rPr>
          <w:rFonts w:ascii="Arial" w:eastAsia="Times New Roman" w:hAnsi="Arial" w:cs="Arial"/>
          <w:color w:val="000000"/>
          <w:sz w:val="20"/>
          <w:szCs w:val="20"/>
          <w:lang w:val="en-AU"/>
        </w:rPr>
        <w:t>O from the gastro-intestinal pool. An impact of posture changes on the electrical impedance measured in the legs and trunk was observed. </w:t>
      </w:r>
    </w:p>
    <w:p w14:paraId="5A1BF10C" w14:textId="77777777" w:rsidR="00AD4748" w:rsidRPr="00AD4748" w:rsidRDefault="00AD4748" w:rsidP="00AD4748">
      <w:pPr>
        <w:spacing w:after="0" w:line="720" w:lineRule="auto"/>
        <w:contextualSpacing/>
        <w:rPr>
          <w:rFonts w:ascii="Arial" w:hAnsi="Arial" w:cs="Arial"/>
          <w:b/>
          <w:sz w:val="20"/>
          <w:szCs w:val="20"/>
          <w:u w:val="single"/>
        </w:rPr>
      </w:pPr>
      <w:r w:rsidRPr="00AD4748">
        <w:rPr>
          <w:rFonts w:ascii="Arial" w:eastAsia="Times New Roman" w:hAnsi="Arial" w:cs="Arial"/>
          <w:b/>
          <w:bCs/>
          <w:color w:val="000000"/>
          <w:sz w:val="20"/>
          <w:szCs w:val="20"/>
          <w:lang w:val="en-AU"/>
        </w:rPr>
        <w:lastRenderedPageBreak/>
        <w:t>Key words:</w:t>
      </w:r>
      <w:r w:rsidRPr="00AD4748">
        <w:rPr>
          <w:rFonts w:ascii="Arial" w:eastAsia="Times New Roman" w:hAnsi="Arial" w:cs="Arial"/>
          <w:color w:val="000000"/>
          <w:sz w:val="20"/>
          <w:szCs w:val="20"/>
          <w:lang w:val="en-AU"/>
        </w:rPr>
        <w:t xml:space="preserve"> extracellular fluid – nocturia – deuterium oxide – electric impedance – body water</w:t>
      </w:r>
    </w:p>
    <w:p w14:paraId="7CFB3FEF" w14:textId="77777777" w:rsidR="00AD4748" w:rsidRPr="00AD4748" w:rsidRDefault="00AD4748" w:rsidP="00AD4748">
      <w:pPr>
        <w:spacing w:after="0" w:line="720" w:lineRule="auto"/>
        <w:contextualSpacing/>
        <w:rPr>
          <w:rFonts w:ascii="Arial" w:hAnsi="Arial" w:cs="Arial"/>
          <w:sz w:val="20"/>
          <w:szCs w:val="20"/>
        </w:rPr>
      </w:pPr>
      <w:r w:rsidRPr="00AD4748">
        <w:rPr>
          <w:rFonts w:ascii="Arial" w:hAnsi="Arial" w:cs="Arial"/>
          <w:b/>
          <w:sz w:val="20"/>
          <w:szCs w:val="20"/>
          <w:u w:val="single"/>
        </w:rPr>
        <w:t>Introduction</w:t>
      </w:r>
    </w:p>
    <w:p w14:paraId="4DD0A737" w14:textId="43A2DE59" w:rsidR="00AD4748" w:rsidRDefault="00AD4748" w:rsidP="00AD4748">
      <w:pPr>
        <w:spacing w:line="720" w:lineRule="auto"/>
        <w:contextualSpacing/>
        <w:jc w:val="both"/>
        <w:rPr>
          <w:rFonts w:ascii="Arial" w:hAnsi="Arial" w:cs="Arial"/>
          <w:sz w:val="20"/>
          <w:szCs w:val="20"/>
        </w:rPr>
      </w:pPr>
      <w:r w:rsidRPr="00AD4748">
        <w:rPr>
          <w:rFonts w:ascii="Arial" w:hAnsi="Arial" w:cs="Arial"/>
          <w:color w:val="000000"/>
          <w:sz w:val="20"/>
          <w:szCs w:val="20"/>
        </w:rPr>
        <w:t xml:space="preserve">The total body water (TBW) in humans can be subdivided in different water pools. The major pools are the extracellular fluid (ECF) and the intracellular fluid (ICF), where the ECF is further subdivided into plasma and interstitial fluid (ISF) </w:t>
      </w:r>
      <w:r w:rsidRPr="00AD4748">
        <w:rPr>
          <w:rFonts w:ascii="Arial" w:hAnsi="Arial" w:cs="Arial"/>
          <w:color w:val="000000"/>
          <w:sz w:val="20"/>
          <w:szCs w:val="20"/>
        </w:rPr>
        <w:fldChar w:fldCharType="begin" w:fldLock="1"/>
      </w:r>
      <w:r w:rsidRPr="00AD4748">
        <w:rPr>
          <w:rFonts w:ascii="Arial" w:hAnsi="Arial" w:cs="Arial"/>
          <w:color w:val="000000"/>
          <w:sz w:val="20"/>
          <w:szCs w:val="20"/>
        </w:rPr>
        <w:instrText>ADDIN CSL_CITATION {"citationItems":[{"id":"ITEM-1","itemData":{"DOI":"10.1111/apha.13006","ISSN":"1748-1716","PMID":"29193764","abstract":"The role of salt in the pathogenesis of arterial hypertension is not well understood. According to the current understanding, the central mechanism for blood pressure (BP) regulation relies on classical studies linking BP and Na+ balance, placing the kidney at the very centre of long-term BP regulation. To maintain BP homeostasis, the effective circulating fluid volume and thereby body Na+ content has to be maintained within very narrow limits. From recent work in humans and rats, the notion has emerged that Na+ could be stored somewhere in the body without commensurate water retention to buffer free extracellular Na+ and that previously unidentified extrarenal, tissue-specific regulatory mechanisms are operative regulating the release and storage of Na+ from a kidney-independent reservoir. Moreover, immune cells from the mononuclear phagocyte system not only function as local on-site sensors of interstitial electrolyte concentration, but also, together with lymphatics, act as systemic regulators of body fluid volume and BP. These studies have established new and unexpected targets in studies of BP control and thus the pathophysiology of hypertension: the interstitium/extracellular matrix of the skin, its inherent interstitial fluid and the lymphatic vasculature forming a vessel network in the interstitium. Aspects of the interstitium in relation to Na+ balance and hypertension are the focus of this review. Taken together, observations of salt storage in the skin to buffer free extracellular Na+ and macrophage modulation of the extracellular matrix and lymphatics suggest that electrolyte homeostasis in the body cannot be achieved by renal excretion alone, but also relies on extrarenal regulatory mechanisms.","author":[{"dropping-particle":"","family":"Wiig","given":"H","non-dropping-particle":"","parse-names":false,"suffix":""},{"dropping-particle":"","family":"Luft","given":"F C","non-dropping-particle":"","parse-names":false,"suffix":""},{"dropping-particle":"","family":"Titze","given":"J M","non-dropping-particle":"","parse-names":false,"suffix":""}],"container-title":"Acta physiologica (Oxford, England)","id":"ITEM-1","issue":"3","issued":{"date-parts":[["2018"]]},"title":"The interstitium conducts extrarenal storage of sodium and represents a third compartment essential for extracellular volume and blood pressure homeostasis.","type":"article-journal","volume":"222"},"uris":["http://www.mendeley.com/documents/?uuid=b12e8dbc-602d-3bab-96a0-617ec86344b6"]}],"mendeley":{"formattedCitation":"[1]","plainTextFormattedCitation":"[1]","previouslyFormattedCitation":"[1]"},"properties":{"noteIndex":0},"schema":"https://github.com/citation-style-language/schema/raw/master/csl-citation.json"}</w:instrText>
      </w:r>
      <w:r w:rsidRPr="00AD4748">
        <w:rPr>
          <w:rFonts w:ascii="Arial" w:hAnsi="Arial" w:cs="Arial"/>
          <w:color w:val="000000"/>
          <w:sz w:val="20"/>
          <w:szCs w:val="20"/>
        </w:rPr>
        <w:fldChar w:fldCharType="separate"/>
      </w:r>
      <w:r w:rsidRPr="00AD4748">
        <w:rPr>
          <w:rFonts w:ascii="Arial" w:hAnsi="Arial" w:cs="Arial"/>
          <w:noProof/>
          <w:color w:val="000000"/>
          <w:sz w:val="20"/>
          <w:szCs w:val="20"/>
        </w:rPr>
        <w:t>[1]</w:t>
      </w:r>
      <w:r w:rsidRPr="00AD4748">
        <w:rPr>
          <w:rFonts w:ascii="Arial" w:hAnsi="Arial" w:cs="Arial"/>
          <w:color w:val="000000"/>
          <w:sz w:val="20"/>
          <w:szCs w:val="20"/>
        </w:rPr>
        <w:fldChar w:fldCharType="end"/>
      </w:r>
      <w:r w:rsidRPr="00AD4748">
        <w:rPr>
          <w:rFonts w:ascii="Arial" w:hAnsi="Arial" w:cs="Arial"/>
          <w:color w:val="000000"/>
          <w:sz w:val="20"/>
          <w:szCs w:val="20"/>
        </w:rPr>
        <w:t xml:space="preserve">. The </w:t>
      </w:r>
      <w:proofErr w:type="spellStart"/>
      <w:r w:rsidRPr="00AD4748">
        <w:rPr>
          <w:rFonts w:ascii="Arial" w:hAnsi="Arial" w:cs="Arial"/>
          <w:color w:val="000000"/>
          <w:sz w:val="20"/>
          <w:szCs w:val="20"/>
        </w:rPr>
        <w:t>interstitium</w:t>
      </w:r>
      <w:proofErr w:type="spellEnd"/>
      <w:r w:rsidRPr="00AD4748">
        <w:rPr>
          <w:rFonts w:ascii="Arial" w:hAnsi="Arial" w:cs="Arial"/>
          <w:color w:val="000000"/>
          <w:sz w:val="20"/>
          <w:szCs w:val="20"/>
        </w:rPr>
        <w:t xml:space="preserve"> can be defined as</w:t>
      </w:r>
      <w:r w:rsidRPr="00AD4748">
        <w:rPr>
          <w:rFonts w:ascii="Arial" w:hAnsi="Arial" w:cs="Arial"/>
          <w:sz w:val="20"/>
          <w:szCs w:val="20"/>
        </w:rPr>
        <w:t xml:space="preserve"> the space between the capillary wall of veins or arteries and the surrounding cells. This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is one of the main fluid compartments of the human body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{"citationItems":[{"id":"ITEM-1","itemData":{"DOI":"10.1111/apha.13006","ISBN":"0000000154871","ISSN":"17481716","PMID":"29193764","abstract":"The role of salt in the pathogenesis of arterial hypertension is not well understood. According to the current understanding, the central mechanism for blood pressure (BP) regulation relies on classical studies linking BP and Na+ balance, placing the kidney at the very centre of long-term BP regulation. To maintain BP homeostasis, the effective circulating fluid volume and thereby body Na+ content has to be maintained within very narrow limits. From recent work in humans and rats, the notion has emerged that Na+ could be stored somewhere in the body without commensurate water retention to buffer free extracellular Na+ and that previously unidentified extrarenal, tissue-specific regulatory mechanisms are operative regulating the release and storage of Na+ from a kidney-independent reservoir. Moreover, immune cells from the mononuclear phagocyte system not only function as local on-site sensors of interstitial electrolyte concentration, but also, together with lymphatics, act as systemic regulators of body fluid volume and BP. These studies have established new and unexpected targets in studies of BP control and thus the pathophysiology of hypertension: the interstitium/extracellular matrix of the skin, its inherent interstitial fluid and the lymphatic vasculature forming a vessel network in the interstitium. Aspects of the interstitium in relation to Na+ balance and hypertension are the focus of this review. Taken together, observations of salt storage in the skin to buffer free extracellular Na+ and macrophage modulation of the extracellular matrix and lymphatics suggest that electrolyte homeostasis in the body cannot be achieved by renal excretion alone, but also relies on extrarenal regulatory mechanisms.","author":[{"dropping-particle":"","family":"Wiig","given":"H.","non-dropping-particle":"","parse-names":false,"suffix":""},{"dropping-particle":"","family":"Luft","given":"F. C.","non-dropping-particle":"","parse-names":false,"suffix":""},{"dropping-particle":"","family":"Titze","given":"J. M.","non-dropping-particle":"","parse-names":false,"suffix":""}],"container-title":"Acta Physiologica","id":"ITEM-1","issue":"3","issued":{"date-parts":[["2018"]]},"page":"1-15","title":"The interstitium conducts extrarenal storage of sodium and represents a third compartment essential for extracellular volume and blood pressure homeostasis","type":"article-journal","volume":"222"},"uris":["http://www.mendeley.com/documents/?uuid=e24cf4da-7ae3-43df-976c-00ca30083446"]},{"id":"ITEM-2","itemData":{"DOI":"10.1038/s41598-018-23062-6","ISSN":"20452322","abstract":"Confocal laser endomicroscopy (pCLE) provides real-time histologic imaging of human tissues at a depth of 60-70 μm during endoscopy. pCLE of the extrahepatic bile duct after fluorescein injection demonstrated a reticular pattern within fluorescein-filled sinuses that had no known anatomical correlate. Freezing biopsy tissue before fixation preserved the anatomy of this structure, demonstrating that it is part of the submucosa and a previously unappreciated fluid-filled interstitial space, draining to lymph nodes and supported by a complex network of thick collagen bundles. These bundles are intermittently lined on one side by fibroblast-like cells that stain with endothelial markers and vimentin, although there is a highly unusual and extensive unlined interface between the matrix proteins of the bundles and the surrounding fluid. We observed similar structures in numerous tissues that are subject to intermittent or rhythmic compression, including the submucosae of the entire gastrointestinal tract and urinary bladder, the dermis, the peri-bronchial and peri-arterial soft tissues, and fascia. These anatomic structures may be important in cancer metastasis, edema, fibrosis, and mechanical functioning of many or all tissues and organs. In sum, we describe the anatomy and histology of a previously unrecognized, though widespread, macroscopic, fluid-filled space within and between tissues, a novel expansion and specification of the concept of the human interstitium.","author":[{"dropping-particle":"","family":"Benias","given":"Petros C.","non-dropping-particle":"","parse-names":false,"suffix":""},{"dropping-particle":"","family":"Wells","given":"Rebecca G.","non-dropping-particle":"","parse-names":false,"suffix":""},{"dropping-particle":"","family":"Sackey-Aboagye","given":"Bridget","non-dropping-particle":"","parse-names":false,"suffix":""},{"dropping-particle":"","family":"Klavan","given":"Heather","non-dropping-particle":"","parse-names":false,"suffix":""},{"dropping-particle":"","family":"Reidy","given":"Jason","non-dropping-particle":"","parse-names":false,"suffix":""},{"dropping-particle":"","family":"Buonocore","given":"Darren","non-dropping-particle":"","parse-names":false,"suffix":""},{"dropping-particle":"","family":"Miranda","given":"Markus","non-dropping-particle":"","parse-names":false,"suffix":""},{"dropping-particle":"","family":"Kornacki","given":"Susan","non-dropping-particle":"","parse-names":false,"suffix":""},{"dropping-particle":"","family":"Wayne","given":"Michael","non-dropping-particle":"","parse-names":false,"suffix":""},{"dropping-particle":"","family":"Carr-Locke","given":"David L.","non-dropping-particle":"","parse-names":false,"suffix":""},{"dropping-particle":"","family":"Theise","given":"Neil D.","non-dropping-particle":"","parse-names":false,"suffix":""}],"container-title":"Scientific Reports","id":"ITEM-2","issue":"1","issued":{"date-parts":[["2018","12","1"]]},"publisher":"Nature Publishing Group","title":"Structure and distribution of an unrecognized interstitium in human tissues","type":"article-journal","volume":"8"},"uris":["http://www.mendeley.com/documents/?uuid=2edf1e45-9c1a-32a0-856e-7383aab0cff2"]}],"mendeley":{"formattedCitation":"[2,3]","plainTextFormattedCitation":"[2,3]","previouslyFormattedCitation":"[2,3]"},"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[2,3]</w:t>
      </w:r>
      <w:r w:rsidRPr="00AD4748">
        <w:rPr>
          <w:rFonts w:ascii="Arial" w:hAnsi="Arial" w:cs="Arial"/>
          <w:sz w:val="20"/>
          <w:szCs w:val="20"/>
        </w:rPr>
        <w:fldChar w:fldCharType="end"/>
      </w:r>
      <w:r w:rsidRPr="00AD4748">
        <w:rPr>
          <w:rFonts w:ascii="Arial" w:hAnsi="Arial" w:cs="Arial"/>
          <w:sz w:val="20"/>
          <w:szCs w:val="20"/>
        </w:rPr>
        <w:t xml:space="preserve"> and is a structurally complex space composed by collagen fiber bundles, proteoglycan filaments and free water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{"citationItems":[{"id":"ITEM-1","itemData":{"DOI":"10.1016/j.mpaic.2019.01.009","ISSN":"18787584","abstract":"The regulation of small blood vessels (arterioles, venules and capillaries) and the formation of interstitial fluid at the capillary beds is an important process in the understanding of the healthy circulation. Traditionally, the Starling forces have been at the very heart of our understanding of this system. However more recent work shows that the trans-vascular fluid flux is significantly lower than what one would expect on the basis of Starling's forces alone and hence alternative explanations have been sought to understand the process of tissue fluid formation. In this context the role of the endothelial glycocalyx layer (or EGL) has drawn substantial interest. The EGL is a dynamic, active interface between the blood and the endothelial cells. It is formed by membrane-bound glycoproteins, proteoglycans and polysaccharides, producing a hydrated gel-like layer on the luminal surface of the vascular endothelium of approximately 500–2000 nm thickness. In this paper we review some of these emerging concepts and propose alternative ideas to understand some frequent clinical conditions and their treatment.","author":[{"dropping-particle":"","family":"Haggerty","given":"Andrew","non-dropping-particle":"","parse-names":false,"suffix":""},{"dropping-particle":"","family":"Nirmalan","given":"Mahesh","non-dropping-particle":"","parse-names":false,"suffix":""}],"container-title":"Anaesthesia and Intensive Care Medicine","id":"ITEM-1","issue":"3","issued":{"date-parts":[["2019","3","1"]]},"page":"182-189","publisher":"Elsevier Ltd","title":"Capillary dynamics, interstitial fluid and the lymphatic system","type":"article","volume":"20"},"uris":["http://www.mendeley.com/documents/?uuid=f31ecc0e-cdf6-34cb-a90c-def72628f396"]}],"mendeley":{"formattedCitation":"[4]","plainTextFormattedCitation":"[4]","previouslyFormattedCitation":"[4]"},"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[4]</w:t>
      </w:r>
      <w:r w:rsidRPr="00AD4748">
        <w:rPr>
          <w:rFonts w:ascii="Arial" w:hAnsi="Arial" w:cs="Arial"/>
          <w:sz w:val="20"/>
          <w:szCs w:val="20"/>
        </w:rPr>
        <w:fldChar w:fldCharType="end"/>
      </w:r>
      <w:r w:rsidRPr="00AD4748">
        <w:rPr>
          <w:rFonts w:ascii="Arial" w:hAnsi="Arial" w:cs="Arial"/>
          <w:sz w:val="20"/>
          <w:szCs w:val="20"/>
        </w:rPr>
        <w:t xml:space="preserve">. Although, its composition and anatomy have been widely studied, the flow, exchange and storage mechanisms of the ISF are only poorly understood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{"citationItems":[{"id":"ITEM-1","itemData":{"ISSN":"0021-7948","PMID":"6399307","abstract":"The plasma volume is determined by fluid influx through drinking and outflux by renal excretion. Both fluxes are regulated according to plasma volume and composition through arterial pressure, osmoreceptors and vascular stretch receptors. As to the remaining part of the extracellular volume, the interstitial space, there is no evidence that its volume (IFV), pressure or composition are sensed in such a way as to influence water intake or excretion. Nevertheless, IFV is clearly regulated, often pari passu with the regulation of plasma volume. However, there are many exceptions to parallel changes of the two compartments, indicating the existence of automatic, local mechanisms guarding the net transfer of fluid between plasma and interstitium. Thus, a rise in arterial and/or venous pressure, tending to increase capillary pressure and net filtration, is counteracted by changes in the \"Starling forces\": hydrostatic and colloid osmotic pressures of capillary blood and interstitial fluid. These \"oedemapreventing mechanisms\" (A. C. Guyton) may be listed as follows: Vascular mechanisms, modifying capillary pressure or interstitial fluid pressure (IFP). Increased transmural vascular pressure elicits precapillary constriction and thereby reduces the rise in capillary pressure. Counteracts formation of leg oedema in orthostasis. Venous expansion transmits pressure to the interstitium in encapsulated organs (brain, bone marrow, rat tail). Mechanisms secondary to increased net filtration, A rise in IFV will increase IFP, and thereby oppose further filtration. Favoured by lowcompliant interstitium. Reduction of interstitial COP through dilution and/or washout of interstitial proteins. A new steady state depends on increased lymph flow. Increased lymph flow permits a rise in net capillary filtration pressure. Low blood flow and high filtration fraction will increase local capillary COP.","author":[{"dropping-particle":"","family":"Aukland","given":"K","non-dropping-particle":"","parse-names":false,"suffix":""}],"container-title":"Journal de physiologie","id":"ITEM-1","issue":"6","issued":{"date-parts":[["1984"]]},"page":"395-400","title":"Distribution of body fluids: local mechanisms guarding interstitial fluid volume.","type":"article-journal","volume":"79"},"uris":["http://www.mendeley.com/documents/?uuid=38a82594-b4f6-3bf5-ae3b-8e3fcaef37e8"]}],"mendeley":{"formattedCitation":"[5]","plainTextFormattedCitation":"[5]","previouslyFormattedCitation":"[5]"},"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[5]</w:t>
      </w:r>
      <w:r w:rsidRPr="00AD4748">
        <w:rPr>
          <w:rFonts w:ascii="Arial" w:hAnsi="Arial" w:cs="Arial"/>
          <w:sz w:val="20"/>
          <w:szCs w:val="20"/>
        </w:rPr>
        <w:fldChar w:fldCharType="end"/>
      </w:r>
      <w:r w:rsidRPr="00AD4748">
        <w:rPr>
          <w:rFonts w:ascii="Arial" w:hAnsi="Arial" w:cs="Arial"/>
          <w:sz w:val="20"/>
          <w:szCs w:val="20"/>
        </w:rPr>
        <w:t>.</w:t>
      </w:r>
    </w:p>
    <w:p w14:paraId="5A38E42E" w14:textId="77777777" w:rsidR="00AD4748" w:rsidRPr="00AD4748" w:rsidRDefault="00AD4748" w:rsidP="00AD4748">
      <w:pPr>
        <w:spacing w:line="720" w:lineRule="auto"/>
        <w:contextualSpacing/>
        <w:jc w:val="both"/>
        <w:rPr>
          <w:rFonts w:ascii="Arial" w:hAnsi="Arial" w:cs="Arial"/>
          <w:sz w:val="20"/>
          <w:szCs w:val="20"/>
        </w:rPr>
      </w:pPr>
    </w:p>
    <w:p w14:paraId="58ABB854" w14:textId="77777777" w:rsidR="00AD4748" w:rsidRPr="00AD4748" w:rsidRDefault="00AD4748" w:rsidP="00AD4748">
      <w:pPr>
        <w:spacing w:after="0" w:line="720" w:lineRule="auto"/>
        <w:contextualSpacing/>
        <w:jc w:val="both"/>
        <w:rPr>
          <w:rFonts w:ascii="Arial" w:hAnsi="Arial" w:cs="Arial"/>
          <w:b/>
          <w:sz w:val="20"/>
          <w:szCs w:val="20"/>
        </w:rPr>
      </w:pPr>
      <w:r w:rsidRPr="00AD4748">
        <w:rPr>
          <w:rFonts w:ascii="Arial" w:hAnsi="Arial" w:cs="Arial"/>
          <w:sz w:val="20"/>
          <w:szCs w:val="20"/>
        </w:rPr>
        <w:t xml:space="preserve">In urological practice a lot of questions remain on the impact of the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in the pathophysiology of urological diseases. A typical example is the pathogenesis of edema and its connection with nocturnal polyuria (NP). In patients with spinal cord lesions for example, a high incidence of NP linked with a high incidence of edema is found. However, the exact mechanism explaining both observations is unknown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{"citationItems":[{"id":"ITEM-1","itemData":{"DOI":"10.23736/S1973-9087.17.04851-1","ISSN":"19739095","abstract":"BACKGROUND: Little is known about the occurrence of nocturnal polyuria (NP) in spinal cord injured (SCI) patients and the definitions which are preferable in this population. AIM: To determine the occurrence of NP in SCI patients during in-patient rehabilitation in the Ghent University Hospital. To study the influence of different time periods (daytime, bed rest and sleep) on the accuracy of the existing diagnose definitions for NP specifically for this type of patients. DESIGN: Retrospective study using patient records. SETTING: SCI patients during hospital-based rehabilitation between 2011 and 2014. POPULATION: Seventy-four SCI patients were selected and their records of frequency-volume charts (FVC) were examined, after exclusion of unreliable data, forty-seven patients were retained for the current study. METHODS: Retrospective study using data from FVC of either two or three days from patients with SCI. Nocturnal urine production (NUP) and nocturnal polyuria index (NPi) were calculated. RESULTS: There was a significant increase in diuresis, calculated as urine production, between day time and bed rest (P=0.008) and between day time and sleep (P=0.001). All patients showed NP during a 12-hour night time period (including both bed rest and sleep) and 39 patients showed NP during the 8-hour period of sleep. There was no significant difference in mean urine production between bed rest and sleep. Prevalence of NP did not significantly differ between the complete or incomplete SCI patients or between patients with higher and lower SCI levels. CONCLUSIONS: This study showed that the occurrence of NP in patients with SCI is high and that it is important to consider which definitions of NP are used for diagnosis. Increase in diuresis is observed during bed rest and sleep and the diagnose is correctly estimated when nocturnal urine production definitions are used in both time periods. In accordance with what was expected, diagnose of NP was overestimated when NP index type definitions were used. CLINICAL REHABILITATION IMPACT: It is important to be aware of the frequent-occurrence of NP in SCI patients and the impact of their daily routine to the accuracy of the diagnosis of NP. More knowledge about this topic can help to avoid incontinence caused by nocturnal polyuria.","author":[{"dropping-particle":"","family":"Viaene","given":"Annick","non-dropping-particle":"","parse-names":false,"suffix":""},{"dropping-particle":"","family":"Denys","given":"Marie Astrid","non-dropping-particle":"","parse-names":false,"suffix":""},{"dropping-particle":"","family":"Goessaert","given":"An Sofie","non-dropping-particle":"","parse-names":false,"suffix":""},{"dropping-particle":"","family":"Claeys","given":"Jana","non-dropping-particle":"","parse-names":false,"suffix":""},{"dropping-particle":"","family":"Raes","given":"Ann","non-dropping-particle":"","parse-names":false,"suffix":""},{"dropping-particle":"","family":"Roggeman","given":"Saskia","non-dropping-particle":"","parse-names":false,"suffix":""},{"dropping-particle":"","family":"Everaert","given":"Karel","non-dropping-particle":"","parse-names":false,"suffix":""}],"container-title":"European Journal of Physical and Rehabilitation Medicine","id":"ITEM-1","issue":"1","issued":{"date-parts":[["2019","2","1"]]},"page":"40-46","publisher":"Edizioni Minerva Medica","title":"Evaluation of the occurrence and diagnose definitions for nocturnal polyuria in spinal cord injured patients during rehabilitation","type":"article-journal","volume":"55"},"uris":["http://www.mendeley.com/documents/?uuid=9d3b8724-2358-3a59-9eb4-360d46f04f83"]},{"id":"ITEM-2","itemData":{"DOI":"10.1111/bju.14672","ISSN":"1464410X","abstract":"Objectives: To evaluate the possible influence of non-pharmacological interventions, such as compressive bandages and intermittent pneumatic compression (IPC), on leg oedema and nocturnal polyuria (NP), and the possible interrelation between both pathologies in patients with spinal cord injury (SCI), as patients with SCI often have leg oedema and during the night the oedema decreases as a result of natural drainage mechanisms that can cause NP. Patients and Methods: Patients with SCI who followed their first rehabilitation after their SCI with bilateral leg oedema and/or with as much or a larger urine volume at night as during the day. The patients were all wheelchair users and followed the rehabilitation programme daily for 3 weeks. In all, 24 patients, aged between 21 and 63 years, were selected for participation in the 3-week rehabilitation programme. During the first week, baseline data were collected. During the second week, IPC was executed from the moment the patient went to lie down. During the third week, the patients wore multilayer compressive bandages. Leg circumference was measured in the morning before sitting up and at the moment they went to lie down in bed. During each study week, a daily frequency–volume chart (24 h) was completed. Results: The leg volume of both legs was significantly different between the morning and evening (right leg F = 103.90, P &lt; 0.001; left leg F = 100.77, P &lt; 0.001) and between the three treatments (right F = 9.70, P &lt; 0.001; left F = 9.66, P &lt; 0.001). There was a significant difference between the compressive bandages and the baseline period (right and left leg, both P &lt; 0.001) and between the compressive bandages and IPC (right leg P = 0.009 and left leg P = 0.015). There was no significant difference between IPC and the baseline. When no treatment or IPC was used, urine production was significantly higher during the bed-rest period. The urine production was significantly lower comparing the use of compressive bandages to baseline and IPC, during bed rest (P = 0.009) and during sleep (P &lt; 0.001). There was a significant decrease in absolute voided volume at night with the compressive bandages as treatment (P &lt; 0.001). There was a significant positive association between the leg volume change during the day and the urine-production ratio, 100 mL increase in leg volume was associated with 8% increase in the log-transformed urine-production ratio. Conclusion: There are alternative treatment options for patients…","author":[{"dropping-particle":"","family":"Viaene","given":"Annick","non-dropping-particle":"","parse-names":false,"suffix":""},{"dropping-particle":"","family":"Roggeman","given":"Saskia","non-dropping-particle":"","parse-names":false,"suffix":""},{"dropping-particle":"","family":"Goessaert","given":"An Sofie","non-dropping-particle":"","parse-names":false,"suffix":""},{"dropping-particle":"","family":"Kessler","given":"Thomas M.","non-dropping-particle":"","parse-names":false,"suffix":""},{"dropping-particle":"","family":"Mehnert","given":"Ulrich","non-dropping-particle":"","parse-names":false,"suffix":""},{"dropping-particle":"Van","family":"Besien","given":"Vickie","non-dropping-particle":"","parse-names":false,"suffix":""},{"dropping-particle":"","family":"Muynck","given":"Martine","non-dropping-particle":"De","parse-names":false,"suffix":""},{"dropping-particle":"","family":"Everaert","given":"Karel","non-dropping-particle":"","parse-names":false,"suffix":""}],"container-title":"BJU International","id":"ITEM-2","issue":"5","issued":{"date-parts":[["2019","5","1"]]},"page":"E43-E50","publisher":"Blackwell Publishing Ltd","title":"Conservative treatment for leg oedema and the effect on nocturnal polyuria in patients with spinal cord injury","type":"article-journal","volume":"123"},"uris":["http://www.mendeley.com/documents/?uuid=a25b0018-6729-3bd9-8147-05c03b207f2b"]}],"mendeley":{"formattedCitation":"[6,7]","plainTextFormattedCitation":"[6,7]","previouslyFormattedCitation":"[6,7]"},"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[6,7]</w:t>
      </w:r>
      <w:r w:rsidRPr="00AD4748">
        <w:rPr>
          <w:rFonts w:ascii="Arial" w:hAnsi="Arial" w:cs="Arial"/>
          <w:sz w:val="20"/>
          <w:szCs w:val="20"/>
        </w:rPr>
        <w:fldChar w:fldCharType="end"/>
      </w:r>
      <w:r w:rsidRPr="00AD4748">
        <w:rPr>
          <w:rFonts w:ascii="Arial" w:hAnsi="Arial" w:cs="Arial"/>
          <w:sz w:val="20"/>
          <w:szCs w:val="20"/>
        </w:rPr>
        <w:t xml:space="preserve">. </w:t>
      </w:r>
      <w:proofErr w:type="spellStart"/>
      <w:r w:rsidRPr="00AD4748">
        <w:rPr>
          <w:rFonts w:ascii="Arial" w:hAnsi="Arial" w:cs="Arial"/>
          <w:sz w:val="20"/>
          <w:szCs w:val="20"/>
        </w:rPr>
        <w:t>Torimoto</w:t>
      </w:r>
      <w:proofErr w:type="spellEnd"/>
      <w:r w:rsidRPr="00AD4748">
        <w:rPr>
          <w:rFonts w:ascii="Arial" w:hAnsi="Arial" w:cs="Arial"/>
          <w:sz w:val="20"/>
          <w:szCs w:val="20"/>
        </w:rPr>
        <w:t xml:space="preserve"> et al. found a higher incidence in edema during the evening in patients with NP compared to patients without NP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{"citationItems":[{"id":"ITEM-1","itemData":{"DOI":"10.1111/luts.12176","ISSN":"17575664","PMID":"28675633","abstract":"OBJECTIVE To investigate whether or not the leg fluid displacement observed when moving from the standing to recumbent position at bedtime reduces the hours of undisturbed sleep (HUS). METHODS Men aged 50 years or older who were hospitalized for urological diseases were investigated. Body water evaluation was performed three times with a bioelectric impedance method: (i) 17:00, (ii) 30 min after (short-term), and (iii) waking up (long-term). A frequency volume chart was used to evaluate the status of nocturnal urine production, and the factors affecting HUS were investigated. RESULTS A total of 50 patients (mean age: 68 years) were enrolled. Short-term changes in extracellular fluid (ECF in the legs showed a significant positive correlation with urine production per unit of time at the first nocturnal voiding (UFN/HUS) (r = 0.45, P = 0.01). In the comparison between patients who had &lt;3 HUS vs. those who had ≥3 HUS, the &lt;3 HUS group showed significantly greater short-term changes in leg fluid volume, night-time water intake (17:00-06:00), and UFN/HUS. Multivariate analysis to assess the risk factors for &lt;3 HUS indicated UFN/HUS as a risk factor in the overall model, and short-term changes in leg ECF and night-time water intake as risk factors in the model that only considered factors before sleep. CONCLUSIONS Nocturnal leg fluid displacement may increase urine production leading up to first voiding after going to bed, and consequently, induce early awakening after falling asleep.","author":[{"dropping-particle":"","family":"Kiba","given":"Keisuke","non-dropping-particle":"","parse-names":false,"suffix":""},{"dropping-particle":"","family":"Hirayama","given":"Akihide","non-dropping-particle":"","parse-names":false,"suffix":""},{"dropping-particle":"","family":"Yishikawa","given":"Motokiyo","non-dropping-particle":"","parse-names":false,"suffix":""},{"dropping-particle":"","family":"Yutaka","given":"Yamamotto","non-dropping-particle":"","parse-names":false,"suffix":""},{"dropping-particle":"","family":"Torimoto","given":"Kazumasa","non-dropping-particle":"","parse-names":false,"suffix":""},{"dropping-particle":"","family":"Nobutaka","given":"Shimizu","non-dropping-particle":"","parse-names":false,"suffix":""},{"dropping-particle":"","family":"Tanaka","given":"Nobumichi","non-dropping-particle":"","parse-names":false,"suffix":""},{"dropping-particle":"","family":"Fujimoto","given":"Kiyohide","non-dropping-particle":"","parse-names":false,"suffix":""},{"dropping-particle":"","family":"Uemura","given":"Hirotsugu","non-dropping-particle":"","parse-names":false,"suffix":""}],"container-title":"LUTS: Lower Urinary Tract Symptoms","id":"ITEM-1","issue":"3","issued":{"date-parts":[["2018","9"]]},"page":"253-258","title":"Increased Urine Production Due to Leg Fluid Displacement Reduces Hours of Undisturbed Sleep","type":"article-journal","volume":"10"},"uris":["http://www.mendeley.com/documents/?uuid=c3d7c403-9706-3525-b7b7-95bfc44b6979"]}],"mendeley":{"formattedCitation":"[8]","plainTextFormattedCitation":"[8]","previouslyFormattedCitation":"[8]"},"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[8]</w:t>
      </w:r>
      <w:r w:rsidRPr="00AD4748">
        <w:rPr>
          <w:rFonts w:ascii="Arial" w:hAnsi="Arial" w:cs="Arial"/>
          <w:sz w:val="20"/>
          <w:szCs w:val="20"/>
        </w:rPr>
        <w:fldChar w:fldCharType="end"/>
      </w:r>
      <w:r w:rsidRPr="00AD4748">
        <w:rPr>
          <w:rFonts w:ascii="Arial" w:hAnsi="Arial" w:cs="Arial"/>
          <w:sz w:val="20"/>
          <w:szCs w:val="20"/>
        </w:rPr>
        <w:t xml:space="preserve">. Probably, the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plays a crucial role in the pathogenesis, but this hypotheses has never been studied. </w:t>
      </w:r>
    </w:p>
    <w:p w14:paraId="4ECB5611" w14:textId="77777777" w:rsidR="00AD4748" w:rsidRPr="00AD4748" w:rsidRDefault="00AD4748" w:rsidP="00AD4748">
      <w:pPr>
        <w:spacing w:after="0" w:line="720" w:lineRule="auto"/>
        <w:contextualSpacing/>
        <w:jc w:val="both"/>
        <w:rPr>
          <w:rFonts w:ascii="Arial" w:hAnsi="Arial" w:cs="Arial"/>
          <w:sz w:val="20"/>
          <w:szCs w:val="20"/>
        </w:rPr>
      </w:pPr>
    </w:p>
    <w:p w14:paraId="69B1A510"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A direct way to quantify TBW is by using the principle of an isotopic pool dilution by a biological marker such as deuterated water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 xml:space="preserve">O)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{"citationItems":[{"id":"ITEM-1","itemData":{"DOI":"10.1046/j.1523-1755.2000.00180.x","ISSN":"00852538","abstract":"Background: Accurate measurement of nutritional status in patients with end-stage renal disease is important because of its clear association with prognosis. Total body water (TBW) has additionally been recently recognized as an independent prognostic value because of its relationship with hypertension and cardiac morbidity. The current study was designed to assess the utility of surrogate markers of nutritional state and TBW in patients with end-stage renal disease. Methods: Fifty-four patients with renal disease were studied. TBW obtained using the deuterium dilution technique was compared with estimates derived from anthropometric measures of TBW, including 58% body weight, Watson equations, and bioelectrical impedance analysis (BIA). Anthropometrically derived fat-free mass (FFM) was compared with BIA-derived estimates. Total body nitrogen (TBN) measurements were correlated with TBW estimates and BIA-derived resistance. Results: TBW was significantly underestimated by the Watson equation (mean difference, -1.751 L, P = 0.01) and the 58% body weight approximation significantly overestimated it (mean difference, 1.792 L, P = 0.04). The Kushner BIA estimation of TBW did not significantly differ from that of the gold standard determined from D2O dilution (mean difference, -1.221 L, P = 0.12) and was also the method that showed the best agreement with the D2O estimate. However, the limits of agreement were large. Accurate prediction equations for FFM (FFM = -21.768 + 0.001 x ht2 + 6630.669 x 1/R + 0.312 x wt, R2 = 0.95) and TBN (TBN = -668.324 - 3.963 x age + 10.133 x wt + 0.045 x ht2 + 32141.457 x 1/R, R2 = 0.91) were derived from BIA obtained resistance. Conclusions: The estimation of TBW varies significantly depending on the method of calculation. BIA is the most accurate surrogate marker for the measurement of both TBW and other parameters of body composition.","author":[{"dropping-particle":"","family":"Cooper","given":"Bruce A.","non-dropping-particle":"","parse-names":false,"suffix":""},{"dropping-particle":"","family":"Aslani","given":"Alireza","non-dropping-particle":"","parse-names":false,"suffix":""},{"dropping-particle":"","family":"Ryan","given":"Murielle","non-dropping-particle":"","parse-names":false,"suffix":""},{"dropping-particle":"","family":"Zhu","given":"Fiona Y.P.","non-dropping-particle":"","parse-names":false,"suffix":""},{"dropping-particle":"","family":"Ibels","given":"Lloyd S.","non-dropping-particle":"","parse-names":false,"suffix":""},{"dropping-particle":"","family":"Allen","given":"Barry J.","non-dropping-particle":"","parse-names":false,"suffix":""},{"dropping-particle":"","family":"Pollock","given":"Carol A.","non-dropping-particle":"","parse-names":false,"suffix":""}],"container-title":"Kidney International","id":"ITEM-1","issue":"1","issued":{"date-parts":[["2000"]]},"page":"408-416","title":"Comparing different methods of assessing body composition in end-stage renal failure","type":"article-journal","volume":"58"},"uris":["http://www.mendeley.com/documents/?uuid=fcf59933-7aef-3ae4-8b46-3a09c6c788c7"]},{"id":"ITEM-2","itemData":{"DOI":"10.5527/wjn.v7.i1.1","ISSN":"2220-6124","abstract":"The regulation of body fluid balance is a key concern in health and disease and comprises three concepts. The first concept pertains to the relationship between total body water (TBW) and total effective solute and is expressed in terms of the tonicity of the body fluids. Disturbances in tonicity are the main factor responsible for changes in cell volume, which can critically affect brain cell function and survival. Solutes distributed almost exclusively in the extracellular compartment (mainly sodium salts) and in the intracellular compartment (mainly potassium salts) contribute to tonicity, while solutes distributed in TBW have no effect on tonicity. The second body fluid balance concept relates to the regulation and measurement of abnormalities of sodium salt balance and extracellular volume. Estimation of extracellular volume is more complex and error prone than measurement of TBW. A key function of extracellular volume, which is defined as the effective arterial blood volume (EABV), is to ensure adequate perfusion of cells and organs. Other factors, including cardiac output, total and regional capacity of both arteries and veins, Starling forces in the capillaries, and gravity also affect the EABV. Collectively, these factors interact closely with extracellular volume and some of them undergo substantial changes in certain acute and chronic severe illnesses. Their changes result not only in extracellular volume expansion, but in the need for a larger extracellular volume compared with that of healthy individuals. Assessing extracellular volume in severe illness is challenging because the estimates of this volume by commonly used methods are prone to large errors in many illnesses. In addition, the optimal extracellular volume may vary from illness to illness, is only partially based on volume measurements by traditional methods, and has not been determined for each illness. Further research is needed to determine optimal extracellular volume levels in several illnesses. For these reasons, extracellular volume in severe illness merits a separate third concept of body fluid balance.","author":[{"dropping-particle":"","family":"Roumelioti","given":"Maria-Eleni","non-dropping-particle":"","parse-names":false,"suffix":""},{"dropping-particle":"","family":"Glew","given":"Robert H","non-dropping-particle":"","parse-names":false,"suffix":""},{"dropping-particle":"","family":"Khitan","given":"Zeid J","non-dropping-particle":"","parse-names":false,"suffix":""},{"dropping-particle":"","family":"Rondon-Berrios","given":"Helbert","non-dropping-particle":"","parse-names":false,"suffix":""},{"dropping-particle":"","family":"Argyropoulos","given":"Christos P","non-dropping-particle":"","parse-names":false,"suffix":""},{"dropping-particle":"","family":"Malhotra","given":"Deepak","non-dropping-particle":"","parse-names":false,"suffix":""},{"dropping-particle":"","family":"Raj","given":"Dominic S","non-dropping-particle":"","parse-names":false,"suffix":""},{"dropping-particle":"","family":"Agaba","given":"Emmanuel I","non-dropping-particle":"","parse-names":false,"suffix":""},{"dropping-particle":"","family":"Rohrscheib","given":"Mark","non-dropping-particle":"","parse-names":false,"suffix":""},{"dropping-particle":"","family":"Murata","given":"Glen H","non-dropping-particle":"","parse-names":false,"suffix":""},{"dropping-particle":"","family":"Shapiro","given":"Joseph I","non-dropping-particle":"","parse-names":false,"suffix":""},{"dropping-particle":"","family":"Tzamaloukas","given":"Antonios H","non-dropping-particle":"","parse-names":false,"suffix":""}],"container-title":"World Journal of Nephrology","id":"ITEM-2","issue":"1","issued":{"date-parts":[["2018","1","6"]]},"page":"1-28","publisher":"Baishideng Publishing Group Inc.","title":"Fluid balance concepts in medicine: Principles and practice","type":"article-journal","volume":"7"},"uris":["http://www.mendeley.com/documents/?uuid=0aaa3152-f505-3bb0-9851-edabab7d46de"]}],"mendeley":{"formattedCitation":"[9,10]","plainTextFormattedCitation":"[9,10]","previouslyFormattedCitation":"[9,10]"},"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[9,10]</w:t>
      </w:r>
      <w:r w:rsidRPr="00AD4748">
        <w:rPr>
          <w:rFonts w:ascii="Arial" w:hAnsi="Arial" w:cs="Arial"/>
          <w:sz w:val="20"/>
          <w:szCs w:val="20"/>
        </w:rPr>
        <w:fldChar w:fldCharType="end"/>
      </w:r>
      <w:r w:rsidRPr="00AD4748">
        <w:rPr>
          <w:rFonts w:ascii="Arial" w:hAnsi="Arial" w:cs="Arial"/>
          <w:sz w:val="20"/>
          <w:szCs w:val="20"/>
        </w:rPr>
        <w:t>. Deuterium (</w:t>
      </w:r>
      <w:r w:rsidRPr="00AD4748">
        <w:rPr>
          <w:rFonts w:ascii="Arial" w:hAnsi="Arial" w:cs="Arial"/>
          <w:sz w:val="20"/>
          <w:szCs w:val="20"/>
          <w:vertAlign w:val="superscript"/>
        </w:rPr>
        <w:t>2</w:t>
      </w:r>
      <w:r w:rsidRPr="00AD4748">
        <w:rPr>
          <w:rFonts w:ascii="Arial" w:hAnsi="Arial" w:cs="Arial"/>
          <w:sz w:val="20"/>
          <w:szCs w:val="20"/>
        </w:rPr>
        <w:t xml:space="preserve">H) is a, stable isotope of hydrogen that distinguishes itself </w:t>
      </w:r>
      <w:r w:rsidRPr="00AD4748">
        <w:rPr>
          <w:rFonts w:ascii="Arial" w:hAnsi="Arial" w:cs="Arial"/>
          <w:sz w:val="20"/>
          <w:szCs w:val="20"/>
        </w:rPr>
        <w:lastRenderedPageBreak/>
        <w:t>by an extra neutron in the nucleus compared to the more common isotope (99.985%) protium (</w:t>
      </w:r>
      <w:r w:rsidRPr="00AD4748">
        <w:rPr>
          <w:rFonts w:ascii="Arial" w:hAnsi="Arial" w:cs="Arial"/>
          <w:sz w:val="20"/>
          <w:szCs w:val="20"/>
          <w:vertAlign w:val="superscript"/>
        </w:rPr>
        <w:t>1</w:t>
      </w:r>
      <w:r w:rsidRPr="00AD4748">
        <w:rPr>
          <w:rFonts w:ascii="Arial" w:hAnsi="Arial" w:cs="Arial"/>
          <w:sz w:val="20"/>
          <w:szCs w:val="20"/>
        </w:rPr>
        <w:t xml:space="preserve">H). The natural abundance of </w:t>
      </w:r>
      <w:r w:rsidRPr="00AD4748">
        <w:rPr>
          <w:rFonts w:ascii="Arial" w:hAnsi="Arial" w:cs="Arial"/>
          <w:sz w:val="20"/>
          <w:szCs w:val="20"/>
          <w:vertAlign w:val="superscript"/>
        </w:rPr>
        <w:t>2</w:t>
      </w:r>
      <w:r w:rsidRPr="00AD4748">
        <w:rPr>
          <w:rFonts w:ascii="Arial" w:hAnsi="Arial" w:cs="Arial"/>
          <w:sz w:val="20"/>
          <w:szCs w:val="20"/>
        </w:rPr>
        <w:t xml:space="preserve">H in our environment is 0.015 %, which causes a baseline concentration of this isotope in the human body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{"citationItems":[{"id":"ITEM-1","itemData":{"DOI":"10.1080/10256016.2017.1281806","ISSN":"1477-2639","PMID":"28165769","abstract":"The main aim goal of this review was to gather information about recent publications related to deuterium oxide (D2O), and its use as a scientific tool related to human health. Searches were made in electronic databases Pubmed, Scielo, Lilacs, Medline and Cochrane. Moreover, the following patent databases were consulted: EPO (Espacenet patent search), USPTO (United States Patent and Trademark Office) and Google Patents, which cover researches worldwide related to innovations using D2O.","author":[{"dropping-particle":"","family":"Bila","given":"Wendell Costa","non-dropping-particle":"","parse-names":false,"suffix":""},{"dropping-particle":"","family":"Mariano","given":"Reysla Maria da Silveira","non-dropping-particle":"","parse-names":false,"suffix":""},{"dropping-particle":"","family":"Silva","given":"Valmin Ramos","non-dropping-particle":"","parse-names":false,"suffix":""},{"dropping-particle":"","family":"Santos","given":"Maria Emília Soares Martins","non-dropping-particle":"Dos","parse-names":false,"suffix":""},{"dropping-particle":"","family":"Lamounier","given":"Joel Alves","non-dropping-particle":"","parse-names":false,"suffix":""},{"dropping-particle":"","family":"Ferriolli","given":"Eduardo","non-dropping-particle":"","parse-names":false,"suffix":""},{"dropping-particle":"","family":"Galdino","given":"Alexsandro Sobreira","non-dropping-particle":"","parse-names":false,"suffix":""}],"container-title":"Isotopes in environmental and health studies","id":"ITEM-1","issue":"4","issued":{"date-parts":[["2017","8"]]},"page":"327-343","title":"Applications of deuterium oxide in human health.","type":"article-journal","volume":"53"},"uris":["http://www.mendeley.com/documents/?uuid=bcde009b-75b1-30db-a7e9-186b8c77fd71"]}],"mendeley":{"formattedCitation":"[11]","plainTextFormattedCitation":"[11]","previouslyFormattedCitation":"[11]"},"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[11]</w:t>
      </w:r>
      <w:r w:rsidRPr="00AD4748">
        <w:rPr>
          <w:rFonts w:ascii="Arial" w:hAnsi="Arial" w:cs="Arial"/>
          <w:sz w:val="20"/>
          <w:szCs w:val="20"/>
        </w:rPr>
        <w:fldChar w:fldCharType="end"/>
      </w:r>
      <w:r w:rsidRPr="00AD4748">
        <w:rPr>
          <w:rFonts w:ascii="Arial" w:hAnsi="Arial" w:cs="Arial"/>
          <w:sz w:val="20"/>
          <w:szCs w:val="20"/>
        </w:rPr>
        <w:t xml:space="preserve">. </w:t>
      </w:r>
      <w:bookmarkStart w:id="0" w:name="_Hlk63282992"/>
      <w:r w:rsidRPr="00AD4748">
        <w:rPr>
          <w:rFonts w:ascii="Arial" w:hAnsi="Arial" w:cs="Arial"/>
          <w:sz w:val="20"/>
          <w:szCs w:val="20"/>
        </w:rPr>
        <w:t xml:space="preserve">In humans,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 xml:space="preserve">O is mostly used in metabolic studies, to determine TBW, to control food intake, for determination of the hydration or nutrition status or as a marker in deuterium NMR spectrometry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{"citationItems":[{"id":"ITEM-1","itemData":{"DOI":"10.1080/10256016.2017.1281806","ISSN":"1477-2639","PMID":"28165769","abstract":"The main aim goal of this review was to gather information about recent publications related to deuterium oxide (D2O), and its use as a scientific tool related to human health. Searches were made in electronic databases Pubmed, Scielo, Lilacs, Medline and Cochrane. Moreover, the following patent databases were consulted: EPO (Espacenet patent search), USPTO (United States Patent and Trademark Office) and Google Patents, which cover researches worldwide related to innovations using D2O.","author":[{"dropping-particle":"","family":"Bila","given":"Wendell Costa","non-dropping-particle":"","parse-names":false,"suffix":""},{"dropping-particle":"","family":"Mariano","given":"Reysla Maria da Silveira","non-dropping-particle":"","parse-names":false,"suffix":""},{"dropping-particle":"","family":"Silva","given":"Valmin Ramos","non-dropping-particle":"","parse-names":false,"suffix":""},{"dropping-particle":"","family":"Santos","given":"Maria Emília Soares Martins","non-dropping-particle":"Dos","parse-names":false,"suffix":""},{"dropping-particle":"","family":"Lamounier","given":"Joel Alves","non-dropping-particle":"","parse-names":false,"suffix":""},{"dropping-particle":"","family":"Ferriolli","given":"Eduardo","non-dropping-particle":"","parse-names":false,"suffix":""},{"dropping-particle":"","family":"Galdino","given":"Alexsandro Sobreira","non-dropping-particle":"","parse-names":false,"suffix":""}],"container-title":"Isotopes in environmental and health studies","id":"ITEM-1","issue":"4","issued":{"date-parts":[["2017","8"]]},"page":"327-343","title":"Applications of deuterium oxide in human health.","type":"article-journal","volume":"53"},"uris":["http://www.mendeley.com/documents/?uuid=bcde009b-75b1-30db-a7e9-186b8c77fd71"]},{"id":"ITEM-2","itemData":{"DOI":"10.1002/prca.201400038","ISSN":"18628354","abstract":"Purpose: High-throughput quantification of human protein turnover via in vivo administration of deuterium oxide (&lt;sup&gt;2&lt;/sup&gt;H&lt;inf&gt;2&lt;/inf&gt;O) is a powerful new approach to examine potential disease mechanisms. Its immediate clinical translation is contingent upon characterizations of the safety and hemodynamic effects of in vivo administration of &lt;sup&gt;2&lt;/sup&gt;H&lt;inf&gt;2&lt;/inf&gt;O to human subjects. Experimental design: We recruited ten healthy human subjects with a broad demographic variety to evaluate the safety, feasibility, efficacy, and reproducibility of &lt;sup&gt;2&lt;/sup&gt;H&lt;inf&gt;2&lt;/inf&gt;O intake for studying protein dynamics. We designed a protocol where each subject orally consumed weight-adjusted doses of 70% &lt;sup&gt;2&lt;/sup&gt;H&lt;inf&gt;2&lt;/inf&gt;O daily for 14 days to enrich body water and proteins with deuterium. Plasma proteome dynamics was measured using a high-resolution MS method we recently developed. Results: This protocol was successfully applied in ten human subjects to characterize the endogenous turnover rates of 542 human plasma proteins, the largest such human dataset to-date. Throughout the study, we did not detect physiological effects or signs of discomfort from &lt;sup&gt;2&lt;/sup&gt;H&lt;inf&gt;2&lt;/inf&gt;O consumption. Conclusions and clinical relevance: Our investigation supports the utility of a &lt;sup&gt;2&lt;/sup&gt;H&lt;inf&gt;2&lt;/inf&gt;O intake protocol that is safe, accessible, and effective for clinical investigations of large-scale human protein turnover dynamics. This workflow shows promising clinical translational value for examining plasma protein dynamics in human diseases. © 2014 WILEY-VCH Verlag GmbH &amp; Co. KGaA, Weinheim.","author":[{"dropping-particle":"","family":"Wang","given":"Ding","non-dropping-particle":"","parse-names":false,"suffix":""},{"dropping-particle":"","family":"Liem","given":"David A.","non-dropping-particle":"","parse-names":false,"suffix":""},{"dropping-particle":"","family":"Lau","given":"Edward","non-dropping-particle":"","parse-names":false,"suffix":""},{"dropping-particle":"","family":"Ng","given":"Dominic C.M.","non-dropping-particle":"","parse-names":false,"suffix":""},{"dropping-particle":"","family":"Bleakley","given":"Brian J.","non-dropping-particle":"","parse-names":false,"suffix":""},{"dropping-particle":"","family":"Cadeiras","given":"Martin","non-dropping-particle":"","parse-names":false,"suffix":""},{"dropping-particle":"","family":"Deng","given":"Mario C.","non-dropping-particle":"","parse-names":false,"suffix":""},{"dropping-particle":"","family":"Lam","given":"Maggie P.Y.","non-dropping-particle":"","parse-names":false,"suffix":""},{"dropping-particle":"","family":"Ping","given":"Peipei","non-dropping-particle":"","parse-names":false,"suffix":""}],"container-title":"Proteomics - Clinical Applications","id":"ITEM-2","issue":"7-8","issued":{"date-parts":[["2014"]]},"page":"610-619","publisher":"Wiley-VCH Verlag","title":"Characterization of human plasma proteome dynamics using deuterium oxide","type":"article-journal","volume":"8"},"uris":["http://www.mendeley.com/documents/?uuid=49339680-7ee4-32df-8f82-e3193e0111e6"]}],"mendeley":{"formattedCitation":"[11,12]","plainTextFormattedCitation":"[11,12]","previouslyFormattedCitation":"[11,12]"},"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[11,12]</w:t>
      </w:r>
      <w:r w:rsidRPr="00AD4748">
        <w:rPr>
          <w:rFonts w:ascii="Arial" w:hAnsi="Arial" w:cs="Arial"/>
          <w:sz w:val="20"/>
          <w:szCs w:val="20"/>
        </w:rPr>
        <w:fldChar w:fldCharType="end"/>
      </w:r>
      <w:r w:rsidRPr="00AD4748">
        <w:rPr>
          <w:rFonts w:ascii="Arial" w:hAnsi="Arial" w:cs="Arial"/>
          <w:sz w:val="20"/>
          <w:szCs w:val="20"/>
        </w:rPr>
        <w:t xml:space="preserve">. </w:t>
      </w:r>
      <w:bookmarkEnd w:id="0"/>
    </w:p>
    <w:p w14:paraId="5F163D50" w14:textId="77777777" w:rsidR="00AD4748" w:rsidRPr="00AD4748" w:rsidRDefault="00AD4748" w:rsidP="00AD4748">
      <w:pPr>
        <w:spacing w:after="0" w:line="720" w:lineRule="auto"/>
        <w:contextualSpacing/>
        <w:jc w:val="both"/>
        <w:rPr>
          <w:rFonts w:ascii="Arial" w:hAnsi="Arial" w:cs="Arial"/>
          <w:sz w:val="20"/>
          <w:szCs w:val="20"/>
        </w:rPr>
      </w:pPr>
    </w:p>
    <w:p w14:paraId="733B127B"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The TBW can also be measured by the use of Bio-Impedance Analysis (BIA), which is a non-invasive assessment, commonly used to observe volume status and body composition of dialysis patients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{"citationItems":[{"id":"ITEM-1","itemData":{"DOI":"10.3346/jkms.2017.32.11.1828","ISSN":"15986357","abstract":"Adequate fluid management is an important therapeutic goal of dialysis. Recently, bioelectrical impedance methods have been used to determine body fluid status, but pediatric reports are rare. To determine the accuracy of bioelectrical impedance methods in the assessment of body fluid statusof children undergoing hemodialysis (HD), 12 children on HD were studied. A multi-frequency bioimpedance analysis device (Inbody S10) and bioimpedance spectroscopy device (BCM) were used to evaluate fluid status. Fluid removal during a HD session (assessed as body-weight change, ΔBWt) was compared with the difference in total body water determined by each device (measured fluid difference, ΔMF), which showed strong correlation using either method (Pearson's coefficient, r = 0.772 with Inbody S10 vs. 0.799 with BCM). Bioimpedance measurement indicated fluid overload (FO; ΔHS greater than 7%) in 34.8% with Inbody S10 and 56.5% with BCM, and only about 60% of children with FO by bioimpedance methods showed clinical symptoms such as hypertension and edema. In some patients with larger weight gain Inbody S10-assessed overhydration (OH) was much smaller than BCM-assessed OH, suggesting that BCM is more relevant in estimating fluid accumulation amount than Inbody S10. To our knowledge, this is the first report on the use of body composition monitors to assess fluid status in Korean children receiving HD.","author":[{"dropping-particle":"","family":"Yang","given":"Eun Mi","non-dropping-particle":"","parse-names":false,"suffix":""},{"dropping-particle":"","family":"Park","given":"Eujin","non-dropping-particle":"","parse-names":false,"suffix":""},{"dropping-particle":"","family":"Ahn","given":"Yo Han","non-dropping-particle":"","parse-names":false,"suffix":""},{"dropping-particle":"","family":"Choi","given":"Hyun Jin","non-dropping-particle":"","parse-names":false,"suffix":""},{"dropping-particle":"","family":"Kang","given":"Hee Gyung","non-dropping-particle":"","parse-names":false,"suffix":""},{"dropping-particle":"Il","family":"Cheong","given":"Hae","non-dropping-particle":"","parse-names":false,"suffix":""},{"dropping-particle":"","family":"Ha","given":"Il Soo","non-dropping-particle":"","parse-names":false,"suffix":""}],"container-title":"Journal of Korean Medical Science","id":"ITEM-1","issue":"11","issued":{"date-parts":[["2017","11","1"]]},"page":"1828-1834","publisher":"Korean Academy of Medical Science","title":"Measurement of fluid status using bioimpedance methods in Korean pediatric patients on hemodialysis","type":"article-journal","volume":"32"},"uris":["http://www.mendeley.com/documents/?uuid=879635a6-5a14-35ec-80de-c22367a3b225"]},{"id":"ITEM-2","itemData":{"DOI":"10.1038/ki.2014.207","ISSN":"15231755","abstract":"Bioimpedance analysis (BIA) derives two main pieces of information - total tissue fluid content, which when referring to the whole patient is equivalent to the total body water (TBW), and cell mass, which in the limbs mainly reflects muscle. The relationship between these measures, expressed in different ways, is abnormal in dialysis patients due to muscle wasting combined with tissue overhydration. In both dialysis modalities this is associated with aging, comorbidity, and inflammation, and there is a conflict between achieving euvolemia to improve blood pressure control and prevent left ventricular hypertrophy on one hand, but risking episodes of hypovolemia and loss of residual renal function on the other. In peritoneal dialysis, the situation is exacerbated by hypoalbuminemia, whereas in hemodialysis BIA is unable to distinguish between the plasma volume and tissue edema components of interdialytic weight gain. In longitudinal studies BIA can identify changes in hydration following a defined intervention, and spontaneous loss in TBW consequent on muscle wasting not appreciated clinically, resulting in a failure to sufficiently reduce the dry weight. Cardiac biomarkers provide additional information but it is not clear whether this reflects fluid status or underlying structural organ damage. Intervention studies are now needed that show how this information is best used to improve patient outcomes, including meaningful end points such as hospitalization and survival. © 2014 International Society of Nephrology.","author":[{"dropping-particle":"","family":"Davies","given":"Simon J.","non-dropping-particle":"","parse-names":false,"suffix":""},{"dropping-particle":"","family":"Davenport","given":"Andrew","non-dropping-particle":"","parse-names":false,"suffix":""}],"container-title":"Kidney International","id":"ITEM-2","issue":"3","issued":{"date-parts":[["2014"]]},"page":"489-496","publisher":"Nature Publishing Group","title":"The role of bioimpedance and biomarkers in helping to aid clinical decision-making of volume assessments in dialysis patients","type":"article","volume":"86"},"uris":["http://www.mendeley.com/documents/?uuid=57d0cba6-0341-3ba0-acce-044909e5b760"]}],"mendeley":{"formattedCitation":"[13,14]","plainTextFormattedCitation":"[13,14]","previouslyFormattedCitation":"[13,14]"},"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[13,14]</w:t>
      </w:r>
      <w:r w:rsidRPr="00AD4748">
        <w:rPr>
          <w:rFonts w:ascii="Arial" w:hAnsi="Arial" w:cs="Arial"/>
          <w:sz w:val="20"/>
          <w:szCs w:val="20"/>
        </w:rPr>
        <w:fldChar w:fldCharType="end"/>
      </w:r>
      <w:r w:rsidRPr="00AD4748">
        <w:rPr>
          <w:rFonts w:ascii="Arial" w:hAnsi="Arial" w:cs="Arial"/>
          <w:sz w:val="20"/>
          <w:szCs w:val="20"/>
        </w:rPr>
        <w:t xml:space="preserve">. BIA is based on measuring impedance (Ω), calculated as the sum of resistance and reactance, after conducting a low-amplitude, high frequency alternating electrical current trough the body. Resistance is linked with the diameter, length and composition of the material, whereas reactance is the capacity of a medium to maintain, store and interact with the electrical current. Typically, resistance and thus impedance are low in fluid containing tissues such as blood, urine and muscle cells, and high in fat and bone tissue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{"citationItems":[{"id":"ITEM-1","itemData":{"DOI":"10.1152/jappl.1998.84.1.257","ISSN":"8750-7587","abstract":"&lt;p&gt; Baumgartner, Richard N., Robert Ross, and Steven B. Heymsfield. Does adipose tissue influence bioelectric impedance in obese men and women? J. Appl. Physiol.84(1): 257–262, 1998.—Bioelectric-impedance analysis overestimates fat-free mass in obese people. No clear hypotheses have been presented or tested that explain this effect. This study tested the hypothesis that adipose tissue affects measurements of resistance by using data for whole body and body segment resistance and by using muscle, adipose tissue, and bone volumes from magnetic resonance imaging for 86 overweight and obese men and women (body mass index &amp;gt;27 kg/m &lt;sup&gt;2&lt;/sup&gt; ; age 38.5 ± 10.2 yr). In multiple-regression analysis, muscle volumes had strong associations with resistance, confirming that the electric currents are conducted primarily in the lean soft tissues. Subcutaneous adipose tissue had a slight but statistically significant effect in women, primarily for the leg, suggesting that adipose tissue can affect measured resistance when the volume of adipose tissue is greater than muscle volume, as may occur in obese women in particular. This resulted in a slight overestimation of fat-free mass (e.g., +3 kg) when a bioelectric- impedance-analysis equation calibrated for nonobese female subjects was applied. &lt;/p&gt;","author":[{"dropping-particle":"","family":"Baumgartner","given":"Richard N.","non-dropping-particle":"","parse-names":false,"suffix":""},{"dropping-particle":"","family":"Ross","given":"Robert","non-dropping-particle":"","parse-names":false,"suffix":""},{"dropping-particle":"","family":"Heymsfield","given":"Steven B.","non-dropping-particle":"","parse-names":false,"suffix":""}],"container-title":"Journal of Applied Physiology","id":"ITEM-1","issue":"1","issued":{"date-parts":[["1998","1","1"]]},"page":"257-262","publisher":"American Physiological Society","title":"Does adipose tissue influence bioelectric impedance in obese men and women?","type":"article-journal","volume":"84"},"uris":["http://www.mendeley.com/documents/?uuid=4cc03210-b1c8-3075-aa1d-bd6ade56faca"]}],"mendeley":{"formattedCitation":"[15]","plainTextFormattedCitation":"[15]","previouslyFormattedCitation":"[15]"},"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[15]</w:t>
      </w:r>
      <w:r w:rsidRPr="00AD4748">
        <w:rPr>
          <w:rFonts w:ascii="Arial" w:hAnsi="Arial" w:cs="Arial"/>
          <w:sz w:val="20"/>
          <w:szCs w:val="20"/>
        </w:rPr>
        <w:fldChar w:fldCharType="end"/>
      </w:r>
      <w:r w:rsidRPr="00AD4748">
        <w:rPr>
          <w:rFonts w:ascii="Arial" w:hAnsi="Arial" w:cs="Arial"/>
          <w:sz w:val="20"/>
          <w:szCs w:val="20"/>
        </w:rPr>
        <w:t xml:space="preserve">. In the human body, reactance can be interpret as the electrical current across the cellular membranes. However, at a low electrical frequency (1 kHz), the electrical current is not capable of penetrating this cellular membrane, resulting in the conduction trough the ECF alone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{"citationItems":[{"id":"ITEM-1","itemData":{"URL":"https://pubmed.ncbi.nlm.nih.gov/8780358-clinical-characteristics-influencing-bioelectrical-impedance-analysis-measurements/","accessed":{"date-parts":[["2020","3","3"]]},"author":[{"dropping-particle":"","family":"Robert F Kushner, Rani Gudivaka","given":"Dale A Schoeller","non-dropping-particle":"","parse-names":false,"suffix":""}],"id":"ITEM-1","issued":{"date-parts":[["0"]]},"title":"Clinical Characteristics Influencing Bioelectrical Impedance Analysis Measurements - PubMed","type":"webpage"},"uris":["http://www.mendeley.com/documents/?uuid=c0de4aae-2705-3300-b53b-f967313f709d"]}],"mendeley":{"formattedCitation":"[16]","plainTextFormattedCitation":"[16]","previouslyFormattedCitation":"[16]"},"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[16]</w:t>
      </w:r>
      <w:r w:rsidRPr="00AD4748">
        <w:rPr>
          <w:rFonts w:ascii="Arial" w:hAnsi="Arial" w:cs="Arial"/>
          <w:sz w:val="20"/>
          <w:szCs w:val="20"/>
        </w:rPr>
        <w:fldChar w:fldCharType="end"/>
      </w:r>
      <w:r w:rsidRPr="00AD4748">
        <w:rPr>
          <w:rFonts w:ascii="Arial" w:hAnsi="Arial" w:cs="Arial"/>
          <w:sz w:val="20"/>
          <w:szCs w:val="20"/>
        </w:rPr>
        <w:t xml:space="preserve">. </w:t>
      </w:r>
    </w:p>
    <w:p w14:paraId="3C40F284" w14:textId="77777777" w:rsidR="00AD4748" w:rsidRPr="00AD4748" w:rsidRDefault="00AD4748" w:rsidP="00AD4748">
      <w:pPr>
        <w:spacing w:after="0" w:line="720" w:lineRule="auto"/>
        <w:contextualSpacing/>
        <w:jc w:val="both"/>
        <w:rPr>
          <w:rFonts w:ascii="Arial" w:hAnsi="Arial" w:cs="Arial"/>
          <w:sz w:val="20"/>
          <w:szCs w:val="20"/>
        </w:rPr>
      </w:pPr>
    </w:p>
    <w:p w14:paraId="22A49948" w14:textId="77777777" w:rsidR="00AD4748" w:rsidRPr="00AD4748" w:rsidRDefault="00AD4748" w:rsidP="00AD4748">
      <w:pPr>
        <w:spacing w:after="0" w:line="720" w:lineRule="auto"/>
        <w:contextualSpacing/>
        <w:jc w:val="both"/>
        <w:rPr>
          <w:rFonts w:ascii="Arial" w:hAnsi="Arial" w:cs="Arial"/>
          <w:sz w:val="20"/>
          <w:szCs w:val="20"/>
        </w:rPr>
      </w:pPr>
      <w:bookmarkStart w:id="1" w:name="_Hlk63603088"/>
      <w:r w:rsidRPr="00AD4748">
        <w:rPr>
          <w:rFonts w:ascii="Arial" w:hAnsi="Arial" w:cs="Arial"/>
          <w:sz w:val="20"/>
          <w:szCs w:val="20"/>
        </w:rPr>
        <w:t xml:space="preserve">The aim of this pilot was to study how body water (BW) behaves between the different internal water pools of the human body, what the role and influence of the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is and what the effect is of body position </w:t>
      </w:r>
      <w:r w:rsidRPr="00AD4748">
        <w:rPr>
          <w:rFonts w:ascii="Arial" w:hAnsi="Arial" w:cs="Arial"/>
          <w:sz w:val="20"/>
          <w:szCs w:val="20"/>
        </w:rPr>
        <w:lastRenderedPageBreak/>
        <w:t>on the distribution and allocation of BW between different body parts (trunk, legs, arms). To study this, 2 techniques that have not been used before in urological research were tested on their usefulness:</w:t>
      </w:r>
    </w:p>
    <w:bookmarkEnd w:id="1"/>
    <w:p w14:paraId="1F992524" w14:textId="77777777" w:rsidR="00AD4748" w:rsidRPr="00AD4748" w:rsidRDefault="00AD4748" w:rsidP="00AD4748">
      <w:pPr>
        <w:spacing w:after="0" w:line="720" w:lineRule="auto"/>
        <w:contextualSpacing/>
        <w:jc w:val="both"/>
        <w:rPr>
          <w:rFonts w:ascii="Arial" w:hAnsi="Arial" w:cs="Arial"/>
          <w:sz w:val="20"/>
          <w:szCs w:val="20"/>
        </w:rPr>
      </w:pPr>
    </w:p>
    <w:p w14:paraId="5132A294" w14:textId="77777777" w:rsidR="00AD4748" w:rsidRPr="00AD4748" w:rsidRDefault="00AD4748" w:rsidP="00AD4748">
      <w:pPr>
        <w:pStyle w:val="Lijstalinea"/>
        <w:numPr>
          <w:ilvl w:val="0"/>
          <w:numId w:val="2"/>
        </w:numPr>
        <w:spacing w:after="0" w:line="720" w:lineRule="auto"/>
        <w:jc w:val="both"/>
        <w:rPr>
          <w:rFonts w:ascii="Arial" w:hAnsi="Arial" w:cs="Arial"/>
          <w:sz w:val="20"/>
          <w:szCs w:val="20"/>
        </w:rPr>
      </w:pPr>
      <w:r w:rsidRPr="00AD4748">
        <w:rPr>
          <w:rFonts w:ascii="Arial" w:hAnsi="Arial" w:cs="Arial"/>
          <w:sz w:val="20"/>
          <w:szCs w:val="20"/>
        </w:rPr>
        <w:t xml:space="preserve">The first technique is a recent BIA device, which distinguishes itself from earlier devices by measuring impedance at different electrical currencies in different body parts (arm/limb/trunk). This technique made it possible to observe the influence of body position on the distribution of BW in these body compartments. Rationale for this research question is mainly the link between NP and edema that was found in earlier research </w:t>
      </w:r>
      <w:r w:rsidRPr="00AD4748">
        <w:rPr>
          <w:rFonts w:ascii="Arial" w:eastAsia="Times New Roman" w:hAnsi="Arial" w:cs="Arial"/>
          <w:color w:val="222222"/>
          <w:sz w:val="20"/>
          <w:szCs w:val="20"/>
          <w:lang w:val="en"/>
        </w:rPr>
        <w:t xml:space="preserve">and the fact that body position seemed to have an impact on the size of edema. </w:t>
      </w:r>
      <w:r w:rsidRPr="00AD4748">
        <w:rPr>
          <w:rFonts w:ascii="Arial" w:eastAsia="Times New Roman" w:hAnsi="Arial" w:cs="Arial"/>
          <w:sz w:val="20"/>
          <w:szCs w:val="20"/>
          <w:lang w:val="en"/>
        </w:rPr>
        <w:t xml:space="preserve">For this reason, it can be suggested that body position and thus edema will have an impact on whether or not NP occurs. </w:t>
      </w:r>
    </w:p>
    <w:p w14:paraId="1E93F311" w14:textId="77777777" w:rsidR="00AD4748" w:rsidRPr="00AD4748" w:rsidRDefault="00AD4748" w:rsidP="00AD4748">
      <w:pPr>
        <w:pStyle w:val="Lijstalinea"/>
        <w:numPr>
          <w:ilvl w:val="0"/>
          <w:numId w:val="2"/>
        </w:numPr>
        <w:spacing w:after="0" w:line="720" w:lineRule="auto"/>
        <w:ind w:left="714" w:hanging="357"/>
        <w:jc w:val="both"/>
        <w:rPr>
          <w:rFonts w:ascii="Arial" w:hAnsi="Arial" w:cs="Arial"/>
          <w:sz w:val="20"/>
          <w:szCs w:val="20"/>
        </w:rPr>
      </w:pPr>
      <w:r w:rsidRPr="00AD4748">
        <w:rPr>
          <w:rFonts w:ascii="Arial" w:eastAsia="Times New Roman" w:hAnsi="Arial" w:cs="Arial"/>
          <w:sz w:val="20"/>
          <w:szCs w:val="20"/>
          <w:lang w:val="en"/>
        </w:rPr>
        <w:t xml:space="preserve">The second technique uses deuterium as a biological marker. With this technique the distribution, storage, allocation and excretion of BW was examined among the urological most relevant water pools (blood, urine and </w:t>
      </w:r>
      <w:proofErr w:type="spellStart"/>
      <w:r w:rsidRPr="00AD4748">
        <w:rPr>
          <w:rFonts w:ascii="Arial" w:eastAsia="Times New Roman" w:hAnsi="Arial" w:cs="Arial"/>
          <w:sz w:val="20"/>
          <w:szCs w:val="20"/>
          <w:lang w:val="en"/>
        </w:rPr>
        <w:t>interstitium</w:t>
      </w:r>
      <w:proofErr w:type="spellEnd"/>
      <w:r w:rsidRPr="00AD4748">
        <w:rPr>
          <w:rFonts w:ascii="Arial" w:eastAsia="Times New Roman" w:hAnsi="Arial" w:cs="Arial"/>
          <w:sz w:val="20"/>
          <w:szCs w:val="20"/>
          <w:lang w:val="en"/>
        </w:rPr>
        <w:t>).</w:t>
      </w:r>
    </w:p>
    <w:p w14:paraId="2CE08AD9" w14:textId="77777777" w:rsidR="00AD4748" w:rsidRPr="00AD4748" w:rsidRDefault="00AD4748" w:rsidP="00AD4748">
      <w:pPr>
        <w:pStyle w:val="Lijstalinea"/>
        <w:spacing w:after="0" w:line="720" w:lineRule="auto"/>
        <w:ind w:left="714"/>
        <w:jc w:val="both"/>
        <w:rPr>
          <w:rFonts w:ascii="Arial" w:hAnsi="Arial" w:cs="Arial"/>
          <w:sz w:val="20"/>
          <w:szCs w:val="20"/>
        </w:rPr>
      </w:pPr>
    </w:p>
    <w:p w14:paraId="3D3B7F19" w14:textId="77777777" w:rsidR="00AD4748" w:rsidRPr="00AD4748" w:rsidRDefault="00AD4748" w:rsidP="00AD4748">
      <w:pPr>
        <w:spacing w:after="0" w:line="720" w:lineRule="auto"/>
        <w:contextualSpacing/>
        <w:jc w:val="both"/>
        <w:rPr>
          <w:rFonts w:ascii="Arial" w:hAnsi="Arial" w:cs="Arial"/>
          <w:sz w:val="20"/>
          <w:szCs w:val="20"/>
        </w:rPr>
      </w:pPr>
    </w:p>
    <w:p w14:paraId="2E87BAE0" w14:textId="77777777" w:rsidR="00AD4748" w:rsidRPr="00AD4748" w:rsidRDefault="00AD4748" w:rsidP="00AD4748">
      <w:pPr>
        <w:spacing w:after="0" w:line="720" w:lineRule="auto"/>
        <w:contextualSpacing/>
        <w:jc w:val="both"/>
        <w:rPr>
          <w:rFonts w:ascii="Arial" w:hAnsi="Arial" w:cs="Arial"/>
          <w:sz w:val="20"/>
          <w:szCs w:val="20"/>
        </w:rPr>
      </w:pPr>
    </w:p>
    <w:p w14:paraId="2818E038" w14:textId="7FDDA700" w:rsidR="00AD4748" w:rsidRDefault="00AD4748" w:rsidP="00AD4748">
      <w:pPr>
        <w:spacing w:after="0" w:line="720" w:lineRule="auto"/>
        <w:contextualSpacing/>
        <w:jc w:val="both"/>
        <w:rPr>
          <w:rFonts w:ascii="Arial" w:hAnsi="Arial" w:cs="Arial"/>
          <w:sz w:val="20"/>
          <w:szCs w:val="20"/>
        </w:rPr>
      </w:pPr>
    </w:p>
    <w:p w14:paraId="755C9E29" w14:textId="46D3967B" w:rsidR="00AD4748" w:rsidRDefault="00AD4748" w:rsidP="00AD4748">
      <w:pPr>
        <w:spacing w:after="0" w:line="720" w:lineRule="auto"/>
        <w:contextualSpacing/>
        <w:jc w:val="both"/>
        <w:rPr>
          <w:rFonts w:ascii="Arial" w:hAnsi="Arial" w:cs="Arial"/>
          <w:sz w:val="20"/>
          <w:szCs w:val="20"/>
        </w:rPr>
      </w:pPr>
    </w:p>
    <w:p w14:paraId="3E40CF5D" w14:textId="7412606C" w:rsidR="00AD4748" w:rsidRDefault="00AD4748" w:rsidP="00AD4748">
      <w:pPr>
        <w:spacing w:after="0" w:line="720" w:lineRule="auto"/>
        <w:contextualSpacing/>
        <w:jc w:val="both"/>
        <w:rPr>
          <w:rFonts w:ascii="Arial" w:hAnsi="Arial" w:cs="Arial"/>
          <w:sz w:val="20"/>
          <w:szCs w:val="20"/>
        </w:rPr>
      </w:pPr>
    </w:p>
    <w:p w14:paraId="000A03C1" w14:textId="77777777" w:rsidR="00AD4748" w:rsidRPr="00AD4748" w:rsidRDefault="00AD4748" w:rsidP="00AD4748">
      <w:pPr>
        <w:spacing w:after="0" w:line="720" w:lineRule="auto"/>
        <w:contextualSpacing/>
        <w:jc w:val="both"/>
        <w:rPr>
          <w:rFonts w:ascii="Arial" w:hAnsi="Arial" w:cs="Arial"/>
          <w:sz w:val="20"/>
          <w:szCs w:val="20"/>
        </w:rPr>
      </w:pPr>
    </w:p>
    <w:p w14:paraId="5D5E8AB3" w14:textId="77777777" w:rsidR="00AD4748" w:rsidRPr="00AD4748" w:rsidRDefault="00AD4748" w:rsidP="00AD4748">
      <w:pPr>
        <w:spacing w:after="0" w:line="720" w:lineRule="auto"/>
        <w:contextualSpacing/>
        <w:rPr>
          <w:rFonts w:ascii="Arial" w:hAnsi="Arial" w:cs="Arial"/>
          <w:b/>
          <w:sz w:val="20"/>
          <w:szCs w:val="20"/>
          <w:u w:val="single"/>
        </w:rPr>
      </w:pPr>
      <w:r w:rsidRPr="00AD4748">
        <w:rPr>
          <w:rFonts w:ascii="Arial" w:hAnsi="Arial" w:cs="Arial"/>
          <w:b/>
          <w:sz w:val="20"/>
          <w:szCs w:val="20"/>
          <w:u w:val="single"/>
        </w:rPr>
        <w:lastRenderedPageBreak/>
        <w:t xml:space="preserve">Material &amp; methods </w:t>
      </w:r>
    </w:p>
    <w:p w14:paraId="0EFBE460" w14:textId="77777777" w:rsidR="00AD4748" w:rsidRPr="00AD4748" w:rsidRDefault="00AD4748" w:rsidP="00AD4748">
      <w:pPr>
        <w:spacing w:after="0" w:line="720" w:lineRule="auto"/>
        <w:contextualSpacing/>
        <w:rPr>
          <w:rFonts w:ascii="Arial" w:hAnsi="Arial" w:cs="Arial"/>
          <w:b/>
          <w:sz w:val="20"/>
          <w:szCs w:val="20"/>
        </w:rPr>
      </w:pPr>
      <w:r w:rsidRPr="00AD4748">
        <w:rPr>
          <w:rFonts w:ascii="Arial" w:hAnsi="Arial" w:cs="Arial"/>
          <w:b/>
          <w:sz w:val="20"/>
          <w:szCs w:val="20"/>
        </w:rPr>
        <w:t>Patient selection</w:t>
      </w:r>
    </w:p>
    <w:p w14:paraId="7074E733" w14:textId="77777777" w:rsidR="00AD4748" w:rsidRPr="00AD4748" w:rsidRDefault="00AD4748" w:rsidP="00AD4748">
      <w:pPr>
        <w:shd w:val="clear" w:color="auto" w:fill="FFFFFF"/>
        <w:spacing w:after="0" w:line="720" w:lineRule="auto"/>
        <w:contextualSpacing/>
        <w:jc w:val="both"/>
        <w:rPr>
          <w:rFonts w:ascii="Arial" w:hAnsi="Arial" w:cs="Arial"/>
          <w:color w:val="000000"/>
          <w:sz w:val="20"/>
          <w:szCs w:val="20"/>
        </w:rPr>
      </w:pPr>
      <w:r w:rsidRPr="00AD4748">
        <w:rPr>
          <w:rFonts w:ascii="Arial" w:hAnsi="Arial" w:cs="Arial"/>
          <w:color w:val="000000"/>
          <w:sz w:val="20"/>
          <w:szCs w:val="20"/>
        </w:rPr>
        <w:t>This prospective pilot-study was performed between May 2018 and November 2019. The study population consisted of healthy volunteers recruited trough posters and flyers spread across the hospital and university. All participants were aged between 20 and 30 years and had a Body Mass Index (BMI) between 20 kg/m</w:t>
      </w:r>
      <w:r w:rsidRPr="00AD4748">
        <w:rPr>
          <w:rFonts w:ascii="Arial" w:hAnsi="Arial" w:cs="Arial"/>
          <w:color w:val="000000"/>
          <w:sz w:val="20"/>
          <w:szCs w:val="20"/>
          <w:vertAlign w:val="superscript"/>
        </w:rPr>
        <w:t>2</w:t>
      </w:r>
      <w:r w:rsidRPr="00AD4748">
        <w:rPr>
          <w:rFonts w:ascii="Arial" w:hAnsi="Arial" w:cs="Arial"/>
          <w:color w:val="000000"/>
          <w:sz w:val="20"/>
          <w:szCs w:val="20"/>
        </w:rPr>
        <w:t xml:space="preserve"> and 24 kg/m</w:t>
      </w:r>
      <w:r w:rsidRPr="00AD4748">
        <w:rPr>
          <w:rFonts w:ascii="Arial" w:hAnsi="Arial" w:cs="Arial"/>
          <w:color w:val="000000"/>
          <w:sz w:val="20"/>
          <w:szCs w:val="20"/>
          <w:vertAlign w:val="superscript"/>
        </w:rPr>
        <w:t>2</w:t>
      </w:r>
      <w:r w:rsidRPr="00AD4748">
        <w:rPr>
          <w:rFonts w:ascii="Arial" w:hAnsi="Arial" w:cs="Arial"/>
          <w:color w:val="000000"/>
          <w:sz w:val="20"/>
          <w:szCs w:val="20"/>
        </w:rPr>
        <w:t xml:space="preserve">. Participants were excluded when they were students or employees related to the department of urology. In addition, participants with chronic diseases, implanted devices (pacemaker, IPG), on medication (except anti-conception) and pregnant women were excluded.  In total 19 healthy volunteers (10 females and 9 males) aged between 21 and 24 years were recruited. </w:t>
      </w:r>
    </w:p>
    <w:p w14:paraId="4FD695CC" w14:textId="77777777" w:rsidR="00AD4748" w:rsidRPr="00AD4748" w:rsidRDefault="00AD4748" w:rsidP="00AD4748">
      <w:pPr>
        <w:shd w:val="clear" w:color="auto" w:fill="FFFFFF"/>
        <w:spacing w:after="0" w:line="720" w:lineRule="auto"/>
        <w:contextualSpacing/>
        <w:jc w:val="both"/>
        <w:rPr>
          <w:rFonts w:ascii="Arial" w:hAnsi="Arial" w:cs="Arial"/>
          <w:color w:val="000000"/>
          <w:sz w:val="20"/>
          <w:szCs w:val="20"/>
        </w:rPr>
      </w:pPr>
    </w:p>
    <w:p w14:paraId="763DA021" w14:textId="77777777" w:rsidR="00AD4748" w:rsidRPr="00AD4748" w:rsidRDefault="00AD4748" w:rsidP="00AD4748">
      <w:pPr>
        <w:spacing w:after="0" w:line="720" w:lineRule="auto"/>
        <w:contextualSpacing/>
        <w:rPr>
          <w:rFonts w:ascii="Arial" w:hAnsi="Arial" w:cs="Arial"/>
          <w:b/>
          <w:sz w:val="20"/>
          <w:szCs w:val="20"/>
        </w:rPr>
      </w:pPr>
      <w:r w:rsidRPr="00AD4748">
        <w:rPr>
          <w:rFonts w:ascii="Arial" w:hAnsi="Arial" w:cs="Arial"/>
          <w:b/>
          <w:sz w:val="20"/>
          <w:szCs w:val="20"/>
        </w:rPr>
        <w:t>Data collection</w:t>
      </w:r>
    </w:p>
    <w:p w14:paraId="3534F6D8" w14:textId="77777777" w:rsidR="00AD4748" w:rsidRPr="00AD4748" w:rsidRDefault="00AD4748" w:rsidP="00AD4748">
      <w:pPr>
        <w:spacing w:line="720" w:lineRule="auto"/>
        <w:contextualSpacing/>
        <w:jc w:val="both"/>
        <w:rPr>
          <w:rFonts w:ascii="Arial" w:hAnsi="Arial" w:cs="Arial"/>
          <w:sz w:val="20"/>
          <w:szCs w:val="20"/>
        </w:rPr>
      </w:pPr>
      <w:r w:rsidRPr="00AD4748">
        <w:rPr>
          <w:rFonts w:ascii="Arial" w:hAnsi="Arial" w:cs="Arial"/>
          <w:sz w:val="20"/>
          <w:szCs w:val="20"/>
        </w:rPr>
        <w:t xml:space="preserve">The test protocol (fig 1) was conducted during the morning, after an overnight fast and a ban of alcohol for 24 hours. </w:t>
      </w:r>
      <w:r w:rsidRPr="00AD4748">
        <w:rPr>
          <w:rFonts w:ascii="Arial" w:hAnsi="Arial" w:cs="Arial"/>
          <w:color w:val="000000"/>
          <w:sz w:val="20"/>
          <w:szCs w:val="20"/>
        </w:rPr>
        <w:t xml:space="preserve">Firstly, body length (± 1 cm) and weight  (± 0.1 kg) of each participant was measured. Subsequently, </w:t>
      </w:r>
      <w:r w:rsidRPr="00AD4748">
        <w:rPr>
          <w:rFonts w:ascii="Arial" w:hAnsi="Arial" w:cs="Arial"/>
          <w:sz w:val="20"/>
          <w:szCs w:val="20"/>
        </w:rPr>
        <w:t xml:space="preserve">the volunteers’ TBW was estimated based on the Watson formula’s for both sexes [4]. </w:t>
      </w:r>
    </w:p>
    <w:p w14:paraId="4BEE82D3" w14:textId="08535B3D" w:rsidR="00AD4748" w:rsidRDefault="00AD4748" w:rsidP="00AD4748">
      <w:pPr>
        <w:spacing w:line="720" w:lineRule="auto"/>
        <w:contextualSpacing/>
        <w:jc w:val="both"/>
        <w:rPr>
          <w:rFonts w:ascii="Arial" w:hAnsi="Arial" w:cs="Arial"/>
          <w:sz w:val="20"/>
          <w:szCs w:val="20"/>
        </w:rPr>
      </w:pPr>
      <w:r w:rsidRPr="00AD4748">
        <w:rPr>
          <w:rFonts w:ascii="Arial" w:hAnsi="Arial" w:cs="Arial"/>
          <w:sz w:val="20"/>
          <w:szCs w:val="20"/>
        </w:rPr>
        <w:t>Secondly, an urine sample was collected as reference sample. Thereafter a catheter was inserted in an antecubital vein to facilitate repeated blood sampling, and a reference blood sample was taken. At last, the electrodes of the BIA device were attached.</w:t>
      </w:r>
    </w:p>
    <w:p w14:paraId="00DFEE22" w14:textId="77777777" w:rsidR="003C6162" w:rsidRPr="00AD4748" w:rsidRDefault="003C6162" w:rsidP="00AD4748">
      <w:pPr>
        <w:spacing w:line="720" w:lineRule="auto"/>
        <w:contextualSpacing/>
        <w:jc w:val="both"/>
        <w:rPr>
          <w:rFonts w:ascii="Arial" w:hAnsi="Arial" w:cs="Arial"/>
          <w:sz w:val="20"/>
          <w:szCs w:val="20"/>
        </w:rPr>
      </w:pPr>
    </w:p>
    <w:p w14:paraId="498E5854" w14:textId="47D7F363" w:rsidR="00AD4748" w:rsidRPr="003C6162" w:rsidRDefault="00AD4748" w:rsidP="003C6162">
      <w:pPr>
        <w:spacing w:line="720" w:lineRule="auto"/>
        <w:contextualSpacing/>
        <w:jc w:val="both"/>
        <w:rPr>
          <w:rFonts w:ascii="Arial" w:hAnsi="Arial" w:cs="Arial"/>
          <w:color w:val="000000"/>
          <w:sz w:val="20"/>
          <w:szCs w:val="20"/>
        </w:rPr>
      </w:pPr>
      <w:r w:rsidRPr="00AD4748">
        <w:rPr>
          <w:rFonts w:ascii="Arial" w:hAnsi="Arial" w:cs="Arial"/>
          <w:color w:val="000000"/>
          <w:sz w:val="20"/>
          <w:szCs w:val="20"/>
        </w:rPr>
        <w:t>In the first part of the protocol the participants</w:t>
      </w:r>
      <w:r w:rsidR="003C6162">
        <w:rPr>
          <w:rFonts w:ascii="Arial" w:hAnsi="Arial" w:cs="Arial"/>
          <w:color w:val="000000"/>
          <w:sz w:val="20"/>
          <w:szCs w:val="20"/>
        </w:rPr>
        <w:t xml:space="preserve"> </w:t>
      </w:r>
      <w:r w:rsidRPr="00AD4748">
        <w:rPr>
          <w:rFonts w:ascii="Arial" w:hAnsi="Arial" w:cs="Arial"/>
          <w:sz w:val="20"/>
          <w:szCs w:val="20"/>
        </w:rPr>
        <w:t xml:space="preserve">stood up for 5 minutes, laid down for 70 minutes, followed by 5 minutes in a seated position and ending with 30 minutes standing. BIA was done every 5 minutes. Fifteen </w:t>
      </w:r>
      <w:r w:rsidRPr="00AD4748">
        <w:rPr>
          <w:rFonts w:ascii="Arial" w:hAnsi="Arial" w:cs="Arial"/>
          <w:sz w:val="20"/>
          <w:szCs w:val="20"/>
        </w:rPr>
        <w:lastRenderedPageBreak/>
        <w:t xml:space="preserve">minutes after the onset of the experiment, participants drunk 330 mL of deuterium enriched water while laying down. The deuterium enriched water was created by replacing a certain amount of water from a bottle of 330 ml mineral water with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O (</w:t>
      </w:r>
      <w:proofErr w:type="spellStart"/>
      <w:r w:rsidRPr="00AD4748">
        <w:rPr>
          <w:rFonts w:ascii="Arial" w:hAnsi="Arial" w:cs="Arial"/>
          <w:sz w:val="20"/>
          <w:szCs w:val="20"/>
        </w:rPr>
        <w:t>aD</w:t>
      </w:r>
      <w:proofErr w:type="spellEnd"/>
      <w:r w:rsidRPr="00AD4748">
        <w:rPr>
          <w:rFonts w:ascii="Arial" w:hAnsi="Arial" w:cs="Arial"/>
          <w:sz w:val="20"/>
          <w:szCs w:val="20"/>
        </w:rPr>
        <w:t xml:space="preserve"> = 99.8%). The volume of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 xml:space="preserve">O corresponded with 0.25% of the persons estimated TBW. </w:t>
      </w:r>
    </w:p>
    <w:p w14:paraId="74DF6E6C" w14:textId="77777777" w:rsidR="00AD4748" w:rsidRPr="00AD4748" w:rsidRDefault="00AD4748" w:rsidP="00AD4748">
      <w:pPr>
        <w:spacing w:after="0" w:line="720" w:lineRule="auto"/>
        <w:contextualSpacing/>
        <w:jc w:val="both"/>
        <w:rPr>
          <w:rFonts w:ascii="Arial" w:hAnsi="Arial" w:cs="Arial"/>
          <w:sz w:val="20"/>
          <w:szCs w:val="20"/>
        </w:rPr>
      </w:pPr>
    </w:p>
    <w:p w14:paraId="3A9C1241"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Blood samples were taken every 10 minutes, starting after the intake of the deuterated water. At the end of the test protocol a second urine sample was taken. Blood samples were given the time to clot and  were centrifuged afterwards, (10 minutes, 1500 G). One ml serum was pipetted into another recipient. All samples were stored frozen at - 80°C until analysis of the deuterium abundance (a</w:t>
      </w:r>
      <w:r w:rsidRPr="00AD4748">
        <w:rPr>
          <w:rFonts w:ascii="Arial" w:hAnsi="Arial" w:cs="Arial"/>
          <w:sz w:val="20"/>
          <w:szCs w:val="20"/>
          <w:vertAlign w:val="superscript"/>
        </w:rPr>
        <w:t>2</w:t>
      </w:r>
      <w:r w:rsidRPr="00AD4748">
        <w:rPr>
          <w:rFonts w:ascii="Arial" w:hAnsi="Arial" w:cs="Arial"/>
          <w:sz w:val="20"/>
          <w:szCs w:val="20"/>
        </w:rPr>
        <w:t>H)The trial protocol was registered on clinicaltrails.gov (</w:t>
      </w:r>
      <w:r w:rsidRPr="00AD4748">
        <w:rPr>
          <w:rFonts w:ascii="Arial" w:hAnsi="Arial" w:cs="Arial"/>
          <w:color w:val="000000"/>
          <w:sz w:val="20"/>
          <w:szCs w:val="20"/>
          <w:shd w:val="clear" w:color="auto" w:fill="F9F9F9"/>
        </w:rPr>
        <w:t>NCT04520477).</w:t>
      </w:r>
    </w:p>
    <w:p w14:paraId="10752C8B" w14:textId="77777777" w:rsidR="00AD4748" w:rsidRPr="00AD4748" w:rsidRDefault="00AD4748" w:rsidP="00AD4748">
      <w:pPr>
        <w:spacing w:after="0" w:line="720" w:lineRule="auto"/>
        <w:contextualSpacing/>
        <w:jc w:val="both"/>
        <w:rPr>
          <w:rFonts w:ascii="Arial" w:hAnsi="Arial" w:cs="Arial"/>
          <w:sz w:val="20"/>
          <w:szCs w:val="20"/>
        </w:rPr>
      </w:pPr>
    </w:p>
    <w:p w14:paraId="7A3A9DAB" w14:textId="77777777" w:rsidR="00AD4748" w:rsidRPr="00AD4748" w:rsidRDefault="00AD4748" w:rsidP="00AD4748">
      <w:pPr>
        <w:spacing w:after="0" w:line="720" w:lineRule="auto"/>
        <w:contextualSpacing/>
        <w:jc w:val="both"/>
        <w:rPr>
          <w:rFonts w:ascii="Arial" w:hAnsi="Arial" w:cs="Arial"/>
          <w:b/>
          <w:sz w:val="20"/>
          <w:szCs w:val="20"/>
        </w:rPr>
      </w:pPr>
      <w:r w:rsidRPr="00AD4748">
        <w:rPr>
          <w:rFonts w:ascii="Arial" w:hAnsi="Arial" w:cs="Arial"/>
          <w:b/>
          <w:sz w:val="20"/>
          <w:szCs w:val="20"/>
        </w:rPr>
        <w:t>Measurement of a</w:t>
      </w:r>
      <w:r w:rsidRPr="00AD4748">
        <w:rPr>
          <w:rFonts w:ascii="Arial" w:hAnsi="Arial" w:cs="Arial"/>
          <w:b/>
          <w:sz w:val="20"/>
          <w:szCs w:val="20"/>
          <w:vertAlign w:val="superscript"/>
        </w:rPr>
        <w:t>2</w:t>
      </w:r>
      <w:r w:rsidRPr="00AD4748">
        <w:rPr>
          <w:rFonts w:ascii="Arial" w:hAnsi="Arial" w:cs="Arial"/>
          <w:b/>
          <w:sz w:val="20"/>
          <w:szCs w:val="20"/>
        </w:rPr>
        <w:t>H</w:t>
      </w:r>
    </w:p>
    <w:p w14:paraId="35BFACC5" w14:textId="634282FE"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To measure the </w:t>
      </w:r>
      <w:r w:rsidRPr="00AD4748">
        <w:rPr>
          <w:rFonts w:ascii="Arial" w:hAnsi="Arial" w:cs="Arial"/>
          <w:sz w:val="20"/>
          <w:szCs w:val="20"/>
          <w:vertAlign w:val="superscript"/>
        </w:rPr>
        <w:t>2</w:t>
      </w:r>
      <w:r w:rsidRPr="00AD4748">
        <w:rPr>
          <w:rFonts w:ascii="Arial" w:hAnsi="Arial" w:cs="Arial"/>
          <w:sz w:val="20"/>
          <w:szCs w:val="20"/>
        </w:rPr>
        <w:t xml:space="preserve">H/H of deuterium oxide in the serum and urine samples, the water of these samples </w:t>
      </w:r>
      <w:r w:rsidR="003C6162">
        <w:rPr>
          <w:rFonts w:ascii="Arial" w:hAnsi="Arial" w:cs="Arial"/>
          <w:sz w:val="20"/>
          <w:szCs w:val="20"/>
        </w:rPr>
        <w:t>w</w:t>
      </w:r>
      <w:r w:rsidRPr="00AD4748">
        <w:rPr>
          <w:rFonts w:ascii="Arial" w:hAnsi="Arial" w:cs="Arial"/>
          <w:sz w:val="20"/>
          <w:szCs w:val="20"/>
        </w:rPr>
        <w:t xml:space="preserve"> extracted using a cryogenic distillation based on the method described in </w:t>
      </w:r>
      <w:proofErr w:type="spellStart"/>
      <w:r w:rsidRPr="00AD4748">
        <w:rPr>
          <w:rFonts w:ascii="Arial" w:hAnsi="Arial" w:cs="Arial"/>
          <w:sz w:val="20"/>
          <w:szCs w:val="20"/>
        </w:rPr>
        <w:t>Bodé</w:t>
      </w:r>
      <w:proofErr w:type="spellEnd"/>
      <w:r w:rsidRPr="00AD4748">
        <w:rPr>
          <w:rFonts w:ascii="Arial" w:hAnsi="Arial" w:cs="Arial"/>
          <w:sz w:val="20"/>
          <w:szCs w:val="20"/>
        </w:rPr>
        <w:t xml:space="preserve"> et al.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10.1002/eco.2171","ISSN":"1936-0584","author":[{"dropping-particle":"","family":"Bodé","given":"Samuel","non-dropping-particle":"","parse-names":false,"suffix":""},{"dropping-particle":"","family":"Wispelaere","given":"Lien","non-dropping-particle":"De","parse-names":false,"suffix":""},{"dropping-particle":"","family":"Hemp","given":"Andreas","non-dropping-particle":"","parse-names":false,"suffix":""},{"dropping-particle":"","family":"Verschuren","given":"Dirk","non-dropping-particle":"","parse-names":false,"suffix":""},{"dropping-particle":"","family":"Boeckx","given":"Pascal","non-dropping-particle":"","parse-names":false,"suffix":""}],"container-title":"Ecohydrology","id":"ITEM-1","issued":{"date-parts":[["2019","11","17"]]},"title":"Water</w:instrText>
      </w:r>
      <w:r w:rsidRPr="00AD4748">
        <w:rPr>
          <w:rFonts w:ascii="Cambria Math" w:hAnsi="Cambria Math" w:cs="Cambria Math"/>
          <w:sz w:val="20"/>
          <w:szCs w:val="20"/>
        </w:rPr>
        <w:instrText>‐</w:instrText>
      </w:r>
      <w:r w:rsidRPr="00AD4748">
        <w:rPr>
          <w:rFonts w:ascii="Arial" w:hAnsi="Arial" w:cs="Arial"/>
          <w:sz w:val="20"/>
          <w:szCs w:val="20"/>
        </w:rPr>
        <w:instrText>isotope ecohydrology of Mount Kilimanjaro","type":"article-journal"},"uris":["http://www.mendeley.com/documents/?uuid=1099aeb3-41a3-3994-8eb4-6f24cefaa25e"]}],"mendeley":{"formattedCitation":"[17]","plainTextFormattedCitation":"[17]","previouslyFormattedCitation":"[17]"},"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[17]</w:t>
      </w:r>
      <w:r w:rsidRPr="00AD4748">
        <w:rPr>
          <w:rFonts w:ascii="Arial" w:hAnsi="Arial" w:cs="Arial"/>
          <w:sz w:val="20"/>
          <w:szCs w:val="20"/>
        </w:rPr>
        <w:fldChar w:fldCharType="end"/>
      </w:r>
      <w:r w:rsidRPr="00AD4748">
        <w:rPr>
          <w:rFonts w:ascii="Arial" w:hAnsi="Arial" w:cs="Arial"/>
          <w:sz w:val="20"/>
          <w:szCs w:val="20"/>
        </w:rPr>
        <w:t xml:space="preserve">, but was adapted for the specific sample matrixes. Shortly; The sample was transferred to a sample vial connected to a collection vial, via a glass pipe. Subsequently the sample was cooled in liquid nitrogen and the distillation setup was vacuumed to &lt; 1 mbar. After assuring the air tightness of the setup, the sample vial was heated gradually in order to have a fractionation of </w:t>
      </w:r>
      <w:r w:rsidRPr="00AD4748">
        <w:rPr>
          <w:rFonts w:ascii="Arial" w:hAnsi="Arial" w:cs="Arial"/>
          <w:sz w:val="20"/>
          <w:szCs w:val="20"/>
          <w:vertAlign w:val="superscript"/>
        </w:rPr>
        <w:t>2</w:t>
      </w:r>
      <w:r w:rsidRPr="00AD4748">
        <w:rPr>
          <w:rFonts w:ascii="Arial" w:hAnsi="Arial" w:cs="Arial"/>
          <w:sz w:val="20"/>
          <w:szCs w:val="20"/>
        </w:rPr>
        <w:t>H.To avoid boiling to 105°C,  the collection vial was cooled in liquid nitrogen to collect the evaporating water. Finally,  a</w:t>
      </w:r>
      <w:r w:rsidRPr="00AD4748">
        <w:rPr>
          <w:rFonts w:ascii="Arial" w:hAnsi="Arial" w:cs="Arial"/>
          <w:sz w:val="20"/>
          <w:szCs w:val="20"/>
          <w:vertAlign w:val="superscript"/>
        </w:rPr>
        <w:t>2</w:t>
      </w:r>
      <w:r w:rsidRPr="00AD4748">
        <w:rPr>
          <w:rFonts w:ascii="Arial" w:hAnsi="Arial" w:cs="Arial"/>
          <w:sz w:val="20"/>
          <w:szCs w:val="20"/>
        </w:rPr>
        <w:t xml:space="preserve">Hwas determined using cavity ringdown </w:t>
      </w:r>
      <w:r w:rsidRPr="00AD4748">
        <w:rPr>
          <w:rFonts w:ascii="Arial" w:hAnsi="Arial" w:cs="Arial"/>
          <w:sz w:val="20"/>
          <w:szCs w:val="20"/>
        </w:rPr>
        <w:lastRenderedPageBreak/>
        <w:t xml:space="preserve">spectrometry equipped with a vaporizer and only micro pyrolysis module to remove the organic contaminants (WS-CRDS, L2120-I, </w:t>
      </w:r>
      <w:proofErr w:type="spellStart"/>
      <w:r w:rsidRPr="00AD4748">
        <w:rPr>
          <w:rFonts w:ascii="Arial" w:hAnsi="Arial" w:cs="Arial"/>
          <w:sz w:val="20"/>
          <w:szCs w:val="20"/>
        </w:rPr>
        <w:t>Picarro</w:t>
      </w:r>
      <w:proofErr w:type="spellEnd"/>
      <w:r w:rsidRPr="00AD4748">
        <w:rPr>
          <w:rFonts w:ascii="Arial" w:hAnsi="Arial" w:cs="Arial"/>
          <w:sz w:val="20"/>
          <w:szCs w:val="20"/>
        </w:rPr>
        <w:t xml:space="preserve">, USA). </w:t>
      </w:r>
    </w:p>
    <w:p w14:paraId="1553E0F4" w14:textId="77777777" w:rsidR="00AD4748" w:rsidRPr="00AD4748" w:rsidRDefault="00AD4748" w:rsidP="00AD4748">
      <w:pPr>
        <w:spacing w:after="0" w:line="720" w:lineRule="auto"/>
        <w:contextualSpacing/>
        <w:jc w:val="both"/>
        <w:rPr>
          <w:rFonts w:ascii="Arial" w:hAnsi="Arial" w:cs="Arial"/>
          <w:sz w:val="20"/>
          <w:szCs w:val="20"/>
        </w:rPr>
      </w:pPr>
    </w:p>
    <w:p w14:paraId="4DE9ACE2" w14:textId="77777777" w:rsidR="00AD4748" w:rsidRPr="00AD4748" w:rsidRDefault="00AD4748" w:rsidP="00AD4748">
      <w:pPr>
        <w:spacing w:after="0" w:line="720" w:lineRule="auto"/>
        <w:contextualSpacing/>
        <w:jc w:val="both"/>
        <w:rPr>
          <w:rFonts w:ascii="Arial" w:hAnsi="Arial" w:cs="Arial"/>
          <w:b/>
          <w:sz w:val="20"/>
          <w:szCs w:val="20"/>
        </w:rPr>
      </w:pPr>
      <w:r w:rsidRPr="00AD4748">
        <w:rPr>
          <w:rFonts w:ascii="Arial" w:hAnsi="Arial" w:cs="Arial"/>
          <w:b/>
          <w:sz w:val="20"/>
          <w:szCs w:val="20"/>
        </w:rPr>
        <w:t>Data processing</w:t>
      </w:r>
    </w:p>
    <w:p w14:paraId="189A3571"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TBW was measured and calculated using 3 different methods. Firstly, TBW was assessed by BIA in both standing and lying posture. Therefore, the measurements at 20 (lying) and 95 minutes (standing) after the onset (-15 minutes) of the protocol were used, as at this time points, volunteers were in a stable body position for 30 minutes. </w:t>
      </w:r>
    </w:p>
    <w:p w14:paraId="6F00F3A2" w14:textId="77777777" w:rsidR="00AD4748" w:rsidRPr="00AD4748" w:rsidRDefault="00AD4748" w:rsidP="00AD4748">
      <w:pPr>
        <w:spacing w:after="0" w:line="720" w:lineRule="auto"/>
        <w:contextualSpacing/>
        <w:jc w:val="both"/>
        <w:rPr>
          <w:rFonts w:ascii="Arial" w:hAnsi="Arial" w:cs="Arial"/>
          <w:sz w:val="20"/>
          <w:szCs w:val="20"/>
        </w:rPr>
      </w:pPr>
    </w:p>
    <w:p w14:paraId="128F87EA"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eastAsia="Calibri" w:hAnsi="Arial" w:cs="Arial"/>
          <w:sz w:val="20"/>
          <w:szCs w:val="20"/>
        </w:rPr>
        <w:t>Secondly, the pool size, based on urine and blood samples, was assessed using a mass balance of the dilution of the deuterium tracer by the pool as.</w:t>
      </w:r>
    </w:p>
    <w:p w14:paraId="275DCB70" w14:textId="77777777" w:rsidR="00AD4748" w:rsidRPr="00AD4748" w:rsidRDefault="00000000" w:rsidP="00AD4748">
      <w:pPr>
        <w:spacing w:after="0" w:line="720" w:lineRule="auto"/>
        <w:contextualSpacing/>
        <w:jc w:val="both"/>
        <w:rPr>
          <w:rFonts w:ascii="Arial" w:eastAsia="Calibri" w:hAnsi="Arial" w:cs="Arial"/>
          <w:sz w:val="20"/>
          <w:szCs w:val="20"/>
        </w:rPr>
      </w:pPr>
      <m:oMathPara>
        <m:oMath>
          <m:sSub>
            <m:sSubPr>
              <m:ctrlPr>
                <w:rPr>
                  <w:rFonts w:ascii="Cambria Math" w:eastAsia="Calibri" w:hAnsi="Cambria Math" w:cs="Arial"/>
                  <w:i/>
                  <w:sz w:val="20"/>
                  <w:szCs w:val="20"/>
                </w:rPr>
              </m:ctrlPr>
            </m:sSubPr>
            <m:e>
              <m:r>
                <w:rPr>
                  <w:rFonts w:ascii="Cambria Math" w:eastAsia="Calibri" w:hAnsi="Cambria Math" w:cs="Arial"/>
                  <w:sz w:val="20"/>
                  <w:szCs w:val="20"/>
                </w:rPr>
                <m:t>n</m:t>
              </m:r>
            </m:e>
            <m:sub>
              <m:r>
                <w:rPr>
                  <w:rFonts w:ascii="Cambria Math" w:eastAsia="Calibri" w:hAnsi="Cambria Math" w:cs="Arial"/>
                  <w:sz w:val="20"/>
                  <w:szCs w:val="20"/>
                </w:rPr>
                <m:t>P</m:t>
              </m:r>
            </m:sub>
          </m:sSub>
          <m:r>
            <w:rPr>
              <w:rFonts w:ascii="Cambria Math" w:eastAsia="Calibri" w:hAnsi="Cambria Math" w:cs="Arial"/>
              <w:sz w:val="20"/>
              <w:szCs w:val="20"/>
            </w:rPr>
            <m:t xml:space="preserve"> = </m:t>
          </m:r>
          <m:sSub>
            <m:sSubPr>
              <m:ctrlPr>
                <w:rPr>
                  <w:rFonts w:ascii="Cambria Math" w:eastAsia="Calibri" w:hAnsi="Cambria Math" w:cs="Arial"/>
                  <w:i/>
                  <w:sz w:val="20"/>
                  <w:szCs w:val="20"/>
                </w:rPr>
              </m:ctrlPr>
            </m:sSubPr>
            <m:e>
              <m:r>
                <w:rPr>
                  <w:rFonts w:ascii="Cambria Math" w:eastAsia="Calibri" w:hAnsi="Cambria Math" w:cs="Arial"/>
                  <w:sz w:val="20"/>
                  <w:szCs w:val="20"/>
                </w:rPr>
                <m:t>n</m:t>
              </m:r>
            </m:e>
            <m:sub>
              <m:r>
                <w:rPr>
                  <w:rFonts w:ascii="Cambria Math" w:eastAsia="Calibri" w:hAnsi="Cambria Math" w:cs="Arial"/>
                  <w:sz w:val="20"/>
                  <w:szCs w:val="20"/>
                </w:rPr>
                <m:t>LW</m:t>
              </m:r>
            </m:sub>
          </m:sSub>
          <m:r>
            <w:rPr>
              <w:rFonts w:ascii="Cambria Math" w:eastAsia="Calibri" w:hAnsi="Cambria Math" w:cs="Arial"/>
              <w:sz w:val="20"/>
              <w:szCs w:val="20"/>
            </w:rPr>
            <m:t>∙</m:t>
          </m:r>
          <m:f>
            <m:fPr>
              <m:ctrlPr>
                <w:rPr>
                  <w:rFonts w:ascii="Cambria Math" w:eastAsia="Calibri" w:hAnsi="Cambria Math" w:cs="Arial"/>
                  <w:i/>
                  <w:sz w:val="20"/>
                  <w:szCs w:val="20"/>
                </w:rPr>
              </m:ctrlPr>
            </m:fPr>
            <m:num>
              <m:r>
                <w:rPr>
                  <w:rFonts w:ascii="Cambria Math" w:eastAsia="Calibri" w:hAnsi="Cambria Math" w:cs="Arial"/>
                  <w:sz w:val="20"/>
                  <w:szCs w:val="20"/>
                </w:rPr>
                <m:t xml:space="preserve"> a2HLW-</m:t>
              </m:r>
              <m:sSup>
                <m:sSupPr>
                  <m:ctrlPr>
                    <w:rPr>
                      <w:rFonts w:ascii="Cambria Math" w:eastAsia="Calibri" w:hAnsi="Cambria Math" w:cs="Arial"/>
                      <w:i/>
                      <w:sz w:val="20"/>
                      <w:szCs w:val="20"/>
                    </w:rPr>
                  </m:ctrlPr>
                </m:sSupPr>
                <m:e>
                  <m:r>
                    <w:rPr>
                      <w:rFonts w:ascii="Cambria Math" w:eastAsia="Calibri" w:hAnsi="Cambria Math" w:cs="Arial"/>
                      <w:sz w:val="20"/>
                      <w:szCs w:val="20"/>
                    </w:rPr>
                    <m:t>a</m:t>
                  </m:r>
                </m:e>
                <m:sup>
                  <m:r>
                    <w:rPr>
                      <w:rFonts w:ascii="Cambria Math" w:eastAsia="Calibri" w:hAnsi="Cambria Math" w:cs="Arial"/>
                      <w:sz w:val="20"/>
                      <w:szCs w:val="20"/>
                    </w:rPr>
                    <m:t>2</m:t>
                  </m:r>
                </m:sup>
              </m:sSup>
              <m:sSub>
                <m:sSubPr>
                  <m:ctrlPr>
                    <w:rPr>
                      <w:rFonts w:ascii="Cambria Math" w:eastAsia="Calibri" w:hAnsi="Cambria Math" w:cs="Arial"/>
                      <w:i/>
                      <w:sz w:val="20"/>
                      <w:szCs w:val="20"/>
                    </w:rPr>
                  </m:ctrlPr>
                </m:sSubPr>
                <m:e>
                  <m:r>
                    <w:rPr>
                      <w:rFonts w:ascii="Cambria Math" w:eastAsia="Calibri" w:hAnsi="Cambria Math" w:cs="Arial"/>
                      <w:sz w:val="20"/>
                      <w:szCs w:val="20"/>
                    </w:rPr>
                    <m:t>H</m:t>
                  </m:r>
                </m:e>
                <m:sub>
                  <m:r>
                    <w:rPr>
                      <w:rFonts w:ascii="Cambria Math" w:eastAsia="Calibri" w:hAnsi="Cambria Math" w:cs="Arial"/>
                      <w:sz w:val="20"/>
                      <w:szCs w:val="20"/>
                    </w:rPr>
                    <m:t>LP</m:t>
                  </m:r>
                </m:sub>
              </m:sSub>
            </m:num>
            <m:den>
              <m:sSup>
                <m:sSupPr>
                  <m:ctrlPr>
                    <w:rPr>
                      <w:rFonts w:ascii="Cambria Math" w:eastAsia="Calibri" w:hAnsi="Cambria Math" w:cs="Arial"/>
                      <w:i/>
                      <w:sz w:val="20"/>
                      <w:szCs w:val="20"/>
                    </w:rPr>
                  </m:ctrlPr>
                </m:sSupPr>
                <m:e>
                  <m:r>
                    <w:rPr>
                      <w:rFonts w:ascii="Cambria Math" w:eastAsia="Calibri" w:hAnsi="Cambria Math" w:cs="Arial"/>
                      <w:sz w:val="20"/>
                      <w:szCs w:val="20"/>
                    </w:rPr>
                    <m:t>a</m:t>
                  </m:r>
                </m:e>
                <m:sup>
                  <m:r>
                    <w:rPr>
                      <w:rFonts w:ascii="Cambria Math" w:eastAsia="Calibri" w:hAnsi="Cambria Math" w:cs="Arial"/>
                      <w:sz w:val="20"/>
                      <w:szCs w:val="20"/>
                    </w:rPr>
                    <m:t>2</m:t>
                  </m:r>
                </m:sup>
              </m:sSup>
              <m:sSub>
                <m:sSubPr>
                  <m:ctrlPr>
                    <w:rPr>
                      <w:rFonts w:ascii="Cambria Math" w:eastAsia="Calibri" w:hAnsi="Cambria Math" w:cs="Arial"/>
                      <w:i/>
                      <w:sz w:val="20"/>
                      <w:szCs w:val="20"/>
                    </w:rPr>
                  </m:ctrlPr>
                </m:sSubPr>
                <m:e>
                  <m:r>
                    <w:rPr>
                      <w:rFonts w:ascii="Cambria Math" w:eastAsia="Calibri" w:hAnsi="Cambria Math" w:cs="Arial"/>
                      <w:sz w:val="20"/>
                      <w:szCs w:val="20"/>
                    </w:rPr>
                    <m:t>H</m:t>
                  </m:r>
                </m:e>
                <m:sub>
                  <m:r>
                    <w:rPr>
                      <w:rFonts w:ascii="Cambria Math" w:eastAsia="Calibri" w:hAnsi="Cambria Math" w:cs="Arial"/>
                      <w:sz w:val="20"/>
                      <w:szCs w:val="20"/>
                    </w:rPr>
                    <m:t>LP</m:t>
                  </m:r>
                </m:sub>
              </m:sSub>
              <m:r>
                <w:rPr>
                  <w:rFonts w:ascii="Cambria Math" w:eastAsia="Calibri" w:hAnsi="Cambria Math" w:cs="Arial"/>
                  <w:sz w:val="20"/>
                  <w:szCs w:val="20"/>
                </w:rPr>
                <m:t>-</m:t>
              </m:r>
              <m:sSup>
                <m:sSupPr>
                  <m:ctrlPr>
                    <w:rPr>
                      <w:rFonts w:ascii="Cambria Math" w:eastAsia="Calibri" w:hAnsi="Cambria Math" w:cs="Arial"/>
                      <w:i/>
                      <w:sz w:val="20"/>
                      <w:szCs w:val="20"/>
                    </w:rPr>
                  </m:ctrlPr>
                </m:sSupPr>
                <m:e>
                  <m:r>
                    <w:rPr>
                      <w:rFonts w:ascii="Cambria Math" w:eastAsia="Calibri" w:hAnsi="Cambria Math" w:cs="Arial"/>
                      <w:sz w:val="20"/>
                      <w:szCs w:val="20"/>
                    </w:rPr>
                    <m:t>a</m:t>
                  </m:r>
                </m:e>
                <m:sup>
                  <m:r>
                    <w:rPr>
                      <w:rFonts w:ascii="Cambria Math" w:eastAsia="Calibri" w:hAnsi="Cambria Math" w:cs="Arial"/>
                      <w:sz w:val="20"/>
                      <w:szCs w:val="20"/>
                    </w:rPr>
                    <m:t>2</m:t>
                  </m:r>
                </m:sup>
              </m:sSup>
              <m:sSub>
                <m:sSubPr>
                  <m:ctrlPr>
                    <w:rPr>
                      <w:rFonts w:ascii="Cambria Math" w:eastAsia="Calibri" w:hAnsi="Cambria Math" w:cs="Arial"/>
                      <w:i/>
                      <w:sz w:val="20"/>
                      <w:szCs w:val="20"/>
                    </w:rPr>
                  </m:ctrlPr>
                </m:sSubPr>
                <m:e>
                  <m:r>
                    <w:rPr>
                      <w:rFonts w:ascii="Cambria Math" w:eastAsia="Calibri" w:hAnsi="Cambria Math" w:cs="Arial"/>
                      <w:sz w:val="20"/>
                      <w:szCs w:val="20"/>
                    </w:rPr>
                    <m:t>H</m:t>
                  </m:r>
                </m:e>
                <m:sub>
                  <m:r>
                    <w:rPr>
                      <w:rFonts w:ascii="Cambria Math" w:eastAsia="Calibri" w:hAnsi="Cambria Math" w:cs="Arial"/>
                      <w:sz w:val="20"/>
                      <w:szCs w:val="20"/>
                    </w:rPr>
                    <m:t>T0</m:t>
                  </m:r>
                </m:sub>
              </m:sSub>
            </m:den>
          </m:f>
        </m:oMath>
      </m:oMathPara>
    </w:p>
    <w:p w14:paraId="545260B4" w14:textId="77777777" w:rsidR="00AD4748" w:rsidRPr="00AD4748" w:rsidRDefault="00AD4748" w:rsidP="00AD4748">
      <w:pPr>
        <w:spacing w:after="0" w:line="720" w:lineRule="auto"/>
        <w:contextualSpacing/>
        <w:jc w:val="both"/>
        <w:rPr>
          <w:rFonts w:ascii="Arial" w:eastAsia="Calibri" w:hAnsi="Arial" w:cs="Arial"/>
          <w:sz w:val="20"/>
          <w:szCs w:val="20"/>
        </w:rPr>
      </w:pPr>
    </w:p>
    <w:p w14:paraId="7754AB22" w14:textId="01D1230D" w:rsidR="00AD4748" w:rsidRPr="00AD4748" w:rsidRDefault="00AD4748" w:rsidP="00AD4748">
      <w:pPr>
        <w:spacing w:after="0" w:line="720" w:lineRule="auto"/>
        <w:contextualSpacing/>
        <w:jc w:val="both"/>
        <w:rPr>
          <w:rFonts w:ascii="Arial" w:eastAsia="Calibri" w:hAnsi="Arial" w:cs="Arial"/>
          <w:sz w:val="20"/>
          <w:szCs w:val="20"/>
        </w:rPr>
      </w:pPr>
      <w:r w:rsidRPr="00AD4748">
        <w:rPr>
          <w:rFonts w:ascii="Arial" w:eastAsia="Calibri" w:hAnsi="Arial" w:cs="Arial"/>
          <w:sz w:val="20"/>
          <w:szCs w:val="20"/>
        </w:rPr>
        <w:t xml:space="preserve">With </w:t>
      </w:r>
      <w:proofErr w:type="spellStart"/>
      <w:r w:rsidRPr="00AD4748">
        <w:rPr>
          <w:rFonts w:ascii="Arial" w:eastAsia="Calibri" w:hAnsi="Arial" w:cs="Arial"/>
          <w:sz w:val="20"/>
          <w:szCs w:val="20"/>
        </w:rPr>
        <w:t>n</w:t>
      </w:r>
      <w:r w:rsidRPr="00AD4748">
        <w:rPr>
          <w:rFonts w:ascii="Arial" w:eastAsia="Calibri" w:hAnsi="Arial" w:cs="Arial"/>
          <w:sz w:val="20"/>
          <w:szCs w:val="20"/>
          <w:vertAlign w:val="subscript"/>
        </w:rPr>
        <w:t>P</w:t>
      </w:r>
      <w:proofErr w:type="spellEnd"/>
      <w:r w:rsidRPr="00AD4748">
        <w:rPr>
          <w:rFonts w:ascii="Arial" w:eastAsia="Calibri" w:hAnsi="Arial" w:cs="Arial"/>
          <w:sz w:val="20"/>
          <w:szCs w:val="20"/>
        </w:rPr>
        <w:t xml:space="preserve"> and </w:t>
      </w:r>
      <w:proofErr w:type="spellStart"/>
      <w:r w:rsidRPr="00AD4748">
        <w:rPr>
          <w:rFonts w:ascii="Arial" w:eastAsia="Calibri" w:hAnsi="Arial" w:cs="Arial"/>
          <w:sz w:val="20"/>
          <w:szCs w:val="20"/>
        </w:rPr>
        <w:t>n</w:t>
      </w:r>
      <w:r w:rsidRPr="00AD4748">
        <w:rPr>
          <w:rFonts w:ascii="Arial" w:eastAsia="Calibri" w:hAnsi="Arial" w:cs="Arial"/>
          <w:sz w:val="20"/>
          <w:szCs w:val="20"/>
          <w:vertAlign w:val="subscript"/>
        </w:rPr>
        <w:t>LW</w:t>
      </w:r>
      <w:proofErr w:type="spellEnd"/>
      <w:r w:rsidRPr="00AD4748">
        <w:rPr>
          <w:rFonts w:ascii="Arial" w:eastAsia="Calibri" w:hAnsi="Arial" w:cs="Arial"/>
          <w:sz w:val="20"/>
          <w:szCs w:val="20"/>
        </w:rPr>
        <w:t xml:space="preserve"> being the amount (mol) of the water of the pool to be assessed and the labeled water (i.e. 330 mL ingested), respectively, anda</w:t>
      </w:r>
      <w:r w:rsidRPr="00AD4748">
        <w:rPr>
          <w:rFonts w:ascii="Arial" w:eastAsia="Calibri" w:hAnsi="Arial" w:cs="Arial"/>
          <w:sz w:val="20"/>
          <w:szCs w:val="20"/>
          <w:vertAlign w:val="superscript"/>
        </w:rPr>
        <w:t>2</w:t>
      </w:r>
      <w:r w:rsidRPr="00AD4748">
        <w:rPr>
          <w:rFonts w:ascii="Arial" w:eastAsia="Calibri" w:hAnsi="Arial" w:cs="Arial"/>
          <w:sz w:val="20"/>
          <w:szCs w:val="20"/>
        </w:rPr>
        <w:t>H</w:t>
      </w:r>
      <w:r w:rsidRPr="00AD4748">
        <w:rPr>
          <w:rFonts w:ascii="Arial" w:eastAsia="Calibri" w:hAnsi="Arial" w:cs="Arial"/>
          <w:sz w:val="20"/>
          <w:szCs w:val="20"/>
          <w:vertAlign w:val="subscript"/>
        </w:rPr>
        <w:t>LW</w:t>
      </w:r>
      <w:r w:rsidRPr="00AD4748">
        <w:rPr>
          <w:rFonts w:ascii="Arial" w:eastAsia="Calibri" w:hAnsi="Arial" w:cs="Arial"/>
          <w:sz w:val="20"/>
          <w:szCs w:val="20"/>
        </w:rPr>
        <w:t>,a</w:t>
      </w:r>
      <w:r w:rsidRPr="00AD4748">
        <w:rPr>
          <w:rFonts w:ascii="Arial" w:eastAsia="Calibri" w:hAnsi="Arial" w:cs="Arial"/>
          <w:sz w:val="20"/>
          <w:szCs w:val="20"/>
          <w:vertAlign w:val="superscript"/>
        </w:rPr>
        <w:t>2</w:t>
      </w:r>
      <w:r w:rsidRPr="00AD4748">
        <w:rPr>
          <w:rFonts w:ascii="Arial" w:eastAsia="Calibri" w:hAnsi="Arial" w:cs="Arial"/>
          <w:sz w:val="20"/>
          <w:szCs w:val="20"/>
        </w:rPr>
        <w:t>H</w:t>
      </w:r>
      <w:r w:rsidRPr="00AD4748">
        <w:rPr>
          <w:rFonts w:ascii="Arial" w:eastAsia="Calibri" w:hAnsi="Arial" w:cs="Arial"/>
          <w:sz w:val="20"/>
          <w:szCs w:val="20"/>
          <w:vertAlign w:val="subscript"/>
        </w:rPr>
        <w:t>LP</w:t>
      </w:r>
      <w:r w:rsidRPr="00AD4748">
        <w:rPr>
          <w:rFonts w:ascii="Arial" w:eastAsia="Calibri" w:hAnsi="Arial" w:cs="Arial"/>
          <w:sz w:val="20"/>
          <w:szCs w:val="20"/>
        </w:rPr>
        <w:t>, and a</w:t>
      </w:r>
      <w:r w:rsidRPr="00AD4748">
        <w:rPr>
          <w:rFonts w:ascii="Arial" w:eastAsia="Calibri" w:hAnsi="Arial" w:cs="Arial"/>
          <w:sz w:val="20"/>
          <w:szCs w:val="20"/>
          <w:vertAlign w:val="superscript"/>
        </w:rPr>
        <w:t>2</w:t>
      </w:r>
      <w:r w:rsidRPr="00AD4748">
        <w:rPr>
          <w:rFonts w:ascii="Arial" w:eastAsia="Calibri" w:hAnsi="Arial" w:cs="Arial"/>
          <w:sz w:val="20"/>
          <w:szCs w:val="20"/>
        </w:rPr>
        <w:t>H</w:t>
      </w:r>
      <w:r w:rsidRPr="00AD4748">
        <w:rPr>
          <w:rFonts w:ascii="Arial" w:eastAsia="Calibri" w:hAnsi="Arial" w:cs="Arial"/>
          <w:sz w:val="20"/>
          <w:szCs w:val="20"/>
          <w:vertAlign w:val="subscript"/>
        </w:rPr>
        <w:t>T0</w:t>
      </w:r>
      <w:r w:rsidRPr="00AD4748">
        <w:rPr>
          <w:rFonts w:ascii="Arial" w:eastAsia="Calibri" w:hAnsi="Arial" w:cs="Arial"/>
          <w:sz w:val="20"/>
          <w:szCs w:val="20"/>
        </w:rPr>
        <w:t xml:space="preserve"> being the  a</w:t>
      </w:r>
      <w:r w:rsidRPr="00AD4748">
        <w:rPr>
          <w:rFonts w:ascii="Arial" w:eastAsia="Calibri" w:hAnsi="Arial" w:cs="Arial"/>
          <w:sz w:val="20"/>
          <w:szCs w:val="20"/>
          <w:vertAlign w:val="superscript"/>
        </w:rPr>
        <w:t>2</w:t>
      </w:r>
      <w:r w:rsidRPr="00AD4748">
        <w:rPr>
          <w:rFonts w:ascii="Arial" w:eastAsia="Calibri" w:hAnsi="Arial" w:cs="Arial"/>
          <w:sz w:val="20"/>
          <w:szCs w:val="20"/>
        </w:rPr>
        <w:t>H of the labeled water, the labeled pool and the pool before ingestion of the labeled water, respectively. For the a</w:t>
      </w:r>
      <w:r w:rsidRPr="00AD4748">
        <w:rPr>
          <w:rFonts w:ascii="Arial" w:eastAsia="Calibri" w:hAnsi="Arial" w:cs="Arial"/>
          <w:sz w:val="20"/>
          <w:szCs w:val="20"/>
          <w:vertAlign w:val="superscript"/>
        </w:rPr>
        <w:t>2</w:t>
      </w:r>
      <w:r w:rsidRPr="00AD4748">
        <w:rPr>
          <w:rFonts w:ascii="Arial" w:eastAsia="Calibri" w:hAnsi="Arial" w:cs="Arial"/>
          <w:sz w:val="20"/>
          <w:szCs w:val="20"/>
        </w:rPr>
        <w:t>H</w:t>
      </w:r>
      <w:r w:rsidR="003C6162">
        <w:rPr>
          <w:rFonts w:ascii="Arial" w:eastAsia="Calibri" w:hAnsi="Arial" w:cs="Arial"/>
          <w:sz w:val="20"/>
          <w:szCs w:val="20"/>
        </w:rPr>
        <w:t xml:space="preserve"> </w:t>
      </w:r>
      <w:r w:rsidRPr="00AD4748">
        <w:rPr>
          <w:rFonts w:ascii="Arial" w:eastAsia="Calibri" w:hAnsi="Arial" w:cs="Arial"/>
          <w:sz w:val="20"/>
          <w:szCs w:val="20"/>
        </w:rPr>
        <w:t xml:space="preserve">of the labeled water </w:t>
      </w:r>
      <w:proofErr w:type="spellStart"/>
      <w:r w:rsidRPr="00AD4748">
        <w:rPr>
          <w:rFonts w:ascii="Arial" w:eastAsia="Calibri" w:hAnsi="Arial" w:cs="Arial"/>
          <w:sz w:val="20"/>
          <w:szCs w:val="20"/>
        </w:rPr>
        <w:t>pool</w:t>
      </w:r>
      <w:proofErr w:type="spellEnd"/>
      <w:r w:rsidRPr="00AD4748">
        <w:rPr>
          <w:rFonts w:ascii="Arial" w:eastAsia="Calibri" w:hAnsi="Arial" w:cs="Arial"/>
          <w:sz w:val="20"/>
          <w:szCs w:val="20"/>
        </w:rPr>
        <w:t xml:space="preserve"> the last blood sample of the protocol was used. The 330 mL of water ingested during the isotopic labeling of the subjects was thus not considered as part of the BW pool. </w:t>
      </w:r>
    </w:p>
    <w:p w14:paraId="06363E14" w14:textId="1EA5B543" w:rsidR="00AD4748" w:rsidRDefault="00AD4748" w:rsidP="00AD4748">
      <w:pPr>
        <w:spacing w:after="0" w:line="720" w:lineRule="auto"/>
        <w:contextualSpacing/>
        <w:rPr>
          <w:rFonts w:ascii="Arial" w:eastAsia="Calibri" w:hAnsi="Arial" w:cs="Arial"/>
          <w:sz w:val="20"/>
          <w:szCs w:val="20"/>
        </w:rPr>
      </w:pPr>
    </w:p>
    <w:p w14:paraId="562797B1" w14:textId="77777777" w:rsidR="003C6162" w:rsidRPr="00AD4748" w:rsidRDefault="003C6162" w:rsidP="00AD4748">
      <w:pPr>
        <w:spacing w:after="0" w:line="720" w:lineRule="auto"/>
        <w:contextualSpacing/>
        <w:rPr>
          <w:rFonts w:ascii="Arial" w:eastAsia="Calibri" w:hAnsi="Arial" w:cs="Arial"/>
          <w:sz w:val="20"/>
          <w:szCs w:val="20"/>
        </w:rPr>
      </w:pPr>
    </w:p>
    <w:p w14:paraId="69F82927" w14:textId="77777777" w:rsidR="00AD4748" w:rsidRPr="00AD4748" w:rsidRDefault="00AD4748" w:rsidP="00AD4748">
      <w:pPr>
        <w:spacing w:after="0" w:line="720" w:lineRule="auto"/>
        <w:contextualSpacing/>
        <w:rPr>
          <w:rFonts w:ascii="Arial" w:hAnsi="Arial" w:cs="Arial"/>
          <w:b/>
          <w:sz w:val="20"/>
          <w:szCs w:val="20"/>
        </w:rPr>
      </w:pPr>
      <w:r w:rsidRPr="00AD4748">
        <w:rPr>
          <w:rFonts w:ascii="Arial" w:hAnsi="Arial" w:cs="Arial"/>
          <w:b/>
          <w:sz w:val="20"/>
          <w:szCs w:val="20"/>
        </w:rPr>
        <w:lastRenderedPageBreak/>
        <w:t xml:space="preserve">Statistical analysis </w:t>
      </w:r>
    </w:p>
    <w:p w14:paraId="704FBD98" w14:textId="17AB4C12"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Statistical analysis was performed using SPSS v.25. Descriptive statistics are reported as median (interquartile range). A Wilcoxon signed-ranked test was used to observe differences of BIA in different postures. A Mann Whitney U test was used to observe sex differences within the group. A p-value of &lt; 0.05 was considered statistically significant. </w:t>
      </w:r>
      <w:bookmarkStart w:id="2" w:name="_Hlk63957564"/>
      <w:r w:rsidRPr="00AD4748">
        <w:rPr>
          <w:rFonts w:ascii="Arial" w:hAnsi="Arial" w:cs="Arial"/>
          <w:sz w:val="20"/>
          <w:szCs w:val="20"/>
        </w:rPr>
        <w:t xml:space="preserve">A </w:t>
      </w:r>
      <w:r w:rsidR="003C6162">
        <w:rPr>
          <w:rFonts w:ascii="Arial" w:hAnsi="Arial" w:cs="Arial"/>
          <w:sz w:val="20"/>
          <w:szCs w:val="20"/>
        </w:rPr>
        <w:t>B</w:t>
      </w:r>
      <w:r w:rsidRPr="00AD4748">
        <w:rPr>
          <w:rFonts w:ascii="Arial" w:hAnsi="Arial" w:cs="Arial"/>
          <w:sz w:val="20"/>
          <w:szCs w:val="20"/>
        </w:rPr>
        <w:t>land-</w:t>
      </w:r>
      <w:r w:rsidR="003C6162">
        <w:rPr>
          <w:rFonts w:ascii="Arial" w:hAnsi="Arial" w:cs="Arial"/>
          <w:sz w:val="20"/>
          <w:szCs w:val="20"/>
        </w:rPr>
        <w:t>A</w:t>
      </w:r>
      <w:r w:rsidRPr="00AD4748">
        <w:rPr>
          <w:rFonts w:ascii="Arial" w:hAnsi="Arial" w:cs="Arial"/>
          <w:sz w:val="20"/>
          <w:szCs w:val="20"/>
        </w:rPr>
        <w:t>ltman</w:t>
      </w:r>
      <w:r w:rsidR="003C6162">
        <w:rPr>
          <w:rFonts w:ascii="Arial" w:hAnsi="Arial" w:cs="Arial"/>
          <w:sz w:val="20"/>
          <w:szCs w:val="20"/>
        </w:rPr>
        <w:t>n</w:t>
      </w:r>
      <w:r w:rsidRPr="00AD4748">
        <w:rPr>
          <w:rFonts w:ascii="Arial" w:hAnsi="Arial" w:cs="Arial"/>
          <w:sz w:val="20"/>
          <w:szCs w:val="20"/>
        </w:rPr>
        <w:t xml:space="preserve"> plot was designed to observe </w:t>
      </w:r>
      <w:r w:rsidR="003C6162" w:rsidRPr="00AD4748">
        <w:rPr>
          <w:rFonts w:ascii="Arial" w:hAnsi="Arial" w:cs="Arial"/>
          <w:sz w:val="20"/>
          <w:szCs w:val="20"/>
        </w:rPr>
        <w:t>proportional</w:t>
      </w:r>
      <w:r w:rsidRPr="00AD4748">
        <w:rPr>
          <w:rFonts w:ascii="Arial" w:hAnsi="Arial" w:cs="Arial"/>
          <w:sz w:val="20"/>
          <w:szCs w:val="20"/>
        </w:rPr>
        <w:t xml:space="preserve"> bias between TBW calculated based on the a</w:t>
      </w:r>
      <w:r w:rsidRPr="00AD4748">
        <w:rPr>
          <w:rFonts w:ascii="Arial" w:hAnsi="Arial" w:cs="Arial"/>
          <w:sz w:val="20"/>
          <w:szCs w:val="20"/>
          <w:vertAlign w:val="superscript"/>
        </w:rPr>
        <w:t>2</w:t>
      </w:r>
      <w:r w:rsidRPr="00AD4748">
        <w:rPr>
          <w:rFonts w:ascii="Arial" w:hAnsi="Arial" w:cs="Arial"/>
          <w:sz w:val="20"/>
          <w:szCs w:val="20"/>
        </w:rPr>
        <w:t xml:space="preserve">H of the blood samples and the TBW based on BIA measurements in a lying position. </w:t>
      </w:r>
      <w:bookmarkEnd w:id="2"/>
      <w:r w:rsidRPr="00AD4748">
        <w:rPr>
          <w:rFonts w:ascii="Arial" w:hAnsi="Arial" w:cs="Arial"/>
          <w:sz w:val="20"/>
          <w:szCs w:val="20"/>
        </w:rPr>
        <w:t>The study was approved by the institutions review board (EC 2017/1636). Written informed consent was obtained from all participants.</w:t>
      </w:r>
    </w:p>
    <w:p w14:paraId="3E2956CC" w14:textId="77777777" w:rsidR="00AD4748" w:rsidRPr="00AD4748" w:rsidRDefault="00AD4748" w:rsidP="00AD4748">
      <w:pPr>
        <w:spacing w:after="0" w:line="720" w:lineRule="auto"/>
        <w:contextualSpacing/>
        <w:jc w:val="both"/>
        <w:rPr>
          <w:rFonts w:ascii="Arial" w:hAnsi="Arial" w:cs="Arial"/>
          <w:sz w:val="20"/>
          <w:szCs w:val="20"/>
        </w:rPr>
      </w:pPr>
    </w:p>
    <w:p w14:paraId="52F39D36"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b/>
          <w:sz w:val="20"/>
          <w:szCs w:val="20"/>
          <w:u w:val="single"/>
        </w:rPr>
        <w:t>Results</w:t>
      </w:r>
    </w:p>
    <w:p w14:paraId="66E2F6EF" w14:textId="77777777" w:rsidR="00AD4748" w:rsidRPr="00AD4748" w:rsidRDefault="00AD4748" w:rsidP="00AD4748">
      <w:pPr>
        <w:spacing w:line="720" w:lineRule="auto"/>
        <w:contextualSpacing/>
        <w:jc w:val="both"/>
        <w:rPr>
          <w:rFonts w:ascii="Arial" w:hAnsi="Arial" w:cs="Arial"/>
          <w:b/>
          <w:sz w:val="20"/>
          <w:szCs w:val="20"/>
        </w:rPr>
      </w:pPr>
      <w:r w:rsidRPr="00AD4748">
        <w:rPr>
          <w:rFonts w:ascii="Arial" w:hAnsi="Arial" w:cs="Arial"/>
          <w:b/>
          <w:sz w:val="20"/>
          <w:szCs w:val="20"/>
          <w:vertAlign w:val="superscript"/>
        </w:rPr>
        <w:t>2</w:t>
      </w:r>
      <w:r w:rsidRPr="00AD4748">
        <w:rPr>
          <w:rFonts w:ascii="Arial" w:hAnsi="Arial" w:cs="Arial"/>
          <w:b/>
          <w:sz w:val="20"/>
          <w:szCs w:val="20"/>
        </w:rPr>
        <w:t xml:space="preserve">H abundance </w:t>
      </w:r>
    </w:p>
    <w:p w14:paraId="2C281241" w14:textId="77777777" w:rsidR="00AD4748" w:rsidRPr="00AD4748" w:rsidRDefault="00AD4748" w:rsidP="00AD4748">
      <w:pPr>
        <w:numPr>
          <w:ilvl w:val="0"/>
          <w:numId w:val="1"/>
        </w:numPr>
        <w:pBdr>
          <w:top w:val="nil"/>
          <w:left w:val="nil"/>
          <w:bottom w:val="nil"/>
          <w:right w:val="nil"/>
          <w:between w:val="nil"/>
        </w:pBdr>
        <w:spacing w:line="720" w:lineRule="auto"/>
        <w:contextualSpacing/>
        <w:rPr>
          <w:rFonts w:ascii="Arial" w:hAnsi="Arial" w:cs="Arial"/>
          <w:i/>
          <w:color w:val="000000"/>
          <w:sz w:val="20"/>
          <w:szCs w:val="20"/>
        </w:rPr>
      </w:pPr>
      <w:r w:rsidRPr="00AD4748">
        <w:rPr>
          <w:rFonts w:ascii="Arial" w:hAnsi="Arial" w:cs="Arial"/>
          <w:i/>
          <w:color w:val="000000"/>
          <w:sz w:val="20"/>
          <w:szCs w:val="20"/>
        </w:rPr>
        <w:t>Serum samples</w:t>
      </w:r>
    </w:p>
    <w:p w14:paraId="185122E1"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color w:val="000000"/>
          <w:sz w:val="20"/>
          <w:szCs w:val="20"/>
        </w:rPr>
      </w:pPr>
      <w:r w:rsidRPr="00AD4748">
        <w:rPr>
          <w:rFonts w:ascii="Arial" w:hAnsi="Arial" w:cs="Arial"/>
          <w:color w:val="000000"/>
          <w:sz w:val="20"/>
          <w:szCs w:val="20"/>
        </w:rPr>
        <w:t>In men the maximum a</w:t>
      </w:r>
      <w:r w:rsidRPr="00AD4748">
        <w:rPr>
          <w:rFonts w:ascii="Arial" w:hAnsi="Arial" w:cs="Arial"/>
          <w:color w:val="000000"/>
          <w:sz w:val="20"/>
          <w:szCs w:val="20"/>
          <w:vertAlign w:val="superscript"/>
        </w:rPr>
        <w:t>2</w:t>
      </w:r>
      <w:r w:rsidRPr="00AD4748">
        <w:rPr>
          <w:rFonts w:ascii="Arial" w:hAnsi="Arial" w:cs="Arial"/>
          <w:color w:val="000000"/>
          <w:sz w:val="20"/>
          <w:szCs w:val="20"/>
        </w:rPr>
        <w:t xml:space="preserve">Hwas reached 50 minutes after ingestion (0.31% (0.28 % - 0.32%)), while in women the maximum was reached more slowly after 60 minutes (0.25% (0.23% - 0.27%)) (Fig 2 A-B)). </w:t>
      </w:r>
      <w:r w:rsidRPr="00AD4748">
        <w:rPr>
          <w:rFonts w:ascii="Arial" w:eastAsia="Calibri" w:hAnsi="Arial" w:cs="Arial"/>
          <w:color w:val="000000"/>
          <w:sz w:val="20"/>
          <w:szCs w:val="20"/>
        </w:rPr>
        <w:t>During the first period (from uptake of the isotopic label till reaching the maximal  a</w:t>
      </w:r>
      <w:r w:rsidRPr="00AD4748">
        <w:rPr>
          <w:rFonts w:ascii="Arial" w:eastAsia="Calibri" w:hAnsi="Arial" w:cs="Arial"/>
          <w:color w:val="000000"/>
          <w:sz w:val="20"/>
          <w:szCs w:val="20"/>
          <w:vertAlign w:val="superscript"/>
        </w:rPr>
        <w:t>2</w:t>
      </w:r>
      <w:r w:rsidRPr="00AD4748">
        <w:rPr>
          <w:rFonts w:ascii="Arial" w:eastAsia="Calibri" w:hAnsi="Arial" w:cs="Arial"/>
          <w:color w:val="000000"/>
          <w:sz w:val="20"/>
          <w:szCs w:val="20"/>
        </w:rPr>
        <w:t>Hof the blood) a first order kinetic, representing the exchange of water from the gastronomic tract to the blood, was assumed. An exchange rate could be determined using a correlation analyses on following equation:</w:t>
      </w:r>
    </w:p>
    <w:p w14:paraId="7BB3CE5A" w14:textId="64BBB221" w:rsidR="00AD4748" w:rsidRPr="00AD4748" w:rsidRDefault="00000000" w:rsidP="00AD4748">
      <w:pPr>
        <w:pBdr>
          <w:top w:val="nil"/>
          <w:left w:val="nil"/>
          <w:bottom w:val="nil"/>
          <w:right w:val="nil"/>
          <w:between w:val="nil"/>
        </w:pBdr>
        <w:spacing w:after="0" w:line="720" w:lineRule="auto"/>
        <w:ind w:left="1065"/>
        <w:contextualSpacing/>
        <w:jc w:val="both"/>
        <w:rPr>
          <w:rFonts w:ascii="Arial" w:eastAsia="Calibri" w:hAnsi="Arial" w:cs="Arial"/>
          <w:color w:val="000000"/>
          <w:sz w:val="20"/>
          <w:szCs w:val="20"/>
        </w:rPr>
      </w:pPr>
      <m:oMathPara>
        <m:oMath>
          <m:sSub>
            <m:sSubPr>
              <m:ctrlPr>
                <w:rPr>
                  <w:rFonts w:ascii="Cambria Math" w:eastAsia="Calibri" w:hAnsi="Cambria Math" w:cs="Arial"/>
                  <w:i/>
                  <w:color w:val="000000"/>
                  <w:sz w:val="20"/>
                  <w:szCs w:val="20"/>
                </w:rPr>
              </m:ctrlPr>
            </m:sSubPr>
            <m:e>
              <m:sSup>
                <m:sSupPr>
                  <m:ctrlPr>
                    <w:rPr>
                      <w:rFonts w:ascii="Cambria Math" w:eastAsia="Calibri" w:hAnsi="Cambria Math" w:cs="Arial"/>
                      <w:i/>
                      <w:color w:val="000000"/>
                      <w:sz w:val="20"/>
                      <w:szCs w:val="20"/>
                    </w:rPr>
                  </m:ctrlPr>
                </m:sSupPr>
                <m:e>
                  <m:r>
                    <w:rPr>
                      <w:rFonts w:ascii="Cambria Math" w:eastAsia="Calibri" w:hAnsi="Cambria Math" w:cs="Arial"/>
                      <w:color w:val="000000"/>
                      <w:sz w:val="20"/>
                      <w:szCs w:val="20"/>
                    </w:rPr>
                    <m:t>a</m:t>
                  </m:r>
                </m:e>
                <m:sup>
                  <m:r>
                    <w:rPr>
                      <w:rFonts w:ascii="Cambria Math" w:eastAsia="Calibri" w:hAnsi="Cambria Math" w:cs="Arial"/>
                      <w:color w:val="000000"/>
                      <w:sz w:val="20"/>
                      <w:szCs w:val="20"/>
                    </w:rPr>
                    <m:t>2</m:t>
                  </m:r>
                </m:sup>
              </m:sSup>
              <m:r>
                <w:rPr>
                  <w:rFonts w:ascii="Cambria Math" w:eastAsia="Calibri" w:hAnsi="Cambria Math" w:cs="Arial"/>
                  <w:color w:val="000000"/>
                  <w:sz w:val="20"/>
                  <w:szCs w:val="20"/>
                </w:rPr>
                <m:t>H</m:t>
              </m:r>
            </m:e>
            <m:sub>
              <m:r>
                <w:rPr>
                  <w:rFonts w:ascii="Cambria Math" w:eastAsia="Calibri" w:hAnsi="Cambria Math" w:cs="Arial"/>
                  <w:color w:val="000000"/>
                  <w:sz w:val="20"/>
                  <w:szCs w:val="20"/>
                </w:rPr>
                <m:t>t, S</m:t>
              </m:r>
            </m:sub>
          </m:sSub>
          <m:r>
            <w:rPr>
              <w:rFonts w:ascii="Cambria Math" w:eastAsia="Calibri" w:hAnsi="Cambria Math" w:cs="Arial"/>
              <w:color w:val="000000"/>
              <w:sz w:val="20"/>
              <w:szCs w:val="20"/>
            </w:rPr>
            <m:t xml:space="preserve">= </m:t>
          </m:r>
          <m:sSub>
            <m:sSubPr>
              <m:ctrlPr>
                <w:rPr>
                  <w:rFonts w:ascii="Cambria Math" w:eastAsia="Calibri" w:hAnsi="Cambria Math" w:cs="Arial"/>
                  <w:i/>
                  <w:color w:val="000000"/>
                  <w:sz w:val="20"/>
                  <w:szCs w:val="20"/>
                </w:rPr>
              </m:ctrlPr>
            </m:sSubPr>
            <m:e>
              <m:sSup>
                <m:sSupPr>
                  <m:ctrlPr>
                    <w:rPr>
                      <w:rFonts w:ascii="Cambria Math" w:eastAsia="Calibri" w:hAnsi="Cambria Math" w:cs="Arial"/>
                      <w:i/>
                      <w:color w:val="000000"/>
                      <w:sz w:val="20"/>
                      <w:szCs w:val="20"/>
                    </w:rPr>
                  </m:ctrlPr>
                </m:sSupPr>
                <m:e>
                  <m:r>
                    <w:rPr>
                      <w:rFonts w:ascii="Cambria Math" w:eastAsia="Calibri" w:hAnsi="Cambria Math" w:cs="Arial"/>
                      <w:color w:val="000000"/>
                      <w:sz w:val="20"/>
                      <w:szCs w:val="20"/>
                    </w:rPr>
                    <m:t>a</m:t>
                  </m:r>
                </m:e>
                <m:sup>
                  <m:r>
                    <w:rPr>
                      <w:rFonts w:ascii="Cambria Math" w:eastAsia="Calibri" w:hAnsi="Cambria Math" w:cs="Arial"/>
                      <w:color w:val="000000"/>
                      <w:sz w:val="20"/>
                      <w:szCs w:val="20"/>
                    </w:rPr>
                    <m:t>2</m:t>
                  </m:r>
                </m:sup>
              </m:sSup>
              <m:r>
                <w:rPr>
                  <w:rFonts w:ascii="Cambria Math" w:eastAsia="Calibri" w:hAnsi="Cambria Math" w:cs="Arial"/>
                  <w:color w:val="000000"/>
                  <w:sz w:val="20"/>
                  <w:szCs w:val="20"/>
                </w:rPr>
                <m:t>H</m:t>
              </m:r>
            </m:e>
            <m:sub>
              <m:r>
                <w:rPr>
                  <w:rFonts w:ascii="Cambria Math" w:eastAsia="Calibri" w:hAnsi="Cambria Math" w:cs="Arial"/>
                  <w:color w:val="000000"/>
                  <w:sz w:val="20"/>
                  <w:szCs w:val="20"/>
                </w:rPr>
                <m:t>T0,S</m:t>
              </m:r>
            </m:sub>
          </m:sSub>
          <m:r>
            <w:rPr>
              <w:rFonts w:ascii="Cambria Math" w:eastAsia="Calibri" w:hAnsi="Cambria Math" w:cs="Arial"/>
              <w:color w:val="000000"/>
              <w:sz w:val="20"/>
              <w:szCs w:val="20"/>
            </w:rPr>
            <m:t>+</m:t>
          </m:r>
          <m:sSub>
            <m:sSubPr>
              <m:ctrlPr>
                <w:rPr>
                  <w:rFonts w:ascii="Cambria Math" w:eastAsia="Calibri" w:hAnsi="Cambria Math" w:cs="Arial"/>
                  <w:i/>
                  <w:color w:val="000000"/>
                  <w:sz w:val="20"/>
                  <w:szCs w:val="20"/>
                </w:rPr>
              </m:ctrlPr>
            </m:sSubPr>
            <m:e>
              <m:sSup>
                <m:sSupPr>
                  <m:ctrlPr>
                    <w:rPr>
                      <w:rFonts w:ascii="Cambria Math" w:eastAsia="Calibri" w:hAnsi="Cambria Math" w:cs="Arial"/>
                      <w:i/>
                      <w:color w:val="000000"/>
                      <w:sz w:val="20"/>
                      <w:szCs w:val="20"/>
                    </w:rPr>
                  </m:ctrlPr>
                </m:sSupPr>
                <m:e>
                  <m:r>
                    <w:rPr>
                      <w:rFonts w:ascii="Cambria Math" w:eastAsia="Calibri" w:hAnsi="Cambria Math" w:cs="Arial"/>
                      <w:color w:val="000000"/>
                      <w:sz w:val="20"/>
                      <w:szCs w:val="20"/>
                    </w:rPr>
                    <m:t>a</m:t>
                  </m:r>
                </m:e>
                <m:sup>
                  <m:r>
                    <w:rPr>
                      <w:rFonts w:ascii="Cambria Math" w:eastAsia="Calibri" w:hAnsi="Cambria Math" w:cs="Arial"/>
                      <w:color w:val="000000"/>
                      <w:sz w:val="20"/>
                      <w:szCs w:val="20"/>
                    </w:rPr>
                    <m:t>2</m:t>
                  </m:r>
                </m:sup>
              </m:sSup>
              <m:r>
                <w:rPr>
                  <w:rFonts w:ascii="Cambria Math" w:eastAsia="Calibri" w:hAnsi="Cambria Math" w:cs="Arial"/>
                  <w:color w:val="000000"/>
                  <w:sz w:val="20"/>
                  <w:szCs w:val="20"/>
                </w:rPr>
                <m:t>H</m:t>
              </m:r>
            </m:e>
            <m:sub>
              <m:r>
                <w:rPr>
                  <w:rFonts w:ascii="Cambria Math" w:eastAsia="Calibri" w:hAnsi="Cambria Math" w:cs="Arial"/>
                  <w:color w:val="000000"/>
                  <w:sz w:val="20"/>
                  <w:szCs w:val="20"/>
                </w:rPr>
                <m:t>max,S</m:t>
              </m:r>
            </m:sub>
          </m:sSub>
          <m:r>
            <w:rPr>
              <w:rFonts w:ascii="Cambria Math" w:eastAsia="Calibri" w:hAnsi="Cambria Math" w:cs="Arial"/>
              <w:color w:val="000000"/>
              <w:sz w:val="20"/>
              <w:szCs w:val="20"/>
            </w:rPr>
            <m:t>(1-</m:t>
          </m:r>
          <m:sSup>
            <m:sSupPr>
              <m:ctrlPr>
                <w:rPr>
                  <w:rFonts w:ascii="Cambria Math" w:eastAsia="Calibri" w:hAnsi="Cambria Math" w:cs="Arial"/>
                  <w:i/>
                  <w:color w:val="000000"/>
                  <w:sz w:val="20"/>
                  <w:szCs w:val="20"/>
                </w:rPr>
              </m:ctrlPr>
            </m:sSupPr>
            <m:e>
              <m:r>
                <w:rPr>
                  <w:rFonts w:ascii="Cambria Math" w:eastAsia="Calibri" w:hAnsi="Cambria Math" w:cs="Arial"/>
                  <w:color w:val="000000"/>
                  <w:sz w:val="20"/>
                  <w:szCs w:val="20"/>
                </w:rPr>
                <m:t>e</m:t>
              </m:r>
            </m:e>
            <m:sup>
              <m:d>
                <m:dPr>
                  <m:ctrlPr>
                    <w:rPr>
                      <w:rFonts w:ascii="Cambria Math" w:eastAsia="Calibri" w:hAnsi="Cambria Math" w:cs="Arial"/>
                      <w:i/>
                      <w:color w:val="000000"/>
                      <w:sz w:val="20"/>
                      <w:szCs w:val="20"/>
                    </w:rPr>
                  </m:ctrlPr>
                </m:dPr>
                <m:e>
                  <m:r>
                    <w:rPr>
                      <w:rFonts w:ascii="Cambria Math" w:eastAsia="Calibri" w:hAnsi="Cambria Math" w:cs="Arial"/>
                      <w:color w:val="000000"/>
                      <w:sz w:val="20"/>
                      <w:szCs w:val="20"/>
                    </w:rPr>
                    <m:t>-k∙t</m:t>
                  </m:r>
                </m:e>
              </m:d>
            </m:sup>
          </m:sSup>
          <m:r>
            <w:rPr>
              <w:rFonts w:ascii="Cambria Math" w:eastAsia="Calibri" w:hAnsi="Cambria Math" w:cs="Arial"/>
              <w:color w:val="000000"/>
              <w:sz w:val="20"/>
              <w:szCs w:val="20"/>
            </w:rPr>
            <m:t>)</m:t>
          </m:r>
        </m:oMath>
      </m:oMathPara>
    </w:p>
    <w:p w14:paraId="3C0050E0" w14:textId="77777777" w:rsidR="00AD4748" w:rsidRPr="00AD4748" w:rsidRDefault="00AD4748" w:rsidP="00AD4748">
      <w:pPr>
        <w:pBdr>
          <w:top w:val="nil"/>
          <w:left w:val="nil"/>
          <w:bottom w:val="nil"/>
          <w:right w:val="nil"/>
          <w:between w:val="nil"/>
        </w:pBdr>
        <w:spacing w:after="0" w:line="720" w:lineRule="auto"/>
        <w:contextualSpacing/>
        <w:jc w:val="both"/>
        <w:rPr>
          <w:rFonts w:ascii="Arial" w:eastAsia="Calibri" w:hAnsi="Arial" w:cs="Arial"/>
          <w:color w:val="000000" w:themeColor="text1"/>
          <w:sz w:val="20"/>
          <w:szCs w:val="20"/>
        </w:rPr>
      </w:pPr>
      <w:r w:rsidRPr="00AD4748">
        <w:rPr>
          <w:rFonts w:ascii="Arial" w:eastAsia="Calibri" w:hAnsi="Arial" w:cs="Arial"/>
          <w:color w:val="000000" w:themeColor="text1"/>
          <w:sz w:val="20"/>
          <w:szCs w:val="20"/>
        </w:rPr>
        <w:t>With a</w:t>
      </w:r>
      <w:r w:rsidRPr="00AD4748">
        <w:rPr>
          <w:rFonts w:ascii="Arial" w:eastAsia="Calibri" w:hAnsi="Arial" w:cs="Arial"/>
          <w:color w:val="000000" w:themeColor="text1"/>
          <w:sz w:val="20"/>
          <w:szCs w:val="20"/>
          <w:vertAlign w:val="superscript"/>
        </w:rPr>
        <w:t>2</w:t>
      </w:r>
      <w:r w:rsidRPr="00AD4748">
        <w:rPr>
          <w:rFonts w:ascii="Arial" w:eastAsia="Calibri" w:hAnsi="Arial" w:cs="Arial"/>
          <w:color w:val="000000" w:themeColor="text1"/>
          <w:sz w:val="20"/>
          <w:szCs w:val="20"/>
        </w:rPr>
        <w:t>H</w:t>
      </w:r>
      <w:r w:rsidRPr="00AD4748">
        <w:rPr>
          <w:rFonts w:ascii="Arial" w:eastAsia="Calibri" w:hAnsi="Arial" w:cs="Arial"/>
          <w:color w:val="000000" w:themeColor="text1"/>
          <w:sz w:val="20"/>
          <w:szCs w:val="20"/>
          <w:vertAlign w:val="subscript"/>
        </w:rPr>
        <w:t>t,S,</w:t>
      </w:r>
      <w:r w:rsidRPr="00AD4748">
        <w:rPr>
          <w:rFonts w:ascii="Arial" w:eastAsia="Calibri" w:hAnsi="Arial" w:cs="Arial"/>
          <w:color w:val="000000" w:themeColor="text1"/>
          <w:sz w:val="20"/>
          <w:szCs w:val="20"/>
        </w:rPr>
        <w:t xml:space="preserve"> a</w:t>
      </w:r>
      <w:r w:rsidRPr="00AD4748">
        <w:rPr>
          <w:rFonts w:ascii="Arial" w:eastAsia="Calibri" w:hAnsi="Arial" w:cs="Arial"/>
          <w:color w:val="000000" w:themeColor="text1"/>
          <w:sz w:val="20"/>
          <w:szCs w:val="20"/>
          <w:vertAlign w:val="superscript"/>
        </w:rPr>
        <w:t>2</w:t>
      </w:r>
      <w:r w:rsidRPr="00AD4748">
        <w:rPr>
          <w:rFonts w:ascii="Arial" w:eastAsia="Calibri" w:hAnsi="Arial" w:cs="Arial"/>
          <w:color w:val="000000" w:themeColor="text1"/>
          <w:sz w:val="20"/>
          <w:szCs w:val="20"/>
        </w:rPr>
        <w:t>H</w:t>
      </w:r>
      <w:r w:rsidRPr="00AD4748">
        <w:rPr>
          <w:rFonts w:ascii="Arial" w:eastAsia="Calibri" w:hAnsi="Arial" w:cs="Arial"/>
          <w:color w:val="000000" w:themeColor="text1"/>
          <w:sz w:val="20"/>
          <w:szCs w:val="20"/>
          <w:vertAlign w:val="subscript"/>
        </w:rPr>
        <w:t>T0,S</w:t>
      </w:r>
      <w:r w:rsidRPr="00AD4748">
        <w:rPr>
          <w:rFonts w:ascii="Arial" w:eastAsia="Calibri" w:hAnsi="Arial" w:cs="Arial"/>
          <w:color w:val="000000" w:themeColor="text1"/>
          <w:sz w:val="20"/>
          <w:szCs w:val="20"/>
        </w:rPr>
        <w:t>, a</w:t>
      </w:r>
      <w:r w:rsidRPr="00AD4748">
        <w:rPr>
          <w:rFonts w:ascii="Arial" w:eastAsia="Calibri" w:hAnsi="Arial" w:cs="Arial"/>
          <w:color w:val="000000" w:themeColor="text1"/>
          <w:sz w:val="20"/>
          <w:szCs w:val="20"/>
          <w:vertAlign w:val="superscript"/>
        </w:rPr>
        <w:t>2</w:t>
      </w:r>
      <w:r w:rsidRPr="00AD4748">
        <w:rPr>
          <w:rFonts w:ascii="Arial" w:eastAsia="Calibri" w:hAnsi="Arial" w:cs="Arial"/>
          <w:color w:val="000000" w:themeColor="text1"/>
          <w:sz w:val="20"/>
          <w:szCs w:val="20"/>
        </w:rPr>
        <w:t>H</w:t>
      </w:r>
      <w:r w:rsidRPr="00AD4748">
        <w:rPr>
          <w:rFonts w:ascii="Arial" w:eastAsia="Calibri" w:hAnsi="Arial" w:cs="Arial"/>
          <w:color w:val="000000" w:themeColor="text1"/>
          <w:sz w:val="20"/>
          <w:szCs w:val="20"/>
          <w:vertAlign w:val="subscript"/>
        </w:rPr>
        <w:t>max,S</w:t>
      </w:r>
      <w:r w:rsidRPr="00AD4748">
        <w:rPr>
          <w:rFonts w:ascii="Arial" w:eastAsia="Calibri" w:hAnsi="Arial" w:cs="Arial"/>
          <w:color w:val="000000" w:themeColor="text1"/>
          <w:sz w:val="20"/>
          <w:szCs w:val="20"/>
        </w:rPr>
        <w:t>, being the a</w:t>
      </w:r>
      <w:r w:rsidRPr="00AD4748">
        <w:rPr>
          <w:rFonts w:ascii="Arial" w:eastAsia="Calibri" w:hAnsi="Arial" w:cs="Arial"/>
          <w:color w:val="000000" w:themeColor="text1"/>
          <w:sz w:val="20"/>
          <w:szCs w:val="20"/>
          <w:vertAlign w:val="superscript"/>
        </w:rPr>
        <w:t>2</w:t>
      </w:r>
      <w:r w:rsidRPr="00AD4748">
        <w:rPr>
          <w:rFonts w:ascii="Arial" w:eastAsia="Calibri" w:hAnsi="Arial" w:cs="Arial"/>
          <w:color w:val="000000" w:themeColor="text1"/>
          <w:sz w:val="20"/>
          <w:szCs w:val="20"/>
        </w:rPr>
        <w:t xml:space="preserve">Hof the serum at specific time, at start point T0 and at the point of maximal isotopic enrichment respectively. While obvious individual differences could be noted, sex had a </w:t>
      </w:r>
      <w:r w:rsidRPr="00AD4748">
        <w:rPr>
          <w:rFonts w:ascii="Arial" w:eastAsia="Calibri" w:hAnsi="Arial" w:cs="Arial"/>
          <w:color w:val="000000" w:themeColor="text1"/>
          <w:sz w:val="20"/>
          <w:szCs w:val="20"/>
        </w:rPr>
        <w:lastRenderedPageBreak/>
        <w:t xml:space="preserve">clear effect on the exchange rate, with a significantly slower exchange rate for female volunteers (Mann Whitney U test, p = 0.041, men: 0.052 min </w:t>
      </w:r>
      <w:r w:rsidRPr="00AD4748">
        <w:rPr>
          <w:rFonts w:ascii="Arial" w:eastAsia="Calibri" w:hAnsi="Arial" w:cs="Arial"/>
          <w:color w:val="000000" w:themeColor="text1"/>
          <w:sz w:val="20"/>
          <w:szCs w:val="20"/>
          <w:vertAlign w:val="superscript"/>
        </w:rPr>
        <w:t>-1</w:t>
      </w:r>
      <w:r w:rsidRPr="00AD4748">
        <w:rPr>
          <w:rFonts w:ascii="Arial" w:eastAsia="Calibri" w:hAnsi="Arial" w:cs="Arial"/>
          <w:color w:val="000000" w:themeColor="text1"/>
          <w:sz w:val="20"/>
          <w:szCs w:val="20"/>
        </w:rPr>
        <w:t xml:space="preserve">; women: 0.038 min </w:t>
      </w:r>
      <w:r w:rsidRPr="00AD4748">
        <w:rPr>
          <w:rFonts w:ascii="Arial" w:eastAsia="Calibri" w:hAnsi="Arial" w:cs="Arial"/>
          <w:color w:val="000000" w:themeColor="text1"/>
          <w:sz w:val="20"/>
          <w:szCs w:val="20"/>
          <w:vertAlign w:val="superscript"/>
        </w:rPr>
        <w:t>-1</w:t>
      </w:r>
      <w:r w:rsidRPr="00AD4748">
        <w:rPr>
          <w:rFonts w:ascii="Arial" w:eastAsia="Calibri" w:hAnsi="Arial" w:cs="Arial"/>
          <w:color w:val="000000" w:themeColor="text1"/>
          <w:sz w:val="20"/>
          <w:szCs w:val="20"/>
        </w:rPr>
        <w:t xml:space="preserve">). </w:t>
      </w:r>
    </w:p>
    <w:p w14:paraId="732B76B7" w14:textId="77777777" w:rsidR="00AD4748" w:rsidRPr="00AD4748" w:rsidRDefault="00AD4748" w:rsidP="00AD4748">
      <w:pPr>
        <w:pBdr>
          <w:top w:val="nil"/>
          <w:left w:val="nil"/>
          <w:bottom w:val="nil"/>
          <w:right w:val="nil"/>
          <w:between w:val="nil"/>
        </w:pBdr>
        <w:spacing w:after="0" w:line="720" w:lineRule="auto"/>
        <w:contextualSpacing/>
        <w:jc w:val="both"/>
        <w:rPr>
          <w:rFonts w:ascii="Arial" w:eastAsia="Calibri" w:hAnsi="Arial" w:cs="Arial"/>
          <w:color w:val="000000" w:themeColor="text1"/>
          <w:sz w:val="20"/>
          <w:szCs w:val="20"/>
        </w:rPr>
      </w:pPr>
    </w:p>
    <w:p w14:paraId="65764669" w14:textId="77777777" w:rsidR="00AD4748" w:rsidRPr="00AD4748" w:rsidRDefault="00AD4748" w:rsidP="00AD4748">
      <w:pPr>
        <w:numPr>
          <w:ilvl w:val="0"/>
          <w:numId w:val="1"/>
        </w:numPr>
        <w:pBdr>
          <w:top w:val="nil"/>
          <w:left w:val="nil"/>
          <w:bottom w:val="nil"/>
          <w:right w:val="nil"/>
          <w:between w:val="nil"/>
        </w:pBdr>
        <w:spacing w:after="0" w:line="720" w:lineRule="auto"/>
        <w:contextualSpacing/>
        <w:rPr>
          <w:rFonts w:ascii="Arial" w:hAnsi="Arial" w:cs="Arial"/>
          <w:i/>
          <w:color w:val="000000"/>
          <w:sz w:val="20"/>
          <w:szCs w:val="20"/>
        </w:rPr>
      </w:pPr>
      <w:r w:rsidRPr="00AD4748">
        <w:rPr>
          <w:rFonts w:ascii="Arial" w:hAnsi="Arial" w:cs="Arial"/>
          <w:i/>
          <w:color w:val="000000"/>
          <w:sz w:val="20"/>
          <w:szCs w:val="20"/>
        </w:rPr>
        <w:t>Urine samples</w:t>
      </w:r>
    </w:p>
    <w:p w14:paraId="057814C5" w14:textId="77777777" w:rsidR="00AD4748" w:rsidRPr="00AD4748" w:rsidRDefault="00AD4748" w:rsidP="00AD4748">
      <w:pPr>
        <w:spacing w:after="0" w:line="720" w:lineRule="auto"/>
        <w:contextualSpacing/>
        <w:jc w:val="both"/>
        <w:rPr>
          <w:rFonts w:ascii="Arial" w:hAnsi="Arial" w:cs="Arial"/>
          <w:sz w:val="20"/>
          <w:szCs w:val="20"/>
        </w:rPr>
      </w:pPr>
      <w:bookmarkStart w:id="3" w:name="_Hlk63604963"/>
      <w:r w:rsidRPr="00AD4748">
        <w:rPr>
          <w:rFonts w:ascii="Arial" w:hAnsi="Arial" w:cs="Arial"/>
          <w:color w:val="000000"/>
          <w:sz w:val="20"/>
          <w:szCs w:val="20"/>
        </w:rPr>
        <w:t>After termination of the test protocol, the median a</w:t>
      </w:r>
      <w:r w:rsidRPr="00AD4748">
        <w:rPr>
          <w:rFonts w:ascii="Arial" w:hAnsi="Arial" w:cs="Arial"/>
          <w:color w:val="000000"/>
          <w:sz w:val="20"/>
          <w:szCs w:val="20"/>
          <w:vertAlign w:val="superscript"/>
        </w:rPr>
        <w:t>2</w:t>
      </w:r>
      <w:r w:rsidRPr="00AD4748">
        <w:rPr>
          <w:rFonts w:ascii="Arial" w:hAnsi="Arial" w:cs="Arial"/>
          <w:color w:val="000000"/>
          <w:sz w:val="20"/>
          <w:szCs w:val="20"/>
        </w:rPr>
        <w:t xml:space="preserve">Hin urine was similar for both sexes s (female: 0.26 % (0.22 % – 0.28 %), male: 0.26 % (0.21 % - 0.31 %)). </w:t>
      </w:r>
      <w:r w:rsidRPr="00AD4748">
        <w:rPr>
          <w:rFonts w:ascii="Arial" w:hAnsi="Arial" w:cs="Arial"/>
          <w:sz w:val="20"/>
          <w:szCs w:val="20"/>
        </w:rPr>
        <w:t>Nevertheless, it was not possible to do multiple observations and to determine kinetic parameters due to practical and ethical limitations of the experiment (short duration, limited bladder filling).</w:t>
      </w:r>
    </w:p>
    <w:bookmarkEnd w:id="3"/>
    <w:p w14:paraId="6AC18F3F" w14:textId="77777777" w:rsidR="00AD4748" w:rsidRPr="00AD4748" w:rsidRDefault="00AD4748" w:rsidP="00AD4748">
      <w:pPr>
        <w:spacing w:after="0" w:line="720" w:lineRule="auto"/>
        <w:contextualSpacing/>
        <w:jc w:val="both"/>
        <w:rPr>
          <w:rFonts w:ascii="Arial" w:hAnsi="Arial" w:cs="Arial"/>
          <w:sz w:val="20"/>
          <w:szCs w:val="20"/>
        </w:rPr>
      </w:pPr>
    </w:p>
    <w:p w14:paraId="1EA1613E" w14:textId="77777777" w:rsidR="00AD4748" w:rsidRPr="00AD4748" w:rsidRDefault="00AD4748" w:rsidP="00AD4748">
      <w:pPr>
        <w:pBdr>
          <w:top w:val="nil"/>
          <w:left w:val="nil"/>
          <w:bottom w:val="nil"/>
          <w:right w:val="nil"/>
          <w:between w:val="nil"/>
        </w:pBdr>
        <w:spacing w:line="720" w:lineRule="auto"/>
        <w:contextualSpacing/>
        <w:jc w:val="both"/>
        <w:rPr>
          <w:rFonts w:ascii="Arial" w:hAnsi="Arial" w:cs="Arial"/>
          <w:color w:val="000000"/>
          <w:sz w:val="20"/>
          <w:szCs w:val="20"/>
        </w:rPr>
      </w:pPr>
      <w:r w:rsidRPr="00AD4748">
        <w:rPr>
          <w:rFonts w:ascii="Arial" w:hAnsi="Arial" w:cs="Arial"/>
          <w:b/>
          <w:sz w:val="20"/>
          <w:szCs w:val="20"/>
        </w:rPr>
        <w:t>BIA measurements</w:t>
      </w:r>
    </w:p>
    <w:p w14:paraId="301C5CF1" w14:textId="77777777" w:rsidR="00AD4748" w:rsidRPr="00AD4748" w:rsidRDefault="00AD4748" w:rsidP="00AD4748">
      <w:pPr>
        <w:pStyle w:val="Lijstalinea"/>
        <w:numPr>
          <w:ilvl w:val="3"/>
          <w:numId w:val="1"/>
        </w:numPr>
        <w:spacing w:line="720" w:lineRule="auto"/>
        <w:rPr>
          <w:rFonts w:ascii="Arial" w:hAnsi="Arial" w:cs="Arial"/>
          <w:i/>
          <w:sz w:val="20"/>
          <w:szCs w:val="20"/>
        </w:rPr>
      </w:pPr>
      <w:r w:rsidRPr="00AD4748">
        <w:rPr>
          <w:rFonts w:ascii="Arial" w:hAnsi="Arial" w:cs="Arial"/>
          <w:i/>
          <w:sz w:val="20"/>
          <w:szCs w:val="20"/>
        </w:rPr>
        <w:t xml:space="preserve">At 50 kHz </w:t>
      </w:r>
    </w:p>
    <w:p w14:paraId="4B266616" w14:textId="6C2BCB94" w:rsidR="00AD4748" w:rsidRDefault="00AD4748" w:rsidP="00AD4748">
      <w:pPr>
        <w:spacing w:line="720" w:lineRule="auto"/>
        <w:contextualSpacing/>
        <w:jc w:val="both"/>
        <w:rPr>
          <w:rFonts w:ascii="Arial" w:hAnsi="Arial" w:cs="Arial"/>
          <w:color w:val="000000"/>
          <w:sz w:val="20"/>
          <w:szCs w:val="20"/>
        </w:rPr>
      </w:pPr>
      <w:r w:rsidRPr="00AD4748">
        <w:rPr>
          <w:rFonts w:ascii="Arial" w:hAnsi="Arial" w:cs="Arial"/>
          <w:color w:val="000000"/>
          <w:sz w:val="20"/>
          <w:szCs w:val="20"/>
        </w:rPr>
        <w:t xml:space="preserve">Impedance measured at 50 kHz (Fig 3 A-B) showed a significant difference in the trunk between the lying and the standing position, as it increased significantly between - 15 (standing) and -10 minutes (lying) and decreased significantly with the next posture chance between 55 (lying) and 65 minutes (standing) (p &lt; 0.001 for both sexes s). These changes reflect the redistribution of fluid with an increase of fluid in the trunk while switching positions from lying to standing. </w:t>
      </w:r>
    </w:p>
    <w:p w14:paraId="672DD690" w14:textId="77777777" w:rsidR="0096332A" w:rsidRPr="00AD4748" w:rsidRDefault="0096332A" w:rsidP="00AD4748">
      <w:pPr>
        <w:spacing w:line="720" w:lineRule="auto"/>
        <w:contextualSpacing/>
        <w:jc w:val="both"/>
        <w:rPr>
          <w:rFonts w:ascii="Arial" w:hAnsi="Arial" w:cs="Arial"/>
          <w:color w:val="000000"/>
          <w:sz w:val="20"/>
          <w:szCs w:val="20"/>
        </w:rPr>
      </w:pPr>
    </w:p>
    <w:p w14:paraId="1B274059"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color w:val="000000"/>
          <w:sz w:val="20"/>
          <w:szCs w:val="20"/>
        </w:rPr>
      </w:pPr>
      <w:r w:rsidRPr="00AD4748">
        <w:rPr>
          <w:rFonts w:ascii="Arial" w:hAnsi="Arial" w:cs="Arial"/>
          <w:color w:val="000000"/>
          <w:sz w:val="20"/>
          <w:szCs w:val="20"/>
        </w:rPr>
        <w:t xml:space="preserve">The impedance measured in the arms did not differ significantly between the standing and the supine position. Posture changes did influence the impedance in legs for both sexes, as impedance decreased when standing up after 65 minutes of the test protocol (p = 0.012 in men and p = 0.008 in women). As for </w:t>
      </w:r>
      <w:r w:rsidRPr="00AD4748">
        <w:rPr>
          <w:rFonts w:ascii="Arial" w:hAnsi="Arial" w:cs="Arial"/>
          <w:color w:val="000000"/>
          <w:sz w:val="20"/>
          <w:szCs w:val="20"/>
        </w:rPr>
        <w:lastRenderedPageBreak/>
        <w:t>the trunk, an increased fluid volume in the legs can be mentioned as the reason for the significant lower impedance.</w:t>
      </w:r>
    </w:p>
    <w:p w14:paraId="4BDC4E74"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color w:val="000000"/>
          <w:sz w:val="20"/>
          <w:szCs w:val="20"/>
        </w:rPr>
      </w:pPr>
    </w:p>
    <w:p w14:paraId="5DBA93DA" w14:textId="77777777" w:rsidR="00AD4748" w:rsidRPr="00AD4748" w:rsidRDefault="00AD4748" w:rsidP="00AD4748">
      <w:pPr>
        <w:pStyle w:val="Lijstalinea"/>
        <w:numPr>
          <w:ilvl w:val="3"/>
          <w:numId w:val="1"/>
        </w:numPr>
        <w:pBdr>
          <w:top w:val="nil"/>
          <w:left w:val="nil"/>
          <w:bottom w:val="nil"/>
          <w:right w:val="nil"/>
          <w:between w:val="nil"/>
        </w:pBdr>
        <w:spacing w:after="0" w:line="720" w:lineRule="auto"/>
        <w:jc w:val="both"/>
        <w:rPr>
          <w:rFonts w:ascii="Arial" w:hAnsi="Arial" w:cs="Arial"/>
          <w:i/>
          <w:color w:val="000000"/>
          <w:sz w:val="20"/>
          <w:szCs w:val="20"/>
        </w:rPr>
      </w:pPr>
      <w:r w:rsidRPr="00AD4748">
        <w:rPr>
          <w:rFonts w:ascii="Arial" w:hAnsi="Arial" w:cs="Arial"/>
          <w:i/>
          <w:color w:val="000000"/>
          <w:sz w:val="20"/>
          <w:szCs w:val="20"/>
        </w:rPr>
        <w:t>At 1 kHz</w:t>
      </w:r>
    </w:p>
    <w:p w14:paraId="59C6F89F"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color w:val="000000"/>
          <w:sz w:val="20"/>
          <w:szCs w:val="20"/>
        </w:rPr>
      </w:pPr>
      <w:r w:rsidRPr="00AD4748">
        <w:rPr>
          <w:rFonts w:ascii="Arial" w:hAnsi="Arial" w:cs="Arial"/>
          <w:color w:val="000000"/>
          <w:sz w:val="20"/>
          <w:szCs w:val="20"/>
        </w:rPr>
        <w:t xml:space="preserve">Impedance measurements at 1 kHz (Fig 3 C-D) show the conduction through the ECF alone, as the cell membrane could not be passed at this low frequency. Equal to measurements at 50khz, posture changes did not impact the impedance of the arms at 1 kHz. For the trunk, a posture change from lying to standing up (65 minutes) is reflected with a significant lower impedance. However after this initial decrease, no changes in trunk impedance could be measures between consecutive measurements in the standing position. In the legs, a significant lower impedance is observed while moving from lying to standing (men: p = 0.011, and women p = 0.007), suggestion a fast increase of fluid in the ECF in de lower limbs. In contrary to the trunk, a further significant decrease in leg impedance could be observed during repeated measurements in the standing position (men, p = 0.018, women p = 0.011). </w:t>
      </w:r>
    </w:p>
    <w:p w14:paraId="413CD137"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color w:val="000000"/>
          <w:sz w:val="20"/>
          <w:szCs w:val="20"/>
        </w:rPr>
      </w:pPr>
    </w:p>
    <w:p w14:paraId="55330292"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b/>
          <w:color w:val="000000"/>
          <w:sz w:val="20"/>
          <w:szCs w:val="20"/>
        </w:rPr>
      </w:pPr>
      <w:r w:rsidRPr="00AD4748">
        <w:rPr>
          <w:rFonts w:ascii="Arial" w:hAnsi="Arial" w:cs="Arial"/>
          <w:b/>
          <w:color w:val="000000"/>
          <w:sz w:val="20"/>
          <w:szCs w:val="20"/>
        </w:rPr>
        <w:t>Prediction of the TBW</w:t>
      </w:r>
    </w:p>
    <w:p w14:paraId="20F681D8" w14:textId="5CFBEDDC" w:rsidR="00AD4748" w:rsidRPr="00AD4748" w:rsidRDefault="00AD4748" w:rsidP="00AD4748">
      <w:pPr>
        <w:spacing w:line="720" w:lineRule="auto"/>
        <w:contextualSpacing/>
        <w:rPr>
          <w:rFonts w:ascii="Arial" w:hAnsi="Arial" w:cs="Arial"/>
          <w:color w:val="201F1E"/>
          <w:sz w:val="20"/>
          <w:szCs w:val="20"/>
          <w:lang w:val="en-AU"/>
        </w:rPr>
      </w:pPr>
      <w:r w:rsidRPr="00AD4748">
        <w:rPr>
          <w:rFonts w:ascii="Arial" w:hAnsi="Arial" w:cs="Arial"/>
          <w:sz w:val="20"/>
          <w:szCs w:val="20"/>
        </w:rPr>
        <w:t xml:space="preserve">Table 1 reports TBW calculations using different methods. However, some precautions should be taken for this deuterium serum measurements, as an equilibrium was not yet attained at the end of the experiment. For this reason, calculations based on deuterium measurements are mentioned as BW  instead of TBW. </w:t>
      </w:r>
      <w:r w:rsidRPr="00AD4748">
        <w:rPr>
          <w:rFonts w:ascii="Arial" w:hAnsi="Arial" w:cs="Arial"/>
          <w:sz w:val="20"/>
          <w:szCs w:val="20"/>
          <w:lang w:val="en-AU"/>
        </w:rPr>
        <w:t>A Bland Altmann compared the TBW measurements based on the a</w:t>
      </w:r>
      <w:r w:rsidRPr="00AD4748">
        <w:rPr>
          <w:rFonts w:ascii="Arial" w:hAnsi="Arial" w:cs="Arial"/>
          <w:sz w:val="20"/>
          <w:szCs w:val="20"/>
          <w:vertAlign w:val="superscript"/>
          <w:lang w:val="en-AU"/>
        </w:rPr>
        <w:t>2</w:t>
      </w:r>
      <w:r w:rsidRPr="00AD4748">
        <w:rPr>
          <w:rFonts w:ascii="Arial" w:hAnsi="Arial" w:cs="Arial"/>
          <w:sz w:val="20"/>
          <w:szCs w:val="20"/>
          <w:lang w:val="en-AU"/>
        </w:rPr>
        <w:t>H serum samples and the TBW by BIA in a lying position. Although the TBW based on a</w:t>
      </w:r>
      <w:r w:rsidRPr="00AD4748">
        <w:rPr>
          <w:rFonts w:ascii="Arial" w:hAnsi="Arial" w:cs="Arial"/>
          <w:sz w:val="20"/>
          <w:szCs w:val="20"/>
          <w:vertAlign w:val="superscript"/>
          <w:lang w:val="en-AU"/>
        </w:rPr>
        <w:t>2</w:t>
      </w:r>
      <w:r w:rsidRPr="00AD4748">
        <w:rPr>
          <w:rFonts w:ascii="Arial" w:hAnsi="Arial" w:cs="Arial"/>
          <w:sz w:val="20"/>
          <w:szCs w:val="20"/>
          <w:lang w:val="en-AU"/>
        </w:rPr>
        <w:t xml:space="preserve">H of  the serum samples was not </w:t>
      </w:r>
      <w:r w:rsidRPr="00AD4748">
        <w:rPr>
          <w:rFonts w:ascii="Arial" w:hAnsi="Arial" w:cs="Arial"/>
          <w:sz w:val="20"/>
          <w:szCs w:val="20"/>
          <w:lang w:val="en-AU"/>
        </w:rPr>
        <w:lastRenderedPageBreak/>
        <w:t>optimal due to the limited time frame of the study</w:t>
      </w:r>
      <w:r w:rsidR="0096332A">
        <w:rPr>
          <w:rFonts w:ascii="Arial" w:hAnsi="Arial" w:cs="Arial"/>
          <w:sz w:val="20"/>
          <w:szCs w:val="20"/>
          <w:lang w:val="en-AU"/>
        </w:rPr>
        <w:t xml:space="preserve">, </w:t>
      </w:r>
      <w:r w:rsidRPr="00AD4748">
        <w:rPr>
          <w:rFonts w:ascii="Arial" w:hAnsi="Arial" w:cs="Arial"/>
          <w:sz w:val="20"/>
          <w:szCs w:val="20"/>
          <w:lang w:val="en-AU"/>
        </w:rPr>
        <w:t>the linear regression analysis did not describe proportional bias between both methods (p = 0.3).</w:t>
      </w:r>
    </w:p>
    <w:p w14:paraId="2BDFF70A"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sz w:val="20"/>
          <w:szCs w:val="20"/>
        </w:rPr>
      </w:pPr>
    </w:p>
    <w:p w14:paraId="4A14FD9E" w14:textId="77777777" w:rsidR="00AD4748" w:rsidRPr="00AD4748" w:rsidRDefault="00AD4748" w:rsidP="00AD4748">
      <w:pPr>
        <w:spacing w:after="0" w:line="720" w:lineRule="auto"/>
        <w:contextualSpacing/>
        <w:rPr>
          <w:rFonts w:ascii="Arial" w:hAnsi="Arial" w:cs="Arial"/>
          <w:b/>
          <w:sz w:val="20"/>
          <w:szCs w:val="20"/>
          <w:u w:val="single"/>
        </w:rPr>
      </w:pPr>
      <w:r w:rsidRPr="00AD4748">
        <w:rPr>
          <w:rFonts w:ascii="Arial" w:hAnsi="Arial" w:cs="Arial"/>
          <w:b/>
          <w:sz w:val="20"/>
          <w:szCs w:val="20"/>
          <w:u w:val="single"/>
        </w:rPr>
        <w:t>Discussion</w:t>
      </w:r>
    </w:p>
    <w:p w14:paraId="22527F13" w14:textId="77777777" w:rsidR="00AD4748" w:rsidRPr="00AD4748" w:rsidRDefault="00AD4748" w:rsidP="00AD4748">
      <w:pPr>
        <w:spacing w:line="720" w:lineRule="auto"/>
        <w:contextualSpacing/>
        <w:jc w:val="both"/>
        <w:rPr>
          <w:rFonts w:ascii="Arial" w:hAnsi="Arial" w:cs="Arial"/>
          <w:sz w:val="20"/>
          <w:szCs w:val="20"/>
        </w:rPr>
      </w:pPr>
      <w:r w:rsidRPr="00AD4748">
        <w:rPr>
          <w:rFonts w:ascii="Arial" w:hAnsi="Arial" w:cs="Arial"/>
          <w:sz w:val="20"/>
          <w:szCs w:val="20"/>
        </w:rPr>
        <w:t xml:space="preserve">For many years research concerning the human water storage and excretion has been conducted. The results of this pilot study demonstrate the potential usefulness of deuterated water and BIA for further research concerning the link between NP and edema. Subsequently, the kinetics of exchange between the intravascular, slow and fast exchangeable pool and the impact of different body positions on the fluid contain of different body parts could be determined. </w:t>
      </w:r>
    </w:p>
    <w:p w14:paraId="51E1CC3A" w14:textId="77777777" w:rsidR="00AD4748" w:rsidRPr="00AD4748" w:rsidRDefault="00AD4748" w:rsidP="00AD4748">
      <w:pPr>
        <w:spacing w:line="720" w:lineRule="auto"/>
        <w:contextualSpacing/>
        <w:jc w:val="both"/>
        <w:rPr>
          <w:rFonts w:ascii="Arial" w:hAnsi="Arial" w:cs="Arial"/>
          <w:sz w:val="20"/>
          <w:szCs w:val="20"/>
        </w:rPr>
      </w:pPr>
    </w:p>
    <w:p w14:paraId="5E649C1E" w14:textId="77777777" w:rsidR="00AD4748" w:rsidRPr="00AD4748" w:rsidRDefault="00AD4748" w:rsidP="00AD4748">
      <w:pPr>
        <w:spacing w:line="720" w:lineRule="auto"/>
        <w:contextualSpacing/>
        <w:jc w:val="both"/>
        <w:rPr>
          <w:rFonts w:ascii="Arial" w:hAnsi="Arial" w:cs="Arial"/>
          <w:b/>
          <w:sz w:val="20"/>
          <w:szCs w:val="20"/>
        </w:rPr>
      </w:pPr>
      <w:r w:rsidRPr="00AD4748">
        <w:rPr>
          <w:rFonts w:ascii="Arial" w:hAnsi="Arial" w:cs="Arial"/>
          <w:b/>
          <w:sz w:val="20"/>
          <w:szCs w:val="20"/>
        </w:rPr>
        <w:t xml:space="preserve">Deuterium dilution experiment </w:t>
      </w:r>
    </w:p>
    <w:p w14:paraId="54C61CF0"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In literature, the first increase of a</w:t>
      </w:r>
      <w:r w:rsidRPr="00AD4748">
        <w:rPr>
          <w:rFonts w:ascii="Arial" w:hAnsi="Arial" w:cs="Arial"/>
          <w:sz w:val="20"/>
          <w:szCs w:val="20"/>
          <w:vertAlign w:val="superscript"/>
        </w:rPr>
        <w:t>2</w:t>
      </w:r>
      <w:r w:rsidRPr="00AD4748">
        <w:rPr>
          <w:rFonts w:ascii="Arial" w:hAnsi="Arial" w:cs="Arial"/>
          <w:sz w:val="20"/>
          <w:szCs w:val="20"/>
        </w:rPr>
        <w:t xml:space="preserve">H in serum samples has been reported 2.5 minutes after ingestion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{"citationItems":[{"id":"ITEM-1","itemData":{"DOI":"10.1139/H08-084","ISSN":"17155312","abstract":"Optimal fluid delivery from carbohydrate solutions such as oral rehydration solutions or sports drinks is essential. The aim of the study was to investigate whether a beverage containing glucose and fructose would result in greater fluid delivery than a beverage containing glucose alone. Six male subjects were recruited (average age (+/-SD): 22 +/- 2 y). Subjects entered the laboratory between 0700 h and 0900 h after an overnight fast. A 600 mL bolus of 1 of the 3 experimental beverages was then given. The experimental beverages were water (W), 75 g glucose (G), or 50 g glucose and 25 g fructose (GF); each beverage also contained 3.00 g of D2O. Following administration of the experimental beverage subjects remained in a seated position for 180 min. Blood and saliva samples were then taken every 5 min in the first hour and every 15 min thereafter. Plasma and saliva samples were analyzed for deuterium enrichment by isotope ratio mass spectrometry. Deuterium oxide enrichments were compared using a 2-way repeated measures analysis of variance. The water trial (33 +/- 3 min) showed a significantly shorter time to peak than either G (82 +/- 40 min) or GF (59 +/- 25 min), but the difference between G and GF did not reach statistical significance. There was a significantly greater AUC for GF (55 673 +/- 10 020 delta per thousand vs. Vienna Standard Mean Ocean Water (VSMOW).180 min) and W (60 497 +/- 9864 delta per thousand vs. VSMOW.180 min) compared with G (46 290 +/- 9622 delta per thousand vs. VSMOW.180 min); W and GF were not significantly different from each other. These data suggest that a 12.5% carbohydrate beverage containing glucose and fructose results in more rapid fluid delivery in the first 75 min than a beverage containing glucose alone.","author":[{"dropping-particle":"","family":"Currell","given":"Kevin","non-dropping-particle":"","parse-names":false,"suffix":""},{"dropping-particle":"","family":"Urch","given":"Joanna","non-dropping-particle":"","parse-names":false,"suffix":""},{"dropping-particle":"","family":"Cerri","given":"Erika","non-dropping-particle":"","parse-names":false,"suffix":""},{"dropping-particle":"","family":"Jentjens","given":"Roy L.P.","non-dropping-particle":"","parse-names":false,"suffix":""},{"dropping-particle":"","family":"Blannin","given":"Andy K.","non-dropping-particle":"","parse-names":false,"suffix":""},{"dropping-particle":"","family":"Jeukendrup","given":"Asker E.","non-dropping-particle":"","parse-names":false,"suffix":""}],"container-title":"Applied Physiology, Nutrition and Metabolism","id":"ITEM-1","issue":"6","issued":{"date-parts":[["2008","12"]]},"page":"1067-1072","title":"Plasma deuterium oxide accumulation following ingestion of different carbohydrate beverages","type":"article-journal","volume":"33"},"uris":["http://www.mendeley.com/documents/?uuid=f32ea4f9-80da-3ce9-abac-067a6fcb63b7"]}],"mendeley":{"formattedCitation":"[18]","plainTextFormattedCitation":"[18]","previouslyFormattedCitation":"[18]"},"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[18]</w:t>
      </w:r>
      <w:r w:rsidRPr="00AD4748">
        <w:rPr>
          <w:rFonts w:ascii="Arial" w:hAnsi="Arial" w:cs="Arial"/>
          <w:sz w:val="20"/>
          <w:szCs w:val="20"/>
        </w:rPr>
        <w:fldChar w:fldCharType="end"/>
      </w:r>
      <w:r w:rsidRPr="00AD4748">
        <w:rPr>
          <w:rFonts w:ascii="Arial" w:hAnsi="Arial" w:cs="Arial"/>
          <w:sz w:val="20"/>
          <w:szCs w:val="20"/>
        </w:rPr>
        <w:t xml:space="preserve">. In the current study, a sample taken 10 minutes after ingestion already reflects the spread of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 xml:space="preserve">O in the intravascular system. The uptake of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O seems to be divided into a fast and a slow exchangeable pool. This is in line with results found b</w:t>
      </w:r>
      <w:r w:rsidRPr="00AD4748">
        <w:rPr>
          <w:rFonts w:ascii="Arial" w:hAnsi="Arial" w:cs="Arial"/>
          <w:sz w:val="20"/>
          <w:szCs w:val="20"/>
          <w:highlight w:val="white"/>
        </w:rPr>
        <w:t xml:space="preserve">y other authors </w:t>
      </w:r>
      <w:r w:rsidRPr="00AD4748">
        <w:rPr>
          <w:rFonts w:ascii="Arial" w:hAnsi="Arial" w:cs="Arial"/>
          <w:sz w:val="20"/>
          <w:szCs w:val="20"/>
          <w:highlight w:val="white"/>
        </w:rPr>
        <w:fldChar w:fldCharType="begin" w:fldLock="1"/>
      </w:r>
      <w:r w:rsidRPr="00AD4748">
        <w:rPr>
          <w:rFonts w:ascii="Arial" w:hAnsi="Arial" w:cs="Arial"/>
          <w:sz w:val="20"/>
          <w:szCs w:val="20"/>
          <w:highlight w:val="white"/>
        </w:rPr>
        <w:instrText>ADDIN CSL_CITATION {"citationItems":[{"id":"ITEM-1","itemData":{"DOI":"10.1152/jappl.1987.63.5.2060","ISSN":"8750-7587","PMID":"3693238","abstract":"A simple low-cost procedure was developed to compare the temporal profiles of deuterium oxide (D2O) accumulation in body fluids after ingestion of D2O-labeled solutions. D2O concentration was measured in plasma and saliva samples taken at various intervals after ingestion of 20 ml of D2O mixed with five solutions differing in carbohydrate and electrolyte concentrations. An infrared spectrometer was used to measure D2O in purified samples obtained after a 48-h incubation period during which the water (D2O and H2O) in the sample was equilibrated with an equal volume of distilled water in a sealed diffusion dish. The procedure yields 100% recoveries of 60-500 ppm D2O with an average precision of 5%. When compared with values for distilled water, D2O accumulation in serial samples of plasma and saliva was slower for ingested solutions containing 40 and 15% glucose and faster for hypotonic saline and a 6% carbohydrate-electrolyte solution. These differences appear to reflect known differences in gastric emptying and intestinal absorption of these beverages. Therefore this technique may provide a useful index of the rate of water uptake from ingested beverages into the body fluids.","author":[{"dropping-particle":"","family":"Davis","given":"J M","non-dropping-particle":"","parse-names":false,"suffix":""},{"dropping-particle":"","family":"Lamb","given":"D R","non-dropping-particle":"","parse-names":false,"suffix":""},{"dropping-particle":"","family":"Burgess","given":"W A","non-dropping-particle":"","parse-names":false,"suffix":""},{"dropping-particle":"","family":"Bartoli","given":"W P","non-dropping-particle":"","parse-names":false,"suffix":""}],"container-title":"Journal of applied physiology (Bethesda, Md. : 1985)","id":"ITEM-1","issue":"5","issued":{"date-parts":[["1987","11"]]},"page":"2060-6","title":"Accumulation of deuterium oxide in body fluids after ingestion of D2O-labeled beverages.","type":"article-journal","volume":"63"},"uris":["http://www.mendeley.com/documents/?uuid=4e124430-8730-31c5-835d-de70bc7f1790"]},{"id":"ITEM-2","itemData":{"DOI":"10.1007/s00421-011-2194-7","ISSN":"1439-6327","PMID":"21997675","abstract":"The kinetic parameters of absorption and distribution of ingested water (300 ml labeled with D(2)O; osmolality &lt;20 mOsm kg(-1)) in the body water pool (BWP) and of its disappearance from this pool were estimated in 36 subjects from changes in plasma or urine deuterium to protium ratio (D/H) over 10 days using one- and two-compartment and a non-compartmental pharmacokinetic models (1-CM, 2-CM and N-CM which applied well to 58, 42 and 100% of the subjects, respectively). Compared with the volume and turnover of the BWP computed with the slope-intercept method (60.7 ± 4.1% body mass or 72.7 ± 3.2% lean body mass; turnover 4.58 ± 0.80 l day(-1): i.e., complete renewal in ~50 days; n = 36), the values were accurately estimated with the N-CM and 1-CM and were slightly overestimated and underestimated, respectively, with the 2-CM (~7-8% difference, significant for water clearance only). Ingested water appeared in plasma and blood cells within 5 min and the half-life of absorption (~11-13 min) indicates a complete absorption within ~75-120 min. The 2-CM showed that in 42% of the subjects, ingested water quickly distributed within a central compartment before diffusing with a very short half-life (12.5 ± 4.3 min) to a peripheral compartment (18.5 ± 4.3 and 31.6 ± 6.4 L, respectively), which were in complete equilibrium within ~90 min. Pharmacokinetic analyses of water labeled with D(2)O can help describe water absorption and distribution, for which there is no well defined reference method and value; depending on the characteristics of the subjects and the drinks, and of environmental conditions.","author":[{"dropping-particle":"","family":"Péronnet","given":"François","non-dropping-particle":"","parse-names":false,"suffix":""},{"dropping-particle":"","family":"Mignault","given":"Diane","non-dropping-particle":"","parse-names":false,"suffix":""},{"dropping-particle":"","family":"Souich","given":"Patrick","non-dropping-particle":"du","parse-names":false,"suffix":""},{"dropping-particle":"","family":"Vergne","given":"Sébastien","non-dropping-particle":"","parse-names":false,"suffix":""},{"dropping-particle":"","family":"Bellego","given":"Laurent","non-dropping-particle":"Le","parse-names":false,"suffix":""},{"dropping-particle":"","family":"Jimenez","given":"Liliana","non-dropping-particle":"","parse-names":false,"suffix":""},{"dropping-particle":"","family":"Rabasa-Lhoret","given":"Rémi","non-dropping-particle":"","parse-names":false,"suffix":""}],"container-title":"European journal of applied physiology","id":"ITEM-2","issue":"6","issued":{"date-parts":[["2012","6"]]},"page":"2213-22","title":"Pharmacokinetic analysis of absorption, distribution and disappearance of ingested water labeled with D</w:instrText>
      </w:r>
      <w:r w:rsidRPr="00AD4748">
        <w:rPr>
          <w:rFonts w:ascii="Cambria Math" w:hAnsi="Cambria Math" w:cs="Cambria Math"/>
          <w:sz w:val="20"/>
          <w:szCs w:val="20"/>
          <w:highlight w:val="white"/>
        </w:rPr>
        <w:instrText>₂</w:instrText>
      </w:r>
      <w:r w:rsidRPr="00AD4748">
        <w:rPr>
          <w:rFonts w:ascii="Arial" w:hAnsi="Arial" w:cs="Arial"/>
          <w:sz w:val="20"/>
          <w:szCs w:val="20"/>
          <w:highlight w:val="white"/>
        </w:rPr>
        <w:instrText>O in humans.","type":"article-journal","volume":"112"},"uris":["http://www.mendeley.com/documents/?uuid=d94decb7-e3bc-3d57-87c9-b2b40803506f"]}],"mendeley":{"formattedCitation":"[19,20]","plainTextFormattedCitation":"[19,20]","previouslyFormattedCitation":"[19,20]"},"properties":{"noteIndex":0},"schema":"https://github.com/citation-style-language/schema/raw/master/csl-citation.json"}</w:instrText>
      </w:r>
      <w:r w:rsidRPr="00AD4748">
        <w:rPr>
          <w:rFonts w:ascii="Arial" w:hAnsi="Arial" w:cs="Arial"/>
          <w:sz w:val="20"/>
          <w:szCs w:val="20"/>
          <w:highlight w:val="white"/>
        </w:rPr>
        <w:fldChar w:fldCharType="separate"/>
      </w:r>
      <w:r w:rsidRPr="00AD4748">
        <w:rPr>
          <w:rFonts w:ascii="Arial" w:hAnsi="Arial" w:cs="Arial"/>
          <w:noProof/>
          <w:sz w:val="20"/>
          <w:szCs w:val="20"/>
          <w:highlight w:val="white"/>
        </w:rPr>
        <w:t>[19,20]</w:t>
      </w:r>
      <w:r w:rsidRPr="00AD4748">
        <w:rPr>
          <w:rFonts w:ascii="Arial" w:hAnsi="Arial" w:cs="Arial"/>
          <w:sz w:val="20"/>
          <w:szCs w:val="20"/>
          <w:highlight w:val="white"/>
        </w:rPr>
        <w:fldChar w:fldCharType="end"/>
      </w:r>
      <w:r w:rsidRPr="00AD4748">
        <w:rPr>
          <w:rFonts w:ascii="Arial" w:hAnsi="Arial" w:cs="Arial"/>
          <w:sz w:val="20"/>
          <w:szCs w:val="20"/>
          <w:highlight w:val="white"/>
        </w:rPr>
        <w:t xml:space="preserve">. </w:t>
      </w:r>
      <w:r w:rsidRPr="00AD4748">
        <w:rPr>
          <w:rFonts w:ascii="Arial" w:hAnsi="Arial" w:cs="Arial"/>
          <w:sz w:val="20"/>
          <w:szCs w:val="20"/>
        </w:rPr>
        <w:t>This fast exchangeable pool represents c.a. 80% of the TBW (78%, ± 11% for men, and 86%, ±  6% for women). Besides the intra- individual differences in this pool exchange rates, men tended to have a statistically faster exchange rate compared to women (0.052 min</w:t>
      </w:r>
      <w:r w:rsidRPr="00AD4748">
        <w:rPr>
          <w:rFonts w:ascii="Arial" w:hAnsi="Arial" w:cs="Arial"/>
          <w:sz w:val="20"/>
          <w:szCs w:val="20"/>
          <w:vertAlign w:val="superscript"/>
        </w:rPr>
        <w:t>-1</w:t>
      </w:r>
      <w:r w:rsidRPr="00AD4748">
        <w:rPr>
          <w:rFonts w:ascii="Arial" w:hAnsi="Arial" w:cs="Arial"/>
          <w:sz w:val="20"/>
          <w:szCs w:val="20"/>
        </w:rPr>
        <w:t xml:space="preserve"> VS 0.038 min</w:t>
      </w:r>
      <w:r w:rsidRPr="00AD4748">
        <w:rPr>
          <w:rFonts w:ascii="Arial" w:hAnsi="Arial" w:cs="Arial"/>
          <w:sz w:val="20"/>
          <w:szCs w:val="20"/>
          <w:vertAlign w:val="superscript"/>
        </w:rPr>
        <w:t>-1</w:t>
      </w:r>
      <w:r w:rsidRPr="00AD4748">
        <w:rPr>
          <w:rFonts w:ascii="Arial" w:hAnsi="Arial" w:cs="Arial"/>
          <w:sz w:val="20"/>
          <w:szCs w:val="20"/>
        </w:rPr>
        <w:t xml:space="preserve">). Other studies mainly included male volunteers causing a lack of data about sex differences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{"citationItems":[{"id":"ITEM-1","itemData":{"DOI":"10.1007/s00421-011-2194-7","ISSN":"1439-6327","PMID":"21997675","abstract":"The kinetic parameters of absorption and distribution of ingested water (300 ml labeled with D(2)O; osmolality &lt;20 mOsm kg(-1)) in the body water pool (BWP) and of its disappearance from this pool were estimated in 36 subjects from changes in plasma or urine deuterium to protium ratio (D/H) over 10 days using one- and two-compartment and a non-compartmental pharmacokinetic models (1-CM, 2-CM and N-CM which applied well to 58, 42 and 100% of the subjects, respectively). Compared with the volume and turnover of the BWP computed with the slope-intercept method (60.7 ± 4.1% body mass or 72.7 ± 3.2% lean body mass; turnover 4.58 ± 0.80 l day(-1): i.e., complete renewal in ~50 days; n = 36), the values were accurately estimated with the N-CM and 1-CM and were slightly overestimated and underestimated, respectively, with the 2-CM (~7-8% difference, significant for water clearance only). Ingested water appeared in plasma and blood cells within 5 min and the half-life of absorption (~11-13 min) indicates a complete absorption within ~75-120 min. The 2-CM showed that in 42% of the subjects, ingested water quickly distributed within a central compartment before diffusing with a very short half-life (12.5 ± 4.3 min) to a peripheral compartment (18.5 ± 4.3 and 31.6 ± 6.4 L, respectively), which were in complete equilibrium within ~90 min. Pharmacokinetic analyses of water labeled with D(2)O can help describe water absorption and distribution, for which there is no well defined reference method and value; depending on the characteristics of the subjects and the drinks, and of environmental conditions.","author":[{"dropping-particle":"","family":"Péronnet","given":"François","non-dropping-particle":"","parse-names":false,"suffix":""},{"dropping-particle":"","family":"Mignault","given":"Diane","non-dropping-particle":"","parse-names":false,"suffix":""},{"dropping-particle":"","family":"Souich","given":"Patrick","non-dropping-particle":"du","parse-names":false,"suffix":""},{"dropping-particle":"","family":"Vergne","given":"Sébastien","non-dropping-particle":"","parse-names":false,"suffix":""},{"dropping-particle":"","family":"Bellego","given":"Laurent","non-dropping-particle":"Le","parse-names":false,"suffix":""},{"dropping-particle":"","family":"Jimenez","given":"Liliana","non-dropping-particle":"","parse-names":false,"suffix":""},{"dropping-particle":"","family":"Rabasa-Lhoret","given":"Rémi","non-dropping-particle":"","parse-names":false,"suffix":""}],"container-title":"European journal of applied physiology","id":"ITEM-1","issue":"6","issued":{"date-parts":[["2012","6"]]},"page":"2213-22","title":"Pharmacokinetic analysis of absorption, distribution and disappearance of ingested water labeled with D</w:instrText>
      </w:r>
      <w:r w:rsidRPr="00AD4748">
        <w:rPr>
          <w:rFonts w:ascii="Cambria Math" w:hAnsi="Cambria Math" w:cs="Cambria Math"/>
          <w:sz w:val="20"/>
          <w:szCs w:val="20"/>
        </w:rPr>
        <w:instrText>₂</w:instrText>
      </w:r>
      <w:r w:rsidRPr="00AD4748">
        <w:rPr>
          <w:rFonts w:ascii="Arial" w:hAnsi="Arial" w:cs="Arial"/>
          <w:sz w:val="20"/>
          <w:szCs w:val="20"/>
        </w:rPr>
        <w:instrText>O in humans.","type":"article-journal","volume":"112"},"uris":["http://www.mendeley.com/documents/?uuid=d94decb7-e3bc-3d57-87c9-b2b40803506f"]},{"id":"ITEM-2","itemData":{"DOI":"10.1152/jappl.1987.63.5.2060","ISSN":"8750-7587","PMID":"3693238","abstract":"A simple low-cost procedure was developed to compare the temporal profiles of deuterium oxide (D2O) accumulation in body fluids after ingestion of D2O-labeled solutions. D2O concentration was measured in plasma and saliva samples taken at various intervals after ingestion of 20 ml of D2O mixed with five solutions differing in carbohydrate and electrolyte concentrations. An infrared spectrometer was used to measure D2O in purified samples obtained after a 48-h incubation period during which the water (D2O and H2O) in the sample was equilibrated with an equal volume of distilled water in a sealed diffusion dish. The procedure yields 100% recoveries of 60-500 ppm D2O with an average precision of 5%. When compared with values for distilled water, D2O accumulation in serial samples of plasma and saliva was slower for ingested solutions containing 40 and 15% glucose and faster for hypotonic saline and a 6% carbohydrate-electrolyte solution. These differences appear to reflect known differences in gastric emptying and intestinal absorption of these beverages. Therefore this technique may provide a useful index of the rate of water uptake from ingested beverages into the body fluids.","author":[{"dropping-particle":"","family":"Davis","given":"J M","non-dropping-particle":"","parse-names":false,"suffix":""},{"dropping-particle":"","family":"Lamb","given":"D R","non-dropping-particle":"","parse-names":false,"suffix":""},{"dropping-particle":"","family":"Burgess","given":"W A","non-dropping-particle":"","parse-names":false,"suffix":""},{"dropping-particle":"","family":"Bartoli","given":"W P","non-dropping-particle":"","parse-names":false,"suffix":""}],"container-title":"Journal of applied physiology (Bethesda, Md. : 1985)","id":"ITEM-2","issue":"5","issued":{"date-parts":[["1987","11"]]},"page":"2060-6","title":"Accumulation of deuterium oxide in body fluids after ingestion of D2O-labeled beverages.","type":"article-journal","volume":"63"},"uris":["http://www.mendeley.com/documents/?uuid=4e124430-8730-31c5-835d-de70bc7f1790"]}],"mendeley":{"formattedCitation":"[19,20]","plainTextFormattedCitation":"[19,20]"},"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[19,20]</w:t>
      </w:r>
      <w:r w:rsidRPr="00AD4748">
        <w:rPr>
          <w:rFonts w:ascii="Arial" w:hAnsi="Arial" w:cs="Arial"/>
          <w:sz w:val="20"/>
          <w:szCs w:val="20"/>
        </w:rPr>
        <w:fldChar w:fldCharType="end"/>
      </w:r>
      <w:r w:rsidRPr="00AD4748">
        <w:rPr>
          <w:rFonts w:ascii="Arial" w:hAnsi="Arial" w:cs="Arial"/>
          <w:sz w:val="20"/>
          <w:szCs w:val="20"/>
        </w:rPr>
        <w:t xml:space="preserve">. </w:t>
      </w:r>
      <w:r w:rsidRPr="00AD4748">
        <w:rPr>
          <w:rFonts w:ascii="Arial" w:hAnsi="Arial" w:cs="Arial"/>
          <w:sz w:val="20"/>
          <w:szCs w:val="20"/>
          <w:highlight w:val="white"/>
        </w:rPr>
        <w:t>After this a</w:t>
      </w:r>
      <w:r w:rsidRPr="00AD4748">
        <w:rPr>
          <w:rFonts w:ascii="Arial" w:hAnsi="Arial" w:cs="Arial"/>
          <w:sz w:val="20"/>
          <w:szCs w:val="20"/>
          <w:highlight w:val="white"/>
          <w:vertAlign w:val="superscript"/>
        </w:rPr>
        <w:t>2</w:t>
      </w:r>
      <w:r w:rsidRPr="00AD4748">
        <w:rPr>
          <w:rFonts w:ascii="Arial" w:hAnsi="Arial" w:cs="Arial"/>
          <w:sz w:val="20"/>
          <w:szCs w:val="20"/>
          <w:highlight w:val="white"/>
        </w:rPr>
        <w:t>H intravascular peak, a decrease in the intravascular a</w:t>
      </w:r>
      <w:r w:rsidRPr="00AD4748">
        <w:rPr>
          <w:rFonts w:ascii="Arial" w:hAnsi="Arial" w:cs="Arial"/>
          <w:sz w:val="20"/>
          <w:szCs w:val="20"/>
          <w:highlight w:val="white"/>
          <w:vertAlign w:val="superscript"/>
        </w:rPr>
        <w:t>2</w:t>
      </w:r>
      <w:r w:rsidRPr="00AD4748">
        <w:rPr>
          <w:rFonts w:ascii="Arial" w:hAnsi="Arial" w:cs="Arial"/>
          <w:sz w:val="20"/>
          <w:szCs w:val="20"/>
          <w:highlight w:val="white"/>
        </w:rPr>
        <w:t xml:space="preserve">H is observed, probably reflecting the exchange between the intravascular compartment and other slower exchanging </w:t>
      </w:r>
      <w:r w:rsidRPr="00AD4748">
        <w:rPr>
          <w:rFonts w:ascii="Arial" w:hAnsi="Arial" w:cs="Arial"/>
          <w:sz w:val="20"/>
          <w:szCs w:val="20"/>
          <w:highlight w:val="white"/>
        </w:rPr>
        <w:lastRenderedPageBreak/>
        <w:t xml:space="preserve">pools. Possibly, this slower exchangeable pool reflects the interaction with the </w:t>
      </w:r>
      <w:r w:rsidRPr="00AD4748">
        <w:rPr>
          <w:rFonts w:ascii="Arial" w:hAnsi="Arial" w:cs="Arial"/>
          <w:sz w:val="20"/>
          <w:szCs w:val="20"/>
        </w:rPr>
        <w:t>ISF and can be calculated as 22% of the TBW for men and 14% of the TBW for women. However, due to the limited time frame of this protocol, this slowly interacting pool could not be fully characterized. Deuterium dilution analysis based on urine samples is rather new, and has not been done by many researcher. Given only two urinary samples were taken per person it is difficult to draw any conclusions.</w:t>
      </w:r>
    </w:p>
    <w:p w14:paraId="4F510E8F" w14:textId="77777777" w:rsidR="00AD4748" w:rsidRPr="00AD4748" w:rsidRDefault="00AD4748" w:rsidP="00AD4748">
      <w:pPr>
        <w:spacing w:after="0" w:line="720" w:lineRule="auto"/>
        <w:contextualSpacing/>
        <w:jc w:val="both"/>
        <w:rPr>
          <w:rFonts w:ascii="Arial" w:hAnsi="Arial" w:cs="Arial"/>
          <w:sz w:val="20"/>
          <w:szCs w:val="20"/>
        </w:rPr>
      </w:pPr>
    </w:p>
    <w:p w14:paraId="73A868F3" w14:textId="77777777" w:rsidR="00AD4748" w:rsidRPr="00AD4748" w:rsidRDefault="00AD4748" w:rsidP="00AD4748">
      <w:pPr>
        <w:spacing w:after="0" w:line="720" w:lineRule="auto"/>
        <w:contextualSpacing/>
        <w:rPr>
          <w:rFonts w:ascii="Arial" w:hAnsi="Arial" w:cs="Arial"/>
          <w:b/>
          <w:sz w:val="20"/>
          <w:szCs w:val="20"/>
        </w:rPr>
      </w:pPr>
      <w:r w:rsidRPr="00AD4748">
        <w:rPr>
          <w:rFonts w:ascii="Arial" w:hAnsi="Arial" w:cs="Arial"/>
          <w:b/>
          <w:sz w:val="20"/>
          <w:szCs w:val="20"/>
        </w:rPr>
        <w:t xml:space="preserve">BIA </w:t>
      </w:r>
    </w:p>
    <w:p w14:paraId="1ECF2CCA"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The advanced features of this BIA device (measurement at different electrical currencies and in different body parts) proofed in this pilot trail to be useful to observe the effect of body positions on the fluid distribution of different limbs. The trunk and leg impedance did decrease significantly with posture changes (at both 1 and 50 kHz) from lying to standing, which most likely visualizes the orthostatic increase of fluid volume in both trunk and legs while standing up. This increase in volume of the trunk can be declared by an influx of blood from the head, whereas the inflow of blood from the trunk into the legs can explain the decreased leg impedance. Equal observations were made in literature </w:t>
      </w:r>
      <w:r w:rsidRPr="00AD4748">
        <w:rPr>
          <w:rFonts w:ascii="Arial" w:hAnsi="Arial" w:cs="Arial"/>
          <w:sz w:val="20"/>
          <w:szCs w:val="20"/>
        </w:rPr>
        <w:fldChar w:fldCharType="begin" w:fldLock="1"/>
      </w:r>
      <w:r w:rsidRPr="00AD4748">
        <w:rPr>
          <w:rFonts w:ascii="Arial" w:hAnsi="Arial" w:cs="Arial"/>
          <w:sz w:val="20"/>
          <w:szCs w:val="20"/>
        </w:rPr>
        <w:instrText>ADDIN CSL_CITATION {"citationItems":[{"id":"ITEM-1","itemData":{"URL":"https://pubmed.ncbi.nlm.nih.gov/8780358-clinical-characteristics-influencing-bioelectrical-impedance-analysis-measurements/","accessed":{"date-parts":[["2020","3","3"]]},"author":[{"dropping-particle":"","family":"Robert F Kushner, Rani Gudivaka","given":"Dale A Schoeller","non-dropping-particle":"","parse-names":false,"suffix":""}],"id":"ITEM-1","issued":{"date-parts":[["0"]]},"title":"Clinical Characteristics Influencing Bioelectrical Impedance Analysis Measurements - PubMed","type":"webpage"},"uris":["http://www.mendeley.com/documents/?uuid=c0de4aae-2705-3300-b53b-f967313f709d"]}],"mendeley":{"formattedCitation":"[16]","plainTextFormattedCitation":"[16]","previouslyFormattedCitation":"[16]"},"properties":{"noteIndex":0},"schema":"https://github.com/citation-style-language/schema/raw/master/csl-citation.json"}</w:instrText>
      </w:r>
      <w:r w:rsidRPr="00AD4748">
        <w:rPr>
          <w:rFonts w:ascii="Arial" w:hAnsi="Arial" w:cs="Arial"/>
          <w:sz w:val="20"/>
          <w:szCs w:val="20"/>
        </w:rPr>
        <w:fldChar w:fldCharType="separate"/>
      </w:r>
      <w:r w:rsidRPr="00AD4748">
        <w:rPr>
          <w:rFonts w:ascii="Arial" w:hAnsi="Arial" w:cs="Arial"/>
          <w:noProof/>
          <w:sz w:val="20"/>
          <w:szCs w:val="20"/>
        </w:rPr>
        <w:t>[16]</w:t>
      </w:r>
      <w:r w:rsidRPr="00AD4748">
        <w:rPr>
          <w:rFonts w:ascii="Arial" w:hAnsi="Arial" w:cs="Arial"/>
          <w:sz w:val="20"/>
          <w:szCs w:val="20"/>
        </w:rPr>
        <w:fldChar w:fldCharType="end"/>
      </w:r>
      <w:r w:rsidRPr="00AD4748">
        <w:rPr>
          <w:rFonts w:ascii="Arial" w:hAnsi="Arial" w:cs="Arial"/>
          <w:sz w:val="20"/>
          <w:szCs w:val="20"/>
        </w:rPr>
        <w:t xml:space="preserve">. At 1 kHz, this leg impedance tend to decrease significantly with repeated measurements, suggesting a further inflow of fluid into the leg ECF over time. This observation suggests that for the ECF of the legs two potentially orthostatic time curves could be proposed: an immediate (first 5 -10 minutes) decrease in impedance reflecting an influx into the vascular system of the legs, and subsequently a less rapid decrease potentially reflecting the spread of fluid inflow into both the intravascular and ISF of the legs. </w:t>
      </w:r>
    </w:p>
    <w:p w14:paraId="0CF5F443" w14:textId="77777777" w:rsidR="00AD4748" w:rsidRPr="00AD4748" w:rsidRDefault="00AD4748" w:rsidP="00AD4748">
      <w:pPr>
        <w:spacing w:after="0" w:line="720" w:lineRule="auto"/>
        <w:contextualSpacing/>
        <w:jc w:val="both"/>
        <w:rPr>
          <w:rFonts w:ascii="Arial" w:hAnsi="Arial" w:cs="Arial"/>
          <w:sz w:val="20"/>
          <w:szCs w:val="20"/>
        </w:rPr>
      </w:pPr>
    </w:p>
    <w:p w14:paraId="52A86EA1"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lastRenderedPageBreak/>
        <w:t>However, in this study it was only possible to observe the interaction of ECF without the possibility to make a distinction between plasma and ISF. This BIA technique is appropriate to measure differences in ICF and ECF, but it lacks the strength to observe the ISF shift between the different body compartments.</w:t>
      </w:r>
    </w:p>
    <w:p w14:paraId="22A8EA7C" w14:textId="77777777" w:rsidR="00AD4748" w:rsidRPr="00AD4748" w:rsidRDefault="00AD4748" w:rsidP="00AD4748">
      <w:pPr>
        <w:spacing w:after="0" w:line="720" w:lineRule="auto"/>
        <w:contextualSpacing/>
        <w:jc w:val="both"/>
        <w:rPr>
          <w:rFonts w:ascii="Arial" w:hAnsi="Arial" w:cs="Arial"/>
          <w:sz w:val="20"/>
          <w:szCs w:val="20"/>
        </w:rPr>
      </w:pPr>
    </w:p>
    <w:p w14:paraId="45386246" w14:textId="77777777" w:rsidR="00AD4748" w:rsidRPr="00AD4748" w:rsidRDefault="00AD4748" w:rsidP="00AD4748">
      <w:pPr>
        <w:spacing w:after="0" w:line="720" w:lineRule="auto"/>
        <w:contextualSpacing/>
        <w:jc w:val="both"/>
        <w:rPr>
          <w:rFonts w:ascii="Arial" w:hAnsi="Arial" w:cs="Arial"/>
          <w:b/>
          <w:sz w:val="20"/>
          <w:szCs w:val="20"/>
        </w:rPr>
      </w:pPr>
      <w:r w:rsidRPr="00AD4748">
        <w:rPr>
          <w:rFonts w:ascii="Arial" w:hAnsi="Arial" w:cs="Arial"/>
          <w:b/>
          <w:sz w:val="20"/>
          <w:szCs w:val="20"/>
        </w:rPr>
        <w:t>Estimation of TBW</w:t>
      </w:r>
    </w:p>
    <w:p w14:paraId="1F1EFF5C" w14:textId="77777777" w:rsidR="00AD4748" w:rsidRPr="00AD4748" w:rsidRDefault="00AD4748" w:rsidP="00AD4748">
      <w:pPr>
        <w:spacing w:line="720" w:lineRule="auto"/>
        <w:contextualSpacing/>
        <w:jc w:val="both"/>
        <w:rPr>
          <w:rFonts w:ascii="Arial" w:hAnsi="Arial" w:cs="Arial"/>
          <w:i/>
          <w:sz w:val="20"/>
          <w:szCs w:val="20"/>
        </w:rPr>
      </w:pPr>
      <w:r w:rsidRPr="00AD4748">
        <w:rPr>
          <w:rFonts w:ascii="Arial" w:hAnsi="Arial" w:cs="Arial"/>
          <w:sz w:val="20"/>
          <w:szCs w:val="20"/>
        </w:rPr>
        <w:t xml:space="preserve">Although differences could be measured between the calculated TBW’s, all methods were appropriate to estimate TBW in young, healthy volunteers. However, for older or comorbid patients the Watson formula is not feasible, as it does not consider body composition (fat or muscle constitution), fluid storage problems or intake of (anti)diuretic medication. For those patients, methods using deuterium dilution or BIA probably provide a better estimation of the TBW. Despite literature suggests an overestimation of TBW calculated by a BIA device, only a trend could be visualize in the current study [11]. </w:t>
      </w:r>
      <w:bookmarkStart w:id="4" w:name="_Hlk64112349"/>
      <w:r w:rsidRPr="00AD4748">
        <w:rPr>
          <w:rFonts w:ascii="Arial" w:hAnsi="Arial" w:cs="Arial"/>
          <w:sz w:val="20"/>
          <w:szCs w:val="20"/>
        </w:rPr>
        <w:t>Based on the results of  Bland Altman plot, both techniques (deuterium dilution and BIA measurements in lying) position are comparable methods for calculation the TBW without proportional bias. , , however in our opinion the deuterium assessment using the a</w:t>
      </w:r>
      <w:r w:rsidRPr="00AD4748">
        <w:rPr>
          <w:rFonts w:ascii="Arial" w:hAnsi="Arial" w:cs="Arial"/>
          <w:sz w:val="20"/>
          <w:szCs w:val="20"/>
          <w:vertAlign w:val="superscript"/>
        </w:rPr>
        <w:t>2</w:t>
      </w:r>
      <w:r w:rsidRPr="00AD4748">
        <w:rPr>
          <w:rFonts w:ascii="Arial" w:hAnsi="Arial" w:cs="Arial"/>
          <w:sz w:val="20"/>
          <w:szCs w:val="20"/>
        </w:rPr>
        <w:t>H in blood,  seems the most suitable method to observe TBW in all patients, as it can be defined as the most exact medium for calculating TBW after achieving an equilibrium.</w:t>
      </w:r>
      <w:r w:rsidRPr="00AD4748">
        <w:rPr>
          <w:rFonts w:ascii="Arial" w:hAnsi="Arial" w:cs="Arial"/>
          <w:i/>
          <w:sz w:val="20"/>
          <w:szCs w:val="20"/>
        </w:rPr>
        <w:t xml:space="preserve"> </w:t>
      </w:r>
      <w:bookmarkEnd w:id="4"/>
    </w:p>
    <w:p w14:paraId="03371D6E" w14:textId="77777777" w:rsidR="00AD4748" w:rsidRPr="00AD4748" w:rsidRDefault="00AD4748" w:rsidP="00AD4748">
      <w:pPr>
        <w:spacing w:line="720" w:lineRule="auto"/>
        <w:contextualSpacing/>
        <w:jc w:val="both"/>
        <w:rPr>
          <w:rFonts w:ascii="Arial" w:hAnsi="Arial" w:cs="Arial"/>
          <w:i/>
          <w:sz w:val="20"/>
          <w:szCs w:val="20"/>
        </w:rPr>
      </w:pPr>
    </w:p>
    <w:p w14:paraId="7470B07E" w14:textId="77777777" w:rsidR="00AD4748" w:rsidRPr="00AD4748" w:rsidRDefault="00AD4748" w:rsidP="00AD4748">
      <w:pPr>
        <w:spacing w:line="720" w:lineRule="auto"/>
        <w:contextualSpacing/>
        <w:jc w:val="both"/>
        <w:rPr>
          <w:rFonts w:ascii="Arial" w:hAnsi="Arial" w:cs="Arial"/>
          <w:i/>
          <w:sz w:val="20"/>
          <w:szCs w:val="20"/>
        </w:rPr>
      </w:pPr>
      <w:proofErr w:type="spellStart"/>
      <w:r w:rsidRPr="00AD4748">
        <w:rPr>
          <w:rFonts w:ascii="Arial" w:hAnsi="Arial" w:cs="Arial"/>
          <w:b/>
          <w:sz w:val="20"/>
          <w:szCs w:val="20"/>
        </w:rPr>
        <w:t>Interstitium</w:t>
      </w:r>
      <w:proofErr w:type="spellEnd"/>
      <w:r w:rsidRPr="00AD4748">
        <w:rPr>
          <w:rFonts w:ascii="Arial" w:hAnsi="Arial" w:cs="Arial"/>
          <w:b/>
          <w:sz w:val="20"/>
          <w:szCs w:val="20"/>
        </w:rPr>
        <w:t xml:space="preserve"> </w:t>
      </w:r>
    </w:p>
    <w:p w14:paraId="222FC013"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During this research, the volume, spread and change of the ISF could not be visualized or calculated using both methods. However, the interaction of the ingested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 xml:space="preserve">O with the ISF can be suggested through interaction between the intravascular and a slower exchangeable pool which probably contains the </w:t>
      </w:r>
      <w:proofErr w:type="spellStart"/>
      <w:r w:rsidRPr="00AD4748">
        <w:rPr>
          <w:rFonts w:ascii="Arial" w:hAnsi="Arial" w:cs="Arial"/>
          <w:sz w:val="20"/>
          <w:szCs w:val="20"/>
        </w:rPr>
        <w:lastRenderedPageBreak/>
        <w:t>interstitium</w:t>
      </w:r>
      <w:proofErr w:type="spellEnd"/>
      <w:r w:rsidRPr="00AD4748">
        <w:rPr>
          <w:rFonts w:ascii="Arial" w:hAnsi="Arial" w:cs="Arial"/>
          <w:sz w:val="20"/>
          <w:szCs w:val="20"/>
        </w:rPr>
        <w:t xml:space="preserve">. Additionally, BIA measurements in the legs at 1 kHz, suggest a potential interaction and fluid accumulation in the ISF after changing positions. </w:t>
      </w:r>
    </w:p>
    <w:p w14:paraId="1CE84B7B" w14:textId="77777777" w:rsidR="00AD4748" w:rsidRPr="00AD4748" w:rsidRDefault="00AD4748" w:rsidP="00AD4748">
      <w:pPr>
        <w:spacing w:after="0" w:line="720" w:lineRule="auto"/>
        <w:contextualSpacing/>
        <w:jc w:val="both"/>
        <w:rPr>
          <w:rFonts w:ascii="Arial" w:hAnsi="Arial" w:cs="Arial"/>
          <w:sz w:val="20"/>
          <w:szCs w:val="20"/>
        </w:rPr>
      </w:pPr>
    </w:p>
    <w:p w14:paraId="16A47877" w14:textId="77777777" w:rsidR="00AD4748" w:rsidRPr="0096332A" w:rsidRDefault="00AD4748" w:rsidP="00AD4748">
      <w:pPr>
        <w:spacing w:after="0" w:line="720" w:lineRule="auto"/>
        <w:contextualSpacing/>
        <w:jc w:val="both"/>
        <w:rPr>
          <w:rFonts w:ascii="Arial" w:hAnsi="Arial" w:cs="Arial"/>
          <w:b/>
          <w:bCs/>
          <w:sz w:val="20"/>
          <w:szCs w:val="20"/>
        </w:rPr>
      </w:pPr>
      <w:r w:rsidRPr="0096332A">
        <w:rPr>
          <w:rFonts w:ascii="Arial" w:hAnsi="Arial" w:cs="Arial"/>
          <w:b/>
          <w:bCs/>
          <w:sz w:val="20"/>
          <w:szCs w:val="20"/>
        </w:rPr>
        <w:t>Limitations</w:t>
      </w:r>
    </w:p>
    <w:p w14:paraId="3EAE2B59" w14:textId="5BEE3338" w:rsidR="00AD4748" w:rsidRDefault="00AD4748" w:rsidP="00AD4748">
      <w:pPr>
        <w:spacing w:after="0" w:line="720" w:lineRule="auto"/>
        <w:contextualSpacing/>
        <w:jc w:val="both"/>
        <w:rPr>
          <w:rFonts w:ascii="Arial" w:hAnsi="Arial" w:cs="Arial"/>
          <w:color w:val="201F1E"/>
          <w:sz w:val="20"/>
          <w:szCs w:val="20"/>
          <w:shd w:val="clear" w:color="auto" w:fill="FFFFFF"/>
          <w:lang w:val="en-AU"/>
        </w:rPr>
      </w:pPr>
      <w:r w:rsidRPr="00AD4748">
        <w:rPr>
          <w:rFonts w:ascii="Arial" w:hAnsi="Arial" w:cs="Arial"/>
          <w:color w:val="000000"/>
          <w:sz w:val="20"/>
          <w:szCs w:val="20"/>
          <w:lang w:val="en-AU"/>
        </w:rPr>
        <w:t>However, this study has some limitations: Firstly, the concentration of deuterium due to evaporation in sweat and the loss of deuterium through saliva was not measured. Moreover, the first serum sample  was taken 10 minutes after ingestion, which leads to the fact that the initial moment of appearance could not be reported. Multiple urine sampling to observe and to determinate the first appearance of deuterium oxide into the urine was not possible due to practical difficulties (short duration, limited bladder filling)</w:t>
      </w:r>
      <w:bookmarkStart w:id="5" w:name="_Hlk64117132"/>
      <w:r w:rsidRPr="00AD4748">
        <w:rPr>
          <w:rFonts w:ascii="Arial" w:hAnsi="Arial" w:cs="Arial"/>
          <w:color w:val="201F1E"/>
          <w:sz w:val="20"/>
          <w:szCs w:val="20"/>
          <w:shd w:val="clear" w:color="auto" w:fill="FFFFFF"/>
          <w:lang w:val="en-AU"/>
        </w:rPr>
        <w:t>.</w:t>
      </w:r>
      <w:bookmarkEnd w:id="5"/>
    </w:p>
    <w:p w14:paraId="5C2FDAB0" w14:textId="77777777" w:rsidR="0096332A" w:rsidRPr="00AD4748" w:rsidRDefault="0096332A" w:rsidP="00AD4748">
      <w:pPr>
        <w:spacing w:after="0" w:line="720" w:lineRule="auto"/>
        <w:contextualSpacing/>
        <w:jc w:val="both"/>
        <w:rPr>
          <w:rFonts w:ascii="Arial" w:hAnsi="Arial" w:cs="Arial"/>
          <w:sz w:val="20"/>
          <w:szCs w:val="20"/>
        </w:rPr>
      </w:pPr>
    </w:p>
    <w:p w14:paraId="3AC1BF10" w14:textId="77777777" w:rsidR="00AD4748" w:rsidRPr="00AD4748" w:rsidRDefault="00AD4748" w:rsidP="00AD4748">
      <w:pPr>
        <w:spacing w:line="720" w:lineRule="auto"/>
        <w:contextualSpacing/>
        <w:jc w:val="both"/>
        <w:rPr>
          <w:rFonts w:ascii="Arial" w:hAnsi="Arial" w:cs="Arial"/>
          <w:b/>
          <w:sz w:val="20"/>
          <w:szCs w:val="20"/>
        </w:rPr>
      </w:pPr>
      <w:r w:rsidRPr="00AD4748">
        <w:rPr>
          <w:rFonts w:ascii="Arial" w:hAnsi="Arial" w:cs="Arial"/>
          <w:b/>
          <w:sz w:val="20"/>
          <w:szCs w:val="20"/>
        </w:rPr>
        <w:t>Further research</w:t>
      </w:r>
    </w:p>
    <w:p w14:paraId="35CB9876" w14:textId="77777777" w:rsidR="00AD4748" w:rsidRPr="00AD4748" w:rsidRDefault="00AD4748" w:rsidP="00AD4748">
      <w:pPr>
        <w:spacing w:after="0" w:line="720" w:lineRule="auto"/>
        <w:contextualSpacing/>
        <w:jc w:val="both"/>
        <w:rPr>
          <w:rFonts w:ascii="Arial" w:hAnsi="Arial" w:cs="Arial"/>
          <w:sz w:val="20"/>
          <w:szCs w:val="20"/>
        </w:rPr>
      </w:pPr>
      <w:bookmarkStart w:id="6" w:name="_Hlk63606295"/>
      <w:bookmarkStart w:id="7" w:name="_Hlk63801462"/>
      <w:r w:rsidRPr="00AD4748">
        <w:rPr>
          <w:rFonts w:ascii="Arial" w:hAnsi="Arial" w:cs="Arial"/>
          <w:sz w:val="20"/>
          <w:szCs w:val="20"/>
        </w:rPr>
        <w:t xml:space="preserve">The biggest limitation of this pilot is the limited duration of the experiment and the lack of numerous time framed urine samples. At the end of this experiment, the pools were not yet in an equilibrium </w:t>
      </w:r>
      <w:proofErr w:type="spellStart"/>
      <w:r w:rsidRPr="00AD4748">
        <w:rPr>
          <w:rFonts w:ascii="Arial" w:hAnsi="Arial" w:cs="Arial"/>
          <w:sz w:val="20"/>
          <w:szCs w:val="20"/>
        </w:rPr>
        <w:t>fase</w:t>
      </w:r>
      <w:proofErr w:type="spellEnd"/>
      <w:r w:rsidRPr="00AD4748">
        <w:rPr>
          <w:rFonts w:ascii="Arial" w:hAnsi="Arial" w:cs="Arial"/>
          <w:sz w:val="20"/>
          <w:szCs w:val="20"/>
        </w:rPr>
        <w:t xml:space="preserve">. </w:t>
      </w:r>
      <w:bookmarkStart w:id="8" w:name="_Hlk63956602"/>
      <w:r w:rsidRPr="00AD4748">
        <w:rPr>
          <w:rFonts w:ascii="Arial" w:hAnsi="Arial" w:cs="Arial"/>
          <w:sz w:val="20"/>
          <w:szCs w:val="20"/>
        </w:rPr>
        <w:t>To further test these hypotheses, an extended study protocol with a longer duration (± 5 hours) and numerous urine collections are necessary.</w:t>
      </w:r>
      <w:bookmarkEnd w:id="8"/>
      <w:r w:rsidRPr="00AD4748">
        <w:rPr>
          <w:rFonts w:ascii="Arial" w:hAnsi="Arial" w:cs="Arial"/>
          <w:sz w:val="20"/>
          <w:szCs w:val="20"/>
        </w:rPr>
        <w:t xml:space="preserve"> Ideally, this study can be done in patients using CISC or in patients with a chronic transurethral catheter</w:t>
      </w:r>
      <w:bookmarkEnd w:id="6"/>
      <w:r w:rsidRPr="00AD4748">
        <w:rPr>
          <w:rFonts w:ascii="Arial" w:hAnsi="Arial" w:cs="Arial"/>
          <w:sz w:val="20"/>
          <w:szCs w:val="20"/>
        </w:rPr>
        <w:t xml:space="preserve">, to obtain a continuously urine collection and in patients with fluid storage or excretion problems, such as edema. </w:t>
      </w:r>
      <w:bookmarkEnd w:id="7"/>
      <w:r w:rsidRPr="00AD4748">
        <w:rPr>
          <w:rFonts w:ascii="Arial" w:hAnsi="Arial" w:cs="Arial"/>
          <w:sz w:val="20"/>
          <w:szCs w:val="20"/>
        </w:rPr>
        <w:t xml:space="preserve">These patient groups will most certainly provide more insight into the functioning of the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as they have a deviant fluid handling and a potential disabled function of the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w:t>
      </w:r>
    </w:p>
    <w:p w14:paraId="5EA4C3ED" w14:textId="77777777" w:rsidR="00AD4748" w:rsidRPr="00AD4748" w:rsidRDefault="00AD4748" w:rsidP="00AD4748">
      <w:pPr>
        <w:spacing w:after="0" w:line="720" w:lineRule="auto"/>
        <w:contextualSpacing/>
        <w:jc w:val="both"/>
        <w:rPr>
          <w:rFonts w:ascii="Arial" w:hAnsi="Arial" w:cs="Arial"/>
          <w:sz w:val="20"/>
          <w:szCs w:val="20"/>
        </w:rPr>
      </w:pPr>
    </w:p>
    <w:p w14:paraId="44F2DFDB" w14:textId="77777777" w:rsidR="00AD4748" w:rsidRPr="00AD4748" w:rsidRDefault="00AD4748" w:rsidP="00AD4748">
      <w:pPr>
        <w:spacing w:after="0" w:line="720" w:lineRule="auto"/>
        <w:contextualSpacing/>
        <w:jc w:val="both"/>
        <w:rPr>
          <w:rFonts w:ascii="Arial" w:hAnsi="Arial" w:cs="Arial"/>
          <w:sz w:val="20"/>
          <w:szCs w:val="20"/>
        </w:rPr>
      </w:pPr>
    </w:p>
    <w:p w14:paraId="3482A256" w14:textId="77777777" w:rsidR="00AD4748" w:rsidRPr="00AD4748" w:rsidRDefault="00AD4748" w:rsidP="00AD4748">
      <w:pPr>
        <w:spacing w:after="0" w:line="720" w:lineRule="auto"/>
        <w:contextualSpacing/>
        <w:jc w:val="both"/>
        <w:rPr>
          <w:rFonts w:ascii="Arial" w:hAnsi="Arial" w:cs="Arial"/>
          <w:b/>
          <w:sz w:val="20"/>
          <w:szCs w:val="20"/>
          <w:u w:val="single"/>
        </w:rPr>
      </w:pPr>
      <w:r w:rsidRPr="00AD4748">
        <w:rPr>
          <w:rFonts w:ascii="Arial" w:hAnsi="Arial" w:cs="Arial"/>
          <w:b/>
          <w:sz w:val="20"/>
          <w:szCs w:val="20"/>
          <w:u w:val="single"/>
        </w:rPr>
        <w:lastRenderedPageBreak/>
        <w:t>Conclusion</w:t>
      </w:r>
    </w:p>
    <w:p w14:paraId="129A858D" w14:textId="77777777" w:rsidR="00AD4748" w:rsidRPr="00AD4748" w:rsidRDefault="00AD4748" w:rsidP="00AD4748">
      <w:pPr>
        <w:spacing w:line="720" w:lineRule="auto"/>
        <w:contextualSpacing/>
        <w:jc w:val="both"/>
        <w:rPr>
          <w:rFonts w:ascii="Arial" w:hAnsi="Arial" w:cs="Arial"/>
          <w:sz w:val="20"/>
          <w:szCs w:val="20"/>
        </w:rPr>
      </w:pPr>
      <w:r w:rsidRPr="00AD4748">
        <w:rPr>
          <w:rFonts w:ascii="Arial" w:hAnsi="Arial" w:cs="Arial"/>
          <w:sz w:val="20"/>
          <w:szCs w:val="20"/>
        </w:rPr>
        <w:t xml:space="preserve">In this pilot study, both methods to observe fluid distributions in patients were tested and found to be appropriate for their further use in urological research concerning the impact of edema on NP. </w:t>
      </w:r>
    </w:p>
    <w:p w14:paraId="4D023090" w14:textId="77777777" w:rsidR="00AD4748" w:rsidRPr="00AD4748" w:rsidRDefault="00AD4748" w:rsidP="00AD4748">
      <w:pPr>
        <w:spacing w:line="720" w:lineRule="auto"/>
        <w:contextualSpacing/>
        <w:jc w:val="both"/>
        <w:rPr>
          <w:rFonts w:ascii="Arial" w:hAnsi="Arial" w:cs="Arial"/>
          <w:sz w:val="20"/>
          <w:szCs w:val="20"/>
        </w:rPr>
      </w:pPr>
    </w:p>
    <w:p w14:paraId="680DE2F2"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BIA showed a clear effect of body composition on the fluid distribution of different body parts. The slow decrease in impedance when changing from a lying to a standing posture suggests a potential fluid accumulation in both the plasma and ISF of the legs. TBW can be assessed using BIA measurements and deuterium dilution without proportional bias. </w:t>
      </w:r>
    </w:p>
    <w:p w14:paraId="77C8478F" w14:textId="77777777" w:rsidR="00AD4748" w:rsidRPr="00AD4748" w:rsidRDefault="00AD4748" w:rsidP="00AD4748">
      <w:pPr>
        <w:spacing w:after="0" w:line="720" w:lineRule="auto"/>
        <w:contextualSpacing/>
        <w:jc w:val="both"/>
        <w:rPr>
          <w:rFonts w:ascii="Arial" w:hAnsi="Arial" w:cs="Arial"/>
          <w:sz w:val="20"/>
          <w:szCs w:val="20"/>
        </w:rPr>
      </w:pPr>
    </w:p>
    <w:p w14:paraId="596E3D7F"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Moreover, a fast exchangeable pool reflecting the absorption of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O from the gastrointestinal tract into the intravascular pool could be calculated. Clear sex differences in the exchange rate of this fast exchangeable pool were observed. After achieving the maximal intravasculara</w:t>
      </w:r>
      <w:r w:rsidRPr="00AD4748">
        <w:rPr>
          <w:rFonts w:ascii="Arial" w:hAnsi="Arial" w:cs="Arial"/>
          <w:sz w:val="20"/>
          <w:szCs w:val="20"/>
          <w:vertAlign w:val="superscript"/>
        </w:rPr>
        <w:t>2</w:t>
      </w:r>
      <w:r w:rsidRPr="00AD4748">
        <w:rPr>
          <w:rFonts w:ascii="Arial" w:hAnsi="Arial" w:cs="Arial"/>
          <w:sz w:val="20"/>
          <w:szCs w:val="20"/>
        </w:rPr>
        <w:t xml:space="preserve">H , exchange with a slower exchangeable pool, most probably the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was visualized. </w:t>
      </w:r>
    </w:p>
    <w:p w14:paraId="753A1769" w14:textId="77777777" w:rsidR="00AD4748" w:rsidRPr="00AD4748" w:rsidRDefault="00AD4748" w:rsidP="00AD4748">
      <w:pPr>
        <w:spacing w:after="0" w:line="720" w:lineRule="auto"/>
        <w:contextualSpacing/>
        <w:jc w:val="both"/>
        <w:rPr>
          <w:rFonts w:ascii="Arial" w:hAnsi="Arial" w:cs="Arial"/>
          <w:sz w:val="20"/>
          <w:szCs w:val="20"/>
        </w:rPr>
      </w:pPr>
    </w:p>
    <w:p w14:paraId="50A11506"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sz w:val="20"/>
          <w:szCs w:val="20"/>
        </w:rPr>
        <w:t xml:space="preserve">Further research with a long-lasting protocol in patients with edema, will potentially provide more insights into the functioning of the </w:t>
      </w:r>
      <w:proofErr w:type="spellStart"/>
      <w:r w:rsidRPr="00AD4748">
        <w:rPr>
          <w:rFonts w:ascii="Arial" w:hAnsi="Arial" w:cs="Arial"/>
          <w:sz w:val="20"/>
          <w:szCs w:val="20"/>
        </w:rPr>
        <w:t>interstitium</w:t>
      </w:r>
      <w:proofErr w:type="spellEnd"/>
      <w:r w:rsidRPr="00AD4748">
        <w:rPr>
          <w:rFonts w:ascii="Arial" w:hAnsi="Arial" w:cs="Arial"/>
          <w:sz w:val="20"/>
          <w:szCs w:val="20"/>
        </w:rPr>
        <w:t xml:space="preserve"> and the possible link with edema and diuresis.</w:t>
      </w:r>
    </w:p>
    <w:p w14:paraId="02BFD44E" w14:textId="4BBC0BE8" w:rsidR="00AD4748" w:rsidRPr="00AD4748" w:rsidRDefault="00AD4748" w:rsidP="00AD4748">
      <w:pPr>
        <w:spacing w:line="720" w:lineRule="auto"/>
        <w:contextualSpacing/>
        <w:rPr>
          <w:rFonts w:ascii="Arial" w:hAnsi="Arial" w:cs="Arial"/>
          <w:b/>
          <w:sz w:val="20"/>
          <w:szCs w:val="20"/>
          <w:u w:val="single"/>
        </w:rPr>
      </w:pPr>
      <w:r w:rsidRPr="00AD4748">
        <w:rPr>
          <w:rFonts w:ascii="Arial" w:hAnsi="Arial" w:cs="Arial"/>
          <w:b/>
          <w:sz w:val="20"/>
          <w:szCs w:val="20"/>
          <w:u w:val="single"/>
        </w:rPr>
        <w:br w:type="page"/>
      </w:r>
    </w:p>
    <w:p w14:paraId="330B48B1" w14:textId="400848FE" w:rsidR="00AD4748" w:rsidRPr="00AD4748" w:rsidRDefault="00AD4748" w:rsidP="00AD4748">
      <w:pPr>
        <w:spacing w:after="0" w:line="720" w:lineRule="auto"/>
        <w:contextualSpacing/>
        <w:rPr>
          <w:rFonts w:ascii="Arial" w:hAnsi="Arial" w:cs="Arial"/>
          <w:b/>
          <w:sz w:val="20"/>
          <w:szCs w:val="20"/>
          <w:u w:val="single"/>
          <w:lang w:val="en-GB"/>
        </w:rPr>
      </w:pPr>
      <w:r w:rsidRPr="00AD4748">
        <w:rPr>
          <w:rFonts w:ascii="Arial" w:hAnsi="Arial" w:cs="Arial"/>
          <w:b/>
          <w:sz w:val="20"/>
          <w:szCs w:val="20"/>
          <w:u w:val="single"/>
          <w:lang w:val="en-GB"/>
        </w:rPr>
        <w:lastRenderedPageBreak/>
        <w:t>Figures</w:t>
      </w:r>
    </w:p>
    <w:p w14:paraId="52F08E95" w14:textId="72EDCEDB" w:rsidR="00AD4748" w:rsidRPr="00AD4748" w:rsidRDefault="00AD4748" w:rsidP="00AD4748">
      <w:pPr>
        <w:spacing w:after="0" w:line="720" w:lineRule="auto"/>
        <w:contextualSpacing/>
        <w:rPr>
          <w:rFonts w:ascii="Arial" w:hAnsi="Arial" w:cs="Arial"/>
          <w:sz w:val="20"/>
          <w:szCs w:val="20"/>
        </w:rPr>
        <w:sectPr w:rsidR="00AD4748" w:rsidRPr="00AD4748" w:rsidSect="005253DC">
          <w:footerReference w:type="default" r:id="rId7"/>
          <w:pgSz w:w="11906" w:h="16838"/>
          <w:pgMar w:top="1418" w:right="1418" w:bottom="1418" w:left="1418" w:header="709" w:footer="709" w:gutter="0"/>
          <w:lnNumType w:countBy="1" w:restart="continuous"/>
          <w:cols w:space="708" w:equalWidth="0">
            <w:col w:w="9406"/>
          </w:cols>
          <w:docGrid w:linePitch="299"/>
        </w:sectPr>
      </w:pPr>
      <w:r w:rsidRPr="00AD4748">
        <w:rPr>
          <w:rFonts w:ascii="Arial" w:hAnsi="Arial" w:cs="Arial"/>
          <w:b/>
          <w:sz w:val="20"/>
          <w:szCs w:val="20"/>
        </w:rPr>
        <w:t>Table 1</w:t>
      </w:r>
      <w:r w:rsidRPr="00AD4748">
        <w:rPr>
          <w:rFonts w:ascii="Arial" w:hAnsi="Arial" w:cs="Arial"/>
          <w:sz w:val="20"/>
          <w:szCs w:val="20"/>
        </w:rPr>
        <w:t xml:space="preserve"> </w:t>
      </w:r>
      <w:r w:rsidRPr="00AD4748">
        <w:rPr>
          <w:rFonts w:ascii="Arial" w:hAnsi="Arial" w:cs="Arial"/>
          <w:b/>
          <w:sz w:val="20"/>
          <w:szCs w:val="20"/>
        </w:rPr>
        <w:t>Overview of TBW and Body Water (BW) calculation based on different methods for 19 volunteers</w:t>
      </w:r>
      <w:r w:rsidRPr="00AD4748">
        <w:rPr>
          <w:rFonts w:ascii="Arial" w:hAnsi="Arial" w:cs="Arial"/>
          <w:sz w:val="20"/>
          <w:szCs w:val="20"/>
        </w:rPr>
        <w:t xml:space="preserve">: Based on Watson formula, calculated based on the maximal </w:t>
      </w:r>
      <w:r w:rsidRPr="00AD4748">
        <w:rPr>
          <w:rFonts w:ascii="Arial" w:hAnsi="Arial" w:cs="Arial"/>
          <w:sz w:val="20"/>
          <w:szCs w:val="20"/>
          <w:vertAlign w:val="superscript"/>
        </w:rPr>
        <w:t>2</w:t>
      </w:r>
      <w:r w:rsidRPr="00AD4748">
        <w:rPr>
          <w:rFonts w:ascii="Arial" w:hAnsi="Arial" w:cs="Arial"/>
          <w:sz w:val="20"/>
          <w:szCs w:val="20"/>
        </w:rPr>
        <w:t>H abundance in urine, serum and obtained through BIA in standing and lying position. However, some precautions should be taken for this deuterium serum measurements, as an equilibrium was not yet attained at the end of the experiment. For this reason, calculations based on deuterium measurements are mentioned as BW  instead of TB</w:t>
      </w:r>
    </w:p>
    <w:p w14:paraId="5D6ED3D9" w14:textId="77777777" w:rsidR="00AD4748" w:rsidRPr="00AD4748" w:rsidRDefault="00AD4748" w:rsidP="00AD4748">
      <w:pPr>
        <w:spacing w:after="0" w:line="720" w:lineRule="auto"/>
        <w:contextualSpacing/>
        <w:jc w:val="both"/>
        <w:rPr>
          <w:rFonts w:ascii="Arial" w:hAnsi="Arial" w:cs="Arial"/>
          <w:sz w:val="20"/>
          <w:szCs w:val="20"/>
        </w:rPr>
      </w:pPr>
      <w:r w:rsidRPr="00AD4748">
        <w:rPr>
          <w:rFonts w:ascii="Arial" w:hAnsi="Arial" w:cs="Arial"/>
          <w:b/>
          <w:sz w:val="20"/>
          <w:szCs w:val="20"/>
        </w:rPr>
        <w:lastRenderedPageBreak/>
        <w:t>Figure 1</w:t>
      </w:r>
      <w:r w:rsidRPr="00AD4748">
        <w:rPr>
          <w:rFonts w:ascii="Arial" w:hAnsi="Arial" w:cs="Arial"/>
          <w:sz w:val="20"/>
          <w:szCs w:val="20"/>
        </w:rPr>
        <w:t xml:space="preserve"> </w:t>
      </w:r>
      <w:r w:rsidRPr="00AD4748">
        <w:rPr>
          <w:rFonts w:ascii="Arial" w:hAnsi="Arial" w:cs="Arial"/>
          <w:b/>
          <w:sz w:val="20"/>
          <w:szCs w:val="20"/>
        </w:rPr>
        <w:t>Overview of the test protocol</w:t>
      </w:r>
      <w:r w:rsidRPr="00AD4748">
        <w:rPr>
          <w:rFonts w:ascii="Arial" w:hAnsi="Arial" w:cs="Arial"/>
          <w:sz w:val="20"/>
          <w:szCs w:val="20"/>
        </w:rPr>
        <w:t xml:space="preserve"> with exact time of the ingestion of deuterium enriched water and the different sampling times of blood and urine. </w:t>
      </w:r>
    </w:p>
    <w:p w14:paraId="7FC2042B" w14:textId="77777777" w:rsidR="00AD4748" w:rsidRPr="00AD4748" w:rsidRDefault="00AD4748" w:rsidP="00AD4748">
      <w:pPr>
        <w:spacing w:after="0" w:line="720" w:lineRule="auto"/>
        <w:contextualSpacing/>
        <w:jc w:val="both"/>
        <w:rPr>
          <w:rFonts w:ascii="Arial" w:hAnsi="Arial" w:cs="Arial"/>
          <w:sz w:val="20"/>
          <w:szCs w:val="20"/>
        </w:rPr>
      </w:pPr>
    </w:p>
    <w:p w14:paraId="5126EBBE" w14:textId="3B1E407F" w:rsidR="00AD4748" w:rsidRPr="00AD4748" w:rsidRDefault="00AD4748" w:rsidP="00AD4748">
      <w:pPr>
        <w:spacing w:line="720" w:lineRule="auto"/>
        <w:contextualSpacing/>
        <w:jc w:val="both"/>
        <w:rPr>
          <w:rFonts w:ascii="Arial" w:hAnsi="Arial" w:cs="Arial"/>
          <w:color w:val="000000"/>
          <w:sz w:val="20"/>
          <w:szCs w:val="20"/>
        </w:rPr>
      </w:pPr>
      <w:r w:rsidRPr="00AD4748">
        <w:rPr>
          <w:rFonts w:ascii="Arial" w:hAnsi="Arial" w:cs="Arial"/>
          <w:color w:val="000000"/>
          <w:sz w:val="20"/>
          <w:szCs w:val="20"/>
        </w:rPr>
        <w:t>In the first part of the protocol the participants</w:t>
      </w:r>
      <w:r w:rsidR="0096332A">
        <w:rPr>
          <w:rFonts w:ascii="Arial" w:hAnsi="Arial" w:cs="Arial"/>
          <w:color w:val="000000"/>
          <w:sz w:val="20"/>
          <w:szCs w:val="20"/>
        </w:rPr>
        <w:t xml:space="preserve"> </w:t>
      </w:r>
      <w:r w:rsidRPr="00AD4748">
        <w:rPr>
          <w:rFonts w:ascii="Arial" w:hAnsi="Arial" w:cs="Arial"/>
          <w:sz w:val="20"/>
          <w:szCs w:val="20"/>
        </w:rPr>
        <w:t xml:space="preserve">stood up for 5 minutes, laid down for 70 minutes, followed by 5 minutes in a seated position and ending with 30 minutes standing. BIA was done every 5 minutes. Fifteen minutes after the onset of the experiment, participants drunk 330 mL of deuterium enriched water while laying down. The deuterium enriched water was created by replacing a certain amount of water from a bottle of 330 ml mineral water with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 xml:space="preserve">O. The volume of </w:t>
      </w:r>
      <w:r w:rsidRPr="00AD4748">
        <w:rPr>
          <w:rFonts w:ascii="Arial" w:hAnsi="Arial" w:cs="Arial"/>
          <w:sz w:val="20"/>
          <w:szCs w:val="20"/>
          <w:vertAlign w:val="superscript"/>
        </w:rPr>
        <w:t>2</w:t>
      </w:r>
      <w:r w:rsidRPr="00AD4748">
        <w:rPr>
          <w:rFonts w:ascii="Arial" w:hAnsi="Arial" w:cs="Arial"/>
          <w:sz w:val="20"/>
          <w:szCs w:val="20"/>
        </w:rPr>
        <w:t>H</w:t>
      </w:r>
      <w:r w:rsidRPr="00AD4748">
        <w:rPr>
          <w:rFonts w:ascii="Arial" w:hAnsi="Arial" w:cs="Arial"/>
          <w:sz w:val="20"/>
          <w:szCs w:val="20"/>
          <w:vertAlign w:val="subscript"/>
        </w:rPr>
        <w:t>2</w:t>
      </w:r>
      <w:r w:rsidRPr="00AD4748">
        <w:rPr>
          <w:rFonts w:ascii="Arial" w:hAnsi="Arial" w:cs="Arial"/>
          <w:sz w:val="20"/>
          <w:szCs w:val="20"/>
        </w:rPr>
        <w:t xml:space="preserve">O corresponded with 0.25% of the persons estimated TBW based on the Watson formula. Blood samples were taken every 10 minutes, starting after the intake of the deuterated water. At the end of the test protocol a second urine sample was taken. </w:t>
      </w:r>
    </w:p>
    <w:p w14:paraId="5D2EB741" w14:textId="77777777" w:rsidR="00AD4748" w:rsidRPr="00AD4748" w:rsidRDefault="00AD4748" w:rsidP="00AD4748">
      <w:pPr>
        <w:spacing w:after="0" w:line="720" w:lineRule="auto"/>
        <w:contextualSpacing/>
        <w:jc w:val="both"/>
        <w:rPr>
          <w:rFonts w:ascii="Arial" w:hAnsi="Arial" w:cs="Arial"/>
          <w:b/>
          <w:sz w:val="20"/>
          <w:szCs w:val="20"/>
        </w:rPr>
      </w:pPr>
    </w:p>
    <w:p w14:paraId="017F2486" w14:textId="6DBB1CD2" w:rsidR="00AD4748" w:rsidRDefault="00AD4748" w:rsidP="00AD4748">
      <w:pPr>
        <w:pBdr>
          <w:top w:val="nil"/>
          <w:left w:val="nil"/>
          <w:bottom w:val="nil"/>
          <w:right w:val="nil"/>
          <w:between w:val="nil"/>
        </w:pBdr>
        <w:spacing w:after="0" w:line="720" w:lineRule="auto"/>
        <w:contextualSpacing/>
        <w:jc w:val="both"/>
        <w:rPr>
          <w:rFonts w:ascii="Arial" w:hAnsi="Arial" w:cs="Arial"/>
          <w:sz w:val="20"/>
          <w:szCs w:val="20"/>
        </w:rPr>
      </w:pPr>
      <w:r w:rsidRPr="00AD4748">
        <w:rPr>
          <w:rFonts w:ascii="Arial" w:hAnsi="Arial" w:cs="Arial"/>
          <w:b/>
          <w:color w:val="000000"/>
          <w:sz w:val="20"/>
          <w:szCs w:val="20"/>
        </w:rPr>
        <w:t>Figure  2 (A-B) a</w:t>
      </w:r>
      <w:r w:rsidRPr="00AD4748">
        <w:rPr>
          <w:rFonts w:ascii="Arial" w:hAnsi="Arial" w:cs="Arial"/>
          <w:b/>
          <w:color w:val="000000"/>
          <w:sz w:val="20"/>
          <w:szCs w:val="20"/>
          <w:vertAlign w:val="superscript"/>
        </w:rPr>
        <w:t>2</w:t>
      </w:r>
      <w:r w:rsidRPr="00AD4748">
        <w:rPr>
          <w:rFonts w:ascii="Arial" w:hAnsi="Arial" w:cs="Arial"/>
          <w:b/>
          <w:color w:val="000000"/>
          <w:sz w:val="20"/>
          <w:szCs w:val="20"/>
        </w:rPr>
        <w:t xml:space="preserve">H(%) in serum measured during different moments of the test protocol in both sexes </w:t>
      </w:r>
      <w:r w:rsidRPr="00AD4748">
        <w:rPr>
          <w:rFonts w:ascii="Arial" w:hAnsi="Arial" w:cs="Arial"/>
          <w:color w:val="000000"/>
          <w:sz w:val="20"/>
          <w:szCs w:val="20"/>
        </w:rPr>
        <w:t>(A for women and B for men).</w:t>
      </w:r>
      <w:r w:rsidRPr="00AD4748">
        <w:rPr>
          <w:rFonts w:ascii="Arial" w:hAnsi="Arial" w:cs="Arial"/>
          <w:b/>
          <w:color w:val="000000"/>
          <w:sz w:val="20"/>
          <w:szCs w:val="20"/>
        </w:rPr>
        <w:t xml:space="preserve"> </w:t>
      </w:r>
      <w:r w:rsidRPr="00AD4748">
        <w:rPr>
          <w:rFonts w:ascii="Arial" w:hAnsi="Arial" w:cs="Arial"/>
          <w:sz w:val="20"/>
          <w:szCs w:val="20"/>
        </w:rPr>
        <w:t xml:space="preserve">At point -15 minutes, a reference serum sample was taken, subsequently patients drunk deuterium enriched water at time point 0 minutes and a serum sample was taken every 10 minutes. </w:t>
      </w:r>
      <w:r w:rsidRPr="00AD4748">
        <w:rPr>
          <w:rFonts w:ascii="Arial" w:hAnsi="Arial" w:cs="Arial"/>
          <w:color w:val="000000"/>
          <w:sz w:val="20"/>
          <w:szCs w:val="20"/>
        </w:rPr>
        <w:t xml:space="preserve"> In men, the maximum a</w:t>
      </w:r>
      <w:r w:rsidRPr="00AD4748">
        <w:rPr>
          <w:rFonts w:ascii="Arial" w:hAnsi="Arial" w:cs="Arial"/>
          <w:color w:val="000000"/>
          <w:sz w:val="20"/>
          <w:szCs w:val="20"/>
          <w:vertAlign w:val="superscript"/>
        </w:rPr>
        <w:t>2</w:t>
      </w:r>
      <w:r w:rsidRPr="00AD4748">
        <w:rPr>
          <w:rFonts w:ascii="Arial" w:hAnsi="Arial" w:cs="Arial"/>
          <w:color w:val="000000"/>
          <w:sz w:val="20"/>
          <w:szCs w:val="20"/>
        </w:rPr>
        <w:t>H was reached 50 minutes after ingestion (0.31% (0.28 % - 0.32%)), while in women the maximum was reached more slowly after 60 minutes (0.25% (0.23% - 0.27%))</w:t>
      </w:r>
    </w:p>
    <w:p w14:paraId="3E4DA730" w14:textId="77777777" w:rsidR="0096332A" w:rsidRPr="00AD4748" w:rsidRDefault="0096332A" w:rsidP="00AD4748">
      <w:pPr>
        <w:pBdr>
          <w:top w:val="nil"/>
          <w:left w:val="nil"/>
          <w:bottom w:val="nil"/>
          <w:right w:val="nil"/>
          <w:between w:val="nil"/>
        </w:pBdr>
        <w:spacing w:after="0" w:line="720" w:lineRule="auto"/>
        <w:contextualSpacing/>
        <w:jc w:val="both"/>
        <w:rPr>
          <w:rFonts w:ascii="Arial" w:hAnsi="Arial" w:cs="Arial"/>
          <w:sz w:val="20"/>
          <w:szCs w:val="20"/>
        </w:rPr>
      </w:pPr>
    </w:p>
    <w:p w14:paraId="05A8EB85" w14:textId="77777777" w:rsidR="00AD4748" w:rsidRPr="00AD4748" w:rsidRDefault="00AD4748" w:rsidP="00AD4748">
      <w:pPr>
        <w:shd w:val="clear" w:color="auto" w:fill="FFFFFF"/>
        <w:spacing w:after="100" w:line="720" w:lineRule="auto"/>
        <w:contextualSpacing/>
        <w:jc w:val="both"/>
        <w:rPr>
          <w:rFonts w:ascii="Arial" w:hAnsi="Arial" w:cs="Arial"/>
          <w:color w:val="000000"/>
          <w:sz w:val="20"/>
          <w:szCs w:val="20"/>
        </w:rPr>
      </w:pPr>
      <w:r w:rsidRPr="00AD4748">
        <w:rPr>
          <w:rFonts w:ascii="Arial" w:hAnsi="Arial" w:cs="Arial"/>
          <w:b/>
          <w:color w:val="000000"/>
          <w:sz w:val="20"/>
          <w:szCs w:val="20"/>
        </w:rPr>
        <w:lastRenderedPageBreak/>
        <w:t xml:space="preserve">Figure 3 (A – D): Impedance measured at both 50 kHz and 1 kHz in different body segments and both sexes. </w:t>
      </w:r>
      <w:r w:rsidRPr="00AD4748">
        <w:rPr>
          <w:rFonts w:ascii="Arial" w:hAnsi="Arial" w:cs="Arial"/>
          <w:color w:val="000000"/>
          <w:sz w:val="20"/>
          <w:szCs w:val="20"/>
        </w:rPr>
        <w:t xml:space="preserve">Conduction at 50 </w:t>
      </w:r>
      <w:proofErr w:type="spellStart"/>
      <w:r w:rsidRPr="00AD4748">
        <w:rPr>
          <w:rFonts w:ascii="Arial" w:hAnsi="Arial" w:cs="Arial"/>
          <w:color w:val="000000"/>
          <w:sz w:val="20"/>
          <w:szCs w:val="20"/>
        </w:rPr>
        <w:t>KHz</w:t>
      </w:r>
      <w:proofErr w:type="spellEnd"/>
      <w:r w:rsidRPr="00AD4748">
        <w:rPr>
          <w:rFonts w:ascii="Arial" w:hAnsi="Arial" w:cs="Arial"/>
          <w:color w:val="000000"/>
          <w:sz w:val="20"/>
          <w:szCs w:val="20"/>
        </w:rPr>
        <w:t xml:space="preserve"> showing impedance at a normal frequency, conducted through ICF and ECF. Impedance at 1 kHz is reflecting conduction through the ECF only, as the current at this low frequency is too low to pass the cell membrane. All volunteers are standing up on point -15 minutes, lying down from point -10 minutes through point 60 minutes, were seated on a chair at measurement 65 minutes and were standing from minute 70 till the end of the experiment. </w:t>
      </w:r>
    </w:p>
    <w:p w14:paraId="3C6001B1" w14:textId="77777777" w:rsidR="00AD4748" w:rsidRPr="00AD4748" w:rsidRDefault="00AD4748" w:rsidP="00AD4748">
      <w:pPr>
        <w:shd w:val="clear" w:color="auto" w:fill="FFFFFF"/>
        <w:spacing w:after="100" w:line="720" w:lineRule="auto"/>
        <w:contextualSpacing/>
        <w:jc w:val="both"/>
        <w:rPr>
          <w:rFonts w:ascii="Arial" w:hAnsi="Arial" w:cs="Arial"/>
          <w:color w:val="000000"/>
          <w:sz w:val="20"/>
          <w:szCs w:val="20"/>
        </w:rPr>
      </w:pPr>
    </w:p>
    <w:p w14:paraId="4A2DC75D" w14:textId="77777777" w:rsidR="00AD4748" w:rsidRPr="00AD4748" w:rsidRDefault="00AD4748" w:rsidP="00AD4748">
      <w:pPr>
        <w:shd w:val="clear" w:color="auto" w:fill="FFFFFF"/>
        <w:spacing w:after="100" w:line="720" w:lineRule="auto"/>
        <w:contextualSpacing/>
        <w:jc w:val="both"/>
        <w:rPr>
          <w:rFonts w:ascii="Arial" w:hAnsi="Arial" w:cs="Arial"/>
          <w:color w:val="000000"/>
          <w:sz w:val="20"/>
          <w:szCs w:val="20"/>
        </w:rPr>
      </w:pPr>
      <w:r w:rsidRPr="00AD4748">
        <w:rPr>
          <w:rFonts w:ascii="Arial" w:hAnsi="Arial" w:cs="Arial"/>
          <w:b/>
          <w:color w:val="000000"/>
          <w:sz w:val="20"/>
          <w:szCs w:val="20"/>
        </w:rPr>
        <w:t>A)</w:t>
      </w:r>
      <w:r w:rsidRPr="00AD4748">
        <w:rPr>
          <w:rFonts w:ascii="Arial" w:hAnsi="Arial" w:cs="Arial"/>
          <w:color w:val="000000"/>
          <w:sz w:val="20"/>
          <w:szCs w:val="20"/>
        </w:rPr>
        <w:t xml:space="preserve"> Trunk impedance at 50 kHz showing a significant difference with posture change from lying to standing (Wilcoxon, both sexes  p &lt; 0.001)</w:t>
      </w:r>
    </w:p>
    <w:p w14:paraId="59461021" w14:textId="77777777" w:rsidR="00AD4748" w:rsidRPr="00AD4748" w:rsidRDefault="00AD4748" w:rsidP="00AD4748">
      <w:pPr>
        <w:shd w:val="clear" w:color="auto" w:fill="FFFFFF"/>
        <w:spacing w:after="100" w:line="720" w:lineRule="auto"/>
        <w:contextualSpacing/>
        <w:jc w:val="both"/>
        <w:rPr>
          <w:rFonts w:ascii="Arial" w:hAnsi="Arial" w:cs="Arial"/>
          <w:color w:val="000000"/>
          <w:sz w:val="20"/>
          <w:szCs w:val="20"/>
        </w:rPr>
      </w:pPr>
      <w:r w:rsidRPr="00AD4748">
        <w:rPr>
          <w:rFonts w:ascii="Arial" w:hAnsi="Arial" w:cs="Arial"/>
          <w:b/>
          <w:color w:val="000000"/>
          <w:sz w:val="20"/>
          <w:szCs w:val="20"/>
        </w:rPr>
        <w:t>B)</w:t>
      </w:r>
      <w:r w:rsidRPr="00AD4748">
        <w:rPr>
          <w:rFonts w:ascii="Arial" w:hAnsi="Arial" w:cs="Arial"/>
          <w:color w:val="000000"/>
          <w:sz w:val="20"/>
          <w:szCs w:val="20"/>
        </w:rPr>
        <w:t xml:space="preserve"> Leg Impedance at 50 kHz, showing a significant difference with posture change from lying to standing in both sexes  (Wilcoxon, p = 0.012 in men and p = 0.008 in women).</w:t>
      </w:r>
    </w:p>
    <w:p w14:paraId="6FE5978E" w14:textId="77777777" w:rsidR="00AD4748" w:rsidRPr="00AD4748" w:rsidRDefault="00AD4748" w:rsidP="00AD4748">
      <w:pPr>
        <w:shd w:val="clear" w:color="auto" w:fill="FFFFFF"/>
        <w:spacing w:after="100" w:line="720" w:lineRule="auto"/>
        <w:contextualSpacing/>
        <w:jc w:val="both"/>
        <w:rPr>
          <w:rFonts w:ascii="Arial" w:hAnsi="Arial" w:cs="Arial"/>
          <w:color w:val="000000"/>
          <w:sz w:val="20"/>
          <w:szCs w:val="20"/>
        </w:rPr>
      </w:pPr>
      <w:r w:rsidRPr="00AD4748">
        <w:rPr>
          <w:rFonts w:ascii="Arial" w:hAnsi="Arial" w:cs="Arial"/>
          <w:b/>
          <w:color w:val="000000"/>
          <w:sz w:val="20"/>
          <w:szCs w:val="20"/>
        </w:rPr>
        <w:t>C)</w:t>
      </w:r>
      <w:r w:rsidRPr="00AD4748">
        <w:rPr>
          <w:rFonts w:ascii="Arial" w:hAnsi="Arial" w:cs="Arial"/>
          <w:color w:val="000000"/>
          <w:sz w:val="20"/>
          <w:szCs w:val="20"/>
        </w:rPr>
        <w:t xml:space="preserve"> Trunk impedance at 1 kHz showing a significant decrease with posture change from lying to standing (Wilcoxon, men p = 0.012, women p = 0.005)</w:t>
      </w:r>
    </w:p>
    <w:p w14:paraId="55F40D0F" w14:textId="77777777" w:rsidR="00AD4748" w:rsidRPr="00AD4748" w:rsidRDefault="00AD4748" w:rsidP="00AD4748">
      <w:pPr>
        <w:shd w:val="clear" w:color="auto" w:fill="FFFFFF"/>
        <w:spacing w:after="100" w:line="720" w:lineRule="auto"/>
        <w:contextualSpacing/>
        <w:jc w:val="both"/>
        <w:rPr>
          <w:rFonts w:ascii="Arial" w:hAnsi="Arial" w:cs="Arial"/>
          <w:color w:val="000000"/>
          <w:sz w:val="20"/>
          <w:szCs w:val="20"/>
        </w:rPr>
      </w:pPr>
      <w:r w:rsidRPr="00AD4748">
        <w:rPr>
          <w:rFonts w:ascii="Arial" w:hAnsi="Arial" w:cs="Arial"/>
          <w:b/>
          <w:color w:val="000000"/>
          <w:sz w:val="20"/>
          <w:szCs w:val="20"/>
        </w:rPr>
        <w:t>D)</w:t>
      </w:r>
      <w:r w:rsidRPr="00AD4748">
        <w:rPr>
          <w:rFonts w:ascii="Arial" w:hAnsi="Arial" w:cs="Arial"/>
          <w:color w:val="000000"/>
          <w:sz w:val="20"/>
          <w:szCs w:val="20"/>
        </w:rPr>
        <w:t xml:space="preserve"> Leg impedance at 1 kHz showing a significant decrease with posture change from lying to standing (Wilcoxon, men p = 0.01, women, p = 0.007)</w:t>
      </w:r>
    </w:p>
    <w:p w14:paraId="0EA5D6A3"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sz w:val="20"/>
          <w:szCs w:val="20"/>
        </w:rPr>
      </w:pPr>
    </w:p>
    <w:p w14:paraId="0B27EB0F" w14:textId="77777777" w:rsidR="00AD4748" w:rsidRPr="00AD4748" w:rsidRDefault="00AD4748" w:rsidP="00AD4748">
      <w:pPr>
        <w:pBdr>
          <w:top w:val="nil"/>
          <w:left w:val="nil"/>
          <w:bottom w:val="nil"/>
          <w:right w:val="nil"/>
          <w:between w:val="nil"/>
        </w:pBdr>
        <w:spacing w:after="0" w:line="720" w:lineRule="auto"/>
        <w:contextualSpacing/>
        <w:jc w:val="both"/>
        <w:rPr>
          <w:rFonts w:ascii="Arial" w:hAnsi="Arial" w:cs="Arial"/>
          <w:sz w:val="20"/>
          <w:szCs w:val="20"/>
        </w:rPr>
      </w:pPr>
      <w:bookmarkStart w:id="9" w:name="_Hlk64109960"/>
      <w:r w:rsidRPr="00AD4748">
        <w:rPr>
          <w:rFonts w:ascii="Arial" w:hAnsi="Arial" w:cs="Arial"/>
          <w:b/>
          <w:bCs/>
          <w:sz w:val="20"/>
          <w:szCs w:val="20"/>
        </w:rPr>
        <w:t>Figure 4: Bland Altman plot</w:t>
      </w:r>
      <w:r w:rsidRPr="00AD4748">
        <w:rPr>
          <w:rFonts w:ascii="Arial" w:hAnsi="Arial" w:cs="Arial"/>
          <w:sz w:val="20"/>
          <w:szCs w:val="20"/>
        </w:rPr>
        <w:t xml:space="preserve"> observing no proportional bias ( p = 0.03) between TBW based on a</w:t>
      </w:r>
      <w:r w:rsidRPr="00AD4748">
        <w:rPr>
          <w:rFonts w:ascii="Arial" w:hAnsi="Arial" w:cs="Arial"/>
          <w:sz w:val="20"/>
          <w:szCs w:val="20"/>
          <w:vertAlign w:val="superscript"/>
        </w:rPr>
        <w:t>2</w:t>
      </w:r>
      <w:r w:rsidRPr="00AD4748">
        <w:rPr>
          <w:rFonts w:ascii="Arial" w:hAnsi="Arial" w:cs="Arial"/>
          <w:sz w:val="20"/>
          <w:szCs w:val="20"/>
        </w:rPr>
        <w:t xml:space="preserve">H of serum samples and TBW based on BIA measurements in lying position. The lines on the plot observe the mean (1.085, SD 7.17) and 95% CI (-12.99 – 13.22) of the difference of both variables. </w:t>
      </w:r>
    </w:p>
    <w:bookmarkEnd w:id="9"/>
    <w:p w14:paraId="35FC52CF" w14:textId="77777777" w:rsidR="00AD4748" w:rsidRPr="00AD4748" w:rsidRDefault="00AD4748" w:rsidP="00AD4748">
      <w:pPr>
        <w:spacing w:after="0" w:line="720" w:lineRule="auto"/>
        <w:contextualSpacing/>
        <w:rPr>
          <w:rFonts w:ascii="Arial" w:hAnsi="Arial" w:cs="Arial"/>
          <w:b/>
          <w:sz w:val="20"/>
          <w:szCs w:val="20"/>
          <w:u w:val="single"/>
          <w:lang w:val="en-GB"/>
        </w:rPr>
      </w:pPr>
      <w:r w:rsidRPr="00AD4748">
        <w:rPr>
          <w:rFonts w:ascii="Arial" w:hAnsi="Arial" w:cs="Arial"/>
          <w:b/>
          <w:sz w:val="20"/>
          <w:szCs w:val="20"/>
          <w:u w:val="single"/>
          <w:lang w:val="en-GB"/>
        </w:rPr>
        <w:br w:type="page"/>
      </w:r>
    </w:p>
    <w:p w14:paraId="2C018E84" w14:textId="77777777" w:rsidR="00AD4748" w:rsidRPr="00AD4748" w:rsidRDefault="00AD4748" w:rsidP="00AD4748">
      <w:pPr>
        <w:shd w:val="clear" w:color="auto" w:fill="FFFFFF"/>
        <w:spacing w:after="100" w:line="720" w:lineRule="auto"/>
        <w:contextualSpacing/>
        <w:rPr>
          <w:rFonts w:ascii="Arial" w:hAnsi="Arial" w:cs="Arial"/>
          <w:b/>
          <w:sz w:val="20"/>
          <w:szCs w:val="20"/>
          <w:u w:val="single"/>
        </w:rPr>
      </w:pPr>
      <w:r w:rsidRPr="00AD4748">
        <w:rPr>
          <w:rFonts w:ascii="Arial" w:hAnsi="Arial" w:cs="Arial"/>
          <w:b/>
          <w:color w:val="000000"/>
          <w:sz w:val="20"/>
          <w:szCs w:val="20"/>
          <w:u w:val="single"/>
        </w:rPr>
        <w:lastRenderedPageBreak/>
        <w:t xml:space="preserve">References </w:t>
      </w:r>
    </w:p>
    <w:p w14:paraId="52C52416"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sz w:val="20"/>
          <w:szCs w:val="20"/>
        </w:rPr>
        <w:fldChar w:fldCharType="begin" w:fldLock="1"/>
      </w:r>
      <w:r w:rsidRPr="00AD4748">
        <w:rPr>
          <w:rFonts w:ascii="Arial" w:hAnsi="Arial" w:cs="Arial"/>
          <w:sz w:val="20"/>
          <w:szCs w:val="20"/>
        </w:rPr>
        <w:instrText xml:space="preserve">ADDIN Mendeley Bibliography CSL_BIBLIOGRAPHY </w:instrText>
      </w:r>
      <w:r w:rsidRPr="00AD4748">
        <w:rPr>
          <w:rFonts w:ascii="Arial" w:hAnsi="Arial" w:cs="Arial"/>
          <w:sz w:val="20"/>
          <w:szCs w:val="20"/>
        </w:rPr>
        <w:fldChar w:fldCharType="separate"/>
      </w:r>
      <w:r w:rsidRPr="00AD4748">
        <w:rPr>
          <w:rFonts w:ascii="Arial" w:hAnsi="Arial" w:cs="Arial"/>
          <w:noProof/>
          <w:sz w:val="20"/>
          <w:szCs w:val="20"/>
        </w:rPr>
        <w:t xml:space="preserve">1. </w:t>
      </w:r>
      <w:r w:rsidRPr="00AD4748">
        <w:rPr>
          <w:rFonts w:ascii="Arial" w:hAnsi="Arial" w:cs="Arial"/>
          <w:noProof/>
          <w:sz w:val="20"/>
          <w:szCs w:val="20"/>
        </w:rPr>
        <w:tab/>
        <w:t>Wiig H, Luft FC, Titze JM. (2018). The interstitium conducts extrarenal storage of sodium and represents a third compartment essential for extracellular volume and blood pressure homeostasis. Acta Physiol (Oxf). 222(3). doi: 10.1111/apha.13006</w:t>
      </w:r>
    </w:p>
    <w:p w14:paraId="70063A6E"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2. </w:t>
      </w:r>
      <w:r w:rsidRPr="00AD4748">
        <w:rPr>
          <w:rFonts w:ascii="Arial" w:hAnsi="Arial" w:cs="Arial"/>
          <w:noProof/>
          <w:sz w:val="20"/>
          <w:szCs w:val="20"/>
        </w:rPr>
        <w:tab/>
        <w:t xml:space="preserve">Wiig H, Luft FC, Titze JM. (2018). The interstitium conducts extrarenal storage of sodium and represents a third compartment essential for extracellular volume and blood pressure homeostasis. Acta Physiol. 222(3):1–15. </w:t>
      </w:r>
    </w:p>
    <w:p w14:paraId="39FC7104"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3. </w:t>
      </w:r>
      <w:r w:rsidRPr="00AD4748">
        <w:rPr>
          <w:rFonts w:ascii="Arial" w:hAnsi="Arial" w:cs="Arial"/>
          <w:noProof/>
          <w:sz w:val="20"/>
          <w:szCs w:val="20"/>
        </w:rPr>
        <w:tab/>
        <w:t xml:space="preserve">Benias PC, Wells RG, Sackey-Aboagye B, Klavan H, Reidy J, Buonocore D, Miranda M, Kornacki S, Wayne M, Carr-Locke DL, Theise ND. (2018). Structure and distribution of an unrecognized interstitium in human tissues. Sci Rep. 8(1). </w:t>
      </w:r>
    </w:p>
    <w:p w14:paraId="24888564"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4. </w:t>
      </w:r>
      <w:r w:rsidRPr="00AD4748">
        <w:rPr>
          <w:rFonts w:ascii="Arial" w:hAnsi="Arial" w:cs="Arial"/>
          <w:noProof/>
          <w:sz w:val="20"/>
          <w:szCs w:val="20"/>
        </w:rPr>
        <w:tab/>
        <w:t xml:space="preserve">Haggerty A, Nirmalan M. 2019. Capillary dynamics, interstitial fluid and the lymphatic system. Vol. 20, Anaesthesia and Intensive Care Medicine. p. 182–9. </w:t>
      </w:r>
    </w:p>
    <w:p w14:paraId="24720620"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5. </w:t>
      </w:r>
      <w:r w:rsidRPr="00AD4748">
        <w:rPr>
          <w:rFonts w:ascii="Arial" w:hAnsi="Arial" w:cs="Arial"/>
          <w:noProof/>
          <w:sz w:val="20"/>
          <w:szCs w:val="20"/>
        </w:rPr>
        <w:tab/>
        <w:t xml:space="preserve">Aukland K. (1984). Distribution of body fluids: local mechanisms guarding interstitial fluid volume. J Physiol (Paris). 79(6):395–400. </w:t>
      </w:r>
    </w:p>
    <w:p w14:paraId="4561C753"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lang w:val="nl-BE"/>
        </w:rPr>
      </w:pPr>
      <w:r w:rsidRPr="00AD4748">
        <w:rPr>
          <w:rFonts w:ascii="Arial" w:hAnsi="Arial" w:cs="Arial"/>
          <w:noProof/>
          <w:sz w:val="20"/>
          <w:szCs w:val="20"/>
        </w:rPr>
        <w:t xml:space="preserve">6. </w:t>
      </w:r>
      <w:r w:rsidRPr="00AD4748">
        <w:rPr>
          <w:rFonts w:ascii="Arial" w:hAnsi="Arial" w:cs="Arial"/>
          <w:noProof/>
          <w:sz w:val="20"/>
          <w:szCs w:val="20"/>
        </w:rPr>
        <w:tab/>
        <w:t xml:space="preserve">Viaene A, Denys MA, Goessaert AS, Claeys J, Raes A, Roggeman S, Everaert K. (2019). Evaluation of the occurrence and diagnose definitions for nocturnal polyuria in spinal cord injured patients during rehabilitation. </w:t>
      </w:r>
      <w:r w:rsidRPr="00AD4748">
        <w:rPr>
          <w:rFonts w:ascii="Arial" w:hAnsi="Arial" w:cs="Arial"/>
          <w:noProof/>
          <w:sz w:val="20"/>
          <w:szCs w:val="20"/>
          <w:lang w:val="nl-BE"/>
        </w:rPr>
        <w:t xml:space="preserve">Eur J Phys Rehabil Med. 55(1):40–6. </w:t>
      </w:r>
    </w:p>
    <w:p w14:paraId="5328A2DA"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lang w:val="nl-BE"/>
        </w:rPr>
        <w:t xml:space="preserve">7. </w:t>
      </w:r>
      <w:r w:rsidRPr="00AD4748">
        <w:rPr>
          <w:rFonts w:ascii="Arial" w:hAnsi="Arial" w:cs="Arial"/>
          <w:noProof/>
          <w:sz w:val="20"/>
          <w:szCs w:val="20"/>
          <w:lang w:val="nl-BE"/>
        </w:rPr>
        <w:tab/>
        <w:t xml:space="preserve">Viaene A, Roggeman S, Goessaert AS, Kessler TM, Mehnert U, Besien V Van, De Muynck M, Everaert K. (2019). </w:t>
      </w:r>
      <w:r w:rsidRPr="00AD4748">
        <w:rPr>
          <w:rFonts w:ascii="Arial" w:hAnsi="Arial" w:cs="Arial"/>
          <w:noProof/>
          <w:sz w:val="20"/>
          <w:szCs w:val="20"/>
        </w:rPr>
        <w:t xml:space="preserve">Conservative treatment for leg oedema and the effect on nocturnal polyuria in patients with spinal cord injury. BJU Int. 123(5):E43–50. </w:t>
      </w:r>
    </w:p>
    <w:p w14:paraId="58FC6E05"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lastRenderedPageBreak/>
        <w:t xml:space="preserve">8. </w:t>
      </w:r>
      <w:r w:rsidRPr="00AD4748">
        <w:rPr>
          <w:rFonts w:ascii="Arial" w:hAnsi="Arial" w:cs="Arial"/>
          <w:noProof/>
          <w:sz w:val="20"/>
          <w:szCs w:val="20"/>
        </w:rPr>
        <w:tab/>
        <w:t>Kiba K, Hirayama A, Yishikawa M, Yutaka Y, Torimoto K, Nobutaka S, Tanaka N, Fujimoto K, Uemura H. (2018). Increased Urine Production Due to Leg Fluid Displacement Reduces Hours of Undisturbed Sleep. LUTS Low Urin Tract Symptoms. 10(3):253–8. doi: 10.1111/luts.12176</w:t>
      </w:r>
    </w:p>
    <w:p w14:paraId="67159413"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9. </w:t>
      </w:r>
      <w:r w:rsidRPr="00AD4748">
        <w:rPr>
          <w:rFonts w:ascii="Arial" w:hAnsi="Arial" w:cs="Arial"/>
          <w:noProof/>
          <w:sz w:val="20"/>
          <w:szCs w:val="20"/>
        </w:rPr>
        <w:tab/>
        <w:t xml:space="preserve">Cooper BA, Aslani A, Ryan M, Zhu FYP, Ibels LS, Allen BJ, Pollock CA. (2000). Comparing different methods of assessing body composition in end-stage renal failure. Kidney Int. 58(1):408–16. </w:t>
      </w:r>
    </w:p>
    <w:p w14:paraId="41DE8A13"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10. </w:t>
      </w:r>
      <w:r w:rsidRPr="00AD4748">
        <w:rPr>
          <w:rFonts w:ascii="Arial" w:hAnsi="Arial" w:cs="Arial"/>
          <w:noProof/>
          <w:sz w:val="20"/>
          <w:szCs w:val="20"/>
        </w:rPr>
        <w:tab/>
        <w:t xml:space="preserve">Roumelioti M-E, Glew RH, Khitan ZJ, Rondon-Berrios H, Argyropoulos CP, Malhotra D, Raj DS, Agaba EI, Rohrscheib M, Murata GH, Shapiro JI, Tzamaloukas AH. (2018). Fluid balance concepts in medicine: Principles and practice. World J Nephrol. 7(1):1–28. </w:t>
      </w:r>
    </w:p>
    <w:p w14:paraId="1163C755"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11. </w:t>
      </w:r>
      <w:r w:rsidRPr="00AD4748">
        <w:rPr>
          <w:rFonts w:ascii="Arial" w:hAnsi="Arial" w:cs="Arial"/>
          <w:noProof/>
          <w:sz w:val="20"/>
          <w:szCs w:val="20"/>
        </w:rPr>
        <w:tab/>
        <w:t>Bila WC, Mariano RM da S, Silva VR, Dos Santos MESM, Lamounier JA, Ferriolli E, Galdino AS. (2017). Applications of deuterium oxide in human health. Isotopes Environ Health Stud. 53(4):327–43. doi: 10.1080/10256016.2017.1281806</w:t>
      </w:r>
    </w:p>
    <w:p w14:paraId="3BE2C5D8"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12. </w:t>
      </w:r>
      <w:r w:rsidRPr="00AD4748">
        <w:rPr>
          <w:rFonts w:ascii="Arial" w:hAnsi="Arial" w:cs="Arial"/>
          <w:noProof/>
          <w:sz w:val="20"/>
          <w:szCs w:val="20"/>
        </w:rPr>
        <w:tab/>
        <w:t xml:space="preserve">Wang D, Liem DA, Lau E, Ng DCM, Bleakley BJ, Cadeiras M, Deng MC, Lam MPY, Ping P. (2014). Characterization of human plasma proteome dynamics using deuterium oxide. Proteomics - Clin Appl. 8(7–8):610–9. </w:t>
      </w:r>
    </w:p>
    <w:p w14:paraId="05CCD1A1"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13. </w:t>
      </w:r>
      <w:r w:rsidRPr="00AD4748">
        <w:rPr>
          <w:rFonts w:ascii="Arial" w:hAnsi="Arial" w:cs="Arial"/>
          <w:noProof/>
          <w:sz w:val="20"/>
          <w:szCs w:val="20"/>
        </w:rPr>
        <w:tab/>
        <w:t xml:space="preserve">Yang EM, Park E, Ahn YH, Choi HJ, Kang HG, Cheong H Il, Ha IS. (2017). Measurement of fluid status using bioimpedance methods in Korean pediatric patients on hemodialysis. J Korean Med Sci. 32(11):1828–34. </w:t>
      </w:r>
    </w:p>
    <w:p w14:paraId="1D92BF05"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14. </w:t>
      </w:r>
      <w:r w:rsidRPr="00AD4748">
        <w:rPr>
          <w:rFonts w:ascii="Arial" w:hAnsi="Arial" w:cs="Arial"/>
          <w:noProof/>
          <w:sz w:val="20"/>
          <w:szCs w:val="20"/>
        </w:rPr>
        <w:tab/>
        <w:t xml:space="preserve">Davies SJ, Davenport A. 2014. The role of bioimpedance and biomarkers in helping to aid clinical decision-making of volume assessments in dialysis patients. Vol. 86, Kidney </w:t>
      </w:r>
      <w:r w:rsidRPr="00AD4748">
        <w:rPr>
          <w:rFonts w:ascii="Arial" w:hAnsi="Arial" w:cs="Arial"/>
          <w:noProof/>
          <w:sz w:val="20"/>
          <w:szCs w:val="20"/>
        </w:rPr>
        <w:lastRenderedPageBreak/>
        <w:t xml:space="preserve">International. p. 489–96. </w:t>
      </w:r>
    </w:p>
    <w:p w14:paraId="21B6D8C4"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15. </w:t>
      </w:r>
      <w:r w:rsidRPr="00AD4748">
        <w:rPr>
          <w:rFonts w:ascii="Arial" w:hAnsi="Arial" w:cs="Arial"/>
          <w:noProof/>
          <w:sz w:val="20"/>
          <w:szCs w:val="20"/>
        </w:rPr>
        <w:tab/>
        <w:t>Baumgartner RN, Ross R, Heymsfield SB. (1998). Does adipose tissue influence bioelectric impedance in obese men and women? J Appl Physiol. 84(1):257–62. doi: 10.1152/jappl.1998.84.1.257</w:t>
      </w:r>
    </w:p>
    <w:p w14:paraId="7EA6A8A6"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16. </w:t>
      </w:r>
      <w:r w:rsidRPr="00AD4748">
        <w:rPr>
          <w:rFonts w:ascii="Arial" w:hAnsi="Arial" w:cs="Arial"/>
          <w:noProof/>
          <w:sz w:val="20"/>
          <w:szCs w:val="20"/>
        </w:rPr>
        <w:tab/>
        <w:t xml:space="preserve">Robert F Kushner, Rani Gudivaka DAS. Clinical Characteristics Influencing Bioelectrical Impedance Analysis Measurements - PubMed [Internet]. </w:t>
      </w:r>
    </w:p>
    <w:p w14:paraId="5AA0D327"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lang w:val="nl-BE"/>
        </w:rPr>
      </w:pPr>
      <w:r w:rsidRPr="00AD4748">
        <w:rPr>
          <w:rFonts w:ascii="Arial" w:hAnsi="Arial" w:cs="Arial"/>
          <w:noProof/>
          <w:sz w:val="20"/>
          <w:szCs w:val="20"/>
          <w:lang w:val="nl-BE"/>
        </w:rPr>
        <w:t xml:space="preserve">17. </w:t>
      </w:r>
      <w:r w:rsidRPr="00AD4748">
        <w:rPr>
          <w:rFonts w:ascii="Arial" w:hAnsi="Arial" w:cs="Arial"/>
          <w:noProof/>
          <w:sz w:val="20"/>
          <w:szCs w:val="20"/>
          <w:lang w:val="nl-BE"/>
        </w:rPr>
        <w:tab/>
        <w:t>Bodé S, De Wispelaere L, Hemp A, Verschuren D, Boeckx P. (2019). Water</w:t>
      </w:r>
      <w:r w:rsidRPr="00AD4748">
        <w:rPr>
          <w:rFonts w:ascii="Cambria Math" w:hAnsi="Cambria Math" w:cs="Cambria Math"/>
          <w:noProof/>
          <w:sz w:val="20"/>
          <w:szCs w:val="20"/>
          <w:lang w:val="nl-BE"/>
        </w:rPr>
        <w:t>‐</w:t>
      </w:r>
      <w:r w:rsidRPr="00AD4748">
        <w:rPr>
          <w:rFonts w:ascii="Arial" w:hAnsi="Arial" w:cs="Arial"/>
          <w:noProof/>
          <w:sz w:val="20"/>
          <w:szCs w:val="20"/>
          <w:lang w:val="nl-BE"/>
        </w:rPr>
        <w:t>isotope ecohydrology of Mount Kilimanjaro. Ecohydrology. doi: 10.1002/eco.2171</w:t>
      </w:r>
    </w:p>
    <w:p w14:paraId="66D159E7"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lang w:val="nl-BE"/>
        </w:rPr>
        <w:t xml:space="preserve">18. </w:t>
      </w:r>
      <w:r w:rsidRPr="00AD4748">
        <w:rPr>
          <w:rFonts w:ascii="Arial" w:hAnsi="Arial" w:cs="Arial"/>
          <w:noProof/>
          <w:sz w:val="20"/>
          <w:szCs w:val="20"/>
          <w:lang w:val="nl-BE"/>
        </w:rPr>
        <w:tab/>
        <w:t xml:space="preserve">Currell K, Urch J, Cerri E, Jentjens RLP, Blannin AK, Jeukendrup AE. </w:t>
      </w:r>
      <w:r w:rsidRPr="00AD4748">
        <w:rPr>
          <w:rFonts w:ascii="Arial" w:hAnsi="Arial" w:cs="Arial"/>
          <w:noProof/>
          <w:sz w:val="20"/>
          <w:szCs w:val="20"/>
        </w:rPr>
        <w:t xml:space="preserve">(2008). Plasma deuterium oxide accumulation following ingestion of different carbohydrate beverages. Appl Physiol Nutr Metab. 33(6):1067–72. </w:t>
      </w:r>
    </w:p>
    <w:p w14:paraId="0872F1DA"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19. </w:t>
      </w:r>
      <w:r w:rsidRPr="00AD4748">
        <w:rPr>
          <w:rFonts w:ascii="Arial" w:hAnsi="Arial" w:cs="Arial"/>
          <w:noProof/>
          <w:sz w:val="20"/>
          <w:szCs w:val="20"/>
        </w:rPr>
        <w:tab/>
        <w:t>Davis JM, Lamb DR, Burgess WA, Bartoli WP. (1987). Accumulation of deuterium oxide in body fluids after ingestion of D2O-labeled beverages. J Appl Physiol. 63(5):2060–6. doi: 10.1152/jappl.1987.63.5.2060</w:t>
      </w:r>
    </w:p>
    <w:p w14:paraId="3CB4E022" w14:textId="77777777" w:rsidR="00AD4748" w:rsidRPr="00AD4748" w:rsidRDefault="00AD4748" w:rsidP="00AD4748">
      <w:pPr>
        <w:widowControl w:val="0"/>
        <w:autoSpaceDE w:val="0"/>
        <w:autoSpaceDN w:val="0"/>
        <w:adjustRightInd w:val="0"/>
        <w:spacing w:line="720" w:lineRule="auto"/>
        <w:ind w:left="640" w:hanging="640"/>
        <w:contextualSpacing/>
        <w:rPr>
          <w:rFonts w:ascii="Arial" w:hAnsi="Arial" w:cs="Arial"/>
          <w:noProof/>
          <w:sz w:val="20"/>
          <w:szCs w:val="20"/>
        </w:rPr>
      </w:pPr>
      <w:r w:rsidRPr="00AD4748">
        <w:rPr>
          <w:rFonts w:ascii="Arial" w:hAnsi="Arial" w:cs="Arial"/>
          <w:noProof/>
          <w:sz w:val="20"/>
          <w:szCs w:val="20"/>
        </w:rPr>
        <w:t xml:space="preserve">20. </w:t>
      </w:r>
      <w:r w:rsidRPr="00AD4748">
        <w:rPr>
          <w:rFonts w:ascii="Arial" w:hAnsi="Arial" w:cs="Arial"/>
          <w:noProof/>
          <w:sz w:val="20"/>
          <w:szCs w:val="20"/>
        </w:rPr>
        <w:tab/>
        <w:t>Péronnet F, Mignault D, du Souich P, Vergne S, Le Bellego L, Jimenez L, Rabasa-Lhoret R. (2012). Pharmacokinetic analysis of absorption, distribution and disappearance of ingested water labeled with D</w:t>
      </w:r>
      <w:r w:rsidRPr="00AD4748">
        <w:rPr>
          <w:rFonts w:ascii="Cambria Math" w:hAnsi="Cambria Math" w:cs="Cambria Math"/>
          <w:noProof/>
          <w:sz w:val="20"/>
          <w:szCs w:val="20"/>
        </w:rPr>
        <w:t>₂</w:t>
      </w:r>
      <w:r w:rsidRPr="00AD4748">
        <w:rPr>
          <w:rFonts w:ascii="Arial" w:hAnsi="Arial" w:cs="Arial"/>
          <w:noProof/>
          <w:sz w:val="20"/>
          <w:szCs w:val="20"/>
        </w:rPr>
        <w:t>O in humans. Eur J Appl Physiol. 112(6):2213–22. doi: 10.1007/s00421-011-2194-7</w:t>
      </w:r>
    </w:p>
    <w:p w14:paraId="04B9FCC5" w14:textId="7699EDBC" w:rsidR="00A57914" w:rsidRPr="0096332A" w:rsidRDefault="00AD4748" w:rsidP="0096332A">
      <w:pPr>
        <w:spacing w:line="720" w:lineRule="auto"/>
        <w:contextualSpacing/>
        <w:rPr>
          <w:rFonts w:ascii="Arial" w:hAnsi="Arial" w:cs="Arial"/>
          <w:sz w:val="20"/>
          <w:szCs w:val="20"/>
        </w:rPr>
      </w:pPr>
      <w:r w:rsidRPr="00AD4748">
        <w:rPr>
          <w:rFonts w:ascii="Arial" w:hAnsi="Arial" w:cs="Arial"/>
          <w:sz w:val="20"/>
          <w:szCs w:val="20"/>
        </w:rPr>
        <w:fldChar w:fldCharType="end"/>
      </w:r>
    </w:p>
    <w:sectPr w:rsidR="00A57914" w:rsidRPr="0096332A" w:rsidSect="005253DC">
      <w:footerReference w:type="default" r:id="rId8"/>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16EF" w14:textId="77777777" w:rsidR="003914D8" w:rsidRDefault="003914D8">
      <w:pPr>
        <w:spacing w:after="0" w:line="240" w:lineRule="auto"/>
      </w:pPr>
      <w:r>
        <w:separator/>
      </w:r>
    </w:p>
  </w:endnote>
  <w:endnote w:type="continuationSeparator" w:id="0">
    <w:p w14:paraId="75F374B9" w14:textId="77777777" w:rsidR="003914D8" w:rsidRDefault="0039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DFC2" w14:textId="74D3F359" w:rsidR="006E62B1" w:rsidRDefault="0096332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2B96">
      <w:rPr>
        <w:noProof/>
        <w:color w:val="000000"/>
      </w:rPr>
      <w:t>2</w:t>
    </w:r>
    <w:r>
      <w:rPr>
        <w:color w:val="000000"/>
      </w:rPr>
      <w:fldChar w:fldCharType="end"/>
    </w:r>
  </w:p>
  <w:p w14:paraId="30AFF6BD" w14:textId="77777777" w:rsidR="006E62B1" w:rsidRDefault="0000000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8BD1" w14:textId="7DD8B735" w:rsidR="006D4668" w:rsidRDefault="0096332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2B96">
      <w:rPr>
        <w:noProof/>
        <w:color w:val="000000"/>
      </w:rPr>
      <w:t>22</w:t>
    </w:r>
    <w:r>
      <w:rPr>
        <w:color w:val="000000"/>
      </w:rPr>
      <w:fldChar w:fldCharType="end"/>
    </w:r>
  </w:p>
  <w:p w14:paraId="3B919A95" w14:textId="77777777" w:rsidR="006D4668" w:rsidRDefault="0000000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8D10" w14:textId="77777777" w:rsidR="003914D8" w:rsidRDefault="003914D8">
      <w:pPr>
        <w:spacing w:after="0" w:line="240" w:lineRule="auto"/>
      </w:pPr>
      <w:r>
        <w:separator/>
      </w:r>
    </w:p>
  </w:footnote>
  <w:footnote w:type="continuationSeparator" w:id="0">
    <w:p w14:paraId="189C3F9A" w14:textId="77777777" w:rsidR="003914D8" w:rsidRDefault="00391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4990"/>
    <w:multiLevelType w:val="multilevel"/>
    <w:tmpl w:val="C504DC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05"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ED93CB7"/>
    <w:multiLevelType w:val="hybridMultilevel"/>
    <w:tmpl w:val="549E9EDA"/>
    <w:lvl w:ilvl="0" w:tplc="C9E4C9A4">
      <w:start w:val="2"/>
      <w:numFmt w:val="bullet"/>
      <w:lvlText w:val="-"/>
      <w:lvlJc w:val="left"/>
      <w:pPr>
        <w:ind w:left="720" w:hanging="360"/>
      </w:pPr>
      <w:rPr>
        <w:rFonts w:ascii="Calibri" w:eastAsia="Batang"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1883973">
    <w:abstractNumId w:val="0"/>
  </w:num>
  <w:num w:numId="2" w16cid:durableId="1232042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48"/>
    <w:rsid w:val="000E098F"/>
    <w:rsid w:val="002C6EE7"/>
    <w:rsid w:val="003914D8"/>
    <w:rsid w:val="003C6162"/>
    <w:rsid w:val="0096332A"/>
    <w:rsid w:val="009B24EE"/>
    <w:rsid w:val="00A57914"/>
    <w:rsid w:val="00AD4748"/>
    <w:rsid w:val="00C45232"/>
    <w:rsid w:val="00D9695F"/>
    <w:rsid w:val="00E02B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C225"/>
  <w15:chartTrackingRefBased/>
  <w15:docId w15:val="{D7CD6B8E-949A-4E2B-ACB9-5295011F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D4748"/>
    <w:rPr>
      <w:rFonts w:ascii="Calibri" w:eastAsia="Batang" w:hAnsi="Calibri" w:cs="Calibri"/>
      <w:lang w:val="en-US"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4748"/>
    <w:pPr>
      <w:ind w:left="720"/>
      <w:contextualSpacing/>
    </w:pPr>
  </w:style>
  <w:style w:type="character" w:styleId="Regelnummer">
    <w:name w:val="line number"/>
    <w:basedOn w:val="Standaardalinea-lettertype"/>
    <w:uiPriority w:val="99"/>
    <w:semiHidden/>
    <w:unhideWhenUsed/>
    <w:rsid w:val="00AD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14666</Words>
  <Characters>80665</Characters>
  <Application>Microsoft Office Word</Application>
  <DocSecurity>0</DocSecurity>
  <Lines>672</Lines>
  <Paragraphs>190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Pauwaert</dc:creator>
  <cp:keywords/>
  <dc:description/>
  <cp:lastModifiedBy>Valerie Verschelde</cp:lastModifiedBy>
  <cp:revision>2</cp:revision>
  <dcterms:created xsi:type="dcterms:W3CDTF">2022-08-08T11:16:00Z</dcterms:created>
  <dcterms:modified xsi:type="dcterms:W3CDTF">2022-08-08T11:16:00Z</dcterms:modified>
</cp:coreProperties>
</file>