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D8CAF" w14:textId="77777777" w:rsidR="009E3217" w:rsidRPr="00B20810" w:rsidRDefault="009E3217" w:rsidP="009E3217">
      <w:pPr>
        <w:pStyle w:val="Kop1"/>
        <w:jc w:val="both"/>
      </w:pPr>
      <w:bookmarkStart w:id="0" w:name="_GoBack"/>
      <w:bookmarkEnd w:id="0"/>
      <w:r w:rsidRPr="00B20810">
        <w:t>Belgian Club of Dermato-</w:t>
      </w:r>
      <w:proofErr w:type="spellStart"/>
      <w:r w:rsidRPr="00B20810">
        <w:t>Pathology</w:t>
      </w:r>
      <w:proofErr w:type="spellEnd"/>
      <w:r w:rsidRPr="00B20810">
        <w:t xml:space="preserve"> (BCDP) : combler le fossé entre la</w:t>
      </w:r>
      <w:r>
        <w:t xml:space="preserve"> clinique et l’anatomopathologie</w:t>
      </w:r>
    </w:p>
    <w:p w14:paraId="334B0E96" w14:textId="77777777" w:rsidR="009E3217" w:rsidRDefault="009E3217" w:rsidP="009E3217">
      <w:pPr>
        <w:jc w:val="both"/>
      </w:pPr>
      <w:r>
        <w:t xml:space="preserve">Pr Sofie de </w:t>
      </w:r>
      <w:proofErr w:type="spellStart"/>
      <w:r>
        <w:t>Schepper</w:t>
      </w:r>
      <w:proofErr w:type="spellEnd"/>
      <w:r>
        <w:t xml:space="preserve"> nous présentait la société-sœur de </w:t>
      </w:r>
      <w:proofErr w:type="spellStart"/>
      <w:r>
        <w:t>dermatopathologie</w:t>
      </w:r>
      <w:proofErr w:type="spellEnd"/>
      <w:r>
        <w:t xml:space="preserve">, fondée en 2004, et dont le but principal est de réunir les dermatologues et les anatomopathologiques pour augmenter la connaissance et l’éducation dans ce domaine, en collaboration avec le D-WG, Dermato </w:t>
      </w:r>
      <w:proofErr w:type="spellStart"/>
      <w:r>
        <w:t>Working</w:t>
      </w:r>
      <w:proofErr w:type="spellEnd"/>
      <w:r>
        <w:t xml:space="preserve"> Group, société-sœur de la BSP, </w:t>
      </w:r>
      <w:proofErr w:type="spellStart"/>
      <w:r>
        <w:t>Belgian</w:t>
      </w:r>
      <w:proofErr w:type="spellEnd"/>
      <w:r>
        <w:t xml:space="preserve"> Society of </w:t>
      </w:r>
      <w:proofErr w:type="spellStart"/>
      <w:r>
        <w:t>Pathology</w:t>
      </w:r>
      <w:proofErr w:type="spellEnd"/>
      <w:r>
        <w:t xml:space="preserve">. </w:t>
      </w:r>
    </w:p>
    <w:p w14:paraId="617B5174" w14:textId="0821AA87" w:rsidR="009E3217" w:rsidRDefault="009E3217" w:rsidP="009E3217">
      <w:pPr>
        <w:jc w:val="both"/>
      </w:pPr>
      <w:r>
        <w:t xml:space="preserve">Deux cas cliniques ont été présentés aux BDD pour illustrer l’intérêt de la confrontation </w:t>
      </w:r>
      <w:proofErr w:type="spellStart"/>
      <w:r>
        <w:t>anatomo</w:t>
      </w:r>
      <w:proofErr w:type="spellEnd"/>
      <w:r>
        <w:t xml:space="preserve">-clinique, en particulier dans les cas complexes, et en impliquant également les considérations </w:t>
      </w:r>
      <w:proofErr w:type="spellStart"/>
      <w:r>
        <w:t>immunohistochimiques</w:t>
      </w:r>
      <w:proofErr w:type="spellEnd"/>
      <w:r>
        <w:t xml:space="preserve"> et </w:t>
      </w:r>
      <w:r w:rsidR="006B31A8">
        <w:t>moléculaires</w:t>
      </w:r>
      <w:r>
        <w:t xml:space="preserve">. </w:t>
      </w:r>
    </w:p>
    <w:p w14:paraId="52F0BB7C" w14:textId="77777777" w:rsidR="009E3217" w:rsidRPr="00E445E8" w:rsidRDefault="009E3217" w:rsidP="009E3217">
      <w:pPr>
        <w:jc w:val="both"/>
        <w:rPr>
          <w:b/>
          <w:bCs/>
          <w:u w:val="single"/>
        </w:rPr>
      </w:pPr>
      <w:r w:rsidRPr="00E445E8">
        <w:rPr>
          <w:b/>
          <w:bCs/>
          <w:u w:val="single"/>
        </w:rPr>
        <w:t xml:space="preserve">Tumeur </w:t>
      </w:r>
      <w:proofErr w:type="spellStart"/>
      <w:r w:rsidRPr="00E445E8">
        <w:rPr>
          <w:b/>
          <w:bCs/>
          <w:u w:val="single"/>
        </w:rPr>
        <w:t>spitzoïde</w:t>
      </w:r>
      <w:proofErr w:type="spellEnd"/>
      <w:r w:rsidRPr="00E445E8">
        <w:rPr>
          <w:b/>
          <w:bCs/>
          <w:u w:val="single"/>
        </w:rPr>
        <w:t xml:space="preserve"> atypique</w:t>
      </w:r>
    </w:p>
    <w:p w14:paraId="785576E9" w14:textId="77777777" w:rsidR="009E3217" w:rsidRDefault="009E3217" w:rsidP="009E3217">
      <w:pPr>
        <w:jc w:val="both"/>
      </w:pPr>
      <w:r>
        <w:t xml:space="preserve">Le premier cas clinique présenté par Pr David Creytens est celui d’un enfant de 4 ans présentant une lésion </w:t>
      </w:r>
      <w:proofErr w:type="spellStart"/>
      <w:r>
        <w:t>naevique</w:t>
      </w:r>
      <w:proofErr w:type="spellEnd"/>
      <w:r>
        <w:t xml:space="preserve"> modifiée rapidement du genou gauche, cliniquement inquiétante et qui a été excisée. L’histologie montre qu’il s’agit d’une lésion </w:t>
      </w:r>
      <w:proofErr w:type="spellStart"/>
      <w:r>
        <w:t>spitzoïde</w:t>
      </w:r>
      <w:proofErr w:type="spellEnd"/>
      <w:r>
        <w:t xml:space="preserve"> séparées en deux zones distinctes : une zone rassurante et une zone </w:t>
      </w:r>
      <w:r w:rsidRPr="009F294A">
        <w:t>atypique</w:t>
      </w:r>
      <w:r>
        <w:t xml:space="preserve"> plus inquiétante avec une architecture irrégulière et une activité mitotique importante et profonde. </w:t>
      </w:r>
    </w:p>
    <w:p w14:paraId="01BFB3F2" w14:textId="7F5ED1DB" w:rsidR="009E3217" w:rsidRDefault="009E3217" w:rsidP="009E3217">
      <w:pPr>
        <w:jc w:val="both"/>
      </w:pPr>
      <w:r>
        <w:t xml:space="preserve">Face à une lésion </w:t>
      </w:r>
      <w:proofErr w:type="spellStart"/>
      <w:r>
        <w:t>spitzoïde</w:t>
      </w:r>
      <w:proofErr w:type="spellEnd"/>
      <w:r>
        <w:t xml:space="preserve"> atypique, il convient de préciser le risque : est-ce une lésion bénigne, borderline ou maligne ? Trois outils sont à notre disposition : l’histologie et les </w:t>
      </w:r>
      <w:proofErr w:type="spellStart"/>
      <w:r>
        <w:t>immunomarquages</w:t>
      </w:r>
      <w:proofErr w:type="spellEnd"/>
      <w:r>
        <w:t xml:space="preserve"> (Tableau 2) ainsi que les analyses</w:t>
      </w:r>
      <w:r w:rsidR="006B31A8">
        <w:t xml:space="preserve"> moléculaires</w:t>
      </w:r>
      <w:r>
        <w:t xml:space="preserve">. </w:t>
      </w:r>
    </w:p>
    <w:p w14:paraId="32670296" w14:textId="77777777" w:rsidR="009E3217" w:rsidRDefault="009E3217" w:rsidP="009E3217">
      <w:pPr>
        <w:jc w:val="both"/>
      </w:pPr>
      <w:r>
        <w:rPr>
          <w:noProof/>
          <w:lang w:val="nl-BE" w:eastAsia="nl-BE"/>
        </w:rPr>
        <w:drawing>
          <wp:inline distT="0" distB="0" distL="0" distR="0" wp14:anchorId="77E30586" wp14:editId="5B57CB5B">
            <wp:extent cx="3915651" cy="3140914"/>
            <wp:effectExtent l="19050" t="19050" r="27940" b="21590"/>
            <wp:docPr id="2" name="Picture 2" descr="Une image contenant tex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10;&#10;Description automatically generated"/>
                    <pic:cNvPicPr/>
                  </pic:nvPicPr>
                  <pic:blipFill rotWithShape="1">
                    <a:blip r:embed="rId6"/>
                    <a:srcRect l="29221" t="34824" r="31318" b="5599"/>
                    <a:stretch/>
                  </pic:blipFill>
                  <pic:spPr bwMode="auto">
                    <a:xfrm>
                      <a:off x="0" y="0"/>
                      <a:ext cx="3925317" cy="3148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DB0CC3" w14:textId="77777777" w:rsidR="009E3217" w:rsidRDefault="009E3217" w:rsidP="009E3217">
      <w:pPr>
        <w:jc w:val="both"/>
      </w:pPr>
      <w:r w:rsidRPr="00CA1377">
        <w:rPr>
          <w:u w:val="single"/>
        </w:rPr>
        <w:t>Tableau 2 :</w:t>
      </w:r>
      <w:r>
        <w:t xml:space="preserve"> caractéristiques histologiques et </w:t>
      </w:r>
      <w:proofErr w:type="spellStart"/>
      <w:r>
        <w:t>immunohistochimiques</w:t>
      </w:r>
      <w:proofErr w:type="spellEnd"/>
      <w:r>
        <w:t xml:space="preserve"> suggérant un mélanome dans une lésion </w:t>
      </w:r>
      <w:proofErr w:type="spellStart"/>
      <w:r>
        <w:t>spitzoïde</w:t>
      </w:r>
      <w:proofErr w:type="spellEnd"/>
      <w:r>
        <w:t xml:space="preserve"> atypique</w:t>
      </w:r>
      <w:r>
        <w:rPr>
          <w:rStyle w:val="Voetnootmarkering"/>
        </w:rPr>
        <w:footnoteReference w:id="1"/>
      </w:r>
      <w:r>
        <w:t xml:space="preserve">. </w:t>
      </w:r>
    </w:p>
    <w:p w14:paraId="52855E45" w14:textId="77777777" w:rsidR="009E3217" w:rsidRDefault="009E3217" w:rsidP="009E3217">
      <w:pPr>
        <w:jc w:val="both"/>
      </w:pPr>
      <w:r>
        <w:t xml:space="preserve">Outre les caractéristiques </w:t>
      </w:r>
      <w:proofErr w:type="spellStart"/>
      <w:r>
        <w:t>immunohistochimiques</w:t>
      </w:r>
      <w:proofErr w:type="spellEnd"/>
      <w:r>
        <w:t xml:space="preserve"> décrites dans le tableau 2, l’</w:t>
      </w:r>
      <w:proofErr w:type="spellStart"/>
      <w:r>
        <w:t>immunomarquage</w:t>
      </w:r>
      <w:proofErr w:type="spellEnd"/>
      <w:r>
        <w:t xml:space="preserve"> PRAME (</w:t>
      </w:r>
      <w:proofErr w:type="spellStart"/>
      <w:r w:rsidRPr="00AE536F">
        <w:rPr>
          <w:i/>
          <w:iCs/>
        </w:rPr>
        <w:t>PReferentially</w:t>
      </w:r>
      <w:proofErr w:type="spellEnd"/>
      <w:r w:rsidRPr="00AE536F">
        <w:rPr>
          <w:i/>
          <w:iCs/>
        </w:rPr>
        <w:t xml:space="preserve"> </w:t>
      </w:r>
      <w:proofErr w:type="spellStart"/>
      <w:r w:rsidRPr="00AE536F">
        <w:rPr>
          <w:i/>
          <w:iCs/>
        </w:rPr>
        <w:t>expressed</w:t>
      </w:r>
      <w:proofErr w:type="spellEnd"/>
      <w:r w:rsidRPr="00AE536F">
        <w:rPr>
          <w:i/>
          <w:iCs/>
        </w:rPr>
        <w:t xml:space="preserve"> </w:t>
      </w:r>
      <w:proofErr w:type="spellStart"/>
      <w:r w:rsidRPr="00AE536F">
        <w:rPr>
          <w:i/>
          <w:iCs/>
        </w:rPr>
        <w:t>Antigen</w:t>
      </w:r>
      <w:proofErr w:type="spellEnd"/>
      <w:r w:rsidRPr="00AE536F">
        <w:rPr>
          <w:i/>
          <w:iCs/>
        </w:rPr>
        <w:t xml:space="preserve"> in </w:t>
      </w:r>
      <w:proofErr w:type="spellStart"/>
      <w:r w:rsidRPr="00AE536F">
        <w:rPr>
          <w:i/>
          <w:iCs/>
        </w:rPr>
        <w:t>MElanoma</w:t>
      </w:r>
      <w:proofErr w:type="spellEnd"/>
      <w:r>
        <w:t xml:space="preserve">) peut être utilisé. Il est cependant </w:t>
      </w:r>
      <w:r>
        <w:lastRenderedPageBreak/>
        <w:t xml:space="preserve">d’interprétation difficile : un marquage diffusément positif est évocateur de mélanome mais peut être observé dans les </w:t>
      </w:r>
      <w:proofErr w:type="spellStart"/>
      <w:r>
        <w:t>naevus</w:t>
      </w:r>
      <w:proofErr w:type="spellEnd"/>
      <w:r>
        <w:t xml:space="preserve"> de Spitz bénins et les tumeurs </w:t>
      </w:r>
      <w:proofErr w:type="spellStart"/>
      <w:r>
        <w:t>spitzoïdes</w:t>
      </w:r>
      <w:proofErr w:type="spellEnd"/>
      <w:r>
        <w:t xml:space="preserve"> atypiques</w:t>
      </w:r>
      <w:r>
        <w:rPr>
          <w:rStyle w:val="Voetnootmarkering"/>
        </w:rPr>
        <w:footnoteReference w:id="2"/>
      </w:r>
      <w:r>
        <w:t xml:space="preserve">. </w:t>
      </w:r>
    </w:p>
    <w:p w14:paraId="617E5734" w14:textId="77777777" w:rsidR="009E3217" w:rsidRDefault="009E3217" w:rsidP="009E3217">
      <w:pPr>
        <w:jc w:val="both"/>
      </w:pPr>
      <w:r>
        <w:t>Dans le cas clinique présenté, l’</w:t>
      </w:r>
      <w:proofErr w:type="spellStart"/>
      <w:r>
        <w:t>immunomarquage</w:t>
      </w:r>
      <w:proofErr w:type="spellEnd"/>
      <w:r>
        <w:t xml:space="preserve"> Ki67 montre une prolifération importante, notamment en profondeur de la lésion. L’expression de p16 est normale dans la zone typique mais une perte totale de p16 est observée dans la zone atypique, ce qui fait évoquer le diagnostic de tumeur </w:t>
      </w:r>
      <w:proofErr w:type="spellStart"/>
      <w:r>
        <w:t>spitzoïde</w:t>
      </w:r>
      <w:proofErr w:type="spellEnd"/>
      <w:r>
        <w:t xml:space="preserve"> atypique à potentiel de malignité ou de tumeur </w:t>
      </w:r>
      <w:proofErr w:type="spellStart"/>
      <w:r>
        <w:t>spitzoïde</w:t>
      </w:r>
      <w:proofErr w:type="spellEnd"/>
      <w:r>
        <w:t xml:space="preserve"> maligne. </w:t>
      </w:r>
    </w:p>
    <w:p w14:paraId="46E45370" w14:textId="03B16B44" w:rsidR="009E3217" w:rsidRDefault="009E3217" w:rsidP="009E3217">
      <w:pPr>
        <w:jc w:val="both"/>
      </w:pPr>
      <w:r>
        <w:t>En outre, il est utile de réaliser des analyses</w:t>
      </w:r>
      <w:r w:rsidR="006B31A8">
        <w:t xml:space="preserve"> moléculaires</w:t>
      </w:r>
      <w:r>
        <w:t xml:space="preserve"> afin de mettre en évidence les mutations pouvant être présentes dans les mélanomes et toujours absentes des lésions bénignes. Par exemple, la présence de la mutation du gène TERT est très évocatrice de malignité. </w:t>
      </w:r>
    </w:p>
    <w:p w14:paraId="4061B898" w14:textId="07330BD8" w:rsidR="009E3217" w:rsidRDefault="009E3217" w:rsidP="009E3217">
      <w:pPr>
        <w:jc w:val="both"/>
      </w:pPr>
      <w:r>
        <w:t xml:space="preserve">Le séquençage permettant le calcul de la variation du nombre de copies permet également d’évaluer le risque que la lésion soit maligne : en cas de CNV </w:t>
      </w:r>
      <w:r>
        <w:rPr>
          <w:rFonts w:cstheme="minorHAnsi"/>
        </w:rPr>
        <w:t>≥</w:t>
      </w:r>
      <w:r>
        <w:t xml:space="preserve"> 4, la probabilité qu’il s’agisse d’une lésion maligne est très élevée (Figure </w:t>
      </w:r>
      <w:r w:rsidR="00656E21">
        <w:t>2</w:t>
      </w:r>
      <w:r>
        <w:t xml:space="preserve">). </w:t>
      </w:r>
    </w:p>
    <w:p w14:paraId="7FF36EF0" w14:textId="77777777" w:rsidR="009E3217" w:rsidRDefault="009E3217" w:rsidP="009E3217">
      <w:pPr>
        <w:jc w:val="both"/>
      </w:pPr>
      <w:r>
        <w:rPr>
          <w:noProof/>
          <w:lang w:val="nl-BE" w:eastAsia="nl-BE"/>
        </w:rPr>
        <w:drawing>
          <wp:inline distT="0" distB="0" distL="0" distR="0" wp14:anchorId="52214EA1" wp14:editId="62D257E5">
            <wp:extent cx="4662362" cy="3046130"/>
            <wp:effectExtent l="19050" t="19050" r="2413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98" t="30242" r="23345" b="12384"/>
                    <a:stretch/>
                  </pic:blipFill>
                  <pic:spPr bwMode="auto">
                    <a:xfrm>
                      <a:off x="0" y="0"/>
                      <a:ext cx="4681036" cy="30583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F3F795" w14:textId="77777777" w:rsidR="009E3217" w:rsidRDefault="009E3217" w:rsidP="009E3217">
      <w:pPr>
        <w:jc w:val="both"/>
      </w:pPr>
      <w:r w:rsidRPr="000534DB">
        <w:rPr>
          <w:u w:val="single"/>
        </w:rPr>
        <w:t xml:space="preserve">Figure </w:t>
      </w:r>
      <w:r>
        <w:rPr>
          <w:u w:val="single"/>
        </w:rPr>
        <w:t>2</w:t>
      </w:r>
      <w:r w:rsidRPr="000534DB">
        <w:rPr>
          <w:u w:val="single"/>
        </w:rPr>
        <w:t> :</w:t>
      </w:r>
      <w:r>
        <w:t xml:space="preserve"> algorithme de l’évaluation du risque d’une lésion </w:t>
      </w:r>
      <w:proofErr w:type="spellStart"/>
      <w:r>
        <w:t>mélanocytaire</w:t>
      </w:r>
      <w:proofErr w:type="spellEnd"/>
      <w:r>
        <w:t xml:space="preserve"> en tenant compte de l’histologie et de la variation du nombre de copies avec un </w:t>
      </w:r>
      <w:proofErr w:type="spellStart"/>
      <w:r>
        <w:t>cut</w:t>
      </w:r>
      <w:proofErr w:type="spellEnd"/>
      <w:r>
        <w:t xml:space="preserve">-off fixé à CNV </w:t>
      </w:r>
      <w:r>
        <w:rPr>
          <w:rFonts w:cstheme="minorHAnsi"/>
        </w:rPr>
        <w:t>≥</w:t>
      </w:r>
      <w:r>
        <w:t xml:space="preserve"> 4 comme seuil de positivité (Mol+)</w:t>
      </w:r>
      <w:r>
        <w:rPr>
          <w:rStyle w:val="Voetnootmarkering"/>
        </w:rPr>
        <w:footnoteReference w:id="3"/>
      </w:r>
      <w:r>
        <w:t xml:space="preserve">. </w:t>
      </w:r>
    </w:p>
    <w:p w14:paraId="026DD57E" w14:textId="77777777" w:rsidR="009E3217" w:rsidRDefault="009E3217" w:rsidP="009E3217">
      <w:pPr>
        <w:jc w:val="both"/>
      </w:pPr>
      <w:r>
        <w:t xml:space="preserve">Dans notre cas clinique, aucune mutation n’est présente et le diagnostic de tumeur </w:t>
      </w:r>
      <w:proofErr w:type="spellStart"/>
      <w:r>
        <w:t>spitzoïde</w:t>
      </w:r>
      <w:proofErr w:type="spellEnd"/>
      <w:r>
        <w:t xml:space="preserve"> atypique à potentiel de malignité est retenu. L’enfant bénéficiera d’une reprise chirurgicale avec 1cm de marge, de la technique du ganglion sentinelle, d’une échographie, d’un CT-scanner et d’un suivi rapproché. </w:t>
      </w:r>
    </w:p>
    <w:p w14:paraId="4AA3E564" w14:textId="77777777" w:rsidR="009E3217" w:rsidRPr="00E445E8" w:rsidRDefault="009E3217" w:rsidP="009E3217">
      <w:pPr>
        <w:jc w:val="both"/>
        <w:rPr>
          <w:b/>
          <w:bCs/>
          <w:u w:val="single"/>
        </w:rPr>
      </w:pPr>
      <w:proofErr w:type="spellStart"/>
      <w:r w:rsidRPr="00E445E8">
        <w:rPr>
          <w:b/>
          <w:bCs/>
          <w:u w:val="single"/>
        </w:rPr>
        <w:t>Matricome</w:t>
      </w:r>
      <w:proofErr w:type="spellEnd"/>
      <w:r w:rsidRPr="00E445E8">
        <w:rPr>
          <w:b/>
          <w:bCs/>
          <w:u w:val="single"/>
        </w:rPr>
        <w:t xml:space="preserve"> </w:t>
      </w:r>
      <w:proofErr w:type="spellStart"/>
      <w:r w:rsidRPr="00E445E8">
        <w:rPr>
          <w:b/>
          <w:bCs/>
          <w:u w:val="single"/>
        </w:rPr>
        <w:t>mélanocytaire</w:t>
      </w:r>
      <w:proofErr w:type="spellEnd"/>
    </w:p>
    <w:p w14:paraId="0CA40407" w14:textId="77777777" w:rsidR="009E3217" w:rsidRDefault="009E3217" w:rsidP="009E3217">
      <w:pPr>
        <w:jc w:val="both"/>
      </w:pPr>
      <w:r>
        <w:t xml:space="preserve">Ensuite, Dr Francesco </w:t>
      </w:r>
      <w:proofErr w:type="spellStart"/>
      <w:r>
        <w:t>Feoli</w:t>
      </w:r>
      <w:proofErr w:type="spellEnd"/>
      <w:r>
        <w:t xml:space="preserve"> nous a présenté un cas de </w:t>
      </w:r>
      <w:proofErr w:type="spellStart"/>
      <w:r>
        <w:t>matricome</w:t>
      </w:r>
      <w:proofErr w:type="spellEnd"/>
      <w:r>
        <w:t xml:space="preserve"> </w:t>
      </w:r>
      <w:proofErr w:type="spellStart"/>
      <w:r>
        <w:t>mélanocytaire</w:t>
      </w:r>
      <w:proofErr w:type="spellEnd"/>
      <w:r>
        <w:t xml:space="preserve">, tumeur </w:t>
      </w:r>
      <w:proofErr w:type="spellStart"/>
      <w:r>
        <w:t>annexielle</w:t>
      </w:r>
      <w:proofErr w:type="spellEnd"/>
      <w:r>
        <w:t xml:space="preserve"> rare. Cliniquement, il est caractérisé par une lésion papuleuse pigmentée, survenant typiquement sur </w:t>
      </w:r>
      <w:r>
        <w:lastRenderedPageBreak/>
        <w:t xml:space="preserve">peau </w:t>
      </w:r>
      <w:proofErr w:type="spellStart"/>
      <w:r>
        <w:t>héliodermique</w:t>
      </w:r>
      <w:proofErr w:type="spellEnd"/>
      <w:r>
        <w:t xml:space="preserve"> chez un sujet âgé. </w:t>
      </w:r>
      <w:r w:rsidRPr="005132E8">
        <w:t xml:space="preserve">En histologie, on retrouve une </w:t>
      </w:r>
      <w:r>
        <w:t xml:space="preserve">lésion nodulaire dermique faite d’une </w:t>
      </w:r>
      <w:r w:rsidRPr="005132E8">
        <w:t>population</w:t>
      </w:r>
      <w:r>
        <w:t xml:space="preserve"> mixte de cellules </w:t>
      </w:r>
      <w:proofErr w:type="spellStart"/>
      <w:r>
        <w:t>basaloïdes</w:t>
      </w:r>
      <w:proofErr w:type="spellEnd"/>
      <w:r>
        <w:t>, de cellules fantomatiques et de mélanocytes dendritiques fortement pigmentés</w:t>
      </w:r>
      <w:r>
        <w:rPr>
          <w:rStyle w:val="Voetnootmarkering"/>
        </w:rPr>
        <w:footnoteReference w:id="4"/>
      </w:r>
      <w:r>
        <w:t xml:space="preserve">. Il présente des caractéristiques histologiques et </w:t>
      </w:r>
      <w:proofErr w:type="spellStart"/>
      <w:r>
        <w:t>immunohistochimiques</w:t>
      </w:r>
      <w:proofErr w:type="spellEnd"/>
      <w:r>
        <w:t xml:space="preserve"> communes au </w:t>
      </w:r>
      <w:proofErr w:type="spellStart"/>
      <w:r>
        <w:t>pilomatricome</w:t>
      </w:r>
      <w:proofErr w:type="spellEnd"/>
      <w:r>
        <w:t xml:space="preserve"> ; il serait pour certains auteurs un variant de </w:t>
      </w:r>
      <w:proofErr w:type="spellStart"/>
      <w:r>
        <w:t>pilomatricome</w:t>
      </w:r>
      <w:proofErr w:type="spellEnd"/>
      <w:r>
        <w:t xml:space="preserve"> associant une hyperplasie </w:t>
      </w:r>
      <w:proofErr w:type="spellStart"/>
      <w:r>
        <w:t>mélanocytaire</w:t>
      </w:r>
      <w:proofErr w:type="spellEnd"/>
      <w:r>
        <w:t xml:space="preserve">. En immunohistochimie, les cellules </w:t>
      </w:r>
      <w:proofErr w:type="spellStart"/>
      <w:r>
        <w:t>basaloïdes</w:t>
      </w:r>
      <w:proofErr w:type="spellEnd"/>
      <w:r>
        <w:t xml:space="preserve"> sont typiquement positives pour la </w:t>
      </w:r>
      <w:r>
        <w:rPr>
          <w:rFonts w:ascii="Times New Roman" w:hAnsi="Times New Roman" w:cs="Times New Roman"/>
        </w:rPr>
        <w:t>β</w:t>
      </w:r>
      <w:proofErr w:type="spellStart"/>
      <w:r>
        <w:t>cathénine</w:t>
      </w:r>
      <w:proofErr w:type="spellEnd"/>
      <w:r>
        <w:t xml:space="preserve">. </w:t>
      </w:r>
    </w:p>
    <w:p w14:paraId="0B3B2ABB" w14:textId="77777777" w:rsidR="009E3217" w:rsidRDefault="009E3217" w:rsidP="009E3217">
      <w:pPr>
        <w:jc w:val="both"/>
      </w:pPr>
      <w:r>
        <w:t xml:space="preserve">Le </w:t>
      </w:r>
      <w:proofErr w:type="spellStart"/>
      <w:r>
        <w:t>matricome</w:t>
      </w:r>
      <w:proofErr w:type="spellEnd"/>
      <w:r>
        <w:t xml:space="preserve"> </w:t>
      </w:r>
      <w:proofErr w:type="spellStart"/>
      <w:r>
        <w:t>mélanocytaire</w:t>
      </w:r>
      <w:proofErr w:type="spellEnd"/>
      <w:r>
        <w:t xml:space="preserve"> est généralement bénin et a une évolution indolente. Certains cas de transformation maligne sont cependant rapportés. Il est recommandé de pratiquer une exérèse complète de la lésion et de suivre le patient de manière attentive afin de pratiquer une biopsie en cas de récidive locale. Des formes atypiques des points de vue histologique et </w:t>
      </w:r>
      <w:proofErr w:type="spellStart"/>
      <w:r>
        <w:t>immunohistochimique</w:t>
      </w:r>
      <w:proofErr w:type="spellEnd"/>
      <w:r>
        <w:t xml:space="preserve"> sont décrites, et leur évolution clinique n’a pas encore été caractérisée. </w:t>
      </w:r>
    </w:p>
    <w:p w14:paraId="5220D93E" w14:textId="77777777" w:rsidR="009A66FB" w:rsidRDefault="004005BC"/>
    <w:sectPr w:rsidR="009A66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687CD" w14:textId="77777777" w:rsidR="004005BC" w:rsidRDefault="004005BC" w:rsidP="009E3217">
      <w:pPr>
        <w:spacing w:after="0" w:line="240" w:lineRule="auto"/>
      </w:pPr>
      <w:r>
        <w:separator/>
      </w:r>
    </w:p>
  </w:endnote>
  <w:endnote w:type="continuationSeparator" w:id="0">
    <w:p w14:paraId="7E3F1B26" w14:textId="77777777" w:rsidR="004005BC" w:rsidRDefault="004005BC" w:rsidP="009E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9C95C" w14:textId="77777777" w:rsidR="004005BC" w:rsidRDefault="004005BC" w:rsidP="009E3217">
      <w:pPr>
        <w:spacing w:after="0" w:line="240" w:lineRule="auto"/>
      </w:pPr>
      <w:r>
        <w:separator/>
      </w:r>
    </w:p>
  </w:footnote>
  <w:footnote w:type="continuationSeparator" w:id="0">
    <w:p w14:paraId="5A9BDBAD" w14:textId="77777777" w:rsidR="004005BC" w:rsidRDefault="004005BC" w:rsidP="009E3217">
      <w:pPr>
        <w:spacing w:after="0" w:line="240" w:lineRule="auto"/>
      </w:pPr>
      <w:r>
        <w:continuationSeparator/>
      </w:r>
    </w:p>
  </w:footnote>
  <w:footnote w:id="1">
    <w:p w14:paraId="3A82CB20" w14:textId="77777777" w:rsidR="009E3217" w:rsidRPr="00574F57" w:rsidRDefault="009E3217" w:rsidP="009E3217">
      <w:pPr>
        <w:pStyle w:val="Voetnoottekst"/>
        <w:rPr>
          <w:lang w:val="en-GB"/>
        </w:rPr>
      </w:pPr>
      <w:r>
        <w:rPr>
          <w:rStyle w:val="Voetnootmarkering"/>
        </w:rPr>
        <w:footnoteRef/>
      </w:r>
      <w:r w:rsidRPr="00A11734">
        <w:rPr>
          <w:lang w:val="en-GB"/>
        </w:rPr>
        <w:t xml:space="preserve"> Cho-Vega JH. A diagnostic algorithm for atypical </w:t>
      </w:r>
      <w:proofErr w:type="spellStart"/>
      <w:r w:rsidRPr="00A11734">
        <w:rPr>
          <w:lang w:val="en-GB"/>
        </w:rPr>
        <w:t>spitzoid</w:t>
      </w:r>
      <w:proofErr w:type="spellEnd"/>
      <w:r w:rsidRPr="00A11734">
        <w:rPr>
          <w:lang w:val="en-GB"/>
        </w:rPr>
        <w:t xml:space="preserve"> </w:t>
      </w:r>
      <w:proofErr w:type="spellStart"/>
      <w:r w:rsidRPr="00A11734">
        <w:rPr>
          <w:lang w:val="en-GB"/>
        </w:rPr>
        <w:t>tumors</w:t>
      </w:r>
      <w:proofErr w:type="spellEnd"/>
      <w:r w:rsidRPr="00A11734">
        <w:rPr>
          <w:lang w:val="en-GB"/>
        </w:rPr>
        <w:t xml:space="preserve">: guidelines for </w:t>
      </w:r>
      <w:proofErr w:type="spellStart"/>
      <w:r w:rsidRPr="00A11734">
        <w:rPr>
          <w:lang w:val="en-GB"/>
        </w:rPr>
        <w:t>immunohistochemical</w:t>
      </w:r>
      <w:proofErr w:type="spellEnd"/>
      <w:r w:rsidRPr="00A11734">
        <w:rPr>
          <w:lang w:val="en-GB"/>
        </w:rPr>
        <w:t xml:space="preserve"> and molecular assessment. </w:t>
      </w:r>
      <w:r w:rsidRPr="00574F57">
        <w:rPr>
          <w:lang w:val="en-GB"/>
        </w:rPr>
        <w:t xml:space="preserve">Mod </w:t>
      </w:r>
      <w:proofErr w:type="spellStart"/>
      <w:r w:rsidRPr="00574F57">
        <w:rPr>
          <w:lang w:val="en-GB"/>
        </w:rPr>
        <w:t>Pathol</w:t>
      </w:r>
      <w:proofErr w:type="spellEnd"/>
      <w:r w:rsidRPr="00574F57">
        <w:rPr>
          <w:lang w:val="en-GB"/>
        </w:rPr>
        <w:t xml:space="preserve">. 2016 Jul;29(7):656-70. </w:t>
      </w:r>
      <w:proofErr w:type="spellStart"/>
      <w:r w:rsidRPr="00574F57">
        <w:rPr>
          <w:lang w:val="en-GB"/>
        </w:rPr>
        <w:t>doi</w:t>
      </w:r>
      <w:proofErr w:type="spellEnd"/>
      <w:r w:rsidRPr="00574F57">
        <w:rPr>
          <w:lang w:val="en-GB"/>
        </w:rPr>
        <w:t xml:space="preserve">: 10.1038/modpathol.2016.70. </w:t>
      </w:r>
    </w:p>
  </w:footnote>
  <w:footnote w:id="2">
    <w:p w14:paraId="46B769C9" w14:textId="77777777" w:rsidR="009E3217" w:rsidRDefault="009E3217" w:rsidP="009E3217">
      <w:pPr>
        <w:pStyle w:val="Voetnoottekst"/>
      </w:pPr>
      <w:r>
        <w:rPr>
          <w:rStyle w:val="Voetnootmarkering"/>
        </w:rPr>
        <w:footnoteRef/>
      </w:r>
      <w:r w:rsidRPr="006B31A8">
        <w:rPr>
          <w:lang w:val="nl-BE"/>
        </w:rPr>
        <w:t xml:space="preserve"> Raghavan SS, Wang JY, </w:t>
      </w:r>
      <w:proofErr w:type="spellStart"/>
      <w:r w:rsidRPr="006B31A8">
        <w:rPr>
          <w:lang w:val="nl-BE"/>
        </w:rPr>
        <w:t>Kwok</w:t>
      </w:r>
      <w:proofErr w:type="spellEnd"/>
      <w:r w:rsidRPr="006B31A8">
        <w:rPr>
          <w:lang w:val="nl-BE"/>
        </w:rPr>
        <w:t xml:space="preserve"> S, et al. </w:t>
      </w:r>
      <w:r w:rsidRPr="00932054">
        <w:rPr>
          <w:lang w:val="en-GB"/>
        </w:rPr>
        <w:t xml:space="preserve">PRAME expression in melanocytic proliferations with intermediate histopathologic or </w:t>
      </w:r>
      <w:proofErr w:type="spellStart"/>
      <w:r w:rsidRPr="00932054">
        <w:rPr>
          <w:lang w:val="en-GB"/>
        </w:rPr>
        <w:t>spitzoid</w:t>
      </w:r>
      <w:proofErr w:type="spellEnd"/>
      <w:r w:rsidRPr="00932054">
        <w:rPr>
          <w:lang w:val="en-GB"/>
        </w:rPr>
        <w:t xml:space="preserve"> features. </w:t>
      </w:r>
      <w:r w:rsidRPr="00932054">
        <w:t xml:space="preserve">J </w:t>
      </w:r>
      <w:proofErr w:type="spellStart"/>
      <w:r w:rsidRPr="00932054">
        <w:t>Cutan</w:t>
      </w:r>
      <w:proofErr w:type="spellEnd"/>
      <w:r w:rsidRPr="00932054">
        <w:t xml:space="preserve"> </w:t>
      </w:r>
      <w:proofErr w:type="spellStart"/>
      <w:r w:rsidRPr="00932054">
        <w:t>Pathol</w:t>
      </w:r>
      <w:proofErr w:type="spellEnd"/>
      <w:r w:rsidRPr="00932054">
        <w:t xml:space="preserve">. 2020 Dec;47(12):1123-1131. </w:t>
      </w:r>
      <w:proofErr w:type="spellStart"/>
      <w:r w:rsidRPr="00932054">
        <w:t>doi</w:t>
      </w:r>
      <w:proofErr w:type="spellEnd"/>
      <w:r w:rsidRPr="00932054">
        <w:t>: 10.1111/cup.13818.</w:t>
      </w:r>
      <w:r>
        <w:t xml:space="preserve"> </w:t>
      </w:r>
    </w:p>
  </w:footnote>
  <w:footnote w:id="3">
    <w:p w14:paraId="056211B9" w14:textId="77777777" w:rsidR="009E3217" w:rsidRPr="00A87BD8" w:rsidRDefault="009E3217" w:rsidP="009E3217">
      <w:pPr>
        <w:pStyle w:val="Voetnoottekst"/>
        <w:rPr>
          <w:lang w:val="en-GB"/>
        </w:rPr>
      </w:pPr>
      <w:r>
        <w:rPr>
          <w:rStyle w:val="Voetnootmarkering"/>
        </w:rPr>
        <w:footnoteRef/>
      </w:r>
      <w:r w:rsidRPr="00932054">
        <w:t xml:space="preserve"> </w:t>
      </w:r>
      <w:proofErr w:type="spellStart"/>
      <w:r w:rsidRPr="00932054">
        <w:t>Alomari</w:t>
      </w:r>
      <w:proofErr w:type="spellEnd"/>
      <w:r w:rsidRPr="00932054">
        <w:t xml:space="preserve"> AK, </w:t>
      </w:r>
      <w:proofErr w:type="spellStart"/>
      <w:r w:rsidRPr="00932054">
        <w:t>Miedema</w:t>
      </w:r>
      <w:proofErr w:type="spellEnd"/>
      <w:r w:rsidRPr="00932054">
        <w:t xml:space="preserve"> JR, Carter MD, et al. </w:t>
      </w:r>
      <w:r w:rsidRPr="00CA70F8">
        <w:rPr>
          <w:lang w:val="en-GB"/>
        </w:rPr>
        <w:t xml:space="preserve">DNA copy number changes correlate with clinical </w:t>
      </w:r>
      <w:proofErr w:type="spellStart"/>
      <w:r w:rsidRPr="00CA70F8">
        <w:rPr>
          <w:lang w:val="en-GB"/>
        </w:rPr>
        <w:t>behavior</w:t>
      </w:r>
      <w:proofErr w:type="spellEnd"/>
      <w:r w:rsidRPr="00CA70F8">
        <w:rPr>
          <w:lang w:val="en-GB"/>
        </w:rPr>
        <w:t xml:space="preserve"> in melanocytic neoplasms: proposal of an algorithmic approach. Mod </w:t>
      </w:r>
      <w:proofErr w:type="spellStart"/>
      <w:r w:rsidRPr="00CA70F8">
        <w:rPr>
          <w:lang w:val="en-GB"/>
        </w:rPr>
        <w:t>Pathol</w:t>
      </w:r>
      <w:proofErr w:type="spellEnd"/>
      <w:r w:rsidRPr="00CA70F8">
        <w:rPr>
          <w:lang w:val="en-GB"/>
        </w:rPr>
        <w:t xml:space="preserve">. 2020 Jul;33(7):1307-1317. </w:t>
      </w:r>
      <w:proofErr w:type="spellStart"/>
      <w:r w:rsidRPr="00CA70F8">
        <w:rPr>
          <w:lang w:val="en-GB"/>
        </w:rPr>
        <w:t>doi</w:t>
      </w:r>
      <w:proofErr w:type="spellEnd"/>
      <w:r w:rsidRPr="00CA70F8">
        <w:rPr>
          <w:lang w:val="en-GB"/>
        </w:rPr>
        <w:t>: 10.1038/s41379-020-0499-y.</w:t>
      </w:r>
      <w:r w:rsidRPr="00A87BD8">
        <w:rPr>
          <w:sz w:val="22"/>
          <w:szCs w:val="22"/>
          <w:lang w:val="en-GB"/>
        </w:rPr>
        <w:t xml:space="preserve"> </w:t>
      </w:r>
    </w:p>
  </w:footnote>
  <w:footnote w:id="4">
    <w:p w14:paraId="1E4EA78C" w14:textId="77777777" w:rsidR="009E3217" w:rsidRDefault="009E3217" w:rsidP="009E3217">
      <w:pPr>
        <w:pStyle w:val="Voetnoottekst"/>
      </w:pPr>
      <w:r>
        <w:rPr>
          <w:rStyle w:val="Voetnootmarkering"/>
        </w:rPr>
        <w:footnoteRef/>
      </w:r>
      <w:r w:rsidRPr="00B059F5">
        <w:rPr>
          <w:lang w:val="en-GB"/>
        </w:rPr>
        <w:t xml:space="preserve"> Ferrier M, Husain A. Melanocytic </w:t>
      </w:r>
      <w:proofErr w:type="spellStart"/>
      <w:r w:rsidRPr="00B059F5">
        <w:rPr>
          <w:lang w:val="en-GB"/>
        </w:rPr>
        <w:t>matricoma</w:t>
      </w:r>
      <w:proofErr w:type="spellEnd"/>
      <w:r w:rsidRPr="00B059F5">
        <w:rPr>
          <w:lang w:val="en-GB"/>
        </w:rPr>
        <w:t xml:space="preserve">: A report of three cases, review of the literature, and suggestion of a new terminology. J </w:t>
      </w:r>
      <w:proofErr w:type="spellStart"/>
      <w:r w:rsidRPr="00B059F5">
        <w:rPr>
          <w:lang w:val="en-GB"/>
        </w:rPr>
        <w:t>Cutan</w:t>
      </w:r>
      <w:proofErr w:type="spellEnd"/>
      <w:r w:rsidRPr="00B059F5">
        <w:rPr>
          <w:lang w:val="en-GB"/>
        </w:rPr>
        <w:t xml:space="preserve"> </w:t>
      </w:r>
      <w:proofErr w:type="spellStart"/>
      <w:r w:rsidRPr="00B059F5">
        <w:rPr>
          <w:lang w:val="en-GB"/>
        </w:rPr>
        <w:t>Pathol</w:t>
      </w:r>
      <w:proofErr w:type="spellEnd"/>
      <w:r w:rsidRPr="00B059F5">
        <w:rPr>
          <w:lang w:val="en-GB"/>
        </w:rPr>
        <w:t xml:space="preserve">. 2022 Feb 23. </w:t>
      </w:r>
      <w:proofErr w:type="spellStart"/>
      <w:r w:rsidRPr="00B059F5">
        <w:rPr>
          <w:lang w:val="en-GB"/>
        </w:rPr>
        <w:t>doi</w:t>
      </w:r>
      <w:proofErr w:type="spellEnd"/>
      <w:r w:rsidRPr="00B059F5">
        <w:rPr>
          <w:lang w:val="en-GB"/>
        </w:rPr>
        <w:t xml:space="preserve">: 10.1111/cup.14217.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17"/>
    <w:rsid w:val="004005BC"/>
    <w:rsid w:val="00634DBC"/>
    <w:rsid w:val="00656E21"/>
    <w:rsid w:val="006B31A8"/>
    <w:rsid w:val="006C3D6E"/>
    <w:rsid w:val="006F402E"/>
    <w:rsid w:val="007B43E9"/>
    <w:rsid w:val="009B2369"/>
    <w:rsid w:val="009E32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6FA56"/>
  <w15:chartTrackingRefBased/>
  <w15:docId w15:val="{CC3053FD-A0F5-48CD-8FEF-95A21CA46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3217"/>
  </w:style>
  <w:style w:type="paragraph" w:styleId="Kop1">
    <w:name w:val="heading 1"/>
    <w:basedOn w:val="Standaard"/>
    <w:next w:val="Standaard"/>
    <w:link w:val="Kop1Char"/>
    <w:uiPriority w:val="9"/>
    <w:qFormat/>
    <w:rsid w:val="009E32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E3217"/>
    <w:rPr>
      <w:rFonts w:asciiTheme="majorHAnsi" w:eastAsiaTheme="majorEastAsia" w:hAnsiTheme="majorHAnsi" w:cstheme="majorBidi"/>
      <w:color w:val="2F5496" w:themeColor="accent1" w:themeShade="BF"/>
      <w:sz w:val="32"/>
      <w:szCs w:val="32"/>
    </w:rPr>
  </w:style>
  <w:style w:type="paragraph" w:styleId="Voetnoottekst">
    <w:name w:val="footnote text"/>
    <w:basedOn w:val="Standaard"/>
    <w:link w:val="VoetnoottekstChar"/>
    <w:uiPriority w:val="99"/>
    <w:semiHidden/>
    <w:unhideWhenUsed/>
    <w:rsid w:val="009E321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3217"/>
    <w:rPr>
      <w:sz w:val="20"/>
      <w:szCs w:val="20"/>
    </w:rPr>
  </w:style>
  <w:style w:type="character" w:styleId="Voetnootmarkering">
    <w:name w:val="footnote reference"/>
    <w:basedOn w:val="Standaardalinea-lettertype"/>
    <w:uiPriority w:val="99"/>
    <w:semiHidden/>
    <w:unhideWhenUsed/>
    <w:rsid w:val="009E32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3803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Degraeuwe</dc:creator>
  <cp:keywords/>
  <dc:description/>
  <cp:lastModifiedBy>Creytens David</cp:lastModifiedBy>
  <cp:revision>2</cp:revision>
  <dcterms:created xsi:type="dcterms:W3CDTF">2022-03-25T06:12:00Z</dcterms:created>
  <dcterms:modified xsi:type="dcterms:W3CDTF">2022-03-25T06:12:00Z</dcterms:modified>
</cp:coreProperties>
</file>