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1A12F" w14:textId="76DB58E9" w:rsidR="0043270E" w:rsidRPr="0043270E" w:rsidRDefault="0043270E" w:rsidP="0038497A">
      <w:pPr>
        <w:spacing w:after="160" w:line="240" w:lineRule="auto"/>
        <w:rPr>
          <w:rFonts w:eastAsiaTheme="majorEastAsia" w:cstheme="majorBidi"/>
          <w:spacing w:val="-10"/>
          <w:kern w:val="28"/>
          <w:sz w:val="36"/>
          <w:szCs w:val="56"/>
          <w:lang w:val="en-GB"/>
        </w:rPr>
      </w:pPr>
      <w:r w:rsidRPr="0043270E">
        <w:rPr>
          <w:rFonts w:eastAsiaTheme="majorEastAsia" w:cstheme="majorBidi"/>
          <w:spacing w:val="-10"/>
          <w:kern w:val="28"/>
          <w:sz w:val="36"/>
          <w:szCs w:val="56"/>
          <w:lang w:val="en-GB"/>
        </w:rPr>
        <w:t>TPLS AS PREDICTIVE PLATFORM FOR TWIN-SCREW WET GRANULATION PROCESS AND FORMULATION DEVELOPMENT</w:t>
      </w:r>
    </w:p>
    <w:p w14:paraId="0D57A793" w14:textId="6B3CBFBF" w:rsidR="0043270E" w:rsidRPr="0043270E" w:rsidRDefault="0043270E" w:rsidP="0038497A">
      <w:pPr>
        <w:spacing w:after="160" w:line="240" w:lineRule="auto"/>
        <w:rPr>
          <w:lang w:val="en-GB"/>
        </w:rPr>
      </w:pPr>
      <w:r w:rsidRPr="0043270E">
        <w:rPr>
          <w:lang w:val="en-GB"/>
        </w:rPr>
        <w:t>A. Ryckaert</w:t>
      </w:r>
      <w:r w:rsidRPr="0043270E">
        <w:rPr>
          <w:vertAlign w:val="superscript"/>
          <w:lang w:val="en-GB"/>
        </w:rPr>
        <w:t>a,1</w:t>
      </w:r>
      <w:r w:rsidRPr="0043270E">
        <w:rPr>
          <w:lang w:val="en-GB"/>
        </w:rPr>
        <w:t>, D. Van Hauwermeiren</w:t>
      </w:r>
      <w:r w:rsidRPr="0043270E">
        <w:rPr>
          <w:vertAlign w:val="superscript"/>
          <w:lang w:val="en-GB"/>
        </w:rPr>
        <w:t xml:space="preserve"> a,b,1</w:t>
      </w:r>
      <w:r w:rsidRPr="0043270E">
        <w:rPr>
          <w:lang w:val="en-GB"/>
        </w:rPr>
        <w:t>, J. Dhondt</w:t>
      </w:r>
      <w:r w:rsidRPr="0043270E">
        <w:rPr>
          <w:vertAlign w:val="superscript"/>
          <w:lang w:val="en-GB"/>
        </w:rPr>
        <w:t xml:space="preserve"> a</w:t>
      </w:r>
      <w:r w:rsidRPr="0043270E">
        <w:rPr>
          <w:lang w:val="en-GB"/>
        </w:rPr>
        <w:t>, A. De Man</w:t>
      </w:r>
      <w:r w:rsidRPr="0043270E">
        <w:rPr>
          <w:vertAlign w:val="superscript"/>
          <w:lang w:val="en-GB"/>
        </w:rPr>
        <w:t xml:space="preserve"> a</w:t>
      </w:r>
      <w:r w:rsidRPr="0043270E">
        <w:rPr>
          <w:lang w:val="en-GB"/>
        </w:rPr>
        <w:t xml:space="preserve">, A. </w:t>
      </w:r>
      <w:proofErr w:type="spellStart"/>
      <w:r w:rsidRPr="0043270E">
        <w:rPr>
          <w:lang w:val="en-GB"/>
        </w:rPr>
        <w:t>Funke</w:t>
      </w:r>
      <w:r>
        <w:rPr>
          <w:vertAlign w:val="superscript"/>
          <w:lang w:val="en-GB"/>
        </w:rPr>
        <w:t>c</w:t>
      </w:r>
      <w:proofErr w:type="spellEnd"/>
      <w:r w:rsidRPr="0043270E">
        <w:rPr>
          <w:lang w:val="en-GB"/>
        </w:rPr>
        <w:t xml:space="preserve">, D. </w:t>
      </w:r>
      <w:proofErr w:type="spellStart"/>
      <w:r w:rsidRPr="0043270E">
        <w:rPr>
          <w:lang w:val="en-GB"/>
        </w:rPr>
        <w:t>Djuric</w:t>
      </w:r>
      <w:r>
        <w:rPr>
          <w:vertAlign w:val="superscript"/>
          <w:lang w:val="en-GB"/>
        </w:rPr>
        <w:t>c</w:t>
      </w:r>
      <w:proofErr w:type="spellEnd"/>
      <w:r w:rsidRPr="0043270E">
        <w:rPr>
          <w:lang w:val="en-GB"/>
        </w:rPr>
        <w:t xml:space="preserve">, C. </w:t>
      </w:r>
      <w:proofErr w:type="spellStart"/>
      <w:r w:rsidRPr="0043270E">
        <w:rPr>
          <w:lang w:val="en-GB"/>
        </w:rPr>
        <w:t>Vervaet</w:t>
      </w:r>
      <w:r>
        <w:rPr>
          <w:vertAlign w:val="superscript"/>
          <w:lang w:val="en-GB"/>
        </w:rPr>
        <w:t>d</w:t>
      </w:r>
      <w:proofErr w:type="spellEnd"/>
      <w:r w:rsidRPr="0043270E">
        <w:rPr>
          <w:lang w:val="en-GB"/>
        </w:rPr>
        <w:t>,</w:t>
      </w:r>
      <w:r w:rsidR="009251A3">
        <w:rPr>
          <w:lang w:val="en-GB"/>
        </w:rPr>
        <w:t xml:space="preserve"> I. Nopens</w:t>
      </w:r>
      <w:r w:rsidR="009251A3" w:rsidRPr="009251A3">
        <w:rPr>
          <w:vertAlign w:val="superscript"/>
          <w:lang w:val="en-GB"/>
        </w:rPr>
        <w:t xml:space="preserve"> </w:t>
      </w:r>
      <w:r w:rsidR="009251A3" w:rsidRPr="0043270E">
        <w:rPr>
          <w:vertAlign w:val="superscript"/>
          <w:lang w:val="en-GB"/>
        </w:rPr>
        <w:t>b</w:t>
      </w:r>
      <w:r w:rsidR="009251A3">
        <w:rPr>
          <w:lang w:val="en-GB"/>
        </w:rPr>
        <w:t xml:space="preserve">, </w:t>
      </w:r>
      <w:r w:rsidRPr="0043270E">
        <w:rPr>
          <w:lang w:val="en-GB"/>
        </w:rPr>
        <w:t xml:space="preserve">T. De </w:t>
      </w:r>
      <w:proofErr w:type="spellStart"/>
      <w:r w:rsidRPr="0043270E">
        <w:rPr>
          <w:lang w:val="en-GB"/>
        </w:rPr>
        <w:t>Beer</w:t>
      </w:r>
      <w:r w:rsidRPr="0043270E">
        <w:rPr>
          <w:vertAlign w:val="superscript"/>
          <w:lang w:val="en-GB"/>
        </w:rPr>
        <w:t>a</w:t>
      </w:r>
      <w:proofErr w:type="spellEnd"/>
      <w:r w:rsidRPr="0043270E">
        <w:rPr>
          <w:vertAlign w:val="superscript"/>
          <w:lang w:val="en-GB"/>
        </w:rPr>
        <w:t>,*</w:t>
      </w:r>
    </w:p>
    <w:p w14:paraId="76C46A5F" w14:textId="31E50D09" w:rsidR="0043270E" w:rsidRDefault="0043270E" w:rsidP="0038497A">
      <w:pPr>
        <w:spacing w:after="160" w:line="240" w:lineRule="auto"/>
        <w:rPr>
          <w:vertAlign w:val="superscript"/>
          <w:lang w:val="en-GB"/>
        </w:rPr>
      </w:pPr>
      <w:r w:rsidRPr="0043270E">
        <w:rPr>
          <w:vertAlign w:val="superscript"/>
          <w:lang w:val="en-GB"/>
        </w:rPr>
        <w:t>a</w:t>
      </w:r>
      <w:r w:rsidRPr="0043270E">
        <w:rPr>
          <w:lang w:val="en-GB"/>
        </w:rPr>
        <w:t xml:space="preserve"> Laboratory of Pharmaceutical Process Analytical Technology, Department of Pharmaceutical analysis, Ghent University, </w:t>
      </w:r>
      <w:proofErr w:type="spellStart"/>
      <w:r w:rsidRPr="0043270E">
        <w:rPr>
          <w:lang w:val="en-GB"/>
        </w:rPr>
        <w:t>Ottergemsesteenweg</w:t>
      </w:r>
      <w:proofErr w:type="spellEnd"/>
      <w:r w:rsidRPr="0043270E">
        <w:rPr>
          <w:lang w:val="en-GB"/>
        </w:rPr>
        <w:t xml:space="preserve"> 460, 9000, Ghent, Belgium</w:t>
      </w:r>
      <w:r w:rsidRPr="0043270E">
        <w:rPr>
          <w:vertAlign w:val="superscript"/>
          <w:lang w:val="en-GB"/>
        </w:rPr>
        <w:t xml:space="preserve"> </w:t>
      </w:r>
    </w:p>
    <w:p w14:paraId="3B31D8DA" w14:textId="7B31CB28" w:rsidR="0043270E" w:rsidRPr="0043270E" w:rsidRDefault="0043270E" w:rsidP="0038497A">
      <w:pPr>
        <w:spacing w:after="160" w:line="240" w:lineRule="auto"/>
        <w:rPr>
          <w:lang w:val="en-GB"/>
        </w:rPr>
      </w:pPr>
      <w:r>
        <w:rPr>
          <w:vertAlign w:val="superscript"/>
          <w:lang w:val="en-GB"/>
        </w:rPr>
        <w:t xml:space="preserve">b </w:t>
      </w:r>
      <w:r w:rsidRPr="0043270E">
        <w:rPr>
          <w:lang w:val="en-GB"/>
        </w:rPr>
        <w:t xml:space="preserve">BIOMATH, Department of Mathematical Modelling, Statistics and Bio-informatics, Ghent University, </w:t>
      </w:r>
      <w:proofErr w:type="spellStart"/>
      <w:r w:rsidRPr="0043270E">
        <w:rPr>
          <w:lang w:val="en-GB"/>
        </w:rPr>
        <w:t>Coupure</w:t>
      </w:r>
      <w:proofErr w:type="spellEnd"/>
      <w:r w:rsidRPr="0043270E">
        <w:rPr>
          <w:lang w:val="en-GB"/>
        </w:rPr>
        <w:t xml:space="preserve"> Links 653, 9000, Ghent, Belgium</w:t>
      </w:r>
    </w:p>
    <w:p w14:paraId="6831B2A6" w14:textId="53A9ADDD" w:rsidR="0043270E" w:rsidRPr="0043270E" w:rsidRDefault="0043270E" w:rsidP="0038497A">
      <w:pPr>
        <w:spacing w:after="160" w:line="240" w:lineRule="auto"/>
        <w:rPr>
          <w:lang w:val="en-GB"/>
        </w:rPr>
      </w:pPr>
      <w:r>
        <w:rPr>
          <w:vertAlign w:val="superscript"/>
          <w:lang w:val="en-GB"/>
        </w:rPr>
        <w:t>c</w:t>
      </w:r>
      <w:r w:rsidRPr="0043270E">
        <w:rPr>
          <w:vertAlign w:val="superscript"/>
          <w:lang w:val="en-GB"/>
        </w:rPr>
        <w:t xml:space="preserve"> </w:t>
      </w:r>
      <w:r w:rsidRPr="0043270E">
        <w:rPr>
          <w:lang w:val="en-GB"/>
        </w:rPr>
        <w:t>Chemical &amp; Pharmaceutical Development, Pharma R&amp;D, Bayer AG, Friedrich-Ebert-</w:t>
      </w:r>
      <w:proofErr w:type="spellStart"/>
      <w:r w:rsidRPr="0043270E">
        <w:rPr>
          <w:lang w:val="en-GB"/>
        </w:rPr>
        <w:t>Straße</w:t>
      </w:r>
      <w:proofErr w:type="spellEnd"/>
      <w:r w:rsidRPr="0043270E">
        <w:rPr>
          <w:lang w:val="en-GB"/>
        </w:rPr>
        <w:t xml:space="preserve"> 475, 42369, Wuppertal, Germany</w:t>
      </w:r>
    </w:p>
    <w:p w14:paraId="559F791F" w14:textId="551C2F15" w:rsidR="0043270E" w:rsidRPr="0043270E" w:rsidRDefault="0043270E" w:rsidP="0038497A">
      <w:pPr>
        <w:spacing w:after="160" w:line="240" w:lineRule="auto"/>
        <w:rPr>
          <w:lang w:val="en-GB"/>
        </w:rPr>
      </w:pPr>
      <w:r>
        <w:rPr>
          <w:vertAlign w:val="superscript"/>
          <w:lang w:val="en-GB"/>
        </w:rPr>
        <w:t>d</w:t>
      </w:r>
      <w:r w:rsidRPr="0043270E">
        <w:rPr>
          <w:lang w:val="en-GB"/>
        </w:rPr>
        <w:t xml:space="preserve"> Laboratory of Pharmaceutical Technology, Department of Pharmaceutics Ghent University, </w:t>
      </w:r>
      <w:proofErr w:type="spellStart"/>
      <w:r w:rsidRPr="0043270E">
        <w:rPr>
          <w:lang w:val="en-GB"/>
        </w:rPr>
        <w:t>Ottergemsesteenweg</w:t>
      </w:r>
      <w:proofErr w:type="spellEnd"/>
      <w:r w:rsidRPr="0043270E">
        <w:rPr>
          <w:lang w:val="en-GB"/>
        </w:rPr>
        <w:t xml:space="preserve"> 460, Ghent, Belgium</w:t>
      </w:r>
    </w:p>
    <w:p w14:paraId="61F68CE6" w14:textId="404BC441" w:rsidR="0043270E" w:rsidRDefault="0043270E" w:rsidP="0038497A">
      <w:pPr>
        <w:spacing w:after="160" w:line="240" w:lineRule="auto"/>
        <w:rPr>
          <w:lang w:val="en-GB"/>
        </w:rPr>
      </w:pPr>
      <w:r w:rsidRPr="0043270E">
        <w:rPr>
          <w:lang w:val="en-GB"/>
        </w:rPr>
        <w:t>* corresponding author</w:t>
      </w:r>
    </w:p>
    <w:p w14:paraId="35B4D2CC" w14:textId="73157F0C" w:rsidR="0043270E" w:rsidRPr="0043270E" w:rsidRDefault="0043270E" w:rsidP="0038497A">
      <w:pPr>
        <w:spacing w:after="160" w:line="240" w:lineRule="auto"/>
        <w:rPr>
          <w:lang w:val="en-GB"/>
        </w:rPr>
      </w:pPr>
      <w:r w:rsidRPr="0043270E">
        <w:rPr>
          <w:vertAlign w:val="superscript"/>
          <w:lang w:val="en-GB"/>
        </w:rPr>
        <w:t>1</w:t>
      </w:r>
      <w:r>
        <w:rPr>
          <w:lang w:val="en-GB"/>
        </w:rPr>
        <w:t xml:space="preserve"> shared first authorship</w:t>
      </w:r>
    </w:p>
    <w:p w14:paraId="4A88504F" w14:textId="2C26E5F6" w:rsidR="0043270E" w:rsidRPr="0043270E" w:rsidRDefault="00A7736B" w:rsidP="0038497A">
      <w:pPr>
        <w:spacing w:after="160" w:line="240" w:lineRule="auto"/>
        <w:rPr>
          <w:lang w:val="en-GB"/>
        </w:rPr>
      </w:pPr>
      <w:hyperlink r:id="rId6" w:history="1">
        <w:r w:rsidR="0043270E" w:rsidRPr="0043270E">
          <w:rPr>
            <w:color w:val="0563C1" w:themeColor="hyperlink"/>
            <w:u w:val="single"/>
            <w:lang w:val="en-GB"/>
          </w:rPr>
          <w:t>AlexanderJ.Ryckaert@UGent.be</w:t>
        </w:r>
      </w:hyperlink>
      <w:r w:rsidR="0043270E">
        <w:rPr>
          <w:lang w:val="en-GB"/>
        </w:rPr>
        <w:t xml:space="preserve"> </w:t>
      </w:r>
      <w:hyperlink r:id="rId7" w:history="1">
        <w:r w:rsidR="0043270E" w:rsidRPr="00E20AD3">
          <w:rPr>
            <w:rStyle w:val="Hyperlink"/>
            <w:lang w:val="en-GB"/>
          </w:rPr>
          <w:t>Daan.VanHauwermeiren@UGent.be</w:t>
        </w:r>
      </w:hyperlink>
      <w:r w:rsidR="0043270E">
        <w:rPr>
          <w:lang w:val="en-GB"/>
        </w:rPr>
        <w:t xml:space="preserve"> </w:t>
      </w:r>
      <w:hyperlink r:id="rId8" w:history="1">
        <w:r w:rsidR="0043270E" w:rsidRPr="00E20AD3">
          <w:rPr>
            <w:rStyle w:val="Hyperlink"/>
            <w:lang w:val="en-GB"/>
          </w:rPr>
          <w:t>JensJ.Dhondt@UGent.be</w:t>
        </w:r>
      </w:hyperlink>
      <w:r w:rsidR="0043270E">
        <w:rPr>
          <w:lang w:val="en-GB"/>
        </w:rPr>
        <w:t xml:space="preserve"> </w:t>
      </w:r>
      <w:hyperlink r:id="rId9" w:history="1">
        <w:r w:rsidR="0043270E" w:rsidRPr="00E20AD3">
          <w:rPr>
            <w:rStyle w:val="Hyperlink"/>
            <w:lang w:val="en-GB"/>
          </w:rPr>
          <w:t>Alexander.DeMan@UGent.be</w:t>
        </w:r>
      </w:hyperlink>
      <w:r w:rsidR="0043270E">
        <w:rPr>
          <w:lang w:val="en-GB"/>
        </w:rPr>
        <w:t xml:space="preserve"> </w:t>
      </w:r>
      <w:r w:rsidR="0043270E" w:rsidRPr="0043270E">
        <w:rPr>
          <w:lang w:val="en-GB"/>
        </w:rPr>
        <w:t xml:space="preserve"> </w:t>
      </w:r>
      <w:r w:rsidR="0043270E">
        <w:rPr>
          <w:lang w:val="en-GB"/>
        </w:rPr>
        <w:t xml:space="preserve">  </w:t>
      </w:r>
      <w:hyperlink r:id="rId10" w:history="1">
        <w:r w:rsidR="0043270E" w:rsidRPr="0043270E">
          <w:rPr>
            <w:rStyle w:val="Hyperlink"/>
            <w:lang w:val="en-GB"/>
          </w:rPr>
          <w:t>Adrian.Funke@bayer.com</w:t>
        </w:r>
      </w:hyperlink>
      <w:r w:rsidR="0043270E" w:rsidRPr="0043270E">
        <w:rPr>
          <w:lang w:val="en-GB"/>
        </w:rPr>
        <w:t xml:space="preserve">  </w:t>
      </w:r>
      <w:hyperlink r:id="rId11" w:history="1">
        <w:r w:rsidR="0043270E" w:rsidRPr="0043270E">
          <w:rPr>
            <w:color w:val="0563C1" w:themeColor="hyperlink"/>
            <w:u w:val="single"/>
            <w:lang w:val="en-GB"/>
          </w:rPr>
          <w:t>Dejan.Djuric@bayer.com</w:t>
        </w:r>
      </w:hyperlink>
      <w:r w:rsidR="0043270E" w:rsidRPr="0043270E">
        <w:rPr>
          <w:lang w:val="en-GB"/>
        </w:rPr>
        <w:t xml:space="preserve"> </w:t>
      </w:r>
      <w:hyperlink r:id="rId12" w:history="1">
        <w:r w:rsidR="0043270E" w:rsidRPr="0043270E">
          <w:rPr>
            <w:color w:val="0563C1" w:themeColor="hyperlink"/>
            <w:u w:val="single"/>
            <w:lang w:val="en-GB"/>
          </w:rPr>
          <w:t>Chris.Vervaet@UGent.be</w:t>
        </w:r>
      </w:hyperlink>
      <w:r w:rsidR="0043270E" w:rsidRPr="0043270E">
        <w:rPr>
          <w:lang w:val="en-GB"/>
        </w:rPr>
        <w:t xml:space="preserve"> </w:t>
      </w:r>
      <w:r w:rsidR="009251A3">
        <w:rPr>
          <w:lang w:val="en-GB"/>
        </w:rPr>
        <w:t xml:space="preserve"> </w:t>
      </w:r>
      <w:hyperlink r:id="rId13" w:history="1">
        <w:r w:rsidR="009251A3" w:rsidRPr="00F46C33">
          <w:rPr>
            <w:rStyle w:val="Hyperlink"/>
            <w:lang w:val="en-GB"/>
          </w:rPr>
          <w:t>Ingmar.Nopens@ugent.be</w:t>
        </w:r>
      </w:hyperlink>
      <w:r w:rsidR="009251A3">
        <w:rPr>
          <w:lang w:val="en-GB"/>
        </w:rPr>
        <w:t xml:space="preserve">   </w:t>
      </w:r>
      <w:hyperlink r:id="rId14" w:history="1">
        <w:r w:rsidR="009251A3" w:rsidRPr="00F46C33">
          <w:rPr>
            <w:rStyle w:val="Hyperlink"/>
            <w:lang w:val="en-GB"/>
          </w:rPr>
          <w:t>Thomas.DeBeer@UGent.be</w:t>
        </w:r>
      </w:hyperlink>
      <w:r w:rsidR="0043270E" w:rsidRPr="0043270E">
        <w:rPr>
          <w:lang w:val="en-GB"/>
        </w:rPr>
        <w:t xml:space="preserve"> </w:t>
      </w:r>
    </w:p>
    <w:p w14:paraId="44CBCD1C" w14:textId="44E796B6" w:rsidR="00EF54E7" w:rsidRPr="003A2A38" w:rsidRDefault="00EF54E7" w:rsidP="0038497A">
      <w:pPr>
        <w:spacing w:line="240" w:lineRule="auto"/>
        <w:rPr>
          <w:lang w:val="en-GB"/>
        </w:rPr>
      </w:pPr>
      <w:r w:rsidRPr="003A2A38">
        <w:rPr>
          <w:lang w:val="en-GB"/>
        </w:rPr>
        <w:t>Key words: twin-screw granulation, formulation development, continuous manufacturing, process understanding</w:t>
      </w:r>
    </w:p>
    <w:p w14:paraId="52646217" w14:textId="77777777" w:rsidR="003D65E2" w:rsidRDefault="0043270E" w:rsidP="0038497A">
      <w:pPr>
        <w:spacing w:line="240" w:lineRule="auto"/>
        <w:rPr>
          <w:lang w:val="en-GB"/>
        </w:rPr>
        <w:sectPr w:rsidR="003D65E2">
          <w:pgSz w:w="11906" w:h="16838"/>
          <w:pgMar w:top="1417" w:right="1417" w:bottom="1417" w:left="1417" w:header="708" w:footer="708" w:gutter="0"/>
          <w:cols w:space="708"/>
          <w:docGrid w:linePitch="360"/>
        </w:sectPr>
      </w:pPr>
      <w:r w:rsidRPr="003A2A38">
        <w:rPr>
          <w:lang w:val="en-GB"/>
        </w:rPr>
        <w:t>Abbreviations: API, Active Pharmaceutical Ingredient</w:t>
      </w:r>
      <w:r w:rsidR="00B85BBA" w:rsidRPr="003A2A38">
        <w:rPr>
          <w:lang w:val="en-GB"/>
        </w:rPr>
        <w:t xml:space="preserve">; CQA, </w:t>
      </w:r>
      <w:r w:rsidR="00B85BBA" w:rsidRPr="009B5335">
        <w:rPr>
          <w:lang w:val="en-GB"/>
        </w:rPr>
        <w:t>critical quality attribute</w:t>
      </w:r>
      <w:r w:rsidRPr="003A2A38">
        <w:rPr>
          <w:lang w:val="en-GB"/>
        </w:rPr>
        <w:t xml:space="preserve"> L/S, liquid-to-solid;</w:t>
      </w:r>
      <w:r w:rsidR="001A142E" w:rsidRPr="003A2A38">
        <w:rPr>
          <w:lang w:val="en-GB"/>
        </w:rPr>
        <w:t xml:space="preserve"> MCC, microcrystalline cellulose; MFR, mass feed rate;</w:t>
      </w:r>
      <w:r w:rsidRPr="003A2A38">
        <w:rPr>
          <w:lang w:val="en-GB"/>
        </w:rPr>
        <w:t xml:space="preserve"> </w:t>
      </w:r>
      <w:r w:rsidR="001A142E" w:rsidRPr="003A2A38">
        <w:rPr>
          <w:lang w:val="en-GB"/>
        </w:rPr>
        <w:t xml:space="preserve">PCA, </w:t>
      </w:r>
      <w:r w:rsidR="001A142E" w:rsidRPr="009B5335">
        <w:rPr>
          <w:lang w:val="en-GB"/>
        </w:rPr>
        <w:t>Principal Component Analysis</w:t>
      </w:r>
      <w:r w:rsidR="001A142E">
        <w:rPr>
          <w:lang w:val="en-GB"/>
        </w:rPr>
        <w:t>;</w:t>
      </w:r>
      <w:r w:rsidR="001A142E" w:rsidRPr="009B5335">
        <w:rPr>
          <w:lang w:val="en-GB"/>
        </w:rPr>
        <w:t xml:space="preserve"> </w:t>
      </w:r>
      <w:r w:rsidRPr="003A2A38">
        <w:rPr>
          <w:lang w:val="en-GB"/>
        </w:rPr>
        <w:t>PLS, Partial Least Squares;</w:t>
      </w:r>
      <w:r w:rsidR="001A142E" w:rsidRPr="003A2A38">
        <w:rPr>
          <w:lang w:val="en-GB"/>
        </w:rPr>
        <w:t xml:space="preserve"> </w:t>
      </w:r>
      <w:r w:rsidR="001A142E">
        <w:rPr>
          <w:lang w:val="en-GB"/>
        </w:rPr>
        <w:t xml:space="preserve">TPLS, </w:t>
      </w:r>
      <w:r w:rsidR="001A142E" w:rsidRPr="009B5335">
        <w:rPr>
          <w:lang w:val="en-GB"/>
        </w:rPr>
        <w:t>T-shaped partial least squares</w:t>
      </w:r>
      <w:r w:rsidR="001A142E">
        <w:rPr>
          <w:lang w:val="en-GB"/>
        </w:rPr>
        <w:t>;</w:t>
      </w:r>
      <w:r w:rsidRPr="003A2A38">
        <w:rPr>
          <w:lang w:val="en-GB"/>
        </w:rPr>
        <w:t xml:space="preserve"> </w:t>
      </w:r>
    </w:p>
    <w:p w14:paraId="481C12B7" w14:textId="33724B8B" w:rsidR="00EA7445" w:rsidRPr="00B85BBA" w:rsidRDefault="00EA7445" w:rsidP="0038497A">
      <w:pPr>
        <w:spacing w:after="160" w:line="240" w:lineRule="auto"/>
        <w:rPr>
          <w:b/>
          <w:sz w:val="22"/>
          <w:lang w:val="en-GB"/>
        </w:rPr>
      </w:pPr>
      <w:r w:rsidRPr="00B85BBA">
        <w:rPr>
          <w:b/>
          <w:sz w:val="22"/>
          <w:lang w:val="en-GB"/>
        </w:rPr>
        <w:lastRenderedPageBreak/>
        <w:t>ABSTRACT</w:t>
      </w:r>
    </w:p>
    <w:p w14:paraId="6D27DC55" w14:textId="1351346D" w:rsidR="00930F03" w:rsidRDefault="00EA7445" w:rsidP="0038497A">
      <w:pPr>
        <w:spacing w:line="240" w:lineRule="auto"/>
        <w:rPr>
          <w:lang w:val="en-GB"/>
        </w:rPr>
      </w:pPr>
      <w:bookmarkStart w:id="0" w:name="_Hlk60481299"/>
      <w:r w:rsidRPr="009B5335">
        <w:rPr>
          <w:lang w:val="en-GB"/>
        </w:rPr>
        <w:t xml:space="preserve">In recent years, the interest in continuous manufacturing techniques, such as twin-screw wet granulation, has increased. However, the understanding of the influence of the combination of raw material properties and process settings upon the granule quality attributes is still limited. In this study, a </w:t>
      </w:r>
      <w:r w:rsidR="00792965" w:rsidRPr="009B5335">
        <w:rPr>
          <w:lang w:val="en-GB"/>
        </w:rPr>
        <w:t xml:space="preserve">T-shaped partial least squares </w:t>
      </w:r>
      <w:r w:rsidR="00792965">
        <w:rPr>
          <w:lang w:val="en-GB"/>
        </w:rPr>
        <w:t>(</w:t>
      </w:r>
      <w:r w:rsidRPr="009B5335">
        <w:rPr>
          <w:lang w:val="en-GB"/>
        </w:rPr>
        <w:t>TPLS</w:t>
      </w:r>
      <w:r w:rsidR="00792965">
        <w:rPr>
          <w:lang w:val="en-GB"/>
        </w:rPr>
        <w:t>)</w:t>
      </w:r>
      <w:r w:rsidRPr="009B5335">
        <w:rPr>
          <w:lang w:val="en-GB"/>
        </w:rPr>
        <w:t xml:space="preserve"> model was developed to link raw material properties, the ratios in which these raw materials were combined and the applied process parameters for the twin-screw wet granulation process with the granule quality attributes. </w:t>
      </w:r>
      <w:r w:rsidR="00930F03" w:rsidRPr="009B5335">
        <w:rPr>
          <w:lang w:val="en-GB"/>
        </w:rPr>
        <w:t>In addition, the predictive ability of the TPLS model was used to find a suitable combination of formulation composition and twin-screw granulation process settings for a new API leading to desired granule quality attributes.</w:t>
      </w:r>
      <w:r w:rsidR="00930F03" w:rsidRPr="00930F03">
        <w:rPr>
          <w:lang w:val="en-GB"/>
        </w:rPr>
        <w:t xml:space="preserve"> </w:t>
      </w:r>
      <w:r w:rsidR="00930F03" w:rsidRPr="009B5335">
        <w:rPr>
          <w:lang w:val="en-GB"/>
        </w:rPr>
        <w:t xml:space="preserve">Overall, this study helped to better understand the link between raw material properties, formulation composition and process settings on granule quality attributes. </w:t>
      </w:r>
      <w:r w:rsidR="00792965">
        <w:rPr>
          <w:lang w:val="en-GB"/>
        </w:rPr>
        <w:t>Moreover</w:t>
      </w:r>
      <w:r w:rsidR="00930F03" w:rsidRPr="009B5335">
        <w:rPr>
          <w:lang w:val="en-GB"/>
        </w:rPr>
        <w:t>, as TPLS can provide a reasonable starting point for formulation and process development for new APIs, it can reduce the experimental development efforts and consequently the consumption of expensive (and often limited available) new API.</w:t>
      </w:r>
    </w:p>
    <w:p w14:paraId="5E225B5B" w14:textId="2D3C8FE8" w:rsidR="00930F03" w:rsidRDefault="00930F03" w:rsidP="0038497A">
      <w:pPr>
        <w:spacing w:line="240" w:lineRule="auto"/>
        <w:rPr>
          <w:lang w:val="en-GB"/>
        </w:rPr>
      </w:pPr>
    </w:p>
    <w:bookmarkEnd w:id="0"/>
    <w:p w14:paraId="5037D56C" w14:textId="77777777" w:rsidR="00B85BBA" w:rsidRPr="00EF54E7" w:rsidRDefault="00B85BBA" w:rsidP="0038497A">
      <w:pPr>
        <w:spacing w:after="160" w:line="240" w:lineRule="auto"/>
        <w:jc w:val="left"/>
        <w:rPr>
          <w:rFonts w:asciiTheme="majorHAnsi" w:eastAsiaTheme="majorEastAsia" w:hAnsiTheme="majorHAnsi" w:cstheme="majorBidi"/>
          <w:b/>
          <w:caps/>
          <w:szCs w:val="32"/>
          <w:lang w:val="en-GB"/>
        </w:rPr>
      </w:pPr>
      <w:r w:rsidRPr="00EF54E7">
        <w:rPr>
          <w:lang w:val="en-GB"/>
        </w:rPr>
        <w:br w:type="page"/>
      </w:r>
    </w:p>
    <w:p w14:paraId="3AEB0F03" w14:textId="4C5ABE00" w:rsidR="00EA7445" w:rsidRPr="009B5335" w:rsidRDefault="00EA7445" w:rsidP="0038497A">
      <w:pPr>
        <w:pStyle w:val="Kop1"/>
        <w:numPr>
          <w:ilvl w:val="0"/>
          <w:numId w:val="20"/>
        </w:numPr>
        <w:spacing w:line="240" w:lineRule="auto"/>
      </w:pPr>
      <w:r w:rsidRPr="00B85BBA">
        <w:lastRenderedPageBreak/>
        <w:t>Introduction</w:t>
      </w:r>
      <w:r w:rsidRPr="009B5335">
        <w:tab/>
      </w:r>
    </w:p>
    <w:p w14:paraId="66ABA75A" w14:textId="5B4432A7" w:rsidR="00EA7445" w:rsidRPr="009B5335" w:rsidRDefault="00EA7445" w:rsidP="0038497A">
      <w:pPr>
        <w:spacing w:line="240" w:lineRule="auto"/>
        <w:rPr>
          <w:lang w:val="en-GB"/>
        </w:rPr>
      </w:pPr>
      <w:r w:rsidRPr="009B5335">
        <w:rPr>
          <w:lang w:val="en-GB"/>
        </w:rPr>
        <w:t>Twin</w:t>
      </w:r>
      <w:r>
        <w:rPr>
          <w:lang w:val="en-GB"/>
        </w:rPr>
        <w:t>-</w:t>
      </w:r>
      <w:r w:rsidRPr="009B5335">
        <w:rPr>
          <w:lang w:val="en-GB"/>
        </w:rPr>
        <w:t xml:space="preserve">screw wet granulation is the most studied continuous wet granulation technique </w:t>
      </w:r>
      <w:r w:rsidRPr="009B5335">
        <w:rPr>
          <w:lang w:val="en-GB"/>
        </w:rPr>
        <w:fldChar w:fldCharType="begin" w:fldLock="1"/>
      </w:r>
      <w:r w:rsidR="003D65E2">
        <w:rPr>
          <w:lang w:val="en-GB"/>
        </w:rPr>
        <w:instrText>ADDIN CSL_CITATION {"citationItems":[{"id":"ITEM-1","itemData":{"DOI":"10.1016/j.ces.2005.02.028","ISBN":"0009-2509","ISSN":"00092509","abstract":"Traditionally the manufacturing of pharmaceutical dosage forms has been a batch-wise process and continuous processes have limited applications in a pharmaceutical manufacturing plant. However, several factors (reduction of cost, improved process efficiency, optimal use of equipment, flexibility in production capacity) are stimulating the pharmaceutical industry to investigate the opportunities offered by continuous processes. This paper discusses some of the techniques which could be implemented in a continuous granulation process of pharmaceuticals. © 2005 Elsevier Ltd. All rights reserved.","author":[{"dropping-particle":"","family":"Vervaet","given":"Chris","non-dropping-particle":"","parse-names":false,"suffix":""},{"dropping-particle":"","family":"Remon","given":"Jean Paul","non-dropping-particle":"","parse-names":false,"suffix":""}],"container-title":"Chemical Engineering Science","id":"ITEM-1","issue":"14","issued":{"date-parts":[["2005"]]},"page":"3949-3957","title":"Continuous granulation in the pharmaceutical industry","type":"article-journal","volume":"60"},"uris":["http://www.mendeley.com/documents/?uuid=3628ec07-59a8-488b-892d-3a5aa02598ee"]}],"mendeley":{"formattedCitation":"(Vervaet and Remon, 2005)","plainTextFormattedCitation":"(Vervaet and Remon, 2005)","previouslyFormattedCitation":"[1]"},"properties":{"noteIndex":0},"schema":"https://github.com/citation-style-language/schema/raw/master/csl-citation.json"}</w:instrText>
      </w:r>
      <w:r w:rsidRPr="009B5335">
        <w:rPr>
          <w:lang w:val="en-GB"/>
        </w:rPr>
        <w:fldChar w:fldCharType="separate"/>
      </w:r>
      <w:r w:rsidR="003D65E2" w:rsidRPr="003D65E2">
        <w:rPr>
          <w:noProof/>
          <w:lang w:val="en-GB"/>
        </w:rPr>
        <w:t>(Vervaet and Remon, 2005)</w:t>
      </w:r>
      <w:r w:rsidRPr="009B5335">
        <w:rPr>
          <w:lang w:val="en-US"/>
        </w:rPr>
        <w:fldChar w:fldCharType="end"/>
      </w:r>
      <w:r w:rsidRPr="009B5335">
        <w:rPr>
          <w:lang w:val="en-GB"/>
        </w:rPr>
        <w:t xml:space="preserve">. Generally, the granules’ critical quality attributes (CQAs) depend on the properties of the selected raw materials, the ratio in which these raw materials are combined and the applied process </w:t>
      </w:r>
      <w:r>
        <w:rPr>
          <w:lang w:val="en-GB"/>
        </w:rPr>
        <w:t>settings</w:t>
      </w:r>
      <w:r w:rsidRPr="009B5335">
        <w:rPr>
          <w:lang w:val="en-GB"/>
        </w:rPr>
        <w:t xml:space="preserve"> </w:t>
      </w:r>
      <w:r>
        <w:rPr>
          <w:lang w:val="en-GB"/>
        </w:rPr>
        <w:t>during</w:t>
      </w:r>
      <w:r w:rsidRPr="009B5335">
        <w:rPr>
          <w:lang w:val="en-GB"/>
        </w:rPr>
        <w:t xml:space="preserve"> granulation. Understanding how the combination of these three aspects affect</w:t>
      </w:r>
      <w:r>
        <w:rPr>
          <w:lang w:val="en-GB"/>
        </w:rPr>
        <w:t>s</w:t>
      </w:r>
      <w:r w:rsidRPr="009B5335">
        <w:rPr>
          <w:lang w:val="en-GB"/>
        </w:rPr>
        <w:t xml:space="preserve"> granule quality is not only an advantage during manufacturing, it is extremely beneficial during the formulation and continuous twin-screw wet granulation process design for a new API </w:t>
      </w:r>
      <w:r w:rsidRPr="009B5335">
        <w:rPr>
          <w:lang w:val="en-GB"/>
        </w:rPr>
        <w:fldChar w:fldCharType="begin" w:fldLock="1"/>
      </w:r>
      <w:r w:rsidR="003D65E2">
        <w:rPr>
          <w:lang w:val="en-GB"/>
        </w:rPr>
        <w:instrText>ADDIN CSL_CITATION {"citationItems":[{"id":"ITEM-1","itemData":{"DOI":"10.1016/j.chemolab.2014.02.006","ISSN":"01697439","abstract":"The challenge in the design of a new product or the troubleshooting of a manufacturing operation is to understand how the materials, the composition of the materials and the processing conditions affect the properties of the product. Two new methods (JRPLS and TPLS) are proposed to overcome the gaps in the current mixture modeling methods to simultaneously analyze data from multiple materials, their mixing ratios and processing conditions as to how they affect the quality of a product. Unlike the prior alternatives, the methods proposed here consider explicitly the physical properties of the raw materials, without the need of a linear weighted average estimation. A NIPALS-like algorithm is proposed to estimate the parameters of both models, and analytical expressions are derived for the JRPLS demonstrating that it reduces to the LPLS in the scenario of one material. The methods are illustrated with three industrial case studies involving the analysis of the manufacturing process for three different drug products. In all cases the JRPLS and TPLS methods enable the identification of key relationships between materials, process and products. © 2014 Elsevier B.V.","author":[{"dropping-particle":"","family":"Garcia-Munoz","given":"Salvador","non-dropping-particle":"","parse-names":false,"suffix":""}],"container-title":"Chemometrics and Intelligent Laboratory Systems","id":"ITEM-1","issued":{"date-parts":[["2014"]]},"page":"49-62","title":"Two novel methods to analyze the combined effect of multiple raw-materials and processing conditions on the product's final attributes: JRPLS and TPLS","type":"article-journal","volume":"133"},"uris":["http://www.mendeley.com/documents/?uuid=757a76aa-c9e5-4aca-ae5e-bff3548f666f"]}],"mendeley":{"formattedCitation":"(Garcia-Munoz, 2014)","plainTextFormattedCitation":"(Garcia-Munoz, 2014)","previouslyFormattedCitation":"[2]"},"properties":{"noteIndex":0},"schema":"https://github.com/citation-style-language/schema/raw/master/csl-citation.json"}</w:instrText>
      </w:r>
      <w:r w:rsidRPr="009B5335">
        <w:rPr>
          <w:lang w:val="en-GB"/>
        </w:rPr>
        <w:fldChar w:fldCharType="separate"/>
      </w:r>
      <w:r w:rsidR="003D65E2" w:rsidRPr="003D65E2">
        <w:rPr>
          <w:noProof/>
          <w:lang w:val="en-GB"/>
        </w:rPr>
        <w:t>(Garcia-Munoz, 2014)</w:t>
      </w:r>
      <w:r w:rsidRPr="009B5335">
        <w:rPr>
          <w:lang w:val="en-US"/>
        </w:rPr>
        <w:fldChar w:fldCharType="end"/>
      </w:r>
      <w:r w:rsidRPr="009B5335">
        <w:rPr>
          <w:lang w:val="en-GB"/>
        </w:rPr>
        <w:t xml:space="preserve">. Especially when limited amounts of expensive API are available during the early drug product development stages </w:t>
      </w:r>
      <w:r w:rsidRPr="009B5335">
        <w:rPr>
          <w:lang w:val="en-GB"/>
        </w:rPr>
        <w:fldChar w:fldCharType="begin" w:fldLock="1"/>
      </w:r>
      <w:r w:rsidR="003D65E2">
        <w:rPr>
          <w:lang w:val="en-GB"/>
        </w:rPr>
        <w:instrText>ADDIN CSL_CITATION {"citationItems":[{"id":"ITEM-1","itemData":{"DOI":"10.1016/j.ijpharm.2018.08.014","ISSN":"18733476","abstract":"In current study a holistic material characterization approach was proposed and an extensive raw material property database was developed including a wide variety of APIs and excipients with different functionalities. In total 55 different materials were characterized and described by over 100 raw material descriptors related to particle size and shape distribution, specific surface area, bulk, tapped and true density, compressibility, electrostatic charge, moisture content, hygroscopicity, permeability, flowability and wall friction. Principal component analysis (PCA) was applied to reveal similarities and dissimilarities between materials and to identify overarching properties. The developed PCA model allows to rationalize the number of critical characterization techniques in routine characterization and to identify surrogates for use during early drug product development stages when limited amounts of active pharmaceutical ingredients are available. Additionally, the developed database will be the basis to build predictive models for in silico process and formulation development based on (a selection of) property descriptors.","author":[{"dropping-particle":"","family":"Snick","given":"Bernd","non-dropping-particle":"Van","parse-names":false,"suffix":""},{"dropping-particle":"","family":"Dhondt","given":"Jens","non-dropping-particle":"","parse-names":false,"suffix":""},{"dropping-particle":"","family":"Pandelaere","given":"Kenny","non-dropping-particle":"","parse-names":false,"suffix":""},{"dropping-particle":"","family":"Bertels","given":"Johny","non-dropping-particle":"","parse-names":false,"suffix":""},{"dropping-particle":"","family":"Mertens","given":"Roel","non-dropping-particle":"","parse-names":false,"suffix":""},{"dropping-particle":"","family":"Klingeleers","given":"Didier","non-dropping-particle":"","parse-names":false,"suffix":""},{"dropping-particle":"","family":"Pretoro","given":"Giustino","non-dropping-particle":"Di","parse-names":false,"suffix":""},{"dropping-particle":"","family":"Remon","given":"Jean Paul","non-dropping-particle":"","parse-names":false,"suffix":""},{"dropping-particle":"","family":"Vervaet","given":"Chris","non-dropping-particle":"","parse-names":false,"suffix":""},{"dropping-particle":"","family":"Beer","given":"Thomas","non-dropping-particle":"De","parse-names":false,"suffix":""},{"dropping-particle":"","family":"Vanhoorne","given":"Valérie","non-dropping-particle":"","parse-names":false,"suffix":""}],"container-title":"International Journal of Pharmaceutics","id":"ITEM-1","issue":"1-2","issued":{"date-parts":[["2018"]]},"page":"415-435","publisher":"Elsevier","title":"A multivariate raw material property database to facilitate drug product development and enable in-silico design of pharmaceutical dry powder processes","type":"article-journal","volume":"549"},"uris":["http://www.mendeley.com/documents/?uuid=1280553d-e86b-4f4f-badd-38b30849b81d"]},{"id":"ITEM-2","itemData":{"DOI":"10.1007/s12247-015-9215-8","ISBN":"1872-5120","ISSN":"19398042","abstract":"The Food and Drug Administration (FDA) regu- lates pharmaceutical drug products to ensure a continuous supply of high-quality drugs in the USA. Continuous process- ing has a great deal of potential to address issues of agility, flexibility, cost, and robustness in the development of phar- maceutical manufacturing processes. Over the past decade, there have been significant advancements in science and engineering to support the implementation of continuous pharmaceutical manufacturing. These investments along with the adoption of the quality-by-design (QbD) paradigm for pharmaceutical development and the advancement of pro- cess analytical technology (PAT) for designing, analyzing, and controlling manufacturing have progressed the scientific and regulatory readiness for continuous manufacturing. The FDA supports the implementation of continuous manufacturing using science- and risk-based approaches.","author":[{"dropping-particle":"","family":"Lee","given":"Sau L.","non-dropping-particle":"","parse-names":false,"suffix":""},{"dropping-particle":"","family":"O’Connor","given":"Thomas F.","non-dropping-particle":"","parse-names":false,"suffix":""},{"dropping-particle":"","family":"Yang","given":"Xiaochuan","non-dropping-particle":"","parse-names":false,"suffix":""},{"dropping-particle":"","family":"Cruz","given":"Celia N.","non-dropping-particle":"","parse-names":false,"suffix":""},{"dropping-particle":"","family":"Chatterjee","given":"Sharmista","non-dropping-particle":"","parse-names":false,"suffix":""},{"dropping-particle":"","family":"Madurawe","given":"Rapti D.","non-dropping-particle":"","parse-names":false,"suffix":""},{"dropping-particle":"","family":"Moore","given":"Christine M.V.","non-dropping-particle":"","parse-names":false,"suffix":""},{"dropping-particle":"","family":"Yu","given":"Lawrence X.","non-dropping-particle":"","parse-names":false,"suffix":""},{"dropping-particle":"","family":"Woodcock","given":"Janet","non-dropping-particle":"","parse-names":false,"suffix":""}],"container-title":"Journal of Pharmaceutical Innovation","id":"ITEM-2","issue":"3","issued":{"date-parts":[["2015"]]},"page":"191-199","title":"Modernizing Pharmaceutical Manufacturing: from Batch to Continuous Production","type":"article-journal","volume":"10"},"uris":["http://www.mendeley.com/documents/?uuid=a9a646af-368f-4943-8536-1f960f5799d3"]}],"mendeley":{"formattedCitation":"(Lee et al., 2015; Van Snick et al., 2018)","plainTextFormattedCitation":"(Lee et al., 2015; Van Snick et al., 2018)","previouslyFormattedCitation":"[3,4]"},"properties":{"noteIndex":0},"schema":"https://github.com/citation-style-language/schema/raw/master/csl-citation.json"}</w:instrText>
      </w:r>
      <w:r w:rsidRPr="009B5335">
        <w:rPr>
          <w:lang w:val="en-GB"/>
        </w:rPr>
        <w:fldChar w:fldCharType="separate"/>
      </w:r>
      <w:r w:rsidR="003D65E2" w:rsidRPr="003D65E2">
        <w:rPr>
          <w:noProof/>
          <w:lang w:val="en-GB"/>
        </w:rPr>
        <w:t>(Lee et al., 2015; Van Snick et al., 2018)</w:t>
      </w:r>
      <w:r w:rsidRPr="009B5335">
        <w:rPr>
          <w:lang w:val="en-US"/>
        </w:rPr>
        <w:fldChar w:fldCharType="end"/>
      </w:r>
      <w:r w:rsidRPr="009B5335">
        <w:rPr>
          <w:lang w:val="en-GB"/>
        </w:rPr>
        <w:t>.</w:t>
      </w:r>
    </w:p>
    <w:p w14:paraId="6240098D" w14:textId="7000820E" w:rsidR="00EA7445" w:rsidRPr="009B5335" w:rsidRDefault="00EA7445" w:rsidP="0038497A">
      <w:pPr>
        <w:spacing w:line="240" w:lineRule="auto"/>
        <w:rPr>
          <w:lang w:val="en-GB"/>
        </w:rPr>
      </w:pPr>
      <w:r w:rsidRPr="009B5335">
        <w:rPr>
          <w:lang w:val="en-GB"/>
        </w:rPr>
        <w:t xml:space="preserve">Multiple studies have investigated the effect of twin-screw granulation process parameters – such as liquid-to-solid (L/S) ratio, mass feed rate (MFR) and screw speed – upon granule quality </w:t>
      </w:r>
      <w:r w:rsidRPr="009B5335">
        <w:rPr>
          <w:lang w:val="en-GB"/>
        </w:rPr>
        <w:fldChar w:fldCharType="begin" w:fldLock="1"/>
      </w:r>
      <w:r w:rsidR="003D65E2">
        <w:rPr>
          <w:lang w:val="en-GB"/>
        </w:rPr>
        <w:instrText>ADDIN CSL_CITATION {"citationItems":[{"id":"ITEM-1","itemData":{"author":[{"dropping-particle":"","family":"Fonteyne","given":"Margot","non-dropping-particle":"","parse-names":false,"suffix":""},{"dropping-particle":"","family":"Correia","given":"Ana","non-dropping-particle":"","parse-names":false,"suffix":""},{"dropping-particle":"","family":"Plecker","given":"De","non-dropping-particle":"","parse-names":false,"suffix":""},{"dropping-particle":"","family":"Vercruysse","given":"Jurgen","non-dropping-particle":"","parse-names":false,"suffix":""},{"dropping-particle":"","family":"Ili","given":"Ilija","non-dropping-particle":"","parse-names":false,"suffix":""},{"dropping-particle":"","family":"Zhou","given":"Qi","non-dropping-particle":"","parse-names":false,"suffix":""},{"dropping-particle":"","family":"Vervaet","given":"Chris","non-dropping-particle":"","parse-names":false,"suffix":""},{"dropping-particle":"","family":"Remon","given":"Jean Paul","non-dropping-particle":"","parse-names":false,"suffix":""},{"dropping-particle":"","family":"Onofre","given":"Fernanda","non-dropping-particle":"","parse-names":false,"suffix":""},{"dropping-particle":"","family":"Bulone","given":"Vincent","non-dropping-particle":"","parse-names":false,"suffix":""},{"dropping-particle":"De","family":"Beer","given":"Thomas","non-dropping-particle":"","parse-names":false,"suffix":""}],"id":"ITEM-1","issued":{"date-parts":[["2015"]]},"page":"705-717","title":"Impact of microcrystalline cellulose material attributes : A case study on continuous twin screw granulation","type":"article-journal","volume":"478"},"uris":["http://www.mendeley.com/documents/?uuid=8fc6812e-5fc4-40cb-9727-38835e37f2b2"]},{"id":"ITEM-2","itemData":{"DOI":"10.1016/j.ejpb.2017.02.010","ISSN":"18733441","abstract":"In a previous study a change of the fill-level in the barrel exerted a huge influence on the twin-screw granulation (TSG) process of a high drug loaded, simplified formulation. The present work investigated this influence systematically. The specific feed load (SFL) indicating the mass per revolution as surrogate parameter for the fill-level was applied and the correlation to the real volumetric fill level of an extruder could be demonstrated by a newly developed method. A design of experiments was conducted to examine the combined influence of SFL and screw speed on the process and on critical quality attributes of granules and tablets. The same formulation was granulated at constant liquid level with the same screw configuration and led to distinctively different results by only changing the fill-level and the screw speed. The power consumption of the extruder increased at higher SFLs with hardly any influence of screw speed. At low SFL the median residence time was mainly fill-level dependent and at higher SFL mainly screw speed dependent. Optimal values for the product characteristics were found at medium values for the SFL. Granule size distributions shifted from mono-modal and narrow shape to broader and even bimodal distributions of larger median granule sizes, when exceeding or falling below a certain fill-level. Deviating from the optimum fill-level, tensile strength of tablets decreased by about 25% and disintegration times of tablets increased for more than one third. At low fill-levels, material accumulation in front of the kneading zone was detected by pressure measurements and was assumed to be responsible for the unfavored product performance. At high fill-levels, granule consolidation due to higher propensity of contact with the result of higher material temperature was accounted for inferior product performance. The fill-level was found to be an important factor in assessment and development of twin-screw granulation processes as it impacted process and product attributes enormously.","author":[{"dropping-particle":"","family":"Meier","given":"Robin","non-dropping-particle":"","parse-names":false,"suffix":""},{"dropping-particle":"","family":"Moll","given":"Klaus Peter","non-dropping-particle":"","parse-names":false,"suffix":""},{"dropping-particle":"","family":"Krumme","given":"Markus","non-dropping-particle":"","parse-names":false,"suffix":""},{"dropping-particle":"","family":"Kleinebudde","given":"Peter","non-dropping-particle":"","parse-names":false,"suffix":""}],"container-title":"European Journal of Pharmaceutics and Biopharmaceutics","id":"ITEM-2","issued":{"date-parts":[["2017"]]},"page":"102-112","publisher":"Elsevier B.V.","title":"Impact of fill-level in twin-screw granulation on critical quality attributes of granules and tablets","type":"article-journal","volume":"115"},"uris":["http://www.mendeley.com/documents/?uuid=acacd717-21a8-4042-bc2d-2243869501e7"]},{"id":"ITEM-3","itemData":{"DOI":"10.1016/j.ijpharm.2016.08.020","ISSN":"18733476","abstract":"HPMC is a popular matrix former to formulate tablets with extended drug release. Tablets with HPMC are preferentially produced by direct compression. However, granulation is often required prior to tableting to overcome poor flowability of the formulation. While continuous twin screw granulation has been extensively evaluated for granulation of immediate release formulations, twin screw granulation of controlled release formulations including the dissolution behavior of the formulations received little attention. Therefore, the influence of the HPMC grade (viscosity and substitution degree) and the particle size of theophylline on critical quality attributes of granules (continuously produced via twin screw granulation) and tablets was investigated in the current study. Formulations with 20 or 40% HPMC, 20% theophylline and lactose were granulated with water at fixed process parameters via twin screw granulation. The torque was influenced by the viscosity and substitution degree of HPMC, but was not a limiting factor for the granulation process. An optimal L/S ratio was selected for each formulation based on the granule size distribution. The granule size distributions were influenced by the substitution degree and concentration of HPMC and the particle size of theophylline. Raman and UV spectroscopic analysis on 8 sieve fractions of granules indicated an inhomogeneous distribution of theophylline over the size fractions. However, this phenomenon was not correlated with the hydration rate or viscosity of HPMC. Controlled release of theophylline could be obtained over 24 h with release profiles close to zero-order. The release of theophylline could be tailored via selection of the substitution degree and viscosity of HPMC.","author":[{"dropping-particle":"","family":"Vanhoorne","given":"V.","non-dropping-particle":"","parse-names":false,"suffix":""},{"dropping-particle":"","family":"Janssens","given":"L.","non-dropping-particle":"","parse-names":false,"suffix":""},{"dropping-particle":"","family":"Vercruysse","given":"J.","non-dropping-particle":"","parse-names":false,"suffix":""},{"dropping-particle":"","family":"Beer","given":"T.","non-dropping-particle":"De","parse-names":false,"suffix":""},{"dropping-particle":"","family":"Remon","given":"J. P.","non-dropping-particle":"","parse-names":false,"suffix":""},{"dropping-particle":"","family":"Vervaet","given":"C.","non-dropping-particle":"","parse-names":false,"suffix":""}],"container-title":"International Journal of Pharmaceutics","id":"ITEM-3","issue":"2","issued":{"date-parts":[["2016"]]},"page":"1048-1057","publisher":"Elsevier B.V.","title":"Continuous twin screw granulation of controlled release formulations with various HPMC grades","type":"article-journal","volume":"511"},"uris":["http://www.mendeley.com/documents/?uuid=a3e1e061-6317-4427-92d8-263edfeba1fe"]},{"id":"ITEM-4","itemData":{"DOI":"10.1016/j.ijpharm.2014.12.071","ISBN":"0378-5173","ISSN":"18733476","PMID":"25562758","abstract":"Twin screw granulation (TSG) has been reported by different research groups as an attractive technology for continuous wet granulation. However, in contrast to fluidized bed granulation, granules produced via this technique typically have a wide and multimodal particle size distribution (PSD), resulting in suboptimal flow properties. The aim of the current study was to evaluate the impact of granulator screw configuration on the PSD of granules produced by TSG. Experiments were performed using a 25 mm co-rotating twin screw granulator, being part of the ConsiGma™-25 system (a fully continuous from-powder-to-tablet manufacturing line from GEA Pharma Systems). Besides the screw elements conventionally used for TSG (conveying and kneading elements), alternative designs of screw elements (tooth-mixing-elements (TME), screw mixing elements (SME) and cutters) were investigated using an α-lactose monohydrate formulation granulated with distilled water. Granulation with only conveying elements resulted in wide and multimodal PSD. Using kneading elements, the width of the PSD could be partially narrowed and the liquid distribution was more homogeneous. However, still a significant fraction of oversized agglomerates was obtained. Implementing additional kneading elements or cutters in the final section of the screw configuration was not beneficial. Furthermore, granulation with only TME or SME had limited impact on the width of the PSD. Promising results were obtained by combining kneading elements with SME, as for these configurations the PSD was narrower and shifted to the size fractions suitable for tableting.","author":[{"dropping-particle":"","family":"Vercruysse","given":"J.","non-dropping-particle":"","parse-names":false,"suffix":""},{"dropping-particle":"","family":"Burggraeve","given":"A.","non-dropping-particle":"","parse-names":false,"suffix":""},{"dropping-particle":"","family":"Fonteyne","given":"M.","non-dropping-particle":"","parse-names":false,"suffix":""},{"dropping-particle":"","family":"Cappuyns","given":"P.","non-dropping-particle":"","parse-names":false,"suffix":""},{"dropping-particle":"","family":"Delaet","given":"U.","non-dropping-particle":"","parse-names":false,"suffix":""},{"dropping-particle":"","family":"Assche","given":"I.","non-dropping-particle":"Van","parse-names":false,"suffix":""},{"dropping-particle":"","family":"Beer","given":"T.","non-dropping-particle":"De","parse-names":false,"suffix":""},{"dropping-particle":"","family":"Remon","given":"J. P.","non-dropping-particle":"","parse-names":false,"suffix":""},{"dropping-particle":"","family":"Vervaet","given":"C.","non-dropping-particle":"","parse-names":false,"suffix":""}],"container-title":"International Journal of Pharmaceutics","id":"ITEM-4","issue":"1","issued":{"date-parts":[["2015"]]},"page":"171-180","publisher":"Elsevier B.V.","title":"Impact of screw configuration on the particle size distribution of granules produced by twin screw granulation","type":"article-journal","volume":"479"},"uris":["http://www.mendeley.com/documents/?uuid=e2742356-87a9-497f-9c7b-a0fe3f9d54f3"]},{"id":"ITEM-5","itemData":{"DOI":"10.1016/j.ejpb.2012.05.010","ISBN":"1873-3441 (Electronic)\\r0939-6411 (Linking)","ISSN":"09396411","PMID":"22687571","abstract":"The aim of the current study was to screen theophylline (125 mg) tablets manufactured via twin screw granulation in order to improve process understanding and knowledge of process variables that determine granule and tablet quality. A premix of theophylline anhydrate, ??-lactose monohydrate and PVP (ratio: 30/67.5/2.5, w/w) was granulated with demineralized water. Experiments were done using the high-shear wet granulation module (based on twin screw granulation) of the ConsiGma???-25 unit (a continuous tablet manufacturing system) for particle size enlargement. After drying, granules were compressed using a MODUL??? P tablet press (compression force: 10 kN, tablet diameter: 12 mm). Using a D-optimal experimental design, the effect of several process variables (throughput (10-25 kg/h), screw speed (600-950 rpm), screw configuration (number (2, 4, 6 and 12) and angle (30??, 60?? and 90??) of kneading elements), barrel temperature (25-40 ??C) and method of binder addition (dry versus wet)) on the granulation process (torque and temperature increase in barrel wall), granule (particle size distribution, friability and flowability) and tablet (tensile strength, porosity, friability, disintegration time and dissolution) quality was evaluated. The results showed that the quality of granules and tablets can be optimized by adjusting specific process variables (number of kneading elements, barrel temperature and binder addition method) during a granulation process using a continuous twin screw granulator. ?? 2012 Elsevier B.V. All rights reserved.","author":[{"dropping-particle":"","family":"Vercruysse","given":"J.","non-dropping-particle":"","parse-names":false,"suffix":""},{"dropping-particle":"","family":"Córdoba Díaz","given":"D.","non-dropping-particle":"","parse-names":false,"suffix":""},{"dropping-particle":"","family":"Peeters","given":"E.","non-dropping-particle":"","parse-names":false,"suffix":""},{"dropping-particle":"","family":"Fonteyne","given":"M.","non-dropping-particle":"","parse-names":false,"suffix":""},{"dropping-particle":"","family":"Delaet","given":"U.","non-dropping-particle":"","parse-names":false,"suffix":""},{"dropping-particle":"","family":"Assche","given":"I.","non-dropping-particle":"Van","parse-names":false,"suffix":""},{"dropping-particle":"","family":"Beer","given":"T.","non-dropping-particle":"De","parse-names":false,"suffix":""},{"dropping-particle":"","family":"Remon","given":"J. P.","non-dropping-particle":"","parse-names":false,"suffix":""},{"dropping-particle":"","family":"Vervaet","given":"C.","non-dropping-particle":"","parse-names":false,"suffix":""}],"container-title":"European Journal of Pharmaceutics and Biopharmaceutics","id":"ITEM-5","issue":"1","issued":{"date-parts":[["2012"]]},"page":"205-211","publisher":"Elsevier B.V.","title":"Continuous twin screw granulation: Influence of process variables on granule and tablet quality","type":"article-journal","volume":"82"},"uris":["http://www.mendeley.com/documents/?uuid=a3ff6a9c-c9ad-48c0-b091-46e81ba765c1"]},{"id":"ITEM-6","itemData":{"DOI":"10.1016/j.ijpharm.2019.119004","ISSN":"18733476","abstract":"Due to the numerous advantages over batch manufacturing, continuous manufacturing techniques such as twin screw wet granulation are rapidly gaining importance in pharmaceutical production. Since a large knowledge gap on the importance of formulation variables exists, this study systematically assessed the impact of different screw configurations and process settings on eight model formulations, varying in filler type, active pharmaceutical ingredient (API) characteristics and drug load. Although liquid to solid (L/S) ratio was the most influential variable for all formulations, also a large effect of the kneading element thickness was observed. Narrow kneading elements with a length to diameter ratio (L/D) of 1/6 had a significant detrimental effect on granule size, flow and strength compared to 1/4 L/D elements. The effects of kneading element distribution and barrel fill level were less pronounced. At low drug load, both filler types could be used to obtain granules with acceptable critical quality attributes (CQAs) for both APIs. Granulation at high drug load of the poorly soluble, poorly wettable API mebendazole proved challenging as it could not be processed using lactose as filler, in contrast to lactose/MCC. As formulations containing lactose/MCC as filler were less influenced by different screw configurations, process settings and API characteristics than formulations without MCC, lactose/MCC/HPMC was considered a promising platform formulation.","author":[{"dropping-particle":"","family":"Portier","given":"Christoph","non-dropping-particle":"","parse-names":false,"suffix":""},{"dropping-particle":"","family":"Pandelaere","given":"Kenny","non-dropping-particle":"","parse-names":false,"suffix":""},{"dropping-particle":"","family":"Delaet","given":"Urbain","non-dropping-particle":"","parse-names":false,"suffix":""},{"dropping-particle":"","family":"Vigh","given":"Tamas","non-dropping-particle":"","parse-names":false,"suffix":""},{"dropping-particle":"","family":"Pretoro","given":"Giustino","non-dropping-particle":"Di","parse-names":false,"suffix":""},{"dropping-particle":"","family":"Beer","given":"Thomas","non-dropping-particle":"De","parse-names":false,"suffix":""},{"dropping-particle":"","family":"Vervaet","given":"Chris","non-dropping-particle":"","parse-names":false,"suffix":""},{"dropping-particle":"","family":"Vanhoorne","given":"Valérie","non-dropping-particle":"","parse-names":false,"suffix":""}],"container-title":"International Journal of Pharmaceutics","id":"ITEM-6","issue":"December 2019","issued":{"date-parts":[["2020"]]},"page":"119004","publisher":"Elsevier","title":"Continuous twin screw granulation: A complex interplay between formulation properties, process settings and screw design","type":"article-journal","volume":"576"},"uris":["http://www.mendeley.com/documents/?uuid=f6b47079-e105-44a9-9e4e-b116f02ae03e"]},{"id":"ITEM-7","itemData":{"DOI":"10.1016/j.ijpharm.2017.07.045","ISSN":"18733476","PMID":"28720539","abstract":"Twin-screw wet granulation is gaining increasing interest within the pharmaceutical industry for the continuous manufacturing of solid oral dosage forms. However, limited prior fundamental physical understanding has been generated relating to the granule formation mechanisms and kinetics along the internal compartmental length of a twin-screw granulator barrel, and about how process settings, barrel screw configuration and formulation properties such as particle size, density and surface properties influence these mechanisms. One of the main reasons for this limited understanding is that experimental data is generally only collected at the exit of the twin-screw granulator barrel although the granule formation occurs spatially along the internal length of the barrel. The purpose of this study is to analyze the twin-screw wet granulation process using both hydrophilic and hydrophobic formulations, manufactured under different process settings such as liquid-to-solid ratio, mass throughput and screw speed, in such a way that the mechanisms occurring in the individual granulator barrel compartments (i.e., the wetting and different conveying and kneading compartments) and their impact upon granule formation are understood. To achieve this, a unique experimental setup was developed allowing granule characteristic data-collection such as size, shape, liquid and porosity distribution at the different compartments along the length of the granulator barrel. Moreover, granule characteristic information per granule size class was determined. The experimental results indicated that liquid-to-solid ratio is the most important factor dictating the formation of the granules and their corresponding properties, by regulating the degree of aggregation and breakage in the different compartments along the internal length of the twin-screw granulator barrel. Collecting appropriate and detailed experimental data about granule formation along the internal length of the granulator barrel is thus crucial for gaining fundamental physical understanding of the twin-screw wet granulation process.","author":[{"dropping-particle":"","family":"Verstraeten","given":"Maxim","non-dropping-particle":"","parse-names":false,"suffix":""},{"dropping-particle":"","family":"Hauwermeiren","given":"Daan","non-dropping-particle":"Van","parse-names":false,"suffix":""},{"dropping-particle":"","family":"Lee","given":"Kai","non-dropping-particle":"","parse-names":false,"suffix":""},{"dropping-particle":"","family":"Turnbull","given":"Neil","non-dropping-particle":"","parse-names":false,"suffix":""},{"dropping-particle":"","family":"Wilsdon","given":"David","non-dropping-particle":"","parse-names":false,"suffix":""},{"dropping-particle":"","family":"am Ende","given":"Mary","non-dropping-particle":"","parse-names":false,"suffix":""},{"dropping-particle":"","family":"Doshi","given":"Pankaj","non-dropping-particle":"","parse-names":false,"suffix":""},{"dropping-particle":"","family":"Vervaet","given":"Chris","non-dropping-particle":"","parse-names":false,"suffix":""},{"dropping-particle":"","family":"Brouckaert","given":"Davinia","non-dropping-particle":"","parse-names":false,"suffix":""},{"dropping-particle":"","family":"Mortier","given":"Séverine T.F.C.","non-dropping-particle":"","parse-names":false,"suffix":""},{"dropping-particle":"","family":"Nopens","given":"Ingmar","non-dropping-particle":"","parse-names":false,"suffix":""},{"dropping-particle":"De","family":"Beer","given":"Thomas","non-dropping-particle":"","parse-names":false,"suffix":""}],"container-title":"International Journal of Pharmaceutics","id":"ITEM-7","issue":"1-2","issued":{"date-parts":[["2017"]]},"page":"678-693","publisher":"Elsevier B.V.","title":"In-depth experimental analysis of pharmaceutical twin-screw wet granulation in view of detailed process understanding","type":"article-journal","volume":"529"},"uris":["http://www.mendeley.com/documents/?uuid=7ab583e3-33b0-430a-be46-61c56d22ec14"]},{"id":"ITEM-8","itemData":{"DOI":"10.1016/j.ijpharm.2012.08.049","ISSN":"0378-5173","abstract":"The present work focuses on the study of the progression of granules in different compartments along the length of screws in a twin screw granulator (TSG). The effects of varying powder feed rate; liquid to solid ratio and viscosity of granulation liquid on properties of granules was studied. The bigger granules produced at the start of the process were found to change in terms of size, shape and strength along the screw length at all the conditions investigated. The granules became more spherical and their strength increased along the screw length. Tracer granules were also introduced in order to understand the role of kneading and conveying elements in the TSG. The kneading elements promoted consolidation and breakage while the conveying elements led to coalescence, breakage and some consolidation. The results presented here help to provide a qualitative and quantitative understanding of the twin screw granulation process.","author":[{"dropping-particle":"","family":"Dhenge","given":"Ranjit M.","non-dropping-particle":"","parse-names":false,"suffix":""},{"dropping-particle":"","family":"Cartwright","given":"James J.","non-dropping-particle":"","parse-names":false,"suffix":""},{"dropping-particle":"","family":"Hounslow","given":"Michael J.","non-dropping-particle":"","parse-names":false,"suffix":""},{"dropping-particle":"","family":"Salman","given":"Agba D.","non-dropping-particle":"","parse-names":false,"suffix":""}],"container-title":"International Journal of Pharmaceutics","id":"ITEM-8","issue":"1–2","issued":{"date-parts":[["2012","11"]]},"page":"20-32","title":"Twin screw granulation: Steps in granule growth","type":"article-journal","volume":"438"},"uris":["http://www.mendeley.com/documents/?uuid=79baaf18-12cb-415c-ba9c-053154fad498"]},{"id":"ITEM-9","itemData":{"DOI":"10.1016/j.apt.2010.09.004","ISBN":"0921-8831","ISSN":"09218831","PMID":"22960611","abstract":"The twin screw extruder has recently become popular as a continuous wet granulation technique. It is logical that granulation using a twin screw granulator will depend on several process variables including powder feed rate but little is known about how these variables will affect the kinetics and mechanisms of granule growth and the eventual structure. The work focuses on understanding how granule properties like structure, surface, strength, dissolution etc., change with varying powder feed rate and attempts to develop the science behind granule formation which ultimately allows a priori process and product design. An attempt has been made to understand the steps involved in granule formation in twin screw granulator. The granules became denser and stronger with an increase in powder feed rate. © 2011 The Society of Powder Technology Japan.","author":[{"dropping-particle":"","family":"Dhenge","given":"Ranjit M.","non-dropping-particle":"","parse-names":false,"suffix":""},{"dropping-particle":"","family":"Cartwright","given":"James J.","non-dropping-particle":"","parse-names":false,"suffix":""},{"dropping-particle":"","family":"Doughty","given":"David G.","non-dropping-particle":"","parse-names":false,"suffix":""},{"dropping-particle":"","family":"Hounslow","given":"Michael J.","non-dropping-particle":"","parse-names":false,"suffix":""},{"dropping-particle":"","family":"Salman","given":"Agba D.","non-dropping-particle":"","parse-names":false,"suffix":""}],"container-title":"Advanced Powder Technology","id":"ITEM-9","issue":"2","issued":{"date-parts":[["2011"]]},"page":"162-166","publisher":"The Society of Powder Technology Japan","title":"Twin screw wet granulation: Effect of powder feed rate","type":"article-journal","volume":"22"},"uris":["http://www.mendeley.com/documents/?uuid=65af5008-cf25-46d0-aae7-ea952b98f6c8"]},{"id":"ITEM-10","itemData":{"DOI":"10.1016/j.cej.2010.05.023","ISBN":"1385-8947","ISSN":"13858947","abstract":"Granulation is an important particle size enlargement process, used in many applications. Granulation has, for many years, been a batch process because of a greater knowledge base. However, the technique of using a twin screw granulator has been found to be very effective at granulating and is an attractive proposition for manufacturing processes because it can be operated continuously. The acceptability of the granules produced varies depending on a number of different parameters. The effect on the properties of granules caused by varying the screw speed, powder feed rate and the ratio of liquid to solid were investigated.This work focuses on the effect that process variables have on the properties of granules and shows that all three-process variables (screw speed, powder feed rate and liquid to solid ratio) had varying influences on residence time and torque, which in turn affected the distribution of size, strength, shape and structure of the granules. For all three-process variables, it was found that by varying the process variables mentioned above resulted in changes to the average particle size distribution. The granules that were produced, however, were irregular, non-spherically shaped granules.The properties of the granules produced by changing each variable in turn were tested and compared in order to determine the optimal conditions for agglomeration using a twin screw granulator, for the used formulation. The ideal conditions will produce to meet the predefined target criteria of mechanically strong and consistent granules, which is important for reliable process operation. © 2010 Elsevier B.V.","author":[{"dropping-particle":"","family":"Dhenge","given":"Ranjit M.","non-dropping-particle":"","parse-names":false,"suffix":""},{"dropping-particle":"","family":"Fyles","given":"Richard S.","non-dropping-particle":"","parse-names":false,"suffix":""},{"dropping-particle":"","family":"Cartwright","given":"James J.","non-dropping-particle":"","parse-names":false,"suffix":""},{"dropping-particle":"","family":"Doughty","given":"David G.","non-dropping-particle":"","parse-names":false,"suffix":""},{"dropping-particle":"","family":"Hounslow","given":"Michael J.","non-dropping-particle":"","parse-names":false,"suffix":""},{"dropping-particle":"","family":"Salman","given":"Agba D.","non-dropping-particle":"","parse-names":false,"suffix":""}],"container-title":"Chemical Engineering Journal","id":"ITEM-10","issue":"2-3","issued":{"date-parts":[["2010"]]},"page":"322-329","publisher":"Elsevier B.V.","title":"Twin screw wet granulation: Granule properties","type":"article-journal","volume":"164"},"uris":["http://www.mendeley.com/documents/?uuid=8d757e5f-a290-43ba-8370-5f9db5c92a05"]},{"id":"ITEM-11","itemData":{"DOI":"10.3109/10837450903397578","ISSN":"10837450","PMID":"19921959","abstract":"Agglomeration behavior of a twin-screw extruder at different material throughputs was investigated. Water insoluble dicalcium phosphate and the binder povidone were agglomerated with demineralized water with five different screw configurations using conveying-, kneading-or combing mixer elements. Increasing material throughput mainly had an effect on the particle size of granules. Due to a higher filling degree of the barrel, the particle size was higher at increased material throughput. Granule porosity was generally influenced by screw element type. With a higher element dispersivity granule porosity and friability decreased. Compression of the different granule batches led to comparable tablet properties. A simple scale up in order to increase batch size can be realized by increasing either production time at given material throughput or material throughput. © 2010 Informa Healthcare USA, Inc.","author":[{"dropping-particle":"","family":"Djuric","given":"Dejan","non-dropping-particle":"","parse-names":false,"suffix":""},{"dropping-particle":"","family":"Kleinebudde","given":"Peter","non-dropping-particle":"","parse-names":false,"suffix":""}],"container-title":"Pharmaceutical Development and Technology","id":"ITEM-11","issue":"5","issued":{"date-parts":[["2010"]]},"page":"518-525","title":"Continuous granulation with a twin-screw extruder: Impact of material throughput","type":"article-journal","volume":"15"},"uris":["http://www.mendeley.com/documents/?uuid=2936cc92-afd7-4159-ad6a-3aa817dbcfa5"]}],"mendeley":{"formattedCitation":"(Dhenge et al., 2010, 2011, 2012a; Djuric and Kleinebudde, 2010; Fonteyne et al., 2015; Meier et al., 2017; Portier et al., 2020b; Vanhoorne et al., 2016; Vercruysse et al., 2012, 2015; Verstraeten et al., 2017)","plainTextFormattedCitation":"(Dhenge et al., 2010, 2011, 2012a; Djuric and Kleinebudde, 2010; Fonteyne et al., 2015; Meier et al., 2017; Portier et al., 2020b; Vanhoorne et al., 2016; Vercruysse et al., 2012, 2015; Verstraeten et al., 2017)","previouslyFormattedCitation":"[5–15]"},"properties":{"noteIndex":0},"schema":"https://github.com/citation-style-language/schema/raw/master/csl-citation.json"}</w:instrText>
      </w:r>
      <w:r w:rsidRPr="009B5335">
        <w:rPr>
          <w:lang w:val="en-GB"/>
        </w:rPr>
        <w:fldChar w:fldCharType="separate"/>
      </w:r>
      <w:r w:rsidR="003D65E2" w:rsidRPr="003D65E2">
        <w:rPr>
          <w:noProof/>
          <w:lang w:val="en-GB"/>
        </w:rPr>
        <w:t>(Dhenge et al., 2010, 2011, 2012a; Djuric and Kleinebudde, 2010; Fonteyne et al., 2015; Meier et al., 2017; Portier et al., 2020b; Vanhoorne et al., 2016; Vercruysse et al., 2012, 2015; Verstraeten et al., 2017)</w:t>
      </w:r>
      <w:r w:rsidRPr="009B5335">
        <w:rPr>
          <w:lang w:val="en-US"/>
        </w:rPr>
        <w:fldChar w:fldCharType="end"/>
      </w:r>
      <w:r w:rsidRPr="009B5335">
        <w:rPr>
          <w:lang w:val="en-GB"/>
        </w:rPr>
        <w:t>. Generally, L/S ratio was the most influencing process parameter. However, contradictory results were often seen for the effect of MFR and screw speed upon the granules’ CQAs, due to</w:t>
      </w:r>
      <w:r>
        <w:rPr>
          <w:lang w:val="en-GB"/>
        </w:rPr>
        <w:t xml:space="preserve"> the</w:t>
      </w:r>
      <w:r w:rsidRPr="009B5335">
        <w:rPr>
          <w:lang w:val="en-GB"/>
        </w:rPr>
        <w:t xml:space="preserve"> different formulations under study. Others have </w:t>
      </w:r>
      <w:r>
        <w:rPr>
          <w:lang w:val="en-GB"/>
        </w:rPr>
        <w:t>investigated</w:t>
      </w:r>
      <w:r w:rsidRPr="009B5335">
        <w:rPr>
          <w:lang w:val="en-GB"/>
        </w:rPr>
        <w:t xml:space="preserve"> the effect of raw materials properties on granule quality </w:t>
      </w:r>
      <w:r w:rsidRPr="009B5335">
        <w:rPr>
          <w:lang w:val="en-GB"/>
        </w:rPr>
        <w:fldChar w:fldCharType="begin" w:fldLock="1"/>
      </w:r>
      <w:r w:rsidR="003D65E2">
        <w:rPr>
          <w:lang w:val="en-GB"/>
        </w:rPr>
        <w:instrText>ADDIN CSL_CITATION {"citationItems":[{"id":"ITEM-1","itemData":{"DOI":"10.1016/j.ejpb.2014.02.011","ISSN":"18733441","abstract":"Continuous manufacturing gains more and more interest within the pharmaceutical industry. The International Conference of Harmonisation (ICH) states in its Q8 'Pharmaceutical Development' guideline that the manufacturer of pharmaceuticals should have an enhanced knowledge of the product performance over a range of raw material attributes, manufacturing process options and process parameters. This fits further into the Process Analytical Technology (PAT) and Quality by Design (QbD) framework. The present study evaluates the effect of variation in critical raw material properties on the critical quality attributes of granules and tablets, produced by a continuous from-powder-to-tablet wet granulation line. The granulation process parameters were kept constant to examine the differences in the end product quality caused by the variability of the raw materials properties only. Theophylline-Lactose- PVP (30-67.5-2.5%) was used as model formulation. Seven different grades of theophylline were granulated. Afterward, the obtained granules were tableted. Both the characteristics of granules and tablets were determined. The results show that differences in raw material properties both affect their processability and several critical quality attributes of the resulting granules and tablets. © 2014 Elsevier B.V. All rights reserved.","author":[{"dropping-particle":"","family":"Fonteyne","given":"Margot","non-dropping-particle":"","parse-names":false,"suffix":""},{"dropping-particle":"","family":"Wickström","given":"Henrika","non-dropping-particle":"","parse-names":false,"suffix":""},{"dropping-particle":"","family":"Peeters","given":"Elisabeth","non-dropping-particle":"","parse-names":false,"suffix":""},{"dropping-particle":"","family":"Vercruysse","given":"Jurgen","non-dropping-particle":"","parse-names":false,"suffix":""},{"dropping-particle":"","family":"Ehlers","given":"Henrik","non-dropping-particle":"","parse-names":false,"suffix":""},{"dropping-particle":"","family":"Peters","given":"Björn Hendrik","non-dropping-particle":"","parse-names":false,"suffix":""},{"dropping-particle":"","family":"Remon","given":"Jean Paul","non-dropping-particle":"","parse-names":false,"suffix":""},{"dropping-particle":"","family":"Vervaet","given":"Chris","non-dropping-particle":"","parse-names":false,"suffix":""},{"dropping-particle":"","family":"Ketolainen","given":"Jarkko","non-dropping-particle":"","parse-names":false,"suffix":""},{"dropping-particle":"","family":"Sandler","given":"Niklas","non-dropping-particle":"","parse-names":false,"suffix":""},{"dropping-particle":"","family":"Rantanen","given":"Jukka","non-dropping-particle":"","parse-names":false,"suffix":""},{"dropping-particle":"","family":"Naelapää","given":"Kaisa","non-dropping-particle":"","parse-names":false,"suffix":""},{"dropping-particle":"De","family":"Beer","given":"Thomas","non-dropping-particle":"","parse-names":false,"suffix":""}],"container-title":"European Journal of Pharmaceutics and Biopharmaceutics","id":"ITEM-1","issue":"2","issued":{"date-parts":[["2014"]]},"page":"252-263","publisher":"Elsevier B.V.","title":"Influence of raw material properties upon critical quality attributes of continuously produced granules and tablets","type":"article-journal","volume":"87"},"uris":["http://www.mendeley.com/documents/?uuid=408e5194-f62e-4484-a1cd-960c8c9388b7"]},{"id":"ITEM-2","itemData":{"author":[{"dropping-particle":"","family":"Fonteyne","given":"Margot","non-dropping-particle":"","parse-names":false,"suffix":""},{"dropping-particle":"","family":"Correia","given":"Ana","non-dropping-particle":"","parse-names":false,"suffix":""},{"dropping-particle":"","family":"Plecker","given":"De","non-dropping-particle":"","parse-names":false,"suffix":""},{"dropping-particle":"","family":"Vercruysse","given":"Jurgen","non-dropping-particle":"","parse-names":false,"suffix":""},{"dropping-particle":"","family":"Ili","given":"Ilija","non-dropping-particle":"","parse-names":false,"suffix":""},{"dropping-particle":"","family":"Zhou","given":"Qi","non-dropping-particle":"","parse-names":false,"suffix":""},{"dropping-particle":"","family":"Vervaet","given":"Chris","non-dropping-particle":"","parse-names":false,"suffix":""},{"dropping-particle":"","family":"Remon","given":"Jean Paul","non-dropping-particle":"","parse-names":false,"suffix":""},{"dropping-particle":"","family":"Onofre","given":"Fernanda","non-dropping-particle":"","parse-names":false,"suffix":""},{"dropping-particle":"","family":"Bulone","given":"Vincent","non-dropping-particle":"","parse-names":false,"suffix":""},{"dropping-particle":"De","family":"Beer","given":"Thomas","non-dropping-particle":"","parse-names":false,"suffix":""}],"id":"ITEM-2","issued":{"date-parts":[["2015"]]},"page":"705-717","title":"Impact of microcrystalline cellulose material attributes : A case study on continuous twin screw granulation","type":"article-journal","volume":"478"},"uris":["http://www.mendeley.com/documents/?uuid=8fc6812e-5fc4-40cb-9727-38835e37f2b2"]},{"id":"ITEM-3","itemData":{"DOI":"10.3390/pharmaceutics10020068","ISSN":"19994923","abstract":"Lactose and mannitol are some of the most commonly used powders in the pharmaceutical industry. The limited research published so far highlights the effects of process and formulation parameters on the properties of the granules and the tablets produced using these two types of powders separately. However, the comparison of the performance of these two types of powders during twin screw wet granulation has received no attention. The present research is focused on understanding the granulation mechanism of different grades of two pharmaceutical powders with varying properties (i.e., primary particle size, structure, and compressibility). Three grades each of lactose and mannitol were granulated at varying liquid to solid ratios (L/S) and screw speed. It was noticed that primary powder morphology plays an important role in determining the granule size and structure, and tablet tensile strength. It was indicated that the processed powders such as spray-dried and granulated lactose and mannitol can be used in formulation for wet granulation where flowability of active pharmaceutical ingredient (API) is poor.","author":[{"dropping-particle":"V.","family":"Lute","given":"Sushma","non-dropping-particle":"","parse-names":false,"suffix":""},{"dropping-particle":"","family":"Dhenge","given":"Ranjit M.","non-dropping-particle":"","parse-names":false,"suffix":""},{"dropping-particle":"","family":"Salman","given":"Agba D.","non-dropping-particle":"","parse-names":false,"suffix":""}],"container-title":"Pharmaceutics","id":"ITEM-3","issue":"2","issued":{"date-parts":[["2018"]]},"title":"Twin screw granulation: Effects of properties of primary powders","type":"article-journal","volume":"10"},"uris":["http://www.mendeley.com/documents/?uuid=fa28a1a5-091b-4679-a2f0-5e642e39c24e"]},{"id":"ITEM-4","itemData":{"DOI":"10.1016/j.powtec.2019.08.062","ISSN":"1873328X","abstract":"The purpose of this study is to confirm the correlation between the formulation factors and the process parameters using multivariate analysis (MVA) during twin screw granulation. Various grades of lactose and MCC were used as starting materials and the characteristics of final granules were investigated by varying the L/S ratio and feed rate. The size distribution, friability, and various flow properties of granules using powder rheometer were evaluated. When the effect of formulation factors and process parameters were investigated, it was confirmed that the characteristics of granules change largely according to L/S ratio. MVA also showed that the influence of formulation factors on characteristics of granules was significant as L/S ratio. The feed rate had few effects on the characteristics of the granules. MVA is a useful tool to confirm the correlations of various factors. The properties of the starting materials are important in the continuous twin screw granulation process.","author":[{"dropping-particle":"","family":"Hwang","given":"Kyu Min","non-dropping-particle":"","parse-names":false,"suffix":""},{"dropping-particle":"","family":"Cho","given":"Cheol Hee","non-dropping-particle":"","parse-names":false,"suffix":""},{"dropping-particle":"","family":"Yoo","given":"Seung Dong","non-dropping-particle":"","parse-names":false,"suffix":""},{"dropping-particle":"","family":"Cha","given":"Kwan Ik","non-dropping-particle":"","parse-names":false,"suffix":""},{"dropping-particle":"","family":"Park","given":"Eun Seok","non-dropping-particle":"","parse-names":false,"suffix":""}],"container-title":"Powder Technology","id":"ITEM-4","issued":{"date-parts":[["2019","11","1"]]},"page":"847-857","publisher":"Elsevier B.V.","title":"Continuous twin screw granulation: Impact of the starting material properties and various process parameters","type":"article-journal","volume":"356"},"uris":["http://www.mendeley.com/documents/?uuid=3799f943-c1c6-3e33-b6db-5a05e5d80943"]}],"mendeley":{"formattedCitation":"(Fonteyne et al., 2015, 2014; Hwang et al., 2019; Lute et al., 2018)","plainTextFormattedCitation":"(Fonteyne et al., 2015, 2014; Hwang et al., 2019; Lute et al., 2018)","previouslyFormattedCitation":"[5,16–18]"},"properties":{"noteIndex":0},"schema":"https://github.com/citation-style-language/schema/raw/master/csl-citation.json"}</w:instrText>
      </w:r>
      <w:r w:rsidRPr="009B5335">
        <w:rPr>
          <w:lang w:val="en-GB"/>
        </w:rPr>
        <w:fldChar w:fldCharType="separate"/>
      </w:r>
      <w:r w:rsidR="003D65E2" w:rsidRPr="003D65E2">
        <w:rPr>
          <w:noProof/>
          <w:lang w:val="en-GB"/>
        </w:rPr>
        <w:t>(Fonteyne et al., 2015, 2014; Hwang et al., 2019; Lute et al., 2018)</w:t>
      </w:r>
      <w:r w:rsidRPr="009B5335">
        <w:rPr>
          <w:lang w:val="en-US"/>
        </w:rPr>
        <w:fldChar w:fldCharType="end"/>
      </w:r>
      <w:r w:rsidRPr="009B5335">
        <w:rPr>
          <w:lang w:val="en-GB"/>
        </w:rPr>
        <w:t>. However, these investigations were only limited to one ingredient at a time, because different composition</w:t>
      </w:r>
      <w:r>
        <w:rPr>
          <w:lang w:val="en-GB"/>
        </w:rPr>
        <w:t>s</w:t>
      </w:r>
      <w:r w:rsidRPr="009B5335">
        <w:rPr>
          <w:lang w:val="en-GB"/>
        </w:rPr>
        <w:t xml:space="preserve"> of studied formulation</w:t>
      </w:r>
      <w:r>
        <w:rPr>
          <w:lang w:val="en-GB"/>
        </w:rPr>
        <w:t>s</w:t>
      </w:r>
      <w:r w:rsidRPr="009B5335">
        <w:rPr>
          <w:lang w:val="en-GB"/>
        </w:rPr>
        <w:t xml:space="preserve"> require different process setting</w:t>
      </w:r>
      <w:r>
        <w:rPr>
          <w:lang w:val="en-GB"/>
        </w:rPr>
        <w:t>s</w:t>
      </w:r>
      <w:r w:rsidRPr="009B5335">
        <w:rPr>
          <w:lang w:val="en-GB"/>
        </w:rPr>
        <w:t xml:space="preserve">, resulting in a complicated data analysis </w:t>
      </w:r>
      <w:r w:rsidRPr="009B5335">
        <w:rPr>
          <w:lang w:val="en-GB"/>
        </w:rPr>
        <w:fldChar w:fldCharType="begin" w:fldLock="1"/>
      </w:r>
      <w:r w:rsidR="003D65E2">
        <w:rPr>
          <w:lang w:val="en-GB"/>
        </w:rPr>
        <w:instrText>ADDIN CSL_CITATION {"citationItems":[{"id":"ITEM-1","itemData":{"DOI":"10.3109/03639045.2014.983931","ISSN":"15205762","abstract":"Twin screw granulation (TSG) is a new process of interest to the pharmaceutical community that can continuously wet granulate powders, doing so at lower liquid concentrations and with better product consistency than found by a high shear batch mixer. A considerable body of research has evolved over the short time since this process was introduced but generally with little comparison of results. A certain degree of confidence has been developed through these studies related to how process variables and many attributes of machinery configuration will affect granulation but some major challenges still lay ahead related to scalability, variations in the processing regimes related to degree of channel fill and the impact of wetting and granulation of complex powder formulations. This review examines the current literature for wet granulation processes studied in twin screw extrusion machinery, summarizing the influences of operational and system parameters affecting granule properties as well as strives to provide some practical observations to newly interested users of the technique.","author":[{"dropping-particle":"","family":"Thompson","given":"M. R.","non-dropping-particle":"","parse-names":false,"suffix":""}],"container-title":"Drug Development and Industrial Pharmacy","id":"ITEM-1","issue":"8","issued":{"date-parts":[["2015"]]},"page":"1223-1231","title":"Twin screw granulation-review of current progress","type":"article-journal","volume":"41"},"uris":["http://www.mendeley.com/documents/?uuid=4296a7b1-eadc-44af-b860-21bf83ca1dfa"]}],"mendeley":{"formattedCitation":"(Thompson, 2015)","plainTextFormattedCitation":"(Thompson, 2015)","previouslyFormattedCitation":"[19]"},"properties":{"noteIndex":0},"schema":"https://github.com/citation-style-language/schema/raw/master/csl-citation.json"}</w:instrText>
      </w:r>
      <w:r w:rsidRPr="009B5335">
        <w:rPr>
          <w:lang w:val="en-GB"/>
        </w:rPr>
        <w:fldChar w:fldCharType="separate"/>
      </w:r>
      <w:r w:rsidR="003D65E2" w:rsidRPr="003D65E2">
        <w:rPr>
          <w:noProof/>
          <w:lang w:val="en-GB"/>
        </w:rPr>
        <w:t>(Thompson, 2015)</w:t>
      </w:r>
      <w:r w:rsidRPr="009B5335">
        <w:rPr>
          <w:lang w:val="en-US"/>
        </w:rPr>
        <w:fldChar w:fldCharType="end"/>
      </w:r>
      <w:r w:rsidRPr="009B5335">
        <w:rPr>
          <w:lang w:val="en-GB"/>
        </w:rPr>
        <w:t xml:space="preserve">. </w:t>
      </w:r>
    </w:p>
    <w:p w14:paraId="4DBB489A" w14:textId="5143F5DB" w:rsidR="00EA7445" w:rsidRPr="009B5335" w:rsidRDefault="00EA7445" w:rsidP="0038497A">
      <w:pPr>
        <w:spacing w:line="240" w:lineRule="auto"/>
        <w:rPr>
          <w:lang w:val="en-GB"/>
        </w:rPr>
      </w:pPr>
      <w:proofErr w:type="spellStart"/>
      <w:r w:rsidRPr="009B5335">
        <w:rPr>
          <w:lang w:val="en-GB"/>
        </w:rPr>
        <w:t>Willecke</w:t>
      </w:r>
      <w:proofErr w:type="spellEnd"/>
      <w:r w:rsidRPr="009B5335">
        <w:rPr>
          <w:lang w:val="en-GB"/>
        </w:rPr>
        <w:t xml:space="preserve"> et al. </w:t>
      </w:r>
      <w:r w:rsidRPr="009B5335">
        <w:rPr>
          <w:lang w:val="en-GB"/>
        </w:rPr>
        <w:fldChar w:fldCharType="begin" w:fldLock="1"/>
      </w:r>
      <w:r w:rsidR="003D65E2">
        <w:rPr>
          <w:lang w:val="en-GB"/>
        </w:rPr>
        <w:instrText>ADDIN CSL_CITATION {"citationItems":[{"id":"ITEM-1","itemData":{"DOI":"10.1016/j.ijpharm.2017.02.028","ISSN":"0378-5173","author":[{"dropping-particle":"","family":"Willecke","given":"N","non-dropping-particle":"","parse-names":false,"suffix":""},{"dropping-particle":"","family":"Szepes","given":"A","non-dropping-particle":"","parse-names":false,"suffix":""},{"dropping-particle":"","family":"Wunderlich","given":"M","non-dropping-particle":"","parse-names":false,"suffix":""},{"dropping-particle":"","family":"Remon","given":"J P","non-dropping-particle":"","parse-names":false,"suffix":""},{"dropping-particle":"","family":"Vervaet","given":"C","non-dropping-particle":"","parse-names":false,"suffix":""},{"dropping-particle":"De","family":"Beer","given":"T","non-dropping-particle":"","parse-names":false,"suffix":""}],"container-title":"International Journal of Pharmaceutics","id":"ITEM-1","issue":"1-2","issued":{"date-parts":[["2017"]]},"page":"234-247","publisher":"Elsevier B.V.","title":"Identifying overarching excipient properties towards an in-depth understanding of process and product performance for continuous twin-screw wet granulation","type":"article-journal","volume":"522"},"uris":["http://www.mendeley.com/documents/?uuid=787b81fa-5486-4425-93a6-c7537b5919e7"]},{"id":"ITEM-2","itemData":{"DOI":"10.1016/j.ijpharm.2018.04.017","ISSN":"0378-5173","author":[{"dropping-particle":"","family":"Willecke","given":"N","non-dropping-particle":"","parse-names":false,"suffix":""},{"dropping-particle":"","family":"Szepes","given":"A","non-dropping-particle":"","parse-names":false,"suffix":""},{"dropping-particle":"","family":"Wunderlich","given":"M","non-dropping-particle":"","parse-names":false,"suffix":""},{"dropping-particle":"","family":"Remon","given":"J P","non-dropping-particle":"","parse-names":false,"suffix":""},{"dropping-particle":"","family":"Vervaet","given":"C","non-dropping-particle":"","parse-names":false,"suffix":""},{"dropping-particle":"De","family":"Beer","given":"T","non-dropping-particle":"","parse-names":false,"suffix":""}],"container-title":"International Journal of Pharmaceutics","id":"ITEM-2","issue":"1-2","issued":{"date-parts":[["2018"]]},"page":"128-143","publisher":"Elsevier","title":"A novel approach to support formulation design on twin screw wet granulation technology : Understanding the impact of overarching excipient properties on drug product quality attributes","type":"article-journal","volume":"545"},"uris":["http://www.mendeley.com/documents/?uuid=22befac9-e4cf-4aed-9bd1-73049764e721"]}],"mendeley":{"formattedCitation":"(Willecke et al., 2018, 2017)","plainTextFormattedCitation":"(Willecke et al., 2018, 2017)","previouslyFormattedCitation":"[20,21]"},"properties":{"noteIndex":0},"schema":"https://github.com/citation-style-language/schema/raw/master/csl-citation.json"}</w:instrText>
      </w:r>
      <w:r w:rsidRPr="009B5335">
        <w:rPr>
          <w:lang w:val="en-GB"/>
        </w:rPr>
        <w:fldChar w:fldCharType="separate"/>
      </w:r>
      <w:r w:rsidR="003D65E2" w:rsidRPr="003D65E2">
        <w:rPr>
          <w:noProof/>
          <w:lang w:val="en-US"/>
        </w:rPr>
        <w:t>(Willecke et al., 2018, 2017)</w:t>
      </w:r>
      <w:r w:rsidRPr="009B5335">
        <w:rPr>
          <w:lang w:val="en-US"/>
        </w:rPr>
        <w:fldChar w:fldCharType="end"/>
      </w:r>
      <w:r w:rsidRPr="009B5335">
        <w:rPr>
          <w:lang w:val="en-US"/>
        </w:rPr>
        <w:t xml:space="preserve"> were able to study more divergent formulations by investigating the impact of excipient characteristics in a two-part study. </w:t>
      </w:r>
      <w:r w:rsidRPr="009B5335">
        <w:rPr>
          <w:lang w:val="en-GB"/>
        </w:rPr>
        <w:t xml:space="preserve">In the first part, an extensive raw material characterization was performed on the excipients (fillers and binders) prior to Principal Component Analysis (PCA). Subsequently, the large number of the material properties of the excipients were </w:t>
      </w:r>
      <w:r>
        <w:rPr>
          <w:lang w:val="en-GB"/>
        </w:rPr>
        <w:t>reduced</w:t>
      </w:r>
      <w:r w:rsidRPr="009B5335">
        <w:rPr>
          <w:lang w:val="en-GB"/>
        </w:rPr>
        <w:t xml:space="preserve"> by identifying representative overarching properties from the PCA </w:t>
      </w:r>
      <w:r w:rsidRPr="009B5335">
        <w:rPr>
          <w:lang w:val="en-GB"/>
        </w:rPr>
        <w:fldChar w:fldCharType="begin" w:fldLock="1"/>
      </w:r>
      <w:r w:rsidR="003D65E2">
        <w:rPr>
          <w:lang w:val="en-GB"/>
        </w:rPr>
        <w:instrText>ADDIN CSL_CITATION {"citationItems":[{"id":"ITEM-1","itemData":{"DOI":"10.1016/j.ijpharm.2017.02.028","ISSN":"0378-5173","author":[{"dropping-particle":"","family":"Willecke","given":"N","non-dropping-particle":"","parse-names":false,"suffix":""},{"dropping-particle":"","family":"Szepes","given":"A","non-dropping-particle":"","parse-names":false,"suffix":""},{"dropping-particle":"","family":"Wunderlich","given":"M","non-dropping-particle":"","parse-names":false,"suffix":""},{"dropping-particle":"","family":"Remon","given":"J P","non-dropping-particle":"","parse-names":false,"suffix":""},{"dropping-particle":"","family":"Vervaet","given":"C","non-dropping-particle":"","parse-names":false,"suffix":""},{"dropping-particle":"De","family":"Beer","given":"T","non-dropping-particle":"","parse-names":false,"suffix":""}],"container-title":"International Journal of Pharmaceutics","id":"ITEM-1","issue":"1-2","issued":{"date-parts":[["2017"]]},"page":"234-247","publisher":"Elsevier B.V.","title":"Identifying overarching excipient properties towards an in-depth understanding of process and product performance for continuous twin-screw wet granulation","type":"article-journal","volume":"522"},"uris":["http://www.mendeley.com/documents/?uuid=787b81fa-5486-4425-93a6-c7537b5919e7"]}],"mendeley":{"formattedCitation":"(Willecke et al., 2017)","plainTextFormattedCitation":"(Willecke et al., 2017)","previouslyFormattedCitation":"[20]"},"properties":{"noteIndex":0},"schema":"https://github.com/citation-style-language/schema/raw/master/csl-citation.json"}</w:instrText>
      </w:r>
      <w:r w:rsidRPr="009B5335">
        <w:rPr>
          <w:lang w:val="en-GB"/>
        </w:rPr>
        <w:fldChar w:fldCharType="separate"/>
      </w:r>
      <w:r w:rsidR="003D65E2" w:rsidRPr="003D65E2">
        <w:rPr>
          <w:noProof/>
          <w:lang w:val="en-GB"/>
        </w:rPr>
        <w:t>(Willecke et al., 2017)</w:t>
      </w:r>
      <w:r w:rsidRPr="009B5335">
        <w:rPr>
          <w:lang w:val="en-US"/>
        </w:rPr>
        <w:fldChar w:fldCharType="end"/>
      </w:r>
      <w:r w:rsidRPr="009B5335">
        <w:rPr>
          <w:lang w:val="en-GB"/>
        </w:rPr>
        <w:t xml:space="preserve">. In the second part, different excipients were selected representing these overarching properties. Then, after granulation and tableting experiments, the influence of </w:t>
      </w:r>
      <w:r>
        <w:rPr>
          <w:lang w:val="en-GB"/>
        </w:rPr>
        <w:t xml:space="preserve">the </w:t>
      </w:r>
      <w:r w:rsidRPr="009B5335">
        <w:rPr>
          <w:lang w:val="en-GB"/>
        </w:rPr>
        <w:t>overarching properties</w:t>
      </w:r>
      <w:r>
        <w:rPr>
          <w:lang w:val="en-GB"/>
        </w:rPr>
        <w:t xml:space="preserve"> of</w:t>
      </w:r>
      <w:r w:rsidRPr="009B5335">
        <w:rPr>
          <w:lang w:val="en-GB"/>
        </w:rPr>
        <w:t xml:space="preserve"> binder and filler upon granule and tablet quality was studied </w:t>
      </w:r>
      <w:r w:rsidRPr="009B5335">
        <w:rPr>
          <w:lang w:val="en-GB"/>
        </w:rPr>
        <w:fldChar w:fldCharType="begin" w:fldLock="1"/>
      </w:r>
      <w:r w:rsidR="003D65E2">
        <w:rPr>
          <w:lang w:val="en-GB"/>
        </w:rPr>
        <w:instrText>ADDIN CSL_CITATION {"citationItems":[{"id":"ITEM-1","itemData":{"DOI":"10.1016/j.ijpharm.2018.04.017","ISSN":"0378-5173","author":[{"dropping-particle":"","family":"Willecke","given":"N","non-dropping-particle":"","parse-names":false,"suffix":""},{"dropping-particle":"","family":"Szepes","given":"A","non-dropping-particle":"","parse-names":false,"suffix":""},{"dropping-particle":"","family":"Wunderlich","given":"M","non-dropping-particle":"","parse-names":false,"suffix":""},{"dropping-particle":"","family":"Remon","given":"J P","non-dropping-particle":"","parse-names":false,"suffix":""},{"dropping-particle":"","family":"Vervaet","given":"C","non-dropping-particle":"","parse-names":false,"suffix":""},{"dropping-particle":"De","family":"Beer","given":"T","non-dropping-particle":"","parse-names":false,"suffix":""}],"container-title":"International Journal of Pharmaceutics","id":"ITEM-1","issue":"1-2","issued":{"date-parts":[["2018"]]},"page":"128-143","publisher":"Elsevier","title":"A novel approach to support formulation design on twin screw wet granulation technology : Understanding the impact of overarching excipient properties on drug product quality attributes","type":"article-journal","volume":"545"},"uris":["http://www.mendeley.com/documents/?uuid=22befac9-e4cf-4aed-9bd1-73049764e721"]}],"mendeley":{"formattedCitation":"(Willecke et al., 2018)","plainTextFormattedCitation":"(Willecke et al., 2018)","previouslyFormattedCitation":"[21]"},"properties":{"noteIndex":0},"schema":"https://github.com/citation-style-language/schema/raw/master/csl-citation.json"}</w:instrText>
      </w:r>
      <w:r w:rsidRPr="009B5335">
        <w:rPr>
          <w:lang w:val="en-GB"/>
        </w:rPr>
        <w:fldChar w:fldCharType="separate"/>
      </w:r>
      <w:r w:rsidR="003D65E2" w:rsidRPr="003D65E2">
        <w:rPr>
          <w:noProof/>
          <w:lang w:val="en-GB"/>
        </w:rPr>
        <w:t>(Willecke et al., 2018)</w:t>
      </w:r>
      <w:r w:rsidRPr="009B5335">
        <w:rPr>
          <w:lang w:val="en-US"/>
        </w:rPr>
        <w:fldChar w:fldCharType="end"/>
      </w:r>
      <w:r w:rsidRPr="009B5335">
        <w:rPr>
          <w:lang w:val="en-GB"/>
        </w:rPr>
        <w:t xml:space="preserve">. The impact of API properties on granule quality was however not investigated. More recently, Portier et al. </w:t>
      </w:r>
      <w:r w:rsidRPr="009B5335">
        <w:rPr>
          <w:lang w:val="en-GB"/>
        </w:rPr>
        <w:fldChar w:fldCharType="begin" w:fldLock="1"/>
      </w:r>
      <w:r w:rsidR="003D65E2">
        <w:rPr>
          <w:lang w:val="en-GB"/>
        </w:rPr>
        <w:instrText>ADDIN CSL_CITATION {"citationItems":[{"id":"ITEM-1","itemData":{"DOI":"10.1016/j.ijpharm.2019.119004","ISSN":"18733476","abstract":"Due to the numerous advantages over batch manufacturing, continuous manufacturing techniques such as twin screw wet granulation are rapidly gaining importance in pharmaceutical production. Since a large knowledge gap on the importance of formulation variables exists, this study systematically assessed the impact of different screw configurations and process settings on eight model formulations, varying in filler type, active pharmaceutical ingredient (API) characteristics and drug load. Although liquid to solid (L/S) ratio was the most influential variable for all formulations, also a large effect of the kneading element thickness was observed. Narrow kneading elements with a length to diameter ratio (L/D) of 1/6 had a significant detrimental effect on granule size, flow and strength compared to 1/4 L/D elements. The effects of kneading element distribution and barrel fill level were less pronounced. At low drug load, both filler types could be used to obtain granules with acceptable critical quality attributes (CQAs) for both APIs. Granulation at high drug load of the poorly soluble, poorly wettable API mebendazole proved challenging as it could not be processed using lactose as filler, in contrast to lactose/MCC. As formulations containing lactose/MCC as filler were less influenced by different screw configurations, process settings and API characteristics than formulations without MCC, lactose/MCC/HPMC was considered a promising platform formulation.","author":[{"dropping-particle":"","family":"Portier","given":"Christoph","non-dropping-particle":"","parse-names":false,"suffix":""},{"dropping-particle":"","family":"Pandelaere","given":"Kenny","non-dropping-particle":"","parse-names":false,"suffix":""},{"dropping-particle":"","family":"Delaet","given":"Urbain","non-dropping-particle":"","parse-names":false,"suffix":""},{"dropping-particle":"","family":"Vigh","given":"Tamas","non-dropping-particle":"","parse-names":false,"suffix":""},{"dropping-particle":"","family":"Pretoro","given":"Giustino","non-dropping-particle":"Di","parse-names":false,"suffix":""},{"dropping-particle":"","family":"Beer","given":"Thomas","non-dropping-particle":"De","parse-names":false,"suffix":""},{"dropping-particle":"","family":"Vervaet","given":"Chris","non-dropping-particle":"","parse-names":false,"suffix":""},{"dropping-particle":"","family":"Vanhoorne","given":"Valérie","non-dropping-particle":"","parse-names":false,"suffix":""}],"container-title":"International Journal of Pharmaceutics","id":"ITEM-1","issue":"December 2019","issued":{"date-parts":[["2020"]]},"page":"119004","publisher":"Elsevier","title":"Continuous twin screw granulation: A complex interplay between formulation properties, process settings and screw design","type":"article-journal","volume":"576"},"uris":["http://www.mendeley.com/documents/?uuid=f6b47079-e105-44a9-9e4e-b116f02ae03e"]}],"mendeley":{"formattedCitation":"(Portier et al., 2020b)","plainTextFormattedCitation":"(Portier et al., 2020b)","previouslyFormattedCitation":"[11]"},"properties":{"noteIndex":0},"schema":"https://github.com/citation-style-language/schema/raw/master/csl-citation.json"}</w:instrText>
      </w:r>
      <w:r w:rsidRPr="009B5335">
        <w:rPr>
          <w:lang w:val="en-GB"/>
        </w:rPr>
        <w:fldChar w:fldCharType="separate"/>
      </w:r>
      <w:r w:rsidR="003D65E2" w:rsidRPr="003D65E2">
        <w:rPr>
          <w:noProof/>
          <w:lang w:val="en-GB"/>
        </w:rPr>
        <w:t>(Portier et al., 2020b)</w:t>
      </w:r>
      <w:r w:rsidRPr="009B5335">
        <w:rPr>
          <w:lang w:val="en-US"/>
        </w:rPr>
        <w:fldChar w:fldCharType="end"/>
      </w:r>
      <w:r w:rsidRPr="009B5335">
        <w:rPr>
          <w:lang w:val="en-GB"/>
        </w:rPr>
        <w:t xml:space="preserve"> investigated the impact of granulation process settings and screw configuration on granulation behaviour of different formulations. These formulations varied in API content, API type and filler type (i.e., lactose or lactose/microcrystalline cellulose (MCC) (1:1)). The study showed that lactose in combination with MCC resulted in improved process robustness. For both the study of </w:t>
      </w:r>
      <w:proofErr w:type="spellStart"/>
      <w:r w:rsidRPr="009B5335">
        <w:rPr>
          <w:lang w:val="en-GB"/>
        </w:rPr>
        <w:t>Willecke</w:t>
      </w:r>
      <w:proofErr w:type="spellEnd"/>
      <w:r w:rsidRPr="009B5335">
        <w:rPr>
          <w:lang w:val="en-GB"/>
        </w:rPr>
        <w:t xml:space="preserve"> et al. and Portier et al., a one-on-one comparison of the granules’ CQAs of different formulations was unfortunately still impeded due to different L/S ratio</w:t>
      </w:r>
      <w:r>
        <w:rPr>
          <w:lang w:val="en-GB"/>
        </w:rPr>
        <w:t>s</w:t>
      </w:r>
      <w:r w:rsidRPr="009B5335">
        <w:rPr>
          <w:lang w:val="en-GB"/>
        </w:rPr>
        <w:t xml:space="preserve">. This shortcoming of aforementioned studies can be overcome </w:t>
      </w:r>
      <w:r>
        <w:rPr>
          <w:lang w:val="en-GB"/>
        </w:rPr>
        <w:t xml:space="preserve">using </w:t>
      </w:r>
      <w:r w:rsidRPr="009B5335">
        <w:rPr>
          <w:lang w:val="en-GB"/>
        </w:rPr>
        <w:t>T-shaped partial least squares (TPLS)</w:t>
      </w:r>
      <w:r>
        <w:rPr>
          <w:lang w:val="en-GB"/>
        </w:rPr>
        <w:t>, a method</w:t>
      </w:r>
      <w:r w:rsidRPr="009B5335">
        <w:rPr>
          <w:lang w:val="en-GB"/>
        </w:rPr>
        <w:t xml:space="preserve"> developed by Munoz et al. </w:t>
      </w:r>
      <w:r w:rsidRPr="009B5335">
        <w:rPr>
          <w:lang w:val="en-GB"/>
        </w:rPr>
        <w:fldChar w:fldCharType="begin" w:fldLock="1"/>
      </w:r>
      <w:r w:rsidR="003D65E2">
        <w:rPr>
          <w:lang w:val="en-GB"/>
        </w:rPr>
        <w:instrText>ADDIN CSL_CITATION {"citationItems":[{"id":"ITEM-1","itemData":{"DOI":"10.1016/j.chemolab.2014.02.006","ISSN":"01697439","abstract":"The challenge in the design of a new product or the troubleshooting of a manufacturing operation is to understand how the materials, the composition of the materials and the processing conditions affect the properties of the product. Two new methods (JRPLS and TPLS) are proposed to overcome the gaps in the current mixture modeling methods to simultaneously analyze data from multiple materials, their mixing ratios and processing conditions as to how they affect the quality of a product. Unlike the prior alternatives, the methods proposed here consider explicitly the physical properties of the raw materials, without the need of a linear weighted average estimation. A NIPALS-like algorithm is proposed to estimate the parameters of both models, and analytical expressions are derived for the JRPLS demonstrating that it reduces to the LPLS in the scenario of one material. The methods are illustrated with three industrial case studies involving the analysis of the manufacturing process for three different drug products. In all cases the JRPLS and TPLS methods enable the identification of key relationships between materials, process and products. © 2014 Elsevier B.V.","author":[{"dropping-particle":"","family":"Garcia-Munoz","given":"Salvador","non-dropping-particle":"","parse-names":false,"suffix":""}],"container-title":"Chemometrics and Intelligent Laboratory Systems","id":"ITEM-1","issued":{"date-parts":[["2014"]]},"page":"49-62","title":"Two novel methods to analyze the combined effect of multiple raw-materials and processing conditions on the product's final attributes: JRPLS and TPLS","type":"article-journal","volume":"133"},"uris":["http://www.mendeley.com/documents/?uuid=757a76aa-c9e5-4aca-ae5e-bff3548f666f"]}],"mendeley":{"formattedCitation":"(Garcia-Munoz, 2014)","plainTextFormattedCitation":"(Garcia-Munoz, 2014)","previouslyFormattedCitation":"[2]"},"properties":{"noteIndex":0},"schema":"https://github.com/citation-style-language/schema/raw/master/csl-citation.json"}</w:instrText>
      </w:r>
      <w:r w:rsidRPr="009B5335">
        <w:rPr>
          <w:lang w:val="en-GB"/>
        </w:rPr>
        <w:fldChar w:fldCharType="separate"/>
      </w:r>
      <w:r w:rsidR="003D65E2" w:rsidRPr="003D65E2">
        <w:rPr>
          <w:noProof/>
          <w:lang w:val="en-GB"/>
        </w:rPr>
        <w:t>(Garcia-Munoz, 2014)</w:t>
      </w:r>
      <w:r w:rsidRPr="009B5335">
        <w:rPr>
          <w:lang w:val="en-US"/>
        </w:rPr>
        <w:fldChar w:fldCharType="end"/>
      </w:r>
      <w:r w:rsidRPr="009B5335">
        <w:rPr>
          <w:lang w:val="en-GB"/>
        </w:rPr>
        <w:t>. TPLS allows to investigate the individual and combined effect of formulation and process parameters on granule quality. In a case study, the author was able to determine the most influencing process parameters and raw material properties upon dissolution time after encapsulation of granules. By understanding the lot-to-lot variability of the different ingredients, it was possible to selectively combine certain lots of the different ingredients</w:t>
      </w:r>
      <w:r>
        <w:rPr>
          <w:lang w:val="en-GB"/>
        </w:rPr>
        <w:t xml:space="preserve"> to minimize </w:t>
      </w:r>
      <w:r w:rsidRPr="009B5335">
        <w:rPr>
          <w:lang w:val="en-GB"/>
        </w:rPr>
        <w:t>the variability in final product quality.</w:t>
      </w:r>
    </w:p>
    <w:p w14:paraId="24DD28BE" w14:textId="77777777" w:rsidR="00EA7445" w:rsidRPr="009B5335" w:rsidRDefault="00EA7445" w:rsidP="0038497A">
      <w:pPr>
        <w:spacing w:line="240" w:lineRule="auto"/>
        <w:rPr>
          <w:lang w:val="en-GB"/>
        </w:rPr>
      </w:pPr>
      <w:r w:rsidRPr="009B5335">
        <w:rPr>
          <w:lang w:val="en-GB"/>
        </w:rPr>
        <w:lastRenderedPageBreak/>
        <w:t xml:space="preserve">TPLS, being a regression method, has also the ability to predict the product quality attributes for given raw material properties, blend ratio’s and process settings. Hence, the prediction of the optimal combination of formulation composition and twin-screw process parameters for a new API based on its critical material properties leading to desired granule quality attributes is possible. This is very beneficial as it could reduce the experimental effort, the consumption of the expensive API and the development time during early drug product development. </w:t>
      </w:r>
    </w:p>
    <w:p w14:paraId="5370D0F9" w14:textId="64B61637" w:rsidR="00EA7445" w:rsidRDefault="00EA7445" w:rsidP="0038497A">
      <w:pPr>
        <w:spacing w:line="240" w:lineRule="auto"/>
        <w:rPr>
          <w:lang w:val="en-GB"/>
        </w:rPr>
      </w:pPr>
      <w:r w:rsidRPr="009B5335">
        <w:rPr>
          <w:lang w:val="en-GB"/>
        </w:rPr>
        <w:t>The goal of current study was to better understand the link between raw material properties, formulation composition and process settings on granule quality attributes</w:t>
      </w:r>
      <w:r>
        <w:rPr>
          <w:lang w:val="en-GB"/>
        </w:rPr>
        <w:t>,</w:t>
      </w:r>
      <w:r w:rsidRPr="009B5335">
        <w:rPr>
          <w:lang w:val="en-GB"/>
        </w:rPr>
        <w:t xml:space="preserve"> and to develop a TPLS model allowing the </w:t>
      </w:r>
      <w:r w:rsidR="00FB47DD">
        <w:rPr>
          <w:lang w:val="en-GB"/>
        </w:rPr>
        <w:t>f</w:t>
      </w:r>
      <w:r w:rsidRPr="009B5335">
        <w:rPr>
          <w:lang w:val="en-GB"/>
        </w:rPr>
        <w:t>ormulation and twin-screw granulation process development for new APIs (with limited experimental efforts). The study consisted of three major parts. In the first part, a TPLS model was established for twin</w:t>
      </w:r>
      <w:r>
        <w:rPr>
          <w:lang w:val="en-GB"/>
        </w:rPr>
        <w:t>-</w:t>
      </w:r>
      <w:r w:rsidRPr="009B5335">
        <w:rPr>
          <w:lang w:val="en-GB"/>
        </w:rPr>
        <w:t>screw granulation. First, an extensive raw material database was developed by determining multiple raw material characteristics of excipients and APIs. Next, API</w:t>
      </w:r>
      <w:r>
        <w:rPr>
          <w:lang w:val="en-GB"/>
        </w:rPr>
        <w:t>s</w:t>
      </w:r>
      <w:r w:rsidRPr="009B5335">
        <w:rPr>
          <w:lang w:val="en-GB"/>
        </w:rPr>
        <w:t xml:space="preserve"> and excipients with varying raw material properties were selected based on PCA. Subsequently, these selected APIs</w:t>
      </w:r>
      <w:r>
        <w:rPr>
          <w:lang w:val="en-GB"/>
        </w:rPr>
        <w:t xml:space="preserve"> (10, 40 or 70 % API content)</w:t>
      </w:r>
      <w:r w:rsidRPr="009B5335">
        <w:rPr>
          <w:lang w:val="en-GB"/>
        </w:rPr>
        <w:t xml:space="preserve"> and excipients were combined to obtain very divergent powder mixtures for granulation experiments. Then, each powder mixture was granulated under different twin-screw granulation process settings followed by oven-drying. Finally, granule size, granule strength and granule flow were determined for all the different produced granules.</w:t>
      </w:r>
      <w:r>
        <w:rPr>
          <w:lang w:val="en-GB"/>
        </w:rPr>
        <w:t xml:space="preserve"> </w:t>
      </w:r>
      <w:r w:rsidRPr="009B5335">
        <w:rPr>
          <w:lang w:val="en-GB"/>
        </w:rPr>
        <w:t xml:space="preserve">In the second part of the study, a TPLS model was developed to understand the effect of the raw material properties and process parameters on granule quality attributes. In the third part of the study, the TPLS model was used to predict </w:t>
      </w:r>
      <w:r>
        <w:rPr>
          <w:lang w:val="en-GB"/>
        </w:rPr>
        <w:t>an</w:t>
      </w:r>
      <w:r w:rsidRPr="009B5335">
        <w:rPr>
          <w:lang w:val="en-GB"/>
        </w:rPr>
        <w:t xml:space="preserve"> optimal formulation composition and twin-screw granulation process settings for a new API based on its determined critical material properties. In this case-study, suitable formulation compositions and </w:t>
      </w:r>
      <w:r>
        <w:rPr>
          <w:lang w:val="en-GB"/>
        </w:rPr>
        <w:t>corresponding</w:t>
      </w:r>
      <w:r w:rsidRPr="009B5335">
        <w:rPr>
          <w:lang w:val="en-GB"/>
        </w:rPr>
        <w:t xml:space="preserve"> optimal process settings for three different API contents</w:t>
      </w:r>
      <w:r>
        <w:rPr>
          <w:lang w:val="en-GB"/>
        </w:rPr>
        <w:t xml:space="preserve"> were selected</w:t>
      </w:r>
      <w:r w:rsidRPr="009B5335">
        <w:rPr>
          <w:lang w:val="en-GB"/>
        </w:rPr>
        <w:t xml:space="preserve"> </w:t>
      </w:r>
      <w:r>
        <w:rPr>
          <w:lang w:val="en-GB"/>
        </w:rPr>
        <w:t xml:space="preserve">in order </w:t>
      </w:r>
      <w:r w:rsidRPr="009B5335">
        <w:rPr>
          <w:lang w:val="en-GB"/>
        </w:rPr>
        <w:t xml:space="preserve">to obtain granules with desired quality attributes. </w:t>
      </w:r>
      <w:r>
        <w:rPr>
          <w:lang w:val="en-GB"/>
        </w:rPr>
        <w:t>This approach could be very beneficial during the formulation and process development of new APIs as the availability of the API is then limited. A stepwise overview of the approach to develop the TPLS model is shown in Figure 1.</w:t>
      </w:r>
    </w:p>
    <w:p w14:paraId="6A99F3D3" w14:textId="77777777" w:rsidR="00EA7445" w:rsidRPr="009B5335" w:rsidRDefault="00EA7445" w:rsidP="0038497A">
      <w:pPr>
        <w:pStyle w:val="Kop1"/>
        <w:numPr>
          <w:ilvl w:val="0"/>
          <w:numId w:val="20"/>
        </w:numPr>
        <w:spacing w:line="240" w:lineRule="auto"/>
      </w:pPr>
      <w:r w:rsidRPr="009B5335">
        <w:t>Materials</w:t>
      </w:r>
    </w:p>
    <w:p w14:paraId="2F2BCF27" w14:textId="661D9798" w:rsidR="00EA7445" w:rsidRPr="009B5335" w:rsidRDefault="00EA7445" w:rsidP="0038497A">
      <w:pPr>
        <w:spacing w:line="240" w:lineRule="auto"/>
        <w:rPr>
          <w:lang w:val="en-GB"/>
        </w:rPr>
      </w:pPr>
      <w:r w:rsidRPr="009B5335">
        <w:rPr>
          <w:lang w:val="en-GB"/>
        </w:rPr>
        <w:t>15 different APIs, 9 fillers and 3 binders (</w:t>
      </w:r>
      <w:r>
        <w:rPr>
          <w:lang w:val="en-GB"/>
        </w:rPr>
        <w:t>T</w:t>
      </w:r>
      <w:r w:rsidRPr="009B5335">
        <w:rPr>
          <w:lang w:val="en-GB"/>
        </w:rPr>
        <w:t xml:space="preserve">able 1) that are intended for immediate release formulations were used in this study. The materials were purchased from Granules India (Hyderabad, India), BASF (Ludwigshafen, Germany), Siegfried </w:t>
      </w:r>
      <w:proofErr w:type="spellStart"/>
      <w:r w:rsidRPr="009B5335">
        <w:rPr>
          <w:lang w:val="en-GB"/>
        </w:rPr>
        <w:t>PharmaChemikalien</w:t>
      </w:r>
      <w:proofErr w:type="spellEnd"/>
      <w:r w:rsidRPr="009B5335">
        <w:rPr>
          <w:lang w:val="en-GB"/>
        </w:rPr>
        <w:t xml:space="preserve"> (Minden, Germany), </w:t>
      </w:r>
      <w:proofErr w:type="spellStart"/>
      <w:r w:rsidRPr="009B5335">
        <w:rPr>
          <w:lang w:val="en-GB"/>
        </w:rPr>
        <w:t>Utag</w:t>
      </w:r>
      <w:proofErr w:type="spellEnd"/>
      <w:r w:rsidRPr="009B5335">
        <w:rPr>
          <w:lang w:val="en-GB"/>
        </w:rPr>
        <w:t xml:space="preserve"> (Almere, The Netherlands), Polydrug Laboratories (</w:t>
      </w:r>
      <w:proofErr w:type="spellStart"/>
      <w:r w:rsidRPr="009B5335">
        <w:rPr>
          <w:lang w:val="en-GB"/>
        </w:rPr>
        <w:t>Ambernath</w:t>
      </w:r>
      <w:proofErr w:type="spellEnd"/>
      <w:r w:rsidRPr="009B5335">
        <w:rPr>
          <w:lang w:val="en-GB"/>
        </w:rPr>
        <w:t>, India), FARMHISPANIA (Barcelona, Spain), Mallinckrodt</w:t>
      </w:r>
      <w:r>
        <w:rPr>
          <w:lang w:val="en-GB"/>
        </w:rPr>
        <w:t xml:space="preserve"> </w:t>
      </w:r>
      <w:r w:rsidRPr="009B5335">
        <w:rPr>
          <w:lang w:val="en-GB"/>
        </w:rPr>
        <w:t xml:space="preserve">(Dublin, Ireland), The Dow Chemical Company (Midland, US), Ashland (Covington, US), </w:t>
      </w:r>
      <w:proofErr w:type="spellStart"/>
      <w:r w:rsidRPr="009B5335">
        <w:rPr>
          <w:lang w:val="en-GB"/>
        </w:rPr>
        <w:t>Meggle</w:t>
      </w:r>
      <w:proofErr w:type="spellEnd"/>
      <w:r w:rsidRPr="009B5335">
        <w:rPr>
          <w:lang w:val="en-GB"/>
        </w:rPr>
        <w:t xml:space="preserve"> (</w:t>
      </w:r>
      <w:proofErr w:type="spellStart"/>
      <w:r w:rsidRPr="009B5335">
        <w:rPr>
          <w:lang w:val="en-GB"/>
        </w:rPr>
        <w:t>Wasserburg</w:t>
      </w:r>
      <w:proofErr w:type="spellEnd"/>
      <w:r w:rsidRPr="009B5335">
        <w:rPr>
          <w:lang w:val="en-GB"/>
        </w:rPr>
        <w:t>, Germany), DFE Pharma (</w:t>
      </w:r>
      <w:proofErr w:type="spellStart"/>
      <w:r w:rsidRPr="009B5335">
        <w:rPr>
          <w:lang w:val="en-GB"/>
        </w:rPr>
        <w:t>Veghel</w:t>
      </w:r>
      <w:proofErr w:type="spellEnd"/>
      <w:r w:rsidRPr="009B5335">
        <w:rPr>
          <w:lang w:val="en-GB"/>
        </w:rPr>
        <w:t xml:space="preserve">, The Netherlands), FMC </w:t>
      </w:r>
      <w:proofErr w:type="spellStart"/>
      <w:r w:rsidRPr="009B5335">
        <w:rPr>
          <w:lang w:val="en-GB"/>
        </w:rPr>
        <w:t>BioPolymer</w:t>
      </w:r>
      <w:proofErr w:type="spellEnd"/>
      <w:r w:rsidRPr="009B5335">
        <w:rPr>
          <w:lang w:val="en-GB"/>
        </w:rPr>
        <w:t xml:space="preserve"> (Cork, Ireland), Cargill (Minneapolis, US), Roquette (</w:t>
      </w:r>
      <w:proofErr w:type="spellStart"/>
      <w:r w:rsidRPr="009B5335">
        <w:rPr>
          <w:lang w:val="en-GB"/>
        </w:rPr>
        <w:t>Lestrem</w:t>
      </w:r>
      <w:proofErr w:type="spellEnd"/>
      <w:r w:rsidRPr="009B5335">
        <w:rPr>
          <w:lang w:val="en-GB"/>
        </w:rPr>
        <w:t xml:space="preserve">, France) and Cargill (Minneapolis, US). An overview of the materials </w:t>
      </w:r>
      <w:r>
        <w:rPr>
          <w:lang w:val="en-GB"/>
        </w:rPr>
        <w:t>is</w:t>
      </w:r>
      <w:r w:rsidRPr="009B5335">
        <w:rPr>
          <w:lang w:val="en-GB"/>
        </w:rPr>
        <w:t xml:space="preserve"> shown in Table 1.</w:t>
      </w:r>
    </w:p>
    <w:p w14:paraId="0281C42A" w14:textId="77777777" w:rsidR="007411D3" w:rsidRDefault="00EA7445" w:rsidP="0038497A">
      <w:pPr>
        <w:pStyle w:val="Kop1"/>
        <w:numPr>
          <w:ilvl w:val="0"/>
          <w:numId w:val="20"/>
        </w:numPr>
        <w:spacing w:line="240" w:lineRule="auto"/>
      </w:pPr>
      <w:r w:rsidRPr="00B85BBA">
        <w:t xml:space="preserve">Methods </w:t>
      </w:r>
    </w:p>
    <w:p w14:paraId="477C76DF" w14:textId="5E7D2859" w:rsidR="00EA7445" w:rsidRPr="007411D3" w:rsidRDefault="00EA7445" w:rsidP="0038497A">
      <w:pPr>
        <w:pStyle w:val="Kop1"/>
        <w:numPr>
          <w:ilvl w:val="1"/>
          <w:numId w:val="20"/>
        </w:numPr>
        <w:spacing w:line="240" w:lineRule="auto"/>
      </w:pPr>
      <w:r w:rsidRPr="007411D3">
        <w:rPr>
          <w:caps w:val="0"/>
          <w:lang w:val="en-GB"/>
        </w:rPr>
        <w:t xml:space="preserve">Raw material property database </w:t>
      </w:r>
    </w:p>
    <w:p w14:paraId="0CE92B2C" w14:textId="77777777" w:rsidR="00EA7445" w:rsidRPr="009B5335" w:rsidRDefault="00EA7445" w:rsidP="0038497A">
      <w:pPr>
        <w:spacing w:line="240" w:lineRule="auto"/>
        <w:rPr>
          <w:lang w:val="en-GB"/>
        </w:rPr>
      </w:pPr>
      <w:r w:rsidRPr="009B5335">
        <w:rPr>
          <w:lang w:val="en-GB"/>
        </w:rPr>
        <w:t>The raw material property database consists of two parts. One part contains 39 physicochemical and solid state properties of the APIs and fillers</w:t>
      </w:r>
      <w:r>
        <w:rPr>
          <w:lang w:val="en-GB"/>
        </w:rPr>
        <w:t>, while the other</w:t>
      </w:r>
      <w:r w:rsidRPr="009B5335">
        <w:rPr>
          <w:lang w:val="en-GB"/>
        </w:rPr>
        <w:t xml:space="preserve"> part </w:t>
      </w:r>
      <w:r>
        <w:rPr>
          <w:lang w:val="en-GB"/>
        </w:rPr>
        <w:t>holds</w:t>
      </w:r>
      <w:r w:rsidRPr="009B5335">
        <w:rPr>
          <w:lang w:val="en-GB"/>
        </w:rPr>
        <w:t xml:space="preserve"> 9 properties of the 3 binders used in this study. </w:t>
      </w:r>
    </w:p>
    <w:p w14:paraId="6829E883"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lastRenderedPageBreak/>
        <w:t>APIs and fillers</w:t>
      </w:r>
    </w:p>
    <w:p w14:paraId="2AC9C5E7"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Laser diffraction</w:t>
      </w:r>
    </w:p>
    <w:p w14:paraId="19BA005E" w14:textId="77777777" w:rsidR="00EA7445" w:rsidRPr="009B5335" w:rsidRDefault="00EA7445" w:rsidP="0038497A">
      <w:pPr>
        <w:spacing w:line="240" w:lineRule="auto"/>
        <w:rPr>
          <w:lang w:val="en-GB"/>
        </w:rPr>
      </w:pPr>
      <w:r w:rsidRPr="009B5335">
        <w:rPr>
          <w:lang w:val="en-GB"/>
        </w:rPr>
        <w:t>Laser diffraction (</w:t>
      </w:r>
      <w:proofErr w:type="spellStart"/>
      <w:r w:rsidRPr="009B5335">
        <w:rPr>
          <w:lang w:val="en-GB"/>
        </w:rPr>
        <w:t>Mastersizer</w:t>
      </w:r>
      <w:proofErr w:type="spellEnd"/>
      <w:r w:rsidRPr="009B5335">
        <w:rPr>
          <w:lang w:val="en-GB"/>
        </w:rPr>
        <w:t xml:space="preserve"> 2000, Malvern Instruments, Worcestershire, UK) was used via a dry dispersion method to measure a volume-based particle size distribution. Powder was fed towards a 550 RF lens at a rate of 3.0 G, using a standard jet pressure of 2.0 bar. Each powder was measured in triplicate and analysed by the </w:t>
      </w:r>
      <w:proofErr w:type="spellStart"/>
      <w:r w:rsidRPr="009B5335">
        <w:rPr>
          <w:lang w:val="en-GB"/>
        </w:rPr>
        <w:t>Mastersizer</w:t>
      </w:r>
      <w:proofErr w:type="spellEnd"/>
      <w:r w:rsidRPr="009B5335">
        <w:rPr>
          <w:lang w:val="en-GB"/>
        </w:rPr>
        <w:t xml:space="preserve"> 2000 software. The 10</w:t>
      </w:r>
      <w:r>
        <w:rPr>
          <w:lang w:val="en-GB"/>
        </w:rPr>
        <w:t xml:space="preserve"> </w:t>
      </w:r>
      <w:r w:rsidRPr="009B5335">
        <w:rPr>
          <w:lang w:val="en-GB"/>
        </w:rPr>
        <w:t>%, 50</w:t>
      </w:r>
      <w:r>
        <w:rPr>
          <w:lang w:val="en-GB"/>
        </w:rPr>
        <w:t xml:space="preserve"> </w:t>
      </w:r>
      <w:r w:rsidRPr="009B5335">
        <w:rPr>
          <w:lang w:val="en-GB"/>
        </w:rPr>
        <w:t>% and 90</w:t>
      </w:r>
      <w:r>
        <w:rPr>
          <w:lang w:val="en-GB"/>
        </w:rPr>
        <w:t xml:space="preserve"> </w:t>
      </w:r>
      <w:r w:rsidRPr="009B5335">
        <w:rPr>
          <w:lang w:val="en-GB"/>
        </w:rPr>
        <w:t xml:space="preserve">% cumulative undersize fraction of the </w:t>
      </w:r>
      <w:r>
        <w:rPr>
          <w:lang w:val="en-GB"/>
        </w:rPr>
        <w:t xml:space="preserve">size distribution were </w:t>
      </w:r>
      <w:r w:rsidRPr="009B5335">
        <w:rPr>
          <w:lang w:val="en-GB"/>
        </w:rPr>
        <w:t xml:space="preserve">reported by d10, d50 and d90, respectively. </w:t>
      </w:r>
    </w:p>
    <w:p w14:paraId="0FACDAA3"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Bulk and tapped density</w:t>
      </w:r>
    </w:p>
    <w:p w14:paraId="754C5370" w14:textId="384CE198" w:rsidR="00EA7445" w:rsidRPr="009B5335" w:rsidRDefault="00EA7445" w:rsidP="0038497A">
      <w:pPr>
        <w:spacing w:line="240" w:lineRule="auto"/>
        <w:rPr>
          <w:lang w:val="en-GB"/>
        </w:rPr>
      </w:pPr>
      <w:r w:rsidRPr="009B5335">
        <w:rPr>
          <w:lang w:val="en-GB"/>
        </w:rPr>
        <w:t>A known mass ([m] = g) of each powder was poured into a 250 mL graduated cylinder to record the bulk volume ([</w:t>
      </w:r>
      <w:proofErr w:type="spellStart"/>
      <w:r w:rsidRPr="009B5335">
        <w:rPr>
          <w:lang w:val="en-GB"/>
        </w:rPr>
        <w:t>V</w:t>
      </w:r>
      <w:r w:rsidRPr="009B5335">
        <w:rPr>
          <w:vertAlign w:val="subscript"/>
          <w:lang w:val="en-GB"/>
        </w:rPr>
        <w:t>b</w:t>
      </w:r>
      <w:proofErr w:type="spellEnd"/>
      <w:r w:rsidRPr="009B5335">
        <w:rPr>
          <w:lang w:val="en-GB"/>
        </w:rPr>
        <w:t xml:space="preserve">] = ml). Consequently, the graduated cylinder was tapped 1250 times using a tapping machine (J. </w:t>
      </w:r>
      <w:proofErr w:type="spellStart"/>
      <w:r w:rsidRPr="009B5335">
        <w:rPr>
          <w:lang w:val="en-GB"/>
        </w:rPr>
        <w:t>Eng</w:t>
      </w:r>
      <w:r>
        <w:rPr>
          <w:lang w:val="en-GB"/>
        </w:rPr>
        <w:t>el</w:t>
      </w:r>
      <w:r w:rsidRPr="009B5335">
        <w:rPr>
          <w:lang w:val="en-GB"/>
        </w:rPr>
        <w:t>sman</w:t>
      </w:r>
      <w:proofErr w:type="spellEnd"/>
      <w:r w:rsidRPr="009B5335">
        <w:rPr>
          <w:lang w:val="en-GB"/>
        </w:rPr>
        <w:t>, Ludwigshafen, Germany) to record the tapped volume ([V</w:t>
      </w:r>
      <w:r w:rsidRPr="009B5335">
        <w:rPr>
          <w:vertAlign w:val="subscript"/>
          <w:lang w:val="en-GB"/>
        </w:rPr>
        <w:t>t</w:t>
      </w:r>
      <w:r w:rsidRPr="009B5335">
        <w:rPr>
          <w:lang w:val="en-GB"/>
        </w:rPr>
        <w:t>] = mL). Bulk ([</w:t>
      </w:r>
      <m:oMath>
        <m:sSub>
          <m:sSubPr>
            <m:ctrlPr>
              <w:rPr>
                <w:rFonts w:ascii="Cambria Math" w:hAnsi="Cambria Math"/>
                <w:i/>
              </w:rPr>
            </m:ctrlPr>
          </m:sSubPr>
          <m:e>
            <m:r>
              <m:rPr>
                <m:nor/>
              </m:rPr>
              <w:rPr>
                <w:i/>
              </w:rPr>
              <m:t>ρ</m:t>
            </m:r>
          </m:e>
          <m:sub>
            <m:r>
              <m:rPr>
                <m:nor/>
              </m:rPr>
              <w:rPr>
                <w:i/>
                <w:lang w:val="en-GB"/>
              </w:rPr>
              <m:t>b</m:t>
            </m:r>
          </m:sub>
        </m:sSub>
      </m:oMath>
      <w:r w:rsidRPr="009B5335">
        <w:rPr>
          <w:lang w:val="en-GB"/>
        </w:rPr>
        <w:t>] = g/mL) and tapped ([</w:t>
      </w:r>
      <m:oMath>
        <m:sSub>
          <m:sSubPr>
            <m:ctrlPr>
              <w:rPr>
                <w:rFonts w:ascii="Cambria Math" w:hAnsi="Cambria Math"/>
                <w:i/>
              </w:rPr>
            </m:ctrlPr>
          </m:sSubPr>
          <m:e>
            <m:r>
              <m:rPr>
                <m:nor/>
              </m:rPr>
              <w:rPr>
                <w:i/>
              </w:rPr>
              <m:t>ρ</m:t>
            </m:r>
          </m:e>
          <m:sub>
            <m:r>
              <m:rPr>
                <m:nor/>
              </m:rPr>
              <w:rPr>
                <w:i/>
                <w:lang w:val="en-GB"/>
              </w:rPr>
              <m:t>t</m:t>
            </m:r>
          </m:sub>
        </m:sSub>
      </m:oMath>
      <w:r w:rsidRPr="009B5335">
        <w:rPr>
          <w:lang w:val="en-GB"/>
        </w:rPr>
        <w:t xml:space="preserve">] = g/mL) density </w:t>
      </w:r>
      <w:r>
        <w:rPr>
          <w:lang w:val="en-GB"/>
        </w:rPr>
        <w:t>were</w:t>
      </w:r>
      <w:r w:rsidRPr="009B5335">
        <w:rPr>
          <w:lang w:val="en-GB"/>
        </w:rPr>
        <w:t xml:space="preserve"> calculated by </w:t>
      </w:r>
      <w:r>
        <w:rPr>
          <w:lang w:val="en-GB"/>
        </w:rPr>
        <w:t>E</w:t>
      </w:r>
      <w:r w:rsidRPr="009B5335">
        <w:rPr>
          <w:lang w:val="en-GB"/>
        </w:rPr>
        <w:t xml:space="preserve">quation and 1 and 2 , respectively. </w:t>
      </w:r>
      <w:bookmarkStart w:id="1" w:name="_Hlk25673874"/>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EA7445" w:rsidRPr="009B5335" w14:paraId="21D171E5" w14:textId="77777777" w:rsidTr="00EA7445">
        <w:tc>
          <w:tcPr>
            <w:tcW w:w="704" w:type="dxa"/>
          </w:tcPr>
          <w:p w14:paraId="0C29E0AF" w14:textId="77777777" w:rsidR="00EA7445" w:rsidRPr="009B5335" w:rsidRDefault="00EA7445" w:rsidP="0038497A">
            <w:pPr>
              <w:spacing w:line="240" w:lineRule="auto"/>
              <w:rPr>
                <w:lang w:val="en-GB"/>
              </w:rPr>
            </w:pPr>
          </w:p>
        </w:tc>
        <w:tc>
          <w:tcPr>
            <w:tcW w:w="7655" w:type="dxa"/>
          </w:tcPr>
          <w:p w14:paraId="3D9D49C1" w14:textId="77777777" w:rsidR="00EA7445" w:rsidRPr="009B5335" w:rsidRDefault="00A7736B" w:rsidP="0038497A">
            <w:pPr>
              <w:spacing w:line="240" w:lineRule="auto"/>
              <w:rPr>
                <w:lang w:val="en-GB"/>
              </w:rPr>
            </w:pPr>
            <m:oMathPara>
              <m:oMath>
                <m:sSub>
                  <m:sSubPr>
                    <m:ctrlPr>
                      <w:rPr>
                        <w:rFonts w:ascii="Cambria Math" w:hAnsi="Cambria Math"/>
                        <w:i/>
                      </w:rPr>
                    </m:ctrlPr>
                  </m:sSubPr>
                  <m:e>
                    <m:r>
                      <m:rPr>
                        <m:nor/>
                      </m:rPr>
                      <w:rPr>
                        <w:i/>
                      </w:rPr>
                      <m:t>ρ</m:t>
                    </m:r>
                  </m:e>
                  <m:sub>
                    <m:r>
                      <m:rPr>
                        <m:nor/>
                      </m:rPr>
                      <w:rPr>
                        <w:i/>
                        <w:lang w:val="en-GB"/>
                      </w:rPr>
                      <m:t>b</m:t>
                    </m:r>
                  </m:sub>
                </m:sSub>
                <m:r>
                  <m:rPr>
                    <m:nor/>
                  </m:rPr>
                  <w:rPr>
                    <w:i/>
                    <w:lang w:val="en-GB"/>
                  </w:rPr>
                  <m:t>=</m:t>
                </m:r>
                <m:f>
                  <m:fPr>
                    <m:ctrlPr>
                      <w:rPr>
                        <w:rFonts w:ascii="Cambria Math" w:hAnsi="Cambria Math"/>
                        <w:i/>
                      </w:rPr>
                    </m:ctrlPr>
                  </m:fPr>
                  <m:num>
                    <m:r>
                      <m:rPr>
                        <m:nor/>
                      </m:rPr>
                      <w:rPr>
                        <w:i/>
                        <w:lang w:val="en-GB"/>
                      </w:rPr>
                      <m:t>m</m:t>
                    </m:r>
                  </m:num>
                  <m:den>
                    <m:sSub>
                      <m:sSubPr>
                        <m:ctrlPr>
                          <w:rPr>
                            <w:rFonts w:ascii="Cambria Math" w:hAnsi="Cambria Math"/>
                            <w:i/>
                          </w:rPr>
                        </m:ctrlPr>
                      </m:sSubPr>
                      <m:e>
                        <m:r>
                          <m:rPr>
                            <m:nor/>
                          </m:rPr>
                          <w:rPr>
                            <w:i/>
                            <w:lang w:val="en-GB"/>
                          </w:rPr>
                          <m:t>V</m:t>
                        </m:r>
                      </m:e>
                      <m:sub>
                        <m:r>
                          <m:rPr>
                            <m:nor/>
                          </m:rPr>
                          <w:rPr>
                            <w:i/>
                            <w:lang w:val="en-GB"/>
                          </w:rPr>
                          <m:t>b</m:t>
                        </m:r>
                      </m:sub>
                    </m:sSub>
                  </m:den>
                </m:f>
              </m:oMath>
            </m:oMathPara>
          </w:p>
        </w:tc>
        <w:tc>
          <w:tcPr>
            <w:tcW w:w="703" w:type="dxa"/>
          </w:tcPr>
          <w:p w14:paraId="56234315" w14:textId="125565AE" w:rsidR="00EA7445" w:rsidRPr="009B5335" w:rsidRDefault="00EA7445" w:rsidP="0038497A">
            <w:pPr>
              <w:spacing w:line="240" w:lineRule="auto"/>
              <w:rPr>
                <w:lang w:val="en-GB"/>
              </w:rPr>
            </w:pPr>
            <w:r w:rsidRPr="009B5335">
              <w:rPr>
                <w:lang w:val="en-GB"/>
              </w:rPr>
              <w:t>[</w:t>
            </w:r>
            <w:r>
              <w:rPr>
                <w:lang w:val="en-GB"/>
              </w:rPr>
              <w:t>1</w:t>
            </w:r>
            <w:r w:rsidRPr="009B5335">
              <w:rPr>
                <w:lang w:val="en-GB"/>
              </w:rPr>
              <w:t>]</w:t>
            </w:r>
          </w:p>
        </w:tc>
      </w:tr>
      <w:tr w:rsidR="00EA7445" w:rsidRPr="009B5335" w14:paraId="3AFCF7AA" w14:textId="77777777" w:rsidTr="00EA7445">
        <w:tc>
          <w:tcPr>
            <w:tcW w:w="704" w:type="dxa"/>
          </w:tcPr>
          <w:p w14:paraId="7B0B1BEE" w14:textId="77777777" w:rsidR="00EA7445" w:rsidRPr="009B5335" w:rsidRDefault="00EA7445" w:rsidP="0038497A">
            <w:pPr>
              <w:spacing w:line="240" w:lineRule="auto"/>
              <w:rPr>
                <w:lang w:val="en-GB"/>
              </w:rPr>
            </w:pPr>
          </w:p>
        </w:tc>
        <w:tc>
          <w:tcPr>
            <w:tcW w:w="7655" w:type="dxa"/>
          </w:tcPr>
          <w:p w14:paraId="743B6D13" w14:textId="77777777" w:rsidR="00EA7445" w:rsidRPr="009B5335" w:rsidRDefault="00A7736B" w:rsidP="0038497A">
            <w:pPr>
              <w:spacing w:line="240" w:lineRule="auto"/>
              <w:rPr>
                <w:lang w:val="en-GB"/>
              </w:rPr>
            </w:pPr>
            <m:oMathPara>
              <m:oMath>
                <m:sSub>
                  <m:sSubPr>
                    <m:ctrlPr>
                      <w:rPr>
                        <w:rFonts w:ascii="Cambria Math" w:hAnsi="Cambria Math"/>
                        <w:i/>
                      </w:rPr>
                    </m:ctrlPr>
                  </m:sSubPr>
                  <m:e>
                    <m:r>
                      <m:rPr>
                        <m:nor/>
                      </m:rPr>
                      <w:rPr>
                        <w:i/>
                      </w:rPr>
                      <m:t>ρ</m:t>
                    </m:r>
                  </m:e>
                  <m:sub>
                    <m:r>
                      <m:rPr>
                        <m:nor/>
                      </m:rPr>
                      <w:rPr>
                        <w:i/>
                        <w:lang w:val="fr-FR"/>
                      </w:rPr>
                      <m:t>t</m:t>
                    </m:r>
                  </m:sub>
                </m:sSub>
                <m:r>
                  <m:rPr>
                    <m:nor/>
                  </m:rPr>
                  <w:rPr>
                    <w:i/>
                    <w:lang w:val="fr-FR"/>
                  </w:rPr>
                  <m:t>=</m:t>
                </m:r>
                <m:f>
                  <m:fPr>
                    <m:ctrlPr>
                      <w:rPr>
                        <w:rFonts w:ascii="Cambria Math" w:hAnsi="Cambria Math"/>
                        <w:i/>
                      </w:rPr>
                    </m:ctrlPr>
                  </m:fPr>
                  <m:num>
                    <m:r>
                      <m:rPr>
                        <m:nor/>
                      </m:rPr>
                      <w:rPr>
                        <w:i/>
                        <w:lang w:val="fr-FR"/>
                      </w:rPr>
                      <m:t>m</m:t>
                    </m:r>
                  </m:num>
                  <m:den>
                    <m:sSub>
                      <m:sSubPr>
                        <m:ctrlPr>
                          <w:rPr>
                            <w:rFonts w:ascii="Cambria Math" w:hAnsi="Cambria Math"/>
                            <w:i/>
                          </w:rPr>
                        </m:ctrlPr>
                      </m:sSubPr>
                      <m:e>
                        <m:r>
                          <m:rPr>
                            <m:nor/>
                          </m:rPr>
                          <w:rPr>
                            <w:i/>
                            <w:lang w:val="fr-FR"/>
                          </w:rPr>
                          <m:t>V</m:t>
                        </m:r>
                      </m:e>
                      <m:sub>
                        <m:r>
                          <m:rPr>
                            <m:nor/>
                          </m:rPr>
                          <w:rPr>
                            <w:i/>
                            <w:lang w:val="fr-FR"/>
                          </w:rPr>
                          <m:t>t</m:t>
                        </m:r>
                      </m:sub>
                    </m:sSub>
                  </m:den>
                </m:f>
              </m:oMath>
            </m:oMathPara>
          </w:p>
        </w:tc>
        <w:tc>
          <w:tcPr>
            <w:tcW w:w="703" w:type="dxa"/>
          </w:tcPr>
          <w:p w14:paraId="26D4563C" w14:textId="090FC0A4" w:rsidR="00EA7445" w:rsidRPr="009B5335" w:rsidRDefault="00EA7445" w:rsidP="0038497A">
            <w:pPr>
              <w:spacing w:line="240" w:lineRule="auto"/>
              <w:rPr>
                <w:lang w:val="en-GB"/>
              </w:rPr>
            </w:pPr>
            <w:r w:rsidRPr="009B5335">
              <w:rPr>
                <w:lang w:val="en-GB"/>
              </w:rPr>
              <w:t>[</w:t>
            </w:r>
            <w:r>
              <w:rPr>
                <w:lang w:val="en-GB"/>
              </w:rPr>
              <w:t>2</w:t>
            </w:r>
            <w:r w:rsidRPr="009B5335">
              <w:rPr>
                <w:lang w:val="en-GB"/>
              </w:rPr>
              <w:t>]</w:t>
            </w:r>
          </w:p>
        </w:tc>
      </w:tr>
    </w:tbl>
    <w:bookmarkEnd w:id="1"/>
    <w:p w14:paraId="15B6139F"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True density and porosity</w:t>
      </w:r>
    </w:p>
    <w:p w14:paraId="051B6C98" w14:textId="08B2BAAA" w:rsidR="00EA7445" w:rsidRPr="009B5335" w:rsidRDefault="00EA7445" w:rsidP="0038497A">
      <w:pPr>
        <w:spacing w:line="240" w:lineRule="auto"/>
        <w:rPr>
          <w:lang w:val="en-GB"/>
        </w:rPr>
      </w:pPr>
      <w:r w:rsidRPr="009B5335">
        <w:rPr>
          <w:lang w:val="en-GB"/>
        </w:rPr>
        <w:t xml:space="preserve">An </w:t>
      </w:r>
      <w:proofErr w:type="spellStart"/>
      <w:r w:rsidRPr="009B5335">
        <w:rPr>
          <w:lang w:val="en-GB"/>
        </w:rPr>
        <w:t>AccuPyc</w:t>
      </w:r>
      <w:proofErr w:type="spellEnd"/>
      <w:r w:rsidRPr="009B5335">
        <w:rPr>
          <w:lang w:val="en-GB"/>
        </w:rPr>
        <w:t xml:space="preserve"> 1330 helium pycnometer (Micromeritics, Norcross, GA, USA) was used to measure true density ([</w:t>
      </w:r>
      <w:proofErr w:type="spellStart"/>
      <w:r w:rsidRPr="009B5335">
        <w:rPr>
          <w:lang w:val="en-GB"/>
        </w:rPr>
        <w:t>ρ</w:t>
      </w:r>
      <w:r w:rsidRPr="009B5335">
        <w:rPr>
          <w:vertAlign w:val="subscript"/>
          <w:lang w:val="en-GB"/>
        </w:rPr>
        <w:t>true</w:t>
      </w:r>
      <w:proofErr w:type="spellEnd"/>
      <w:r w:rsidRPr="009B5335">
        <w:rPr>
          <w:lang w:val="en-GB"/>
        </w:rPr>
        <w:t xml:space="preserve">] = g/ml) of each powder. The equilibration rate was set at 0.0050 </w:t>
      </w:r>
      <w:proofErr w:type="spellStart"/>
      <w:r w:rsidRPr="009B5335">
        <w:rPr>
          <w:lang w:val="en-GB"/>
        </w:rPr>
        <w:t>psig</w:t>
      </w:r>
      <w:proofErr w:type="spellEnd"/>
      <w:r w:rsidRPr="009B5335">
        <w:rPr>
          <w:lang w:val="en-GB"/>
        </w:rPr>
        <w:t xml:space="preserve">/min and 10 purges were performed for each test. Each powder was measured in duplicate. Powder bed porosity (ε, dimensionless) was calculated using </w:t>
      </w:r>
      <w:r w:rsidR="001A142E">
        <w:rPr>
          <w:lang w:val="en-GB"/>
        </w:rPr>
        <w:t>E</w:t>
      </w:r>
      <w:r w:rsidRPr="009B5335">
        <w:rPr>
          <w:lang w:val="en-GB"/>
        </w:rPr>
        <w:t>quation 3.</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EA7445" w:rsidRPr="009B5335" w14:paraId="61615761" w14:textId="77777777" w:rsidTr="00EA7445">
        <w:tc>
          <w:tcPr>
            <w:tcW w:w="704" w:type="dxa"/>
          </w:tcPr>
          <w:p w14:paraId="0821AEAE" w14:textId="77777777" w:rsidR="00EA7445" w:rsidRPr="009B5335" w:rsidRDefault="00EA7445" w:rsidP="0038497A">
            <w:pPr>
              <w:spacing w:line="240" w:lineRule="auto"/>
              <w:rPr>
                <w:lang w:val="en-GB"/>
              </w:rPr>
            </w:pPr>
          </w:p>
        </w:tc>
        <w:tc>
          <w:tcPr>
            <w:tcW w:w="7655" w:type="dxa"/>
          </w:tcPr>
          <w:p w14:paraId="0F370A2D" w14:textId="77777777" w:rsidR="00EA7445" w:rsidRPr="009B5335" w:rsidRDefault="00EA7445" w:rsidP="0038497A">
            <w:pPr>
              <w:spacing w:line="240" w:lineRule="auto"/>
              <w:rPr>
                <w:lang w:val="en-GB"/>
              </w:rPr>
            </w:pPr>
            <w:bookmarkStart w:id="2" w:name="_Hlk50382185"/>
            <m:oMathPara>
              <m:oMath>
                <m:r>
                  <w:rPr>
                    <w:rFonts w:ascii="Cambria Math" w:hAnsi="Cambria Math"/>
                    <w:lang w:val="en-GB"/>
                  </w:rPr>
                  <m:t xml:space="preserve">ε=1- </m:t>
                </m:r>
                <m:f>
                  <m:fPr>
                    <m:ctrlPr>
                      <w:rPr>
                        <w:rFonts w:ascii="Cambria Math" w:hAnsi="Cambria Math"/>
                        <w:i/>
                        <w:lang w:val="en-GB"/>
                      </w:rPr>
                    </m:ctrlPr>
                  </m:fPr>
                  <m:num>
                    <m:sSub>
                      <m:sSubPr>
                        <m:ctrlPr>
                          <w:rPr>
                            <w:rFonts w:ascii="Cambria Math" w:hAnsi="Cambria Math"/>
                            <w:i/>
                          </w:rPr>
                        </m:ctrlPr>
                      </m:sSubPr>
                      <m:e>
                        <m:r>
                          <m:rPr>
                            <m:nor/>
                          </m:rPr>
                          <w:rPr>
                            <w:i/>
                          </w:rPr>
                          <m:t>ρ</m:t>
                        </m:r>
                      </m:e>
                      <m:sub>
                        <m:r>
                          <m:rPr>
                            <m:nor/>
                          </m:rPr>
                          <w:rPr>
                            <w:i/>
                            <w:lang w:val="en-GB"/>
                          </w:rPr>
                          <m:t>b</m:t>
                        </m:r>
                      </m:sub>
                    </m:sSub>
                  </m:num>
                  <m:den>
                    <m:sSub>
                      <m:sSubPr>
                        <m:ctrlPr>
                          <w:rPr>
                            <w:rFonts w:ascii="Cambria Math" w:hAnsi="Cambria Math"/>
                            <w:i/>
                          </w:rPr>
                        </m:ctrlPr>
                      </m:sSubPr>
                      <m:e>
                        <m:r>
                          <m:rPr>
                            <m:nor/>
                          </m:rPr>
                          <w:rPr>
                            <w:i/>
                          </w:rPr>
                          <m:t>ρ</m:t>
                        </m:r>
                      </m:e>
                      <m:sub>
                        <m:r>
                          <m:rPr>
                            <m:nor/>
                          </m:rPr>
                          <w:rPr>
                            <w:i/>
                            <w:lang w:val="en-GB"/>
                          </w:rPr>
                          <m:t>true</m:t>
                        </m:r>
                      </m:sub>
                    </m:sSub>
                  </m:den>
                </m:f>
              </m:oMath>
            </m:oMathPara>
            <w:bookmarkEnd w:id="2"/>
          </w:p>
        </w:tc>
        <w:tc>
          <w:tcPr>
            <w:tcW w:w="703" w:type="dxa"/>
          </w:tcPr>
          <w:p w14:paraId="4D8E2655" w14:textId="00F356B9" w:rsidR="00EA7445" w:rsidRPr="009B5335" w:rsidRDefault="00EA7445" w:rsidP="0038497A">
            <w:pPr>
              <w:spacing w:line="240" w:lineRule="auto"/>
              <w:rPr>
                <w:lang w:val="en-GB"/>
              </w:rPr>
            </w:pPr>
            <w:r w:rsidRPr="009B5335">
              <w:rPr>
                <w:lang w:val="en-GB"/>
              </w:rPr>
              <w:t>[</w:t>
            </w:r>
            <w:r>
              <w:rPr>
                <w:lang w:val="en-GB"/>
              </w:rPr>
              <w:t>3</w:t>
            </w:r>
            <w:r w:rsidRPr="009B5335">
              <w:rPr>
                <w:lang w:val="en-GB"/>
              </w:rPr>
              <w:t>]</w:t>
            </w:r>
          </w:p>
        </w:tc>
      </w:tr>
    </w:tbl>
    <w:p w14:paraId="6E620F88"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Ring shear test</w:t>
      </w:r>
    </w:p>
    <w:p w14:paraId="42FAD8CE" w14:textId="427272CD" w:rsidR="00EA7445" w:rsidRPr="009B5335" w:rsidRDefault="00EA7445" w:rsidP="0038497A">
      <w:pPr>
        <w:spacing w:line="240" w:lineRule="auto"/>
        <w:rPr>
          <w:lang w:val="en-GB"/>
        </w:rPr>
      </w:pPr>
      <w:r w:rsidRPr="009B5335">
        <w:rPr>
          <w:lang w:val="en-GB"/>
        </w:rPr>
        <w:t xml:space="preserve">Each powder was </w:t>
      </w:r>
      <w:r>
        <w:rPr>
          <w:lang w:val="en-GB"/>
        </w:rPr>
        <w:t>analysed</w:t>
      </w:r>
      <w:r w:rsidRPr="009B5335">
        <w:rPr>
          <w:lang w:val="en-GB"/>
        </w:rPr>
        <w:t xml:space="preserve"> in triplicate </w:t>
      </w:r>
      <w:r>
        <w:rPr>
          <w:lang w:val="en-GB"/>
        </w:rPr>
        <w:t>in</w:t>
      </w:r>
      <w:r w:rsidRPr="009B5335">
        <w:rPr>
          <w:lang w:val="en-GB"/>
        </w:rPr>
        <w:t xml:space="preserve"> a ring shear tester (RST-XS, Dietmar Schulze </w:t>
      </w:r>
      <w:proofErr w:type="spellStart"/>
      <w:r w:rsidRPr="009B5335">
        <w:rPr>
          <w:lang w:val="en-GB"/>
        </w:rPr>
        <w:t>Schüttgutmesstechnik</w:t>
      </w:r>
      <w:proofErr w:type="spellEnd"/>
      <w:r w:rsidRPr="009B5335">
        <w:rPr>
          <w:lang w:val="en-GB"/>
        </w:rPr>
        <w:t>, Wolfenbüttel, Germany) to measure powder flowability and cohesivity. First, a pre-shear step was performed by applying a normal load of 1000 Pa on the sample. Next, three consolidation stresses of 400, 600 and 800 Pa were used to provide shear stress on the powder. Powder flowability is characterized as the ratio of the unconfined yield strength ([</w:t>
      </w:r>
      <w:proofErr w:type="spellStart"/>
      <w:r w:rsidRPr="009B5335">
        <w:rPr>
          <w:lang w:val="en-GB"/>
        </w:rPr>
        <w:t>σ</w:t>
      </w:r>
      <w:r w:rsidRPr="009B5335">
        <w:rPr>
          <w:vertAlign w:val="subscript"/>
          <w:lang w:val="en-GB"/>
        </w:rPr>
        <w:t>c</w:t>
      </w:r>
      <w:proofErr w:type="spellEnd"/>
      <w:r w:rsidRPr="009B5335">
        <w:rPr>
          <w:lang w:val="en-GB"/>
        </w:rPr>
        <w:t>] = Pa) to the major principal stress ([σ</w:t>
      </w:r>
      <w:r w:rsidRPr="009B5335">
        <w:rPr>
          <w:vertAlign w:val="subscript"/>
          <w:lang w:val="en-GB"/>
        </w:rPr>
        <w:t>1</w:t>
      </w:r>
      <w:r w:rsidRPr="009B5335">
        <w:rPr>
          <w:lang w:val="en-GB"/>
        </w:rPr>
        <w:t>]</w:t>
      </w:r>
      <w:r w:rsidRPr="009B5335">
        <w:rPr>
          <w:vertAlign w:val="subscript"/>
          <w:lang w:val="en-GB"/>
        </w:rPr>
        <w:t xml:space="preserve"> </w:t>
      </w:r>
      <w:r w:rsidRPr="009B5335">
        <w:rPr>
          <w:lang w:val="en-GB"/>
        </w:rPr>
        <w:t xml:space="preserve">= Pa), defined as the dimensionless </w:t>
      </w:r>
      <w:bookmarkStart w:id="3" w:name="_Hlk50382485"/>
      <w:r w:rsidRPr="009B5335">
        <w:rPr>
          <w:lang w:val="en-GB"/>
        </w:rPr>
        <w:t>flow function coefficient (</w:t>
      </w:r>
      <w:proofErr w:type="spellStart"/>
      <w:r w:rsidRPr="009B5335">
        <w:rPr>
          <w:lang w:val="en-GB"/>
        </w:rPr>
        <w:t>ffc</w:t>
      </w:r>
      <w:proofErr w:type="spellEnd"/>
      <w:r w:rsidRPr="009B5335">
        <w:rPr>
          <w:lang w:val="en-GB"/>
        </w:rPr>
        <w:t>) (Equation 4). Powder flowability under influence of gravity was characterized by the bulk (</w:t>
      </w:r>
      <w:proofErr w:type="spellStart"/>
      <w:r w:rsidRPr="009B5335">
        <w:rPr>
          <w:lang w:val="en-GB"/>
        </w:rPr>
        <w:t>ffp</w:t>
      </w:r>
      <w:proofErr w:type="spellEnd"/>
      <w:r w:rsidRPr="009B5335">
        <w:rPr>
          <w:lang w:val="en-GB"/>
        </w:rPr>
        <w:t>) (</w:t>
      </w:r>
      <w:r>
        <w:rPr>
          <w:lang w:val="en-GB"/>
        </w:rPr>
        <w:t>E</w:t>
      </w:r>
      <w:r w:rsidRPr="009B5335">
        <w:rPr>
          <w:lang w:val="en-GB"/>
        </w:rPr>
        <w:t>quation 5) and consolidated (</w:t>
      </w:r>
      <w:proofErr w:type="spellStart"/>
      <w:r w:rsidRPr="009B5335">
        <w:rPr>
          <w:lang w:val="en-GB"/>
        </w:rPr>
        <w:t>ffrho</w:t>
      </w:r>
      <w:proofErr w:type="spellEnd"/>
      <w:r w:rsidRPr="009B5335">
        <w:rPr>
          <w:lang w:val="en-GB"/>
        </w:rPr>
        <w:t xml:space="preserve">) </w:t>
      </w:r>
      <w:bookmarkEnd w:id="3"/>
      <w:r w:rsidRPr="009B5335">
        <w:rPr>
          <w:lang w:val="en-GB"/>
        </w:rPr>
        <w:t>density-weighted flow (</w:t>
      </w:r>
      <w:r>
        <w:rPr>
          <w:lang w:val="en-GB"/>
        </w:rPr>
        <w:t>E</w:t>
      </w:r>
      <w:r w:rsidRPr="009B5335">
        <w:rPr>
          <w:lang w:val="en-GB"/>
        </w:rPr>
        <w:t xml:space="preserve">quation 6). In the latter equation, density under consolidation (1000 Pa) is represented by </w:t>
      </w:r>
      <m:oMath>
        <m:sSub>
          <m:sSubPr>
            <m:ctrlPr>
              <w:rPr>
                <w:rFonts w:ascii="Cambria Math" w:hAnsi="Cambria Math"/>
                <w:i/>
              </w:rPr>
            </m:ctrlPr>
          </m:sSubPr>
          <m:e>
            <m:r>
              <m:rPr>
                <m:nor/>
              </m:rPr>
              <w:rPr>
                <w:i/>
              </w:rPr>
              <m:t>ρ</m:t>
            </m:r>
          </m:e>
          <m:sub>
            <m:r>
              <w:rPr>
                <w:rFonts w:ascii="Cambria Math" w:hAnsi="Cambria Math"/>
              </w:rPr>
              <m:t>Consolidation</m:t>
            </m:r>
          </m:sub>
        </m:sSub>
      </m:oMath>
      <w:r w:rsidRPr="009B5335">
        <w:rPr>
          <w:lang w:val="en-GB"/>
        </w:rPr>
        <w:t xml:space="preserve"> , whereas </w:t>
      </w:r>
      <m:oMath>
        <m:sSub>
          <m:sSubPr>
            <m:ctrlPr>
              <w:rPr>
                <w:rFonts w:ascii="Cambria Math" w:hAnsi="Cambria Math"/>
                <w:i/>
              </w:rPr>
            </m:ctrlPr>
          </m:sSubPr>
          <m:e>
            <m:r>
              <m:rPr>
                <m:nor/>
              </m:rPr>
              <w:rPr>
                <w:i/>
              </w:rPr>
              <m:t>ρ</m:t>
            </m:r>
          </m:e>
          <m:sub>
            <m:r>
              <w:rPr>
                <w:rFonts w:ascii="Cambria Math" w:hAnsi="Cambria Math"/>
              </w:rPr>
              <m:t>w</m:t>
            </m:r>
          </m:sub>
        </m:sSub>
      </m:oMath>
      <w:r w:rsidRPr="009B5335">
        <w:rPr>
          <w:lang w:val="en-GB"/>
        </w:rPr>
        <w:t xml:space="preserve"> represents the density of water. Furthermore, </w:t>
      </w:r>
      <w:bookmarkStart w:id="4" w:name="_Hlk50382595"/>
      <w:r w:rsidRPr="009B5335">
        <w:rPr>
          <w:lang w:val="en-GB"/>
        </w:rPr>
        <w:t>powder cohesivity (τc)</w:t>
      </w:r>
      <w:bookmarkEnd w:id="4"/>
      <w:r w:rsidRPr="009B5335">
        <w:rPr>
          <w:lang w:val="en-GB"/>
        </w:rPr>
        <w:t xml:space="preserve"> was described as the intercept of the yield locus with the shear stress axis. For further </w:t>
      </w:r>
      <w:r w:rsidRPr="009B5335">
        <w:rPr>
          <w:lang w:val="en-GB"/>
        </w:rPr>
        <w:lastRenderedPageBreak/>
        <w:t xml:space="preserve">details on analysis and interpretation of ring shear test data, the reader is referred to Schulze et al. </w:t>
      </w:r>
      <w:r w:rsidRPr="009B5335">
        <w:rPr>
          <w:lang w:val="en-GB"/>
        </w:rPr>
        <w:fldChar w:fldCharType="begin" w:fldLock="1"/>
      </w:r>
      <w:r w:rsidR="003D65E2">
        <w:rPr>
          <w:lang w:val="en-GB"/>
        </w:rPr>
        <w:instrText>ADDIN CSL_CITATION {"citationItems":[{"id":"ITEM-1","itemData":{"DOI":"10.1007/978-3-540-73768-1_4","ISBN":"978-3-540-73768-1","abstract":"As outlined in Chap. 3, for a shear test a bulk solid specimen is subjected to a vertically acting normal stress, $σ$, and then sheared by shifting its upper and lower side relative to each other in the horizontal direction (Fig. 4.1). The shear stress, $τ$, in the horizontal plane prevailing due to the deformation is measured. If the relative displacement is translational, the shear tester is called a translational shear tester. The Jenike shear tester, which is described in Sect. 4.1.1, is the most common tester of this type.","author":[{"dropping-particle":"","family":"Schulze","given":"D.","non-dropping-particle":"","parse-names":false,"suffix":""}],"container-title":"Powders and Bulk Solids: Behavior, Characterization, Storage and Flow","id":"ITEM-1","issued":{"date-parts":[["2008"]]},"page":"75-111","publisher":"Springer Berlin Heidelberg","publisher-place":"Berlin, Heidelberg","title":"Practical determination of flow properties","type":"chapter"},"uris":["http://www.mendeley.com/documents/?uuid=09deb853-8065-44bd-bbce-3f0db26e7263"]}],"mendeley":{"formattedCitation":"(Schulze, 2008)","plainTextFormattedCitation":"(Schulze, 2008)","previouslyFormattedCitation":"[22]"},"properties":{"noteIndex":0},"schema":"https://github.com/citation-style-language/schema/raw/master/csl-citation.json"}</w:instrText>
      </w:r>
      <w:r w:rsidRPr="009B5335">
        <w:rPr>
          <w:lang w:val="en-GB"/>
        </w:rPr>
        <w:fldChar w:fldCharType="separate"/>
      </w:r>
      <w:r w:rsidR="003D65E2" w:rsidRPr="003D65E2">
        <w:rPr>
          <w:noProof/>
          <w:lang w:val="en-GB"/>
        </w:rPr>
        <w:t>(Schulze, 2008)</w:t>
      </w:r>
      <w:r w:rsidRPr="009B5335">
        <w:rPr>
          <w:lang w:val="en-US"/>
        </w:rPr>
        <w:fldChar w:fldCharType="end"/>
      </w:r>
      <w:r w:rsidRPr="009B5335">
        <w:rPr>
          <w:lang w:val="en-GB"/>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EA7445" w:rsidRPr="009B5335" w14:paraId="32A212ED" w14:textId="77777777" w:rsidTr="00EA7445">
        <w:tc>
          <w:tcPr>
            <w:tcW w:w="704" w:type="dxa"/>
          </w:tcPr>
          <w:p w14:paraId="2C5C2F2E" w14:textId="77777777" w:rsidR="00EA7445" w:rsidRPr="009B5335" w:rsidRDefault="00EA7445" w:rsidP="0038497A">
            <w:pPr>
              <w:spacing w:line="240" w:lineRule="auto"/>
              <w:rPr>
                <w:lang w:val="en-GB"/>
              </w:rPr>
            </w:pPr>
          </w:p>
        </w:tc>
        <w:tc>
          <w:tcPr>
            <w:tcW w:w="7655" w:type="dxa"/>
          </w:tcPr>
          <w:p w14:paraId="678AB11B" w14:textId="77777777" w:rsidR="00EA7445" w:rsidRPr="009B5335" w:rsidRDefault="00EA7445" w:rsidP="0038497A">
            <w:pPr>
              <w:spacing w:line="240" w:lineRule="auto"/>
              <w:rPr>
                <w:lang w:val="en-GB"/>
              </w:rPr>
            </w:pPr>
            <w:proofErr w:type="spellStart"/>
            <m:oMathPara>
              <m:oMath>
                <m:r>
                  <m:rPr>
                    <m:nor/>
                  </m:rPr>
                  <w:rPr>
                    <w:i/>
                    <w:lang w:val="en-GB"/>
                  </w:rPr>
                  <m:t>ffc</m:t>
                </m:r>
                <w:proofErr w:type="spellEnd"/>
                <m:r>
                  <m:rPr>
                    <m:nor/>
                  </m:rPr>
                  <w:rPr>
                    <w:i/>
                    <w:lang w:val="en-GB"/>
                  </w:rPr>
                  <m:t xml:space="preserve"> = </m:t>
                </m:r>
                <m:f>
                  <m:fPr>
                    <m:ctrlPr>
                      <w:rPr>
                        <w:rFonts w:ascii="Cambria Math" w:hAnsi="Cambria Math"/>
                        <w:i/>
                      </w:rPr>
                    </m:ctrlPr>
                  </m:fPr>
                  <m:num>
                    <m:sSub>
                      <m:sSubPr>
                        <m:ctrlPr>
                          <w:rPr>
                            <w:rFonts w:ascii="Cambria Math" w:hAnsi="Cambria Math"/>
                            <w:i/>
                          </w:rPr>
                        </m:ctrlPr>
                      </m:sSubPr>
                      <m:e>
                        <m:r>
                          <m:rPr>
                            <m:nor/>
                          </m:rPr>
                          <w:rPr>
                            <w:i/>
                          </w:rPr>
                          <m:t>σ</m:t>
                        </m:r>
                      </m:e>
                      <m:sub>
                        <m:r>
                          <m:rPr>
                            <m:nor/>
                          </m:rPr>
                          <w:rPr>
                            <w:i/>
                            <w:lang w:val="en-GB"/>
                          </w:rPr>
                          <m:t>1</m:t>
                        </m:r>
                      </m:sub>
                    </m:sSub>
                  </m:num>
                  <m:den>
                    <m:sSub>
                      <m:sSubPr>
                        <m:ctrlPr>
                          <w:rPr>
                            <w:rFonts w:ascii="Cambria Math" w:hAnsi="Cambria Math"/>
                            <w:i/>
                          </w:rPr>
                        </m:ctrlPr>
                      </m:sSubPr>
                      <m:e>
                        <m:r>
                          <m:rPr>
                            <m:nor/>
                          </m:rPr>
                          <w:rPr>
                            <w:i/>
                          </w:rPr>
                          <m:t>σ</m:t>
                        </m:r>
                      </m:e>
                      <m:sub>
                        <m:r>
                          <m:rPr>
                            <m:nor/>
                          </m:rPr>
                          <w:rPr>
                            <w:i/>
                            <w:lang w:val="en-GB"/>
                          </w:rPr>
                          <m:t>c</m:t>
                        </m:r>
                      </m:sub>
                    </m:sSub>
                  </m:den>
                </m:f>
              </m:oMath>
            </m:oMathPara>
          </w:p>
        </w:tc>
        <w:tc>
          <w:tcPr>
            <w:tcW w:w="703" w:type="dxa"/>
          </w:tcPr>
          <w:p w14:paraId="4EB937E4" w14:textId="14F1B0CD" w:rsidR="00EA7445" w:rsidRPr="009B5335" w:rsidRDefault="00EA7445" w:rsidP="0038497A">
            <w:pPr>
              <w:spacing w:line="240" w:lineRule="auto"/>
              <w:rPr>
                <w:lang w:val="en-GB"/>
              </w:rPr>
            </w:pPr>
            <w:r w:rsidRPr="009B5335">
              <w:rPr>
                <w:lang w:val="en-GB"/>
              </w:rPr>
              <w:t>[</w:t>
            </w:r>
            <w:r>
              <w:rPr>
                <w:lang w:val="en-GB"/>
              </w:rPr>
              <w:t>4</w:t>
            </w:r>
            <w:r w:rsidRPr="009B5335">
              <w:rPr>
                <w:lang w:val="en-GB"/>
              </w:rPr>
              <w:t>]</w:t>
            </w:r>
          </w:p>
        </w:tc>
      </w:tr>
      <w:tr w:rsidR="00EA7445" w:rsidRPr="009B5335" w14:paraId="1ECC0C36" w14:textId="77777777" w:rsidTr="00EA7445">
        <w:tc>
          <w:tcPr>
            <w:tcW w:w="704" w:type="dxa"/>
          </w:tcPr>
          <w:p w14:paraId="0EBCD38F" w14:textId="77777777" w:rsidR="00EA7445" w:rsidRPr="009B5335" w:rsidRDefault="00EA7445" w:rsidP="0038497A">
            <w:pPr>
              <w:spacing w:line="240" w:lineRule="auto"/>
              <w:rPr>
                <w:lang w:val="en-GB"/>
              </w:rPr>
            </w:pPr>
          </w:p>
        </w:tc>
        <w:tc>
          <w:tcPr>
            <w:tcW w:w="7655" w:type="dxa"/>
          </w:tcPr>
          <w:p w14:paraId="7D0CD708" w14:textId="77777777" w:rsidR="00EA7445" w:rsidRPr="009B5335" w:rsidRDefault="00A7736B" w:rsidP="0038497A">
            <w:pPr>
              <w:spacing w:line="240" w:lineRule="auto"/>
              <w:rPr>
                <w:lang w:val="en-GB"/>
              </w:rPr>
            </w:pPr>
            <m:oMathPara>
              <m:oMath>
                <m:sSub>
                  <m:sSubPr>
                    <m:ctrlPr>
                      <w:rPr>
                        <w:rFonts w:ascii="Cambria Math" w:hAnsi="Cambria Math"/>
                        <w:i/>
                      </w:rPr>
                    </m:ctrlPr>
                  </m:sSubPr>
                  <m:e>
                    <m:r>
                      <m:rPr>
                        <m:nor/>
                      </m:rPr>
                      <w:rPr>
                        <w:i/>
                        <w:lang w:val="en-GB"/>
                      </w:rPr>
                      <m:t>ff</m:t>
                    </m:r>
                  </m:e>
                  <m:sub>
                    <m:r>
                      <m:rPr>
                        <m:nor/>
                      </m:rPr>
                      <w:rPr>
                        <w:i/>
                      </w:rPr>
                      <m:t>ρ</m:t>
                    </m:r>
                  </m:sub>
                </m:sSub>
                <m:r>
                  <m:rPr>
                    <m:nor/>
                  </m:rPr>
                  <w:rPr>
                    <w:i/>
                    <w:lang w:val="en-GB"/>
                  </w:rPr>
                  <m:t xml:space="preserve"> = </m:t>
                </m:r>
                <w:proofErr w:type="spellStart"/>
                <m:r>
                  <m:rPr>
                    <m:nor/>
                  </m:rPr>
                  <w:rPr>
                    <w:i/>
                    <w:lang w:val="en-GB"/>
                  </w:rPr>
                  <m:t>ffc</m:t>
                </m:r>
                <w:proofErr w:type="spellEnd"/>
                <m:r>
                  <m:rPr>
                    <m:nor/>
                  </m:rPr>
                  <w:rPr>
                    <w:i/>
                    <w:lang w:val="en-GB"/>
                  </w:rPr>
                  <m:t xml:space="preserve"> × </m:t>
                </m:r>
                <m:f>
                  <m:fPr>
                    <m:ctrlPr>
                      <w:rPr>
                        <w:rFonts w:ascii="Cambria Math" w:hAnsi="Cambria Math"/>
                        <w:i/>
                      </w:rPr>
                    </m:ctrlPr>
                  </m:fPr>
                  <m:num>
                    <m:sSub>
                      <m:sSubPr>
                        <m:ctrlPr>
                          <w:rPr>
                            <w:rFonts w:ascii="Cambria Math" w:hAnsi="Cambria Math"/>
                            <w:i/>
                          </w:rPr>
                        </m:ctrlPr>
                      </m:sSubPr>
                      <m:e>
                        <m:r>
                          <m:rPr>
                            <m:nor/>
                          </m:rPr>
                          <w:rPr>
                            <w:i/>
                          </w:rPr>
                          <m:t>ρ</m:t>
                        </m:r>
                      </m:e>
                      <m:sub>
                        <m:r>
                          <m:rPr>
                            <m:nor/>
                          </m:rPr>
                          <w:rPr>
                            <w:i/>
                            <w:lang w:val="en-GB"/>
                          </w:rPr>
                          <m:t>bulk</m:t>
                        </m:r>
                      </m:sub>
                    </m:sSub>
                  </m:num>
                  <m:den>
                    <m:sSub>
                      <m:sSubPr>
                        <m:ctrlPr>
                          <w:rPr>
                            <w:rFonts w:ascii="Cambria Math" w:hAnsi="Cambria Math"/>
                            <w:i/>
                          </w:rPr>
                        </m:ctrlPr>
                      </m:sSubPr>
                      <m:e>
                        <m:r>
                          <m:rPr>
                            <m:nor/>
                          </m:rPr>
                          <w:rPr>
                            <w:i/>
                          </w:rPr>
                          <m:t>ρ</m:t>
                        </m:r>
                      </m:e>
                      <m:sub>
                        <m:r>
                          <m:rPr>
                            <m:nor/>
                          </m:rPr>
                          <w:rPr>
                            <w:i/>
                            <w:lang w:val="en-GB"/>
                          </w:rPr>
                          <m:t>w</m:t>
                        </m:r>
                      </m:sub>
                    </m:sSub>
                  </m:den>
                </m:f>
              </m:oMath>
            </m:oMathPara>
          </w:p>
        </w:tc>
        <w:tc>
          <w:tcPr>
            <w:tcW w:w="703" w:type="dxa"/>
          </w:tcPr>
          <w:p w14:paraId="70A2560C" w14:textId="1BD1735C" w:rsidR="00EA7445" w:rsidRPr="009B5335" w:rsidRDefault="00EA7445" w:rsidP="0038497A">
            <w:pPr>
              <w:spacing w:line="240" w:lineRule="auto"/>
              <w:rPr>
                <w:lang w:val="en-GB"/>
              </w:rPr>
            </w:pPr>
            <w:r w:rsidRPr="009B5335">
              <w:rPr>
                <w:lang w:val="en-GB"/>
              </w:rPr>
              <w:t>[</w:t>
            </w:r>
            <w:r>
              <w:rPr>
                <w:lang w:val="en-GB"/>
              </w:rPr>
              <w:t>5</w:t>
            </w:r>
            <w:r w:rsidRPr="009B5335">
              <w:rPr>
                <w:lang w:val="en-GB"/>
              </w:rPr>
              <w:t>]</w:t>
            </w:r>
          </w:p>
        </w:tc>
      </w:tr>
      <w:tr w:rsidR="00EA7445" w:rsidRPr="009B5335" w14:paraId="0C47B096" w14:textId="77777777" w:rsidTr="00EA7445">
        <w:tc>
          <w:tcPr>
            <w:tcW w:w="704" w:type="dxa"/>
          </w:tcPr>
          <w:p w14:paraId="14FD4538" w14:textId="77777777" w:rsidR="00EA7445" w:rsidRPr="009B5335" w:rsidRDefault="00EA7445" w:rsidP="0038497A">
            <w:pPr>
              <w:spacing w:line="240" w:lineRule="auto"/>
              <w:rPr>
                <w:lang w:val="en-GB"/>
              </w:rPr>
            </w:pPr>
          </w:p>
        </w:tc>
        <w:tc>
          <w:tcPr>
            <w:tcW w:w="7655" w:type="dxa"/>
          </w:tcPr>
          <w:p w14:paraId="53552167" w14:textId="77777777" w:rsidR="00EA7445" w:rsidRPr="009B5335" w:rsidRDefault="00A7736B" w:rsidP="0038497A">
            <w:pPr>
              <w:spacing w:line="240" w:lineRule="auto"/>
              <w:rPr>
                <w:lang w:val="en-GB"/>
              </w:rPr>
            </w:pPr>
            <m:oMathPara>
              <m:oMath>
                <m:sSub>
                  <m:sSubPr>
                    <m:ctrlPr>
                      <w:rPr>
                        <w:rFonts w:ascii="Cambria Math" w:hAnsi="Cambria Math"/>
                        <w:i/>
                      </w:rPr>
                    </m:ctrlPr>
                  </m:sSubPr>
                  <m:e>
                    <m:r>
                      <m:rPr>
                        <m:nor/>
                      </m:rPr>
                      <w:rPr>
                        <w:i/>
                        <w:lang w:val="en-GB"/>
                      </w:rPr>
                      <m:t>ff</m:t>
                    </m:r>
                  </m:e>
                  <m:sub>
                    <m:r>
                      <m:rPr>
                        <m:nor/>
                      </m:rPr>
                      <w:rPr>
                        <w:i/>
                        <w:lang w:val="en-GB"/>
                      </w:rPr>
                      <m:t xml:space="preserve">rho </m:t>
                    </m:r>
                  </m:sub>
                </m:sSub>
                <m:r>
                  <m:rPr>
                    <m:nor/>
                  </m:rPr>
                  <w:rPr>
                    <w:i/>
                    <w:lang w:val="en-GB"/>
                  </w:rPr>
                  <m:t xml:space="preserve">= </m:t>
                </m:r>
                <w:proofErr w:type="spellStart"/>
                <m:r>
                  <m:rPr>
                    <m:nor/>
                  </m:rPr>
                  <w:rPr>
                    <w:i/>
                    <w:lang w:val="en-GB"/>
                  </w:rPr>
                  <m:t>ffc</m:t>
                </m:r>
                <w:proofErr w:type="spellEnd"/>
                <m:r>
                  <m:rPr>
                    <m:nor/>
                  </m:rPr>
                  <w:rPr>
                    <w:i/>
                    <w:lang w:val="en-GB"/>
                  </w:rPr>
                  <m:t xml:space="preserve">× </m:t>
                </m:r>
                <m:f>
                  <m:fPr>
                    <m:ctrlPr>
                      <w:rPr>
                        <w:rFonts w:ascii="Cambria Math" w:hAnsi="Cambria Math"/>
                        <w:i/>
                      </w:rPr>
                    </m:ctrlPr>
                  </m:fPr>
                  <m:num>
                    <m:sSub>
                      <m:sSubPr>
                        <m:ctrlPr>
                          <w:rPr>
                            <w:rFonts w:ascii="Cambria Math" w:hAnsi="Cambria Math"/>
                            <w:i/>
                          </w:rPr>
                        </m:ctrlPr>
                      </m:sSubPr>
                      <m:e>
                        <m:r>
                          <m:rPr>
                            <m:nor/>
                          </m:rPr>
                          <w:rPr>
                            <w:i/>
                          </w:rPr>
                          <m:t>ρ</m:t>
                        </m:r>
                      </m:e>
                      <m:sub>
                        <m:r>
                          <w:rPr>
                            <w:rFonts w:ascii="Cambria Math" w:hAnsi="Cambria Math"/>
                          </w:rPr>
                          <m:t>Consolidation</m:t>
                        </m:r>
                      </m:sub>
                    </m:sSub>
                  </m:num>
                  <m:den>
                    <m:sSub>
                      <m:sSubPr>
                        <m:ctrlPr>
                          <w:rPr>
                            <w:rFonts w:ascii="Cambria Math" w:hAnsi="Cambria Math"/>
                            <w:i/>
                          </w:rPr>
                        </m:ctrlPr>
                      </m:sSubPr>
                      <m:e>
                        <m:r>
                          <m:rPr>
                            <m:nor/>
                          </m:rPr>
                          <w:rPr>
                            <w:i/>
                          </w:rPr>
                          <m:t>ρ</m:t>
                        </m:r>
                      </m:e>
                      <m:sub>
                        <m:r>
                          <w:rPr>
                            <w:rFonts w:ascii="Cambria Math" w:hAnsi="Cambria Math"/>
                          </w:rPr>
                          <m:t>w</m:t>
                        </m:r>
                      </m:sub>
                    </m:sSub>
                  </m:den>
                </m:f>
              </m:oMath>
            </m:oMathPara>
          </w:p>
        </w:tc>
        <w:tc>
          <w:tcPr>
            <w:tcW w:w="703" w:type="dxa"/>
          </w:tcPr>
          <w:p w14:paraId="03EF3EC5" w14:textId="2865822B" w:rsidR="00EA7445" w:rsidRPr="009B5335" w:rsidRDefault="00EA7445" w:rsidP="0038497A">
            <w:pPr>
              <w:spacing w:line="240" w:lineRule="auto"/>
              <w:rPr>
                <w:lang w:val="en-GB"/>
              </w:rPr>
            </w:pPr>
            <w:r w:rsidRPr="009B5335">
              <w:rPr>
                <w:lang w:val="en-GB"/>
              </w:rPr>
              <w:t>[</w:t>
            </w:r>
            <w:r>
              <w:rPr>
                <w:lang w:val="en-GB"/>
              </w:rPr>
              <w:t>6</w:t>
            </w:r>
            <w:r w:rsidRPr="009B5335">
              <w:rPr>
                <w:lang w:val="en-GB"/>
              </w:rPr>
              <w:t>]</w:t>
            </w:r>
          </w:p>
        </w:tc>
      </w:tr>
    </w:tbl>
    <w:p w14:paraId="354E13A1"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Powder elasticity and plasticity</w:t>
      </w:r>
    </w:p>
    <w:p w14:paraId="0F53D69E" w14:textId="2AF8701F" w:rsidR="00EA7445" w:rsidRPr="009B5335" w:rsidRDefault="00EA7445" w:rsidP="0038497A">
      <w:pPr>
        <w:spacing w:line="240" w:lineRule="auto"/>
        <w:rPr>
          <w:lang w:val="en-GB"/>
        </w:rPr>
      </w:pPr>
      <w:bookmarkStart w:id="5" w:name="_Hlk50382965"/>
      <w:r w:rsidRPr="009B5335">
        <w:rPr>
          <w:lang w:val="en-GB"/>
        </w:rPr>
        <w:t>A fully instrumented compaction simulator (</w:t>
      </w:r>
      <w:proofErr w:type="spellStart"/>
      <w:r w:rsidRPr="009B5335">
        <w:rPr>
          <w:lang w:val="en-GB"/>
        </w:rPr>
        <w:t>Styl’one</w:t>
      </w:r>
      <w:proofErr w:type="spellEnd"/>
      <w:r w:rsidRPr="009B5335">
        <w:rPr>
          <w:lang w:val="en-GB"/>
        </w:rPr>
        <w:t xml:space="preserve"> evolution, </w:t>
      </w:r>
      <w:proofErr w:type="spellStart"/>
      <w:r w:rsidRPr="009B5335">
        <w:rPr>
          <w:lang w:val="en-GB"/>
        </w:rPr>
        <w:t>Medelpharm</w:t>
      </w:r>
      <w:proofErr w:type="spellEnd"/>
      <w:r w:rsidRPr="009B5335">
        <w:rPr>
          <w:lang w:val="en-GB"/>
        </w:rPr>
        <w:t>, France) was used to determine the elasticity and plasticity of each raw material powder. Compacts were prepared using 10 mm flat faced Euro B-tooling (</w:t>
      </w:r>
      <w:proofErr w:type="spellStart"/>
      <w:r w:rsidRPr="009B5335">
        <w:rPr>
          <w:lang w:val="en-GB"/>
        </w:rPr>
        <w:t>Natoli</w:t>
      </w:r>
      <w:proofErr w:type="spellEnd"/>
      <w:r w:rsidRPr="009B5335">
        <w:rPr>
          <w:lang w:val="en-GB"/>
        </w:rPr>
        <w:t xml:space="preserve"> Engineering Company, Saint Charles, MO, USA) with approximately 15 kPa of pressure and 18 mm fill depth. A compaction speed of 10 mm/s was applied. Prior to manual powder filling, the </w:t>
      </w:r>
      <w:r>
        <w:rPr>
          <w:lang w:val="en-GB"/>
        </w:rPr>
        <w:t>die</w:t>
      </w:r>
      <w:r w:rsidRPr="009B5335">
        <w:rPr>
          <w:lang w:val="en-GB"/>
        </w:rPr>
        <w:t xml:space="preserve"> was manually lubricated with magnesium stearate. For each studied material, 5 compacts were prepared. After compaction, a force-displacement curve (Figure </w:t>
      </w:r>
      <w:r w:rsidR="00780278">
        <w:rPr>
          <w:lang w:val="en-GB"/>
        </w:rPr>
        <w:t>S1</w:t>
      </w:r>
      <w:r w:rsidRPr="009B5335">
        <w:rPr>
          <w:lang w:val="en-GB"/>
        </w:rPr>
        <w:t>)</w:t>
      </w:r>
      <w:r w:rsidR="00FD5791">
        <w:rPr>
          <w:lang w:val="en-GB"/>
        </w:rPr>
        <w:t xml:space="preserve"> </w:t>
      </w:r>
      <w:r w:rsidRPr="009B5335">
        <w:rPr>
          <w:lang w:val="en-GB"/>
        </w:rPr>
        <w:t>was established by the ANALIS software. Work of compression (in J) was calculated as area ABC, elastic energy (in J) was calculated as area DBC and work of compaction as ABD. Elastic recovery ([</w:t>
      </w:r>
      <w:proofErr w:type="spellStart"/>
      <w:r w:rsidRPr="009B5335">
        <w:rPr>
          <w:lang w:val="en-GB"/>
        </w:rPr>
        <w:t>Elas</w:t>
      </w:r>
      <w:proofErr w:type="spellEnd"/>
      <w:r w:rsidRPr="009B5335">
        <w:rPr>
          <w:lang w:val="en-GB"/>
        </w:rPr>
        <w:t xml:space="preserve">] = %) was calculated as per </w:t>
      </w:r>
      <w:r>
        <w:rPr>
          <w:lang w:val="en-GB"/>
        </w:rPr>
        <w:t>E</w:t>
      </w:r>
      <w:r w:rsidRPr="009B5335">
        <w:rPr>
          <w:lang w:val="en-GB"/>
        </w:rPr>
        <w:t>quation 7. Specific work of compaction ([</w:t>
      </w:r>
      <w:proofErr w:type="spellStart"/>
      <w:r w:rsidRPr="009B5335">
        <w:rPr>
          <w:lang w:val="en-GB"/>
        </w:rPr>
        <w:t>WoC</w:t>
      </w:r>
      <w:proofErr w:type="spellEnd"/>
      <w:r w:rsidRPr="009B5335">
        <w:rPr>
          <w:lang w:val="en-GB"/>
        </w:rPr>
        <w:t>] = J/g) was calculated using the recorded masses ([m] = g) of compacts produced (</w:t>
      </w:r>
      <w:r>
        <w:rPr>
          <w:lang w:val="en-GB"/>
        </w:rPr>
        <w:t>E</w:t>
      </w:r>
      <w:r w:rsidRPr="009B5335">
        <w:rPr>
          <w:lang w:val="en-GB"/>
        </w:rPr>
        <w:t>quation 8).</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EA7445" w:rsidRPr="009B5335" w14:paraId="641FC295" w14:textId="77777777" w:rsidTr="00EA7445">
        <w:tc>
          <w:tcPr>
            <w:tcW w:w="704" w:type="dxa"/>
          </w:tcPr>
          <w:p w14:paraId="1E5D17AF" w14:textId="77777777" w:rsidR="00EA7445" w:rsidRPr="009B5335" w:rsidRDefault="00EA7445" w:rsidP="0038497A">
            <w:pPr>
              <w:spacing w:line="240" w:lineRule="auto"/>
              <w:rPr>
                <w:lang w:val="en-GB"/>
              </w:rPr>
            </w:pPr>
          </w:p>
        </w:tc>
        <w:tc>
          <w:tcPr>
            <w:tcW w:w="7655" w:type="dxa"/>
          </w:tcPr>
          <w:p w14:paraId="74625576" w14:textId="77777777" w:rsidR="00EA7445" w:rsidRPr="009B5335" w:rsidRDefault="00A7736B" w:rsidP="0038497A">
            <w:pPr>
              <w:spacing w:line="240" w:lineRule="auto"/>
              <w:rPr>
                <w:lang w:val="en-GB"/>
              </w:rPr>
            </w:pPr>
            <m:oMathPara>
              <m:oMath>
                <m:f>
                  <m:fPr>
                    <m:ctrlPr>
                      <w:rPr>
                        <w:rFonts w:ascii="Cambria Math" w:hAnsi="Cambria Math"/>
                      </w:rPr>
                    </m:ctrlPr>
                  </m:fPr>
                  <m:num>
                    <m:r>
                      <w:rPr>
                        <w:rFonts w:ascii="Cambria Math" w:hAnsi="Cambria Math"/>
                      </w:rPr>
                      <m:t xml:space="preserve">Elastic energy </m:t>
                    </m:r>
                  </m:num>
                  <m:den>
                    <m:r>
                      <w:rPr>
                        <w:rFonts w:ascii="Cambria Math" w:hAnsi="Cambria Math"/>
                      </w:rPr>
                      <m:t xml:space="preserve">Work of compression </m:t>
                    </m:r>
                  </m:den>
                </m:f>
                <m:r>
                  <m:rPr>
                    <m:sty m:val="p"/>
                  </m:rPr>
                  <w:rPr>
                    <w:rFonts w:ascii="Cambria Math" w:hAnsi="Cambria Math"/>
                  </w:rPr>
                  <m:t>=Elastic recovery</m:t>
                </m:r>
              </m:oMath>
            </m:oMathPara>
          </w:p>
        </w:tc>
        <w:tc>
          <w:tcPr>
            <w:tcW w:w="703" w:type="dxa"/>
            <w:vAlign w:val="center"/>
          </w:tcPr>
          <w:p w14:paraId="7B75753E" w14:textId="47ED6752" w:rsidR="00EA7445" w:rsidRPr="009B5335" w:rsidRDefault="00EA7445" w:rsidP="0038497A">
            <w:pPr>
              <w:spacing w:line="240" w:lineRule="auto"/>
              <w:rPr>
                <w:lang w:val="en-GB"/>
              </w:rPr>
            </w:pPr>
            <w:r w:rsidRPr="009B5335">
              <w:rPr>
                <w:lang w:val="en-GB"/>
              </w:rPr>
              <w:t>[</w:t>
            </w:r>
            <w:r>
              <w:rPr>
                <w:lang w:val="en-GB"/>
              </w:rPr>
              <w:t>7</w:t>
            </w:r>
            <w:r w:rsidRPr="009B5335">
              <w:rPr>
                <w:lang w:val="en-GB"/>
              </w:rPr>
              <w:t>]</w:t>
            </w:r>
          </w:p>
        </w:tc>
      </w:tr>
      <w:tr w:rsidR="00EA7445" w:rsidRPr="009B5335" w14:paraId="482724BC" w14:textId="77777777" w:rsidTr="00EA7445">
        <w:tc>
          <w:tcPr>
            <w:tcW w:w="704" w:type="dxa"/>
          </w:tcPr>
          <w:p w14:paraId="3178C019" w14:textId="77777777" w:rsidR="00EA7445" w:rsidRPr="009B5335" w:rsidRDefault="00EA7445" w:rsidP="0038497A">
            <w:pPr>
              <w:spacing w:line="240" w:lineRule="auto"/>
              <w:rPr>
                <w:lang w:val="en-GB"/>
              </w:rPr>
            </w:pPr>
          </w:p>
        </w:tc>
        <w:tc>
          <w:tcPr>
            <w:tcW w:w="7655" w:type="dxa"/>
          </w:tcPr>
          <w:p w14:paraId="006E3D20" w14:textId="77777777" w:rsidR="00EA7445" w:rsidRPr="009B5335" w:rsidRDefault="00A7736B" w:rsidP="0038497A">
            <w:pPr>
              <w:spacing w:line="240" w:lineRule="auto"/>
              <w:rPr>
                <w:lang w:val="en-GB"/>
              </w:rPr>
            </w:pPr>
            <m:oMathPara>
              <m:oMath>
                <m:f>
                  <m:fPr>
                    <m:ctrlPr>
                      <w:rPr>
                        <w:rFonts w:ascii="Cambria Math" w:hAnsi="Cambria Math"/>
                      </w:rPr>
                    </m:ctrlPr>
                  </m:fPr>
                  <m:num>
                    <m:r>
                      <w:rPr>
                        <w:rFonts w:ascii="Cambria Math" w:hAnsi="Cambria Math"/>
                      </w:rPr>
                      <m:t>Work</m:t>
                    </m:r>
                    <m:r>
                      <w:rPr>
                        <w:rFonts w:ascii="Cambria Math" w:hAnsi="Cambria Math"/>
                        <w:lang w:val="en-GB"/>
                      </w:rPr>
                      <m:t xml:space="preserve"> </m:t>
                    </m:r>
                    <m:r>
                      <w:rPr>
                        <w:rFonts w:ascii="Cambria Math" w:hAnsi="Cambria Math"/>
                      </w:rPr>
                      <m:t>of</m:t>
                    </m:r>
                    <m:r>
                      <w:rPr>
                        <w:rFonts w:ascii="Cambria Math" w:hAnsi="Cambria Math"/>
                        <w:lang w:val="en-GB"/>
                      </w:rPr>
                      <m:t xml:space="preserve"> </m:t>
                    </m:r>
                    <m:r>
                      <w:rPr>
                        <w:rFonts w:ascii="Cambria Math" w:hAnsi="Cambria Math"/>
                      </w:rPr>
                      <m:t>compaction</m:t>
                    </m:r>
                    <m:r>
                      <w:rPr>
                        <w:rFonts w:ascii="Cambria Math" w:hAnsi="Cambria Math"/>
                        <w:lang w:val="en-GB"/>
                      </w:rPr>
                      <m:t xml:space="preserve"> </m:t>
                    </m:r>
                  </m:num>
                  <m:den>
                    <m:r>
                      <w:rPr>
                        <w:rFonts w:ascii="Cambria Math" w:hAnsi="Cambria Math"/>
                      </w:rPr>
                      <m:t>mass</m:t>
                    </m:r>
                    <m:r>
                      <w:rPr>
                        <w:rFonts w:ascii="Cambria Math" w:hAnsi="Cambria Math"/>
                        <w:lang w:val="en-GB"/>
                      </w:rPr>
                      <m:t xml:space="preserve"> </m:t>
                    </m:r>
                    <m:r>
                      <w:rPr>
                        <w:rFonts w:ascii="Cambria Math" w:hAnsi="Cambria Math"/>
                      </w:rPr>
                      <m:t>of</m:t>
                    </m:r>
                    <m:r>
                      <w:rPr>
                        <w:rFonts w:ascii="Cambria Math" w:hAnsi="Cambria Math"/>
                        <w:lang w:val="en-GB"/>
                      </w:rPr>
                      <m:t xml:space="preserve"> </m:t>
                    </m:r>
                    <m:r>
                      <w:rPr>
                        <w:rFonts w:ascii="Cambria Math" w:hAnsi="Cambria Math"/>
                      </w:rPr>
                      <m:t>compact</m:t>
                    </m:r>
                    <m:r>
                      <w:rPr>
                        <w:rFonts w:ascii="Cambria Math" w:hAnsi="Cambria Math"/>
                        <w:lang w:val="en-GB"/>
                      </w:rPr>
                      <m:t xml:space="preserve"> </m:t>
                    </m:r>
                  </m:den>
                </m:f>
                <m:r>
                  <m:rPr>
                    <m:sty m:val="p"/>
                  </m:rPr>
                  <w:rPr>
                    <w:rFonts w:ascii="Cambria Math" w:hAnsi="Cambria Math"/>
                    <w:lang w:val="en-GB"/>
                  </w:rPr>
                  <m:t>=Specific work of compaction</m:t>
                </m:r>
              </m:oMath>
            </m:oMathPara>
          </w:p>
        </w:tc>
        <w:tc>
          <w:tcPr>
            <w:tcW w:w="703" w:type="dxa"/>
            <w:vAlign w:val="center"/>
          </w:tcPr>
          <w:p w14:paraId="202BB763" w14:textId="43F83E89" w:rsidR="00EA7445" w:rsidRPr="009B5335" w:rsidRDefault="00EA7445" w:rsidP="0038497A">
            <w:pPr>
              <w:spacing w:line="240" w:lineRule="auto"/>
              <w:rPr>
                <w:lang w:val="en-GB"/>
              </w:rPr>
            </w:pPr>
            <w:r w:rsidRPr="009B5335">
              <w:rPr>
                <w:lang w:val="en-GB"/>
              </w:rPr>
              <w:t>[</w:t>
            </w:r>
            <w:r>
              <w:rPr>
                <w:lang w:val="en-GB"/>
              </w:rPr>
              <w:t>8</w:t>
            </w:r>
            <w:r w:rsidRPr="009B5335">
              <w:rPr>
                <w:lang w:val="en-GB"/>
              </w:rPr>
              <w:t>]</w:t>
            </w:r>
          </w:p>
        </w:tc>
      </w:tr>
    </w:tbl>
    <w:bookmarkEnd w:id="5"/>
    <w:p w14:paraId="7A52F9A8"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Powder rheology</w:t>
      </w:r>
    </w:p>
    <w:p w14:paraId="5C408F5A" w14:textId="77777777" w:rsidR="00EA7445" w:rsidRPr="009B5335" w:rsidRDefault="00EA7445" w:rsidP="0038497A">
      <w:pPr>
        <w:spacing w:line="240" w:lineRule="auto"/>
        <w:rPr>
          <w:lang w:val="en-GB"/>
        </w:rPr>
      </w:pPr>
      <w:r w:rsidRPr="009B5335">
        <w:rPr>
          <w:lang w:val="en-GB"/>
        </w:rPr>
        <w:t xml:space="preserve">As powder flow depends </w:t>
      </w:r>
      <w:r>
        <w:rPr>
          <w:lang w:val="en-GB"/>
        </w:rPr>
        <w:t>on</w:t>
      </w:r>
      <w:r w:rsidRPr="009B5335">
        <w:rPr>
          <w:lang w:val="en-GB"/>
        </w:rPr>
        <w:t xml:space="preserve"> multiple physical properties such as particle size, cohesivity, shape, texture, particle stiffness and density, it is difficult to describe it by a single value. Therefore, a FT4 powder rheometer (Freeman Technology, Tewkesbury, UK) was used to </w:t>
      </w:r>
      <w:r>
        <w:rPr>
          <w:lang w:val="en-GB"/>
        </w:rPr>
        <w:t>measure several</w:t>
      </w:r>
      <w:r w:rsidRPr="009B5335">
        <w:rPr>
          <w:lang w:val="en-GB"/>
        </w:rPr>
        <w:t xml:space="preserve"> powder flow characteristics. Compressibility, aeration and variable flow rate tests were performed on the FT4 equipment. For each of the following test, the powder bed was first preconditioned.</w:t>
      </w:r>
      <w:r>
        <w:rPr>
          <w:lang w:val="en-GB"/>
        </w:rPr>
        <w:t xml:space="preserve"> A preconditioning step is needed to start with a standardized packing of the powder particles. All powder rheology tests</w:t>
      </w:r>
      <w:r w:rsidRPr="009B5335">
        <w:rPr>
          <w:lang w:val="en-GB"/>
        </w:rPr>
        <w:t xml:space="preserve"> were performed in triplicate</w:t>
      </w:r>
      <w:r>
        <w:rPr>
          <w:lang w:val="en-GB"/>
        </w:rPr>
        <w:t>.</w:t>
      </w:r>
    </w:p>
    <w:p w14:paraId="33C84A23" w14:textId="77777777" w:rsidR="00EA7445" w:rsidRPr="00625702" w:rsidRDefault="00EA7445" w:rsidP="0038497A">
      <w:pPr>
        <w:pStyle w:val="Kop1"/>
        <w:spacing w:line="240" w:lineRule="auto"/>
        <w:rPr>
          <w:b w:val="0"/>
          <w:bCs/>
          <w:i/>
          <w:iCs/>
          <w:caps w:val="0"/>
          <w:lang w:val="en-GB"/>
        </w:rPr>
      </w:pPr>
      <w:r w:rsidRPr="00625702">
        <w:rPr>
          <w:b w:val="0"/>
          <w:bCs/>
          <w:i/>
          <w:iCs/>
          <w:caps w:val="0"/>
          <w:lang w:val="en-GB"/>
        </w:rPr>
        <w:t>Stability and variable flow rate</w:t>
      </w:r>
    </w:p>
    <w:p w14:paraId="25D0DD69" w14:textId="77777777" w:rsidR="00EA7445" w:rsidRPr="009B5335" w:rsidRDefault="00EA7445" w:rsidP="0038497A">
      <w:pPr>
        <w:spacing w:line="240" w:lineRule="auto"/>
        <w:rPr>
          <w:lang w:val="en-GB"/>
        </w:rPr>
      </w:pPr>
      <w:r w:rsidRPr="009B5335">
        <w:rPr>
          <w:lang w:val="en-GB"/>
        </w:rPr>
        <w:t xml:space="preserve">The resistance (i.e., required energy in </w:t>
      </w:r>
      <w:proofErr w:type="spellStart"/>
      <w:r w:rsidRPr="009B5335">
        <w:rPr>
          <w:lang w:val="en-GB"/>
        </w:rPr>
        <w:t>mJ</w:t>
      </w:r>
      <w:proofErr w:type="spellEnd"/>
      <w:r w:rsidRPr="009B5335">
        <w:rPr>
          <w:lang w:val="en-GB"/>
        </w:rPr>
        <w:t xml:space="preserve">) </w:t>
      </w:r>
      <w:r>
        <w:rPr>
          <w:lang w:val="en-GB"/>
        </w:rPr>
        <w:t>of</w:t>
      </w:r>
      <w:r w:rsidRPr="009B5335">
        <w:rPr>
          <w:lang w:val="en-GB"/>
        </w:rPr>
        <w:t xml:space="preserve"> a powder is measured </w:t>
      </w:r>
      <w:r>
        <w:rPr>
          <w:lang w:val="en-GB"/>
        </w:rPr>
        <w:t>by a moving</w:t>
      </w:r>
      <w:r w:rsidRPr="009B5335">
        <w:rPr>
          <w:lang w:val="en-GB"/>
        </w:rPr>
        <w:t xml:space="preserve"> blade up and down through the powder bed. First, seven consecutive test cycles at 100 mm/s were executed to obtain </w:t>
      </w:r>
      <w:r>
        <w:rPr>
          <w:lang w:val="en-GB"/>
        </w:rPr>
        <w:t xml:space="preserve">a </w:t>
      </w:r>
      <w:r w:rsidRPr="009B5335">
        <w:rPr>
          <w:lang w:val="en-GB"/>
        </w:rPr>
        <w:t xml:space="preserve">stable flow energy. Consequently, the flow energy value was measured while gradually </w:t>
      </w:r>
      <w:r>
        <w:rPr>
          <w:lang w:val="en-GB"/>
        </w:rPr>
        <w:t>reducing the</w:t>
      </w:r>
      <w:r w:rsidRPr="009B5335">
        <w:rPr>
          <w:lang w:val="en-GB"/>
        </w:rPr>
        <w:t xml:space="preserve"> blade tip speed (100, 70 , 40, 10 mm/s). </w:t>
      </w:r>
      <w:bookmarkStart w:id="6" w:name="_Hlk50382424"/>
      <w:r w:rsidRPr="009B5335">
        <w:rPr>
          <w:lang w:val="en-GB"/>
        </w:rPr>
        <w:t xml:space="preserve">The Basic  Flow Energy </w:t>
      </w:r>
      <w:r w:rsidRPr="009B5335">
        <w:rPr>
          <w:lang w:val="en-GB"/>
        </w:rPr>
        <w:lastRenderedPageBreak/>
        <w:t xml:space="preserve">([BFE] = </w:t>
      </w:r>
      <w:proofErr w:type="spellStart"/>
      <w:r w:rsidRPr="009B5335">
        <w:rPr>
          <w:lang w:val="en-GB"/>
        </w:rPr>
        <w:t>mJ</w:t>
      </w:r>
      <w:proofErr w:type="spellEnd"/>
      <w:r w:rsidRPr="009B5335">
        <w:rPr>
          <w:lang w:val="en-GB"/>
        </w:rPr>
        <w:t>) is the flow energy at 7</w:t>
      </w:r>
      <w:r w:rsidRPr="009B5335">
        <w:rPr>
          <w:vertAlign w:val="superscript"/>
          <w:lang w:val="en-GB"/>
        </w:rPr>
        <w:t>th</w:t>
      </w:r>
      <w:r w:rsidRPr="009B5335">
        <w:rPr>
          <w:lang w:val="en-GB"/>
        </w:rPr>
        <w:t xml:space="preserve"> test</w:t>
      </w:r>
      <w:r>
        <w:rPr>
          <w:lang w:val="en-GB"/>
        </w:rPr>
        <w:t>, while</w:t>
      </w:r>
      <w:r w:rsidRPr="009B5335">
        <w:rPr>
          <w:lang w:val="en-GB"/>
        </w:rPr>
        <w:t xml:space="preserve"> the Flow Rate Index ([FRI] = dimensionless) is the ratio of the flow energy at 10 mm/s and 1</w:t>
      </w:r>
      <w:r>
        <w:rPr>
          <w:lang w:val="en-GB"/>
        </w:rPr>
        <w:t>0</w:t>
      </w:r>
      <w:r w:rsidRPr="009B5335">
        <w:rPr>
          <w:lang w:val="en-GB"/>
        </w:rPr>
        <w:t>0 mm/s</w:t>
      </w:r>
      <w:bookmarkEnd w:id="6"/>
      <w:r w:rsidRPr="009B5335">
        <w:rPr>
          <w:lang w:val="en-GB"/>
        </w:rPr>
        <w:t>.</w:t>
      </w:r>
    </w:p>
    <w:p w14:paraId="58CABD90" w14:textId="77777777" w:rsidR="00EA7445" w:rsidRPr="00625702" w:rsidRDefault="00EA7445" w:rsidP="0038497A">
      <w:pPr>
        <w:pStyle w:val="Kop1"/>
        <w:spacing w:line="240" w:lineRule="auto"/>
        <w:rPr>
          <w:b w:val="0"/>
          <w:bCs/>
          <w:i/>
          <w:iCs/>
          <w:caps w:val="0"/>
          <w:lang w:val="en-GB"/>
        </w:rPr>
      </w:pPr>
      <w:r w:rsidRPr="00625702">
        <w:rPr>
          <w:b w:val="0"/>
          <w:bCs/>
          <w:i/>
          <w:iCs/>
          <w:caps w:val="0"/>
          <w:lang w:val="en-GB"/>
        </w:rPr>
        <w:t>Compressibility</w:t>
      </w:r>
    </w:p>
    <w:p w14:paraId="74D734E5" w14:textId="77777777" w:rsidR="00EA7445" w:rsidRPr="009B5335" w:rsidRDefault="00EA7445" w:rsidP="0038497A">
      <w:pPr>
        <w:spacing w:line="240" w:lineRule="auto"/>
        <w:rPr>
          <w:lang w:val="en-GB"/>
        </w:rPr>
      </w:pPr>
      <w:bookmarkStart w:id="7" w:name="_Hlk25658272"/>
      <w:bookmarkStart w:id="8" w:name="_Hlk50382340"/>
      <w:r w:rsidRPr="009B5335">
        <w:rPr>
          <w:lang w:val="en-GB"/>
        </w:rPr>
        <w:t>The powder was compressed under increasing normal stress (0.5, 1, 2, 4, 6, 8, 10, 12 and 15 kPa) using a vented piston.</w:t>
      </w:r>
      <w:bookmarkEnd w:id="7"/>
      <w:r w:rsidRPr="009B5335">
        <w:rPr>
          <w:lang w:val="en-GB"/>
        </w:rPr>
        <w:t xml:space="preserve"> Compressibility ([Com] =  %) is defined as </w:t>
      </w:r>
      <w:bookmarkStart w:id="9" w:name="_Hlk52193429"/>
      <w:r w:rsidRPr="009B5335">
        <w:rPr>
          <w:lang w:val="en-GB"/>
        </w:rPr>
        <w:t xml:space="preserve">the </w:t>
      </w:r>
      <w:r>
        <w:rPr>
          <w:lang w:val="en-GB"/>
        </w:rPr>
        <w:t>relative</w:t>
      </w:r>
      <w:r w:rsidRPr="009B5335">
        <w:rPr>
          <w:lang w:val="en-GB"/>
        </w:rPr>
        <w:t xml:space="preserve"> change in volume </w:t>
      </w:r>
      <w:bookmarkEnd w:id="9"/>
      <w:r w:rsidRPr="009B5335">
        <w:rPr>
          <w:lang w:val="en-GB"/>
        </w:rPr>
        <w:t>at the end of the test.</w:t>
      </w:r>
    </w:p>
    <w:bookmarkEnd w:id="8"/>
    <w:p w14:paraId="7F15317E" w14:textId="77777777" w:rsidR="00EA7445" w:rsidRPr="00625702" w:rsidRDefault="00EA7445" w:rsidP="0038497A">
      <w:pPr>
        <w:pStyle w:val="Kop1"/>
        <w:spacing w:line="240" w:lineRule="auto"/>
        <w:rPr>
          <w:b w:val="0"/>
          <w:bCs/>
          <w:i/>
          <w:iCs/>
          <w:caps w:val="0"/>
          <w:lang w:val="en-GB"/>
        </w:rPr>
      </w:pPr>
      <w:r w:rsidRPr="00625702">
        <w:rPr>
          <w:b w:val="0"/>
          <w:bCs/>
          <w:i/>
          <w:iCs/>
          <w:caps w:val="0"/>
          <w:lang w:val="en-GB"/>
        </w:rPr>
        <w:t>Aeration</w:t>
      </w:r>
    </w:p>
    <w:p w14:paraId="6B18BC29" w14:textId="77777777" w:rsidR="00EA7445" w:rsidRPr="009B5335" w:rsidRDefault="00EA7445" w:rsidP="0038497A">
      <w:pPr>
        <w:spacing w:line="240" w:lineRule="auto"/>
        <w:rPr>
          <w:lang w:val="en-GB"/>
        </w:rPr>
      </w:pPr>
      <w:r w:rsidRPr="009B5335">
        <w:rPr>
          <w:lang w:val="en-GB"/>
        </w:rPr>
        <w:t xml:space="preserve">An air flow was provided from the bottom of the vessel. The air velocity was gradually increased (0, 0.5, 1, 2, 4, 6, 8, 10, 15, 20, 30 and 40 mm/s) during the test. At each air velocity, the corresponding flow energy was measured. </w:t>
      </w:r>
      <w:bookmarkStart w:id="10" w:name="_Hlk52193477"/>
      <w:r w:rsidRPr="009B5335">
        <w:rPr>
          <w:lang w:val="en-GB"/>
        </w:rPr>
        <w:t xml:space="preserve">The flow energy (in </w:t>
      </w:r>
      <w:proofErr w:type="spellStart"/>
      <w:r w:rsidRPr="009B5335">
        <w:rPr>
          <w:lang w:val="en-GB"/>
        </w:rPr>
        <w:t>mJ</w:t>
      </w:r>
      <w:proofErr w:type="spellEnd"/>
      <w:r w:rsidRPr="009B5335">
        <w:rPr>
          <w:lang w:val="en-GB"/>
        </w:rPr>
        <w:t xml:space="preserve">) at 40 mm/s </w:t>
      </w:r>
      <w:bookmarkEnd w:id="10"/>
      <w:r w:rsidRPr="009B5335">
        <w:rPr>
          <w:lang w:val="en-GB"/>
        </w:rPr>
        <w:t xml:space="preserve">was reported as AE40 ([AE40] = </w:t>
      </w:r>
      <w:proofErr w:type="spellStart"/>
      <w:r w:rsidRPr="009B5335">
        <w:rPr>
          <w:lang w:val="en-GB"/>
        </w:rPr>
        <w:t>mJ</w:t>
      </w:r>
      <w:proofErr w:type="spellEnd"/>
      <w:r w:rsidRPr="009B5335">
        <w:rPr>
          <w:lang w:val="en-GB"/>
        </w:rPr>
        <w:t xml:space="preserve">). The ratio of the flow energy at 0 mm/s and at </w:t>
      </w:r>
      <w:r>
        <w:rPr>
          <w:lang w:val="en-GB"/>
        </w:rPr>
        <w:t>4</w:t>
      </w:r>
      <w:r w:rsidRPr="009B5335">
        <w:rPr>
          <w:lang w:val="en-GB"/>
        </w:rPr>
        <w:t>0 mm/s was reported as AR40 ([AR40 ] = dimensionless).</w:t>
      </w:r>
    </w:p>
    <w:p w14:paraId="2EF767CF"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Charge density</w:t>
      </w:r>
    </w:p>
    <w:p w14:paraId="64562DDD" w14:textId="77777777" w:rsidR="00EA7445" w:rsidRPr="009B5335" w:rsidRDefault="00EA7445" w:rsidP="0038497A">
      <w:pPr>
        <w:spacing w:line="240" w:lineRule="auto"/>
        <w:rPr>
          <w:lang w:val="en-GB"/>
        </w:rPr>
      </w:pPr>
      <w:r w:rsidRPr="009B5335">
        <w:rPr>
          <w:lang w:val="en-GB"/>
        </w:rPr>
        <w:t>Charge density was measured in triplicate using an electric charge analyser (</w:t>
      </w:r>
      <w:proofErr w:type="spellStart"/>
      <w:r w:rsidRPr="009B5335">
        <w:rPr>
          <w:lang w:val="en-GB"/>
        </w:rPr>
        <w:t>GranuGharge</w:t>
      </w:r>
      <w:proofErr w:type="spellEnd"/>
      <w:r w:rsidRPr="009B5335">
        <w:rPr>
          <w:lang w:val="en-GB"/>
        </w:rPr>
        <w:t xml:space="preserve">, </w:t>
      </w:r>
      <w:proofErr w:type="spellStart"/>
      <w:r w:rsidRPr="009B5335">
        <w:rPr>
          <w:lang w:val="en-GB"/>
        </w:rPr>
        <w:t>Granutools</w:t>
      </w:r>
      <w:proofErr w:type="spellEnd"/>
      <w:r w:rsidRPr="009B5335">
        <w:rPr>
          <w:lang w:val="en-GB"/>
        </w:rPr>
        <w:t xml:space="preserve">, </w:t>
      </w:r>
      <w:proofErr w:type="spellStart"/>
      <w:r w:rsidRPr="009B5335">
        <w:rPr>
          <w:lang w:val="en-GB"/>
        </w:rPr>
        <w:t>Awans</w:t>
      </w:r>
      <w:proofErr w:type="spellEnd"/>
      <w:r w:rsidRPr="009B5335">
        <w:rPr>
          <w:lang w:val="en-GB"/>
        </w:rPr>
        <w:t>, Belgium). A vibrating feeder was used to feed 30 mL powder into two stainless steel tubes arranged in a V-shape to induce an electrostatic charge of the powder. Thereafter, the charged powder was collected in a Faraday cup connected to an electrometer. Charge density ([CD] = C/kg) was calculated as the ratio of net charge to the mass of the powder bed. The absolute value of the charge density was taken, as the net charge could be either negative or positive. All samples were measured in triplicate.</w:t>
      </w:r>
    </w:p>
    <w:p w14:paraId="592A63EE"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 xml:space="preserve">Specific surface area </w:t>
      </w:r>
    </w:p>
    <w:p w14:paraId="4A4889D6" w14:textId="77777777" w:rsidR="00EA7445" w:rsidRPr="009B5335" w:rsidRDefault="00EA7445" w:rsidP="0038497A">
      <w:pPr>
        <w:spacing w:line="240" w:lineRule="auto"/>
        <w:rPr>
          <w:lang w:val="en-GB"/>
        </w:rPr>
      </w:pPr>
      <w:r w:rsidRPr="009B5335">
        <w:rPr>
          <w:lang w:val="en-GB"/>
        </w:rPr>
        <w:t>Before specific surface area (</w:t>
      </w:r>
      <w:r>
        <w:rPr>
          <w:lang w:val="en-GB"/>
        </w:rPr>
        <w:t>[</w:t>
      </w:r>
      <w:r w:rsidRPr="009B5335">
        <w:rPr>
          <w:lang w:val="en-GB"/>
        </w:rPr>
        <w:t>SSA</w:t>
      </w:r>
      <w:r>
        <w:rPr>
          <w:lang w:val="en-GB"/>
        </w:rPr>
        <w:t xml:space="preserve">] = </w:t>
      </w:r>
      <w:r w:rsidRPr="009B5335">
        <w:rPr>
          <w:lang w:val="en-GB"/>
        </w:rPr>
        <w:t>m²/g) measurements were executed, the samples were degassed in vacuum (</w:t>
      </w:r>
      <w:proofErr w:type="spellStart"/>
      <w:r w:rsidRPr="009B5335">
        <w:rPr>
          <w:lang w:val="en-GB"/>
        </w:rPr>
        <w:t>VacPrep</w:t>
      </w:r>
      <w:proofErr w:type="spellEnd"/>
      <w:r w:rsidRPr="009B5335">
        <w:rPr>
          <w:lang w:val="en-GB"/>
        </w:rPr>
        <w:t xml:space="preserve"> Micrometrics, Norcross, USA) for 24 h at 60 °C and purged with nitrogen for 1 h to remove impurities. </w:t>
      </w:r>
      <w:r>
        <w:rPr>
          <w:lang w:val="en-GB"/>
        </w:rPr>
        <w:t>Afterwards</w:t>
      </w:r>
      <w:r w:rsidRPr="009B5335">
        <w:rPr>
          <w:lang w:val="en-GB"/>
        </w:rPr>
        <w:t>, the a</w:t>
      </w:r>
      <w:r>
        <w:rPr>
          <w:lang w:val="en-GB"/>
        </w:rPr>
        <w:t>d</w:t>
      </w:r>
      <w:r w:rsidRPr="009B5335">
        <w:rPr>
          <w:lang w:val="en-GB"/>
        </w:rPr>
        <w:t>sorption isotherm was determined by nitrogen a</w:t>
      </w:r>
      <w:r>
        <w:rPr>
          <w:lang w:val="en-GB"/>
        </w:rPr>
        <w:t>d</w:t>
      </w:r>
      <w:r w:rsidRPr="009B5335">
        <w:rPr>
          <w:lang w:val="en-GB"/>
        </w:rPr>
        <w:t>sorption (TriStar 3000 V6.08A, Micrometrics, Norcross, USA) and SSA was derived using</w:t>
      </w:r>
      <w:r>
        <w:rPr>
          <w:lang w:val="en-GB"/>
        </w:rPr>
        <w:t xml:space="preserve"> the</w:t>
      </w:r>
      <w:r w:rsidRPr="009B5335">
        <w:rPr>
          <w:lang w:val="en-GB"/>
        </w:rPr>
        <w:t xml:space="preserve"> </w:t>
      </w:r>
      <w:proofErr w:type="spellStart"/>
      <w:r w:rsidRPr="009B5335">
        <w:rPr>
          <w:lang w:val="en-GB"/>
        </w:rPr>
        <w:t>Brunauer</w:t>
      </w:r>
      <w:proofErr w:type="spellEnd"/>
      <w:r w:rsidRPr="009B5335">
        <w:rPr>
          <w:lang w:val="en-GB"/>
        </w:rPr>
        <w:t xml:space="preserve">-Emmett-Teller theory. </w:t>
      </w:r>
    </w:p>
    <w:p w14:paraId="5BDCB18E"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Water binding capacity</w:t>
      </w:r>
    </w:p>
    <w:p w14:paraId="3C94741F" w14:textId="054A5573" w:rsidR="00EA7445" w:rsidRPr="009B5335" w:rsidRDefault="00EA7445" w:rsidP="0038497A">
      <w:pPr>
        <w:spacing w:line="240" w:lineRule="auto"/>
        <w:rPr>
          <w:lang w:val="en-GB"/>
        </w:rPr>
      </w:pPr>
      <w:bookmarkStart w:id="11" w:name="_Hlk50382672"/>
      <w:r w:rsidRPr="009B5335">
        <w:rPr>
          <w:lang w:val="en-GB"/>
        </w:rPr>
        <w:t>Water binding capacity ([WBC] = %) is the tendency of a powder to bind and to hold water. 5.00 g of each material was transferred into centrifuge tubes and suspended in 20 m</w:t>
      </w:r>
      <w:r>
        <w:rPr>
          <w:lang w:val="en-GB"/>
        </w:rPr>
        <w:t>L</w:t>
      </w:r>
      <w:r w:rsidRPr="009B5335">
        <w:rPr>
          <w:lang w:val="en-GB"/>
        </w:rPr>
        <w:t xml:space="preserve"> of demineralized water. </w:t>
      </w:r>
      <w:r>
        <w:rPr>
          <w:lang w:val="en-GB"/>
        </w:rPr>
        <w:t>These</w:t>
      </w:r>
      <w:r w:rsidRPr="009B5335">
        <w:rPr>
          <w:lang w:val="en-GB"/>
        </w:rPr>
        <w:t xml:space="preserve"> tubes were centrifuged (Heraeus </w:t>
      </w:r>
      <w:proofErr w:type="spellStart"/>
      <w:r w:rsidRPr="009B5335">
        <w:rPr>
          <w:lang w:val="en-GB"/>
        </w:rPr>
        <w:t>Multifuge</w:t>
      </w:r>
      <w:proofErr w:type="spellEnd"/>
      <w:r w:rsidRPr="009B5335">
        <w:rPr>
          <w:lang w:val="en-GB"/>
        </w:rPr>
        <w:t xml:space="preserve"> 3 S-R, Thermo scientific, USA) at 4000 rpm for 25 minutes. </w:t>
      </w:r>
      <w:r>
        <w:rPr>
          <w:lang w:val="en-GB"/>
        </w:rPr>
        <w:t>The</w:t>
      </w:r>
      <w:r w:rsidRPr="009B5335">
        <w:rPr>
          <w:lang w:val="en-GB"/>
        </w:rPr>
        <w:t xml:space="preserve"> supernatant was discarded and </w:t>
      </w:r>
      <w:r>
        <w:rPr>
          <w:lang w:val="en-GB"/>
        </w:rPr>
        <w:t xml:space="preserve">the </w:t>
      </w:r>
      <w:r w:rsidRPr="009B5335">
        <w:rPr>
          <w:lang w:val="en-GB"/>
        </w:rPr>
        <w:t xml:space="preserve">sample weight ([m] = g) was recorded. WBC was calculated as per </w:t>
      </w:r>
      <w:r>
        <w:rPr>
          <w:lang w:val="en-GB"/>
        </w:rPr>
        <w:t>E</w:t>
      </w:r>
      <w:r w:rsidRPr="009B5335">
        <w:rPr>
          <w:lang w:val="en-GB"/>
        </w:rPr>
        <w:t xml:space="preserve">quation 9. Any negative values that results from the powder dissolving during the experiment were considered as zero.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EA7445" w:rsidRPr="009B5335" w14:paraId="01D040BC" w14:textId="77777777" w:rsidTr="00EA7445">
        <w:tc>
          <w:tcPr>
            <w:tcW w:w="704" w:type="dxa"/>
          </w:tcPr>
          <w:p w14:paraId="26379371" w14:textId="77777777" w:rsidR="00EA7445" w:rsidRPr="009B5335" w:rsidRDefault="00EA7445" w:rsidP="0038497A">
            <w:pPr>
              <w:spacing w:line="240" w:lineRule="auto"/>
              <w:rPr>
                <w:lang w:val="en-GB"/>
              </w:rPr>
            </w:pPr>
          </w:p>
        </w:tc>
        <w:tc>
          <w:tcPr>
            <w:tcW w:w="7655" w:type="dxa"/>
          </w:tcPr>
          <w:p w14:paraId="3D202926" w14:textId="77777777" w:rsidR="00EA7445" w:rsidRPr="009B5335" w:rsidRDefault="00EA7445" w:rsidP="0038497A">
            <w:pPr>
              <w:spacing w:line="240" w:lineRule="auto"/>
              <w:rPr>
                <w:lang w:val="en-GB"/>
              </w:rPr>
            </w:pPr>
            <m:oMathPara>
              <m:oMath>
                <m:r>
                  <w:rPr>
                    <w:rFonts w:ascii="Cambria Math" w:hAnsi="Cambria Math"/>
                  </w:rPr>
                  <m:t>WBC</m:t>
                </m:r>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 xml:space="preserve"> </m:t>
                    </m:r>
                    <m:d>
                      <m:dPr>
                        <m:ctrlPr>
                          <w:rPr>
                            <w:rFonts w:ascii="Cambria Math" w:hAnsi="Cambria Math"/>
                          </w:rPr>
                        </m:ctrlPr>
                      </m:dPr>
                      <m:e>
                        <m:r>
                          <w:rPr>
                            <w:rFonts w:ascii="Cambria Math" w:hAnsi="Cambria Math"/>
                          </w:rPr>
                          <m:t>wet</m:t>
                        </m:r>
                        <m:r>
                          <m:rPr>
                            <m:sty m:val="p"/>
                          </m:rPr>
                          <w:rPr>
                            <w:rFonts w:ascii="Cambria Math" w:hAnsi="Cambria Math"/>
                          </w:rPr>
                          <m:t xml:space="preserve"> </m:t>
                        </m:r>
                        <m:r>
                          <w:rPr>
                            <w:rFonts w:ascii="Cambria Math" w:hAnsi="Cambria Math"/>
                          </w:rPr>
                          <m:t>powder</m:t>
                        </m:r>
                      </m:e>
                    </m:d>
                    <m:r>
                      <m:rPr>
                        <m:sty m:val="p"/>
                      </m:rPr>
                      <w:rPr>
                        <w:rFonts w:ascii="Cambria Math" w:hAnsi="Cambria Math"/>
                      </w:rPr>
                      <m:t>-</m:t>
                    </m:r>
                    <m:r>
                      <w:rPr>
                        <w:rFonts w:ascii="Cambria Math" w:hAnsi="Cambria Math"/>
                      </w:rPr>
                      <m:t xml:space="preserve">m </m:t>
                    </m:r>
                    <m:r>
                      <m:rPr>
                        <m:sty m:val="p"/>
                      </m:rPr>
                      <w:rPr>
                        <w:rFonts w:ascii="Cambria Math" w:hAnsi="Cambria Math"/>
                      </w:rPr>
                      <m:t>(</m:t>
                    </m:r>
                    <m:r>
                      <w:rPr>
                        <w:rFonts w:ascii="Cambria Math" w:hAnsi="Cambria Math"/>
                      </w:rPr>
                      <m:t>dry</m:t>
                    </m:r>
                    <m:r>
                      <m:rPr>
                        <m:sty m:val="p"/>
                      </m:rPr>
                      <w:rPr>
                        <w:rFonts w:ascii="Cambria Math" w:hAnsi="Cambria Math"/>
                      </w:rPr>
                      <m:t xml:space="preserve"> </m:t>
                    </m:r>
                    <m:r>
                      <w:rPr>
                        <w:rFonts w:ascii="Cambria Math" w:hAnsi="Cambria Math"/>
                      </w:rPr>
                      <m:t>powder</m:t>
                    </m:r>
                    <m:r>
                      <m:rPr>
                        <m:sty m:val="p"/>
                      </m:rPr>
                      <w:rPr>
                        <w:rFonts w:ascii="Cambria Math" w:hAnsi="Cambria Math"/>
                      </w:rPr>
                      <m:t xml:space="preserve"> )</m:t>
                    </m:r>
                  </m:num>
                  <m:den>
                    <m:r>
                      <w:rPr>
                        <w:rFonts w:ascii="Cambria Math" w:hAnsi="Cambria Math"/>
                      </w:rPr>
                      <m:t>m</m:t>
                    </m:r>
                    <m:r>
                      <m:rPr>
                        <m:sty m:val="p"/>
                      </m:rPr>
                      <w:rPr>
                        <w:rFonts w:ascii="Cambria Math" w:hAnsi="Cambria Math"/>
                      </w:rPr>
                      <m:t xml:space="preserve"> </m:t>
                    </m:r>
                    <m:d>
                      <m:dPr>
                        <m:ctrlPr>
                          <w:rPr>
                            <w:rFonts w:ascii="Cambria Math" w:hAnsi="Cambria Math"/>
                          </w:rPr>
                        </m:ctrlPr>
                      </m:dPr>
                      <m:e>
                        <m:r>
                          <w:rPr>
                            <w:rFonts w:ascii="Cambria Math" w:hAnsi="Cambria Math"/>
                          </w:rPr>
                          <m:t>dry</m:t>
                        </m:r>
                        <m:r>
                          <m:rPr>
                            <m:sty m:val="p"/>
                          </m:rPr>
                          <w:rPr>
                            <w:rFonts w:ascii="Cambria Math" w:hAnsi="Cambria Math"/>
                          </w:rPr>
                          <m:t xml:space="preserve"> </m:t>
                        </m:r>
                        <m:r>
                          <w:rPr>
                            <w:rFonts w:ascii="Cambria Math" w:hAnsi="Cambria Math"/>
                          </w:rPr>
                          <m:t>powder</m:t>
                        </m:r>
                      </m:e>
                    </m:d>
                  </m:den>
                </m:f>
              </m:oMath>
            </m:oMathPara>
          </w:p>
        </w:tc>
        <w:tc>
          <w:tcPr>
            <w:tcW w:w="703" w:type="dxa"/>
          </w:tcPr>
          <w:p w14:paraId="15D75B24" w14:textId="5782F6D2" w:rsidR="00EA7445" w:rsidRPr="009B5335" w:rsidRDefault="00EA7445" w:rsidP="0038497A">
            <w:pPr>
              <w:spacing w:line="240" w:lineRule="auto"/>
              <w:rPr>
                <w:lang w:val="en-GB"/>
              </w:rPr>
            </w:pPr>
            <w:r w:rsidRPr="009B5335">
              <w:rPr>
                <w:lang w:val="en-GB"/>
              </w:rPr>
              <w:t>[</w:t>
            </w:r>
            <w:r>
              <w:rPr>
                <w:lang w:val="en-GB"/>
              </w:rPr>
              <w:t>9</w:t>
            </w:r>
            <w:r w:rsidRPr="009B5335">
              <w:rPr>
                <w:lang w:val="en-GB"/>
              </w:rPr>
              <w:t>]</w:t>
            </w:r>
          </w:p>
        </w:tc>
      </w:tr>
    </w:tbl>
    <w:bookmarkEnd w:id="11"/>
    <w:p w14:paraId="2D5018CE"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lastRenderedPageBreak/>
        <w:t>Solubility</w:t>
      </w:r>
    </w:p>
    <w:p w14:paraId="74D46CA1" w14:textId="2C92EC36" w:rsidR="00EA7445" w:rsidRPr="009B5335" w:rsidRDefault="00EA7445" w:rsidP="0038497A">
      <w:pPr>
        <w:spacing w:line="240" w:lineRule="auto"/>
        <w:rPr>
          <w:lang w:val="en-GB"/>
        </w:rPr>
      </w:pPr>
      <w:r w:rsidRPr="009B5335">
        <w:rPr>
          <w:lang w:val="en-GB"/>
        </w:rPr>
        <w:t>The maximal solubility ([</w:t>
      </w:r>
      <w:proofErr w:type="spellStart"/>
      <w:r w:rsidRPr="009B5335">
        <w:rPr>
          <w:lang w:val="en-GB"/>
        </w:rPr>
        <w:t>S</w:t>
      </w:r>
      <w:r w:rsidRPr="009B5335">
        <w:rPr>
          <w:vertAlign w:val="subscript"/>
          <w:lang w:val="en-GB"/>
        </w:rPr>
        <w:t>true</w:t>
      </w:r>
      <w:proofErr w:type="spellEnd"/>
      <w:r w:rsidRPr="009B5335">
        <w:rPr>
          <w:lang w:val="en-GB"/>
        </w:rPr>
        <w:t>] = g/100mL) of each powder was empirically determined by gradually adding powder to 100 g of demineralized water. The temperature of the mixture was kept constant at 23</w:t>
      </w:r>
      <w:r>
        <w:rPr>
          <w:lang w:val="en-GB"/>
        </w:rPr>
        <w:t xml:space="preserve"> </w:t>
      </w:r>
      <w:r w:rsidRPr="009B5335">
        <w:rPr>
          <w:lang w:val="en-GB"/>
        </w:rPr>
        <w:t xml:space="preserve">°C. A petri dish was used to protect the mixture from evaporation and a stirring bar was added to obtain optimal wetting of the powder. More water was added when the maximal solubility was exceeded or additional powder was added when maximal solubility was not yet reached. The maximal solubility was calculated by </w:t>
      </w:r>
      <w:r>
        <w:rPr>
          <w:lang w:val="en-GB"/>
        </w:rPr>
        <w:t>E</w:t>
      </w:r>
      <w:r w:rsidRPr="009B5335">
        <w:rPr>
          <w:lang w:val="en-GB"/>
        </w:rPr>
        <w:t>quation 10.</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EA7445" w:rsidRPr="009B5335" w14:paraId="1C171127" w14:textId="77777777" w:rsidTr="00EA7445">
        <w:tc>
          <w:tcPr>
            <w:tcW w:w="704" w:type="dxa"/>
          </w:tcPr>
          <w:p w14:paraId="14584C82" w14:textId="77777777" w:rsidR="00EA7445" w:rsidRPr="009B5335" w:rsidRDefault="00EA7445" w:rsidP="0038497A">
            <w:pPr>
              <w:spacing w:line="240" w:lineRule="auto"/>
              <w:rPr>
                <w:lang w:val="en-GB"/>
              </w:rPr>
            </w:pPr>
          </w:p>
        </w:tc>
        <w:tc>
          <w:tcPr>
            <w:tcW w:w="7655" w:type="dxa"/>
          </w:tcPr>
          <w:p w14:paraId="1A7BDFFC" w14:textId="77777777" w:rsidR="00EA7445" w:rsidRPr="009B5335" w:rsidRDefault="00A7736B" w:rsidP="0038497A">
            <w:pPr>
              <w:spacing w:line="240" w:lineRule="auto"/>
              <w:rPr>
                <w:lang w:val="en-GB"/>
              </w:rPr>
            </w:pPr>
            <m:oMathPara>
              <m:oMath>
                <m:sSub>
                  <m:sSubPr>
                    <m:ctrlPr>
                      <w:rPr>
                        <w:rFonts w:ascii="Cambria Math" w:hAnsi="Cambria Math"/>
                        <w:i/>
                      </w:rPr>
                    </m:ctrlPr>
                  </m:sSubPr>
                  <m:e>
                    <m:r>
                      <m:rPr>
                        <m:nor/>
                      </m:rPr>
                      <w:rPr>
                        <w:i/>
                        <w:lang w:val="en-GB"/>
                      </w:rPr>
                      <m:t>S</m:t>
                    </m:r>
                  </m:e>
                  <m:sub>
                    <m:r>
                      <m:rPr>
                        <m:nor/>
                      </m:rPr>
                      <w:rPr>
                        <w:i/>
                        <w:lang w:val="en-GB"/>
                      </w:rPr>
                      <m:t xml:space="preserve">true </m:t>
                    </m:r>
                  </m:sub>
                </m:sSub>
                <m:r>
                  <m:rPr>
                    <m:nor/>
                  </m:rPr>
                  <w:rPr>
                    <w:i/>
                    <w:lang w:val="en-GB"/>
                  </w:rPr>
                  <m:t xml:space="preserve">= </m:t>
                </m:r>
                <m:f>
                  <m:fPr>
                    <m:ctrlPr>
                      <w:rPr>
                        <w:rFonts w:ascii="Cambria Math" w:hAnsi="Cambria Math"/>
                        <w:i/>
                      </w:rPr>
                    </m:ctrlPr>
                  </m:fPr>
                  <m:num>
                    <m:sSub>
                      <m:sSubPr>
                        <m:ctrlPr>
                          <w:rPr>
                            <w:rFonts w:ascii="Cambria Math" w:hAnsi="Cambria Math"/>
                            <w:i/>
                          </w:rPr>
                        </m:ctrlPr>
                      </m:sSubPr>
                      <m:e>
                        <m:r>
                          <m:rPr>
                            <m:nor/>
                          </m:rPr>
                          <w:rPr>
                            <w:i/>
                            <w:lang w:val="en-GB"/>
                          </w:rPr>
                          <m:t>m</m:t>
                        </m:r>
                      </m:e>
                      <m:sub>
                        <m:r>
                          <w:rPr>
                            <w:rFonts w:ascii="Cambria Math" w:hAnsi="Cambria Math"/>
                          </w:rPr>
                          <m:t>powder</m:t>
                        </m:r>
                      </m:sub>
                    </m:sSub>
                    <m:r>
                      <w:rPr>
                        <w:rFonts w:ascii="Cambria Math" w:hAnsi="Cambria Math"/>
                        <w:lang w:val="en-GB"/>
                      </w:rPr>
                      <m:t xml:space="preserve"> [g]</m:t>
                    </m:r>
                  </m:num>
                  <m:den>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GB"/>
                                  </w:rPr>
                                  <m:t>m</m:t>
                                </m:r>
                              </m:e>
                              <m:sub>
                                <m:r>
                                  <w:rPr>
                                    <w:rFonts w:ascii="Cambria Math" w:hAnsi="Cambria Math"/>
                                  </w:rPr>
                                  <m:t>powder</m:t>
                                </m:r>
                              </m:sub>
                            </m:sSub>
                            <m:r>
                              <w:rPr>
                                <w:rFonts w:ascii="Cambria Math" w:hAnsi="Cambria Math"/>
                                <w:lang w:val="en-GB"/>
                              </w:rPr>
                              <m:t>[g]</m:t>
                            </m:r>
                          </m:num>
                          <m:den>
                            <m:sSub>
                              <m:sSubPr>
                                <m:ctrlPr>
                                  <w:rPr>
                                    <w:rFonts w:ascii="Cambria Math" w:hAnsi="Cambria Math"/>
                                    <w:i/>
                                  </w:rPr>
                                </m:ctrlPr>
                              </m:sSubPr>
                              <m:e>
                                <m:r>
                                  <w:rPr>
                                    <w:rFonts w:ascii="Cambria Math" w:hAnsi="Cambria Math"/>
                                  </w:rPr>
                                  <m:t>ρ</m:t>
                                </m:r>
                              </m:e>
                              <m:sub>
                                <m:r>
                                  <w:rPr>
                                    <w:rFonts w:ascii="Cambria Math" w:hAnsi="Cambria Math"/>
                                    <w:lang w:val="en-GB"/>
                                  </w:rPr>
                                  <m:t>powder</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g</m:t>
                                </m:r>
                              </m:num>
                              <m:den>
                                <m:r>
                                  <w:rPr>
                                    <w:rFonts w:ascii="Cambria Math" w:hAnsi="Cambria Math"/>
                                    <w:lang w:val="en-GB"/>
                                  </w:rPr>
                                  <m:t>mL</m:t>
                                </m:r>
                              </m:den>
                            </m:f>
                            <m:r>
                              <w:rPr>
                                <w:rFonts w:ascii="Cambria Math" w:hAnsi="Cambria Math"/>
                                <w:lang w:val="en-GB"/>
                              </w:rPr>
                              <m:t>]</m:t>
                            </m:r>
                          </m:den>
                        </m:f>
                      </m:e>
                    </m:d>
                    <m:r>
                      <m:rPr>
                        <m:nor/>
                      </m:rPr>
                      <w:rPr>
                        <w:i/>
                        <w:lang w:val="en-GB"/>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GB"/>
                                  </w:rPr>
                                  <m:t>m</m:t>
                                </m:r>
                              </m:e>
                              <m:sub>
                                <m:r>
                                  <w:rPr>
                                    <w:rFonts w:ascii="Cambria Math" w:hAnsi="Cambria Math"/>
                                  </w:rPr>
                                  <m:t>water</m:t>
                                </m:r>
                              </m:sub>
                            </m:sSub>
                            <m:r>
                              <w:rPr>
                                <w:rFonts w:ascii="Cambria Math" w:hAnsi="Cambria Math"/>
                                <w:lang w:val="en-GB"/>
                              </w:rPr>
                              <m:t>[</m:t>
                            </m:r>
                            <m:r>
                              <w:rPr>
                                <w:rFonts w:ascii="Cambria Math" w:hAnsi="Cambria Math"/>
                              </w:rPr>
                              <m:t>g</m:t>
                            </m:r>
                            <m:r>
                              <w:rPr>
                                <w:rFonts w:ascii="Cambria Math" w:hAnsi="Cambria Math"/>
                                <w:lang w:val="en-GB"/>
                              </w:rPr>
                              <m:t>]</m:t>
                            </m:r>
                          </m:num>
                          <m:den>
                            <m:sSub>
                              <m:sSubPr>
                                <m:ctrlPr>
                                  <w:rPr>
                                    <w:rFonts w:ascii="Cambria Math" w:hAnsi="Cambria Math"/>
                                    <w:i/>
                                  </w:rPr>
                                </m:ctrlPr>
                              </m:sSubPr>
                              <m:e>
                                <m:r>
                                  <w:rPr>
                                    <w:rFonts w:ascii="Cambria Math" w:hAnsi="Cambria Math"/>
                                  </w:rPr>
                                  <m:t>ρ</m:t>
                                </m:r>
                              </m:e>
                              <m:sub>
                                <m:r>
                                  <w:rPr>
                                    <w:rFonts w:ascii="Cambria Math" w:hAnsi="Cambria Math"/>
                                  </w:rPr>
                                  <m:t>water</m:t>
                                </m:r>
                              </m:sub>
                            </m:sSub>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g</m:t>
                                </m:r>
                              </m:num>
                              <m:den>
                                <m:r>
                                  <w:rPr>
                                    <w:rFonts w:ascii="Cambria Math" w:hAnsi="Cambria Math"/>
                                    <w:lang w:val="en-GB"/>
                                  </w:rPr>
                                  <m:t>mL</m:t>
                                </m:r>
                              </m:den>
                            </m:f>
                            <m:r>
                              <w:rPr>
                                <w:rFonts w:ascii="Cambria Math" w:hAnsi="Cambria Math"/>
                                <w:lang w:val="en-GB"/>
                              </w:rPr>
                              <m:t>]</m:t>
                            </m:r>
                          </m:den>
                        </m:f>
                      </m:e>
                    </m:d>
                    <m:r>
                      <m:rPr>
                        <m:nor/>
                      </m:rPr>
                      <w:rPr>
                        <w:i/>
                        <w:lang w:val="en-GB"/>
                      </w:rPr>
                      <m:t>+</m:t>
                    </m:r>
                    <m:sSub>
                      <m:sSubPr>
                        <m:ctrlPr>
                          <w:rPr>
                            <w:rFonts w:ascii="Cambria Math" w:hAnsi="Cambria Math"/>
                            <w:i/>
                          </w:rPr>
                        </m:ctrlPr>
                      </m:sSubPr>
                      <m:e>
                        <m:r>
                          <m:rPr>
                            <m:nor/>
                          </m:rPr>
                          <w:rPr>
                            <w:i/>
                            <w:lang w:val="en-GB"/>
                          </w:rPr>
                          <m:t>V</m:t>
                        </m:r>
                      </m:e>
                      <m:sub>
                        <m:r>
                          <w:rPr>
                            <w:rFonts w:ascii="Cambria Math" w:hAnsi="Cambria Math"/>
                          </w:rPr>
                          <m:t>water</m:t>
                        </m:r>
                      </m:sub>
                    </m:sSub>
                    <m:r>
                      <w:rPr>
                        <w:rFonts w:ascii="Cambria Math" w:hAnsi="Cambria Math"/>
                        <w:lang w:val="en-GB"/>
                      </w:rPr>
                      <m:t>[mL]</m:t>
                    </m:r>
                  </m:den>
                </m:f>
                <m:r>
                  <m:rPr>
                    <m:nor/>
                  </m:rPr>
                  <w:rPr>
                    <w:i/>
                    <w:lang w:val="en-GB"/>
                  </w:rPr>
                  <m:t>*100</m:t>
                </m:r>
              </m:oMath>
            </m:oMathPara>
          </w:p>
        </w:tc>
        <w:tc>
          <w:tcPr>
            <w:tcW w:w="703" w:type="dxa"/>
          </w:tcPr>
          <w:p w14:paraId="1D4C8856" w14:textId="00E20FF8" w:rsidR="00EA7445" w:rsidRPr="009B5335" w:rsidRDefault="00EA7445" w:rsidP="0038497A">
            <w:pPr>
              <w:spacing w:line="240" w:lineRule="auto"/>
              <w:rPr>
                <w:lang w:val="en-GB"/>
              </w:rPr>
            </w:pPr>
            <w:r w:rsidRPr="009B5335">
              <w:rPr>
                <w:lang w:val="en-GB"/>
              </w:rPr>
              <w:t>[</w:t>
            </w:r>
            <w:r>
              <w:rPr>
                <w:lang w:val="en-GB"/>
              </w:rPr>
              <w:t>10</w:t>
            </w:r>
            <w:r w:rsidRPr="009B5335">
              <w:rPr>
                <w:lang w:val="en-GB"/>
              </w:rPr>
              <w:t>]</w:t>
            </w:r>
          </w:p>
        </w:tc>
      </w:tr>
    </w:tbl>
    <w:p w14:paraId="3BF9CAB4" w14:textId="77777777" w:rsidR="00EA7445" w:rsidRPr="009B5335" w:rsidRDefault="00EA7445" w:rsidP="0038497A">
      <w:pPr>
        <w:spacing w:line="240" w:lineRule="auto"/>
        <w:rPr>
          <w:lang w:val="en-GB"/>
        </w:rPr>
      </w:pPr>
      <w:r w:rsidRPr="009B5335">
        <w:rPr>
          <w:lang w:val="en-GB"/>
        </w:rPr>
        <w:t>Where</w:t>
      </w:r>
      <m:oMath>
        <m:r>
          <w:rPr>
            <w:rFonts w:ascii="Cambria Math" w:hAnsi="Cambria Math"/>
            <w:lang w:val="en-GB"/>
          </w:rPr>
          <m:t xml:space="preserve"> </m:t>
        </m:r>
        <m:r>
          <m:rPr>
            <m:nor/>
          </m:rPr>
          <w:rPr>
            <w:i/>
            <w:lang w:val="en-GB"/>
          </w:rPr>
          <m:t>m</m:t>
        </m:r>
        <m:r>
          <m:rPr>
            <m:nor/>
          </m:rPr>
          <w:rPr>
            <w:i/>
            <w:vertAlign w:val="subscript"/>
            <w:lang w:val="en-GB"/>
          </w:rPr>
          <m:t>powder</m:t>
        </m:r>
      </m:oMath>
      <w:r w:rsidRPr="009B5335">
        <w:rPr>
          <w:lang w:val="en-GB"/>
        </w:rPr>
        <w:t xml:space="preserve"> is the amount of powder, </w:t>
      </w:r>
      <m:oMath>
        <m:r>
          <m:rPr>
            <m:nor/>
          </m:rPr>
          <w:rPr>
            <w:i/>
          </w:rPr>
          <m:t>ρ</m:t>
        </m:r>
        <m:r>
          <m:rPr>
            <m:nor/>
          </m:rPr>
          <w:rPr>
            <w:i/>
            <w:vertAlign w:val="subscript"/>
            <w:lang w:val="en-GB"/>
          </w:rPr>
          <m:t>powder</m:t>
        </m:r>
      </m:oMath>
      <w:r w:rsidRPr="009B5335">
        <w:rPr>
          <w:lang w:val="en-GB"/>
        </w:rPr>
        <w:t xml:space="preserve"> is the true density of the powder, </w:t>
      </w:r>
      <m:oMath>
        <m:sSub>
          <m:sSubPr>
            <m:ctrlPr>
              <w:rPr>
                <w:rFonts w:ascii="Cambria Math" w:hAnsi="Cambria Math"/>
                <w:i/>
              </w:rPr>
            </m:ctrlPr>
          </m:sSubPr>
          <m:e>
            <m:r>
              <m:rPr>
                <m:nor/>
              </m:rPr>
              <w:rPr>
                <w:i/>
                <w:lang w:val="en-GB"/>
              </w:rPr>
              <m:t>m</m:t>
            </m:r>
          </m:e>
          <m:sub>
            <m:r>
              <m:rPr>
                <m:nor/>
              </m:rPr>
              <w:rPr>
                <w:i/>
                <w:lang w:val="en-GB"/>
              </w:rPr>
              <m:t>water</m:t>
            </m:r>
          </m:sub>
        </m:sSub>
      </m:oMath>
      <w:r w:rsidRPr="009B5335">
        <w:rPr>
          <w:lang w:val="en-GB"/>
        </w:rPr>
        <w:t xml:space="preserve"> is the initial amount of water,  </w:t>
      </w:r>
      <m:oMath>
        <m:sSub>
          <m:sSubPr>
            <m:ctrlPr>
              <w:rPr>
                <w:rFonts w:ascii="Cambria Math" w:hAnsi="Cambria Math"/>
                <w:i/>
              </w:rPr>
            </m:ctrlPr>
          </m:sSubPr>
          <m:e>
            <m:r>
              <m:rPr>
                <m:nor/>
              </m:rPr>
              <w:rPr>
                <w:i/>
              </w:rPr>
              <m:t>ρ</m:t>
            </m:r>
          </m:e>
          <m:sub>
            <m:r>
              <m:rPr>
                <m:nor/>
              </m:rPr>
              <w:rPr>
                <w:i/>
                <w:lang w:val="en-GB"/>
              </w:rPr>
              <m:t>water</m:t>
            </m:r>
          </m:sub>
        </m:sSub>
      </m:oMath>
      <w:r w:rsidRPr="009B5335">
        <w:rPr>
          <w:lang w:val="en-GB"/>
        </w:rPr>
        <w:t xml:space="preserve"> is the density of water at 23</w:t>
      </w:r>
      <w:r>
        <w:rPr>
          <w:lang w:val="en-GB"/>
        </w:rPr>
        <w:t xml:space="preserve"> </w:t>
      </w:r>
      <w:r w:rsidRPr="009B5335">
        <w:rPr>
          <w:lang w:val="en-GB"/>
        </w:rPr>
        <w:t xml:space="preserve">°C and </w:t>
      </w:r>
      <m:oMath>
        <m:sSub>
          <m:sSubPr>
            <m:ctrlPr>
              <w:rPr>
                <w:rFonts w:ascii="Cambria Math" w:hAnsi="Cambria Math"/>
                <w:i/>
              </w:rPr>
            </m:ctrlPr>
          </m:sSubPr>
          <m:e>
            <m:r>
              <m:rPr>
                <m:nor/>
              </m:rPr>
              <w:rPr>
                <w:i/>
                <w:lang w:val="en-GB"/>
              </w:rPr>
              <m:t>V</m:t>
            </m:r>
          </m:e>
          <m:sub>
            <m:r>
              <w:rPr>
                <w:rFonts w:ascii="Cambria Math" w:hAnsi="Cambria Math"/>
              </w:rPr>
              <m:t>water</m:t>
            </m:r>
          </m:sub>
        </m:sSub>
      </m:oMath>
      <w:r w:rsidRPr="009B5335">
        <w:rPr>
          <w:lang w:val="en-GB"/>
        </w:rPr>
        <w:t xml:space="preserve"> is the additional volume of water. As maize starch and the different grades of microcrystalline cellulose are insoluble, their solubility value was set at 1x10</w:t>
      </w:r>
      <w:r w:rsidRPr="009B5335">
        <w:rPr>
          <w:vertAlign w:val="superscript"/>
          <w:lang w:val="en-GB"/>
        </w:rPr>
        <w:t>-8</w:t>
      </w:r>
      <w:r w:rsidRPr="009B5335">
        <w:rPr>
          <w:lang w:val="en-GB"/>
        </w:rPr>
        <w:t xml:space="preserve"> g/100mL.</w:t>
      </w:r>
    </w:p>
    <w:p w14:paraId="78E22471"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Dissolution rate</w:t>
      </w:r>
    </w:p>
    <w:p w14:paraId="169D0714" w14:textId="795F5444" w:rsidR="00EA7445" w:rsidRPr="009B5335" w:rsidRDefault="00EA7445" w:rsidP="0038497A">
      <w:pPr>
        <w:spacing w:line="240" w:lineRule="auto"/>
        <w:rPr>
          <w:lang w:val="en-GB"/>
        </w:rPr>
      </w:pPr>
      <w:bookmarkStart w:id="12" w:name="_Hlk50382849"/>
      <w:r w:rsidRPr="009B5335">
        <w:rPr>
          <w:lang w:val="en-GB"/>
        </w:rPr>
        <w:t xml:space="preserve">A customized closed configuration system of the USP4 Flow-Through Dissolution Systems (Figure </w:t>
      </w:r>
      <w:r w:rsidR="00014893">
        <w:rPr>
          <w:lang w:val="en-GB"/>
        </w:rPr>
        <w:t>S2</w:t>
      </w:r>
      <w:r w:rsidRPr="009B5335">
        <w:rPr>
          <w:lang w:val="en-GB"/>
        </w:rPr>
        <w:t>) (</w:t>
      </w:r>
      <w:proofErr w:type="spellStart"/>
      <w:r w:rsidRPr="009B5335">
        <w:rPr>
          <w:lang w:val="en-GB"/>
        </w:rPr>
        <w:t>Sotax</w:t>
      </w:r>
      <w:proofErr w:type="spellEnd"/>
      <w:r w:rsidRPr="009B5335">
        <w:rPr>
          <w:lang w:val="en-GB"/>
        </w:rPr>
        <w:t xml:space="preserve">, </w:t>
      </w:r>
      <w:proofErr w:type="spellStart"/>
      <w:r w:rsidRPr="009B5335">
        <w:rPr>
          <w:lang w:val="en-GB"/>
        </w:rPr>
        <w:t>Allschwil</w:t>
      </w:r>
      <w:proofErr w:type="spellEnd"/>
      <w:r w:rsidRPr="009B5335">
        <w:rPr>
          <w:lang w:val="en-GB"/>
        </w:rPr>
        <w:t>, Switzerland) was used to determine dissolution rate. The configuration consisted of 4 parts: (</w:t>
      </w:r>
      <w:proofErr w:type="spellStart"/>
      <w:r w:rsidRPr="009B5335">
        <w:rPr>
          <w:lang w:val="en-GB"/>
        </w:rPr>
        <w:t>i</w:t>
      </w:r>
      <w:proofErr w:type="spellEnd"/>
      <w:r w:rsidRPr="009B5335">
        <w:rPr>
          <w:lang w:val="en-GB"/>
        </w:rPr>
        <w:t>) a piston pump (</w:t>
      </w:r>
      <w:proofErr w:type="spellStart"/>
      <w:r w:rsidRPr="009B5335">
        <w:rPr>
          <w:lang w:val="en-GB"/>
        </w:rPr>
        <w:t>Sotax</w:t>
      </w:r>
      <w:proofErr w:type="spellEnd"/>
      <w:r w:rsidRPr="009B5335">
        <w:rPr>
          <w:lang w:val="en-GB"/>
        </w:rPr>
        <w:t xml:space="preserve"> Cp 7-35, </w:t>
      </w:r>
      <w:proofErr w:type="spellStart"/>
      <w:r w:rsidRPr="009B5335">
        <w:rPr>
          <w:lang w:val="en-GB"/>
        </w:rPr>
        <w:t>Sotax</w:t>
      </w:r>
      <w:proofErr w:type="spellEnd"/>
      <w:r w:rsidRPr="009B5335">
        <w:rPr>
          <w:lang w:val="en-GB"/>
        </w:rPr>
        <w:t xml:space="preserve">, </w:t>
      </w:r>
      <w:proofErr w:type="spellStart"/>
      <w:r w:rsidRPr="009B5335">
        <w:rPr>
          <w:lang w:val="en-GB"/>
        </w:rPr>
        <w:t>Allschwil</w:t>
      </w:r>
      <w:proofErr w:type="spellEnd"/>
      <w:r w:rsidRPr="009B5335">
        <w:rPr>
          <w:lang w:val="en-GB"/>
        </w:rPr>
        <w:t xml:space="preserve">, Switzerland) to transport </w:t>
      </w:r>
      <w:r>
        <w:rPr>
          <w:lang w:val="en-GB"/>
        </w:rPr>
        <w:t>the dissolution medium through the system</w:t>
      </w:r>
      <w:r w:rsidRPr="009B5335">
        <w:rPr>
          <w:lang w:val="en-GB"/>
        </w:rPr>
        <w:t>, (ii) a flow cell (</w:t>
      </w:r>
      <w:proofErr w:type="spellStart"/>
      <w:r w:rsidRPr="009B5335">
        <w:rPr>
          <w:lang w:val="en-GB"/>
        </w:rPr>
        <w:t>Sotax</w:t>
      </w:r>
      <w:proofErr w:type="spellEnd"/>
      <w:r w:rsidRPr="009B5335">
        <w:rPr>
          <w:lang w:val="en-GB"/>
        </w:rPr>
        <w:t xml:space="preserve"> CE 7 smart, </w:t>
      </w:r>
      <w:proofErr w:type="spellStart"/>
      <w:r w:rsidRPr="009B5335">
        <w:rPr>
          <w:lang w:val="en-GB"/>
        </w:rPr>
        <w:t>Sotax</w:t>
      </w:r>
      <w:proofErr w:type="spellEnd"/>
      <w:r w:rsidRPr="009B5335">
        <w:rPr>
          <w:lang w:val="en-GB"/>
        </w:rPr>
        <w:t xml:space="preserve">, </w:t>
      </w:r>
      <w:proofErr w:type="spellStart"/>
      <w:r w:rsidRPr="009B5335">
        <w:rPr>
          <w:lang w:val="en-GB"/>
        </w:rPr>
        <w:t>Allschwil</w:t>
      </w:r>
      <w:proofErr w:type="spellEnd"/>
      <w:r w:rsidRPr="009B5335">
        <w:rPr>
          <w:lang w:val="en-GB"/>
        </w:rPr>
        <w:t xml:space="preserve">, </w:t>
      </w:r>
      <w:proofErr w:type="spellStart"/>
      <w:r w:rsidRPr="009B5335">
        <w:rPr>
          <w:lang w:val="en-GB"/>
        </w:rPr>
        <w:t>Switserland</w:t>
      </w:r>
      <w:proofErr w:type="spellEnd"/>
      <w:r w:rsidRPr="009B5335">
        <w:rPr>
          <w:lang w:val="en-GB"/>
        </w:rPr>
        <w:t>) containing a membrane (Float-A-</w:t>
      </w:r>
      <w:proofErr w:type="spellStart"/>
      <w:r w:rsidRPr="009B5335">
        <w:rPr>
          <w:lang w:val="en-GB"/>
        </w:rPr>
        <w:t>Lyzer</w:t>
      </w:r>
      <w:proofErr w:type="spellEnd"/>
      <w:r w:rsidRPr="009B5335">
        <w:rPr>
          <w:lang w:val="en-GB"/>
        </w:rPr>
        <w:t xml:space="preserve"> G2 Dialysis Device, Spectrum Laboratories, Rancho Dominguez CA, VS) of 1 </w:t>
      </w:r>
      <w:proofErr w:type="spellStart"/>
      <w:r w:rsidRPr="009B5335">
        <w:rPr>
          <w:lang w:val="en-GB"/>
        </w:rPr>
        <w:t>mL.</w:t>
      </w:r>
      <w:proofErr w:type="spellEnd"/>
      <w:r w:rsidRPr="009B5335">
        <w:rPr>
          <w:lang w:val="en-GB"/>
        </w:rPr>
        <w:t xml:space="preserve"> 200 mg sample was added to the membrane. (iii) A media reservoir filled with 250 mL demineralize</w:t>
      </w:r>
      <w:r>
        <w:rPr>
          <w:lang w:val="en-GB"/>
        </w:rPr>
        <w:t>d</w:t>
      </w:r>
      <w:r w:rsidRPr="009B5335">
        <w:rPr>
          <w:lang w:val="en-GB"/>
        </w:rPr>
        <w:t xml:space="preserve"> water. (iv) An autosampler (Agilent 8000 Dissolution Sampling Station, Agilent Technologies, Santa Clara, U.S.) coupled to the media reservoir to collect 5 mL samples after 1, 3, 5, 10, 20, 30 and 60 min. </w:t>
      </w:r>
    </w:p>
    <w:p w14:paraId="21253FD7" w14:textId="77777777" w:rsidR="00EA7445" w:rsidRPr="009B5335" w:rsidRDefault="00EA7445" w:rsidP="0038497A">
      <w:pPr>
        <w:spacing w:line="240" w:lineRule="auto"/>
        <w:rPr>
          <w:lang w:val="en-GB"/>
        </w:rPr>
      </w:pPr>
      <w:r w:rsidRPr="009B5335">
        <w:rPr>
          <w:lang w:val="en-GB"/>
        </w:rPr>
        <w:t xml:space="preserve">The collected samples were analysed by UV-VIS spectrophotometry (UV-1650 PC, Shimadzu, Suzhou New District, China). A calibration model was first established to determine the concentration for each powder, except for maize starch, microcrystalline cellulose, lactose and mannitol. Maize starch and microcrystalline cellulose were not measured due to their insolubility. </w:t>
      </w:r>
      <w:r>
        <w:rPr>
          <w:lang w:val="en-GB"/>
        </w:rPr>
        <w:t>As</w:t>
      </w:r>
      <w:r w:rsidRPr="009B5335">
        <w:rPr>
          <w:lang w:val="en-GB"/>
        </w:rPr>
        <w:t xml:space="preserve"> lactose and mannitol do not absorb UV, indirect measurements were needed for both materials. Lactose (</w:t>
      </w:r>
      <w:proofErr w:type="spellStart"/>
      <w:r w:rsidRPr="009B5335">
        <w:rPr>
          <w:lang w:val="en-GB"/>
        </w:rPr>
        <w:t>Enzym</w:t>
      </w:r>
      <w:proofErr w:type="spellEnd"/>
      <w:r w:rsidRPr="009B5335">
        <w:rPr>
          <w:lang w:val="en-GB"/>
        </w:rPr>
        <w:t xml:space="preserve"> Bio-analysis Lactose/D-glucose, R-</w:t>
      </w:r>
      <w:proofErr w:type="spellStart"/>
      <w:r w:rsidRPr="009B5335">
        <w:rPr>
          <w:lang w:val="en-GB"/>
        </w:rPr>
        <w:t>biopharm</w:t>
      </w:r>
      <w:proofErr w:type="spellEnd"/>
      <w:r w:rsidRPr="009B5335">
        <w:rPr>
          <w:lang w:val="en-GB"/>
        </w:rPr>
        <w:t xml:space="preserve"> AG, Darmstadt, Germany) and mannitol (D-mannitol assay kit, </w:t>
      </w:r>
      <w:proofErr w:type="spellStart"/>
      <w:r w:rsidRPr="009B5335">
        <w:rPr>
          <w:lang w:val="en-GB"/>
        </w:rPr>
        <w:t>Megazyme</w:t>
      </w:r>
      <w:proofErr w:type="spellEnd"/>
      <w:r w:rsidRPr="009B5335">
        <w:rPr>
          <w:lang w:val="en-GB"/>
        </w:rPr>
        <w:t xml:space="preserve">, Wicklow, Ireland) concentrations were determined by an enzymatic detection kit. Both methods indirectly measured </w:t>
      </w:r>
      <w:r>
        <w:rPr>
          <w:lang w:val="en-GB"/>
        </w:rPr>
        <w:t xml:space="preserve">the </w:t>
      </w:r>
      <w:r w:rsidRPr="009B5335">
        <w:rPr>
          <w:lang w:val="en-GB"/>
        </w:rPr>
        <w:t xml:space="preserve">sample concentration by detection of nicotinamide-adenine dinucleotide hydrogenate after enzymatic reactions. For all measured powders, the fraction powder </w:t>
      </w:r>
      <w:bookmarkStart w:id="13" w:name="_Hlk50383305"/>
      <w:bookmarkEnd w:id="12"/>
      <w:r w:rsidRPr="009B5335">
        <w:rPr>
          <w:lang w:val="en-GB"/>
        </w:rPr>
        <w:t xml:space="preserve">dissolved after 1, 3, 5, 10, 20, 30 and 60 min </w:t>
      </w:r>
      <w:bookmarkEnd w:id="13"/>
      <w:r w:rsidRPr="009B5335">
        <w:rPr>
          <w:lang w:val="en-GB"/>
        </w:rPr>
        <w:t>were expressed as DR1, DR3, DR5, DR10, DR20, DR30 and DR60, respectively.</w:t>
      </w:r>
    </w:p>
    <w:p w14:paraId="3C16A5FD"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Sorption properties</w:t>
      </w:r>
    </w:p>
    <w:p w14:paraId="4BEAB725" w14:textId="77777777" w:rsidR="00EA7445" w:rsidRPr="009B5335" w:rsidRDefault="00EA7445" w:rsidP="0038497A">
      <w:pPr>
        <w:spacing w:line="240" w:lineRule="auto"/>
        <w:rPr>
          <w:i/>
          <w:iCs/>
          <w:lang w:val="en-GB"/>
        </w:rPr>
      </w:pPr>
      <w:bookmarkStart w:id="14" w:name="_Hlk50382807"/>
      <w:r w:rsidRPr="009B5335">
        <w:rPr>
          <w:lang w:val="en-GB"/>
        </w:rPr>
        <w:t xml:space="preserve">Hygroscopicity or water sorption behaviour of the studied materials was determined with dynamic vapour sorption (DVS) (DVS intrinsic, Surface Measurement Systems, London, U.K). </w:t>
      </w:r>
      <w:r w:rsidRPr="009B5335">
        <w:rPr>
          <w:lang w:val="en-GB"/>
        </w:rPr>
        <w:lastRenderedPageBreak/>
        <w:t>First, approximately 15 mg powder sample was dried at 25</w:t>
      </w:r>
      <w:r>
        <w:rPr>
          <w:lang w:val="en-GB"/>
        </w:rPr>
        <w:t xml:space="preserve"> </w:t>
      </w:r>
      <w:r w:rsidRPr="009B5335">
        <w:rPr>
          <w:lang w:val="en-GB"/>
        </w:rPr>
        <w:t xml:space="preserve">°C </w:t>
      </w:r>
      <w:r>
        <w:rPr>
          <w:lang w:val="en-GB"/>
        </w:rPr>
        <w:t>under a</w:t>
      </w:r>
      <w:r w:rsidRPr="009B5335">
        <w:rPr>
          <w:lang w:val="en-GB"/>
        </w:rPr>
        <w:t xml:space="preserve"> dry nitrogen stream. Then, the relative humidity (RH) was gradually increased from 0 to 80 % in steps of 20 % to calculate sorption values (percentage of moisture uptake). Finally, the RH was again gradually decreased in steps of 20 % to </w:t>
      </w:r>
      <w:r>
        <w:rPr>
          <w:lang w:val="en-GB"/>
        </w:rPr>
        <w:t>measure</w:t>
      </w:r>
      <w:r w:rsidRPr="009B5335">
        <w:rPr>
          <w:lang w:val="en-GB"/>
        </w:rPr>
        <w:t xml:space="preserve"> desorption</w:t>
      </w:r>
      <w:r>
        <w:rPr>
          <w:lang w:val="en-GB"/>
        </w:rPr>
        <w:t xml:space="preserve"> </w:t>
      </w:r>
      <w:r w:rsidRPr="009B5335">
        <w:rPr>
          <w:lang w:val="en-GB"/>
        </w:rPr>
        <w:t>(percentage of moisture reduction). Sorption and desorption values at 40, 60 and 80 % RH were noted as S40, S60, S80, D40, D60 and D80, respectively</w:t>
      </w:r>
      <w:bookmarkEnd w:id="14"/>
      <w:r w:rsidRPr="009B5335">
        <w:rPr>
          <w:lang w:val="en-GB"/>
        </w:rPr>
        <w:t>. At 40 and 60 % RH, sorption values were subtracted from desorption values to calculate hysteresis values (i.e., H40 and H60).</w:t>
      </w:r>
      <w:r w:rsidRPr="009B5335">
        <w:rPr>
          <w:i/>
          <w:iCs/>
          <w:lang w:val="en-GB"/>
        </w:rPr>
        <w:t xml:space="preserve"> </w:t>
      </w:r>
    </w:p>
    <w:p w14:paraId="0680F74A"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Contact angle</w:t>
      </w:r>
    </w:p>
    <w:p w14:paraId="1C9B7421" w14:textId="376C5F56" w:rsidR="00EA7445" w:rsidRPr="009B5335" w:rsidRDefault="00EA7445" w:rsidP="0038497A">
      <w:pPr>
        <w:spacing w:line="240" w:lineRule="auto"/>
        <w:rPr>
          <w:lang w:val="en-GB"/>
        </w:rPr>
      </w:pPr>
      <w:bookmarkStart w:id="15" w:name="_Hlk50382894"/>
      <w:r w:rsidRPr="009B5335">
        <w:rPr>
          <w:lang w:val="en-GB"/>
        </w:rPr>
        <w:t xml:space="preserve">Powder wettability was determined through contact angle measurements applying a drop shape </w:t>
      </w:r>
      <w:proofErr w:type="spellStart"/>
      <w:r w:rsidRPr="009B5335">
        <w:rPr>
          <w:lang w:val="en-GB"/>
        </w:rPr>
        <w:t>analyzer</w:t>
      </w:r>
      <w:proofErr w:type="spellEnd"/>
      <w:r w:rsidRPr="009B5335">
        <w:rPr>
          <w:lang w:val="en-GB"/>
        </w:rPr>
        <w:t xml:space="preserve"> (DSA30, </w:t>
      </w:r>
      <w:proofErr w:type="spellStart"/>
      <w:r w:rsidRPr="009B5335">
        <w:rPr>
          <w:lang w:val="en-GB"/>
        </w:rPr>
        <w:t>Krüss</w:t>
      </w:r>
      <w:proofErr w:type="spellEnd"/>
      <w:r w:rsidRPr="009B5335">
        <w:rPr>
          <w:lang w:val="en-GB"/>
        </w:rPr>
        <w:t>, Hamburg, Germany). Before contact angle measurements, pure raw material was tabletted under high force using a</w:t>
      </w:r>
      <w:r>
        <w:rPr>
          <w:lang w:val="en-GB"/>
        </w:rPr>
        <w:t xml:space="preserve"> single station tablet</w:t>
      </w:r>
      <w:r w:rsidRPr="009B5335">
        <w:rPr>
          <w:lang w:val="en-GB"/>
        </w:rPr>
        <w:t xml:space="preserve"> press (</w:t>
      </w:r>
      <w:proofErr w:type="spellStart"/>
      <w:r w:rsidRPr="009B5335">
        <w:rPr>
          <w:lang w:val="en-GB"/>
        </w:rPr>
        <w:t>Korsch</w:t>
      </w:r>
      <w:proofErr w:type="spellEnd"/>
      <w:r w:rsidRPr="009B5335">
        <w:rPr>
          <w:lang w:val="en-GB"/>
        </w:rPr>
        <w:t xml:space="preserve"> EKO, </w:t>
      </w:r>
      <w:proofErr w:type="spellStart"/>
      <w:r>
        <w:rPr>
          <w:lang w:val="en-GB"/>
        </w:rPr>
        <w:t>Korsch</w:t>
      </w:r>
      <w:proofErr w:type="spellEnd"/>
      <w:r w:rsidRPr="009B5335">
        <w:rPr>
          <w:lang w:val="en-GB"/>
        </w:rPr>
        <w:t xml:space="preserve">, </w:t>
      </w:r>
      <w:r>
        <w:rPr>
          <w:lang w:val="en-GB"/>
        </w:rPr>
        <w:t>Berlin</w:t>
      </w:r>
      <w:r w:rsidRPr="009B5335">
        <w:rPr>
          <w:lang w:val="en-GB"/>
        </w:rPr>
        <w:t xml:space="preserve">, Germany). </w:t>
      </w:r>
      <w:r>
        <w:rPr>
          <w:lang w:val="en-GB"/>
        </w:rPr>
        <w:t>The</w:t>
      </w:r>
      <w:r w:rsidRPr="009B5335">
        <w:rPr>
          <w:lang w:val="en-GB"/>
        </w:rPr>
        <w:t xml:space="preserve"> tablet porosity did not exceed 10 % and draining of </w:t>
      </w:r>
      <w:r>
        <w:rPr>
          <w:lang w:val="en-GB"/>
        </w:rPr>
        <w:t xml:space="preserve">the </w:t>
      </w:r>
      <w:r w:rsidRPr="009B5335">
        <w:rPr>
          <w:lang w:val="en-GB"/>
        </w:rPr>
        <w:t xml:space="preserve">liquid drop </w:t>
      </w:r>
      <w:r>
        <w:rPr>
          <w:lang w:val="en-GB"/>
        </w:rPr>
        <w:t>via</w:t>
      </w:r>
      <w:r w:rsidRPr="009B5335">
        <w:rPr>
          <w:lang w:val="en-GB"/>
        </w:rPr>
        <w:t xml:space="preserve"> interparticle and intraparticle pores was therefore limited. The sessile drop method was used for these measurements. A water drop of 5 µL was applied on a tablet and the contact angle was measured after 1 (CA1), 30 (CA30) and 60 (CA60) s. The contact angle ([CA] = °) was calculated from the Young-Laplace equation (Equation 11).</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EA7445" w:rsidRPr="009B5335" w14:paraId="12F2B3F1" w14:textId="77777777" w:rsidTr="00EA7445">
        <w:tc>
          <w:tcPr>
            <w:tcW w:w="704" w:type="dxa"/>
          </w:tcPr>
          <w:p w14:paraId="12C2C9D7" w14:textId="77777777" w:rsidR="00EA7445" w:rsidRPr="009B5335" w:rsidRDefault="00EA7445" w:rsidP="0038497A">
            <w:pPr>
              <w:spacing w:line="240" w:lineRule="auto"/>
              <w:rPr>
                <w:lang w:val="en-GB"/>
              </w:rPr>
            </w:pPr>
          </w:p>
        </w:tc>
        <w:tc>
          <w:tcPr>
            <w:tcW w:w="7655" w:type="dxa"/>
          </w:tcPr>
          <w:p w14:paraId="55C60B41" w14:textId="77777777" w:rsidR="00EA7445" w:rsidRPr="009B5335" w:rsidRDefault="00EA7445" w:rsidP="0038497A">
            <w:pPr>
              <w:spacing w:line="240" w:lineRule="auto"/>
              <w:rPr>
                <w:lang w:val="en-GB"/>
              </w:rPr>
            </w:pPr>
            <m:oMathPara>
              <m:oMath>
                <m:r>
                  <m:rPr>
                    <m:nor/>
                  </m:rPr>
                  <w:rPr>
                    <w:i/>
                    <w:lang w:val="en-GB"/>
                  </w:rPr>
                  <m:t xml:space="preserve">∆p = </m:t>
                </m:r>
                <m:r>
                  <m:rPr>
                    <m:nor/>
                  </m:rPr>
                  <w:rPr>
                    <w:i/>
                  </w:rPr>
                  <m:t>σ</m:t>
                </m:r>
                <m:r>
                  <m:rPr>
                    <m:nor/>
                  </m:rPr>
                  <w:rPr>
                    <w:i/>
                    <w:lang w:val="en-GB"/>
                  </w:rPr>
                  <m:t xml:space="preserve"> x (</m:t>
                </m:r>
                <m:f>
                  <m:fPr>
                    <m:ctrlPr>
                      <w:rPr>
                        <w:rFonts w:ascii="Cambria Math" w:hAnsi="Cambria Math"/>
                        <w:i/>
                      </w:rPr>
                    </m:ctrlPr>
                  </m:fPr>
                  <m:num>
                    <m:r>
                      <m:rPr>
                        <m:nor/>
                      </m:rPr>
                      <w:rPr>
                        <w:i/>
                        <w:lang w:val="en-GB"/>
                      </w:rPr>
                      <m:t>1</m:t>
                    </m:r>
                  </m:num>
                  <m:den>
                    <m:sSub>
                      <m:sSubPr>
                        <m:ctrlPr>
                          <w:rPr>
                            <w:rFonts w:ascii="Cambria Math" w:hAnsi="Cambria Math"/>
                            <w:i/>
                          </w:rPr>
                        </m:ctrlPr>
                      </m:sSubPr>
                      <m:e>
                        <m:r>
                          <m:rPr>
                            <m:nor/>
                          </m:rPr>
                          <w:rPr>
                            <w:i/>
                            <w:lang w:val="en-GB"/>
                          </w:rPr>
                          <m:t>r</m:t>
                        </m:r>
                      </m:e>
                      <m:sub>
                        <m:r>
                          <m:rPr>
                            <m:nor/>
                          </m:rPr>
                          <w:rPr>
                            <w:i/>
                            <w:lang w:val="en-GB"/>
                          </w:rPr>
                          <m:t>1</m:t>
                        </m:r>
                      </m:sub>
                    </m:sSub>
                  </m:den>
                </m:f>
                <m:r>
                  <m:rPr>
                    <m:nor/>
                  </m:rPr>
                  <w:rPr>
                    <w:i/>
                    <w:lang w:val="en-GB"/>
                  </w:rPr>
                  <m:t>+</m:t>
                </m:r>
                <m:f>
                  <m:fPr>
                    <m:ctrlPr>
                      <w:rPr>
                        <w:rFonts w:ascii="Cambria Math" w:hAnsi="Cambria Math"/>
                        <w:i/>
                      </w:rPr>
                    </m:ctrlPr>
                  </m:fPr>
                  <m:num>
                    <m:r>
                      <m:rPr>
                        <m:nor/>
                      </m:rPr>
                      <w:rPr>
                        <w:i/>
                        <w:lang w:val="en-GB"/>
                      </w:rPr>
                      <m:t>1</m:t>
                    </m:r>
                  </m:num>
                  <m:den>
                    <m:sSub>
                      <m:sSubPr>
                        <m:ctrlPr>
                          <w:rPr>
                            <w:rFonts w:ascii="Cambria Math" w:hAnsi="Cambria Math"/>
                            <w:i/>
                          </w:rPr>
                        </m:ctrlPr>
                      </m:sSubPr>
                      <m:e>
                        <m:r>
                          <m:rPr>
                            <m:nor/>
                          </m:rPr>
                          <w:rPr>
                            <w:i/>
                            <w:lang w:val="en-GB"/>
                          </w:rPr>
                          <m:t>r</m:t>
                        </m:r>
                      </m:e>
                      <m:sub>
                        <m:r>
                          <m:rPr>
                            <m:nor/>
                          </m:rPr>
                          <w:rPr>
                            <w:i/>
                            <w:lang w:val="en-GB"/>
                          </w:rPr>
                          <m:t>2</m:t>
                        </m:r>
                      </m:sub>
                    </m:sSub>
                  </m:den>
                </m:f>
                <m:r>
                  <m:rPr>
                    <m:nor/>
                  </m:rPr>
                  <w:rPr>
                    <w:i/>
                    <w:lang w:val="en-GB"/>
                  </w:rPr>
                  <m:t>)</m:t>
                </m:r>
              </m:oMath>
            </m:oMathPara>
          </w:p>
        </w:tc>
        <w:tc>
          <w:tcPr>
            <w:tcW w:w="703" w:type="dxa"/>
          </w:tcPr>
          <w:p w14:paraId="29AAA7C3" w14:textId="03B6AED4" w:rsidR="00EA7445" w:rsidRPr="009B5335" w:rsidRDefault="00877721" w:rsidP="0038497A">
            <w:pPr>
              <w:spacing w:line="240" w:lineRule="auto"/>
              <w:rPr>
                <w:lang w:val="en-GB"/>
              </w:rPr>
            </w:pPr>
            <w:r>
              <w:rPr>
                <w:lang w:val="en-GB"/>
              </w:rPr>
              <w:t>[</w:t>
            </w:r>
            <w:r w:rsidR="00EA7445">
              <w:rPr>
                <w:lang w:val="en-GB"/>
              </w:rPr>
              <w:t>11</w:t>
            </w:r>
            <w:r>
              <w:rPr>
                <w:lang w:val="en-GB"/>
              </w:rPr>
              <w:t>]</w:t>
            </w:r>
          </w:p>
        </w:tc>
      </w:tr>
    </w:tbl>
    <w:bookmarkEnd w:id="15"/>
    <w:p w14:paraId="03EDDEB3" w14:textId="77777777" w:rsidR="00EA7445" w:rsidRPr="009B5335" w:rsidRDefault="00EA7445" w:rsidP="0038497A">
      <w:pPr>
        <w:spacing w:line="240" w:lineRule="auto"/>
        <w:rPr>
          <w:lang w:val="en-GB"/>
        </w:rPr>
      </w:pPr>
      <w:r w:rsidRPr="009B5335">
        <w:rPr>
          <w:lang w:val="en-GB"/>
        </w:rPr>
        <w:t xml:space="preserve">Where </w:t>
      </w:r>
      <m:oMath>
        <m:r>
          <m:rPr>
            <m:nor/>
          </m:rPr>
          <w:rPr>
            <w:i/>
            <w:lang w:val="en-GB"/>
          </w:rPr>
          <m:t>∆p</m:t>
        </m:r>
      </m:oMath>
      <w:r w:rsidRPr="009B5335">
        <w:rPr>
          <w:lang w:val="en-GB"/>
        </w:rPr>
        <w:t xml:space="preserve"> (in Pa) is the pressure across the fluid interface, </w:t>
      </w:r>
      <m:oMath>
        <m:r>
          <m:rPr>
            <m:nor/>
          </m:rPr>
          <w:rPr>
            <w:i/>
          </w:rPr>
          <m:t>σ</m:t>
        </m:r>
      </m:oMath>
      <w:r w:rsidRPr="009B5335">
        <w:rPr>
          <w:lang w:val="en-GB"/>
        </w:rPr>
        <w:t xml:space="preserve"> (in J/m²) is the surface tension and r</w:t>
      </w:r>
      <w:r w:rsidRPr="009B5335">
        <w:rPr>
          <w:vertAlign w:val="subscript"/>
          <w:lang w:val="en-GB"/>
        </w:rPr>
        <w:t>1</w:t>
      </w:r>
      <w:r w:rsidRPr="009B5335">
        <w:rPr>
          <w:lang w:val="en-GB"/>
        </w:rPr>
        <w:t xml:space="preserve"> and r</w:t>
      </w:r>
      <w:r w:rsidRPr="009B5335">
        <w:rPr>
          <w:vertAlign w:val="subscript"/>
          <w:lang w:val="en-GB"/>
        </w:rPr>
        <w:t>2</w:t>
      </w:r>
      <w:r w:rsidRPr="009B5335">
        <w:rPr>
          <w:lang w:val="en-GB"/>
        </w:rPr>
        <w:t xml:space="preserve"> (in m) are the radii of curvature.</w:t>
      </w:r>
    </w:p>
    <w:p w14:paraId="57852AB4"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t>Binder-specific properties</w:t>
      </w:r>
    </w:p>
    <w:p w14:paraId="2AC425A4" w14:textId="0ACA4957" w:rsidR="00EA7445" w:rsidRPr="009B5335" w:rsidRDefault="00EA7445" w:rsidP="0038497A">
      <w:pPr>
        <w:spacing w:line="240" w:lineRule="auto"/>
        <w:rPr>
          <w:lang w:val="en-GB"/>
        </w:rPr>
      </w:pPr>
      <w:r w:rsidRPr="009B5335">
        <w:rPr>
          <w:lang w:val="en-GB"/>
        </w:rPr>
        <w:t xml:space="preserve">Binder-specific properties were partly taken from a study of Vandevivere et al. </w:t>
      </w:r>
      <w:r w:rsidRPr="009B5335">
        <w:rPr>
          <w:lang w:val="en-GB"/>
        </w:rPr>
        <w:fldChar w:fldCharType="begin" w:fldLock="1"/>
      </w:r>
      <w:r w:rsidR="003D65E2">
        <w:rPr>
          <w:lang w:val="en-GB"/>
        </w:rPr>
        <w:instrText>ADDIN CSL_CITATION {"citationItems":[{"id":"ITEM-1","itemData":{"DOI":"10.1016/j.ijpharm.2020.119466","ISSN":"0378-5173","author":[{"dropping-particle":"","family":"Vandevivere","given":"L","non-dropping-particle":"","parse-names":false,"suffix":""},{"dropping-particle":"","family":"Denduyver","given":"P","non-dropping-particle":"","parse-names":false,"suffix":""},{"dropping-particle":"","family":"Portier","given":"C","non-dropping-particle":"","parse-names":false,"suffix":""},{"dropping-particle":"","family":"Häusler","given":"O","non-dropping-particle":"","parse-names":false,"suffix":""},{"dropping-particle":"De","family":"Beer","given":"T","non-dropping-particle":"","parse-names":false,"suffix":""},{"dropping-particle":"","family":"Vervaet","given":"C","non-dropping-particle":"","parse-names":false,"suffix":""}],"container-title":"International Journal of Pharmaceutics","id":"ITEM-1","issue":"February","issued":{"date-parts":[["2020"]]},"page":"119466","publisher":"Elsevier","title":"Influence of binder attributes on binder effectiveness in a continuous twin screw wet granulation process via wet and dry binder addition","type":"article-journal","volume":"585"},"uris":["http://www.mendeley.com/documents/?uuid=9ea22d41-6f3c-4edd-867b-18dd06afd147"]}],"mendeley":{"formattedCitation":"(Vandevivere et al., 2020)","plainTextFormattedCitation":"(Vandevivere et al., 2020)","previouslyFormattedCitation":"[24]"},"properties":{"noteIndex":0},"schema":"https://github.com/citation-style-language/schema/raw/master/csl-citation.json"}</w:instrText>
      </w:r>
      <w:r w:rsidRPr="009B5335">
        <w:rPr>
          <w:lang w:val="en-GB"/>
        </w:rPr>
        <w:fldChar w:fldCharType="separate"/>
      </w:r>
      <w:r w:rsidR="003D65E2" w:rsidRPr="003D65E2">
        <w:rPr>
          <w:noProof/>
          <w:lang w:val="en-GB"/>
        </w:rPr>
        <w:t>(Vandevivere et al., 2020)</w:t>
      </w:r>
      <w:r w:rsidRPr="009B5335">
        <w:rPr>
          <w:lang w:val="en-US"/>
        </w:rPr>
        <w:fldChar w:fldCharType="end"/>
      </w:r>
      <w:r w:rsidRPr="009B5335">
        <w:rPr>
          <w:lang w:val="en-GB"/>
        </w:rPr>
        <w:t xml:space="preserve">. </w:t>
      </w:r>
    </w:p>
    <w:p w14:paraId="41E4CDC9" w14:textId="77777777" w:rsidR="00EA7445" w:rsidRPr="00625702" w:rsidRDefault="00EA7445" w:rsidP="005737D2">
      <w:pPr>
        <w:pStyle w:val="Kop1"/>
        <w:numPr>
          <w:ilvl w:val="3"/>
          <w:numId w:val="20"/>
        </w:numPr>
        <w:spacing w:line="240" w:lineRule="auto"/>
        <w:rPr>
          <w:caps w:val="0"/>
          <w:lang w:val="en-GB"/>
        </w:rPr>
      </w:pPr>
      <w:bookmarkStart w:id="16" w:name="_Hlk52272437"/>
      <w:r w:rsidRPr="00625702">
        <w:rPr>
          <w:caps w:val="0"/>
          <w:lang w:val="en-GB"/>
        </w:rPr>
        <w:t>Dissolution rate</w:t>
      </w:r>
    </w:p>
    <w:p w14:paraId="01B75D42" w14:textId="77777777" w:rsidR="00EA7445" w:rsidRPr="009B5335" w:rsidRDefault="00EA7445" w:rsidP="0038497A">
      <w:pPr>
        <w:spacing w:line="240" w:lineRule="auto"/>
        <w:rPr>
          <w:lang w:val="en-GB"/>
        </w:rPr>
      </w:pPr>
      <w:r w:rsidRPr="009B5335">
        <w:rPr>
          <w:lang w:val="en-GB"/>
        </w:rPr>
        <w:t>Binders (10</w:t>
      </w:r>
      <w:r>
        <w:rPr>
          <w:lang w:val="en-GB"/>
        </w:rPr>
        <w:t xml:space="preserve"> </w:t>
      </w:r>
      <w:r w:rsidRPr="009B5335">
        <w:rPr>
          <w:lang w:val="en-GB"/>
        </w:rPr>
        <w:t>% w/w) were added to demineralized water and mixed for 30, 60 or 90 s. Subsequently, the mixture was filtered using a cellulose</w:t>
      </w:r>
      <w:r>
        <w:rPr>
          <w:lang w:val="en-GB"/>
        </w:rPr>
        <w:t>-</w:t>
      </w:r>
      <w:r w:rsidRPr="009B5335">
        <w:rPr>
          <w:lang w:val="en-GB"/>
        </w:rPr>
        <w:t xml:space="preserve">based filter (Grade 2, Whatman, USA). The fraction of dissolved binder was </w:t>
      </w:r>
      <w:r>
        <w:rPr>
          <w:lang w:val="en-GB"/>
        </w:rPr>
        <w:t>measured</w:t>
      </w:r>
      <w:r w:rsidRPr="009B5335">
        <w:rPr>
          <w:lang w:val="en-GB"/>
        </w:rPr>
        <w:t xml:space="preserve"> </w:t>
      </w:r>
      <w:r>
        <w:rPr>
          <w:lang w:val="en-GB"/>
        </w:rPr>
        <w:t>via</w:t>
      </w:r>
      <w:r w:rsidRPr="009B5335">
        <w:rPr>
          <w:lang w:val="en-GB"/>
        </w:rPr>
        <w:t xml:space="preserve"> </w:t>
      </w:r>
      <w:r>
        <w:rPr>
          <w:lang w:val="en-GB"/>
        </w:rPr>
        <w:t xml:space="preserve">the </w:t>
      </w:r>
      <w:r w:rsidRPr="009B5335">
        <w:rPr>
          <w:lang w:val="en-GB"/>
        </w:rPr>
        <w:t xml:space="preserve">refractive index. For each binder, a calibration curve was established. Tests were performed in triplicate and the fraction binder dissolved after 30, 60 and 90 s was expressed as BDR30, BDR60 and BDR90, respectively. </w:t>
      </w:r>
    </w:p>
    <w:p w14:paraId="72815A28" w14:textId="77777777" w:rsidR="00EA7445" w:rsidRPr="00625702" w:rsidRDefault="00EA7445" w:rsidP="005737D2">
      <w:pPr>
        <w:pStyle w:val="Kop1"/>
        <w:numPr>
          <w:ilvl w:val="3"/>
          <w:numId w:val="20"/>
        </w:numPr>
        <w:spacing w:line="240" w:lineRule="auto"/>
        <w:rPr>
          <w:caps w:val="0"/>
          <w:lang w:val="en-GB"/>
        </w:rPr>
      </w:pPr>
      <w:r w:rsidRPr="00625702">
        <w:rPr>
          <w:caps w:val="0"/>
          <w:lang w:val="en-GB"/>
        </w:rPr>
        <w:t>Surface tension</w:t>
      </w:r>
    </w:p>
    <w:p w14:paraId="676C9EAD" w14:textId="77777777" w:rsidR="00EA7445" w:rsidRPr="009B5335" w:rsidRDefault="00EA7445" w:rsidP="0038497A">
      <w:pPr>
        <w:spacing w:line="240" w:lineRule="auto"/>
        <w:rPr>
          <w:lang w:val="en-GB"/>
        </w:rPr>
      </w:pPr>
      <w:r w:rsidRPr="009B5335">
        <w:rPr>
          <w:lang w:val="en-GB"/>
        </w:rPr>
        <w:t>A Drop Shape Analyzer (DSA 30, KRÜSS, Hamburg, Germany) was used to determine the surface tension (ST) of an aqueous binder dispersion (8</w:t>
      </w:r>
      <w:r>
        <w:rPr>
          <w:lang w:val="en-GB"/>
        </w:rPr>
        <w:t xml:space="preserve"> </w:t>
      </w:r>
      <w:r w:rsidRPr="009B5335">
        <w:rPr>
          <w:lang w:val="en-GB"/>
        </w:rPr>
        <w:t>% w/w) via the pendant drop method in air. For each binder, the curvature of a droplet was used to calculate the surface tension. Experiments were performed in triplicate.</w:t>
      </w:r>
    </w:p>
    <w:p w14:paraId="4D104437" w14:textId="77777777" w:rsidR="00EA7445" w:rsidRPr="00625702" w:rsidRDefault="00EA7445" w:rsidP="005737D2">
      <w:pPr>
        <w:pStyle w:val="Kop1"/>
        <w:numPr>
          <w:ilvl w:val="3"/>
          <w:numId w:val="20"/>
        </w:numPr>
        <w:spacing w:line="240" w:lineRule="auto"/>
        <w:rPr>
          <w:caps w:val="0"/>
          <w:lang w:val="en-GB"/>
        </w:rPr>
      </w:pPr>
      <w:r w:rsidRPr="00625702">
        <w:rPr>
          <w:caps w:val="0"/>
          <w:lang w:val="en-GB"/>
        </w:rPr>
        <w:t>Viscosity</w:t>
      </w:r>
    </w:p>
    <w:p w14:paraId="0415C501" w14:textId="77777777" w:rsidR="00EA7445" w:rsidRPr="009B5335" w:rsidRDefault="00EA7445" w:rsidP="0038497A">
      <w:pPr>
        <w:spacing w:line="240" w:lineRule="auto"/>
        <w:rPr>
          <w:lang w:val="en-GB"/>
        </w:rPr>
      </w:pPr>
      <w:r w:rsidRPr="009B5335">
        <w:rPr>
          <w:lang w:val="en-GB"/>
        </w:rPr>
        <w:t>The dynamic viscosity of an aqueous binder dispersion (8</w:t>
      </w:r>
      <w:r>
        <w:rPr>
          <w:lang w:val="en-GB"/>
        </w:rPr>
        <w:t xml:space="preserve"> </w:t>
      </w:r>
      <w:r w:rsidRPr="009B5335">
        <w:rPr>
          <w:lang w:val="en-GB"/>
        </w:rPr>
        <w:t xml:space="preserve">% w/w) was measured using a rotational rheometer (HAAKE MARS® III, Thermo Scientific, Massachusetts, USA) with the </w:t>
      </w:r>
      <w:r w:rsidRPr="009B5335">
        <w:rPr>
          <w:lang w:val="en-GB"/>
        </w:rPr>
        <w:lastRenderedPageBreak/>
        <w:t>plate-plate technique. A gap size between 0.9 and 1.1 mm was applied, while temperature was set at 25</w:t>
      </w:r>
      <w:r>
        <w:rPr>
          <w:lang w:val="en-GB"/>
        </w:rPr>
        <w:t xml:space="preserve"> </w:t>
      </w:r>
      <w:r w:rsidRPr="009B5335">
        <w:rPr>
          <w:lang w:val="en-GB"/>
        </w:rPr>
        <w:t>°C. 5 mL of the binder dispersion was transferred between the two plates. The viscosity values (</w:t>
      </w:r>
      <w:proofErr w:type="spellStart"/>
      <w:r w:rsidRPr="009B5335">
        <w:rPr>
          <w:lang w:val="en-GB"/>
        </w:rPr>
        <w:t>mPa∙s</w:t>
      </w:r>
      <w:proofErr w:type="spellEnd"/>
      <w:r w:rsidRPr="009B5335">
        <w:rPr>
          <w:lang w:val="en-GB"/>
        </w:rPr>
        <w:t>) were derived from a total of 20 data points when the shear rate varied from 0.1 to 1000 s</w:t>
      </w:r>
      <w:r w:rsidRPr="009B5335">
        <w:rPr>
          <w:vertAlign w:val="superscript"/>
          <w:lang w:val="en-GB"/>
        </w:rPr>
        <w:t>-1</w:t>
      </w:r>
      <w:r w:rsidRPr="009B5335">
        <w:rPr>
          <w:lang w:val="en-GB"/>
        </w:rPr>
        <w:t xml:space="preserve">. </w:t>
      </w:r>
      <w:r w:rsidRPr="009B5335">
        <w:rPr>
          <w:vertAlign w:val="superscript"/>
          <w:lang w:val="en-GB"/>
        </w:rPr>
        <w:t xml:space="preserve"> </w:t>
      </w:r>
    </w:p>
    <w:bookmarkEnd w:id="16"/>
    <w:p w14:paraId="523374BB" w14:textId="77777777" w:rsidR="00EA7445" w:rsidRPr="00625702" w:rsidRDefault="00EA7445" w:rsidP="005737D2">
      <w:pPr>
        <w:pStyle w:val="Kop1"/>
        <w:numPr>
          <w:ilvl w:val="3"/>
          <w:numId w:val="20"/>
        </w:numPr>
        <w:spacing w:line="240" w:lineRule="auto"/>
        <w:rPr>
          <w:caps w:val="0"/>
          <w:lang w:val="en-GB"/>
        </w:rPr>
      </w:pPr>
      <w:r w:rsidRPr="00625702">
        <w:rPr>
          <w:caps w:val="0"/>
          <w:lang w:val="en-GB"/>
        </w:rPr>
        <w:t>Contact angle</w:t>
      </w:r>
    </w:p>
    <w:p w14:paraId="1B11FAB5" w14:textId="655D306E" w:rsidR="00EA7445" w:rsidRPr="009B5335" w:rsidRDefault="00EA7445" w:rsidP="0038497A">
      <w:pPr>
        <w:spacing w:line="240" w:lineRule="auto"/>
        <w:rPr>
          <w:lang w:val="en-GB"/>
        </w:rPr>
      </w:pPr>
      <w:r w:rsidRPr="009B5335">
        <w:rPr>
          <w:lang w:val="en-GB"/>
        </w:rPr>
        <w:t xml:space="preserve">Similar to 3.1.13, powder wettability was determined through contact angle measurements </w:t>
      </w:r>
      <w:r>
        <w:rPr>
          <w:lang w:val="en-GB"/>
        </w:rPr>
        <w:t xml:space="preserve">using </w:t>
      </w:r>
      <w:r w:rsidRPr="009B5335">
        <w:rPr>
          <w:lang w:val="en-GB"/>
        </w:rPr>
        <w:t xml:space="preserve">a drop shape </w:t>
      </w:r>
      <w:proofErr w:type="spellStart"/>
      <w:r>
        <w:rPr>
          <w:lang w:val="en-GB"/>
        </w:rPr>
        <w:t>a</w:t>
      </w:r>
      <w:r w:rsidRPr="009B5335">
        <w:rPr>
          <w:lang w:val="en-GB"/>
        </w:rPr>
        <w:t>nalyzer</w:t>
      </w:r>
      <w:proofErr w:type="spellEnd"/>
      <w:r w:rsidRPr="009B5335">
        <w:rPr>
          <w:lang w:val="en-GB"/>
        </w:rPr>
        <w:t xml:space="preserve"> (DSA30, </w:t>
      </w:r>
      <w:proofErr w:type="spellStart"/>
      <w:r w:rsidRPr="009B5335">
        <w:rPr>
          <w:lang w:val="en-GB"/>
        </w:rPr>
        <w:t>Krüss</w:t>
      </w:r>
      <w:proofErr w:type="spellEnd"/>
      <w:r w:rsidRPr="009B5335">
        <w:rPr>
          <w:lang w:val="en-GB"/>
        </w:rPr>
        <w:t>, Hamburg, Germany). Two set of experiments were performed. For the first set the contact angle of demineralized water on a pure binder tablet was determined (see 3.1.1.13). For the second part, the contact angle of an aqueous binder dispersion (8</w:t>
      </w:r>
      <w:r>
        <w:rPr>
          <w:lang w:val="en-GB"/>
        </w:rPr>
        <w:t xml:space="preserve"> </w:t>
      </w:r>
      <w:r w:rsidRPr="009B5335">
        <w:rPr>
          <w:lang w:val="en-GB"/>
        </w:rPr>
        <w:t xml:space="preserve">% w/w) on a hydrophobic polytetrafluoroethylene surface was determined. Experiments were performed in triplicate. </w:t>
      </w:r>
      <w:r>
        <w:rPr>
          <w:lang w:val="en-GB"/>
        </w:rPr>
        <w:t>The c</w:t>
      </w:r>
      <w:r w:rsidRPr="009B5335">
        <w:rPr>
          <w:lang w:val="en-GB"/>
        </w:rPr>
        <w:t xml:space="preserve">ontact angle calculation </w:t>
      </w:r>
      <w:r>
        <w:rPr>
          <w:lang w:val="en-GB"/>
        </w:rPr>
        <w:t>was calculated using</w:t>
      </w:r>
      <w:r w:rsidRPr="009B5335">
        <w:rPr>
          <w:lang w:val="en-GB"/>
        </w:rPr>
        <w:t xml:space="preserve"> aforementioned </w:t>
      </w:r>
      <w:r>
        <w:rPr>
          <w:lang w:val="en-GB"/>
        </w:rPr>
        <w:t>E</w:t>
      </w:r>
      <w:r w:rsidRPr="009B5335">
        <w:rPr>
          <w:lang w:val="en-GB"/>
        </w:rPr>
        <w:t xml:space="preserve">quation 11. The hydrophilic contact angle for binders after 1, 30 and 60 seconds was reported as CAb1, CAb30, CAb60. The hydrophobic contact angle was reported as </w:t>
      </w:r>
      <w:proofErr w:type="spellStart"/>
      <w:r w:rsidRPr="009B5335">
        <w:rPr>
          <w:lang w:val="en-GB"/>
        </w:rPr>
        <w:t>CAbh</w:t>
      </w:r>
      <w:proofErr w:type="spellEnd"/>
      <w:r w:rsidRPr="009B5335">
        <w:rPr>
          <w:lang w:val="en-GB"/>
        </w:rPr>
        <w:t xml:space="preserve">.  </w:t>
      </w:r>
    </w:p>
    <w:p w14:paraId="1BCBC441"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t>Overview</w:t>
      </w:r>
    </w:p>
    <w:p w14:paraId="7334A490" w14:textId="023CF8F3" w:rsidR="00EA7445" w:rsidRDefault="00EA7445" w:rsidP="0038497A">
      <w:pPr>
        <w:spacing w:line="240" w:lineRule="auto"/>
        <w:rPr>
          <w:lang w:val="en-GB"/>
        </w:rPr>
      </w:pPr>
      <w:r w:rsidRPr="009B5335">
        <w:rPr>
          <w:lang w:val="en-GB"/>
        </w:rPr>
        <w:t>An overview of the characterization techniques, the corresponding descriptor and the abbreviation of the descriptor are shown in Table 2.</w:t>
      </w:r>
    </w:p>
    <w:p w14:paraId="1F0E6739" w14:textId="77777777" w:rsidR="00EA7445" w:rsidRPr="00625702" w:rsidRDefault="00EA7445" w:rsidP="0038497A">
      <w:pPr>
        <w:pStyle w:val="Kop1"/>
        <w:numPr>
          <w:ilvl w:val="1"/>
          <w:numId w:val="20"/>
        </w:numPr>
        <w:spacing w:line="240" w:lineRule="auto"/>
        <w:rPr>
          <w:caps w:val="0"/>
          <w:lang w:val="en-GB"/>
        </w:rPr>
      </w:pPr>
      <w:r w:rsidRPr="00625702">
        <w:rPr>
          <w:caps w:val="0"/>
          <w:lang w:val="en-GB"/>
        </w:rPr>
        <w:t xml:space="preserve">Blend ratios </w:t>
      </w:r>
    </w:p>
    <w:p w14:paraId="069ABD7E" w14:textId="03ADC355" w:rsidR="00EA7445" w:rsidRDefault="00EA7445" w:rsidP="0038497A">
      <w:pPr>
        <w:spacing w:line="240" w:lineRule="auto"/>
        <w:rPr>
          <w:lang w:val="en-GB"/>
        </w:rPr>
      </w:pPr>
      <w:r w:rsidRPr="009B5335">
        <w:rPr>
          <w:lang w:val="en-GB"/>
        </w:rPr>
        <w:t xml:space="preserve">Ten different formulations were selected for granulation experiments. The selection of APIs and fillers was based on PCA of the API material characterization data and filler material characterization data </w:t>
      </w:r>
      <w:r>
        <w:rPr>
          <w:lang w:val="en-GB"/>
        </w:rPr>
        <w:t xml:space="preserve">individually </w:t>
      </w:r>
      <w:r w:rsidRPr="009B5335">
        <w:rPr>
          <w:lang w:val="en-GB"/>
        </w:rPr>
        <w:t xml:space="preserve">(see </w:t>
      </w:r>
      <w:r w:rsidR="003345F5" w:rsidRPr="00CF4384">
        <w:rPr>
          <w:lang w:val="en-GB"/>
        </w:rPr>
        <w:t>4.2</w:t>
      </w:r>
      <w:r w:rsidR="00CF4384" w:rsidRPr="00CF4384">
        <w:rPr>
          <w:lang w:val="en-GB"/>
        </w:rPr>
        <w:t>)</w:t>
      </w:r>
      <w:r w:rsidRPr="009B5335">
        <w:rPr>
          <w:lang w:val="en-GB"/>
        </w:rPr>
        <w:t>. Next, the complete dataset of API and filler material properties was subjected to PCA to link an API with a filler (</w:t>
      </w:r>
      <w:r w:rsidRPr="00CF4384">
        <w:rPr>
          <w:lang w:val="en-GB"/>
        </w:rPr>
        <w:t>see</w:t>
      </w:r>
      <w:r w:rsidRPr="009B5335">
        <w:rPr>
          <w:lang w:val="en-GB"/>
        </w:rPr>
        <w:t xml:space="preserve"> </w:t>
      </w:r>
      <w:r w:rsidR="00D356FE" w:rsidRPr="00D356FE">
        <w:rPr>
          <w:lang w:val="en-GB"/>
        </w:rPr>
        <w:t>4.2</w:t>
      </w:r>
      <w:r w:rsidRPr="00D356FE">
        <w:rPr>
          <w:lang w:val="en-GB"/>
        </w:rPr>
        <w:t>).</w:t>
      </w:r>
      <w:r w:rsidRPr="009B5335">
        <w:rPr>
          <w:lang w:val="en-GB"/>
        </w:rPr>
        <w:t xml:space="preserve"> For one formulation, a mixture of two fillers was used (Formulation 6). For each selected formulation the API content was 10, 40 or 70</w:t>
      </w:r>
      <w:r>
        <w:rPr>
          <w:lang w:val="en-GB"/>
        </w:rPr>
        <w:t xml:space="preserve"> </w:t>
      </w:r>
      <w:r w:rsidRPr="009B5335">
        <w:rPr>
          <w:lang w:val="en-GB"/>
        </w:rPr>
        <w:t xml:space="preserve">%, resulting in a total of 30 different blends. </w:t>
      </w:r>
      <w:r>
        <w:rPr>
          <w:lang w:val="en-GB"/>
        </w:rPr>
        <w:t xml:space="preserve">Binders were added dry in a concentration of 2 or 5 %. </w:t>
      </w:r>
      <w:r w:rsidRPr="009B5335">
        <w:rPr>
          <w:lang w:val="en-GB"/>
        </w:rPr>
        <w:t xml:space="preserve">Binders were added dry because the binder solubility in aqueous dispersions is limited and the pumpability and control of </w:t>
      </w:r>
      <w:r>
        <w:rPr>
          <w:lang w:val="en-GB"/>
        </w:rPr>
        <w:t xml:space="preserve">a </w:t>
      </w:r>
      <w:r w:rsidRPr="009B5335">
        <w:rPr>
          <w:lang w:val="en-GB"/>
        </w:rPr>
        <w:t>constant liquid flow for highly concentrated binder dispersions is limited. The allocation of a binder to a API</w:t>
      </w:r>
      <w:r>
        <w:rPr>
          <w:lang w:val="en-GB"/>
        </w:rPr>
        <w:t>/</w:t>
      </w:r>
      <w:r w:rsidRPr="009B5335">
        <w:rPr>
          <w:lang w:val="en-GB"/>
        </w:rPr>
        <w:t xml:space="preserve">filler </w:t>
      </w:r>
      <w:r>
        <w:rPr>
          <w:lang w:val="en-GB"/>
        </w:rPr>
        <w:t xml:space="preserve">combination </w:t>
      </w:r>
      <w:r w:rsidRPr="009B5335">
        <w:rPr>
          <w:lang w:val="en-GB"/>
        </w:rPr>
        <w:t xml:space="preserve">was </w:t>
      </w:r>
      <w:r>
        <w:rPr>
          <w:lang w:val="en-GB"/>
        </w:rPr>
        <w:t>done</w:t>
      </w:r>
      <w:r w:rsidRPr="009B5335">
        <w:rPr>
          <w:lang w:val="en-GB"/>
        </w:rPr>
        <w:t xml:space="preserve"> a</w:t>
      </w:r>
      <w:r>
        <w:rPr>
          <w:lang w:val="en-GB"/>
        </w:rPr>
        <w:t xml:space="preserve">t </w:t>
      </w:r>
      <w:r w:rsidRPr="009B5335">
        <w:rPr>
          <w:lang w:val="en-GB"/>
        </w:rPr>
        <w:t xml:space="preserve">random. Table </w:t>
      </w:r>
      <w:r w:rsidR="00D356FE">
        <w:rPr>
          <w:lang w:val="en-GB"/>
        </w:rPr>
        <w:t>3</w:t>
      </w:r>
      <w:r w:rsidRPr="009B5335">
        <w:rPr>
          <w:lang w:val="en-GB"/>
        </w:rPr>
        <w:t xml:space="preserve"> gives an overview of the 30 different formulation blends. </w:t>
      </w:r>
    </w:p>
    <w:p w14:paraId="05E2BF78" w14:textId="77777777" w:rsidR="00EA7445" w:rsidRPr="00625702" w:rsidRDefault="00EA7445" w:rsidP="0038497A">
      <w:pPr>
        <w:pStyle w:val="Kop1"/>
        <w:numPr>
          <w:ilvl w:val="1"/>
          <w:numId w:val="20"/>
        </w:numPr>
        <w:spacing w:line="240" w:lineRule="auto"/>
        <w:rPr>
          <w:caps w:val="0"/>
          <w:lang w:val="en-GB"/>
        </w:rPr>
      </w:pPr>
      <w:r w:rsidRPr="00625702">
        <w:rPr>
          <w:caps w:val="0"/>
          <w:lang w:val="en-GB"/>
        </w:rPr>
        <w:t xml:space="preserve">Process conditions </w:t>
      </w:r>
    </w:p>
    <w:p w14:paraId="66D81943"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t>Granulation experiments</w:t>
      </w:r>
    </w:p>
    <w:p w14:paraId="0B4E01CD" w14:textId="77777777" w:rsidR="00EA7445" w:rsidRPr="009B5335" w:rsidRDefault="00EA7445" w:rsidP="0038497A">
      <w:pPr>
        <w:spacing w:line="240" w:lineRule="auto"/>
        <w:rPr>
          <w:lang w:val="en-GB"/>
        </w:rPr>
      </w:pPr>
      <w:r w:rsidRPr="009B5335">
        <w:rPr>
          <w:lang w:val="en-GB"/>
        </w:rPr>
        <w:t>All raw materials from each formulation blend were preblended in a tumbling mixer (</w:t>
      </w:r>
      <w:proofErr w:type="spellStart"/>
      <w:r w:rsidRPr="009B5335">
        <w:rPr>
          <w:lang w:val="en-GB"/>
        </w:rPr>
        <w:t>Inversina</w:t>
      </w:r>
      <w:proofErr w:type="spellEnd"/>
      <w:r w:rsidRPr="009B5335">
        <w:rPr>
          <w:lang w:val="en-GB"/>
        </w:rPr>
        <w:t xml:space="preserve"> Bioengineering, Wald, Switzerland) for 15 minutes at 25 rpm. </w:t>
      </w:r>
      <w:r>
        <w:rPr>
          <w:lang w:val="en-GB"/>
        </w:rPr>
        <w:t>G</w:t>
      </w:r>
      <w:r w:rsidRPr="009B5335">
        <w:rPr>
          <w:lang w:val="en-GB"/>
        </w:rPr>
        <w:t xml:space="preserve">ranulation experiments were performed using the granulation module of the ConsiGma™-25 unit (GEA Pharma Systems, Collette, </w:t>
      </w:r>
      <w:proofErr w:type="spellStart"/>
      <w:r w:rsidRPr="009B5335">
        <w:rPr>
          <w:lang w:val="en-GB"/>
        </w:rPr>
        <w:t>Wommelgem</w:t>
      </w:r>
      <w:proofErr w:type="spellEnd"/>
      <w:r w:rsidRPr="009B5335">
        <w:rPr>
          <w:lang w:val="en-GB"/>
        </w:rPr>
        <w:t>, Belgium). This granulation module consists of two 25 mm diameter co-rotating screws with a length-to</w:t>
      </w:r>
      <w:r>
        <w:rPr>
          <w:lang w:val="en-GB"/>
        </w:rPr>
        <w:t>-</w:t>
      </w:r>
      <w:r w:rsidRPr="009B5335">
        <w:rPr>
          <w:lang w:val="en-GB"/>
        </w:rPr>
        <w:t>diameter</w:t>
      </w:r>
      <w:r>
        <w:rPr>
          <w:lang w:val="en-GB"/>
        </w:rPr>
        <w:t xml:space="preserve"> (L/D)</w:t>
      </w:r>
      <w:r w:rsidRPr="009B5335">
        <w:rPr>
          <w:lang w:val="en-GB"/>
        </w:rPr>
        <w:t xml:space="preserve"> ratio of 20:1. The </w:t>
      </w:r>
      <w:proofErr w:type="spellStart"/>
      <w:r w:rsidRPr="009B5335">
        <w:rPr>
          <w:lang w:val="en-GB"/>
        </w:rPr>
        <w:t>preblend</w:t>
      </w:r>
      <w:proofErr w:type="spellEnd"/>
      <w:r w:rsidRPr="009B5335">
        <w:rPr>
          <w:lang w:val="en-GB"/>
        </w:rPr>
        <w:t xml:space="preserve"> was gravimetrically fed to the granulation module by a K-</w:t>
      </w:r>
      <w:proofErr w:type="spellStart"/>
      <w:r w:rsidRPr="009B5335">
        <w:rPr>
          <w:lang w:val="en-GB"/>
        </w:rPr>
        <w:t>tron</w:t>
      </w:r>
      <w:proofErr w:type="spellEnd"/>
      <w:r w:rsidRPr="009B5335">
        <w:rPr>
          <w:lang w:val="en-GB"/>
        </w:rPr>
        <w:t xml:space="preserve"> KT20 loss-in-weight feeder (</w:t>
      </w:r>
      <w:proofErr w:type="spellStart"/>
      <w:r w:rsidRPr="009B5335">
        <w:rPr>
          <w:lang w:val="en-GB"/>
        </w:rPr>
        <w:t>Coperion</w:t>
      </w:r>
      <w:proofErr w:type="spellEnd"/>
      <w:r w:rsidRPr="009B5335">
        <w:rPr>
          <w:lang w:val="en-GB"/>
        </w:rPr>
        <w:t xml:space="preserve"> K-</w:t>
      </w:r>
      <w:proofErr w:type="spellStart"/>
      <w:r w:rsidRPr="009B5335">
        <w:rPr>
          <w:lang w:val="en-GB"/>
        </w:rPr>
        <w:t>tron</w:t>
      </w:r>
      <w:proofErr w:type="spellEnd"/>
      <w:r w:rsidRPr="009B5335">
        <w:rPr>
          <w:lang w:val="en-GB"/>
        </w:rPr>
        <w:t xml:space="preserve">, </w:t>
      </w:r>
      <w:proofErr w:type="spellStart"/>
      <w:r w:rsidRPr="009B5335">
        <w:rPr>
          <w:lang w:val="en-GB"/>
        </w:rPr>
        <w:t>Niederlenz</w:t>
      </w:r>
      <w:proofErr w:type="spellEnd"/>
      <w:r w:rsidRPr="009B5335">
        <w:rPr>
          <w:lang w:val="en-GB"/>
        </w:rPr>
        <w:t xml:space="preserve">, Switzerland). Granulation liquid (i.e., demineralized water) was added before the first kneading zone. Therefore, a twin-peristaltic pump was positioned out-off-phase and connected to silicon tubing with an internal and external diameter of </w:t>
      </w:r>
      <w:r>
        <w:rPr>
          <w:lang w:val="en-GB"/>
        </w:rPr>
        <w:t>1.6</w:t>
      </w:r>
      <w:r w:rsidRPr="009B5335">
        <w:rPr>
          <w:lang w:val="en-GB"/>
        </w:rPr>
        <w:t xml:space="preserve"> and 2.4 </w:t>
      </w:r>
      <w:r w:rsidRPr="009B5335">
        <w:rPr>
          <w:lang w:val="en-GB"/>
        </w:rPr>
        <w:lastRenderedPageBreak/>
        <w:t xml:space="preserve">mm, 1.6 and 3.2 mm, </w:t>
      </w:r>
      <w:r>
        <w:rPr>
          <w:lang w:val="en-GB"/>
        </w:rPr>
        <w:t>1.6</w:t>
      </w:r>
      <w:r w:rsidRPr="009B5335">
        <w:rPr>
          <w:lang w:val="en-GB"/>
        </w:rPr>
        <w:t xml:space="preserve"> and </w:t>
      </w:r>
      <w:r>
        <w:rPr>
          <w:lang w:val="en-GB"/>
        </w:rPr>
        <w:t>4.8</w:t>
      </w:r>
      <w:r w:rsidRPr="009B5335">
        <w:rPr>
          <w:lang w:val="en-GB"/>
        </w:rPr>
        <w:t xml:space="preserve"> mm or </w:t>
      </w:r>
      <w:r>
        <w:rPr>
          <w:lang w:val="en-GB"/>
        </w:rPr>
        <w:t>1.6</w:t>
      </w:r>
      <w:r w:rsidRPr="009B5335">
        <w:rPr>
          <w:lang w:val="en-GB"/>
        </w:rPr>
        <w:t xml:space="preserve"> and </w:t>
      </w:r>
      <w:r>
        <w:rPr>
          <w:lang w:val="en-GB"/>
        </w:rPr>
        <w:t>6.4</w:t>
      </w:r>
      <w:r w:rsidRPr="009B5335">
        <w:rPr>
          <w:lang w:val="en-GB"/>
        </w:rPr>
        <w:t xml:space="preserve"> mm, respectively. The silicon </w:t>
      </w:r>
      <w:r>
        <w:rPr>
          <w:lang w:val="en-GB"/>
        </w:rPr>
        <w:t>tubes</w:t>
      </w:r>
      <w:r w:rsidRPr="009B5335">
        <w:rPr>
          <w:lang w:val="en-GB"/>
        </w:rPr>
        <w:t xml:space="preserve"> were connected to nozzles with an orifice of 0.8, 1.6, 2.4 or 3.2 mm. The selection of </w:t>
      </w:r>
      <w:r>
        <w:rPr>
          <w:lang w:val="en-GB"/>
        </w:rPr>
        <w:t>tubes</w:t>
      </w:r>
      <w:r w:rsidRPr="009B5335">
        <w:rPr>
          <w:lang w:val="en-GB"/>
        </w:rPr>
        <w:t xml:space="preserve"> and nozzles depended on the liquid flow rate. After wetting, the wetted mass is sheared and compressed in a first kneading zone, this zone consist</w:t>
      </w:r>
      <w:r>
        <w:rPr>
          <w:lang w:val="en-GB"/>
        </w:rPr>
        <w:t>s</w:t>
      </w:r>
      <w:r w:rsidRPr="009B5335">
        <w:rPr>
          <w:lang w:val="en-GB"/>
        </w:rPr>
        <w:t xml:space="preserve"> of 6 kneading elements (L=D/4 for each kneading element) arranged at an angle of 60 degrees. After passing a small conveying zone (L=1.5D), granules were further processed in another kneading zone </w:t>
      </w:r>
      <w:r>
        <w:rPr>
          <w:lang w:val="en-GB"/>
        </w:rPr>
        <w:t>arranged identically</w:t>
      </w:r>
      <w:r w:rsidRPr="009B5335">
        <w:rPr>
          <w:lang w:val="en-GB"/>
        </w:rPr>
        <w:t xml:space="preserve"> to the first kneading zone. </w:t>
      </w:r>
      <w:r>
        <w:rPr>
          <w:lang w:val="en-GB"/>
        </w:rPr>
        <w:t>T</w:t>
      </w:r>
      <w:r w:rsidRPr="009B5335">
        <w:rPr>
          <w:lang w:val="en-GB"/>
        </w:rPr>
        <w:t xml:space="preserve">he granules were </w:t>
      </w:r>
      <w:r>
        <w:rPr>
          <w:lang w:val="en-GB"/>
        </w:rPr>
        <w:t xml:space="preserve">then </w:t>
      </w:r>
      <w:r w:rsidRPr="009B5335">
        <w:rPr>
          <w:lang w:val="en-GB"/>
        </w:rPr>
        <w:t xml:space="preserve">transported by conveying elements (L=1.5D) towards the end of the granulator. At the end of the screws, two small kneading discs (L=D/6 for each kneading element) were positioned to </w:t>
      </w:r>
      <w:r>
        <w:rPr>
          <w:lang w:val="en-GB"/>
        </w:rPr>
        <w:t>limit</w:t>
      </w:r>
      <w:r w:rsidRPr="009B5335">
        <w:rPr>
          <w:lang w:val="en-GB"/>
        </w:rPr>
        <w:t xml:space="preserve"> the fraction </w:t>
      </w:r>
      <w:r>
        <w:rPr>
          <w:lang w:val="en-GB"/>
        </w:rPr>
        <w:t>of</w:t>
      </w:r>
      <w:r w:rsidRPr="009B5335">
        <w:rPr>
          <w:lang w:val="en-GB"/>
        </w:rPr>
        <w:t xml:space="preserve"> oversized granules. Before sample collection, a stabilisation period was needed to reach steady-state conditions. All collected granules were oven dried (24 h, 40 °C, 25</w:t>
      </w:r>
      <w:r>
        <w:rPr>
          <w:lang w:val="en-GB"/>
        </w:rPr>
        <w:t xml:space="preserve"> </w:t>
      </w:r>
      <w:r w:rsidRPr="009B5335">
        <w:rPr>
          <w:lang w:val="en-GB"/>
        </w:rPr>
        <w:t>% RH) prior to further granule characterization.</w:t>
      </w:r>
    </w:p>
    <w:p w14:paraId="4AA7BC83"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t>Design of Experiments</w:t>
      </w:r>
    </w:p>
    <w:p w14:paraId="1FF7B96B" w14:textId="73F25B8E" w:rsidR="00EA7445" w:rsidRPr="009B5335" w:rsidRDefault="00EA7445" w:rsidP="0038497A">
      <w:pPr>
        <w:spacing w:line="240" w:lineRule="auto"/>
        <w:rPr>
          <w:lang w:val="en-GB"/>
        </w:rPr>
      </w:pPr>
      <w:r w:rsidRPr="009B5335">
        <w:rPr>
          <w:lang w:val="en-GB"/>
        </w:rPr>
        <w:t>A 2-level full factorial Design of Experiments (DoE) was performed on each formulation blend to investigate the influence of the granulation process parameters MFR and L/S ratio on the granule quality attributes. Each DoE resulted in 4 experiment</w:t>
      </w:r>
      <w:r>
        <w:rPr>
          <w:lang w:val="en-GB"/>
        </w:rPr>
        <w:t>s</w:t>
      </w:r>
      <w:r w:rsidRPr="009B5335">
        <w:rPr>
          <w:lang w:val="en-GB"/>
        </w:rPr>
        <w:t xml:space="preserve"> </w:t>
      </w:r>
      <w:r>
        <w:rPr>
          <w:lang w:val="en-GB"/>
        </w:rPr>
        <w:t>and</w:t>
      </w:r>
      <w:r w:rsidRPr="009B5335">
        <w:rPr>
          <w:lang w:val="en-GB"/>
        </w:rPr>
        <w:t xml:space="preserve"> 3 </w:t>
      </w:r>
      <w:proofErr w:type="spellStart"/>
      <w:r w:rsidRPr="009B5335">
        <w:rPr>
          <w:lang w:val="en-GB"/>
        </w:rPr>
        <w:t>cent</w:t>
      </w:r>
      <w:r w:rsidR="00796B95">
        <w:rPr>
          <w:lang w:val="en-GB"/>
        </w:rPr>
        <w:t>er</w:t>
      </w:r>
      <w:r w:rsidRPr="009B5335">
        <w:rPr>
          <w:lang w:val="en-GB"/>
        </w:rPr>
        <w:t>point</w:t>
      </w:r>
      <w:proofErr w:type="spellEnd"/>
      <w:r w:rsidRPr="009B5335">
        <w:rPr>
          <w:lang w:val="en-GB"/>
        </w:rPr>
        <w:t xml:space="preserve"> experiments. MFR was varied from 10 to 20 kg/h, while the applicable L/S ratio ranges were experimentally determined for each formulation blend. L/S ranges were chosen so that both very small granules and oversized granules were obtained. Operating outside these L/S ranges would either result in ungranulated powder or in the formation of paste.</w:t>
      </w:r>
    </w:p>
    <w:p w14:paraId="7D9110D0" w14:textId="77777777" w:rsidR="00EA7445" w:rsidRPr="00625702" w:rsidRDefault="00EA7445" w:rsidP="0038497A">
      <w:pPr>
        <w:pStyle w:val="Kop1"/>
        <w:numPr>
          <w:ilvl w:val="1"/>
          <w:numId w:val="20"/>
        </w:numPr>
        <w:spacing w:line="240" w:lineRule="auto"/>
        <w:rPr>
          <w:caps w:val="0"/>
          <w:lang w:val="en-GB"/>
        </w:rPr>
      </w:pPr>
      <w:r w:rsidRPr="00625702">
        <w:rPr>
          <w:caps w:val="0"/>
          <w:lang w:val="en-GB"/>
        </w:rPr>
        <w:t>Product quality attributes</w:t>
      </w:r>
    </w:p>
    <w:p w14:paraId="413EFEB0"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t>Granule size</w:t>
      </w:r>
    </w:p>
    <w:p w14:paraId="28BD7AFC" w14:textId="77777777" w:rsidR="00EA7445" w:rsidRPr="009B5335" w:rsidRDefault="00EA7445" w:rsidP="0038497A">
      <w:pPr>
        <w:spacing w:line="240" w:lineRule="auto"/>
        <w:rPr>
          <w:lang w:val="en-GB"/>
        </w:rPr>
      </w:pPr>
      <w:r w:rsidRPr="009B5335">
        <w:rPr>
          <w:iCs/>
          <w:lang w:val="en-GB"/>
        </w:rPr>
        <w:t xml:space="preserve">An image analysis system (QICPIC particle size </w:t>
      </w:r>
      <w:proofErr w:type="spellStart"/>
      <w:r w:rsidRPr="009B5335">
        <w:rPr>
          <w:iCs/>
          <w:lang w:val="en-GB"/>
        </w:rPr>
        <w:t>analyzer</w:t>
      </w:r>
      <w:proofErr w:type="spellEnd"/>
      <w:r w:rsidRPr="009B5335">
        <w:rPr>
          <w:iCs/>
          <w:lang w:val="en-GB"/>
        </w:rPr>
        <w:t xml:space="preserve">, </w:t>
      </w:r>
      <w:proofErr w:type="spellStart"/>
      <w:r w:rsidRPr="009B5335">
        <w:rPr>
          <w:lang w:val="en-GB"/>
        </w:rPr>
        <w:t>Sympatec</w:t>
      </w:r>
      <w:proofErr w:type="spellEnd"/>
      <w:r w:rsidRPr="009B5335">
        <w:rPr>
          <w:lang w:val="en-GB"/>
        </w:rPr>
        <w:t xml:space="preserve">, </w:t>
      </w:r>
      <w:proofErr w:type="spellStart"/>
      <w:r w:rsidRPr="009B5335">
        <w:rPr>
          <w:lang w:val="en-GB"/>
        </w:rPr>
        <w:t>Clausthal-Zellerfeld</w:t>
      </w:r>
      <w:proofErr w:type="spellEnd"/>
      <w:r w:rsidRPr="009B5335">
        <w:rPr>
          <w:lang w:val="en-GB"/>
        </w:rPr>
        <w:t xml:space="preserve">, Germany) was used to measure the </w:t>
      </w:r>
      <w:r w:rsidRPr="009B5335">
        <w:rPr>
          <w:iCs/>
          <w:lang w:val="en-GB"/>
        </w:rPr>
        <w:t>granule size distribution based on the</w:t>
      </w:r>
      <w:r w:rsidRPr="009B5335">
        <w:rPr>
          <w:lang w:val="en-GB"/>
        </w:rPr>
        <w:t xml:space="preserve"> </w:t>
      </w:r>
      <w:r w:rsidRPr="009B5335">
        <w:rPr>
          <w:iCs/>
          <w:lang w:val="en-GB"/>
        </w:rPr>
        <w:t>equivalent projected circle</w:t>
      </w:r>
      <w:r w:rsidRPr="009B5335">
        <w:rPr>
          <w:lang w:val="en-GB"/>
        </w:rPr>
        <w:t>. Samples of 15 g were measured in triplicate. The fraction of ungranulated raw material was defined as fines, it corresponds to the size fraction smaller than 200 µm. Particles larger than 2000 µm were defined as oversized granules.</w:t>
      </w:r>
    </w:p>
    <w:p w14:paraId="0823CF3F"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t>Friability</w:t>
      </w:r>
    </w:p>
    <w:p w14:paraId="60D2521E" w14:textId="35652E88" w:rsidR="00EA7445" w:rsidRPr="009B5335" w:rsidRDefault="00EA7445" w:rsidP="0038497A">
      <w:pPr>
        <w:spacing w:line="240" w:lineRule="auto"/>
        <w:rPr>
          <w:lang w:val="en-GB"/>
        </w:rPr>
      </w:pPr>
      <w:bookmarkStart w:id="17" w:name="_Hlk50383631"/>
      <w:r w:rsidRPr="009B5335">
        <w:rPr>
          <w:lang w:val="en-GB"/>
        </w:rPr>
        <w:t xml:space="preserve">Granule friability was measured to determine granule strength using a </w:t>
      </w:r>
      <w:proofErr w:type="spellStart"/>
      <w:r w:rsidRPr="009B5335">
        <w:rPr>
          <w:lang w:val="en-GB"/>
        </w:rPr>
        <w:t>friabilator</w:t>
      </w:r>
      <w:proofErr w:type="spellEnd"/>
      <w:r w:rsidRPr="009B5335">
        <w:rPr>
          <w:lang w:val="en-GB"/>
        </w:rPr>
        <w:t xml:space="preserve"> (</w:t>
      </w:r>
      <w:proofErr w:type="spellStart"/>
      <w:r w:rsidRPr="009B5335">
        <w:rPr>
          <w:lang w:val="en-GB"/>
        </w:rPr>
        <w:t>Pharmatest</w:t>
      </w:r>
      <w:proofErr w:type="spellEnd"/>
      <w:r w:rsidRPr="009B5335">
        <w:rPr>
          <w:lang w:val="en-GB"/>
        </w:rPr>
        <w:t xml:space="preserve"> PTF E, </w:t>
      </w:r>
      <w:proofErr w:type="spellStart"/>
      <w:r w:rsidRPr="009B5335">
        <w:rPr>
          <w:lang w:val="en-GB"/>
        </w:rPr>
        <w:t>Hainburg</w:t>
      </w:r>
      <w:proofErr w:type="spellEnd"/>
      <w:r w:rsidRPr="009B5335">
        <w:rPr>
          <w:lang w:val="en-GB"/>
        </w:rPr>
        <w:t>, Germany). Before each measurement granules were pre-sieved at 250 µm. Consequently, 10 g (initial weight ([</w:t>
      </w:r>
      <w:proofErr w:type="spellStart"/>
      <w:r w:rsidRPr="009B5335">
        <w:rPr>
          <w:lang w:val="en-GB"/>
        </w:rPr>
        <w:t>Iw</w:t>
      </w:r>
      <w:proofErr w:type="spellEnd"/>
      <w:r w:rsidRPr="009B5335">
        <w:rPr>
          <w:lang w:val="en-GB"/>
        </w:rPr>
        <w:t xml:space="preserve">] </w:t>
      </w:r>
      <w:r>
        <w:rPr>
          <w:lang w:val="en-GB"/>
        </w:rPr>
        <w:t>=</w:t>
      </w:r>
      <w:r w:rsidRPr="009B5335">
        <w:rPr>
          <w:lang w:val="en-GB"/>
        </w:rPr>
        <w:t xml:space="preserve"> g)) of the fraction larger than 250 µm was combined with 200 glass beads (diameter 5 mm) and subjected to 250 rotation in 10 min. Then, the fraction smaller than 250 µm was removed and the remaining mass (final weight ([</w:t>
      </w:r>
      <w:proofErr w:type="spellStart"/>
      <w:r w:rsidRPr="009B5335">
        <w:rPr>
          <w:lang w:val="en-GB"/>
        </w:rPr>
        <w:t>Fw</w:t>
      </w:r>
      <w:proofErr w:type="spellEnd"/>
      <w:r w:rsidRPr="009B5335">
        <w:rPr>
          <w:lang w:val="en-GB"/>
        </w:rPr>
        <w:t xml:space="preserve">] = g)) was weighted. Friability was calculated using </w:t>
      </w:r>
      <w:r>
        <w:rPr>
          <w:lang w:val="en-GB"/>
        </w:rPr>
        <w:t>E</w:t>
      </w:r>
      <w:r w:rsidRPr="009B5335">
        <w:rPr>
          <w:lang w:val="en-GB"/>
        </w:rPr>
        <w:t>quation 12. Experiments were performed in duplicate.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EA7445" w:rsidRPr="009B5335" w14:paraId="4F5C08BD" w14:textId="77777777" w:rsidTr="00EA7445">
        <w:tc>
          <w:tcPr>
            <w:tcW w:w="704" w:type="dxa"/>
          </w:tcPr>
          <w:p w14:paraId="7FA52582" w14:textId="77777777" w:rsidR="00EA7445" w:rsidRPr="009B5335" w:rsidRDefault="00EA7445" w:rsidP="0038497A">
            <w:pPr>
              <w:spacing w:line="240" w:lineRule="auto"/>
              <w:rPr>
                <w:lang w:val="en-GB"/>
              </w:rPr>
            </w:pPr>
          </w:p>
        </w:tc>
        <w:tc>
          <w:tcPr>
            <w:tcW w:w="7655" w:type="dxa"/>
          </w:tcPr>
          <w:p w14:paraId="7D9CD98B" w14:textId="77777777" w:rsidR="00EA7445" w:rsidRPr="009B5335" w:rsidRDefault="00EA7445" w:rsidP="0038497A">
            <w:pPr>
              <w:spacing w:line="240" w:lineRule="auto"/>
              <w:rPr>
                <w:lang w:val="en-GB"/>
              </w:rPr>
            </w:pPr>
            <m:oMathPara>
              <m:oMath>
                <m:r>
                  <w:rPr>
                    <w:rFonts w:ascii="Cambria Math" w:hAnsi="Cambria Math"/>
                    <w:lang w:val="en-GB"/>
                  </w:rPr>
                  <m:t xml:space="preserve">Friability </m:t>
                </m:r>
                <m:d>
                  <m:dPr>
                    <m:ctrlPr>
                      <w:rPr>
                        <w:rFonts w:ascii="Cambria Math" w:hAnsi="Cambria Math"/>
                        <w:i/>
                        <w:lang w:val="en-GB"/>
                      </w:rPr>
                    </m:ctrlPr>
                  </m:dPr>
                  <m:e>
                    <m:r>
                      <w:rPr>
                        <w:rFonts w:ascii="Cambria Math" w:hAnsi="Cambria Math"/>
                        <w:lang w:val="en-GB"/>
                      </w:rPr>
                      <m:t>%</m:t>
                    </m:r>
                  </m:e>
                </m:d>
                <m:r>
                  <w:rPr>
                    <w:rFonts w:ascii="Cambria Math" w:hAnsi="Cambria Math"/>
                    <w:lang w:val="en-GB"/>
                  </w:rPr>
                  <m:t>=100*</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Iw-Fw</m:t>
                        </m:r>
                      </m:e>
                    </m:d>
                  </m:num>
                  <m:den>
                    <m:r>
                      <w:rPr>
                        <w:rFonts w:ascii="Cambria Math" w:hAnsi="Cambria Math"/>
                        <w:lang w:val="en-GB"/>
                      </w:rPr>
                      <m:t>Iw</m:t>
                    </m:r>
                  </m:den>
                </m:f>
              </m:oMath>
            </m:oMathPara>
          </w:p>
        </w:tc>
        <w:tc>
          <w:tcPr>
            <w:tcW w:w="703" w:type="dxa"/>
          </w:tcPr>
          <w:p w14:paraId="0552AA4D" w14:textId="6CD573D8" w:rsidR="00EA7445" w:rsidRPr="009B5335" w:rsidRDefault="00877721" w:rsidP="0038497A">
            <w:pPr>
              <w:spacing w:line="240" w:lineRule="auto"/>
              <w:rPr>
                <w:lang w:val="en-GB"/>
              </w:rPr>
            </w:pPr>
            <w:r>
              <w:rPr>
                <w:lang w:val="en-GB"/>
              </w:rPr>
              <w:t>[</w:t>
            </w:r>
            <w:r w:rsidR="00EA7445">
              <w:rPr>
                <w:lang w:val="en-GB"/>
              </w:rPr>
              <w:t>12</w:t>
            </w:r>
            <w:r>
              <w:rPr>
                <w:lang w:val="en-GB"/>
              </w:rPr>
              <w:t>]</w:t>
            </w:r>
          </w:p>
        </w:tc>
      </w:tr>
    </w:tbl>
    <w:bookmarkEnd w:id="17"/>
    <w:p w14:paraId="18C8206A"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lastRenderedPageBreak/>
        <w:t>Granule flow</w:t>
      </w:r>
    </w:p>
    <w:p w14:paraId="50904F9C" w14:textId="77777777" w:rsidR="00EA7445" w:rsidRPr="009B5335" w:rsidRDefault="00EA7445" w:rsidP="0038497A">
      <w:pPr>
        <w:spacing w:line="240" w:lineRule="auto"/>
        <w:rPr>
          <w:lang w:val="en-GB"/>
        </w:rPr>
      </w:pPr>
      <w:r w:rsidRPr="009B5335">
        <w:rPr>
          <w:lang w:val="en-GB"/>
        </w:rPr>
        <w:t>Granule flow was measured using the GranuHeap instrument (</w:t>
      </w:r>
      <w:proofErr w:type="spellStart"/>
      <w:r w:rsidRPr="009B5335">
        <w:rPr>
          <w:lang w:val="en-GB"/>
        </w:rPr>
        <w:t>GranuTools</w:t>
      </w:r>
      <w:proofErr w:type="spellEnd"/>
      <w:r w:rsidRPr="009B5335">
        <w:rPr>
          <w:lang w:val="en-GB"/>
        </w:rPr>
        <w:t xml:space="preserve">, </w:t>
      </w:r>
      <w:proofErr w:type="spellStart"/>
      <w:r w:rsidRPr="009B5335">
        <w:rPr>
          <w:lang w:val="en-GB"/>
        </w:rPr>
        <w:t>Awans</w:t>
      </w:r>
      <w:proofErr w:type="spellEnd"/>
      <w:r w:rsidRPr="009B5335">
        <w:rPr>
          <w:lang w:val="en-GB"/>
        </w:rPr>
        <w:t xml:space="preserve">, Belgium). After manually filling the initialization tube with 60 mL of granules, the tube was lifted at a constant speed of 5 mm/s. Hereafter, granules formed a heap on the support. The support rotated subsequently around its axis </w:t>
      </w:r>
      <w:r>
        <w:rPr>
          <w:lang w:val="en-GB"/>
        </w:rPr>
        <w:t>to take</w:t>
      </w:r>
      <w:r w:rsidRPr="009B5335">
        <w:rPr>
          <w:lang w:val="en-GB"/>
        </w:rPr>
        <w:t xml:space="preserve"> 17 pictures </w:t>
      </w:r>
      <w:r>
        <w:rPr>
          <w:lang w:val="en-GB"/>
        </w:rPr>
        <w:t>of the shape of the granule heap</w:t>
      </w:r>
      <w:r w:rsidRPr="009B5335">
        <w:rPr>
          <w:lang w:val="en-GB"/>
        </w:rPr>
        <w:t>. The pictures were used to calculate the angle of repose (</w:t>
      </w:r>
      <w:r>
        <w:rPr>
          <w:lang w:val="en-GB"/>
        </w:rPr>
        <w:t>[</w:t>
      </w:r>
      <w:proofErr w:type="spellStart"/>
      <w:r w:rsidRPr="009B5335">
        <w:rPr>
          <w:lang w:val="en-GB"/>
        </w:rPr>
        <w:t>AoR</w:t>
      </w:r>
      <w:proofErr w:type="spellEnd"/>
      <w:r>
        <w:rPr>
          <w:lang w:val="en-GB"/>
        </w:rPr>
        <w:t>] =</w:t>
      </w:r>
      <w:r w:rsidRPr="009B5335">
        <w:rPr>
          <w:lang w:val="en-GB"/>
        </w:rPr>
        <w:t xml:space="preserve">°) as an indication for granule flow. </w:t>
      </w:r>
      <w:r>
        <w:rPr>
          <w:lang w:val="en-GB"/>
        </w:rPr>
        <w:t>E</w:t>
      </w:r>
      <w:r w:rsidRPr="009B5335">
        <w:rPr>
          <w:lang w:val="en-GB"/>
        </w:rPr>
        <w:t>xcellent (25-30°), good (31-35°), fair (36-40°), passable (41-45°), poor (46-55°) and very poor flow (56-65°)</w:t>
      </w:r>
      <w:r>
        <w:rPr>
          <w:lang w:val="en-GB"/>
        </w:rPr>
        <w:t xml:space="preserve"> </w:t>
      </w:r>
      <w:r w:rsidRPr="009B5335">
        <w:rPr>
          <w:lang w:val="en-GB"/>
        </w:rPr>
        <w:t xml:space="preserve">can be </w:t>
      </w:r>
      <w:r>
        <w:rPr>
          <w:lang w:val="en-GB"/>
        </w:rPr>
        <w:t xml:space="preserve">defined based on the measured </w:t>
      </w:r>
      <w:proofErr w:type="spellStart"/>
      <w:r>
        <w:rPr>
          <w:lang w:val="en-GB"/>
        </w:rPr>
        <w:t>AoR.</w:t>
      </w:r>
      <w:proofErr w:type="spellEnd"/>
      <w:r w:rsidRPr="009B5335">
        <w:rPr>
          <w:lang w:val="en-GB"/>
        </w:rPr>
        <w:t xml:space="preserve"> </w:t>
      </w:r>
    </w:p>
    <w:p w14:paraId="4B4AE9FD" w14:textId="77777777" w:rsidR="00EA7445" w:rsidRPr="00625702" w:rsidRDefault="00EA7445" w:rsidP="0038497A">
      <w:pPr>
        <w:pStyle w:val="Kop1"/>
        <w:numPr>
          <w:ilvl w:val="1"/>
          <w:numId w:val="20"/>
        </w:numPr>
        <w:spacing w:line="240" w:lineRule="auto"/>
        <w:rPr>
          <w:caps w:val="0"/>
          <w:lang w:val="en-GB"/>
        </w:rPr>
      </w:pPr>
      <w:r w:rsidRPr="00625702">
        <w:rPr>
          <w:caps w:val="0"/>
          <w:lang w:val="en-GB"/>
        </w:rPr>
        <w:t xml:space="preserve">TPLS </w:t>
      </w:r>
      <w:proofErr w:type="spellStart"/>
      <w:r w:rsidRPr="00625702">
        <w:rPr>
          <w:caps w:val="0"/>
          <w:lang w:val="en-GB"/>
        </w:rPr>
        <w:t>modeling</w:t>
      </w:r>
      <w:proofErr w:type="spellEnd"/>
    </w:p>
    <w:p w14:paraId="13FF7258" w14:textId="3EB96FFD" w:rsidR="00EA7445" w:rsidRPr="009B5335" w:rsidRDefault="00EA7445" w:rsidP="0038497A">
      <w:pPr>
        <w:spacing w:line="240" w:lineRule="auto"/>
        <w:rPr>
          <w:lang w:val="en-GB"/>
        </w:rPr>
      </w:pPr>
      <w:r w:rsidRPr="009B5335">
        <w:rPr>
          <w:lang w:val="en-GB"/>
        </w:rPr>
        <w:t xml:space="preserve">Figure </w:t>
      </w:r>
      <w:r w:rsidR="00CF4384">
        <w:rPr>
          <w:lang w:val="en-GB"/>
        </w:rPr>
        <w:t>2</w:t>
      </w:r>
      <w:r w:rsidRPr="009B5335">
        <w:rPr>
          <w:lang w:val="en-GB"/>
        </w:rPr>
        <w:t xml:space="preserve"> illustrates a schematic overview of the structure of the developed TPLS model in this study. Munoz et al. (2) already showed that the TPLS model involves 4 different matrices, whereby the applied process conditions (matrix Z), the raw material properties (matrix X) and rati</w:t>
      </w:r>
      <w:r>
        <w:rPr>
          <w:lang w:val="en-GB"/>
        </w:rPr>
        <w:t>o</w:t>
      </w:r>
      <w:r w:rsidRPr="009B5335">
        <w:rPr>
          <w:lang w:val="en-GB"/>
        </w:rPr>
        <w:t xml:space="preserve">s in which these raw materials are combined (matrix R) determine the quality attributes (matrix Y). The mathematics behind TPLS modelling are extensively described by Munoz et al. (2). Prediction of the granule quality (Y) for a given X, R and Z can be performed by TPLS. First, the predictive power was tested by performing a cross-validation for all experiments of F1B1. The predicted values were then compared to the </w:t>
      </w:r>
      <w:r>
        <w:rPr>
          <w:lang w:val="en-GB"/>
        </w:rPr>
        <w:t>experimental</w:t>
      </w:r>
      <w:r w:rsidRPr="009B5335">
        <w:rPr>
          <w:lang w:val="en-GB"/>
        </w:rPr>
        <w:t xml:space="preserve"> values to investigate the goodness of the predictions.</w:t>
      </w:r>
      <w:r>
        <w:rPr>
          <w:lang w:val="en-GB"/>
        </w:rPr>
        <w:t xml:space="preserve"> </w:t>
      </w:r>
      <w:r w:rsidRPr="009B5335">
        <w:rPr>
          <w:lang w:val="en-GB"/>
        </w:rPr>
        <w:t>The predicti</w:t>
      </w:r>
      <w:r>
        <w:rPr>
          <w:lang w:val="en-GB"/>
        </w:rPr>
        <w:t>ve</w:t>
      </w:r>
      <w:r w:rsidRPr="009B5335">
        <w:rPr>
          <w:lang w:val="en-GB"/>
        </w:rPr>
        <w:t xml:space="preserve"> ability of the TPLS model was also evaluated for a case study where a suitable formulation with suitable process setting was </w:t>
      </w:r>
      <w:r>
        <w:rPr>
          <w:lang w:val="en-GB"/>
        </w:rPr>
        <w:t>defined</w:t>
      </w:r>
      <w:r w:rsidRPr="009B5335">
        <w:rPr>
          <w:lang w:val="en-GB"/>
        </w:rPr>
        <w:t xml:space="preserve"> for a new API (at 3 content levels) based on its determined properties. The following steps were therefore performed for this new API. First, powder characterization was performed for the new API to determine all raw material properties. Then, these API properties were added to the database of API and filler material properties to perform a new PCA. The score plot of the PCA was then created to determine the closest neighbours (i.e., powders having similar properties) of the API. Subsequently, the weighted (depending of the distance between the neighbouring powders and the new API) scores of the neighbouring powders were assigned to the new API. This is needed to add the new API to the initially developed TPLS model. In a next step, constraints were set on the composition of the new formulation, the desired granule quality and the desired process settings. Next, the granule quality attributes of 25</w:t>
      </w:r>
      <w:r>
        <w:rPr>
          <w:lang w:val="en-GB"/>
        </w:rPr>
        <w:t>,</w:t>
      </w:r>
      <w:r w:rsidRPr="009B5335">
        <w:rPr>
          <w:lang w:val="en-GB"/>
        </w:rPr>
        <w:t>000</w:t>
      </w:r>
      <w:r>
        <w:rPr>
          <w:lang w:val="en-GB"/>
        </w:rPr>
        <w:t>,</w:t>
      </w:r>
      <w:r w:rsidRPr="009B5335">
        <w:rPr>
          <w:lang w:val="en-GB"/>
        </w:rPr>
        <w:t>000 different scenarios were predicted</w:t>
      </w:r>
      <w:r w:rsidR="0044009E">
        <w:rPr>
          <w:lang w:val="en-GB"/>
        </w:rPr>
        <w:t xml:space="preserve"> (i.e., computational iterations)</w:t>
      </w:r>
      <w:r w:rsidRPr="009B5335">
        <w:rPr>
          <w:lang w:val="en-GB"/>
        </w:rPr>
        <w:t xml:space="preserve">. The prediction of a scenario is defined as the prediction of the granule quality of a certain formulation while applying certain process parameters, </w:t>
      </w:r>
      <w:r>
        <w:rPr>
          <w:lang w:val="en-GB"/>
        </w:rPr>
        <w:t xml:space="preserve">and </w:t>
      </w:r>
      <w:r w:rsidRPr="009B5335">
        <w:rPr>
          <w:lang w:val="en-GB"/>
        </w:rPr>
        <w:t xml:space="preserve">while keeping the constraints into account. After each prediction, the predicted quality is compared to the desired quality. Based on these predictions, suitable excipients and 3 appropriate blend ratios were selected to obtain granules with 3 different API contents. Additional predictions were then performed for the selected formulation to establish contour plot for each of response. Finally, verification experiments were performed to compare predicted values with </w:t>
      </w:r>
      <w:r>
        <w:rPr>
          <w:lang w:val="en-GB"/>
        </w:rPr>
        <w:t>the experimental outcome</w:t>
      </w:r>
      <w:r w:rsidRPr="009B5335">
        <w:rPr>
          <w:lang w:val="en-GB"/>
        </w:rPr>
        <w:t xml:space="preserve">. </w:t>
      </w:r>
    </w:p>
    <w:p w14:paraId="24287DA1" w14:textId="327A52B7" w:rsidR="00EA7445" w:rsidRPr="009B5335" w:rsidRDefault="00EA7445" w:rsidP="0038497A">
      <w:pPr>
        <w:pStyle w:val="Kop1"/>
        <w:numPr>
          <w:ilvl w:val="1"/>
          <w:numId w:val="20"/>
        </w:numPr>
        <w:spacing w:line="240" w:lineRule="auto"/>
        <w:rPr>
          <w:lang w:val="en-GB"/>
        </w:rPr>
      </w:pPr>
      <w:r w:rsidRPr="00625702">
        <w:rPr>
          <w:caps w:val="0"/>
          <w:lang w:val="en-GB"/>
        </w:rPr>
        <w:t>Data analysis</w:t>
      </w:r>
    </w:p>
    <w:p w14:paraId="4068614E" w14:textId="77777777" w:rsidR="00EA7445" w:rsidRPr="009B5335" w:rsidRDefault="00EA7445" w:rsidP="0038497A">
      <w:pPr>
        <w:spacing w:line="240" w:lineRule="auto"/>
        <w:rPr>
          <w:i/>
          <w:iCs/>
          <w:lang w:val="en-GB"/>
        </w:rPr>
      </w:pPr>
      <w:r w:rsidRPr="009B5335">
        <w:rPr>
          <w:lang w:val="en-GB"/>
        </w:rPr>
        <w:t>SIMCA 16.0 software (</w:t>
      </w:r>
      <w:proofErr w:type="spellStart"/>
      <w:r w:rsidRPr="009B5335">
        <w:rPr>
          <w:lang w:val="en-GB"/>
        </w:rPr>
        <w:t>Umetrics</w:t>
      </w:r>
      <w:proofErr w:type="spellEnd"/>
      <w:r w:rsidRPr="009B5335">
        <w:rPr>
          <w:lang w:val="en-GB"/>
        </w:rPr>
        <w:t>, MKS, Umea, Sweden) was used to construct PCA models. MODDE Pro 12.0 (</w:t>
      </w:r>
      <w:proofErr w:type="spellStart"/>
      <w:r w:rsidRPr="009B5335">
        <w:rPr>
          <w:lang w:val="en-GB"/>
        </w:rPr>
        <w:t>Umetrics</w:t>
      </w:r>
      <w:proofErr w:type="spellEnd"/>
      <w:r w:rsidRPr="009B5335">
        <w:rPr>
          <w:lang w:val="en-GB"/>
        </w:rPr>
        <w:t xml:space="preserve">, Sartorius </w:t>
      </w:r>
      <w:proofErr w:type="spellStart"/>
      <w:r w:rsidRPr="009B5335">
        <w:rPr>
          <w:lang w:val="en-GB"/>
        </w:rPr>
        <w:t>Stedim</w:t>
      </w:r>
      <w:proofErr w:type="spellEnd"/>
      <w:r w:rsidRPr="009B5335">
        <w:rPr>
          <w:lang w:val="en-GB"/>
        </w:rPr>
        <w:t xml:space="preserve"> Biotech, Malmö, Sweden) was used to analyse each DoE. TPLS analysis was performed by a user</w:t>
      </w:r>
      <w:r>
        <w:rPr>
          <w:lang w:val="en-GB"/>
        </w:rPr>
        <w:t>-</w:t>
      </w:r>
      <w:r w:rsidRPr="009B5335">
        <w:rPr>
          <w:lang w:val="en-GB"/>
        </w:rPr>
        <w:t>developed MATLAB (R2016b, MathWorks, Natick, MA, USA) 220 toolbox (Phi_1.8).</w:t>
      </w:r>
      <w:r w:rsidRPr="009B5335">
        <w:rPr>
          <w:i/>
          <w:iCs/>
          <w:lang w:val="en-GB"/>
        </w:rPr>
        <w:t xml:space="preserve">  </w:t>
      </w:r>
    </w:p>
    <w:p w14:paraId="7F69C2AD" w14:textId="77777777" w:rsidR="00EA7445" w:rsidRPr="00B85BBA" w:rsidRDefault="00EA7445" w:rsidP="0038497A">
      <w:pPr>
        <w:pStyle w:val="Kop1"/>
        <w:numPr>
          <w:ilvl w:val="0"/>
          <w:numId w:val="20"/>
        </w:numPr>
        <w:spacing w:line="240" w:lineRule="auto"/>
      </w:pPr>
      <w:r w:rsidRPr="00B85BBA">
        <w:lastRenderedPageBreak/>
        <w:t>Results and discussion</w:t>
      </w:r>
    </w:p>
    <w:p w14:paraId="175E62C8" w14:textId="77777777" w:rsidR="00EA7445" w:rsidRPr="00625702" w:rsidRDefault="00EA7445" w:rsidP="0038497A">
      <w:pPr>
        <w:pStyle w:val="Kop1"/>
        <w:numPr>
          <w:ilvl w:val="1"/>
          <w:numId w:val="20"/>
        </w:numPr>
        <w:spacing w:line="240" w:lineRule="auto"/>
        <w:rPr>
          <w:caps w:val="0"/>
          <w:lang w:val="en-GB"/>
        </w:rPr>
      </w:pPr>
      <w:r w:rsidRPr="00625702">
        <w:rPr>
          <w:caps w:val="0"/>
          <w:lang w:val="en-GB"/>
        </w:rPr>
        <w:t>Raw material database (X)</w:t>
      </w:r>
    </w:p>
    <w:p w14:paraId="1B0056EB" w14:textId="38B6EC34" w:rsidR="00EA7445" w:rsidRDefault="00EA7445" w:rsidP="0038497A">
      <w:pPr>
        <w:spacing w:line="240" w:lineRule="auto"/>
        <w:rPr>
          <w:lang w:val="en-GB"/>
        </w:rPr>
      </w:pPr>
      <w:r w:rsidRPr="009B5335">
        <w:rPr>
          <w:lang w:val="en-GB"/>
        </w:rPr>
        <w:t xml:space="preserve">Binders behave differently once in contact with the granulation liquid and their relevant physical properties are different compared to those from the APIs and fillers. As suggested by Munoz et al. </w:t>
      </w:r>
      <w:r w:rsidRPr="009B5335">
        <w:rPr>
          <w:lang w:val="en-GB"/>
        </w:rPr>
        <w:fldChar w:fldCharType="begin" w:fldLock="1"/>
      </w:r>
      <w:r w:rsidR="003D65E2">
        <w:rPr>
          <w:lang w:val="en-GB"/>
        </w:rPr>
        <w:instrText>ADDIN CSL_CITATION {"citationItems":[{"id":"ITEM-1","itemData":{"DOI":"10.1016/j.chemolab.2014.02.006","ISSN":"01697439","abstract":"The challenge in the design of a new product or the troubleshooting of a manufacturing operation is to understand how the materials, the composition of the materials and the processing conditions affect the properties of the product. Two new methods (JRPLS and TPLS) are proposed to overcome the gaps in the current mixture modeling methods to simultaneously analyze data from multiple materials, their mixing ratios and processing conditions as to how they affect the quality of a product. Unlike the prior alternatives, the methods proposed here consider explicitly the physical properties of the raw materials, without the need of a linear weighted average estimation. A NIPALS-like algorithm is proposed to estimate the parameters of both models, and analytical expressions are derived for the JRPLS demonstrating that it reduces to the LPLS in the scenario of one material. The methods are illustrated with three industrial case studies involving the analysis of the manufacturing process for three different drug products. In all cases the JRPLS and TPLS methods enable the identification of key relationships between materials, process and products. © 2014 Elsevier B.V.","author":[{"dropping-particle":"","family":"Garcia-Munoz","given":"Salvador","non-dropping-particle":"","parse-names":false,"suffix":""}],"container-title":"Chemometrics and Intelligent Laboratory Systems","id":"ITEM-1","issued":{"date-parts":[["2014"]]},"page":"49-62","title":"Two novel methods to analyze the combined effect of multiple raw-materials and processing conditions on the product's final attributes: JRPLS and TPLS","type":"article-journal","volume":"133"},"uris":["http://www.mendeley.com/documents/?uuid=757a76aa-c9e5-4aca-ae5e-bff3548f666f"]}],"mendeley":{"formattedCitation":"(Garcia-Munoz, 2014)","plainTextFormattedCitation":"(Garcia-Munoz, 2014)","previouslyFormattedCitation":"[2]"},"properties":{"noteIndex":0},"schema":"https://github.com/citation-style-language/schema/raw/master/csl-citation.json"}</w:instrText>
      </w:r>
      <w:r w:rsidRPr="009B5335">
        <w:rPr>
          <w:lang w:val="en-GB"/>
        </w:rPr>
        <w:fldChar w:fldCharType="separate"/>
      </w:r>
      <w:r w:rsidR="003D65E2" w:rsidRPr="003D65E2">
        <w:rPr>
          <w:noProof/>
          <w:lang w:val="en-GB"/>
        </w:rPr>
        <w:t>(Garcia-Munoz, 2014)</w:t>
      </w:r>
      <w:r w:rsidRPr="009B5335">
        <w:rPr>
          <w:lang w:val="en-US"/>
        </w:rPr>
        <w:fldChar w:fldCharType="end"/>
      </w:r>
      <w:r w:rsidRPr="009B5335">
        <w:rPr>
          <w:lang w:val="en-GB"/>
        </w:rPr>
        <w:t>, the raw material database (X-matrix) consisted therefore of a sub</w:t>
      </w:r>
      <w:r>
        <w:rPr>
          <w:lang w:val="en-GB"/>
        </w:rPr>
        <w:t>-</w:t>
      </w:r>
      <w:r w:rsidRPr="009B5335">
        <w:rPr>
          <w:lang w:val="en-GB"/>
        </w:rPr>
        <w:t xml:space="preserve">data matrix containing 39 raw material properties </w:t>
      </w:r>
      <w:r>
        <w:rPr>
          <w:lang w:val="en-GB"/>
        </w:rPr>
        <w:t>of</w:t>
      </w:r>
      <w:r w:rsidRPr="009B5335">
        <w:rPr>
          <w:lang w:val="en-GB"/>
        </w:rPr>
        <w:t xml:space="preserve"> 23 APIs and fillers and a sub</w:t>
      </w:r>
      <w:r>
        <w:rPr>
          <w:lang w:val="en-GB"/>
        </w:rPr>
        <w:t>-</w:t>
      </w:r>
      <w:r w:rsidRPr="009B5335">
        <w:rPr>
          <w:lang w:val="en-GB"/>
        </w:rPr>
        <w:t xml:space="preserve">data matrix containing 9 binder-specific properties (Figure </w:t>
      </w:r>
      <w:r w:rsidR="005C70B5">
        <w:rPr>
          <w:lang w:val="en-GB"/>
        </w:rPr>
        <w:t>2</w:t>
      </w:r>
      <w:r w:rsidRPr="009B5335">
        <w:rPr>
          <w:lang w:val="en-GB"/>
        </w:rPr>
        <w:t xml:space="preserve">). </w:t>
      </w:r>
    </w:p>
    <w:p w14:paraId="77133B0D" w14:textId="3E13EC7C" w:rsidR="00EA7445" w:rsidRPr="009B5335" w:rsidRDefault="00EA7445" w:rsidP="0038497A">
      <w:pPr>
        <w:spacing w:line="240" w:lineRule="auto"/>
        <w:rPr>
          <w:lang w:val="en-GB"/>
        </w:rPr>
      </w:pPr>
      <w:r w:rsidRPr="009B5335">
        <w:rPr>
          <w:lang w:val="en-GB"/>
        </w:rPr>
        <w:t xml:space="preserve">For the complete dataset only 15 of the 987 descriptors were missing (i.e., 1.51%). These missing data were </w:t>
      </w:r>
      <w:r>
        <w:rPr>
          <w:lang w:val="en-GB"/>
        </w:rPr>
        <w:t>due to</w:t>
      </w:r>
      <w:r w:rsidRPr="009B5335">
        <w:rPr>
          <w:lang w:val="en-GB"/>
        </w:rPr>
        <w:t xml:space="preserve"> failure of a few characterization techniques for certain materials. For example, contact angle descriptors were missing for theophylline micronized and metformin fine. For these APIs, it was not possible to make tablets with a porosity lower than 10</w:t>
      </w:r>
      <w:r>
        <w:rPr>
          <w:lang w:val="en-GB"/>
        </w:rPr>
        <w:t xml:space="preserve"> </w:t>
      </w:r>
      <w:r w:rsidRPr="009B5335">
        <w:rPr>
          <w:lang w:val="en-GB"/>
        </w:rPr>
        <w:t xml:space="preserve">%, due to their </w:t>
      </w:r>
      <w:r>
        <w:rPr>
          <w:lang w:val="en-GB"/>
        </w:rPr>
        <w:t>poor</w:t>
      </w:r>
      <w:r w:rsidRPr="009B5335">
        <w:rPr>
          <w:lang w:val="en-GB"/>
        </w:rPr>
        <w:t xml:space="preserve"> compaction properties. This very low </w:t>
      </w:r>
      <w:r>
        <w:rPr>
          <w:lang w:val="en-GB"/>
        </w:rPr>
        <w:t>fraction</w:t>
      </w:r>
      <w:r w:rsidRPr="009B5335">
        <w:rPr>
          <w:lang w:val="en-GB"/>
        </w:rPr>
        <w:t xml:space="preserve"> of missing data does not further impact multivariate data analysis according to Nelson et al. </w:t>
      </w:r>
      <w:r w:rsidRPr="009B5335">
        <w:rPr>
          <w:lang w:val="en-GB"/>
        </w:rPr>
        <w:fldChar w:fldCharType="begin" w:fldLock="1"/>
      </w:r>
      <w:r w:rsidR="003D65E2">
        <w:rPr>
          <w:lang w:val="en-GB"/>
        </w:rPr>
        <w:instrText>ADDIN CSL_CITATION {"citationItems":[{"id":"ITEM-1","itemData":{"DOI":"10.1016/S0169-7439(96)00007-X","ISSN":"01697439","abstract":"A very important problem in industrial applications of PCA and PLS models, such as process modelling or monitoring, is the estimation of scores when the observation vector has missing measurements. The alternative of suspending the application until all measurements are available is usually unacceptable. The problem treated in this work is that of estimating scores from an existing PCA or PLS model when new observation vectors are incomplete. Building the model with incomplete observations is not treated here, although the analysis given in this paper provides considerable insight into this problem. Several methods for estimating scores from data with missing measurements are presented, and analysed: a method, termed single component projection, derived from the NIPALS algorithm for model building with missing data; a method of projection to the model plane; and data replacement by the conditional mean. Expressions are developed for the error in the scores calculated by each method. The error analysis is illustrated using simulated data sets designed to highlight problem situations. A larger industrial data set is also used to compare the approaches. In general, all the methods perform reasonably well with moderate amounts of missing data (up to 20% of the measurements). However, in extreme cases where critical combinations of measurements are missing, the conditional mean replacement method is generally superior to the other approaches.","author":[{"dropping-particle":"","family":"Nelson","given":"Philip R.C.","non-dropping-particle":"","parse-names":false,"suffix":""},{"dropping-particle":"","family":"Taylor","given":"Paul A.","non-dropping-particle":"","parse-names":false,"suffix":""},{"dropping-particle":"","family":"MacGregor","given":"John F.","non-dropping-particle":"","parse-names":false,"suffix":""}],"container-title":"Chemometrics and Intelligent Laboratory Systems","id":"ITEM-1","issue":"1","issued":{"date-parts":[["1996"]]},"page":"45-65","title":"Missing data methods in PCA and PLS: Score calculations with incomplete observations","type":"article-journal","volume":"35"},"uris":["http://www.mendeley.com/documents/?uuid=e11dbfae-fae0-4fbf-b9ca-f3fbec12dd98"]}],"mendeley":{"formattedCitation":"(Nelson et al., 1996)","plainTextFormattedCitation":"(Nelson et al., 1996)","previouslyFormattedCitation":"[25]"},"properties":{"noteIndex":0},"schema":"https://github.com/citation-style-language/schema/raw/master/csl-citation.json"}</w:instrText>
      </w:r>
      <w:r w:rsidRPr="009B5335">
        <w:rPr>
          <w:lang w:val="en-GB"/>
        </w:rPr>
        <w:fldChar w:fldCharType="separate"/>
      </w:r>
      <w:r w:rsidR="003D65E2" w:rsidRPr="003D65E2">
        <w:rPr>
          <w:noProof/>
          <w:lang w:val="en-GB"/>
        </w:rPr>
        <w:t>(Nelson et al., 1996)</w:t>
      </w:r>
      <w:r w:rsidRPr="009B5335">
        <w:rPr>
          <w:lang w:val="en-US"/>
        </w:rPr>
        <w:fldChar w:fldCharType="end"/>
      </w:r>
      <w:r w:rsidRPr="009B5335">
        <w:rPr>
          <w:lang w:val="en-GB"/>
        </w:rPr>
        <w:t>.</w:t>
      </w:r>
    </w:p>
    <w:p w14:paraId="37CD5F14" w14:textId="39A3CBF5" w:rsidR="00EA7445" w:rsidRPr="009B5335" w:rsidRDefault="00EA7445" w:rsidP="0038497A">
      <w:pPr>
        <w:spacing w:line="240" w:lineRule="auto"/>
        <w:rPr>
          <w:lang w:val="en-GB"/>
        </w:rPr>
      </w:pPr>
      <w:r w:rsidRPr="009B5335">
        <w:rPr>
          <w:lang w:val="en-GB"/>
        </w:rPr>
        <w:t xml:space="preserve">Before multivariate </w:t>
      </w:r>
      <w:r>
        <w:rPr>
          <w:lang w:val="en-GB"/>
        </w:rPr>
        <w:t xml:space="preserve">data </w:t>
      </w:r>
      <w:r w:rsidRPr="009B5335">
        <w:rPr>
          <w:lang w:val="en-GB"/>
        </w:rPr>
        <w:t>analysis (PCA) and TPLS modelling were performed, data was pre-processed. First, unit variance scaling and mean-</w:t>
      </w:r>
      <w:proofErr w:type="spellStart"/>
      <w:r w:rsidRPr="009B5335">
        <w:rPr>
          <w:lang w:val="en-GB"/>
        </w:rPr>
        <w:t>centering</w:t>
      </w:r>
      <w:proofErr w:type="spellEnd"/>
      <w:r w:rsidRPr="009B5335">
        <w:rPr>
          <w:lang w:val="en-GB"/>
        </w:rPr>
        <w:t xml:space="preserve"> were performed. Unit variance was performed by dividing each value by the standard deviation of that descriptor, whereas the mean was subtracted from the data of each variable to mean-</w:t>
      </w:r>
      <w:proofErr w:type="spellStart"/>
      <w:r w:rsidRPr="009B5335">
        <w:rPr>
          <w:lang w:val="en-GB"/>
        </w:rPr>
        <w:t>center</w:t>
      </w:r>
      <w:proofErr w:type="spellEnd"/>
      <w:r w:rsidRPr="009B5335">
        <w:rPr>
          <w:lang w:val="en-GB"/>
        </w:rPr>
        <w:t xml:space="preserve">. Therefore, the different numerical ranges of the descriptors were normalized and a repositioning of the coordinate system was obtained which improved the interpretability of the model. In addition, </w:t>
      </w:r>
      <w:bookmarkStart w:id="18" w:name="_Hlk37154169"/>
      <w:r w:rsidRPr="009B5335">
        <w:rPr>
          <w:lang w:val="en-GB"/>
        </w:rPr>
        <w:t>the numerical overweight of some descriptors was overcome by excluding descriptors representing similar raw material properties. The exclusion of similar descriptors was based on their goodness of prediction (Q</w:t>
      </w:r>
      <w:r w:rsidRPr="009B5335">
        <w:rPr>
          <w:vertAlign w:val="superscript"/>
          <w:lang w:val="en-GB"/>
        </w:rPr>
        <w:t>2</w:t>
      </w:r>
      <w:r w:rsidRPr="009B5335">
        <w:rPr>
          <w:lang w:val="en-GB"/>
        </w:rPr>
        <w:t>X). The Q</w:t>
      </w:r>
      <w:r w:rsidRPr="009B5335">
        <w:rPr>
          <w:vertAlign w:val="superscript"/>
          <w:lang w:val="en-GB"/>
        </w:rPr>
        <w:t>2</w:t>
      </w:r>
      <w:r w:rsidRPr="009B5335">
        <w:rPr>
          <w:lang w:val="en-GB"/>
        </w:rPr>
        <w:t>X of a variable is the cumulative predicted fraction of the variation of X using cross-validation</w:t>
      </w:r>
      <w:r w:rsidR="00733AB1">
        <w:rPr>
          <w:lang w:val="en-GB"/>
        </w:rPr>
        <w:t xml:space="preserve">. </w:t>
      </w:r>
      <w:r w:rsidRPr="009B5335">
        <w:rPr>
          <w:lang w:val="en-GB"/>
        </w:rPr>
        <w:t>Hence, an unbalanced model was avoided and all remaining descriptors were equally important.</w:t>
      </w:r>
      <w:bookmarkEnd w:id="18"/>
      <w:r w:rsidRPr="009B5335">
        <w:rPr>
          <w:lang w:val="en-GB"/>
        </w:rPr>
        <w:t xml:space="preserve"> Thus, the 39 API- and filler-descriptors were reduced to 19 descriptors (d50, </w:t>
      </w:r>
      <m:oMath>
        <m:sSub>
          <m:sSubPr>
            <m:ctrlPr>
              <w:rPr>
                <w:rFonts w:ascii="Cambria Math" w:hAnsi="Cambria Math"/>
                <w:i/>
              </w:rPr>
            </m:ctrlPr>
          </m:sSubPr>
          <m:e>
            <m:r>
              <m:rPr>
                <m:nor/>
              </m:rPr>
              <w:rPr>
                <w:i/>
              </w:rPr>
              <m:t>ρ</m:t>
            </m:r>
          </m:e>
          <m:sub>
            <m:r>
              <m:rPr>
                <m:nor/>
              </m:rPr>
              <w:rPr>
                <w:i/>
                <w:lang w:val="en-GB"/>
              </w:rPr>
              <m:t>b</m:t>
            </m:r>
          </m:sub>
        </m:sSub>
      </m:oMath>
      <w:r w:rsidRPr="009B5335">
        <w:rPr>
          <w:lang w:val="en-GB"/>
        </w:rPr>
        <w:t xml:space="preserve">, </w:t>
      </w:r>
      <m:oMath>
        <m:sSub>
          <m:sSubPr>
            <m:ctrlPr>
              <w:rPr>
                <w:rFonts w:ascii="Cambria Math" w:hAnsi="Cambria Math"/>
                <w:i/>
              </w:rPr>
            </m:ctrlPr>
          </m:sSubPr>
          <m:e>
            <m:r>
              <m:rPr>
                <m:nor/>
              </m:rPr>
              <w:rPr>
                <w:i/>
              </w:rPr>
              <m:t>ρ</m:t>
            </m:r>
          </m:e>
          <m:sub>
            <m:r>
              <m:rPr>
                <m:nor/>
              </m:rPr>
              <w:rPr>
                <w:i/>
                <w:lang w:val="en-GB"/>
              </w:rPr>
              <m:t>t</m:t>
            </m:r>
          </m:sub>
        </m:sSub>
      </m:oMath>
      <w:r w:rsidRPr="009B5335">
        <w:rPr>
          <w:lang w:val="en-GB"/>
        </w:rPr>
        <w:t xml:space="preserve">, </w:t>
      </w:r>
      <m:oMath>
        <m:sSub>
          <m:sSubPr>
            <m:ctrlPr>
              <w:rPr>
                <w:rFonts w:ascii="Cambria Math" w:hAnsi="Cambria Math"/>
                <w:i/>
              </w:rPr>
            </m:ctrlPr>
          </m:sSubPr>
          <m:e>
            <m:r>
              <m:rPr>
                <m:nor/>
              </m:rPr>
              <w:rPr>
                <w:i/>
              </w:rPr>
              <m:t>ρ</m:t>
            </m:r>
          </m:e>
          <m:sub>
            <m:r>
              <m:rPr>
                <m:nor/>
              </m:rPr>
              <w:rPr>
                <w:i/>
                <w:lang w:val="en-GB"/>
              </w:rPr>
              <m:t>true</m:t>
            </m:r>
          </m:sub>
        </m:sSub>
      </m:oMath>
      <w:r w:rsidRPr="009B5335">
        <w:rPr>
          <w:lang w:val="en-GB"/>
        </w:rPr>
        <w:t xml:space="preserve">, </w:t>
      </w:r>
      <w:r w:rsidRPr="009B5335">
        <w:t>ε</w:t>
      </w:r>
      <w:r w:rsidRPr="009B5335">
        <w:rPr>
          <w:lang w:val="en-GB"/>
        </w:rPr>
        <w:t xml:space="preserve">, </w:t>
      </w:r>
      <w:proofErr w:type="spellStart"/>
      <w:r w:rsidRPr="009B5335">
        <w:rPr>
          <w:lang w:val="en-GB"/>
        </w:rPr>
        <w:t>ffc</w:t>
      </w:r>
      <w:proofErr w:type="spellEnd"/>
      <w:r w:rsidRPr="009B5335">
        <w:rPr>
          <w:lang w:val="en-GB"/>
        </w:rPr>
        <w:t xml:space="preserve">, </w:t>
      </w:r>
      <w:proofErr w:type="spellStart"/>
      <w:r w:rsidRPr="009B5335">
        <w:rPr>
          <w:lang w:val="en-GB"/>
        </w:rPr>
        <w:t>τc</w:t>
      </w:r>
      <w:proofErr w:type="spellEnd"/>
      <w:r w:rsidRPr="009B5335">
        <w:rPr>
          <w:lang w:val="en-GB"/>
        </w:rPr>
        <w:t xml:space="preserve">, S40, </w:t>
      </w:r>
      <w:proofErr w:type="spellStart"/>
      <w:r w:rsidRPr="009B5335">
        <w:rPr>
          <w:lang w:val="en-GB"/>
        </w:rPr>
        <w:t>Strue</w:t>
      </w:r>
      <w:proofErr w:type="spellEnd"/>
      <w:r w:rsidRPr="009B5335">
        <w:rPr>
          <w:lang w:val="en-GB"/>
        </w:rPr>
        <w:t xml:space="preserve">, DR60, CA1, WBC, Com, SSA, CD, </w:t>
      </w:r>
      <w:proofErr w:type="spellStart"/>
      <w:r w:rsidRPr="009B5335">
        <w:rPr>
          <w:lang w:val="en-GB"/>
        </w:rPr>
        <w:t>Elas</w:t>
      </w:r>
      <w:proofErr w:type="spellEnd"/>
      <w:r w:rsidRPr="009B5335">
        <w:rPr>
          <w:lang w:val="en-GB"/>
        </w:rPr>
        <w:t xml:space="preserve">, </w:t>
      </w:r>
      <w:proofErr w:type="spellStart"/>
      <w:r w:rsidRPr="009B5335">
        <w:rPr>
          <w:lang w:val="en-GB"/>
        </w:rPr>
        <w:t>WoC</w:t>
      </w:r>
      <w:proofErr w:type="spellEnd"/>
      <w:r w:rsidRPr="009B5335">
        <w:rPr>
          <w:lang w:val="en-GB"/>
        </w:rPr>
        <w:t xml:space="preserve">, BFE and AR40) and the 9 binder-specific descriptors were reduced to 5 (DR90, ST, CAb1, </w:t>
      </w:r>
      <w:proofErr w:type="spellStart"/>
      <w:r w:rsidRPr="009B5335">
        <w:rPr>
          <w:lang w:val="en-GB"/>
        </w:rPr>
        <w:t>CAbh</w:t>
      </w:r>
      <w:proofErr w:type="spellEnd"/>
      <w:r w:rsidRPr="009B5335">
        <w:rPr>
          <w:lang w:val="en-GB"/>
        </w:rPr>
        <w:t xml:space="preserve"> and Vis). These descriptor</w:t>
      </w:r>
      <w:r>
        <w:rPr>
          <w:lang w:val="en-GB"/>
        </w:rPr>
        <w:t>s</w:t>
      </w:r>
      <w:r w:rsidRPr="009B5335">
        <w:rPr>
          <w:lang w:val="en-GB"/>
        </w:rPr>
        <w:t xml:space="preserve"> are shown in bold in Table 2. For each PCA, the goodness of fit of the model (R</w:t>
      </w:r>
      <w:r w:rsidRPr="009B5335">
        <w:rPr>
          <w:vertAlign w:val="superscript"/>
          <w:lang w:val="en-GB"/>
        </w:rPr>
        <w:t>2</w:t>
      </w:r>
      <w:r w:rsidRPr="009B5335">
        <w:rPr>
          <w:lang w:val="en-GB"/>
        </w:rPr>
        <w:t>X) and goodness of prediction (Q</w:t>
      </w:r>
      <w:r w:rsidRPr="009B5335">
        <w:rPr>
          <w:vertAlign w:val="superscript"/>
          <w:lang w:val="en-GB"/>
        </w:rPr>
        <w:t>2</w:t>
      </w:r>
      <w:r w:rsidRPr="009B5335">
        <w:rPr>
          <w:lang w:val="en-GB"/>
        </w:rPr>
        <w:t>X) was calculated. R</w:t>
      </w:r>
      <w:r w:rsidRPr="009B5335">
        <w:rPr>
          <w:vertAlign w:val="superscript"/>
          <w:lang w:val="en-GB"/>
        </w:rPr>
        <w:t>2</w:t>
      </w:r>
      <w:r w:rsidRPr="009B5335">
        <w:rPr>
          <w:lang w:val="en-GB"/>
        </w:rPr>
        <w:t>X relates to the amount of variability that is captured by the model. A two</w:t>
      </w:r>
      <w:r>
        <w:rPr>
          <w:lang w:val="en-GB"/>
        </w:rPr>
        <w:t>-</w:t>
      </w:r>
      <w:r w:rsidRPr="009B5335">
        <w:rPr>
          <w:lang w:val="en-GB"/>
        </w:rPr>
        <w:t xml:space="preserve">principal component model was developed for each (sub)dataset, as this facilitates the interpretation and was sufficient to differentiate the powders according to their properties. </w:t>
      </w:r>
    </w:p>
    <w:p w14:paraId="5CC557C2" w14:textId="29E25FEA" w:rsidR="00EA7445" w:rsidRPr="00625702" w:rsidRDefault="00D711E6" w:rsidP="0038497A">
      <w:pPr>
        <w:pStyle w:val="Kop1"/>
        <w:numPr>
          <w:ilvl w:val="1"/>
          <w:numId w:val="20"/>
        </w:numPr>
        <w:spacing w:line="240" w:lineRule="auto"/>
        <w:rPr>
          <w:caps w:val="0"/>
          <w:lang w:val="en-GB"/>
        </w:rPr>
      </w:pPr>
      <w:r>
        <w:rPr>
          <w:caps w:val="0"/>
          <w:lang w:val="en-GB"/>
        </w:rPr>
        <w:t>B</w:t>
      </w:r>
      <w:r w:rsidR="00EA7445" w:rsidRPr="00625702">
        <w:rPr>
          <w:caps w:val="0"/>
          <w:lang w:val="en-GB"/>
        </w:rPr>
        <w:t>lend selection</w:t>
      </w:r>
    </w:p>
    <w:p w14:paraId="6F28ADF7" w14:textId="30B30CEC" w:rsidR="00733AB1" w:rsidRDefault="00EA7445" w:rsidP="0038497A">
      <w:pPr>
        <w:spacing w:line="240" w:lineRule="auto"/>
        <w:rPr>
          <w:lang w:val="en-GB"/>
        </w:rPr>
      </w:pPr>
      <w:r w:rsidRPr="009B5335">
        <w:rPr>
          <w:lang w:val="en-GB"/>
        </w:rPr>
        <w:t xml:space="preserve">PCA was applied on the refined (only including 19 descriptors) API </w:t>
      </w:r>
      <w:r w:rsidR="008A6F67">
        <w:rPr>
          <w:lang w:val="en-GB"/>
        </w:rPr>
        <w:t xml:space="preserve">and filler </w:t>
      </w:r>
      <w:r w:rsidRPr="009B5335">
        <w:rPr>
          <w:lang w:val="en-GB"/>
        </w:rPr>
        <w:t>subset of the database as a helpful tool to differentiate between the 14 APIs</w:t>
      </w:r>
      <w:r w:rsidR="00A7736B">
        <w:rPr>
          <w:lang w:val="en-GB"/>
        </w:rPr>
        <w:t xml:space="preserve"> and 9 fillers</w:t>
      </w:r>
      <w:r w:rsidRPr="009B5335">
        <w:rPr>
          <w:lang w:val="en-GB"/>
        </w:rPr>
        <w:t xml:space="preserve"> based on their raw material properties. The resulting loadings and score plot</w:t>
      </w:r>
      <w:r>
        <w:rPr>
          <w:lang w:val="en-GB"/>
        </w:rPr>
        <w:t>s</w:t>
      </w:r>
      <w:r w:rsidRPr="009B5335">
        <w:rPr>
          <w:lang w:val="en-GB"/>
        </w:rPr>
        <w:t xml:space="preserve"> are shown in Figure </w:t>
      </w:r>
      <w:r w:rsidR="00A7736B">
        <w:rPr>
          <w:lang w:val="en-GB"/>
        </w:rPr>
        <w:t>S3 and S4, respectively</w:t>
      </w:r>
      <w:r w:rsidRPr="009B5335">
        <w:rPr>
          <w:lang w:val="en-GB"/>
        </w:rPr>
        <w:t xml:space="preserve">. </w:t>
      </w:r>
      <w:r w:rsidR="00A7736B">
        <w:rPr>
          <w:lang w:val="en-GB"/>
        </w:rPr>
        <w:t>In both PCA plots, one principal component describe</w:t>
      </w:r>
      <w:r w:rsidR="000A3100">
        <w:rPr>
          <w:lang w:val="en-GB"/>
        </w:rPr>
        <w:t xml:space="preserve">d </w:t>
      </w:r>
      <w:r w:rsidR="00A7736B">
        <w:rPr>
          <w:lang w:val="en-GB"/>
        </w:rPr>
        <w:t xml:space="preserve">the variance in density </w:t>
      </w:r>
      <w:r w:rsidR="000A3100">
        <w:rPr>
          <w:lang w:val="en-GB"/>
        </w:rPr>
        <w:t xml:space="preserve"> and flow </w:t>
      </w:r>
      <w:r w:rsidR="00A7736B">
        <w:rPr>
          <w:lang w:val="en-GB"/>
        </w:rPr>
        <w:t xml:space="preserve">related descriptors </w:t>
      </w:r>
      <w:r w:rsidR="000A3100">
        <w:rPr>
          <w:lang w:val="en-GB"/>
        </w:rPr>
        <w:t>(</w:t>
      </w:r>
      <m:oMath>
        <m:sSub>
          <m:sSubPr>
            <m:ctrlPr>
              <w:rPr>
                <w:rFonts w:ascii="Cambria Math" w:hAnsi="Cambria Math"/>
                <w:i/>
              </w:rPr>
            </m:ctrlPr>
          </m:sSubPr>
          <m:e>
            <m:r>
              <m:rPr>
                <m:nor/>
              </m:rPr>
              <w:rPr>
                <w:i/>
              </w:rPr>
              <m:t>ρ</m:t>
            </m:r>
          </m:e>
          <m:sub>
            <m:r>
              <m:rPr>
                <m:nor/>
              </m:rPr>
              <w:rPr>
                <w:i/>
                <w:lang w:val="en-GB"/>
              </w:rPr>
              <m:t>b</m:t>
            </m:r>
          </m:sub>
        </m:sSub>
      </m:oMath>
      <w:r w:rsidR="000A3100" w:rsidRPr="000A3100">
        <w:rPr>
          <w:rFonts w:eastAsiaTheme="minorEastAsia"/>
          <w:lang w:val="en-GB"/>
        </w:rPr>
        <w:t xml:space="preserve">, d50, </w:t>
      </w:r>
      <w:proofErr w:type="spellStart"/>
      <w:r w:rsidR="000A3100" w:rsidRPr="000A3100">
        <w:rPr>
          <w:rFonts w:eastAsiaTheme="minorEastAsia"/>
          <w:lang w:val="en-GB"/>
        </w:rPr>
        <w:t>ffc</w:t>
      </w:r>
      <w:proofErr w:type="spellEnd"/>
      <w:r w:rsidR="000A3100" w:rsidRPr="000A3100">
        <w:rPr>
          <w:rFonts w:eastAsiaTheme="minorEastAsia"/>
          <w:lang w:val="en-GB"/>
        </w:rPr>
        <w:t>, com</w:t>
      </w:r>
      <w:r w:rsidR="000A3100" w:rsidRPr="00E41F8F">
        <w:rPr>
          <w:rFonts w:eastAsiaTheme="minorEastAsia"/>
          <w:lang w:val="en-GB"/>
        </w:rPr>
        <w:t xml:space="preserve"> </w:t>
      </w:r>
      <w:r w:rsidR="000A3100" w:rsidRPr="009B5335">
        <w:rPr>
          <w:lang w:val="en-GB"/>
        </w:rPr>
        <w:t xml:space="preserve">and </w:t>
      </w:r>
      <w:r w:rsidR="000A3100" w:rsidRPr="009B5335">
        <w:t>ε</w:t>
      </w:r>
      <w:r w:rsidR="000A3100" w:rsidRPr="000A3100">
        <w:rPr>
          <w:lang w:val="en-GB"/>
        </w:rPr>
        <w:t>), wher</w:t>
      </w:r>
      <w:r w:rsidR="000A3100">
        <w:rPr>
          <w:lang w:val="en-GB"/>
        </w:rPr>
        <w:t xml:space="preserve">eas the other principal component was related to solubility, water binding capacity and dissolution rate. </w:t>
      </w:r>
      <w:r w:rsidR="00F5010B" w:rsidRPr="009B5335">
        <w:rPr>
          <w:lang w:val="en-GB"/>
        </w:rPr>
        <w:t xml:space="preserve">For a more in depth interpretation of the loadings and score plots, the reader is referred to </w:t>
      </w:r>
      <w:r w:rsidR="00F5010B" w:rsidRPr="009B5335">
        <w:rPr>
          <w:lang w:val="en-GB"/>
        </w:rPr>
        <w:fldChar w:fldCharType="begin" w:fldLock="1"/>
      </w:r>
      <w:r w:rsidR="00F5010B">
        <w:rPr>
          <w:lang w:val="en-GB"/>
        </w:rPr>
        <w:instrText>ADDIN CSL_CITATION {"citationItems":[{"id":"ITEM-1","itemData":{"DOI":"10.1016/j.ijpharm.2017.02.028","ISSN":"0378-5173","author":[{"dropping-particle":"","family":"Willecke","given":"N","non-dropping-particle":"","parse-names":false,"suffix":""},{"dropping-particle":"","family":"Szepes","given":"A","non-dropping-particle":"","parse-names":false,"suffix":""},{"dropping-particle":"","family":"Wunderlich","given":"M","non-dropping-particle":"","parse-names":false,"suffix":""},{"dropping-particle":"","family":"Remon","given":"J P","non-dropping-particle":"","parse-names":false,"suffix":""},{"dropping-particle":"","family":"Vervaet","given":"C","non-dropping-particle":"","parse-names":false,"suffix":""},{"dropping-particle":"De","family":"Beer","given":"T","non-dropping-particle":"","parse-names":false,"suffix":""}],"container-title":"International Journal of Pharmaceutics","id":"ITEM-1","issue":"1-2","issued":{"date-parts":[["2017"]]},"page":"234-247","publisher":"Elsevier B.V.","title":"Identifying overarching excipient properties towards an in-depth understanding of process and product performance for continuous twin-screw wet granulation","type":"article-journal","volume":"522"},"uris":["http://www.mendeley.com/documents/?uuid=787b81fa-5486-4425-93a6-c7537b5919e7"]},{"id":"ITEM-2","itemData":{"DOI":"10.1016/j.ijpharm.2018.08.014","ISSN":"18733476","abstract":"In current study a holistic material characterization approach was proposed and an extensive raw material property database was developed including a wide variety of APIs and excipients with different functionalities. In total 55 different materials were characterized and described by over 100 raw material descriptors related to particle size and shape distribution, specific surface area, bulk, tapped and true density, compressibility, electrostatic charge, moisture content, hygroscopicity, permeability, flowability and wall friction. Principal component analysis (PCA) was applied to reveal similarities and dissimilarities between materials and to identify overarching properties. The developed PCA model allows to rationalize the number of critical characterization techniques in routine characterization and to identify surrogates for use during early drug product development stages when limited amounts of active pharmaceutical ingredients are available. Additionally, the developed database will be the basis to build predictive models for in silico process and formulation development based on (a selection of) property descriptors.","author":[{"dropping-particle":"","family":"Snick","given":"Bernd","non-dropping-particle":"Van","parse-names":false,"suffix":""},{"dropping-particle":"","family":"Dhondt","given":"Jens","non-dropping-particle":"","parse-names":false,"suffix":""},{"dropping-particle":"","family":"Pandelaere","given":"Kenny","non-dropping-particle":"","parse-names":false,"suffix":""},{"dropping-particle":"","family":"Bertels","given":"Johny","non-dropping-particle":"","parse-names":false,"suffix":""},{"dropping-particle":"","family":"Mertens","given":"Roel","non-dropping-particle":"","parse-names":false,"suffix":""},{"dropping-particle":"","family":"Klingeleers","given":"Didier","non-dropping-particle":"","parse-names":false,"suffix":""},{"dropping-particle":"","family":"Pretoro","given":"Giustino","non-dropping-particle":"Di","parse-names":false,"suffix":""},{"dropping-particle":"","family":"Remon","given":"Jean Paul","non-dropping-particle":"","parse-names":false,"suffix":""},{"dropping-particle":"","family":"Vervaet","given":"Chris","non-dropping-particle":"","parse-names":false,"suffix":""},{"dropping-particle":"","family":"Beer","given":"Thomas","non-dropping-particle":"De","parse-names":false,"suffix":""},{"dropping-particle":"","family":"Vanhoorne","given":"Valérie","non-dropping-particle":"","parse-names":false,"suffix":""}],"container-title":"International Journal of Pharmaceutics","id":"ITEM-2","issue":"1-2","issued":{"date-parts":[["2018"]]},"page":"415-435","publisher":"Elsevier","title":"A multivariate raw material property database to facilitate drug product development and enable in-silico design of pharmaceutical dry powder processes","type":"article-journal","volume":"549"},"uris":["http://www.mendeley.com/documents/?uuid=1280553d-e86b-4f4f-badd-38b30849b81d"]}],"mendeley":{"formattedCitation":"(Van Snick et al., 2018; Willecke et al., 2017)","plainTextFormattedCitation":"(Van Snick et al., 2018; Willecke et al., 2017)","previouslyFormattedCitation":"[3,20]"},"properties":{"noteIndex":0},"schema":"https://github.com/citation-style-language/schema/raw/master/csl-citation.json"}</w:instrText>
      </w:r>
      <w:r w:rsidR="00F5010B" w:rsidRPr="009B5335">
        <w:rPr>
          <w:lang w:val="en-GB"/>
        </w:rPr>
        <w:fldChar w:fldCharType="separate"/>
      </w:r>
      <w:r w:rsidR="00F5010B" w:rsidRPr="003D65E2">
        <w:rPr>
          <w:noProof/>
          <w:lang w:val="en-GB"/>
        </w:rPr>
        <w:t>(Van Snick et al., 2018; Willecke et al., 2017)</w:t>
      </w:r>
      <w:r w:rsidR="00F5010B" w:rsidRPr="009B5335">
        <w:rPr>
          <w:lang w:val="en-US"/>
        </w:rPr>
        <w:fldChar w:fldCharType="end"/>
      </w:r>
      <w:r w:rsidR="00F5010B" w:rsidRPr="009B5335">
        <w:rPr>
          <w:lang w:val="en-GB"/>
        </w:rPr>
        <w:t>.</w:t>
      </w:r>
      <w:r w:rsidR="00F5010B">
        <w:rPr>
          <w:lang w:val="en-GB"/>
        </w:rPr>
        <w:t xml:space="preserve"> </w:t>
      </w:r>
      <w:r w:rsidR="000A3100">
        <w:rPr>
          <w:lang w:val="en-GB"/>
        </w:rPr>
        <w:t xml:space="preserve">For both the filler and API subset, powders </w:t>
      </w:r>
      <w:r w:rsidR="000A3100" w:rsidRPr="000A3100">
        <w:rPr>
          <w:lang w:val="en-GB"/>
        </w:rPr>
        <w:t xml:space="preserve">were selected with the aim to cover a broad range in </w:t>
      </w:r>
      <w:r w:rsidR="00F5010B">
        <w:rPr>
          <w:lang w:val="en-GB"/>
        </w:rPr>
        <w:t>raw material</w:t>
      </w:r>
      <w:r w:rsidR="000A3100" w:rsidRPr="000A3100">
        <w:rPr>
          <w:lang w:val="en-GB"/>
        </w:rPr>
        <w:t xml:space="preserve"> properties</w:t>
      </w:r>
      <w:r w:rsidR="00F5010B">
        <w:rPr>
          <w:lang w:val="en-GB"/>
        </w:rPr>
        <w:t xml:space="preserve">. </w:t>
      </w:r>
      <w:r w:rsidR="00F5010B" w:rsidRPr="00F5010B">
        <w:rPr>
          <w:lang w:val="en-GB"/>
        </w:rPr>
        <w:t xml:space="preserve">Therefore, </w:t>
      </w:r>
      <w:r w:rsidR="00F5010B">
        <w:rPr>
          <w:lang w:val="en-GB"/>
        </w:rPr>
        <w:t>powders</w:t>
      </w:r>
      <w:r w:rsidR="00F5010B" w:rsidRPr="00F5010B">
        <w:rPr>
          <w:lang w:val="en-GB"/>
        </w:rPr>
        <w:t xml:space="preserve"> located at the borders of the scores plot were selected. In addition, less extreme </w:t>
      </w:r>
      <w:r w:rsidR="00F5010B">
        <w:rPr>
          <w:lang w:val="en-GB"/>
        </w:rPr>
        <w:t>powders</w:t>
      </w:r>
      <w:r w:rsidR="00F5010B" w:rsidRPr="00F5010B">
        <w:rPr>
          <w:lang w:val="en-GB"/>
        </w:rPr>
        <w:t xml:space="preserve"> that are located closer to </w:t>
      </w:r>
      <w:r w:rsidR="00F5010B" w:rsidRPr="00F5010B">
        <w:rPr>
          <w:lang w:val="en-GB"/>
        </w:rPr>
        <w:lastRenderedPageBreak/>
        <w:t>the origin were also selected because these powders differ from powders located at the borders</w:t>
      </w:r>
      <w:r w:rsidR="003F442E">
        <w:rPr>
          <w:lang w:val="en-GB"/>
        </w:rPr>
        <w:t>.</w:t>
      </w:r>
    </w:p>
    <w:p w14:paraId="11376922" w14:textId="5F789D39" w:rsidR="00EA7445" w:rsidRPr="009B5335" w:rsidRDefault="003F442E" w:rsidP="0038497A">
      <w:pPr>
        <w:spacing w:line="240" w:lineRule="auto"/>
        <w:rPr>
          <w:lang w:val="en-GB"/>
        </w:rPr>
      </w:pPr>
      <w:r>
        <w:rPr>
          <w:lang w:val="en-GB"/>
        </w:rPr>
        <w:t xml:space="preserve">As a next step a </w:t>
      </w:r>
      <w:r w:rsidR="00EA7445" w:rsidRPr="009B5335">
        <w:rPr>
          <w:lang w:val="en-GB"/>
        </w:rPr>
        <w:t>PCA was also performed on the complete data set containing all 9 fillers and 14 APIs and all their properties</w:t>
      </w:r>
      <w:r>
        <w:rPr>
          <w:lang w:val="en-GB"/>
        </w:rPr>
        <w:t xml:space="preserve"> to link an API with a filler</w:t>
      </w:r>
      <w:r w:rsidR="00EA7445" w:rsidRPr="009B5335">
        <w:rPr>
          <w:lang w:val="en-GB"/>
        </w:rPr>
        <w:t xml:space="preserve">. The scores plot (Figure </w:t>
      </w:r>
      <w:r w:rsidR="005C70B5">
        <w:rPr>
          <w:lang w:val="en-GB"/>
        </w:rPr>
        <w:t>3</w:t>
      </w:r>
      <w:r w:rsidR="00EA7445" w:rsidRPr="009B5335">
        <w:rPr>
          <w:lang w:val="en-GB"/>
        </w:rPr>
        <w:t xml:space="preserve"> – </w:t>
      </w:r>
      <w:r w:rsidR="00EA7445">
        <w:rPr>
          <w:lang w:val="en-GB"/>
        </w:rPr>
        <w:t>top</w:t>
      </w:r>
      <w:r w:rsidR="00EA7445" w:rsidRPr="009B5335">
        <w:rPr>
          <w:lang w:val="en-GB"/>
        </w:rPr>
        <w:t>) clearly shows clusters of APIs (blue) and fillers (green) indicating fillers and APIs with similar raw material properties. Fillers are mostly located in the upper right quadrant of the scores plot indicating good flow properties as suggested by the loadings plot (</w:t>
      </w:r>
      <w:r w:rsidR="00EA7445" w:rsidRPr="005C70B5">
        <w:rPr>
          <w:lang w:val="en-GB"/>
        </w:rPr>
        <w:t>Figure</w:t>
      </w:r>
      <w:r w:rsidR="00EA7445" w:rsidRPr="009B5335">
        <w:rPr>
          <w:lang w:val="en-GB"/>
        </w:rPr>
        <w:t xml:space="preserve"> </w:t>
      </w:r>
      <w:r w:rsidR="005C70B5">
        <w:rPr>
          <w:lang w:val="en-GB"/>
        </w:rPr>
        <w:t>3</w:t>
      </w:r>
      <w:r w:rsidR="00EA7445" w:rsidRPr="009B5335">
        <w:rPr>
          <w:lang w:val="en-GB"/>
        </w:rPr>
        <w:t xml:space="preserve"> – </w:t>
      </w:r>
      <w:r w:rsidR="00EA7445">
        <w:rPr>
          <w:lang w:val="en-GB"/>
        </w:rPr>
        <w:t>bottom</w:t>
      </w:r>
      <w:r w:rsidR="00EA7445" w:rsidRPr="009B5335">
        <w:rPr>
          <w:lang w:val="en-GB"/>
        </w:rPr>
        <w:t xml:space="preserve">). APIs from different quadrants in the scores plot were linked to fillers located in the same or in different quadrants in order to increase the variability in formulation composition because each quadrant is correlated to different raw material properties. For example, APIs from the upper left quadrant of the scores plot were </w:t>
      </w:r>
      <w:r w:rsidR="00EA7445">
        <w:rPr>
          <w:lang w:val="en-GB"/>
        </w:rPr>
        <w:t>combined with</w:t>
      </w:r>
      <w:r w:rsidR="00EA7445" w:rsidRPr="009B5335">
        <w:rPr>
          <w:lang w:val="en-GB"/>
        </w:rPr>
        <w:t xml:space="preserve"> fillers from the upper right quadrant (</w:t>
      </w:r>
      <w:proofErr w:type="spellStart"/>
      <w:r w:rsidR="00EA7445" w:rsidRPr="009B5335">
        <w:rPr>
          <w:lang w:val="en-GB"/>
        </w:rPr>
        <w:t>Cel</w:t>
      </w:r>
      <w:proofErr w:type="spellEnd"/>
      <w:r w:rsidR="00EA7445" w:rsidRPr="009B5335">
        <w:rPr>
          <w:lang w:val="en-GB"/>
        </w:rPr>
        <w:t xml:space="preserve"> – SD100, </w:t>
      </w:r>
      <w:proofErr w:type="spellStart"/>
      <w:r w:rsidR="00EA7445" w:rsidRPr="009B5335">
        <w:rPr>
          <w:lang w:val="en-GB"/>
        </w:rPr>
        <w:t>Mpt</w:t>
      </w:r>
      <w:proofErr w:type="spellEnd"/>
      <w:r w:rsidR="00EA7445" w:rsidRPr="009B5335">
        <w:rPr>
          <w:lang w:val="en-GB"/>
        </w:rPr>
        <w:t xml:space="preserve">_µ – PH101) and fillers from the upper left quadrant (Nap – PH105). The differences in directions and distance of the arrow between API and filler from one quadrant to another quadrant even further increase variability. For example, the arrow between </w:t>
      </w:r>
      <w:proofErr w:type="spellStart"/>
      <w:r w:rsidR="00EA7445" w:rsidRPr="009B5335">
        <w:rPr>
          <w:lang w:val="en-GB"/>
        </w:rPr>
        <w:t>Cel</w:t>
      </w:r>
      <w:proofErr w:type="spellEnd"/>
      <w:r w:rsidR="00EA7445" w:rsidRPr="009B5335">
        <w:rPr>
          <w:lang w:val="en-GB"/>
        </w:rPr>
        <w:t xml:space="preserve"> and SD100 is from the left-to-right and, in addition, longer than the arrow between MPT_µ and PH101 which is rather from bottom-to-top. Consequently, the formulation properties of Cel-SD100 and MPT_µ-PH101 are very different. This approach </w:t>
      </w:r>
      <w:r w:rsidR="00EA7445">
        <w:rPr>
          <w:lang w:val="en-GB"/>
        </w:rPr>
        <w:t>results in</w:t>
      </w:r>
      <w:r w:rsidR="00EA7445" w:rsidRPr="009B5335">
        <w:rPr>
          <w:lang w:val="en-GB"/>
        </w:rPr>
        <w:t xml:space="preserve"> a large variability in formulation composition. Ultimately, this was even </w:t>
      </w:r>
      <w:r w:rsidR="00EA7445">
        <w:rPr>
          <w:lang w:val="en-GB"/>
        </w:rPr>
        <w:t xml:space="preserve">further </w:t>
      </w:r>
      <w:r w:rsidR="00EA7445" w:rsidRPr="009B5335">
        <w:rPr>
          <w:lang w:val="en-GB"/>
        </w:rPr>
        <w:t xml:space="preserve">increased by varying the API content at 3 levels (10, 40 and 70 %) for each selected formulation (Table 2). </w:t>
      </w:r>
    </w:p>
    <w:p w14:paraId="5B69888E" w14:textId="77777777" w:rsidR="00EA7445" w:rsidRPr="00625702" w:rsidRDefault="00EA7445" w:rsidP="0038497A">
      <w:pPr>
        <w:pStyle w:val="Kop1"/>
        <w:numPr>
          <w:ilvl w:val="1"/>
          <w:numId w:val="20"/>
        </w:numPr>
        <w:spacing w:line="240" w:lineRule="auto"/>
        <w:rPr>
          <w:caps w:val="0"/>
          <w:lang w:val="en-GB"/>
        </w:rPr>
      </w:pPr>
      <w:r w:rsidRPr="00625702">
        <w:rPr>
          <w:caps w:val="0"/>
          <w:lang w:val="en-GB"/>
        </w:rPr>
        <w:t>Granulation experiments and granule quality attributes</w:t>
      </w:r>
    </w:p>
    <w:p w14:paraId="7AA887D9" w14:textId="77777777" w:rsidR="00EA7445" w:rsidRPr="009B5335" w:rsidRDefault="00EA7445" w:rsidP="0038497A">
      <w:pPr>
        <w:spacing w:line="240" w:lineRule="auto"/>
        <w:rPr>
          <w:lang w:val="en-GB"/>
        </w:rPr>
      </w:pPr>
      <w:r w:rsidRPr="009B5335">
        <w:rPr>
          <w:lang w:val="en-GB"/>
        </w:rPr>
        <w:t>The study resulted in a total of 210 experiments (10 formulations x 3 API levels x 7 DoE experiments) whereof 1</w:t>
      </w:r>
      <w:r>
        <w:rPr>
          <w:lang w:val="en-GB"/>
        </w:rPr>
        <w:t>3</w:t>
      </w:r>
      <w:r w:rsidRPr="009B5335">
        <w:rPr>
          <w:lang w:val="en-GB"/>
        </w:rPr>
        <w:t xml:space="preserve"> experiments </w:t>
      </w:r>
      <w:r>
        <w:rPr>
          <w:lang w:val="en-GB"/>
        </w:rPr>
        <w:t>could not</w:t>
      </w:r>
      <w:r w:rsidRPr="009B5335">
        <w:rPr>
          <w:lang w:val="en-GB"/>
        </w:rPr>
        <w:t xml:space="preserve"> be accomplished. This was observed for the blends consisting of 70 % of a low dense API</w:t>
      </w:r>
      <w:r>
        <w:rPr>
          <w:lang w:val="en-GB"/>
        </w:rPr>
        <w:t>:</w:t>
      </w:r>
      <w:r w:rsidRPr="009B5335">
        <w:rPr>
          <w:lang w:val="en-GB"/>
        </w:rPr>
        <w:t xml:space="preserve"> naproxen of F5B3 (</w:t>
      </w:r>
      <m:oMath>
        <m:sSub>
          <m:sSubPr>
            <m:ctrlPr>
              <w:rPr>
                <w:rFonts w:ascii="Cambria Math" w:hAnsi="Cambria Math"/>
                <w:i/>
              </w:rPr>
            </m:ctrlPr>
          </m:sSubPr>
          <m:e>
            <m:r>
              <m:rPr>
                <m:nor/>
              </m:rPr>
              <w:rPr>
                <w:i/>
              </w:rPr>
              <m:t>ρ</m:t>
            </m:r>
          </m:e>
          <m:sub>
            <m:r>
              <m:rPr>
                <m:nor/>
              </m:rPr>
              <w:rPr>
                <w:i/>
                <w:lang w:val="en-GB"/>
              </w:rPr>
              <m:t>b</m:t>
            </m:r>
          </m:sub>
        </m:sSub>
      </m:oMath>
      <w:r w:rsidRPr="009B5335">
        <w:rPr>
          <w:lang w:val="en-GB"/>
        </w:rPr>
        <w:t xml:space="preserve"> = 0.25 g/mL, </w:t>
      </w:r>
      <m:oMath>
        <m:sSub>
          <m:sSubPr>
            <m:ctrlPr>
              <w:rPr>
                <w:rFonts w:ascii="Cambria Math" w:hAnsi="Cambria Math"/>
                <w:i/>
              </w:rPr>
            </m:ctrlPr>
          </m:sSubPr>
          <m:e>
            <m:r>
              <m:rPr>
                <m:nor/>
              </m:rPr>
              <w:rPr>
                <w:i/>
              </w:rPr>
              <m:t>ρ</m:t>
            </m:r>
          </m:e>
          <m:sub>
            <m:r>
              <m:rPr>
                <m:nor/>
              </m:rPr>
              <w:rPr>
                <w:i/>
                <w:lang w:val="en-GB"/>
              </w:rPr>
              <m:t>t</m:t>
            </m:r>
          </m:sub>
        </m:sSub>
      </m:oMath>
      <w:r w:rsidRPr="009B5335">
        <w:rPr>
          <w:lang w:val="en-GB"/>
        </w:rPr>
        <w:t>= 0.35 g/mL) and celecoxib of F10 (</w:t>
      </w:r>
      <m:oMath>
        <m:sSub>
          <m:sSubPr>
            <m:ctrlPr>
              <w:rPr>
                <w:rFonts w:ascii="Cambria Math" w:hAnsi="Cambria Math"/>
                <w:i/>
              </w:rPr>
            </m:ctrlPr>
          </m:sSubPr>
          <m:e>
            <m:r>
              <m:rPr>
                <m:nor/>
              </m:rPr>
              <w:rPr>
                <w:i/>
              </w:rPr>
              <m:t>ρ</m:t>
            </m:r>
          </m:e>
          <m:sub>
            <m:r>
              <m:rPr>
                <m:nor/>
              </m:rPr>
              <w:rPr>
                <w:i/>
                <w:lang w:val="en-GB"/>
              </w:rPr>
              <m:t>b</m:t>
            </m:r>
          </m:sub>
        </m:sSub>
      </m:oMath>
      <w:r w:rsidRPr="009B5335">
        <w:rPr>
          <w:lang w:val="en-GB"/>
        </w:rPr>
        <w:t xml:space="preserve"> = 0.16 g/mL, </w:t>
      </w:r>
      <m:oMath>
        <m:sSub>
          <m:sSubPr>
            <m:ctrlPr>
              <w:rPr>
                <w:rFonts w:ascii="Cambria Math" w:hAnsi="Cambria Math"/>
                <w:i/>
              </w:rPr>
            </m:ctrlPr>
          </m:sSubPr>
          <m:e>
            <m:r>
              <m:rPr>
                <m:nor/>
              </m:rPr>
              <w:rPr>
                <w:i/>
              </w:rPr>
              <m:t>ρ</m:t>
            </m:r>
          </m:e>
          <m:sub>
            <m:r>
              <m:rPr>
                <m:nor/>
              </m:rPr>
              <w:rPr>
                <w:i/>
                <w:lang w:val="en-GB"/>
              </w:rPr>
              <m:t>t</m:t>
            </m:r>
          </m:sub>
        </m:sSub>
      </m:oMath>
      <w:r w:rsidRPr="009B5335">
        <w:rPr>
          <w:lang w:val="en-GB"/>
        </w:rPr>
        <w:t xml:space="preserve">= 0.27 g/mL). It was possible to gravimetrically feed these blends at 20 kg/h, but their volume exceeded the free volume in the granulator. </w:t>
      </w:r>
    </w:p>
    <w:p w14:paraId="2E708EFD" w14:textId="7618A1D6" w:rsidR="00EA7445" w:rsidRPr="009B5335" w:rsidRDefault="00EA7445" w:rsidP="0038497A">
      <w:pPr>
        <w:spacing w:line="240" w:lineRule="auto"/>
        <w:rPr>
          <w:lang w:val="en-GB"/>
        </w:rPr>
      </w:pPr>
      <w:r w:rsidRPr="009B5335">
        <w:rPr>
          <w:lang w:val="en-GB"/>
        </w:rPr>
        <w:t>The L/S ratio ranges for each formulation and each blend were varied to obtain differences in granule quality. Since the variability in blend composition is very large, different L/S ratio ranges were required. An overview of the applied process setting</w:t>
      </w:r>
      <w:r>
        <w:rPr>
          <w:lang w:val="en-GB"/>
        </w:rPr>
        <w:t>s</w:t>
      </w:r>
      <w:r w:rsidRPr="009B5335">
        <w:rPr>
          <w:lang w:val="en-GB"/>
        </w:rPr>
        <w:t xml:space="preserve"> per experiment is shown in </w:t>
      </w:r>
      <w:r w:rsidR="00F700A8">
        <w:rPr>
          <w:lang w:val="en-GB"/>
        </w:rPr>
        <w:t>TableS1</w:t>
      </w:r>
      <w:r w:rsidRPr="009B5335">
        <w:rPr>
          <w:lang w:val="en-GB"/>
        </w:rPr>
        <w:t>. For example, a L/S ratio of 84</w:t>
      </w:r>
      <w:r>
        <w:rPr>
          <w:lang w:val="en-GB"/>
        </w:rPr>
        <w:t xml:space="preserve"> </w:t>
      </w:r>
      <w:r w:rsidRPr="009B5335">
        <w:rPr>
          <w:lang w:val="en-GB"/>
        </w:rPr>
        <w:t xml:space="preserve">% was used to produce coarser granules for F5B1 (i.e., 10% nap – 85% PH101 – 5% HPMC), as this formulation lacks </w:t>
      </w:r>
      <w:r>
        <w:rPr>
          <w:lang w:val="en-GB"/>
        </w:rPr>
        <w:t>a soluble API or filler</w:t>
      </w:r>
      <w:r w:rsidRPr="009B5335">
        <w:rPr>
          <w:lang w:val="en-GB"/>
        </w:rPr>
        <w:t xml:space="preserve">, hence requiring a high quantity of granulation liquid. </w:t>
      </w:r>
    </w:p>
    <w:p w14:paraId="2F2A3CD4" w14:textId="77777777" w:rsidR="00EA7445" w:rsidRPr="00625702" w:rsidRDefault="00EA7445" w:rsidP="0038497A">
      <w:pPr>
        <w:pStyle w:val="Kop1"/>
        <w:numPr>
          <w:ilvl w:val="1"/>
          <w:numId w:val="20"/>
        </w:numPr>
        <w:spacing w:line="240" w:lineRule="auto"/>
        <w:rPr>
          <w:caps w:val="0"/>
          <w:lang w:val="en-GB"/>
        </w:rPr>
      </w:pPr>
      <w:r w:rsidRPr="00625702">
        <w:rPr>
          <w:caps w:val="0"/>
          <w:lang w:val="en-GB"/>
        </w:rPr>
        <w:t xml:space="preserve">TPLS modelling </w:t>
      </w:r>
    </w:p>
    <w:p w14:paraId="026C5E59"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t xml:space="preserve">TPLS model development and interpretation </w:t>
      </w:r>
    </w:p>
    <w:p w14:paraId="126C1AD5" w14:textId="7A249DB3" w:rsidR="00EA7445" w:rsidRPr="009B5335" w:rsidRDefault="00EA7445" w:rsidP="0038497A">
      <w:pPr>
        <w:spacing w:line="240" w:lineRule="auto"/>
        <w:rPr>
          <w:lang w:val="en-GB"/>
        </w:rPr>
      </w:pPr>
      <w:r w:rsidRPr="009B5335">
        <w:rPr>
          <w:lang w:val="en-GB"/>
        </w:rPr>
        <w:t>A two</w:t>
      </w:r>
      <w:r>
        <w:rPr>
          <w:lang w:val="en-GB"/>
        </w:rPr>
        <w:t>-</w:t>
      </w:r>
      <w:r w:rsidRPr="009B5335">
        <w:rPr>
          <w:lang w:val="en-GB"/>
        </w:rPr>
        <w:t>latent variable (LV) TPLS model was fit to the data as R² only slightly increase</w:t>
      </w:r>
      <w:r>
        <w:rPr>
          <w:lang w:val="en-GB"/>
        </w:rPr>
        <w:t>d</w:t>
      </w:r>
      <w:r w:rsidRPr="009B5335">
        <w:rPr>
          <w:lang w:val="en-GB"/>
        </w:rPr>
        <w:t xml:space="preserve"> when a third LV was added. Moreover, the addition of a third LV complicate</w:t>
      </w:r>
      <w:r>
        <w:rPr>
          <w:lang w:val="en-GB"/>
        </w:rPr>
        <w:t>d</w:t>
      </w:r>
      <w:r w:rsidRPr="009B5335">
        <w:rPr>
          <w:lang w:val="en-GB"/>
        </w:rPr>
        <w:t xml:space="preserve"> the physical interpretation of the results. The Variable Importance for the Projection (VIP) plot was developed to highlight the most influencing raw material properties in the TPLS model (</w:t>
      </w:r>
      <w:r w:rsidRPr="00116BE2">
        <w:rPr>
          <w:lang w:val="en-GB"/>
        </w:rPr>
        <w:t>Figure</w:t>
      </w:r>
      <w:r w:rsidRPr="009B5335">
        <w:rPr>
          <w:lang w:val="en-GB"/>
        </w:rPr>
        <w:t xml:space="preserve"> </w:t>
      </w:r>
      <w:r w:rsidR="00116BE2">
        <w:rPr>
          <w:lang w:val="en-GB"/>
        </w:rPr>
        <w:t>4</w:t>
      </w:r>
      <w:r w:rsidRPr="009B5335">
        <w:rPr>
          <w:lang w:val="en-GB"/>
        </w:rPr>
        <w:t xml:space="preserve">). Generally, the variability in raw material properties with the highest importance explains the variability in granule quality attributes the most. DR60, Com, </w:t>
      </w:r>
      <w:proofErr w:type="spellStart"/>
      <w:r w:rsidRPr="009B5335">
        <w:rPr>
          <w:lang w:val="en-GB"/>
        </w:rPr>
        <w:t>WoC</w:t>
      </w:r>
      <w:proofErr w:type="spellEnd"/>
      <w:r w:rsidRPr="009B5335">
        <w:rPr>
          <w:lang w:val="en-GB"/>
        </w:rPr>
        <w:t xml:space="preserve">, S40, WBC, </w:t>
      </w:r>
      <m:oMath>
        <m:sSub>
          <m:sSubPr>
            <m:ctrlPr>
              <w:rPr>
                <w:rFonts w:ascii="Cambria Math" w:hAnsi="Cambria Math"/>
                <w:i/>
              </w:rPr>
            </m:ctrlPr>
          </m:sSubPr>
          <m:e>
            <m:r>
              <m:rPr>
                <m:nor/>
              </m:rPr>
              <w:rPr>
                <w:i/>
              </w:rPr>
              <m:t>ρ</m:t>
            </m:r>
          </m:e>
          <m:sub>
            <m:r>
              <m:rPr>
                <m:nor/>
              </m:rPr>
              <w:rPr>
                <w:i/>
                <w:lang w:val="en-GB"/>
              </w:rPr>
              <m:t>t</m:t>
            </m:r>
          </m:sub>
        </m:sSub>
      </m:oMath>
      <w:r w:rsidRPr="009B5335">
        <w:rPr>
          <w:lang w:val="en-GB"/>
        </w:rPr>
        <w:t xml:space="preserve">, </w:t>
      </w:r>
      <w:proofErr w:type="spellStart"/>
      <w:r w:rsidRPr="009B5335">
        <w:rPr>
          <w:lang w:val="en-GB"/>
        </w:rPr>
        <w:t>S</w:t>
      </w:r>
      <w:r w:rsidRPr="009B5335">
        <w:rPr>
          <w:vertAlign w:val="subscript"/>
          <w:lang w:val="en-GB"/>
        </w:rPr>
        <w:t>true</w:t>
      </w:r>
      <w:proofErr w:type="spellEnd"/>
      <w:r w:rsidRPr="009B5335">
        <w:rPr>
          <w:lang w:val="en-GB"/>
        </w:rPr>
        <w:t xml:space="preserve"> were the seven most influencing raw material properties upon granule quality attributes. Flow</w:t>
      </w:r>
      <w:r>
        <w:rPr>
          <w:lang w:val="en-GB"/>
        </w:rPr>
        <w:t>-</w:t>
      </w:r>
      <w:r w:rsidRPr="009B5335">
        <w:rPr>
          <w:lang w:val="en-GB"/>
        </w:rPr>
        <w:lastRenderedPageBreak/>
        <w:t>related properties (</w:t>
      </w:r>
      <w:proofErr w:type="spellStart"/>
      <w:r w:rsidRPr="009B5335">
        <w:rPr>
          <w:lang w:val="en-GB"/>
        </w:rPr>
        <w:t>ffc</w:t>
      </w:r>
      <w:proofErr w:type="spellEnd"/>
      <w:r w:rsidRPr="009B5335">
        <w:rPr>
          <w:lang w:val="en-GB"/>
        </w:rPr>
        <w:t>, BFE, AR40), SSA and CD appeared to be less influential for the granule quality attributes. In addition, binder</w:t>
      </w:r>
      <w:r>
        <w:rPr>
          <w:lang w:val="en-GB"/>
        </w:rPr>
        <w:t>-</w:t>
      </w:r>
      <w:r w:rsidRPr="009B5335">
        <w:rPr>
          <w:lang w:val="en-GB"/>
        </w:rPr>
        <w:t>specific properties were less important. This can be explained by the variability within a binder-specific property. This variability is generally lower because the binders are less different, as all three binders are all typically used for immediate release. In addition, as the binder content was only varied from 2 to 5 %, it is possible that these powders were less dominant than API/filler properties.</w:t>
      </w:r>
    </w:p>
    <w:p w14:paraId="457F2F05" w14:textId="4885DE25" w:rsidR="00EA7445" w:rsidRDefault="00EA7445" w:rsidP="0038497A">
      <w:pPr>
        <w:spacing w:line="240" w:lineRule="auto"/>
        <w:rPr>
          <w:lang w:val="en-GB"/>
        </w:rPr>
      </w:pPr>
      <w:r w:rsidRPr="009B5335">
        <w:rPr>
          <w:lang w:val="en-GB"/>
        </w:rPr>
        <w:t xml:space="preserve">The effect of the raw material properties upon the different granule quality attributes was studied in more detail by interpreting their loadings for each LV. The first LV mainly captured the variability in </w:t>
      </w:r>
      <w:proofErr w:type="spellStart"/>
      <w:r w:rsidRPr="009B5335">
        <w:rPr>
          <w:lang w:val="en-GB"/>
        </w:rPr>
        <w:t>AoR</w:t>
      </w:r>
      <w:proofErr w:type="spellEnd"/>
      <w:r w:rsidRPr="009B5335">
        <w:rPr>
          <w:lang w:val="en-GB"/>
        </w:rPr>
        <w:t xml:space="preserve"> and fines fraction (</w:t>
      </w:r>
      <w:r w:rsidRPr="00116BE2">
        <w:rPr>
          <w:lang w:val="en-GB"/>
        </w:rPr>
        <w:t>Figure</w:t>
      </w:r>
      <w:r w:rsidRPr="009B5335">
        <w:rPr>
          <w:lang w:val="en-GB"/>
        </w:rPr>
        <w:t xml:space="preserve"> </w:t>
      </w:r>
      <w:r w:rsidR="00116BE2">
        <w:rPr>
          <w:lang w:val="en-GB"/>
        </w:rPr>
        <w:t>5</w:t>
      </w:r>
      <w:r w:rsidRPr="009B5335">
        <w:rPr>
          <w:lang w:val="en-GB"/>
        </w:rPr>
        <w:t xml:space="preserve"> – top). Fines fraction was correlated to the </w:t>
      </w:r>
      <w:proofErr w:type="spellStart"/>
      <w:r w:rsidRPr="009B5335">
        <w:rPr>
          <w:lang w:val="en-GB"/>
        </w:rPr>
        <w:t>AoR</w:t>
      </w:r>
      <w:proofErr w:type="spellEnd"/>
      <w:r w:rsidRPr="009B5335">
        <w:rPr>
          <w:lang w:val="en-GB"/>
        </w:rPr>
        <w:t>, fewer ungranulated material (</w:t>
      </w:r>
      <w:proofErr w:type="spellStart"/>
      <w:r w:rsidRPr="009B5335">
        <w:rPr>
          <w:lang w:val="en-GB"/>
        </w:rPr>
        <w:t>i.e</w:t>
      </w:r>
      <w:proofErr w:type="spellEnd"/>
      <w:r w:rsidRPr="009B5335">
        <w:rPr>
          <w:lang w:val="en-GB"/>
        </w:rPr>
        <w:t xml:space="preserve">, lower fines fraction) resulted in a better flow (lower </w:t>
      </w:r>
      <w:proofErr w:type="spellStart"/>
      <w:r w:rsidRPr="009B5335">
        <w:rPr>
          <w:lang w:val="en-GB"/>
        </w:rPr>
        <w:t>AoR</w:t>
      </w:r>
      <w:proofErr w:type="spellEnd"/>
      <w:r w:rsidRPr="009B5335">
        <w:rPr>
          <w:lang w:val="en-GB"/>
        </w:rPr>
        <w:t xml:space="preserve"> values). Furthermore, a higher DR60, </w:t>
      </w:r>
      <w:proofErr w:type="spellStart"/>
      <w:r w:rsidRPr="009B5335">
        <w:rPr>
          <w:lang w:val="en-GB"/>
        </w:rPr>
        <w:t>S</w:t>
      </w:r>
      <w:r w:rsidRPr="009B5335">
        <w:rPr>
          <w:vertAlign w:val="subscript"/>
          <w:lang w:val="en-GB"/>
        </w:rPr>
        <w:t>true</w:t>
      </w:r>
      <w:proofErr w:type="spellEnd"/>
      <w:r w:rsidRPr="009B5335">
        <w:rPr>
          <w:lang w:val="en-GB"/>
        </w:rPr>
        <w:t xml:space="preserve">, BFE and </w:t>
      </w:r>
      <m:oMath>
        <m:sSub>
          <m:sSubPr>
            <m:ctrlPr>
              <w:rPr>
                <w:rFonts w:ascii="Cambria Math" w:hAnsi="Cambria Math"/>
                <w:i/>
              </w:rPr>
            </m:ctrlPr>
          </m:sSubPr>
          <m:e>
            <m:r>
              <m:rPr>
                <m:nor/>
              </m:rPr>
              <w:rPr>
                <w:i/>
              </w:rPr>
              <m:t>ρ</m:t>
            </m:r>
          </m:e>
          <m:sub>
            <m:r>
              <m:rPr>
                <m:nor/>
              </m:rPr>
              <w:rPr>
                <w:i/>
                <w:lang w:val="en-GB"/>
              </w:rPr>
              <m:t>b</m:t>
            </m:r>
          </m:sub>
        </m:sSub>
      </m:oMath>
      <w:r w:rsidRPr="009B5335">
        <w:rPr>
          <w:lang w:val="en-GB"/>
        </w:rPr>
        <w:t>tend</w:t>
      </w:r>
      <w:r>
        <w:rPr>
          <w:lang w:val="en-GB"/>
        </w:rPr>
        <w:t>ed</w:t>
      </w:r>
      <w:r w:rsidRPr="009B5335">
        <w:rPr>
          <w:lang w:val="en-GB"/>
        </w:rPr>
        <w:t xml:space="preserve"> to result in a better flow, while a higher ε, SSA, CD, WBC, </w:t>
      </w:r>
      <w:proofErr w:type="spellStart"/>
      <w:r w:rsidRPr="009B5335">
        <w:rPr>
          <w:lang w:val="en-GB"/>
        </w:rPr>
        <w:t>WoC</w:t>
      </w:r>
      <w:proofErr w:type="spellEnd"/>
      <w:r w:rsidRPr="009B5335">
        <w:rPr>
          <w:lang w:val="en-GB"/>
        </w:rPr>
        <w:t xml:space="preserve"> and S40 tend</w:t>
      </w:r>
      <w:r>
        <w:rPr>
          <w:lang w:val="en-GB"/>
        </w:rPr>
        <w:t>ed</w:t>
      </w:r>
      <w:r w:rsidRPr="009B5335">
        <w:rPr>
          <w:lang w:val="en-GB"/>
        </w:rPr>
        <w:t xml:space="preserve"> </w:t>
      </w:r>
      <w:r>
        <w:rPr>
          <w:lang w:val="en-GB"/>
        </w:rPr>
        <w:t>towards poorer</w:t>
      </w:r>
      <w:r w:rsidRPr="009B5335">
        <w:rPr>
          <w:lang w:val="en-GB"/>
        </w:rPr>
        <w:t xml:space="preserve"> flow. For the wet powder properties (i.e., </w:t>
      </w:r>
      <w:proofErr w:type="spellStart"/>
      <w:r w:rsidRPr="009B5335">
        <w:rPr>
          <w:lang w:val="en-GB"/>
        </w:rPr>
        <w:t>S</w:t>
      </w:r>
      <w:r w:rsidRPr="009B5335">
        <w:rPr>
          <w:vertAlign w:val="subscript"/>
          <w:lang w:val="en-GB"/>
        </w:rPr>
        <w:t>true</w:t>
      </w:r>
      <w:proofErr w:type="spellEnd"/>
      <w:r w:rsidRPr="009B5335">
        <w:rPr>
          <w:lang w:val="en-GB"/>
        </w:rPr>
        <w:t xml:space="preserve">, DR60, WBC), a higher </w:t>
      </w:r>
      <w:proofErr w:type="spellStart"/>
      <w:r w:rsidRPr="009B5335">
        <w:rPr>
          <w:lang w:val="en-GB"/>
        </w:rPr>
        <w:t>S</w:t>
      </w:r>
      <w:r w:rsidRPr="009B5335">
        <w:rPr>
          <w:vertAlign w:val="subscript"/>
          <w:lang w:val="en-GB"/>
        </w:rPr>
        <w:t>true</w:t>
      </w:r>
      <w:proofErr w:type="spellEnd"/>
      <w:r w:rsidRPr="009B5335">
        <w:rPr>
          <w:lang w:val="en-GB"/>
        </w:rPr>
        <w:t xml:space="preserve"> and DR60 result</w:t>
      </w:r>
      <w:r>
        <w:rPr>
          <w:lang w:val="en-GB"/>
        </w:rPr>
        <w:t>ed</w:t>
      </w:r>
      <w:r w:rsidRPr="009B5335">
        <w:rPr>
          <w:lang w:val="en-GB"/>
        </w:rPr>
        <w:t xml:space="preserve"> in more or faster powder dissolution, respectively, consequently resulting in more granulated material and a smaller fines fraction as more liquid </w:t>
      </w:r>
      <w:r>
        <w:rPr>
          <w:lang w:val="en-GB"/>
        </w:rPr>
        <w:t xml:space="preserve">bridges </w:t>
      </w:r>
      <w:r w:rsidRPr="009B5335">
        <w:rPr>
          <w:lang w:val="en-GB"/>
        </w:rPr>
        <w:t xml:space="preserve">are made. As less liquid is available for the granulation process, a higher WBC </w:t>
      </w:r>
      <w:r>
        <w:rPr>
          <w:lang w:val="en-GB"/>
        </w:rPr>
        <w:t>resulted in</w:t>
      </w:r>
      <w:r w:rsidRPr="009B5335">
        <w:rPr>
          <w:lang w:val="en-GB"/>
        </w:rPr>
        <w:t xml:space="preserve"> more ungranulated material. </w:t>
      </w:r>
    </w:p>
    <w:p w14:paraId="350E93D5" w14:textId="7A5B1D8A" w:rsidR="003A0F5C" w:rsidRDefault="00EA7445" w:rsidP="0038497A">
      <w:pPr>
        <w:spacing w:line="240" w:lineRule="auto"/>
        <w:rPr>
          <w:lang w:val="en-GB"/>
        </w:rPr>
      </w:pPr>
      <w:r w:rsidRPr="009B5335">
        <w:rPr>
          <w:lang w:val="en-GB"/>
        </w:rPr>
        <w:t xml:space="preserve">For the dry powder properties (i.e., BFE, </w:t>
      </w:r>
      <w:bookmarkStart w:id="19" w:name="_Hlk35968849"/>
      <m:oMath>
        <m:sSub>
          <m:sSubPr>
            <m:ctrlPr>
              <w:rPr>
                <w:rFonts w:ascii="Cambria Math" w:hAnsi="Cambria Math"/>
                <w:i/>
              </w:rPr>
            </m:ctrlPr>
          </m:sSubPr>
          <m:e>
            <m:r>
              <m:rPr>
                <m:nor/>
              </m:rPr>
              <w:rPr>
                <w:i/>
              </w:rPr>
              <m:t>ρ</m:t>
            </m:r>
          </m:e>
          <m:sub>
            <m:r>
              <m:rPr>
                <m:nor/>
              </m:rPr>
              <w:rPr>
                <w:i/>
                <w:lang w:val="en-GB"/>
              </w:rPr>
              <m:t>b</m:t>
            </m:r>
          </m:sub>
        </m:sSub>
      </m:oMath>
      <w:r w:rsidRPr="009B5335">
        <w:rPr>
          <w:lang w:val="en-GB"/>
        </w:rPr>
        <w:t xml:space="preserve">, </w:t>
      </w:r>
      <w:bookmarkEnd w:id="19"/>
      <w:r w:rsidRPr="009B5335">
        <w:rPr>
          <w:lang w:val="en-GB"/>
        </w:rPr>
        <w:t xml:space="preserve">ε, SSA and CD), it is suggested that their effect on </w:t>
      </w:r>
      <w:proofErr w:type="spellStart"/>
      <w:r w:rsidRPr="009B5335">
        <w:rPr>
          <w:lang w:val="en-GB"/>
        </w:rPr>
        <w:t>AoR</w:t>
      </w:r>
      <w:proofErr w:type="spellEnd"/>
      <w:r w:rsidRPr="009B5335">
        <w:rPr>
          <w:lang w:val="en-GB"/>
        </w:rPr>
        <w:t xml:space="preserve"> can be explained by the flow properties of the ungranulated powder. On the one hand, porous (ε) and electrically charged (CD) properties impair powder flowability</w:t>
      </w:r>
      <w:r>
        <w:rPr>
          <w:lang w:val="en-GB"/>
        </w:rPr>
        <w:t>,</w:t>
      </w:r>
      <w:r w:rsidRPr="009B5335">
        <w:rPr>
          <w:lang w:val="en-GB"/>
        </w:rPr>
        <w:t xml:space="preserve"> resulting in a higher granule </w:t>
      </w:r>
      <w:proofErr w:type="spellStart"/>
      <w:r w:rsidRPr="009B5335">
        <w:rPr>
          <w:lang w:val="en-GB"/>
        </w:rPr>
        <w:t>AoR.</w:t>
      </w:r>
      <w:proofErr w:type="spellEnd"/>
      <w:r w:rsidRPr="009B5335">
        <w:rPr>
          <w:lang w:val="en-GB"/>
        </w:rPr>
        <w:t xml:space="preserve"> On the other hand, a higher bulk density and BFE value typically corresponds to denser and larger powder particles with a better flow, thereby resulting in a negative correlation with </w:t>
      </w:r>
      <w:proofErr w:type="spellStart"/>
      <w:r w:rsidRPr="009B5335">
        <w:rPr>
          <w:lang w:val="en-GB"/>
        </w:rPr>
        <w:t>AoR.</w:t>
      </w:r>
      <w:proofErr w:type="spellEnd"/>
      <w:r>
        <w:rPr>
          <w:lang w:val="en-GB"/>
        </w:rPr>
        <w:t xml:space="preserve"> </w:t>
      </w:r>
      <w:r w:rsidRPr="009B5335">
        <w:rPr>
          <w:lang w:val="en-GB"/>
        </w:rPr>
        <w:t xml:space="preserve">It is not possible to give a good physical interpretation for each raw material property even though it has a high loading value. For example, it was observed that </w:t>
      </w:r>
      <w:proofErr w:type="spellStart"/>
      <w:r w:rsidRPr="009B5335">
        <w:rPr>
          <w:lang w:val="en-GB"/>
        </w:rPr>
        <w:t>WoC</w:t>
      </w:r>
      <w:proofErr w:type="spellEnd"/>
      <w:r w:rsidRPr="009B5335">
        <w:rPr>
          <w:lang w:val="en-GB"/>
        </w:rPr>
        <w:t xml:space="preserve"> and S40</w:t>
      </w:r>
      <w:r>
        <w:rPr>
          <w:lang w:val="en-GB"/>
        </w:rPr>
        <w:t xml:space="preserve"> </w:t>
      </w:r>
      <w:r w:rsidRPr="009B5335">
        <w:rPr>
          <w:lang w:val="en-GB"/>
        </w:rPr>
        <w:t xml:space="preserve">negatively affected granule flow, but an explanation related to the granulation process cannot be given. </w:t>
      </w:r>
      <w:r w:rsidR="003A0F5C">
        <w:rPr>
          <w:lang w:val="en-GB"/>
        </w:rPr>
        <w:t>T</w:t>
      </w:r>
      <w:r w:rsidR="003A0F5C" w:rsidRPr="009B5335">
        <w:rPr>
          <w:lang w:val="en-GB"/>
        </w:rPr>
        <w:t xml:space="preserve">he effect of </w:t>
      </w:r>
      <w:proofErr w:type="spellStart"/>
      <w:r w:rsidR="003A0F5C" w:rsidRPr="009B5335">
        <w:rPr>
          <w:lang w:val="en-GB"/>
        </w:rPr>
        <w:t>WoC</w:t>
      </w:r>
      <w:proofErr w:type="spellEnd"/>
      <w:r w:rsidR="003A0F5C" w:rsidRPr="009B5335">
        <w:rPr>
          <w:lang w:val="en-GB"/>
        </w:rPr>
        <w:t xml:space="preserve"> and S40 on the granule quality attributes was probably due to a mathematical coincidence</w:t>
      </w:r>
      <w:r w:rsidR="003A0F5C">
        <w:rPr>
          <w:lang w:val="en-GB"/>
        </w:rPr>
        <w:t>, as</w:t>
      </w:r>
      <w:r w:rsidR="003A0F5C" w:rsidRPr="003A0F5C">
        <w:rPr>
          <w:lang w:val="en-GB"/>
        </w:rPr>
        <w:t xml:space="preserve"> </w:t>
      </w:r>
      <w:proofErr w:type="spellStart"/>
      <w:r w:rsidR="003A0F5C" w:rsidRPr="009B5335">
        <w:rPr>
          <w:lang w:val="en-GB"/>
        </w:rPr>
        <w:t>WoC</w:t>
      </w:r>
      <w:proofErr w:type="spellEnd"/>
      <w:r w:rsidR="00C077CE">
        <w:rPr>
          <w:lang w:val="en-GB"/>
        </w:rPr>
        <w:t xml:space="preserve"> and S40</w:t>
      </w:r>
      <w:r w:rsidR="003A0F5C">
        <w:rPr>
          <w:lang w:val="en-GB"/>
        </w:rPr>
        <w:t xml:space="preserve"> were clustered </w:t>
      </w:r>
      <w:r w:rsidR="00C077CE">
        <w:rPr>
          <w:lang w:val="en-GB"/>
        </w:rPr>
        <w:t xml:space="preserve">with WBC </w:t>
      </w:r>
      <w:r w:rsidR="003A0F5C" w:rsidRPr="009B5335">
        <w:rPr>
          <w:lang w:val="en-GB"/>
        </w:rPr>
        <w:t>on the scores plot for APIs and filler (</w:t>
      </w:r>
      <w:r w:rsidR="003A0F5C" w:rsidRPr="00116BE2">
        <w:rPr>
          <w:lang w:val="en-GB"/>
        </w:rPr>
        <w:t>Figure</w:t>
      </w:r>
      <w:r w:rsidR="003A0F5C" w:rsidRPr="009B5335">
        <w:rPr>
          <w:lang w:val="en-GB"/>
        </w:rPr>
        <w:t xml:space="preserve"> </w:t>
      </w:r>
      <w:r w:rsidR="00116BE2">
        <w:rPr>
          <w:lang w:val="en-GB"/>
        </w:rPr>
        <w:t>3</w:t>
      </w:r>
      <w:r w:rsidR="003A0F5C" w:rsidRPr="009B5335">
        <w:rPr>
          <w:lang w:val="en-GB"/>
        </w:rPr>
        <w:t xml:space="preserve"> – top)</w:t>
      </w:r>
      <w:r w:rsidR="003A0F5C">
        <w:rPr>
          <w:lang w:val="en-GB"/>
        </w:rPr>
        <w:t>. This is due to the properties of MCC, as a</w:t>
      </w:r>
      <w:r w:rsidR="003A0F5C" w:rsidRPr="009B5335">
        <w:rPr>
          <w:lang w:val="en-GB"/>
        </w:rPr>
        <w:t xml:space="preserve">ll MCC grades had high values for these </w:t>
      </w:r>
      <w:r w:rsidR="003A0F5C">
        <w:rPr>
          <w:lang w:val="en-GB"/>
        </w:rPr>
        <w:t>descriptors.</w:t>
      </w:r>
    </w:p>
    <w:p w14:paraId="0790F412" w14:textId="7CD4570D" w:rsidR="00EA7445" w:rsidRDefault="00EA7445" w:rsidP="0038497A">
      <w:pPr>
        <w:spacing w:line="240" w:lineRule="auto"/>
        <w:rPr>
          <w:lang w:val="en-GB"/>
        </w:rPr>
      </w:pPr>
      <w:r w:rsidRPr="009B5335">
        <w:rPr>
          <w:lang w:val="en-GB"/>
        </w:rPr>
        <w:t>The second LV captured the variability in granule size and friability (</w:t>
      </w:r>
      <w:r w:rsidRPr="00116BE2">
        <w:rPr>
          <w:lang w:val="en-GB"/>
        </w:rPr>
        <w:t>Figure</w:t>
      </w:r>
      <w:r w:rsidRPr="009B5335">
        <w:rPr>
          <w:lang w:val="en-GB"/>
        </w:rPr>
        <w:t xml:space="preserve"> </w:t>
      </w:r>
      <w:r w:rsidR="00116BE2">
        <w:rPr>
          <w:lang w:val="en-GB"/>
        </w:rPr>
        <w:t>6</w:t>
      </w:r>
      <w:r w:rsidRPr="009B5335">
        <w:rPr>
          <w:lang w:val="en-GB"/>
        </w:rPr>
        <w:t xml:space="preserve"> – top). Larger granules were typically stronger. A higher DR60 and Com tended to result in larger and stronger granules, while higher WBC, S40, </w:t>
      </w:r>
      <w:proofErr w:type="spellStart"/>
      <w:r w:rsidRPr="009B5335">
        <w:rPr>
          <w:lang w:val="en-GB"/>
        </w:rPr>
        <w:t>WoC</w:t>
      </w:r>
      <w:proofErr w:type="spellEnd"/>
      <w:r w:rsidRPr="009B5335">
        <w:rPr>
          <w:lang w:val="en-GB"/>
        </w:rPr>
        <w:t xml:space="preserve">, </w:t>
      </w:r>
      <m:oMath>
        <m:sSub>
          <m:sSubPr>
            <m:ctrlPr>
              <w:rPr>
                <w:rFonts w:ascii="Cambria Math" w:hAnsi="Cambria Math"/>
                <w:i/>
              </w:rPr>
            </m:ctrlPr>
          </m:sSubPr>
          <m:e>
            <m:r>
              <m:rPr>
                <m:nor/>
              </m:rPr>
              <w:rPr>
                <w:i/>
              </w:rPr>
              <m:t>ρ</m:t>
            </m:r>
          </m:e>
          <m:sub>
            <m:r>
              <m:rPr>
                <m:nor/>
              </m:rPr>
              <w:rPr>
                <w:i/>
                <w:lang w:val="en-GB"/>
              </w:rPr>
              <m:t>b</m:t>
            </m:r>
          </m:sub>
        </m:sSub>
      </m:oMath>
      <w:r w:rsidRPr="009B5335">
        <w:rPr>
          <w:lang w:val="en-GB"/>
        </w:rPr>
        <w:t xml:space="preserve"> and </w:t>
      </w:r>
      <m:oMath>
        <m:sSub>
          <m:sSubPr>
            <m:ctrlPr>
              <w:rPr>
                <w:rFonts w:ascii="Cambria Math" w:hAnsi="Cambria Math"/>
                <w:i/>
              </w:rPr>
            </m:ctrlPr>
          </m:sSubPr>
          <m:e>
            <m:r>
              <m:rPr>
                <m:nor/>
              </m:rPr>
              <w:rPr>
                <w:i/>
              </w:rPr>
              <m:t>ρ</m:t>
            </m:r>
          </m:e>
          <m:sub>
            <m:r>
              <m:rPr>
                <m:nor/>
              </m:rPr>
              <w:rPr>
                <w:i/>
                <w:lang w:val="en-GB"/>
              </w:rPr>
              <m:t>true</m:t>
            </m:r>
          </m:sub>
        </m:sSub>
      </m:oMath>
      <w:r w:rsidRPr="009B5335">
        <w:rPr>
          <w:lang w:val="en-GB"/>
        </w:rPr>
        <w:t xml:space="preserve"> </w:t>
      </w:r>
      <w:r>
        <w:rPr>
          <w:lang w:val="en-GB"/>
        </w:rPr>
        <w:t xml:space="preserve">were linked to </w:t>
      </w:r>
      <w:r w:rsidRPr="009B5335">
        <w:rPr>
          <w:lang w:val="en-GB"/>
        </w:rPr>
        <w:t xml:space="preserve">more fines and weaker granules. The </w:t>
      </w:r>
      <w:r>
        <w:rPr>
          <w:lang w:val="en-GB"/>
        </w:rPr>
        <w:t>previously mentioned</w:t>
      </w:r>
      <w:r w:rsidRPr="009B5335">
        <w:rPr>
          <w:lang w:val="en-GB"/>
        </w:rPr>
        <w:t xml:space="preserve"> mechanism (i.e., the creation of more liquid bridges) is also valid for the effect of DR60 and WBC on granule size and friability. Again, the effect of </w:t>
      </w:r>
      <w:proofErr w:type="spellStart"/>
      <w:r w:rsidRPr="009B5335">
        <w:rPr>
          <w:lang w:val="en-GB"/>
        </w:rPr>
        <w:t>WoC</w:t>
      </w:r>
      <w:proofErr w:type="spellEnd"/>
      <w:r w:rsidRPr="009B5335">
        <w:rPr>
          <w:lang w:val="en-GB"/>
        </w:rPr>
        <w:t xml:space="preserve"> and S40 was explained by their mathematical coincidence. A lower powder bed density, lower particle density and higher compressibility tended to result in larger and stronger granules. This suggest</w:t>
      </w:r>
      <w:r>
        <w:rPr>
          <w:lang w:val="en-GB"/>
        </w:rPr>
        <w:t>ed</w:t>
      </w:r>
      <w:r w:rsidRPr="009B5335">
        <w:rPr>
          <w:lang w:val="en-GB"/>
        </w:rPr>
        <w:t xml:space="preserve"> that a higher available void volume</w:t>
      </w:r>
      <w:r>
        <w:rPr>
          <w:lang w:val="en-GB"/>
        </w:rPr>
        <w:t xml:space="preserve"> (i.e.,</w:t>
      </w:r>
      <w:r w:rsidRPr="002A6F92">
        <w:rPr>
          <w:lang w:val="en-GB"/>
        </w:rPr>
        <w:t xml:space="preserve"> inter- and intra-particulate voids</w:t>
      </w:r>
      <w:r>
        <w:rPr>
          <w:lang w:val="en-GB"/>
        </w:rPr>
        <w:t xml:space="preserve">) </w:t>
      </w:r>
      <w:r w:rsidRPr="009B5335">
        <w:rPr>
          <w:lang w:val="en-GB"/>
        </w:rPr>
        <w:t xml:space="preserve"> </w:t>
      </w:r>
      <w:r>
        <w:rPr>
          <w:lang w:val="en-GB"/>
        </w:rPr>
        <w:t>of the powder bed</w:t>
      </w:r>
      <w:r w:rsidRPr="009B5335">
        <w:rPr>
          <w:lang w:val="en-GB"/>
        </w:rPr>
        <w:t xml:space="preserve"> in the granulator is beneficial for the granulation process. It is possible that the</w:t>
      </w:r>
      <w:r>
        <w:rPr>
          <w:lang w:val="en-GB"/>
        </w:rPr>
        <w:t xml:space="preserve"> wetting and</w:t>
      </w:r>
      <w:r w:rsidRPr="009B5335">
        <w:rPr>
          <w:lang w:val="en-GB"/>
        </w:rPr>
        <w:t xml:space="preserve"> (re)distribution of liquid is enhanced for </w:t>
      </w:r>
      <w:r>
        <w:rPr>
          <w:lang w:val="en-GB"/>
        </w:rPr>
        <w:t xml:space="preserve">those </w:t>
      </w:r>
      <w:r w:rsidRPr="009B5335">
        <w:rPr>
          <w:lang w:val="en-GB"/>
        </w:rPr>
        <w:t>powder</w:t>
      </w:r>
      <w:r>
        <w:rPr>
          <w:lang w:val="en-GB"/>
        </w:rPr>
        <w:t>s</w:t>
      </w:r>
      <w:r w:rsidRPr="009B5335">
        <w:rPr>
          <w:lang w:val="en-GB"/>
        </w:rPr>
        <w:t>. First, the penetration of the liquid into the inner core of the powder bed could be enhanced and secondly the redistribution of the liquid</w:t>
      </w:r>
      <w:r>
        <w:rPr>
          <w:lang w:val="en-GB"/>
        </w:rPr>
        <w:t xml:space="preserve"> in the kneading zones</w:t>
      </w:r>
      <w:r w:rsidRPr="009B5335">
        <w:rPr>
          <w:lang w:val="en-GB"/>
        </w:rPr>
        <w:t xml:space="preserve"> </w:t>
      </w:r>
      <w:r>
        <w:rPr>
          <w:lang w:val="en-GB"/>
        </w:rPr>
        <w:t xml:space="preserve">could </w:t>
      </w:r>
      <w:r w:rsidRPr="009B5335">
        <w:rPr>
          <w:lang w:val="en-GB"/>
        </w:rPr>
        <w:t>occur more easily because the powder volume can be reduced. This is in contrast to a denser powder bed where the liquid penetration or liquid distribution is more hampered due to the more efficient packing of the denser particles.</w:t>
      </w:r>
    </w:p>
    <w:p w14:paraId="5EEFFF86" w14:textId="5DD19EF7" w:rsidR="00EA7445" w:rsidRPr="009B5335" w:rsidRDefault="00EA7445" w:rsidP="0038497A">
      <w:pPr>
        <w:spacing w:line="240" w:lineRule="auto"/>
        <w:rPr>
          <w:lang w:val="en-GB"/>
        </w:rPr>
      </w:pPr>
      <w:r w:rsidRPr="009B5335">
        <w:rPr>
          <w:lang w:val="en-GB"/>
        </w:rPr>
        <w:lastRenderedPageBreak/>
        <w:t>The effect of the process parameters upon the different granule quality attributes was also studied by interpreting their loadings for each LV. From these figures (</w:t>
      </w:r>
      <w:r w:rsidRPr="00690883">
        <w:rPr>
          <w:lang w:val="en-GB"/>
        </w:rPr>
        <w:t xml:space="preserve">Figure </w:t>
      </w:r>
      <w:r w:rsidR="00116BE2">
        <w:rPr>
          <w:lang w:val="en-GB"/>
        </w:rPr>
        <w:t>5</w:t>
      </w:r>
      <w:r w:rsidRPr="009B5335">
        <w:rPr>
          <w:lang w:val="en-GB"/>
        </w:rPr>
        <w:t xml:space="preserve"> – bottom and Figure </w:t>
      </w:r>
      <w:r w:rsidR="00116BE2">
        <w:rPr>
          <w:lang w:val="en-GB"/>
        </w:rPr>
        <w:t>6</w:t>
      </w:r>
      <w:r w:rsidRPr="009B5335">
        <w:rPr>
          <w:lang w:val="en-GB"/>
        </w:rPr>
        <w:t xml:space="preserve"> – bottom), it is clear that granules with a </w:t>
      </w:r>
      <w:r>
        <w:rPr>
          <w:lang w:val="en-GB"/>
        </w:rPr>
        <w:t>smaller</w:t>
      </w:r>
      <w:r w:rsidRPr="009B5335">
        <w:rPr>
          <w:lang w:val="en-GB"/>
        </w:rPr>
        <w:t xml:space="preserve"> fines</w:t>
      </w:r>
      <w:r>
        <w:rPr>
          <w:lang w:val="en-GB"/>
        </w:rPr>
        <w:t xml:space="preserve"> fraction</w:t>
      </w:r>
      <w:r w:rsidRPr="009B5335">
        <w:rPr>
          <w:lang w:val="en-GB"/>
        </w:rPr>
        <w:t xml:space="preserve">, a </w:t>
      </w:r>
      <w:r>
        <w:rPr>
          <w:lang w:val="en-GB"/>
        </w:rPr>
        <w:t xml:space="preserve">larger oversized </w:t>
      </w:r>
      <w:r w:rsidRPr="009B5335">
        <w:rPr>
          <w:lang w:val="en-GB"/>
        </w:rPr>
        <w:t xml:space="preserve">fraction, a lower friability and a lower </w:t>
      </w:r>
      <w:proofErr w:type="spellStart"/>
      <w:r w:rsidRPr="009B5335">
        <w:rPr>
          <w:lang w:val="en-GB"/>
        </w:rPr>
        <w:t>AoR</w:t>
      </w:r>
      <w:proofErr w:type="spellEnd"/>
      <w:r w:rsidRPr="009B5335">
        <w:rPr>
          <w:lang w:val="en-GB"/>
        </w:rPr>
        <w:t xml:space="preserve"> were obtained when a higher MFR and L/S ratio were applied. For both LVs, a higher loading was observed for L/S ratio, indicating </w:t>
      </w:r>
      <w:r>
        <w:rPr>
          <w:lang w:val="en-GB"/>
        </w:rPr>
        <w:t>its</w:t>
      </w:r>
      <w:r w:rsidRPr="009B5335">
        <w:rPr>
          <w:lang w:val="en-GB"/>
        </w:rPr>
        <w:t xml:space="preserve"> dominant influence on granule quality attributes. This result was expected as this has already been reported by multiple studies (5–11). Overall, the raw material properties were more influencing the granule quality attributes than the process settings because the loadings for most raw material properties were higher for both LVs (Y-axes on </w:t>
      </w:r>
      <w:r w:rsidRPr="00690883">
        <w:rPr>
          <w:lang w:val="en-GB"/>
        </w:rPr>
        <w:t xml:space="preserve">Figure </w:t>
      </w:r>
      <w:r w:rsidR="00690883">
        <w:rPr>
          <w:lang w:val="en-GB"/>
        </w:rPr>
        <w:t>5</w:t>
      </w:r>
      <w:r w:rsidRPr="009B5335">
        <w:rPr>
          <w:lang w:val="en-GB"/>
        </w:rPr>
        <w:t xml:space="preserve"> and </w:t>
      </w:r>
      <w:r w:rsidR="00690883">
        <w:rPr>
          <w:lang w:val="en-GB"/>
        </w:rPr>
        <w:t>6</w:t>
      </w:r>
      <w:r w:rsidRPr="009B5335">
        <w:rPr>
          <w:lang w:val="en-GB"/>
        </w:rPr>
        <w:t xml:space="preserve"> (middle and bottom)).</w:t>
      </w:r>
    </w:p>
    <w:p w14:paraId="5C40B14A"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t>Predictions using developed TPLS model</w:t>
      </w:r>
    </w:p>
    <w:p w14:paraId="38DE504E" w14:textId="77777777" w:rsidR="00EA7445" w:rsidRPr="009B5335" w:rsidRDefault="00EA7445" w:rsidP="0038497A">
      <w:pPr>
        <w:spacing w:line="240" w:lineRule="auto"/>
        <w:rPr>
          <w:lang w:val="en-GB"/>
        </w:rPr>
      </w:pPr>
      <w:r w:rsidRPr="009B5335">
        <w:rPr>
          <w:lang w:val="en-GB"/>
        </w:rPr>
        <w:t>Using the developed TPLS model, it is possible to predict granule quality attributes (Y) for a given X, R and Z. In this section, the predictive performance is first evaluated by cross-validation of one of the blends. As a final model verification exercise, a suitable formulation and corresponding process setting</w:t>
      </w:r>
      <w:r>
        <w:rPr>
          <w:lang w:val="en-GB"/>
        </w:rPr>
        <w:t>s</w:t>
      </w:r>
      <w:r w:rsidRPr="009B5335">
        <w:rPr>
          <w:lang w:val="en-GB"/>
        </w:rPr>
        <w:t xml:space="preserve"> were predicted for a new API which was not used for the model development.</w:t>
      </w:r>
    </w:p>
    <w:p w14:paraId="43BB93CE" w14:textId="77777777" w:rsidR="00EA7445" w:rsidRPr="00625702" w:rsidRDefault="00EA7445" w:rsidP="0038497A">
      <w:pPr>
        <w:pStyle w:val="Kop1"/>
        <w:numPr>
          <w:ilvl w:val="3"/>
          <w:numId w:val="20"/>
        </w:numPr>
        <w:spacing w:line="240" w:lineRule="auto"/>
        <w:rPr>
          <w:caps w:val="0"/>
          <w:lang w:val="en-GB"/>
        </w:rPr>
      </w:pPr>
      <w:r w:rsidRPr="00625702">
        <w:rPr>
          <w:caps w:val="0"/>
          <w:lang w:val="en-GB"/>
        </w:rPr>
        <w:t>Cross-validation</w:t>
      </w:r>
    </w:p>
    <w:p w14:paraId="0E222D04" w14:textId="7E393670" w:rsidR="00EA7445" w:rsidRDefault="00EA7445" w:rsidP="0038497A">
      <w:pPr>
        <w:spacing w:line="240" w:lineRule="auto"/>
        <w:rPr>
          <w:lang w:val="en-GB"/>
        </w:rPr>
      </w:pPr>
      <w:r w:rsidRPr="009B5335">
        <w:rPr>
          <w:lang w:val="en-GB"/>
        </w:rPr>
        <w:t>The predictive quality of the developed TPLS model was first evaluated for the F1B1 formulation. The 5 experiments covering the completely performed DoE of F1B1 (10</w:t>
      </w:r>
      <w:r>
        <w:rPr>
          <w:lang w:val="en-GB"/>
        </w:rPr>
        <w:t xml:space="preserve"> </w:t>
      </w:r>
      <w:r w:rsidRPr="009B5335">
        <w:rPr>
          <w:lang w:val="en-GB"/>
        </w:rPr>
        <w:t xml:space="preserve">% </w:t>
      </w:r>
      <w:proofErr w:type="spellStart"/>
      <w:r w:rsidRPr="009B5335">
        <w:rPr>
          <w:lang w:val="en-GB"/>
        </w:rPr>
        <w:t>ibu</w:t>
      </w:r>
      <w:proofErr w:type="spellEnd"/>
      <w:r w:rsidRPr="009B5335">
        <w:rPr>
          <w:lang w:val="en-GB"/>
        </w:rPr>
        <w:t>, 85</w:t>
      </w:r>
      <w:r>
        <w:rPr>
          <w:lang w:val="en-GB"/>
        </w:rPr>
        <w:t xml:space="preserve"> </w:t>
      </w:r>
      <w:r w:rsidRPr="009B5335">
        <w:rPr>
          <w:lang w:val="en-GB"/>
        </w:rPr>
        <w:t>% 200M and 5</w:t>
      </w:r>
      <w:r>
        <w:rPr>
          <w:lang w:val="en-GB"/>
        </w:rPr>
        <w:t xml:space="preserve"> </w:t>
      </w:r>
      <w:r w:rsidRPr="009B5335">
        <w:rPr>
          <w:lang w:val="en-GB"/>
        </w:rPr>
        <w:t xml:space="preserve">% E5) were tested for this leave-one-out cross-validation exercise. The predicted granule quality attributes based on the material properties and process settings (used as input in the model for granule quality attribute prediction) were compared to the </w:t>
      </w:r>
      <w:r>
        <w:rPr>
          <w:lang w:val="en-GB"/>
        </w:rPr>
        <w:t>experimental</w:t>
      </w:r>
      <w:r w:rsidRPr="009B5335">
        <w:rPr>
          <w:lang w:val="en-GB"/>
        </w:rPr>
        <w:t xml:space="preserve"> values for friability, </w:t>
      </w:r>
      <w:proofErr w:type="spellStart"/>
      <w:r w:rsidRPr="009B5335">
        <w:rPr>
          <w:lang w:val="en-GB"/>
        </w:rPr>
        <w:t>AoR</w:t>
      </w:r>
      <w:proofErr w:type="spellEnd"/>
      <w:r w:rsidRPr="009B5335">
        <w:rPr>
          <w:lang w:val="en-GB"/>
        </w:rPr>
        <w:t xml:space="preserve"> and </w:t>
      </w:r>
      <w:r>
        <w:rPr>
          <w:lang w:val="en-GB"/>
        </w:rPr>
        <w:t xml:space="preserve">fines </w:t>
      </w:r>
      <w:r w:rsidRPr="009B5335">
        <w:rPr>
          <w:lang w:val="en-GB"/>
        </w:rPr>
        <w:t xml:space="preserve">fraction and oversized granules (Figure </w:t>
      </w:r>
      <w:r w:rsidR="00690883">
        <w:rPr>
          <w:lang w:val="en-GB"/>
        </w:rPr>
        <w:t>7</w:t>
      </w:r>
      <w:r w:rsidRPr="009B5335">
        <w:rPr>
          <w:lang w:val="en-GB"/>
        </w:rPr>
        <w:t xml:space="preserve">). Predicted values were </w:t>
      </w:r>
      <w:r>
        <w:rPr>
          <w:lang w:val="en-GB"/>
        </w:rPr>
        <w:t>(</w:t>
      </w:r>
      <w:r w:rsidRPr="009B5335">
        <w:rPr>
          <w:lang w:val="en-GB"/>
        </w:rPr>
        <w:t>very</w:t>
      </w:r>
      <w:r>
        <w:rPr>
          <w:lang w:val="en-GB"/>
        </w:rPr>
        <w:t>)</w:t>
      </w:r>
      <w:r w:rsidRPr="009B5335">
        <w:rPr>
          <w:lang w:val="en-GB"/>
        </w:rPr>
        <w:t xml:space="preserve"> different from the </w:t>
      </w:r>
      <w:r>
        <w:rPr>
          <w:lang w:val="en-GB"/>
        </w:rPr>
        <w:t>experimental</w:t>
      </w:r>
      <w:r w:rsidRPr="009B5335">
        <w:rPr>
          <w:lang w:val="en-GB"/>
        </w:rPr>
        <w:t xml:space="preserve"> values for experiments at low MFR – low L/S, low MFR – high L/S and high MFR – low L/S. Good predictions were seen at intermediate process settings and at high MFR – high L/S. At these process setting, the predicted values were very close to the </w:t>
      </w:r>
      <w:r>
        <w:rPr>
          <w:lang w:val="en-GB"/>
        </w:rPr>
        <w:t>experimental</w:t>
      </w:r>
      <w:r w:rsidRPr="009B5335">
        <w:rPr>
          <w:lang w:val="en-GB"/>
        </w:rPr>
        <w:t xml:space="preserve"> values demonstrating some </w:t>
      </w:r>
      <w:r>
        <w:rPr>
          <w:lang w:val="en-GB"/>
        </w:rPr>
        <w:t>p</w:t>
      </w:r>
      <w:r w:rsidRPr="009B5335">
        <w:rPr>
          <w:lang w:val="en-GB"/>
        </w:rPr>
        <w:t xml:space="preserve">redictive quality of TPLS model, </w:t>
      </w:r>
      <w:r>
        <w:rPr>
          <w:lang w:val="en-GB"/>
        </w:rPr>
        <w:t>however</w:t>
      </w:r>
      <w:r w:rsidRPr="009B5335">
        <w:rPr>
          <w:lang w:val="en-GB"/>
        </w:rPr>
        <w:t xml:space="preserve"> not </w:t>
      </w:r>
      <w:r>
        <w:rPr>
          <w:lang w:val="en-GB"/>
        </w:rPr>
        <w:t>over the entire</w:t>
      </w:r>
      <w:r w:rsidRPr="009B5335">
        <w:rPr>
          <w:lang w:val="en-GB"/>
        </w:rPr>
        <w:t xml:space="preserve"> design space.</w:t>
      </w:r>
    </w:p>
    <w:p w14:paraId="483DC612" w14:textId="77777777" w:rsidR="00EA7445" w:rsidRPr="00625702" w:rsidRDefault="00EA7445" w:rsidP="0038497A">
      <w:pPr>
        <w:pStyle w:val="Kop1"/>
        <w:numPr>
          <w:ilvl w:val="2"/>
          <w:numId w:val="20"/>
        </w:numPr>
        <w:spacing w:line="240" w:lineRule="auto"/>
        <w:rPr>
          <w:caps w:val="0"/>
          <w:lang w:val="en-GB"/>
        </w:rPr>
      </w:pPr>
      <w:r w:rsidRPr="00625702">
        <w:rPr>
          <w:caps w:val="0"/>
          <w:lang w:val="en-GB"/>
        </w:rPr>
        <w:t>TPLS Model use for formulation development</w:t>
      </w:r>
    </w:p>
    <w:p w14:paraId="04E4859F" w14:textId="1E0AF35E" w:rsidR="00EA7445" w:rsidRDefault="00EA7445" w:rsidP="0038497A">
      <w:pPr>
        <w:spacing w:line="240" w:lineRule="auto"/>
        <w:rPr>
          <w:lang w:val="en-GB"/>
        </w:rPr>
      </w:pPr>
      <w:r w:rsidRPr="009B5335">
        <w:rPr>
          <w:lang w:val="en-GB"/>
        </w:rPr>
        <w:t xml:space="preserve">The ability to predict granule quality for given combination of X, R and Z could be helpful in formulation development. In this section, API X was considered as a new API. After performing a full raw material characterization for this API X, appropriate excipients and processable ranges were predicted using the TPLS model to result in granules with the desired quality attributes. </w:t>
      </w:r>
      <w:r>
        <w:rPr>
          <w:lang w:val="en-GB"/>
        </w:rPr>
        <w:t xml:space="preserve">A stepwise overview to obtain suggestions for the selection of a formulation and the process settings resulting in the desired granule quality for new APIs is schematically shown in </w:t>
      </w:r>
      <w:r w:rsidRPr="00690883">
        <w:rPr>
          <w:lang w:val="en-GB"/>
        </w:rPr>
        <w:t>Figure</w:t>
      </w:r>
      <w:r>
        <w:rPr>
          <w:lang w:val="en-GB"/>
        </w:rPr>
        <w:t xml:space="preserve"> </w:t>
      </w:r>
      <w:r w:rsidR="00690883">
        <w:rPr>
          <w:lang w:val="en-GB"/>
        </w:rPr>
        <w:t>8</w:t>
      </w:r>
      <w:r>
        <w:rPr>
          <w:lang w:val="en-GB"/>
        </w:rPr>
        <w:t xml:space="preserve"> and intensively discussed in following sections.</w:t>
      </w:r>
    </w:p>
    <w:p w14:paraId="46E965E9" w14:textId="77777777" w:rsidR="00EA7445" w:rsidRPr="0098758E" w:rsidRDefault="00EA7445" w:rsidP="0038497A">
      <w:pPr>
        <w:pStyle w:val="Kop1"/>
        <w:numPr>
          <w:ilvl w:val="3"/>
          <w:numId w:val="20"/>
        </w:numPr>
        <w:spacing w:line="240" w:lineRule="auto"/>
        <w:rPr>
          <w:caps w:val="0"/>
          <w:lang w:val="en-GB"/>
        </w:rPr>
      </w:pPr>
      <w:r w:rsidRPr="0098758E">
        <w:rPr>
          <w:caps w:val="0"/>
          <w:lang w:val="en-GB"/>
        </w:rPr>
        <w:t>Advanced surrogate method</w:t>
      </w:r>
    </w:p>
    <w:p w14:paraId="02F7703E" w14:textId="484E4CDE" w:rsidR="00EA7445" w:rsidRPr="009B5335" w:rsidRDefault="00EA7445" w:rsidP="0038497A">
      <w:pPr>
        <w:spacing w:after="0" w:line="240" w:lineRule="auto"/>
        <w:rPr>
          <w:lang w:val="en-GB"/>
        </w:rPr>
      </w:pPr>
      <w:r w:rsidRPr="009B5335">
        <w:rPr>
          <w:lang w:val="en-GB"/>
        </w:rPr>
        <w:t xml:space="preserve">As API X was not used in the granulation experiments, the scores of API X could not be determined by the TPLS model. Hence, its location in the regressor space cannot be found. </w:t>
      </w:r>
      <w:r>
        <w:rPr>
          <w:lang w:val="en-GB"/>
        </w:rPr>
        <w:t>To overcome this issue</w:t>
      </w:r>
      <w:r w:rsidRPr="009B5335">
        <w:rPr>
          <w:lang w:val="en-GB"/>
        </w:rPr>
        <w:t xml:space="preserve">, an advanced surrogate method was used. First, PCA was used to create a score plot including API X, the 9 APIs and the 7 excipients that were used during the </w:t>
      </w:r>
      <w:r w:rsidRPr="009B5335">
        <w:rPr>
          <w:lang w:val="en-GB"/>
        </w:rPr>
        <w:lastRenderedPageBreak/>
        <w:t xml:space="preserve">granulation experiments (Figure </w:t>
      </w:r>
      <w:r w:rsidR="00690883">
        <w:rPr>
          <w:lang w:val="en-GB"/>
        </w:rPr>
        <w:t>9</w:t>
      </w:r>
      <w:r w:rsidRPr="009B5335">
        <w:rPr>
          <w:lang w:val="en-GB"/>
        </w:rPr>
        <w:t xml:space="preserve">). Subsequently, the closest neighbours of API X were determined according to a k-nearest neighbours algorithm </w:t>
      </w:r>
      <w:r w:rsidRPr="009B5335">
        <w:rPr>
          <w:lang w:val="en-GB"/>
        </w:rPr>
        <w:fldChar w:fldCharType="begin" w:fldLock="1"/>
      </w:r>
      <w:r w:rsidR="003D65E2">
        <w:rPr>
          <w:lang w:val="en-GB"/>
        </w:rPr>
        <w:instrText>ADDIN CSL_CITATION {"citationItems":[{"id":"ITEM-1","itemData":{"DOI":"10.1109/iThings-GreenCom-CPSCom-SmartData.2016.177","ISBN":"9781509058808","abstract":"The k-nearest neighbours algorithm is one of the most widely used data mining models because of its simplicity and accurate results. However, when it comes to deal with big datasets, with potentially noisy and missing information, this technique becomes ineffective and inefficient. Due to its drawbacks to tackle large amounts of imperfect data, plenty of research has aimed at improving this algorithm by means of data preprocessing techniques. These weaknesses have turned out as strengths and the k-nearest neighbours rule has become a core model to actually detect and correct imperfect data, eliminating noisy and redundant data, as well as correcting missing values. In this work, we delve and review the role of the k nearest neighbour algorithm can play to come up with smart data from big datasets. We analyse how this model is affected by the big data problem, but at the same time, how it can be used to transform raw data into useful data. Concretely, we discuss the benefits of recent big data technologies (Hadoop and Spark) to enable this model to address large amounts of data, as well as the usefulness of prototype reduction and missing values imputation techniques based on it. As a result, guidelines on the use of the k-nearest neighbour to obtain Smart data are provided and new potential research trends are discussed.","author":[{"dropping-particle":"","family":"Triguero","given":"Isaac","non-dropping-particle":"","parse-names":false,"suffix":""},{"dropping-particle":"","family":"Maillo","given":"Jesus","non-dropping-particle":"","parse-names":false,"suffix":""},{"dropping-particle":"","family":"Luengo","given":"Julian","non-dropping-particle":"","parse-names":false,"suffix":""},{"dropping-particle":"","family":"Garcia","given":"Salvador","non-dropping-particle":"","parse-names":false,"suffix":""},{"dropping-particle":"","family":"Herrera","given":"Francisco","non-dropping-particle":"","parse-names":false,"suffix":""}],"container-title":"Proceedings - 2016 IEEE International Conference on Internet of Things; IEEE Green Computing and Communications; IEEE Cyber, Physical, and Social Computing; IEEE Smart Data, iThings-GreenCom-CPSCom-Smart Data 2016","id":"ITEM-1","issued":{"date-parts":[["2017"]]},"page":"859-864","title":"From Big Data to Smart Data with the K-Nearest Neighbours Algorithm","type":"article-journal"},"uris":["http://www.mendeley.com/documents/?uuid=ccff5413-7787-47b6-b7eb-beca1649a1ce"]}],"mendeley":{"formattedCitation":"(Triguero et al., 2017)","plainTextFormattedCitation":"(Triguero et al., 2017)","previouslyFormattedCitation":"[26]"},"properties":{"noteIndex":0},"schema":"https://github.com/citation-style-language/schema/raw/master/csl-citation.json"}</w:instrText>
      </w:r>
      <w:r w:rsidRPr="009B5335">
        <w:rPr>
          <w:lang w:val="en-GB"/>
        </w:rPr>
        <w:fldChar w:fldCharType="separate"/>
      </w:r>
      <w:r w:rsidR="003D65E2" w:rsidRPr="003D65E2">
        <w:rPr>
          <w:noProof/>
          <w:lang w:val="en-GB"/>
        </w:rPr>
        <w:t>(Triguero et al., 2017)</w:t>
      </w:r>
      <w:r w:rsidRPr="009B5335">
        <w:rPr>
          <w:lang w:val="en-US"/>
        </w:rPr>
        <w:fldChar w:fldCharType="end"/>
      </w:r>
      <w:r w:rsidRPr="009B5335">
        <w:rPr>
          <w:lang w:val="en-GB"/>
        </w:rPr>
        <w:t xml:space="preserve">. </w:t>
      </w:r>
      <w:r w:rsidRPr="005F201A">
        <w:rPr>
          <w:lang w:val="en-GB"/>
        </w:rPr>
        <w:t xml:space="preserve">Including too many materials may result in </w:t>
      </w:r>
      <w:proofErr w:type="spellStart"/>
      <w:r>
        <w:rPr>
          <w:lang w:val="en-GB"/>
        </w:rPr>
        <w:t>un</w:t>
      </w:r>
      <w:r w:rsidRPr="005F201A">
        <w:rPr>
          <w:lang w:val="en-GB"/>
        </w:rPr>
        <w:t>investigated</w:t>
      </w:r>
      <w:proofErr w:type="spellEnd"/>
      <w:r w:rsidRPr="005F201A">
        <w:rPr>
          <w:lang w:val="en-GB"/>
        </w:rPr>
        <w:t xml:space="preserve"> interactions, including too few materials may result in properties not being captured well.</w:t>
      </w:r>
      <w:r>
        <w:rPr>
          <w:lang w:val="en-GB"/>
        </w:rPr>
        <w:t xml:space="preserve"> Hence</w:t>
      </w:r>
      <w:r w:rsidRPr="009B5335">
        <w:rPr>
          <w:lang w:val="en-GB"/>
        </w:rPr>
        <w:t>, the weights of following</w:t>
      </w:r>
      <w:r>
        <w:rPr>
          <w:lang w:val="en-GB"/>
        </w:rPr>
        <w:t xml:space="preserve"> 5</w:t>
      </w:r>
      <w:r w:rsidRPr="009B5335">
        <w:rPr>
          <w:lang w:val="en-GB"/>
        </w:rPr>
        <w:t xml:space="preserve"> powders were used to describe the properties of API X: 59.3 % ‘Ibu’, 20.4 % ‘Nap’, 8.7% ‘T_A_200’, 7.5% ‘P_SF’ and 4.1% ‘</w:t>
      </w:r>
      <w:proofErr w:type="spellStart"/>
      <w:r w:rsidRPr="009B5335">
        <w:rPr>
          <w:lang w:val="en-GB"/>
        </w:rPr>
        <w:t>Cel</w:t>
      </w:r>
      <w:proofErr w:type="spellEnd"/>
      <w:r w:rsidRPr="009B5335">
        <w:rPr>
          <w:lang w:val="en-GB"/>
        </w:rPr>
        <w:t xml:space="preserve">’. These weights are the inverse distance </w:t>
      </w:r>
      <w:r>
        <w:rPr>
          <w:lang w:val="en-GB"/>
        </w:rPr>
        <w:t>of</w:t>
      </w:r>
      <w:r w:rsidRPr="009B5335">
        <w:rPr>
          <w:lang w:val="en-GB"/>
        </w:rPr>
        <w:t xml:space="preserve"> API X to its neighbours. </w:t>
      </w:r>
    </w:p>
    <w:p w14:paraId="481F62E4" w14:textId="77777777" w:rsidR="00EA7445" w:rsidRPr="009B5335" w:rsidRDefault="00EA7445" w:rsidP="0038497A">
      <w:pPr>
        <w:pStyle w:val="Kop1"/>
        <w:numPr>
          <w:ilvl w:val="3"/>
          <w:numId w:val="20"/>
        </w:numPr>
        <w:spacing w:line="240" w:lineRule="auto"/>
        <w:rPr>
          <w:lang w:val="en-GB"/>
        </w:rPr>
      </w:pPr>
      <w:r w:rsidRPr="009B5335">
        <w:rPr>
          <w:lang w:val="en-GB"/>
        </w:rPr>
        <w:t>Setting constraints</w:t>
      </w:r>
    </w:p>
    <w:p w14:paraId="77218FD4" w14:textId="77777777" w:rsidR="00EA7445" w:rsidRDefault="00EA7445" w:rsidP="0038497A">
      <w:pPr>
        <w:spacing w:line="240" w:lineRule="auto"/>
        <w:rPr>
          <w:i/>
          <w:iCs/>
          <w:lang w:val="en-GB"/>
        </w:rPr>
      </w:pPr>
      <w:r w:rsidRPr="009B5335">
        <w:rPr>
          <w:i/>
          <w:iCs/>
          <w:lang w:val="en-GB"/>
        </w:rPr>
        <w:t>Desired formulation</w:t>
      </w:r>
    </w:p>
    <w:p w14:paraId="5D97B166" w14:textId="30E2C4FD" w:rsidR="00EA7445" w:rsidRPr="009B5335" w:rsidRDefault="00EA7445" w:rsidP="0038497A">
      <w:pPr>
        <w:spacing w:line="240" w:lineRule="auto"/>
        <w:rPr>
          <w:lang w:val="en-GB"/>
        </w:rPr>
      </w:pPr>
      <w:r w:rsidRPr="009B5335">
        <w:rPr>
          <w:lang w:val="en-GB"/>
        </w:rPr>
        <w:t xml:space="preserve">As multiple formulations can lead to the desired granule quality, constraints were given </w:t>
      </w:r>
      <w:r>
        <w:rPr>
          <w:lang w:val="en-GB"/>
        </w:rPr>
        <w:t>to define</w:t>
      </w:r>
      <w:r w:rsidRPr="009B5335">
        <w:rPr>
          <w:lang w:val="en-GB"/>
        </w:rPr>
        <w:t xml:space="preserve"> the formulation</w:t>
      </w:r>
      <w:r>
        <w:rPr>
          <w:lang w:val="en-GB"/>
        </w:rPr>
        <w:t xml:space="preserve"> by TPLS</w:t>
      </w:r>
      <w:r w:rsidRPr="009B5335">
        <w:rPr>
          <w:lang w:val="en-GB"/>
        </w:rPr>
        <w:t xml:space="preserve">. The content of API X was allowed to </w:t>
      </w:r>
      <w:r>
        <w:rPr>
          <w:lang w:val="en-GB"/>
        </w:rPr>
        <w:t xml:space="preserve">vary </w:t>
      </w:r>
      <w:r w:rsidRPr="009B5335">
        <w:rPr>
          <w:lang w:val="en-GB"/>
        </w:rPr>
        <w:t>between 2 and 25</w:t>
      </w:r>
      <w:r>
        <w:rPr>
          <w:lang w:val="en-GB"/>
        </w:rPr>
        <w:t xml:space="preserve"> </w:t>
      </w:r>
      <w:r w:rsidRPr="009B5335">
        <w:rPr>
          <w:lang w:val="en-GB"/>
        </w:rPr>
        <w:t xml:space="preserve">% (w/w), so that three formulations with a different API content (i.e., </w:t>
      </w:r>
      <w:r>
        <w:rPr>
          <w:lang w:val="en-GB"/>
        </w:rPr>
        <w:t>3</w:t>
      </w:r>
      <w:r w:rsidRPr="009B5335">
        <w:rPr>
          <w:lang w:val="en-GB"/>
        </w:rPr>
        <w:t>, 1</w:t>
      </w:r>
      <w:r>
        <w:rPr>
          <w:lang w:val="en-GB"/>
        </w:rPr>
        <w:t>2</w:t>
      </w:r>
      <w:r w:rsidRPr="009B5335">
        <w:rPr>
          <w:lang w:val="en-GB"/>
        </w:rPr>
        <w:t xml:space="preserve"> and 2</w:t>
      </w:r>
      <w:r>
        <w:rPr>
          <w:lang w:val="en-GB"/>
        </w:rPr>
        <w:t>4</w:t>
      </w:r>
      <w:r w:rsidRPr="009B5335">
        <w:rPr>
          <w:lang w:val="en-GB"/>
        </w:rPr>
        <w:t xml:space="preserve"> %) could ultimately be selected using the same excipients. The new formulation also had to include MCC due to its added value for granulation robustness </w:t>
      </w:r>
      <w:r w:rsidRPr="009B5335">
        <w:rPr>
          <w:lang w:val="en-GB"/>
        </w:rPr>
        <w:fldChar w:fldCharType="begin" w:fldLock="1"/>
      </w:r>
      <w:r w:rsidR="003D65E2">
        <w:rPr>
          <w:lang w:val="en-GB"/>
        </w:rPr>
        <w:instrText>ADDIN CSL_CITATION {"citationItems":[{"id":"ITEM-1","itemData":{"DOI":"10.1016/j.ijpharm.2020.119756","ISSN":"18733476","PMID":"32783981","abstract":"In recent years, significant progress has been made in the field of continuous twin screw granulation. However, only limited knowledge is currently available on the impact of active pharmaceutical ingredient (API) properties on granule quality and processability. In this study, the response behavior of four formulations containing APIs (5–10% drug load) with diverse characteristics was compared to the behavior of the corresponding placebo formulation consisting of lactose, microcrystalline cellulose (MCC) and hydroxypropylmethylcellulose (HPMC). API selection was based on extensive material characterization, combining conventional testing with in silico descriptors. For each formulation, a design of experiments was set up, evaluating the impact of liquid to solid (L/S) ratio and screw speed. Response ranges, response behavior and processability of each of the four formulations proved very similar to the placebo formulation when an appropriate center point L/S ratio was chosen. Hence, this robust placebo formulation could prove useful by decreasing drug product development time and consequently providing patients with a faster access to innovative medicine. Additionally, APIs with similar properties exhibited highly comparable response behavior at similar L/S ratios, indicating the potential use of surrogate APIs in novel drug product development.","author":[{"dropping-particle":"","family":"Portier","given":"Christoph","non-dropping-particle":"","parse-names":false,"suffix":""},{"dropping-particle":"","family":"Vriendt","given":"Charlotte","non-dropping-particle":"De","parse-names":false,"suffix":""},{"dropping-particle":"","family":"Vigh","given":"Tamas","non-dropping-particle":"","parse-names":false,"suffix":""},{"dropping-particle":"","family":"Pretoro","given":"Giustino","non-dropping-particle":"Di","parse-names":false,"suffix":""},{"dropping-particle":"","family":"Beer","given":"Thomas","non-dropping-particle":"De","parse-names":false,"suffix":""},{"dropping-particle":"","family":"Vervaet","given":"Chris","non-dropping-particle":"","parse-names":false,"suffix":""},{"dropping-particle":"","family":"Vanhoorne","given":"Valérie","non-dropping-particle":"","parse-names":false,"suffix":""}],"container-title":"International Journal of Pharmaceutics","id":"ITEM-1","issue":"June","issued":{"date-parts":[["2020"]]},"page":"119756","publisher":"Elsevier","title":"Continuous twin screw granulation: Robustness of lactose/MCC-based formulations","type":"article-journal","volume":"588"},"uris":["http://www.mendeley.com/documents/?uuid=8619a2a7-5a84-46fa-965a-5970f43f0d83"]}],"mendeley":{"formattedCitation":"(Portier et al., 2020a)","plainTextFormattedCitation":"(Portier et al., 2020a)","previouslyFormattedCitation":"[27]"},"properties":{"noteIndex":0},"schema":"https://github.com/citation-style-language/schema/raw/master/csl-citation.json"}</w:instrText>
      </w:r>
      <w:r w:rsidRPr="009B5335">
        <w:rPr>
          <w:lang w:val="en-GB"/>
        </w:rPr>
        <w:fldChar w:fldCharType="separate"/>
      </w:r>
      <w:r w:rsidR="003D65E2" w:rsidRPr="003D65E2">
        <w:rPr>
          <w:noProof/>
          <w:lang w:val="en-GB"/>
        </w:rPr>
        <w:t>(Portier et al., 2020a)</w:t>
      </w:r>
      <w:r w:rsidRPr="009B5335">
        <w:rPr>
          <w:lang w:val="en-US"/>
        </w:rPr>
        <w:fldChar w:fldCharType="end"/>
      </w:r>
      <w:r w:rsidRPr="009B5335">
        <w:rPr>
          <w:lang w:val="en-GB"/>
        </w:rPr>
        <w:t>. The</w:t>
      </w:r>
      <w:r>
        <w:rPr>
          <w:lang w:val="en-GB"/>
        </w:rPr>
        <w:t xml:space="preserve"> content of the </w:t>
      </w:r>
      <w:r w:rsidRPr="009B5335">
        <w:rPr>
          <w:lang w:val="en-GB"/>
        </w:rPr>
        <w:t xml:space="preserve">most suitable grade of MCC (i.e., filler 1) </w:t>
      </w:r>
      <w:r>
        <w:rPr>
          <w:lang w:val="en-GB"/>
        </w:rPr>
        <w:t xml:space="preserve">should be </w:t>
      </w:r>
      <w:r w:rsidRPr="009B5335">
        <w:rPr>
          <w:lang w:val="en-GB"/>
        </w:rPr>
        <w:t>between 10 and 20</w:t>
      </w:r>
      <w:r>
        <w:rPr>
          <w:lang w:val="en-GB"/>
        </w:rPr>
        <w:t xml:space="preserve"> </w:t>
      </w:r>
      <w:r w:rsidRPr="009B5335">
        <w:rPr>
          <w:lang w:val="en-GB"/>
        </w:rPr>
        <w:t>% (w/w). A binder</w:t>
      </w:r>
      <w:r>
        <w:rPr>
          <w:lang w:val="en-GB"/>
        </w:rPr>
        <w:t xml:space="preserve"> was</w:t>
      </w:r>
      <w:r w:rsidRPr="009B5335">
        <w:rPr>
          <w:lang w:val="en-GB"/>
        </w:rPr>
        <w:t xml:space="preserve"> needed in a fraction between 2 and 5</w:t>
      </w:r>
      <w:r>
        <w:rPr>
          <w:lang w:val="en-GB"/>
        </w:rPr>
        <w:t xml:space="preserve"> </w:t>
      </w:r>
      <w:r w:rsidRPr="009B5335">
        <w:rPr>
          <w:lang w:val="en-GB"/>
        </w:rPr>
        <w:t xml:space="preserve">% (w/w), as the model was trained for this range of binder content. Finally, one </w:t>
      </w:r>
      <w:r>
        <w:rPr>
          <w:lang w:val="en-GB"/>
        </w:rPr>
        <w:t>soluble</w:t>
      </w:r>
      <w:r w:rsidRPr="009B5335">
        <w:rPr>
          <w:lang w:val="en-GB"/>
        </w:rPr>
        <w:t xml:space="preserve"> filler (i.e., filler 2) was </w:t>
      </w:r>
      <w:r>
        <w:rPr>
          <w:lang w:val="en-GB"/>
        </w:rPr>
        <w:t>required</w:t>
      </w:r>
      <w:r w:rsidRPr="009B5335">
        <w:rPr>
          <w:lang w:val="en-GB"/>
        </w:rPr>
        <w:t xml:space="preserve"> to complete the formulation to minimize the amount of granulation liquid.</w:t>
      </w:r>
    </w:p>
    <w:p w14:paraId="7C17123D" w14:textId="77777777" w:rsidR="00EA7445" w:rsidRDefault="00EA7445" w:rsidP="0038497A">
      <w:pPr>
        <w:spacing w:line="240" w:lineRule="auto"/>
        <w:rPr>
          <w:i/>
          <w:iCs/>
          <w:lang w:val="en-GB"/>
        </w:rPr>
      </w:pPr>
      <w:r w:rsidRPr="009B5335">
        <w:rPr>
          <w:i/>
          <w:iCs/>
          <w:lang w:val="en-GB"/>
        </w:rPr>
        <w:t>Desired granule quality</w:t>
      </w:r>
    </w:p>
    <w:p w14:paraId="1C23ADD7" w14:textId="77777777" w:rsidR="00EA7445" w:rsidRPr="00642909" w:rsidRDefault="00EA7445" w:rsidP="0038497A">
      <w:pPr>
        <w:spacing w:line="240" w:lineRule="auto"/>
        <w:rPr>
          <w:i/>
          <w:iCs/>
          <w:lang w:val="en-GB"/>
        </w:rPr>
      </w:pPr>
      <w:r w:rsidRPr="009B5335">
        <w:rPr>
          <w:lang w:val="en-GB"/>
        </w:rPr>
        <w:t xml:space="preserve">As TSG is an intermediate process step, a </w:t>
      </w:r>
      <w:r>
        <w:rPr>
          <w:lang w:val="en-GB"/>
        </w:rPr>
        <w:t>specific</w:t>
      </w:r>
      <w:r w:rsidRPr="009B5335">
        <w:rPr>
          <w:lang w:val="en-GB"/>
        </w:rPr>
        <w:t xml:space="preserve"> granule quality is demanded for further downstream processing. In this study, the fines</w:t>
      </w:r>
      <w:r>
        <w:rPr>
          <w:lang w:val="en-GB"/>
        </w:rPr>
        <w:t xml:space="preserve"> fraction</w:t>
      </w:r>
      <w:r w:rsidRPr="009B5335">
        <w:rPr>
          <w:lang w:val="en-GB"/>
        </w:rPr>
        <w:t xml:space="preserve"> was limited to 10 % to avoid filter clogging in the drying cells during the drying process. Friability </w:t>
      </w:r>
      <w:r>
        <w:rPr>
          <w:lang w:val="en-GB"/>
        </w:rPr>
        <w:t>could</w:t>
      </w:r>
      <w:r w:rsidRPr="009B5335">
        <w:rPr>
          <w:lang w:val="en-GB"/>
        </w:rPr>
        <w:t xml:space="preserve"> not exceed 20</w:t>
      </w:r>
      <w:r>
        <w:rPr>
          <w:lang w:val="en-GB"/>
        </w:rPr>
        <w:t xml:space="preserve"> </w:t>
      </w:r>
      <w:r w:rsidRPr="009B5335">
        <w:rPr>
          <w:lang w:val="en-GB"/>
        </w:rPr>
        <w:t xml:space="preserve">% to yield granules </w:t>
      </w:r>
      <w:r>
        <w:rPr>
          <w:lang w:val="en-GB"/>
        </w:rPr>
        <w:t>which</w:t>
      </w:r>
      <w:r w:rsidRPr="009B5335">
        <w:rPr>
          <w:lang w:val="en-GB"/>
        </w:rPr>
        <w:t xml:space="preserve"> resist the impact of the wet and dry transfer line and the drying phase. In addition, the angle of repose had to be below 45° to guarantee a passable flow. No constraints were set on the oversized fraction because a small fraction in oversized granules </w:t>
      </w:r>
      <w:r>
        <w:rPr>
          <w:lang w:val="en-GB"/>
        </w:rPr>
        <w:t xml:space="preserve">is </w:t>
      </w:r>
      <w:r w:rsidRPr="009B5335">
        <w:rPr>
          <w:lang w:val="en-GB"/>
        </w:rPr>
        <w:t xml:space="preserve">typically </w:t>
      </w:r>
      <w:r>
        <w:rPr>
          <w:lang w:val="en-GB"/>
        </w:rPr>
        <w:t>correlated</w:t>
      </w:r>
      <w:r w:rsidRPr="009B5335">
        <w:rPr>
          <w:lang w:val="en-GB"/>
        </w:rPr>
        <w:t xml:space="preserve"> with a larger fraction in fines (see constraint on fines) and an excess in oversized granules can be milled in the conditioning unit of the ConsiGma™-25 system.</w:t>
      </w:r>
      <w:r w:rsidRPr="009B5335" w:rsidDel="00336AEE">
        <w:rPr>
          <w:lang w:val="en-GB"/>
        </w:rPr>
        <w:t xml:space="preserve"> </w:t>
      </w:r>
      <w:r>
        <w:rPr>
          <w:lang w:val="en-GB"/>
        </w:rPr>
        <w:t>It has to be emphasized that the desired granule quality is chosen based on the experience of the authors. However, the desired granule responses can be easily modified before the start of the predictions.</w:t>
      </w:r>
    </w:p>
    <w:p w14:paraId="1FD0D85D" w14:textId="77777777" w:rsidR="00EA7445" w:rsidRDefault="00EA7445" w:rsidP="0038497A">
      <w:pPr>
        <w:spacing w:line="240" w:lineRule="auto"/>
        <w:rPr>
          <w:i/>
          <w:iCs/>
          <w:lang w:val="en-GB"/>
        </w:rPr>
      </w:pPr>
      <w:r w:rsidRPr="009B5335">
        <w:rPr>
          <w:i/>
          <w:iCs/>
          <w:lang w:val="en-GB"/>
        </w:rPr>
        <w:t>Process settings</w:t>
      </w:r>
    </w:p>
    <w:p w14:paraId="2A0937A9" w14:textId="77777777" w:rsidR="00EA7445" w:rsidRPr="009B5335" w:rsidRDefault="00EA7445" w:rsidP="0038497A">
      <w:pPr>
        <w:spacing w:line="240" w:lineRule="auto"/>
        <w:rPr>
          <w:lang w:val="en-GB"/>
        </w:rPr>
      </w:pPr>
      <w:r w:rsidRPr="009B5335">
        <w:rPr>
          <w:lang w:val="en-GB"/>
        </w:rPr>
        <w:t xml:space="preserve">Constraints were also set on the process settings. MFR was only allowed to </w:t>
      </w:r>
      <w:r>
        <w:rPr>
          <w:lang w:val="en-GB"/>
        </w:rPr>
        <w:t>vary</w:t>
      </w:r>
      <w:r w:rsidRPr="009B5335">
        <w:rPr>
          <w:lang w:val="en-GB"/>
        </w:rPr>
        <w:t xml:space="preserve"> between 10 and 20 kg/h, as those ranges were also used to calibrate the TPLS model. L/S could not exceed 20</w:t>
      </w:r>
      <w:r>
        <w:rPr>
          <w:lang w:val="en-GB"/>
        </w:rPr>
        <w:t xml:space="preserve"> </w:t>
      </w:r>
      <w:r w:rsidRPr="009B5335">
        <w:rPr>
          <w:lang w:val="en-GB"/>
        </w:rPr>
        <w:t xml:space="preserve">% to avoid a too long drying time. </w:t>
      </w:r>
      <w:r>
        <w:rPr>
          <w:lang w:val="en-GB"/>
        </w:rPr>
        <w:t>Similar to the constraints on the desire granule quality, the maximal allowed L/S ratio can also be modified.</w:t>
      </w:r>
    </w:p>
    <w:p w14:paraId="3EA919FF" w14:textId="77777777" w:rsidR="00EA7445" w:rsidRPr="009B5335" w:rsidRDefault="00EA7445" w:rsidP="0038497A">
      <w:pPr>
        <w:pStyle w:val="Kop1"/>
        <w:numPr>
          <w:ilvl w:val="3"/>
          <w:numId w:val="20"/>
        </w:numPr>
        <w:spacing w:line="240" w:lineRule="auto"/>
        <w:rPr>
          <w:lang w:val="en-GB"/>
        </w:rPr>
      </w:pPr>
      <w:r w:rsidRPr="009B5335">
        <w:rPr>
          <w:lang w:val="en-GB"/>
        </w:rPr>
        <w:t>Selection of optimal excipients and process settings</w:t>
      </w:r>
    </w:p>
    <w:p w14:paraId="07EE97D2" w14:textId="5ADEA4BA" w:rsidR="00EA7445" w:rsidRDefault="00EA7445" w:rsidP="0038497A">
      <w:pPr>
        <w:spacing w:line="240" w:lineRule="auto"/>
        <w:rPr>
          <w:lang w:val="en-GB"/>
        </w:rPr>
      </w:pPr>
      <w:r w:rsidRPr="009B5335">
        <w:rPr>
          <w:lang w:val="en-GB"/>
        </w:rPr>
        <w:t xml:space="preserve">In this section, different scenarios were predicted. The prediction of a scenario is defined as the prediction of the granule quality attributes for a certain formulation, whereof the formulation properties are dependent of the properties of the selected raw materials (X) and the ratios in which these raw materials are combined (R), </w:t>
      </w:r>
      <w:r>
        <w:rPr>
          <w:lang w:val="en-GB"/>
        </w:rPr>
        <w:t>processed at</w:t>
      </w:r>
      <w:r w:rsidRPr="009B5335">
        <w:rPr>
          <w:lang w:val="en-GB"/>
        </w:rPr>
        <w:t xml:space="preserve"> </w:t>
      </w:r>
      <w:r>
        <w:rPr>
          <w:lang w:val="en-GB"/>
        </w:rPr>
        <w:t>specific</w:t>
      </w:r>
      <w:r w:rsidRPr="009B5335">
        <w:rPr>
          <w:lang w:val="en-GB"/>
        </w:rPr>
        <w:t xml:space="preserve"> process parameters (Z), herewith </w:t>
      </w:r>
      <w:r>
        <w:rPr>
          <w:lang w:val="en-GB"/>
        </w:rPr>
        <w:t>taking</w:t>
      </w:r>
      <w:r w:rsidRPr="009B5335">
        <w:rPr>
          <w:lang w:val="en-GB"/>
        </w:rPr>
        <w:t xml:space="preserve"> all of the aforementioned constraints (section 4.</w:t>
      </w:r>
      <w:r w:rsidR="00D711E6">
        <w:rPr>
          <w:lang w:val="en-GB"/>
        </w:rPr>
        <w:t>4.</w:t>
      </w:r>
      <w:r w:rsidRPr="009B5335">
        <w:rPr>
          <w:lang w:val="en-GB"/>
        </w:rPr>
        <w:t>3</w:t>
      </w:r>
      <w:r w:rsidR="00D711E6">
        <w:rPr>
          <w:lang w:val="en-GB"/>
        </w:rPr>
        <w:t>.2</w:t>
      </w:r>
      <w:r w:rsidRPr="009B5335">
        <w:rPr>
          <w:lang w:val="en-GB"/>
        </w:rPr>
        <w:t xml:space="preserve">) into </w:t>
      </w:r>
      <w:r w:rsidRPr="009B5335">
        <w:rPr>
          <w:lang w:val="en-GB"/>
        </w:rPr>
        <w:lastRenderedPageBreak/>
        <w:t>account. The different scenarios could differ in filler 1 (PH101 or PH105), filler 2 (200M, 11SD, 160C, T80 or 100SD), binder (E5, K30 or KEF), API</w:t>
      </w:r>
      <w:r>
        <w:rPr>
          <w:lang w:val="en-GB"/>
        </w:rPr>
        <w:t xml:space="preserve"> content and excipient content</w:t>
      </w:r>
      <w:r w:rsidRPr="009B5335">
        <w:rPr>
          <w:lang w:val="en-GB"/>
        </w:rPr>
        <w:t xml:space="preserve"> (resulting in different blend ratios) and in process setting</w:t>
      </w:r>
      <w:r>
        <w:rPr>
          <w:lang w:val="en-GB"/>
        </w:rPr>
        <w:t>s</w:t>
      </w:r>
      <w:r w:rsidRPr="009B5335">
        <w:rPr>
          <w:lang w:val="en-GB"/>
        </w:rPr>
        <w:t xml:space="preserve">. </w:t>
      </w:r>
      <w:r>
        <w:rPr>
          <w:lang w:val="en-GB"/>
        </w:rPr>
        <w:t xml:space="preserve">Clearly, an infinite number of combinations are possible. </w:t>
      </w:r>
      <w:r w:rsidRPr="009B5335">
        <w:rPr>
          <w:lang w:val="en-GB"/>
        </w:rPr>
        <w:t>As a consequence, an infinite amount of scenarios could be predicted. Therefore, a total of 25</w:t>
      </w:r>
      <w:r>
        <w:rPr>
          <w:lang w:val="en-GB"/>
        </w:rPr>
        <w:t>,</w:t>
      </w:r>
      <w:r w:rsidRPr="009B5335">
        <w:rPr>
          <w:lang w:val="en-GB"/>
        </w:rPr>
        <w:t>000</w:t>
      </w:r>
      <w:r>
        <w:rPr>
          <w:lang w:val="en-GB"/>
        </w:rPr>
        <w:t>,</w:t>
      </w:r>
      <w:r w:rsidRPr="009B5335">
        <w:rPr>
          <w:lang w:val="en-GB"/>
        </w:rPr>
        <w:t xml:space="preserve">000 different scenarios were predicted. Subsequently, after each prediction, the predicted granule quality was compared to the desired quality set at constraints. </w:t>
      </w:r>
    </w:p>
    <w:p w14:paraId="674304AA" w14:textId="288186B4" w:rsidR="00EA7445" w:rsidRDefault="00EA7445" w:rsidP="0038497A">
      <w:pPr>
        <w:spacing w:line="240" w:lineRule="auto"/>
        <w:rPr>
          <w:lang w:val="en-GB"/>
        </w:rPr>
      </w:pPr>
      <w:r w:rsidRPr="009B5335">
        <w:rPr>
          <w:lang w:val="en-GB"/>
        </w:rPr>
        <w:t xml:space="preserve">Table 4 shows the fraction in successful </w:t>
      </w:r>
      <w:r>
        <w:rPr>
          <w:lang w:val="en-GB"/>
        </w:rPr>
        <w:t>predictions</w:t>
      </w:r>
      <w:r w:rsidRPr="009B5335">
        <w:rPr>
          <w:lang w:val="en-GB"/>
        </w:rPr>
        <w:t xml:space="preserve"> for each excipient. This is the fraction of predictions (only predictions at which the certain excipient was involved), that resulted in the desired granule quality. As the fraction of successful </w:t>
      </w:r>
      <w:r>
        <w:rPr>
          <w:lang w:val="en-GB"/>
        </w:rPr>
        <w:t>predictions</w:t>
      </w:r>
      <w:r w:rsidRPr="009B5335">
        <w:rPr>
          <w:lang w:val="en-GB"/>
        </w:rPr>
        <w:t xml:space="preserve"> was slightly higher with PH101, it was chosen as filler</w:t>
      </w:r>
      <w:r>
        <w:rPr>
          <w:lang w:val="en-GB"/>
        </w:rPr>
        <w:t xml:space="preserve"> 1</w:t>
      </w:r>
      <w:r w:rsidRPr="009B5335">
        <w:rPr>
          <w:lang w:val="en-GB"/>
        </w:rPr>
        <w:t>.</w:t>
      </w:r>
      <w:r>
        <w:rPr>
          <w:lang w:val="en-GB"/>
        </w:rPr>
        <w:t xml:space="preserve"> </w:t>
      </w:r>
      <w:r w:rsidRPr="009B5335">
        <w:rPr>
          <w:lang w:val="en-GB"/>
        </w:rPr>
        <w:t xml:space="preserve">Although Lactose 200M </w:t>
      </w:r>
      <w:r>
        <w:rPr>
          <w:lang w:val="en-GB"/>
        </w:rPr>
        <w:t>did not have the highest fraction of</w:t>
      </w:r>
      <w:r w:rsidRPr="009B5335">
        <w:rPr>
          <w:lang w:val="en-GB"/>
        </w:rPr>
        <w:t xml:space="preserve"> successful predictions, it was </w:t>
      </w:r>
      <w:r>
        <w:rPr>
          <w:lang w:val="en-GB"/>
        </w:rPr>
        <w:t>selected</w:t>
      </w:r>
      <w:r w:rsidRPr="009B5335">
        <w:rPr>
          <w:lang w:val="en-GB"/>
        </w:rPr>
        <w:t xml:space="preserve"> as </w:t>
      </w:r>
      <w:r>
        <w:rPr>
          <w:lang w:val="en-GB"/>
        </w:rPr>
        <w:t>filler 2</w:t>
      </w:r>
      <w:r w:rsidRPr="009B5335">
        <w:rPr>
          <w:lang w:val="en-GB"/>
        </w:rPr>
        <w:t xml:space="preserve"> </w:t>
      </w:r>
      <w:r>
        <w:rPr>
          <w:lang w:val="en-GB"/>
        </w:rPr>
        <w:t>in</w:t>
      </w:r>
      <w:r w:rsidRPr="009B5335">
        <w:rPr>
          <w:lang w:val="en-GB"/>
        </w:rPr>
        <w:t xml:space="preserve"> the formulation. The higher dissolution rate of 11SD and 160C explained the higher fraction of successful predictions as a higher dissolution rate was related to a lower fraction of fines, a lower friability and a lower </w:t>
      </w:r>
      <w:proofErr w:type="spellStart"/>
      <w:r w:rsidRPr="009B5335">
        <w:rPr>
          <w:lang w:val="en-GB"/>
        </w:rPr>
        <w:t>AoR</w:t>
      </w:r>
      <w:proofErr w:type="spellEnd"/>
      <w:r w:rsidRPr="009B5335">
        <w:rPr>
          <w:lang w:val="en-GB"/>
        </w:rPr>
        <w:t xml:space="preserve"> (Figure </w:t>
      </w:r>
      <w:r w:rsidR="005D6C8A">
        <w:rPr>
          <w:lang w:val="en-GB"/>
        </w:rPr>
        <w:t>5</w:t>
      </w:r>
      <w:r w:rsidRPr="009B5335">
        <w:rPr>
          <w:lang w:val="en-GB"/>
        </w:rPr>
        <w:t xml:space="preserve"> and </w:t>
      </w:r>
      <w:r w:rsidR="005D6C8A">
        <w:rPr>
          <w:lang w:val="en-GB"/>
        </w:rPr>
        <w:t>6</w:t>
      </w:r>
      <w:r w:rsidRPr="009B5335">
        <w:rPr>
          <w:lang w:val="en-GB"/>
        </w:rPr>
        <w:t xml:space="preserve">). </w:t>
      </w:r>
      <w:r>
        <w:rPr>
          <w:lang w:val="en-GB"/>
        </w:rPr>
        <w:t>However,</w:t>
      </w:r>
      <w:r w:rsidRPr="009B5335">
        <w:rPr>
          <w:lang w:val="en-GB"/>
        </w:rPr>
        <w:t xml:space="preserve"> the higher dissolution rate also </w:t>
      </w:r>
      <w:r>
        <w:rPr>
          <w:lang w:val="en-GB"/>
        </w:rPr>
        <w:t>reduces</w:t>
      </w:r>
      <w:r w:rsidRPr="009B5335">
        <w:rPr>
          <w:lang w:val="en-GB"/>
        </w:rPr>
        <w:t xml:space="preserve"> the process robustness, since small deviations in liquid flow rate or mass feed rate during manufacturing </w:t>
      </w:r>
      <w:r>
        <w:rPr>
          <w:lang w:val="en-GB"/>
        </w:rPr>
        <w:t>could</w:t>
      </w:r>
      <w:r w:rsidRPr="009B5335">
        <w:rPr>
          <w:lang w:val="en-GB"/>
        </w:rPr>
        <w:t xml:space="preserve"> strongly affect the granule quality. Therefore, the selection of 200M was justified. HPMC E5 and PVP K30 clearly had a higher </w:t>
      </w:r>
      <w:r>
        <w:rPr>
          <w:lang w:val="en-GB"/>
        </w:rPr>
        <w:t>probability</w:t>
      </w:r>
      <w:r w:rsidRPr="009B5335">
        <w:rPr>
          <w:lang w:val="en-GB"/>
        </w:rPr>
        <w:t xml:space="preserve"> to result in the desired granule quality compared to HPC KEF. HPMC E5 was selected as it resulted in the highest </w:t>
      </w:r>
      <w:r>
        <w:rPr>
          <w:lang w:val="en-GB"/>
        </w:rPr>
        <w:t>success rate</w:t>
      </w:r>
      <w:r w:rsidRPr="009B5335">
        <w:rPr>
          <w:lang w:val="en-GB"/>
        </w:rPr>
        <w:t xml:space="preserve">. </w:t>
      </w:r>
    </w:p>
    <w:p w14:paraId="05F71DBF" w14:textId="060DC5CD" w:rsidR="00EA7445" w:rsidRPr="009B5335" w:rsidRDefault="00EA7445" w:rsidP="0038497A">
      <w:pPr>
        <w:spacing w:line="240" w:lineRule="auto"/>
        <w:rPr>
          <w:lang w:val="en-GB"/>
        </w:rPr>
      </w:pPr>
      <w:r w:rsidRPr="009B5335">
        <w:rPr>
          <w:lang w:val="en-GB"/>
        </w:rPr>
        <w:t xml:space="preserve">In a next step, only the successful predictions with the formulation consisting of API X, lactose 200M, MCC PH101 and HPMC E5 were taken into account to create </w:t>
      </w:r>
      <w:r w:rsidRPr="005D6C8A">
        <w:rPr>
          <w:lang w:val="en-GB"/>
        </w:rPr>
        <w:t>Figure</w:t>
      </w:r>
      <w:r w:rsidRPr="009B5335">
        <w:rPr>
          <w:lang w:val="en-GB"/>
        </w:rPr>
        <w:t xml:space="preserve"> </w:t>
      </w:r>
      <w:r w:rsidR="005D6C8A">
        <w:rPr>
          <w:lang w:val="en-GB"/>
        </w:rPr>
        <w:t>10</w:t>
      </w:r>
      <w:r w:rsidRPr="009B5335">
        <w:rPr>
          <w:lang w:val="en-GB"/>
        </w:rPr>
        <w:t xml:space="preserve">. This figure plots the fraction of successful predictions for each </w:t>
      </w:r>
      <w:r>
        <w:rPr>
          <w:lang w:val="en-GB"/>
        </w:rPr>
        <w:t>content</w:t>
      </w:r>
      <w:r w:rsidRPr="009B5335">
        <w:rPr>
          <w:lang w:val="en-GB"/>
        </w:rPr>
        <w:t xml:space="preserve"> of each raw material which results in </w:t>
      </w:r>
      <w:r>
        <w:rPr>
          <w:lang w:val="en-GB"/>
        </w:rPr>
        <w:t xml:space="preserve">a </w:t>
      </w:r>
      <w:r w:rsidRPr="009B5335">
        <w:rPr>
          <w:lang w:val="en-GB"/>
        </w:rPr>
        <w:t>granule quality within specification</w:t>
      </w:r>
      <w:r>
        <w:rPr>
          <w:lang w:val="en-GB"/>
        </w:rPr>
        <w:t>s</w:t>
      </w:r>
      <w:r w:rsidRPr="009B5335">
        <w:rPr>
          <w:lang w:val="en-GB"/>
        </w:rPr>
        <w:t>. This allow</w:t>
      </w:r>
      <w:r>
        <w:rPr>
          <w:lang w:val="en-GB"/>
        </w:rPr>
        <w:t>ed</w:t>
      </w:r>
      <w:r w:rsidRPr="009B5335">
        <w:rPr>
          <w:lang w:val="en-GB"/>
        </w:rPr>
        <w:t xml:space="preserve"> to </w:t>
      </w:r>
      <w:r>
        <w:rPr>
          <w:lang w:val="en-GB"/>
        </w:rPr>
        <w:t>identify</w:t>
      </w:r>
      <w:r w:rsidRPr="009B5335">
        <w:rPr>
          <w:lang w:val="en-GB"/>
        </w:rPr>
        <w:t xml:space="preserve"> the </w:t>
      </w:r>
      <w:r>
        <w:rPr>
          <w:lang w:val="en-GB"/>
        </w:rPr>
        <w:t>content</w:t>
      </w:r>
      <w:r w:rsidRPr="009B5335">
        <w:rPr>
          <w:lang w:val="en-GB"/>
        </w:rPr>
        <w:t xml:space="preserve"> of a certain raw material in the formulation that has a higher </w:t>
      </w:r>
      <w:r>
        <w:rPr>
          <w:lang w:val="en-GB"/>
        </w:rPr>
        <w:t>probability</w:t>
      </w:r>
      <w:r w:rsidRPr="009B5335">
        <w:rPr>
          <w:lang w:val="en-GB"/>
        </w:rPr>
        <w:t xml:space="preserve"> to result in granule quality within </w:t>
      </w:r>
      <w:r>
        <w:rPr>
          <w:lang w:val="en-GB"/>
        </w:rPr>
        <w:t xml:space="preserve">the set </w:t>
      </w:r>
      <w:r w:rsidRPr="009B5335">
        <w:rPr>
          <w:lang w:val="en-GB"/>
        </w:rPr>
        <w:t>specification</w:t>
      </w:r>
      <w:r>
        <w:rPr>
          <w:lang w:val="en-GB"/>
        </w:rPr>
        <w:t>s</w:t>
      </w:r>
      <w:r w:rsidRPr="009B5335">
        <w:rPr>
          <w:lang w:val="en-GB"/>
        </w:rPr>
        <w:t xml:space="preserve">. Multiple combinations </w:t>
      </w:r>
      <w:r>
        <w:rPr>
          <w:lang w:val="en-GB"/>
        </w:rPr>
        <w:t>of</w:t>
      </w:r>
      <w:r w:rsidRPr="009B5335">
        <w:rPr>
          <w:lang w:val="en-GB"/>
        </w:rPr>
        <w:t xml:space="preserve"> raw materials could result in the desired granule quality. In general, a lower binder</w:t>
      </w:r>
      <w:r>
        <w:rPr>
          <w:lang w:val="en-GB"/>
        </w:rPr>
        <w:t xml:space="preserve"> content</w:t>
      </w:r>
      <w:r w:rsidRPr="009B5335">
        <w:rPr>
          <w:lang w:val="en-GB"/>
        </w:rPr>
        <w:t xml:space="preserve"> resulted in </w:t>
      </w:r>
      <w:r>
        <w:rPr>
          <w:lang w:val="en-GB"/>
        </w:rPr>
        <w:t>more</w:t>
      </w:r>
      <w:r w:rsidRPr="009B5335">
        <w:rPr>
          <w:lang w:val="en-GB"/>
        </w:rPr>
        <w:t xml:space="preserve"> successful predictions, as the highest peak was observed around 2 % (Figure </w:t>
      </w:r>
      <w:r w:rsidR="005D6C8A">
        <w:rPr>
          <w:lang w:val="en-GB"/>
        </w:rPr>
        <w:t>10</w:t>
      </w:r>
      <w:r w:rsidRPr="009B5335">
        <w:rPr>
          <w:lang w:val="en-GB"/>
        </w:rPr>
        <w:t xml:space="preserve"> – yellow peak). This result is in contrast to the findings of </w:t>
      </w:r>
      <w:proofErr w:type="spellStart"/>
      <w:r w:rsidRPr="009B5335">
        <w:rPr>
          <w:lang w:val="en-GB"/>
        </w:rPr>
        <w:t>Keleb</w:t>
      </w:r>
      <w:proofErr w:type="spellEnd"/>
      <w:r w:rsidRPr="009B5335">
        <w:rPr>
          <w:lang w:val="en-GB"/>
        </w:rPr>
        <w:t xml:space="preserve"> et al. and </w:t>
      </w:r>
      <w:proofErr w:type="spellStart"/>
      <w:r w:rsidRPr="009B5335">
        <w:rPr>
          <w:lang w:val="en-GB"/>
        </w:rPr>
        <w:t>Dhenge</w:t>
      </w:r>
      <w:proofErr w:type="spellEnd"/>
      <w:r w:rsidRPr="009B5335">
        <w:rPr>
          <w:lang w:val="en-GB"/>
        </w:rPr>
        <w:t xml:space="preserve"> et al. </w:t>
      </w:r>
      <w:r w:rsidRPr="009B5335">
        <w:rPr>
          <w:lang w:val="en-GB"/>
        </w:rPr>
        <w:fldChar w:fldCharType="begin" w:fldLock="1"/>
      </w:r>
      <w:r w:rsidR="003D65E2">
        <w:rPr>
          <w:lang w:val="en-GB"/>
        </w:rPr>
        <w:instrText>ADDIN CSL_CITATION {"citationItems":[{"id":"ITEM-1","itemData":{"DOI":"10.1016/j.ijpharm.2004.01.001","ISSN":"03785173","PMID":"15010142","abstract":"The modification of a twin screw extruder for continuous wet granulation was investigated. Modification of the extruder setup as well as the screw design allowed the continuous wet granulation of α-lactose monohydrate without the need of a wet sieving step. The robustness of twin screw granulation was evaluated by studying the influence of processing parameters and formulation variables on the process performance and on the properties of α-lactose monohydrate granules and tablets. The process reproducibility during long term production was evaluated. Screw speed (200-450rpm) and total input rate (5.5-9.5kg/h) had no significant influence on the granule properties, while the water concentration during granulation influenced the process as well as the granule properties. At a water concentration (calculated on wet granule basis) of 5.5-8.5%, continuous twin screw granulation of α-lactose monohydrate 200M was feasible and the granules obtained had good properties. PVP addition mainly affected tablet properties. Tablets made from granules containing 2.5% PVP had a tensile strength above 0.94MPa, a friability below 1% and a disintegration time ranging between 495 and 576s. Tablets containing hydrochlorothiazide complied with the dissolution requirements as 60% was released after 5 and 15min from tablets without PVP and with 2.5% PVP, respectively. No problems were observed during continuous twin screw granulation over a period of 8h and the granule and tablet properties were reproducible throughout the process. These results indicated that twin screw granulation is an efficient tool for continuous wet granulation. © 2004 Elsevier B.V. All rights reserved.","author":[{"dropping-particle":"","family":"Keleb","given":"E. I.","non-dropping-particle":"","parse-names":false,"suffix":""},{"dropping-particle":"","family":"Vermeire","given":"A.","non-dropping-particle":"","parse-names":false,"suffix":""},{"dropping-particle":"","family":"Vervaet","given":"C.","non-dropping-particle":"","parse-names":false,"suffix":""},{"dropping-particle":"","family":"Remon","given":"J. P.","non-dropping-particle":"","parse-names":false,"suffix":""}],"container-title":"International Journal of Pharmaceutics","id":"ITEM-1","issue":"1-2","issued":{"date-parts":[["2004"]]},"page":"183-194","title":"Twin screw granulation as a simple and efficient tool for continuous wet granulation","type":"article-journal","volume":"273"},"uris":["http://www.mendeley.com/documents/?uuid=a9874bca-2031-4e84-95c4-795bb8c8d9ee"]},{"id":"ITEM-2","itemData":{"DOI":"10.1016/j.powtec.2012.06.019","ISBN":"0032-5910","ISSN":"00325910","PMID":"22960611","abstract":"The effect of the properties of the granulation liquid, i.e. viscosity (amount of binder) and surface tension on residence time, torque and granule properties such as size, shape, structure, strength and flowability was studied in a co-rotating twin screw granulator. An increase in the viscosity of the granulation liquid increased the residence time and torque. The granule size distribution reached mono-modality and their strength and flowability increased at high viscosity. The reverse was observed with a decrease in viscosity. The surface tension of the granulation liquid had only a minor influence on the residence time, torque and granule properties. © 2012 Elsevier B.V..","author":[{"dropping-particle":"","family":"Dhenge","given":"Ranjit M.","non-dropping-particle":"","parse-names":false,"suffix":""},{"dropping-particle":"","family":"Cartwright","given":"James J.","non-dropping-particle":"","parse-names":false,"suffix":""},{"dropping-particle":"","family":"Hounslow","given":"Michael J.","non-dropping-particle":"","parse-names":false,"suffix":""},{"dropping-particle":"","family":"Salman","given":"Agba D.","non-dropping-particle":"","parse-names":false,"suffix":""}],"container-title":"Powder Technology","id":"ITEM-2","issued":{"date-parts":[["2012"]]},"page":"126-136","publisher":"Elsevier B.V.","title":"Twin screw wet granulation: Effects of properties of granulation liquid","type":"article-journal","volume":"229"},"uris":["http://www.mendeley.com/documents/?uuid=47ae39ef-e8df-4034-aee9-a5421aa27186"]}],"mendeley":{"formattedCitation":"(Dhenge et al., 2012b; Keleb et al., 2004)","plainTextFormattedCitation":"(Dhenge et al., 2012b; Keleb et al., 2004)","previouslyFormattedCitation":"[28,29]"},"properties":{"noteIndex":0},"schema":"https://github.com/citation-style-language/schema/raw/master/csl-citation.json"}</w:instrText>
      </w:r>
      <w:r w:rsidRPr="009B5335">
        <w:rPr>
          <w:lang w:val="en-GB"/>
        </w:rPr>
        <w:fldChar w:fldCharType="separate"/>
      </w:r>
      <w:r w:rsidR="003D65E2" w:rsidRPr="003D65E2">
        <w:rPr>
          <w:noProof/>
          <w:lang w:val="en-GB"/>
        </w:rPr>
        <w:t>(Dhenge et al., 2012b; Keleb et al., 2004)</w:t>
      </w:r>
      <w:r w:rsidRPr="009B5335">
        <w:rPr>
          <w:lang w:val="en-US"/>
        </w:rPr>
        <w:fldChar w:fldCharType="end"/>
      </w:r>
      <w:r w:rsidRPr="009B5335">
        <w:rPr>
          <w:lang w:val="en-GB"/>
        </w:rPr>
        <w:t xml:space="preserve">. Granule growth was favoured in these studies at higher binder concentration. However, a wet binder addition was used in these studies in contrast to our study. </w:t>
      </w:r>
      <w:r w:rsidR="0069155F">
        <w:rPr>
          <w:lang w:val="en-GB"/>
        </w:rPr>
        <w:t xml:space="preserve">In </w:t>
      </w:r>
      <w:r w:rsidRPr="009B5335">
        <w:rPr>
          <w:lang w:val="en-GB"/>
        </w:rPr>
        <w:t xml:space="preserve">our study a higher </w:t>
      </w:r>
      <w:r>
        <w:rPr>
          <w:lang w:val="en-GB"/>
        </w:rPr>
        <w:t>content of</w:t>
      </w:r>
      <w:r w:rsidRPr="009B5335">
        <w:rPr>
          <w:lang w:val="en-GB"/>
        </w:rPr>
        <w:t xml:space="preserve"> filler</w:t>
      </w:r>
      <w:r>
        <w:rPr>
          <w:lang w:val="en-GB"/>
        </w:rPr>
        <w:t xml:space="preserve"> 2</w:t>
      </w:r>
      <w:r w:rsidRPr="009B5335">
        <w:rPr>
          <w:lang w:val="en-GB"/>
        </w:rPr>
        <w:t xml:space="preserve"> (i.e., lactose 200M) at the expense of the binder result</w:t>
      </w:r>
      <w:r w:rsidR="002430EF">
        <w:rPr>
          <w:lang w:val="en-GB"/>
        </w:rPr>
        <w:t>ed</w:t>
      </w:r>
      <w:r w:rsidRPr="009B5335">
        <w:rPr>
          <w:lang w:val="en-GB"/>
        </w:rPr>
        <w:t xml:space="preserve"> in more granule growth</w:t>
      </w:r>
      <w:r w:rsidR="0069155F">
        <w:rPr>
          <w:lang w:val="en-GB"/>
        </w:rPr>
        <w:t>. A</w:t>
      </w:r>
      <w:r w:rsidR="0069155F" w:rsidRPr="009B5335">
        <w:rPr>
          <w:lang w:val="en-GB"/>
        </w:rPr>
        <w:t xml:space="preserve">s the residence time in </w:t>
      </w:r>
      <w:r w:rsidR="0069155F">
        <w:rPr>
          <w:lang w:val="en-GB"/>
        </w:rPr>
        <w:t>a twin-screw granulation</w:t>
      </w:r>
      <w:r w:rsidR="0069155F" w:rsidRPr="009B5335">
        <w:rPr>
          <w:lang w:val="en-GB"/>
        </w:rPr>
        <w:t xml:space="preserve"> process is rather </w:t>
      </w:r>
      <w:r w:rsidR="0069155F">
        <w:rPr>
          <w:lang w:val="en-GB"/>
        </w:rPr>
        <w:t>short</w:t>
      </w:r>
      <w:r w:rsidR="0069155F" w:rsidRPr="009B5335">
        <w:rPr>
          <w:lang w:val="en-GB"/>
        </w:rPr>
        <w:t xml:space="preserve"> </w:t>
      </w:r>
      <w:r w:rsidR="0069155F">
        <w:rPr>
          <w:lang w:val="en-GB"/>
        </w:rPr>
        <w:t>(i.e.,</w:t>
      </w:r>
      <w:r w:rsidR="0069155F" w:rsidRPr="009B5335">
        <w:rPr>
          <w:lang w:val="en-GB"/>
        </w:rPr>
        <w:t xml:space="preserve"> </w:t>
      </w:r>
      <w:r w:rsidR="0069155F">
        <w:rPr>
          <w:lang w:val="en-GB"/>
        </w:rPr>
        <w:t>4</w:t>
      </w:r>
      <w:r w:rsidR="0069155F" w:rsidRPr="009B5335">
        <w:rPr>
          <w:lang w:val="en-GB"/>
        </w:rPr>
        <w:t xml:space="preserve">-20 seconds </w:t>
      </w:r>
      <w:r w:rsidR="0069155F" w:rsidRPr="009B5335">
        <w:rPr>
          <w:lang w:val="en-GB"/>
        </w:rPr>
        <w:fldChar w:fldCharType="begin" w:fldLock="1"/>
      </w:r>
      <w:r w:rsidR="0069155F">
        <w:rPr>
          <w:lang w:val="en-GB"/>
        </w:rPr>
        <w:instrText>ADDIN CSL_CITATION {"citationItems":[{"id":"ITEM-1","itemData":{"DOI":"10.1016/j.ejpb.2012.05.010","ISBN":"1873-3441 (Electronic)\\r0939-6411 (Linking)","ISSN":"09396411","PMID":"22687571","abstract":"The aim of the current study was to screen theophylline (125 mg) tablets manufactured via twin screw granulation in order to improve process understanding and knowledge of process variables that determine granule and tablet quality. A premix of theophylline anhydrate, ??-lactose monohydrate and PVP (ratio: 30/67.5/2.5, w/w) was granulated with demineralized water. Experiments were done using the high-shear wet granulation module (based on twin screw granulation) of the ConsiGma???-25 unit (a continuous tablet manufacturing system) for particle size enlargement. After drying, granules were compressed using a MODUL??? P tablet press (compression force: 10 kN, tablet diameter: 12 mm). Using a D-optimal experimental design, the effect of several process variables (throughput (10-25 kg/h), screw speed (600-950 rpm), screw configuration (number (2, 4, 6 and 12) and angle (30??, 60?? and 90??) of kneading elements), barrel temperature (25-40 ??C) and method of binder addition (dry versus wet)) on the granulation process (torque and temperature increase in barrel wall), granule (particle size distribution, friability and flowability) and tablet (tensile strength, porosity, friability, disintegration time and dissolution) quality was evaluated. The results showed that the quality of granules and tablets can be optimized by adjusting specific process variables (number of kneading elements, barrel temperature and binder addition method) during a granulation process using a continuous twin screw granulator. ?? 2012 Elsevier B.V. All rights reserved.","author":[{"dropping-particle":"","family":"Vercruysse","given":"J.","non-dropping-particle":"","parse-names":false,"suffix":""},{"dropping-particle":"","family":"Córdoba Díaz","given":"D.","non-dropping-particle":"","parse-names":false,"suffix":""},{"dropping-particle":"","family":"Peeters","given":"E.","non-dropping-particle":"","parse-names":false,"suffix":""},{"dropping-particle":"","family":"Fonteyne","given":"M.","non-dropping-particle":"","parse-names":false,"suffix":""},{"dropping-particle":"","family":"Delaet","given":"U.","non-dropping-particle":"","parse-names":false,"suffix":""},{"dropping-particle":"","family":"Assche","given":"I.","non-dropping-particle":"Van","parse-names":false,"suffix":""},{"dropping-particle":"","family":"Beer","given":"T.","non-dropping-particle":"De","parse-names":false,"suffix":""},{"dropping-particle":"","family":"Remon","given":"J. P.","non-dropping-particle":"","parse-names":false,"suffix":""},{"dropping-particle":"","family":"Vervaet","given":"C.","non-dropping-particle":"","parse-names":false,"suffix":""}],"container-title":"European Journal of Pharmaceutics and Biopharmaceutics","id":"ITEM-1","issue":"1","issued":{"date-parts":[["2012"]]},"page":"205-211","publisher":"Elsevier B.V.","title":"Continuous twin screw granulation: Influence of process variables on granule and tablet quality","type":"article-journal","volume":"82"},"uris":["http://www.mendeley.com/documents/?uuid=a3ff6a9c-c9ad-48c0-b091-46e81ba765c1"]}],"mendeley":{"formattedCitation":"(Vercruysse et al., 2012)","plainTextFormattedCitation":"(Vercruysse et al., 2012)","previouslyFormattedCitation":"[10]"},"properties":{"noteIndex":0},"schema":"https://github.com/citation-style-language/schema/raw/master/csl-citation.json"}</w:instrText>
      </w:r>
      <w:r w:rsidR="0069155F" w:rsidRPr="009B5335">
        <w:rPr>
          <w:lang w:val="en-GB"/>
        </w:rPr>
        <w:fldChar w:fldCharType="separate"/>
      </w:r>
      <w:r w:rsidR="0069155F" w:rsidRPr="003D65E2">
        <w:rPr>
          <w:noProof/>
          <w:lang w:val="en-GB"/>
        </w:rPr>
        <w:t>(Vercruysse et al., 2012)</w:t>
      </w:r>
      <w:r w:rsidR="0069155F" w:rsidRPr="009B5335">
        <w:rPr>
          <w:lang w:val="en-US"/>
        </w:rPr>
        <w:fldChar w:fldCharType="end"/>
      </w:r>
      <w:r w:rsidR="0069155F">
        <w:rPr>
          <w:lang w:val="en-US"/>
        </w:rPr>
        <w:t>)</w:t>
      </w:r>
      <w:r w:rsidR="0069155F" w:rsidRPr="009B5335">
        <w:rPr>
          <w:lang w:val="en-GB"/>
        </w:rPr>
        <w:t xml:space="preserve">, it is suggested that the high dissolution rate of the hydrophilic filler is more effective for granule growth due to the formation of strong liquid bonds than a </w:t>
      </w:r>
      <w:r w:rsidR="0069155F">
        <w:rPr>
          <w:lang w:val="en-GB"/>
        </w:rPr>
        <w:t>larger fraction of</w:t>
      </w:r>
      <w:r w:rsidR="0069155F" w:rsidRPr="009B5335">
        <w:rPr>
          <w:lang w:val="en-GB"/>
        </w:rPr>
        <w:t xml:space="preserve"> dry binder </w:t>
      </w:r>
      <w:r w:rsidR="0069155F">
        <w:rPr>
          <w:lang w:val="en-GB"/>
        </w:rPr>
        <w:t>tha</w:t>
      </w:r>
      <w:r w:rsidR="0069155F" w:rsidRPr="009B5335">
        <w:rPr>
          <w:lang w:val="en-GB"/>
        </w:rPr>
        <w:t xml:space="preserve">t still needs to be activated during </w:t>
      </w:r>
      <w:r w:rsidR="0069155F">
        <w:rPr>
          <w:lang w:val="en-GB"/>
        </w:rPr>
        <w:t>the</w:t>
      </w:r>
      <w:r w:rsidR="0069155F" w:rsidRPr="009B5335">
        <w:rPr>
          <w:lang w:val="en-GB"/>
        </w:rPr>
        <w:t xml:space="preserve"> short residence time</w:t>
      </w:r>
      <w:r w:rsidR="0069155F">
        <w:rPr>
          <w:lang w:val="en-GB"/>
        </w:rPr>
        <w:t xml:space="preserve"> in the granulator</w:t>
      </w:r>
      <w:r w:rsidR="0069155F" w:rsidRPr="009B5335">
        <w:rPr>
          <w:lang w:val="en-GB"/>
        </w:rPr>
        <w:t>.</w:t>
      </w:r>
      <w:r w:rsidR="0069155F">
        <w:rPr>
          <w:lang w:val="en-GB"/>
        </w:rPr>
        <w:t xml:space="preserve"> Further, l</w:t>
      </w:r>
      <w:r>
        <w:rPr>
          <w:lang w:val="en-GB"/>
        </w:rPr>
        <w:t>ower</w:t>
      </w:r>
      <w:r w:rsidRPr="009B5335">
        <w:rPr>
          <w:lang w:val="en-GB"/>
        </w:rPr>
        <w:t xml:space="preserve"> MCC </w:t>
      </w:r>
      <w:r>
        <w:rPr>
          <w:lang w:val="en-GB"/>
        </w:rPr>
        <w:t>concentrations also yielded</w:t>
      </w:r>
      <w:r w:rsidRPr="009B5335">
        <w:rPr>
          <w:lang w:val="en-GB"/>
        </w:rPr>
        <w:t xml:space="preserve"> the desired granule quality</w:t>
      </w:r>
      <w:r>
        <w:rPr>
          <w:lang w:val="en-GB"/>
        </w:rPr>
        <w:t xml:space="preserve"> more often</w:t>
      </w:r>
      <w:r w:rsidRPr="009B5335">
        <w:rPr>
          <w:lang w:val="en-GB"/>
        </w:rPr>
        <w:t xml:space="preserve"> (Figure </w:t>
      </w:r>
      <w:r w:rsidR="005D6C8A">
        <w:rPr>
          <w:lang w:val="en-GB"/>
        </w:rPr>
        <w:t>10</w:t>
      </w:r>
      <w:r>
        <w:rPr>
          <w:lang w:val="en-GB"/>
        </w:rPr>
        <w:t xml:space="preserve"> </w:t>
      </w:r>
      <w:r w:rsidRPr="009B5335">
        <w:rPr>
          <w:lang w:val="en-GB"/>
        </w:rPr>
        <w:t>– red peak). According to the constraints (see 4.</w:t>
      </w:r>
      <w:r w:rsidR="00D711E6">
        <w:rPr>
          <w:lang w:val="en-GB"/>
        </w:rPr>
        <w:t>4</w:t>
      </w:r>
      <w:r w:rsidRPr="009B5335">
        <w:rPr>
          <w:lang w:val="en-GB"/>
        </w:rPr>
        <w:t>.</w:t>
      </w:r>
      <w:r w:rsidR="00D711E6">
        <w:rPr>
          <w:lang w:val="en-GB"/>
        </w:rPr>
        <w:t>3</w:t>
      </w:r>
      <w:r w:rsidRPr="009B5335">
        <w:rPr>
          <w:lang w:val="en-GB"/>
        </w:rPr>
        <w:t>.2), the L/S ratio was not allowed to exceed 20 % but higher L/S ratios are generally needed</w:t>
      </w:r>
      <w:r>
        <w:rPr>
          <w:lang w:val="en-GB"/>
        </w:rPr>
        <w:t xml:space="preserve"> at higher MCC content</w:t>
      </w:r>
      <w:r w:rsidRPr="009B5335">
        <w:rPr>
          <w:lang w:val="en-GB"/>
        </w:rPr>
        <w:t xml:space="preserve"> due to their high WBC </w:t>
      </w:r>
      <w:r w:rsidRPr="009B5335">
        <w:rPr>
          <w:lang w:val="en-GB"/>
        </w:rPr>
        <w:fldChar w:fldCharType="begin" w:fldLock="1"/>
      </w:r>
      <w:r w:rsidR="003D65E2">
        <w:rPr>
          <w:lang w:val="en-GB"/>
        </w:rPr>
        <w:instrText>ADDIN CSL_CITATION {"citationItems":[{"id":"ITEM-1","itemData":{"DOI":"10.1016/j.ijpharm.2020.119756","ISSN":"18733476","PMID":"32783981","abstract":"In recent years, significant progress has been made in the field of continuous twin screw granulation. However, only limited knowledge is currently available on the impact of active pharmaceutical ingredient (API) properties on granule quality and processability. In this study, the response behavior of four formulations containing APIs (5–10% drug load) with diverse characteristics was compared to the behavior of the corresponding placebo formulation consisting of lactose, microcrystalline cellulose (MCC) and hydroxypropylmethylcellulose (HPMC). API selection was based on extensive material characterization, combining conventional testing with in silico descriptors. For each formulation, a design of experiments was set up, evaluating the impact of liquid to solid (L/S) ratio and screw speed. Response ranges, response behavior and processability of each of the four formulations proved very similar to the placebo formulation when an appropriate center point L/S ratio was chosen. Hence, this robust placebo formulation could prove useful by decreasing drug product development time and consequently providing patients with a faster access to innovative medicine. Additionally, APIs with similar properties exhibited highly comparable response behavior at similar L/S ratios, indicating the potential use of surrogate APIs in novel drug product development.","author":[{"dropping-particle":"","family":"Portier","given":"Christoph","non-dropping-particle":"","parse-names":false,"suffix":""},{"dropping-particle":"","family":"Vriendt","given":"Charlotte","non-dropping-particle":"De","parse-names":false,"suffix":""},{"dropping-particle":"","family":"Vigh","given":"Tamas","non-dropping-particle":"","parse-names":false,"suffix":""},{"dropping-particle":"","family":"Pretoro","given":"Giustino","non-dropping-particle":"Di","parse-names":false,"suffix":""},{"dropping-particle":"","family":"Beer","given":"Thomas","non-dropping-particle":"De","parse-names":false,"suffix":""},{"dropping-particle":"","family":"Vervaet","given":"Chris","non-dropping-particle":"","parse-names":false,"suffix":""},{"dropping-particle":"","family":"Vanhoorne","given":"Valérie","non-dropping-particle":"","parse-names":false,"suffix":""}],"container-title":"International Journal of Pharmaceutics","id":"ITEM-1","issue":"June","issued":{"date-parts":[["2020"]]},"page":"119756","publisher":"Elsevier","title":"Continuous twin screw granulation: Robustness of lactose/MCC-based formulations","type":"article-journal","volume":"588"},"uris":["http://www.mendeley.com/documents/?uuid=8619a2a7-5a84-46fa-965a-5970f43f0d83"]}],"mendeley":{"formattedCitation":"(Portier et al., 2020a)","plainTextFormattedCitation":"(Portier et al., 2020a)","previouslyFormattedCitation":"[27]"},"properties":{"noteIndex":0},"schema":"https://github.com/citation-style-language/schema/raw/master/csl-citation.json"}</w:instrText>
      </w:r>
      <w:r w:rsidRPr="009B5335">
        <w:rPr>
          <w:lang w:val="en-GB"/>
        </w:rPr>
        <w:fldChar w:fldCharType="separate"/>
      </w:r>
      <w:r w:rsidR="003D65E2" w:rsidRPr="003D65E2">
        <w:rPr>
          <w:noProof/>
          <w:lang w:val="en-GB"/>
        </w:rPr>
        <w:t>(Portier et al., 2020a)</w:t>
      </w:r>
      <w:r w:rsidRPr="009B5335">
        <w:rPr>
          <w:lang w:val="en-US"/>
        </w:rPr>
        <w:fldChar w:fldCharType="end"/>
      </w:r>
      <w:r w:rsidRPr="009B5335">
        <w:rPr>
          <w:lang w:val="en-GB"/>
        </w:rPr>
        <w:t xml:space="preserve">, explaining the lower </w:t>
      </w:r>
      <w:r>
        <w:rPr>
          <w:lang w:val="en-GB"/>
        </w:rPr>
        <w:t>probability</w:t>
      </w:r>
      <w:r w:rsidRPr="009B5335">
        <w:rPr>
          <w:lang w:val="en-GB"/>
        </w:rPr>
        <w:t xml:space="preserve"> to result in successful </w:t>
      </w:r>
      <w:r>
        <w:rPr>
          <w:lang w:val="en-GB"/>
        </w:rPr>
        <w:t>predictions</w:t>
      </w:r>
      <w:r w:rsidRPr="009B5335">
        <w:rPr>
          <w:lang w:val="en-GB"/>
        </w:rPr>
        <w:t xml:space="preserve">. Less successful </w:t>
      </w:r>
      <w:r>
        <w:rPr>
          <w:lang w:val="en-GB"/>
        </w:rPr>
        <w:t>predictions</w:t>
      </w:r>
      <w:r w:rsidRPr="009B5335">
        <w:rPr>
          <w:lang w:val="en-GB"/>
        </w:rPr>
        <w:t xml:space="preserve"> were also observed when the API content increased, this is probably due to its hydrophobic characteristics (Figure </w:t>
      </w:r>
      <w:r w:rsidR="005D6C8A">
        <w:rPr>
          <w:lang w:val="en-GB"/>
        </w:rPr>
        <w:t>9</w:t>
      </w:r>
      <w:r>
        <w:rPr>
          <w:lang w:val="en-GB"/>
        </w:rPr>
        <w:t>)</w:t>
      </w:r>
      <w:r w:rsidRPr="009B5335">
        <w:rPr>
          <w:lang w:val="en-GB"/>
        </w:rPr>
        <w:t xml:space="preserve">. </w:t>
      </w:r>
      <w:r>
        <w:rPr>
          <w:lang w:val="en-GB"/>
        </w:rPr>
        <w:t>More successful predictions</w:t>
      </w:r>
      <w:r w:rsidRPr="009B5335">
        <w:rPr>
          <w:lang w:val="en-GB"/>
        </w:rPr>
        <w:t xml:space="preserve"> </w:t>
      </w:r>
      <w:r>
        <w:rPr>
          <w:lang w:val="en-GB"/>
        </w:rPr>
        <w:t>were</w:t>
      </w:r>
      <w:r w:rsidRPr="009B5335">
        <w:rPr>
          <w:lang w:val="en-GB"/>
        </w:rPr>
        <w:t xml:space="preserve"> observed </w:t>
      </w:r>
      <w:r>
        <w:rPr>
          <w:lang w:val="en-GB"/>
        </w:rPr>
        <w:t>using a higher 200M content</w:t>
      </w:r>
      <w:r w:rsidRPr="009B5335">
        <w:rPr>
          <w:lang w:val="en-GB"/>
        </w:rPr>
        <w:t xml:space="preserve"> </w:t>
      </w:r>
      <w:r>
        <w:rPr>
          <w:lang w:val="en-GB"/>
        </w:rPr>
        <w:t>as</w:t>
      </w:r>
      <w:r w:rsidRPr="009B5335">
        <w:rPr>
          <w:lang w:val="en-GB"/>
        </w:rPr>
        <w:t xml:space="preserve"> this hydrophilic filler is advantageous for granule growth. </w:t>
      </w:r>
      <w:r>
        <w:rPr>
          <w:lang w:val="en-GB"/>
        </w:rPr>
        <w:t>The</w:t>
      </w:r>
      <w:r w:rsidRPr="009B5335">
        <w:rPr>
          <w:lang w:val="en-GB"/>
        </w:rPr>
        <w:t xml:space="preserve"> decrease observed </w:t>
      </w:r>
      <w:r>
        <w:rPr>
          <w:lang w:val="en-GB"/>
        </w:rPr>
        <w:t>at a 200M content above</w:t>
      </w:r>
      <w:r w:rsidRPr="009B5335">
        <w:rPr>
          <w:lang w:val="en-GB"/>
        </w:rPr>
        <w:t xml:space="preserve"> 78</w:t>
      </w:r>
      <w:r>
        <w:rPr>
          <w:lang w:val="en-GB"/>
        </w:rPr>
        <w:t xml:space="preserve"> </w:t>
      </w:r>
      <w:r w:rsidRPr="009B5335">
        <w:rPr>
          <w:lang w:val="en-GB"/>
        </w:rPr>
        <w:t>%</w:t>
      </w:r>
      <w:r>
        <w:rPr>
          <w:lang w:val="en-GB"/>
        </w:rPr>
        <w:t xml:space="preserve"> was due to the lower number of predictions</w:t>
      </w:r>
      <w:r w:rsidRPr="009B5335">
        <w:rPr>
          <w:lang w:val="en-GB"/>
        </w:rPr>
        <w:t xml:space="preserve"> executed at a high </w:t>
      </w:r>
      <w:r>
        <w:rPr>
          <w:lang w:val="en-GB"/>
        </w:rPr>
        <w:t xml:space="preserve">lactose </w:t>
      </w:r>
      <w:r w:rsidRPr="009B5335">
        <w:rPr>
          <w:lang w:val="en-GB"/>
        </w:rPr>
        <w:t xml:space="preserve">content, as in that scenario the binder, API and MCC content all had to be lower </w:t>
      </w:r>
      <w:r>
        <w:rPr>
          <w:lang w:val="en-GB"/>
        </w:rPr>
        <w:t xml:space="preserve">in order </w:t>
      </w:r>
      <w:r w:rsidRPr="009B5335">
        <w:rPr>
          <w:lang w:val="en-GB"/>
        </w:rPr>
        <w:t xml:space="preserve">not </w:t>
      </w:r>
      <w:r>
        <w:rPr>
          <w:lang w:val="en-GB"/>
        </w:rPr>
        <w:t xml:space="preserve">to </w:t>
      </w:r>
      <w:r w:rsidRPr="009B5335">
        <w:rPr>
          <w:lang w:val="en-GB"/>
        </w:rPr>
        <w:t>exceed the total of 100</w:t>
      </w:r>
      <w:r>
        <w:rPr>
          <w:lang w:val="en-GB"/>
        </w:rPr>
        <w:t xml:space="preserve"> </w:t>
      </w:r>
      <w:r w:rsidRPr="009B5335">
        <w:rPr>
          <w:lang w:val="en-GB"/>
        </w:rPr>
        <w:t>%.</w:t>
      </w:r>
    </w:p>
    <w:p w14:paraId="6310909B" w14:textId="198E67C4" w:rsidR="00EA7445" w:rsidRPr="009B5335" w:rsidRDefault="00EA7445" w:rsidP="0038497A">
      <w:pPr>
        <w:spacing w:line="240" w:lineRule="auto"/>
        <w:rPr>
          <w:lang w:val="en-GB"/>
        </w:rPr>
      </w:pPr>
      <w:r w:rsidRPr="009B5335">
        <w:rPr>
          <w:lang w:val="en-GB"/>
        </w:rPr>
        <w:lastRenderedPageBreak/>
        <w:t xml:space="preserve">In this case study, the API content was varied at three levels, yielding granules with a different potency. The </w:t>
      </w:r>
      <w:r>
        <w:rPr>
          <w:lang w:val="en-GB"/>
        </w:rPr>
        <w:t xml:space="preserve">blend </w:t>
      </w:r>
      <w:r w:rsidRPr="009B5335">
        <w:rPr>
          <w:lang w:val="en-GB"/>
        </w:rPr>
        <w:t xml:space="preserve">composition for these 3 API concentrations </w:t>
      </w:r>
      <w:r>
        <w:rPr>
          <w:lang w:val="en-GB"/>
        </w:rPr>
        <w:t>which</w:t>
      </w:r>
      <w:r w:rsidRPr="009B5335">
        <w:rPr>
          <w:lang w:val="en-GB"/>
        </w:rPr>
        <w:t xml:space="preserve"> are predicted to provide </w:t>
      </w:r>
      <w:r>
        <w:rPr>
          <w:lang w:val="en-GB"/>
        </w:rPr>
        <w:t xml:space="preserve">the </w:t>
      </w:r>
      <w:r w:rsidRPr="009B5335">
        <w:rPr>
          <w:lang w:val="en-GB"/>
        </w:rPr>
        <w:t xml:space="preserve">desired granule quality attributes are shown in Table 5. In a next step, additional predictions, during which the process settings for each of these 3 formulations were varied, were performed. This allowed to establish contour plots for friability, fines and </w:t>
      </w:r>
      <w:proofErr w:type="spellStart"/>
      <w:r w:rsidRPr="009B5335">
        <w:rPr>
          <w:lang w:val="en-GB"/>
        </w:rPr>
        <w:t>AoR</w:t>
      </w:r>
      <w:proofErr w:type="spellEnd"/>
      <w:r w:rsidRPr="009B5335">
        <w:rPr>
          <w:lang w:val="en-GB"/>
        </w:rPr>
        <w:t xml:space="preserve"> for each blend (</w:t>
      </w:r>
      <w:r w:rsidRPr="005D6C8A">
        <w:rPr>
          <w:lang w:val="en-GB"/>
        </w:rPr>
        <w:t>Figure</w:t>
      </w:r>
      <w:r w:rsidRPr="009B5335">
        <w:rPr>
          <w:lang w:val="en-GB"/>
        </w:rPr>
        <w:t xml:space="preserve"> </w:t>
      </w:r>
      <w:r w:rsidR="005D6C8A">
        <w:rPr>
          <w:lang w:val="en-GB"/>
        </w:rPr>
        <w:t>11</w:t>
      </w:r>
      <w:r w:rsidRPr="009B5335">
        <w:rPr>
          <w:lang w:val="en-GB"/>
        </w:rPr>
        <w:t xml:space="preserve">). Only the area (i.e., combination of MFR and L/S ratios) which </w:t>
      </w:r>
      <w:r>
        <w:rPr>
          <w:lang w:val="en-GB"/>
        </w:rPr>
        <w:t>yielded</w:t>
      </w:r>
      <w:r w:rsidRPr="009B5335">
        <w:rPr>
          <w:lang w:val="en-GB"/>
        </w:rPr>
        <w:t xml:space="preserve"> the desired granule quality, according to the prediction by the TPLS model, was coloured in the plots. The colour gradient in Figure </w:t>
      </w:r>
      <w:r w:rsidR="005D6C8A">
        <w:rPr>
          <w:lang w:val="en-GB"/>
        </w:rPr>
        <w:t>11</w:t>
      </w:r>
      <w:r w:rsidRPr="009B5335">
        <w:rPr>
          <w:lang w:val="en-GB"/>
        </w:rPr>
        <w:t xml:space="preserve"> corresponds to the predicted change in fines, friability or </w:t>
      </w:r>
      <w:proofErr w:type="spellStart"/>
      <w:r w:rsidRPr="009B5335">
        <w:rPr>
          <w:lang w:val="en-GB"/>
        </w:rPr>
        <w:t>AoR</w:t>
      </w:r>
      <w:proofErr w:type="spellEnd"/>
      <w:r w:rsidRPr="009B5335">
        <w:rPr>
          <w:lang w:val="en-GB"/>
        </w:rPr>
        <w:t xml:space="preserve"> at different combinations of MFR and L/S ratio. It can be seen that the area of successful predictions was very similar for all three formulations. Although formulation 3 </w:t>
      </w:r>
      <w:r>
        <w:rPr>
          <w:lang w:val="en-GB"/>
        </w:rPr>
        <w:t>contained</w:t>
      </w:r>
      <w:r w:rsidRPr="009B5335">
        <w:rPr>
          <w:lang w:val="en-GB"/>
        </w:rPr>
        <w:t xml:space="preserve"> more hydrophobic API </w:t>
      </w:r>
      <w:r>
        <w:rPr>
          <w:lang w:val="en-GB"/>
        </w:rPr>
        <w:t>at the</w:t>
      </w:r>
      <w:r w:rsidRPr="009B5335">
        <w:rPr>
          <w:lang w:val="en-GB"/>
        </w:rPr>
        <w:t xml:space="preserve"> expense of the hydrophilic filler lactose, a similar granule quality was predicted for the combination of MRF and L/S values. This can be explained by other properties of API X, having a favourable effect on granule growth. In contrast to 200M, API X has a lower density and a higher compressibility which </w:t>
      </w:r>
      <w:r>
        <w:rPr>
          <w:lang w:val="en-GB"/>
        </w:rPr>
        <w:t xml:space="preserve">have previously been identified having a </w:t>
      </w:r>
      <w:r w:rsidRPr="009B5335">
        <w:rPr>
          <w:lang w:val="en-GB"/>
        </w:rPr>
        <w:t>positive effect on granule growth. It is suggested that a better liquid distribution could be obtained for formulation 3</w:t>
      </w:r>
      <w:r>
        <w:rPr>
          <w:lang w:val="en-GB"/>
        </w:rPr>
        <w:t>.</w:t>
      </w:r>
      <w:r w:rsidRPr="009B5335">
        <w:rPr>
          <w:lang w:val="en-GB"/>
        </w:rPr>
        <w:t xml:space="preserve"> </w:t>
      </w:r>
    </w:p>
    <w:p w14:paraId="041E1078" w14:textId="5F9B2715" w:rsidR="00EA7445" w:rsidRPr="009B5335" w:rsidRDefault="00EA7445" w:rsidP="0038497A">
      <w:pPr>
        <w:spacing w:line="240" w:lineRule="auto"/>
        <w:rPr>
          <w:lang w:val="en-GB"/>
        </w:rPr>
      </w:pPr>
      <w:r w:rsidRPr="009B5335">
        <w:rPr>
          <w:lang w:val="en-GB"/>
        </w:rPr>
        <w:t>Finally, the predicted granule quality attributes for each of the three blends were compared to the</w:t>
      </w:r>
      <w:r>
        <w:rPr>
          <w:lang w:val="en-GB"/>
        </w:rPr>
        <w:t xml:space="preserve"> </w:t>
      </w:r>
      <w:r w:rsidRPr="009B5335">
        <w:rPr>
          <w:lang w:val="en-GB"/>
        </w:rPr>
        <w:t>experimentally determined granule quality attributes. The four edges of the contour plot (</w:t>
      </w:r>
      <w:r w:rsidRPr="00796B95">
        <w:rPr>
          <w:lang w:val="en-GB"/>
        </w:rPr>
        <w:t>Figure</w:t>
      </w:r>
      <w:r w:rsidRPr="009B5335">
        <w:rPr>
          <w:lang w:val="en-GB"/>
        </w:rPr>
        <w:t xml:space="preserve"> </w:t>
      </w:r>
      <w:r w:rsidR="00796B95">
        <w:rPr>
          <w:lang w:val="en-GB"/>
        </w:rPr>
        <w:t>11</w:t>
      </w:r>
      <w:r w:rsidRPr="009B5335">
        <w:rPr>
          <w:lang w:val="en-GB"/>
        </w:rPr>
        <w:t xml:space="preserve">) and a </w:t>
      </w:r>
      <w:proofErr w:type="spellStart"/>
      <w:r w:rsidRPr="009B5335">
        <w:rPr>
          <w:lang w:val="en-GB"/>
        </w:rPr>
        <w:t>cen</w:t>
      </w:r>
      <w:r>
        <w:rPr>
          <w:lang w:val="en-GB"/>
        </w:rPr>
        <w:t>t</w:t>
      </w:r>
      <w:r w:rsidR="00796B95">
        <w:rPr>
          <w:lang w:val="en-GB"/>
        </w:rPr>
        <w:t>er</w:t>
      </w:r>
      <w:r w:rsidRPr="009B5335">
        <w:rPr>
          <w:lang w:val="en-GB"/>
        </w:rPr>
        <w:t>point</w:t>
      </w:r>
      <w:proofErr w:type="spellEnd"/>
      <w:r w:rsidRPr="009B5335">
        <w:rPr>
          <w:lang w:val="en-GB"/>
        </w:rPr>
        <w:t xml:space="preserve"> were verified. The comparison of the </w:t>
      </w:r>
      <w:r>
        <w:rPr>
          <w:lang w:val="en-GB"/>
        </w:rPr>
        <w:t>experimentally determined</w:t>
      </w:r>
      <w:r w:rsidRPr="009B5335">
        <w:rPr>
          <w:lang w:val="en-GB"/>
        </w:rPr>
        <w:t xml:space="preserve"> granule quality attributes with the predicted granule quality was shown for the blend </w:t>
      </w:r>
      <w:r>
        <w:rPr>
          <w:lang w:val="en-GB"/>
        </w:rPr>
        <w:t>containing</w:t>
      </w:r>
      <w:r w:rsidRPr="009B5335">
        <w:rPr>
          <w:lang w:val="en-GB"/>
        </w:rPr>
        <w:t xml:space="preserve"> 12 % API in Figure </w:t>
      </w:r>
      <w:r w:rsidR="00796B95">
        <w:rPr>
          <w:lang w:val="en-GB"/>
        </w:rPr>
        <w:t>12</w:t>
      </w:r>
      <w:r w:rsidRPr="009B5335">
        <w:rPr>
          <w:lang w:val="en-GB"/>
        </w:rPr>
        <w:t xml:space="preserve">. </w:t>
      </w:r>
      <w:r>
        <w:rPr>
          <w:lang w:val="en-GB"/>
        </w:rPr>
        <w:t>A</w:t>
      </w:r>
      <w:r w:rsidRPr="009B5335">
        <w:rPr>
          <w:lang w:val="en-GB"/>
        </w:rPr>
        <w:t xml:space="preserve"> similar comparison was also seen for the blend</w:t>
      </w:r>
      <w:r>
        <w:rPr>
          <w:lang w:val="en-GB"/>
        </w:rPr>
        <w:t>s</w:t>
      </w:r>
      <w:r w:rsidRPr="009B5335">
        <w:rPr>
          <w:lang w:val="en-GB"/>
        </w:rPr>
        <w:t xml:space="preserve"> </w:t>
      </w:r>
      <w:r>
        <w:rPr>
          <w:lang w:val="en-GB"/>
        </w:rPr>
        <w:t>with</w:t>
      </w:r>
      <w:r w:rsidRPr="009B5335">
        <w:rPr>
          <w:lang w:val="en-GB"/>
        </w:rPr>
        <w:t xml:space="preserve"> 2 and 24 % API. Similar to the cross-validation results (Figure </w:t>
      </w:r>
      <w:r w:rsidR="00796B95">
        <w:rPr>
          <w:lang w:val="en-GB"/>
        </w:rPr>
        <w:t>7</w:t>
      </w:r>
      <w:r w:rsidRPr="009B5335">
        <w:rPr>
          <w:lang w:val="en-GB"/>
        </w:rPr>
        <w:t xml:space="preserve">), the best predictions were </w:t>
      </w:r>
      <w:r>
        <w:rPr>
          <w:lang w:val="en-GB"/>
        </w:rPr>
        <w:t>observed</w:t>
      </w:r>
      <w:r w:rsidRPr="009B5335">
        <w:rPr>
          <w:lang w:val="en-GB"/>
        </w:rPr>
        <w:t xml:space="preserve"> for the intermediate and high MFR – high L/S process settings. At these process settings the predicted values were, except for the oversized fraction, close to the </w:t>
      </w:r>
      <w:r>
        <w:rPr>
          <w:lang w:val="en-GB"/>
        </w:rPr>
        <w:t>experimental</w:t>
      </w:r>
      <w:r w:rsidRPr="009B5335">
        <w:rPr>
          <w:lang w:val="en-GB"/>
        </w:rPr>
        <w:t xml:space="preserve"> values</w:t>
      </w:r>
      <w:r>
        <w:rPr>
          <w:lang w:val="en-GB"/>
        </w:rPr>
        <w:t>,</w:t>
      </w:r>
      <w:r w:rsidRPr="009B5335">
        <w:rPr>
          <w:lang w:val="en-GB"/>
        </w:rPr>
        <w:t xml:space="preserve"> </w:t>
      </w:r>
      <w:r>
        <w:rPr>
          <w:lang w:val="en-GB"/>
        </w:rPr>
        <w:t>indicating</w:t>
      </w:r>
      <w:r w:rsidRPr="009B5335">
        <w:rPr>
          <w:lang w:val="en-GB"/>
        </w:rPr>
        <w:t xml:space="preserve"> some predictive quality of</w:t>
      </w:r>
      <w:r>
        <w:rPr>
          <w:lang w:val="en-GB"/>
        </w:rPr>
        <w:t xml:space="preserve"> the</w:t>
      </w:r>
      <w:r w:rsidRPr="009B5335">
        <w:rPr>
          <w:lang w:val="en-GB"/>
        </w:rPr>
        <w:t xml:space="preserve"> TPLS model. It is possible that the fraction of oversized granules is harder to predict as it is a cut-off value (i.e., &gt;2000 µm) of the granule size distribution to indicate the granule size. The validation experiments showed that </w:t>
      </w:r>
      <w:r>
        <w:rPr>
          <w:lang w:val="en-GB"/>
        </w:rPr>
        <w:t xml:space="preserve">large </w:t>
      </w:r>
      <w:r w:rsidRPr="009B5335">
        <w:rPr>
          <w:lang w:val="en-GB"/>
        </w:rPr>
        <w:t xml:space="preserve">oversized fraction and a fines fraction </w:t>
      </w:r>
      <w:r>
        <w:rPr>
          <w:lang w:val="en-GB"/>
        </w:rPr>
        <w:t xml:space="preserve">of </w:t>
      </w:r>
      <w:r w:rsidRPr="009B5335">
        <w:rPr>
          <w:lang w:val="en-GB"/>
        </w:rPr>
        <w:t xml:space="preserve">almost zero was observed at high L/S and high MFR, indicating that </w:t>
      </w:r>
      <w:r>
        <w:rPr>
          <w:lang w:val="en-GB"/>
        </w:rPr>
        <w:t xml:space="preserve">a </w:t>
      </w:r>
      <w:r w:rsidRPr="009B5335">
        <w:rPr>
          <w:lang w:val="en-GB"/>
        </w:rPr>
        <w:t xml:space="preserve">paste would be </w:t>
      </w:r>
      <w:r>
        <w:rPr>
          <w:lang w:val="en-GB"/>
        </w:rPr>
        <w:t>formed</w:t>
      </w:r>
      <w:r w:rsidRPr="009B5335">
        <w:rPr>
          <w:lang w:val="en-GB"/>
        </w:rPr>
        <w:t xml:space="preserve"> </w:t>
      </w:r>
      <w:r>
        <w:rPr>
          <w:lang w:val="en-GB"/>
        </w:rPr>
        <w:t>at higher</w:t>
      </w:r>
      <w:r w:rsidRPr="009B5335">
        <w:rPr>
          <w:lang w:val="en-GB"/>
        </w:rPr>
        <w:t xml:space="preserve"> L/S ratio. However, an actual cut-off </w:t>
      </w:r>
      <w:r>
        <w:rPr>
          <w:lang w:val="en-GB"/>
        </w:rPr>
        <w:t>for</w:t>
      </w:r>
      <w:r w:rsidRPr="009B5335">
        <w:rPr>
          <w:lang w:val="en-GB"/>
        </w:rPr>
        <w:t xml:space="preserve"> the formation of a paste cannot be predicted by the model. Possible reasons of the TPLS model prediction challenges are discussed in</w:t>
      </w:r>
      <w:r>
        <w:rPr>
          <w:lang w:val="en-GB"/>
        </w:rPr>
        <w:t xml:space="preserve"> the</w:t>
      </w:r>
      <w:r w:rsidRPr="009B5335">
        <w:rPr>
          <w:lang w:val="en-GB"/>
        </w:rPr>
        <w:t xml:space="preserve"> next section.</w:t>
      </w:r>
      <w:r>
        <w:rPr>
          <w:lang w:val="en-GB"/>
        </w:rPr>
        <w:t xml:space="preserve"> </w:t>
      </w:r>
    </w:p>
    <w:p w14:paraId="600CCD8C" w14:textId="77777777" w:rsidR="00EA7445" w:rsidRPr="009B5335" w:rsidRDefault="00EA7445" w:rsidP="0038497A">
      <w:pPr>
        <w:pStyle w:val="Kop1"/>
        <w:numPr>
          <w:ilvl w:val="1"/>
          <w:numId w:val="20"/>
        </w:numPr>
        <w:spacing w:line="240" w:lineRule="auto"/>
        <w:rPr>
          <w:lang w:val="en-GB"/>
        </w:rPr>
      </w:pPr>
      <w:r w:rsidRPr="009B5335">
        <w:rPr>
          <w:lang w:val="en-GB"/>
        </w:rPr>
        <w:t>Limitations, challenges and future perspectives</w:t>
      </w:r>
    </w:p>
    <w:p w14:paraId="6636575D" w14:textId="5CF6F7C4" w:rsidR="00EA7445" w:rsidRDefault="00EA7445" w:rsidP="0038497A">
      <w:pPr>
        <w:spacing w:line="240" w:lineRule="auto"/>
        <w:rPr>
          <w:lang w:val="en-GB"/>
        </w:rPr>
      </w:pPr>
      <w:r w:rsidRPr="009B5335">
        <w:rPr>
          <w:lang w:val="en-GB"/>
        </w:rPr>
        <w:t>In general, the predictions of current TPLS model are only valid for the studied experimental space</w:t>
      </w:r>
      <w:r>
        <w:rPr>
          <w:lang w:val="en-GB"/>
        </w:rPr>
        <w:t xml:space="preserve"> and for</w:t>
      </w:r>
      <w:r w:rsidRPr="009B5335">
        <w:rPr>
          <w:lang w:val="en-GB"/>
        </w:rPr>
        <w:t xml:space="preserve"> fixed conditions such as the screw configuration</w:t>
      </w:r>
      <w:r>
        <w:rPr>
          <w:lang w:val="en-GB"/>
        </w:rPr>
        <w:t xml:space="preserve"> and screw speed</w:t>
      </w:r>
      <w:r w:rsidRPr="009B5335">
        <w:rPr>
          <w:lang w:val="en-GB"/>
        </w:rPr>
        <w:t xml:space="preserve"> because </w:t>
      </w:r>
      <w:r>
        <w:rPr>
          <w:lang w:val="en-GB"/>
        </w:rPr>
        <w:t>both</w:t>
      </w:r>
      <w:r w:rsidRPr="009B5335">
        <w:rPr>
          <w:lang w:val="en-GB"/>
        </w:rPr>
        <w:t xml:space="preserve"> have an impact on the granule quality </w:t>
      </w:r>
      <w:r w:rsidRPr="009B5335">
        <w:rPr>
          <w:lang w:val="en-GB"/>
        </w:rPr>
        <w:fldChar w:fldCharType="begin" w:fldLock="1"/>
      </w:r>
      <w:r w:rsidR="003D65E2">
        <w:rPr>
          <w:lang w:val="en-GB"/>
        </w:rPr>
        <w:instrText>ADDIN CSL_CITATION {"citationItems":[{"id":"ITEM-1","itemData":{"DOI":"10.1016/j.ijpharm.2019.118981","ISSN":"18733476","abstract":"In recent years, continuous manufacturing techniques, such as twin screw wet granulation, have gained significant momentum. Due to the large diversity of the (model) formulations and equipment, it is often difficult to generalize conclusions about the importance of process settings. As only limited knowledge is available on the importance of formulation variables, this study focused on the systematic quantification of both process as formulation effects on critical quality attributes of granules from several model formulations. Apart from conventional process and formulation variables, also non-conventional process factors such as nozzle diameter, nozzle orientation and inclusion of a new type of size control elements were evaluated using a Plackett-Burman screening design. Although effects were often formulation-dependent, liquid-to-solid ratio proved the most influential variable for all formulations. Furthermore, binder concentration had a clear effect on granule characteristics, whereas barrel fill level and barrel temperature were less influential. The novel type of size control elements improved granule size distribution and density. The impact of nozzle diameter and wet binder addition proved negligible towards granule properties. Overall it was apparent that lactose/MCC-based formulations correlated better than lactose-based formulations, indicating the possible process robustness of the first filler combination to accommodate API and excipient variability and to handle APIs with different characteristics.","author":[{"dropping-particle":"","family":"Portier","given":"Christoph","non-dropping-particle":"","parse-names":false,"suffix":""},{"dropping-particle":"","family":"Pandelaere","given":"Kenny","non-dropping-particle":"","parse-names":false,"suffix":""},{"dropping-particle":"","family":"Delaet","given":"Urbain","non-dropping-particle":"","parse-names":false,"suffix":""},{"dropping-particle":"","family":"Vigh","given":"Tamas","non-dropping-particle":"","parse-names":false,"suffix":""},{"dropping-particle":"","family":"Kumar","given":"Ashish","non-dropping-particle":"","parse-names":false,"suffix":""},{"dropping-particle":"","family":"Pretoro","given":"Giustino","non-dropping-particle":"Di","parse-names":false,"suffix":""},{"dropping-particle":"","family":"Beer","given":"Thomas","non-dropping-particle":"De","parse-names":false,"suffix":""},{"dropping-particle":"","family":"Vervaet","given":"Chris","non-dropping-particle":"","parse-names":false,"suffix":""},{"dropping-particle":"","family":"Vanhoorne","given":"Valérie","non-dropping-particle":"","parse-names":false,"suffix":""}],"container-title":"International Journal of Pharmaceutics","id":"ITEM-1","issue":"December 2019","issued":{"date-parts":[["2020"]]},"page":"118981","publisher":"Elsevier","title":"Continuous twin screw granulation: Influence of process and formulation variables on granule quality attributes of model formulations","type":"article-journal","volume":"576"},"uris":["http://www.mendeley.com/documents/?uuid=7300c189-262a-4d7f-943b-e15cbf996e93"]},{"id":"ITEM-2","itemData":{"DOI":"10.1002/JPS.21973","ISSN":"0022-3549","abstract":"Wet granulation in twin‐screw extrusion machinery is an attractive technology for the continuous processing of pharmaceuticals. The performance of this machinery is integrally tied to its screw design yet little fundamental knowledge exists in this emerging field for granulation to intelligently create, troubleshoot, and scale‐up such processes. This study endeavored to systematically examine the influence of different commercially available screw elements on the flow behavior and granulation mechanics of lactose monohydrate saturated at low concentration (5–12%, w/w) with an aqueous polyvinyl‐pyrrolidone binder. The results of the work showed that current screw elements could be successfully incorporated into designs for wet granulation, to tailor the particle size as well as particle shape of an agglomerate product. Conveying elements for cohesive granular flows were shown to perform similar to their use in polymer processing, as effective transport units with low specific mechanical energy input. The conveying zones provided little significant change to the particle size or shape, though the degree of channel fill in these sections had a significant influence on the more energy‐intensive mixing elements studied. The standard mixing elements for this machine, kneading blocks and comb mixers, were found to be effective for generating coarser particles, though their mechanisms of granulation differed significantly. © 2009 Wiley‐Liss, Inc. and the American Pharmacists Association J Pharm Sci 99: 2090–2103, 2010","author":[{"dropping-particle":"","family":"Thompson","given":"M.R.","non-dropping-particle":"","parse-names":false,"suffix":""},{"dropping-particle":"","family":"Sun","given":"J.","non-dropping-particle":"","parse-names":false,"suffix":""}],"container-title":"Journal of Pharmaceutical Sciences","id":"ITEM-2","issue":"4","issued":{"date-parts":[["2010","4","1"]]},"page":"2090-2103","publisher":"Elsevier","title":"Wet Granulation in a Twin‐Screw Extruder: Implications of Screw Design","type":"article-journal","volume":"99"},"uris":["http://www.mendeley.com/documents/?uuid=d4e14959-68ed-373d-8c9a-ff80008d4a6e"]},{"id":"ITEM-3","itemData":{"DOI":"10.1016/j.ijpharm.2014.12.071","ISBN":"0378-5173","ISSN":"18733476","PMID":"25562758","abstract":"Twin screw granulation (TSG) has been reported by different research groups as an attractive technology for continuous wet granulation. However, in contrast to fluidized bed granulation, granules produced via this technique typically have a wide and multimodal particle size distribution (PSD), resulting in suboptimal flow properties. The aim of the current study was to evaluate the impact of granulator screw configuration on the PSD of granules produced by TSG. Experiments were performed using a 25 mm co-rotating twin screw granulator, being part of the ConsiGma™-25 system (a fully continuous from-powder-to-tablet manufacturing line from GEA Pharma Systems). Besides the screw elements conventionally used for TSG (conveying and kneading elements), alternative designs of screw elements (tooth-mixing-elements (TME), screw mixing elements (SME) and cutters) were investigated using an α-lactose monohydrate formulation granulated with distilled water. Granulation with only conveying elements resulted in wide and multimodal PSD. Using kneading elements, the width of the PSD could be partially narrowed and the liquid distribution was more homogeneous. However, still a significant fraction of oversized agglomerates was obtained. Implementing additional kneading elements or cutters in the final section of the screw configuration was not beneficial. Furthermore, granulation with only TME or SME had limited impact on the width of the PSD. Promising results were obtained by combining kneading elements with SME, as for these configurations the PSD was narrower and shifted to the size fractions suitable for tableting.","author":[{"dropping-particle":"","family":"Vercruysse","given":"J.","non-dropping-particle":"","parse-names":false,"suffix":""},{"dropping-particle":"","family":"Burggraeve","given":"A.","non-dropping-particle":"","parse-names":false,"suffix":""},{"dropping-particle":"","family":"Fonteyne","given":"M.","non-dropping-particle":"","parse-names":false,"su</w:instrText>
      </w:r>
      <w:r w:rsidR="003D65E2" w:rsidRPr="003D65E2">
        <w:rPr>
          <w:lang w:val="fr-FR"/>
        </w:rPr>
        <w:instrText>ffix":""},{"dropping-particle":"","family":"Cappuyns","given":"P.","non-dropping-particle":"","parse-names":false,"suffix":""},{"dropping-particle":"","family":"Delaet","given":"U.","non-dropping-particle":"","parse-names":false,"suffix":""},{"dropping-particle":"","family":"Assche","given":"I.","non-dropping-particle":"Van","parse-names":false,"suffix":""},{"dropping-particle":"","family":"Beer","given":"T.","non-dropping-particle":"De","parse-names":false,"suffix":""},{"dropping-particle":"","family":"Remon","given":"J. P.","non-dropping-particle":"","parse-names":false,"suffix":""},{"dropping-particle":"","family":"Vervaet","given":"C.","non-dropping-particle":"","parse-names":false,"suffix":""}],"container-title":"International Journal of Pharmaceutics","id":"ITEM-3","issue":"1","issued":{"date-parts":[["2015"]]},"page":"171-180","publisher":"Elsevier B.V.","title":"Impact of screw configuration on the particle size distribution of granules produced by twin screw granulation","type":"article-journal","volume":"479"},"uris":["http://www.mendeley.com/documents/?uuid=e2742356-87a9-497f-9c7b-a0fe3f9d54f3"]}],"mendeley":{"formattedCitation":"(Portier et al., 2020c; Thompson and Sun, 2010; Vercruysse et al., 2015)","plainTextFormattedCitation":"(Portier et al., 2020c; Thompson and Sun, 2010; Vercruysse et al., 2015)","previouslyFormattedCitation":"[9,30,31]"},"properties":{"noteIndex":0},"schema":"https://github.com/citation-style-language/schema/raw/master/csl-citation.json"}</w:instrText>
      </w:r>
      <w:r w:rsidRPr="009B5335">
        <w:rPr>
          <w:lang w:val="en-GB"/>
        </w:rPr>
        <w:fldChar w:fldCharType="separate"/>
      </w:r>
      <w:r w:rsidR="003D65E2" w:rsidRPr="003D65E2">
        <w:rPr>
          <w:noProof/>
          <w:lang w:val="fr-FR"/>
        </w:rPr>
        <w:t>(Portier et al., 2020c; Thompson and Sun, 2010; Vercruysse et al., 2015)</w:t>
      </w:r>
      <w:r w:rsidRPr="009B5335">
        <w:rPr>
          <w:lang w:val="en-US"/>
        </w:rPr>
        <w:fldChar w:fldCharType="end"/>
      </w:r>
      <w:r w:rsidRPr="003D65E2">
        <w:rPr>
          <w:lang w:val="fr-FR"/>
        </w:rPr>
        <w:t xml:space="preserve">. </w:t>
      </w:r>
      <w:r w:rsidRPr="009B5335">
        <w:rPr>
          <w:lang w:val="en-GB"/>
        </w:rPr>
        <w:t xml:space="preserve">Further, only dry binders were added to the powder mixture. </w:t>
      </w:r>
    </w:p>
    <w:p w14:paraId="4DC26D04" w14:textId="1C64C36E" w:rsidR="00EA7445" w:rsidRPr="009B5335" w:rsidRDefault="00EA7445" w:rsidP="0038497A">
      <w:pPr>
        <w:spacing w:line="240" w:lineRule="auto"/>
        <w:rPr>
          <w:lang w:val="en-GB"/>
        </w:rPr>
      </w:pPr>
      <w:r>
        <w:rPr>
          <w:lang w:val="en-GB"/>
        </w:rPr>
        <w:t>The</w:t>
      </w:r>
      <w:r w:rsidRPr="009B5335">
        <w:rPr>
          <w:lang w:val="en-GB"/>
        </w:rPr>
        <w:t xml:space="preserve"> predictions, either for the cross-validation (Figure </w:t>
      </w:r>
      <w:r w:rsidR="00796B95">
        <w:rPr>
          <w:lang w:val="en-GB"/>
        </w:rPr>
        <w:t>7</w:t>
      </w:r>
      <w:r w:rsidRPr="009B5335">
        <w:rPr>
          <w:lang w:val="en-GB"/>
        </w:rPr>
        <w:t xml:space="preserve">) and the new formulation (Figure </w:t>
      </w:r>
      <w:r w:rsidR="00796B95">
        <w:rPr>
          <w:lang w:val="en-GB"/>
        </w:rPr>
        <w:t>12</w:t>
      </w:r>
      <w:r w:rsidRPr="009B5335">
        <w:rPr>
          <w:lang w:val="en-GB"/>
        </w:rPr>
        <w:t xml:space="preserve">), were not reliable for all process setting (lower MFR and lower L/S ratio). </w:t>
      </w:r>
      <w:r>
        <w:rPr>
          <w:lang w:val="en-GB"/>
        </w:rPr>
        <w:t>As</w:t>
      </w:r>
      <w:r w:rsidRPr="009B5335">
        <w:rPr>
          <w:lang w:val="en-GB"/>
        </w:rPr>
        <w:t xml:space="preserve"> TPLS </w:t>
      </w:r>
      <w:r>
        <w:rPr>
          <w:lang w:val="en-GB"/>
        </w:rPr>
        <w:t>is</w:t>
      </w:r>
      <w:r w:rsidRPr="009B5335">
        <w:rPr>
          <w:lang w:val="en-GB"/>
        </w:rPr>
        <w:t xml:space="preserve"> a linear regression technique</w:t>
      </w:r>
      <w:r>
        <w:rPr>
          <w:lang w:val="en-GB"/>
        </w:rPr>
        <w:t>, it allows</w:t>
      </w:r>
      <w:r w:rsidRPr="009B5335">
        <w:rPr>
          <w:lang w:val="en-GB"/>
        </w:rPr>
        <w:t xml:space="preserve"> a straightforward interpretation which gives an enhanced process understanding. However, this method has </w:t>
      </w:r>
      <w:r>
        <w:rPr>
          <w:lang w:val="en-GB"/>
        </w:rPr>
        <w:t>a lower</w:t>
      </w:r>
      <w:r w:rsidRPr="009B5335">
        <w:rPr>
          <w:lang w:val="en-GB"/>
        </w:rPr>
        <w:t xml:space="preserve"> predictive ability compared to non</w:t>
      </w:r>
      <w:r>
        <w:rPr>
          <w:lang w:val="en-GB"/>
        </w:rPr>
        <w:t>-</w:t>
      </w:r>
      <w:r w:rsidRPr="009B5335">
        <w:rPr>
          <w:lang w:val="en-GB"/>
        </w:rPr>
        <w:t xml:space="preserve">linear techniques </w:t>
      </w:r>
      <w:r w:rsidRPr="009B5335">
        <w:rPr>
          <w:lang w:val="en-GB"/>
        </w:rPr>
        <w:fldChar w:fldCharType="begin" w:fldLock="1"/>
      </w:r>
      <w:r w:rsidR="003D65E2">
        <w:rPr>
          <w:lang w:val="en-GB"/>
        </w:rPr>
        <w:instrText>ADDIN CSL_CITATION {"citationItems":[{"id":"ITEM-1","itemData":{"DOI":"10.1002","author":[{"dropping-particle":"","family":"Bylesjö","given":"M.","non-dropping-particle":"","parse-names":false,"suffix":""},{"dropping-particle":"","family":"Rantalainen","given":"M.","non-dropping-particle":"","parse-names":false,"suffix":""},{"dropping-particle":"","family":"Cloarec","given":"O.","non-dropping-particle":"","parse-names":false,"suffix":""},{"dropping-particle":"","family":"Nicholson","given":"J.","non-dropping-particle":"","parse-names":false,"suffix":""},{"dropping-particle":"","family":"Holmes","given":"E.","non-dropping-particle":"","parse-names":false,"suffix":""},{"dropping-particle":"","family":"Trygg","given":"J.","non-dropping-particle":"","parse-names":false,"suffix":""}],"container-title":"Journal of chemometrics","id":"ITEM-1","issued":{"date-parts":[["2006"]]},"page":"341-351","publisher":"Journal of Chemometrics","title":"OPLS discriminant analysis combining the strengthsof PLS-DA and SIMCA classiﬁcation","type":"article-journal","volume":"20"},"uris":["http://www.mendeley.com/documents/?uuid=aeec239e-8bb5-42b2-a1a5-931465a1f842"]}],"mendeley":{"formattedCitation":"(Bylesjö et al., 2006)","plainTextFormattedCitation":"(Bylesjö et al., 2006)","previouslyFormattedCitation":"[32]"},"properties":{"noteIndex":0},"schema":"https://github.com/citation-style-language/schema/raw/master/csl-citation.json"}</w:instrText>
      </w:r>
      <w:r w:rsidRPr="009B5335">
        <w:rPr>
          <w:lang w:val="en-GB"/>
        </w:rPr>
        <w:fldChar w:fldCharType="separate"/>
      </w:r>
      <w:r w:rsidR="003D65E2" w:rsidRPr="003D65E2">
        <w:rPr>
          <w:noProof/>
          <w:lang w:val="en-GB"/>
        </w:rPr>
        <w:t>(Bylesjö et al., 2006)</w:t>
      </w:r>
      <w:r w:rsidRPr="009B5335">
        <w:rPr>
          <w:lang w:val="en-US"/>
        </w:rPr>
        <w:fldChar w:fldCharType="end"/>
      </w:r>
      <w:r w:rsidRPr="009B5335">
        <w:rPr>
          <w:lang w:val="en-GB"/>
        </w:rPr>
        <w:t xml:space="preserve">. </w:t>
      </w:r>
    </w:p>
    <w:p w14:paraId="36DD1150" w14:textId="77777777" w:rsidR="00EA7445" w:rsidRPr="009B5335" w:rsidRDefault="00EA7445" w:rsidP="0038497A">
      <w:pPr>
        <w:spacing w:line="240" w:lineRule="auto"/>
        <w:rPr>
          <w:lang w:val="en-GB"/>
        </w:rPr>
      </w:pPr>
      <w:r w:rsidRPr="009B5335">
        <w:rPr>
          <w:lang w:val="en-GB"/>
        </w:rPr>
        <w:t>Multiple studies have already shown interactions (i.e., non-linear correlations) between different process setting</w:t>
      </w:r>
      <w:r>
        <w:rPr>
          <w:lang w:val="en-GB"/>
        </w:rPr>
        <w:t>s</w:t>
      </w:r>
      <w:r w:rsidRPr="009B5335">
        <w:rPr>
          <w:lang w:val="en-GB"/>
        </w:rPr>
        <w:t xml:space="preserve"> (MFR, screw speed and/or L/S ratio) (6,22–26). Most likely </w:t>
      </w:r>
      <w:r w:rsidRPr="009B5335">
        <w:rPr>
          <w:lang w:val="en-GB"/>
        </w:rPr>
        <w:lastRenderedPageBreak/>
        <w:t>interactions between the process settings or between raw material propert</w:t>
      </w:r>
      <w:r>
        <w:rPr>
          <w:lang w:val="en-GB"/>
        </w:rPr>
        <w:t>ies</w:t>
      </w:r>
      <w:r w:rsidRPr="009B5335">
        <w:rPr>
          <w:lang w:val="en-GB"/>
        </w:rPr>
        <w:t xml:space="preserve"> and process setting</w:t>
      </w:r>
      <w:r>
        <w:rPr>
          <w:lang w:val="en-GB"/>
        </w:rPr>
        <w:t>s</w:t>
      </w:r>
      <w:r w:rsidRPr="009B5335">
        <w:rPr>
          <w:lang w:val="en-GB"/>
        </w:rPr>
        <w:t xml:space="preserve"> occurred, resulting in a non-linear correlation with the granule quality. In addition, extreme formulations (e.g., formulation 5 </w:t>
      </w:r>
      <w:r>
        <w:rPr>
          <w:lang w:val="en-GB"/>
        </w:rPr>
        <w:t>which lacked</w:t>
      </w:r>
      <w:r w:rsidRPr="009B5335">
        <w:rPr>
          <w:lang w:val="en-GB"/>
        </w:rPr>
        <w:t xml:space="preserve"> </w:t>
      </w:r>
      <w:r>
        <w:rPr>
          <w:lang w:val="en-GB"/>
        </w:rPr>
        <w:t>soluble</w:t>
      </w:r>
      <w:r w:rsidRPr="009B5335">
        <w:rPr>
          <w:lang w:val="en-GB"/>
        </w:rPr>
        <w:t xml:space="preserve"> components</w:t>
      </w:r>
      <w:r>
        <w:rPr>
          <w:lang w:val="en-GB"/>
        </w:rPr>
        <w:t xml:space="preserve"> and</w:t>
      </w:r>
      <w:r w:rsidRPr="009B5335">
        <w:rPr>
          <w:lang w:val="en-GB"/>
        </w:rPr>
        <w:t xml:space="preserve"> which was processed with L/S ratios up to 84 %) were selected for the granulation experiments. This is beneficial for process understanding as the inclusion of more divergent formulations </w:t>
      </w:r>
      <w:r>
        <w:rPr>
          <w:lang w:val="en-GB"/>
        </w:rPr>
        <w:t>allows</w:t>
      </w:r>
      <w:r w:rsidRPr="009B5335">
        <w:rPr>
          <w:lang w:val="en-GB"/>
        </w:rPr>
        <w:t xml:space="preserve"> to highlight the most influencing raw material properties. In addition, a more divergent dataset</w:t>
      </w:r>
      <w:r>
        <w:rPr>
          <w:lang w:val="en-GB"/>
        </w:rPr>
        <w:t xml:space="preserve"> also</w:t>
      </w:r>
      <w:r w:rsidRPr="009B5335">
        <w:rPr>
          <w:lang w:val="en-GB"/>
        </w:rPr>
        <w:t xml:space="preserve"> increases the </w:t>
      </w:r>
      <w:r>
        <w:rPr>
          <w:lang w:val="en-GB"/>
        </w:rPr>
        <w:t>probability</w:t>
      </w:r>
      <w:r w:rsidRPr="009B5335">
        <w:rPr>
          <w:lang w:val="en-GB"/>
        </w:rPr>
        <w:t xml:space="preserve"> that a future API </w:t>
      </w:r>
      <w:r>
        <w:rPr>
          <w:lang w:val="en-GB"/>
        </w:rPr>
        <w:t>will</w:t>
      </w:r>
      <w:r w:rsidRPr="009B5335">
        <w:rPr>
          <w:lang w:val="en-GB"/>
        </w:rPr>
        <w:t xml:space="preserve"> fall within the already investigated ranges (i.e., the regressor space). However, the very divergent formulations processed with different process settings result</w:t>
      </w:r>
      <w:r>
        <w:rPr>
          <w:lang w:val="en-GB"/>
        </w:rPr>
        <w:t>ed</w:t>
      </w:r>
      <w:r w:rsidRPr="009B5335">
        <w:rPr>
          <w:lang w:val="en-GB"/>
        </w:rPr>
        <w:t xml:space="preserve"> in diverse granule quality attributes. This enlarges the regressor space, </w:t>
      </w:r>
      <w:r>
        <w:rPr>
          <w:lang w:val="en-GB"/>
        </w:rPr>
        <w:t>making it more complicated</w:t>
      </w:r>
      <w:r w:rsidRPr="009B5335">
        <w:rPr>
          <w:lang w:val="en-GB"/>
        </w:rPr>
        <w:t xml:space="preserve"> to find the correct real values in that space. In general, the addition of granulation experiments, performed with new API</w:t>
      </w:r>
      <w:r>
        <w:rPr>
          <w:lang w:val="en-GB"/>
        </w:rPr>
        <w:t>s</w:t>
      </w:r>
      <w:r w:rsidRPr="009B5335">
        <w:rPr>
          <w:lang w:val="en-GB"/>
        </w:rPr>
        <w:t xml:space="preserve"> or excipients, </w:t>
      </w:r>
      <w:r>
        <w:rPr>
          <w:lang w:val="en-GB"/>
        </w:rPr>
        <w:t>will</w:t>
      </w:r>
      <w:r w:rsidRPr="009B5335">
        <w:rPr>
          <w:lang w:val="en-GB"/>
        </w:rPr>
        <w:t xml:space="preserve"> also increase the predictive ability of the TPLS model because it is a data-driven model. The large database can also be used for other predictions such as non-linear PLS. As these techniques make non-linear correlations, the</w:t>
      </w:r>
      <w:r>
        <w:rPr>
          <w:lang w:val="en-GB"/>
        </w:rPr>
        <w:t>ir</w:t>
      </w:r>
      <w:r w:rsidRPr="009B5335">
        <w:rPr>
          <w:lang w:val="en-GB"/>
        </w:rPr>
        <w:t xml:space="preserve"> predictions may be closer to the real values.</w:t>
      </w:r>
    </w:p>
    <w:p w14:paraId="59EE0240" w14:textId="77777777" w:rsidR="00EA7445" w:rsidRPr="007411D3" w:rsidRDefault="00EA7445" w:rsidP="0038497A">
      <w:pPr>
        <w:pStyle w:val="Kop1"/>
        <w:numPr>
          <w:ilvl w:val="0"/>
          <w:numId w:val="20"/>
        </w:numPr>
        <w:spacing w:line="240" w:lineRule="auto"/>
      </w:pPr>
      <w:r w:rsidRPr="007411D3">
        <w:t>conclusions</w:t>
      </w:r>
    </w:p>
    <w:p w14:paraId="1AD94970" w14:textId="77777777" w:rsidR="00EA7445" w:rsidRPr="009B5335" w:rsidRDefault="00EA7445" w:rsidP="0038497A">
      <w:pPr>
        <w:spacing w:line="240" w:lineRule="auto"/>
        <w:rPr>
          <w:lang w:val="en-GB"/>
        </w:rPr>
      </w:pPr>
      <w:r w:rsidRPr="009B5335">
        <w:rPr>
          <w:lang w:val="en-GB"/>
        </w:rPr>
        <w:t xml:space="preserve">In this study, a TPLS model was developed to link raw material properties, the ratios in which these raw materials were combined and the applied process parameters for </w:t>
      </w:r>
      <w:r>
        <w:rPr>
          <w:lang w:val="en-GB"/>
        </w:rPr>
        <w:t>a</w:t>
      </w:r>
      <w:r w:rsidRPr="009B5335">
        <w:rPr>
          <w:lang w:val="en-GB"/>
        </w:rPr>
        <w:t xml:space="preserve"> twin-screw wet granulation process. Very divergent APIs and excipients were combined for granulation experiments under different process settings. This allowed to enhance the process understanding of the granulation process. First, the effect of the different raw material properties on granule quality was studied</w:t>
      </w:r>
      <w:r>
        <w:rPr>
          <w:lang w:val="en-GB"/>
        </w:rPr>
        <w:t>. The</w:t>
      </w:r>
      <w:r w:rsidRPr="009B5335">
        <w:rPr>
          <w:lang w:val="en-GB"/>
        </w:rPr>
        <w:t xml:space="preserve"> variability in dissolution rate, compressibility, water binding capacity, powder density and solubility </w:t>
      </w:r>
      <w:r>
        <w:rPr>
          <w:lang w:val="en-GB"/>
        </w:rPr>
        <w:t>affected</w:t>
      </w:r>
      <w:r w:rsidRPr="009B5335">
        <w:rPr>
          <w:lang w:val="en-GB"/>
        </w:rPr>
        <w:t xml:space="preserve"> the variability in granule quality</w:t>
      </w:r>
      <w:r w:rsidRPr="000D5DD4">
        <w:rPr>
          <w:lang w:val="en-GB"/>
        </w:rPr>
        <w:t xml:space="preserve"> </w:t>
      </w:r>
      <w:r>
        <w:rPr>
          <w:lang w:val="en-GB"/>
        </w:rPr>
        <w:t xml:space="preserve">the </w:t>
      </w:r>
      <w:r w:rsidRPr="009B5335">
        <w:rPr>
          <w:lang w:val="en-GB"/>
        </w:rPr>
        <w:t xml:space="preserve">most. Overall, the raw material properties were more influencing the granule quality attributes than the process parameters. Further, the predictive ability of the TPLS model was used to select a suitable formulation for a new API. A first run of predictions suggested to use lactose 200M, microcrystalline cellulose PH101 and HPMC E5 as suitable excipients </w:t>
      </w:r>
      <w:r>
        <w:rPr>
          <w:lang w:val="en-GB"/>
        </w:rPr>
        <w:t>in combination with</w:t>
      </w:r>
      <w:r w:rsidRPr="009B5335">
        <w:rPr>
          <w:lang w:val="en-GB"/>
        </w:rPr>
        <w:t xml:space="preserve"> different API contents. However, the comparison of the </w:t>
      </w:r>
      <w:r>
        <w:rPr>
          <w:lang w:val="en-GB"/>
        </w:rPr>
        <w:t>experimental</w:t>
      </w:r>
      <w:r w:rsidRPr="009B5335">
        <w:rPr>
          <w:lang w:val="en-GB"/>
        </w:rPr>
        <w:t xml:space="preserve"> granule quality with the predicted granule quality at different process setting</w:t>
      </w:r>
      <w:r>
        <w:rPr>
          <w:lang w:val="en-GB"/>
        </w:rPr>
        <w:t>s indicated that the predictive ability of TPLS was only valid at specific process settings.</w:t>
      </w:r>
      <w:r w:rsidRPr="009B5335">
        <w:rPr>
          <w:lang w:val="en-GB"/>
        </w:rPr>
        <w:t xml:space="preserve"> </w:t>
      </w:r>
      <w:r>
        <w:rPr>
          <w:lang w:val="en-GB"/>
        </w:rPr>
        <w:t>However, d</w:t>
      </w:r>
      <w:r w:rsidRPr="009B5335">
        <w:rPr>
          <w:lang w:val="en-GB"/>
        </w:rPr>
        <w:t>espite the current pitfalls, the TPLS model has the potential to predict a reasonable starting</w:t>
      </w:r>
      <w:r>
        <w:rPr>
          <w:lang w:val="en-GB"/>
        </w:rPr>
        <w:t xml:space="preserve"> point</w:t>
      </w:r>
      <w:r w:rsidRPr="009B5335">
        <w:rPr>
          <w:lang w:val="en-GB"/>
        </w:rPr>
        <w:t xml:space="preserve"> for formulation and process parameters for new APIs. This approach can reduce the experimental effort, the consumption of the expensive API and the development time to select a suitable formulation and to find optimal process parameters during product development. In a next step, other modelling techniques such as non-linear PLS can be used to increase the predictive power. </w:t>
      </w:r>
    </w:p>
    <w:p w14:paraId="1CE30EA7" w14:textId="77777777" w:rsidR="00EA7445" w:rsidRPr="009B5335" w:rsidRDefault="00EA7445" w:rsidP="0038497A">
      <w:pPr>
        <w:pStyle w:val="Kop2"/>
        <w:spacing w:line="240" w:lineRule="auto"/>
        <w:rPr>
          <w:lang w:val="en-GB"/>
        </w:rPr>
      </w:pPr>
      <w:r w:rsidRPr="009B5335">
        <w:rPr>
          <w:lang w:val="en-GB"/>
        </w:rPr>
        <w:t>Acknowledgments</w:t>
      </w:r>
    </w:p>
    <w:p w14:paraId="55C4ED2B" w14:textId="7D9DF60A" w:rsidR="00EA7445" w:rsidRDefault="0038497A" w:rsidP="002430EF">
      <w:pPr>
        <w:spacing w:line="240" w:lineRule="auto"/>
        <w:jc w:val="left"/>
        <w:rPr>
          <w:lang w:val="en-GB"/>
        </w:rPr>
      </w:pPr>
      <w:r w:rsidRPr="00A3477F">
        <w:rPr>
          <w:lang w:val="en-GB"/>
        </w:rPr>
        <w:t>This work was supported by</w:t>
      </w:r>
      <w:r>
        <w:rPr>
          <w:lang w:val="en-GB"/>
        </w:rPr>
        <w:t xml:space="preserve"> Bayer AG.</w:t>
      </w:r>
      <w:r w:rsidRPr="007F3DE0">
        <w:rPr>
          <w:lang w:val="en-GB"/>
        </w:rPr>
        <w:t xml:space="preserve"> </w:t>
      </w:r>
      <w:r>
        <w:rPr>
          <w:lang w:val="en-GB"/>
        </w:rPr>
        <w:br/>
      </w:r>
      <w:r w:rsidR="00EA7445" w:rsidRPr="009B5335">
        <w:rPr>
          <w:lang w:val="en-GB"/>
        </w:rPr>
        <w:t>The authors would like to thank Salvador</w:t>
      </w:r>
      <w:r w:rsidR="00EA7445">
        <w:rPr>
          <w:lang w:val="en-GB"/>
        </w:rPr>
        <w:t xml:space="preserve"> </w:t>
      </w:r>
      <w:proofErr w:type="spellStart"/>
      <w:r w:rsidR="00EA7445" w:rsidRPr="009B5335">
        <w:rPr>
          <w:lang w:val="en-GB"/>
        </w:rPr>
        <w:t>Garçia</w:t>
      </w:r>
      <w:proofErr w:type="spellEnd"/>
      <w:r w:rsidR="00EA7445" w:rsidRPr="009B5335">
        <w:rPr>
          <w:lang w:val="en-GB"/>
        </w:rPr>
        <w:t>-Muñoz for the lectures on the use of multivariate data in pharmaceutical development and providing access to the Phi_1.8 toolbox.</w:t>
      </w:r>
      <w:r>
        <w:rPr>
          <w:lang w:val="en-GB"/>
        </w:rPr>
        <w:t xml:space="preserve"> </w:t>
      </w:r>
      <w:r w:rsidR="00166822">
        <w:rPr>
          <w:lang w:val="en-GB"/>
        </w:rPr>
        <w:t xml:space="preserve">The authors also would like to thank Lise </w:t>
      </w:r>
      <w:r w:rsidR="00EC2588" w:rsidRPr="0038497A">
        <w:rPr>
          <w:rFonts w:ascii="Calibri" w:hAnsi="Calibri" w:cs="Calibri"/>
          <w:noProof/>
          <w:szCs w:val="24"/>
          <w:lang w:val="en-GB"/>
        </w:rPr>
        <w:t>Vandevivere</w:t>
      </w:r>
      <w:r w:rsidR="00EC2588">
        <w:rPr>
          <w:lang w:val="en-GB"/>
        </w:rPr>
        <w:t xml:space="preserve"> </w:t>
      </w:r>
      <w:r w:rsidR="00166822">
        <w:rPr>
          <w:lang w:val="en-GB"/>
        </w:rPr>
        <w:t>for providing data on the binders</w:t>
      </w:r>
      <w:r w:rsidR="000052F7">
        <w:rPr>
          <w:lang w:val="en-GB"/>
        </w:rPr>
        <w:t xml:space="preserve"> and Aki Silander for the contribution to the experimental work.</w:t>
      </w:r>
      <w:r w:rsidR="00EA7445">
        <w:rPr>
          <w:lang w:val="en-GB"/>
        </w:rPr>
        <w:br w:type="page"/>
      </w:r>
    </w:p>
    <w:p w14:paraId="7ECB75EA" w14:textId="77777777" w:rsidR="00EA7445" w:rsidRPr="007411D3" w:rsidRDefault="00EA7445" w:rsidP="0038497A">
      <w:pPr>
        <w:spacing w:line="240" w:lineRule="auto"/>
        <w:rPr>
          <w:b/>
          <w:bCs/>
          <w:lang w:val="en-GB"/>
        </w:rPr>
      </w:pPr>
      <w:r w:rsidRPr="007411D3">
        <w:rPr>
          <w:b/>
          <w:bCs/>
          <w:lang w:val="en-GB"/>
        </w:rPr>
        <w:lastRenderedPageBreak/>
        <w:t>References</w:t>
      </w:r>
    </w:p>
    <w:p w14:paraId="65D4ED1C" w14:textId="7FE77A8B" w:rsidR="003D65E2" w:rsidRPr="00FB47DD" w:rsidRDefault="00EA7445" w:rsidP="003D65E2">
      <w:pPr>
        <w:widowControl w:val="0"/>
        <w:autoSpaceDE w:val="0"/>
        <w:autoSpaceDN w:val="0"/>
        <w:adjustRightInd w:val="0"/>
        <w:spacing w:line="240" w:lineRule="auto"/>
        <w:ind w:left="480" w:hanging="480"/>
        <w:rPr>
          <w:rFonts w:ascii="Calibri" w:hAnsi="Calibri" w:cs="Calibri"/>
          <w:noProof/>
          <w:szCs w:val="24"/>
          <w:lang w:val="en-GB"/>
        </w:rPr>
      </w:pPr>
      <w:r w:rsidRPr="009B5335">
        <w:rPr>
          <w:lang w:val="en-GB"/>
        </w:rPr>
        <w:fldChar w:fldCharType="begin" w:fldLock="1"/>
      </w:r>
      <w:r w:rsidRPr="009B5335">
        <w:rPr>
          <w:lang w:val="en-GB"/>
        </w:rPr>
        <w:instrText xml:space="preserve">ADDIN Mendeley Bibliography CSL_BIBLIOGRAPHY </w:instrText>
      </w:r>
      <w:r w:rsidRPr="009B5335">
        <w:rPr>
          <w:lang w:val="en-GB"/>
        </w:rPr>
        <w:fldChar w:fldCharType="separate"/>
      </w:r>
      <w:r w:rsidR="003D65E2" w:rsidRPr="00FB47DD">
        <w:rPr>
          <w:rFonts w:ascii="Calibri" w:hAnsi="Calibri" w:cs="Calibri"/>
          <w:noProof/>
          <w:szCs w:val="24"/>
          <w:lang w:val="en-GB"/>
        </w:rPr>
        <w:t>Bylesjö, M., Rantalainen, M., Cloarec, O., Nicholson, J., Holmes, E., Trygg, J., 2006. OPLS discriminant analysis combining the strengthsof PLS-DA and SIMCA classi</w:t>
      </w:r>
      <w:r w:rsidR="003D65E2" w:rsidRPr="003D65E2">
        <w:rPr>
          <w:rFonts w:ascii="Calibri" w:hAnsi="Calibri" w:cs="Calibri"/>
          <w:noProof/>
          <w:szCs w:val="24"/>
        </w:rPr>
        <w:t>ﬁ</w:t>
      </w:r>
      <w:r w:rsidR="003D65E2" w:rsidRPr="00FB47DD">
        <w:rPr>
          <w:rFonts w:ascii="Calibri" w:hAnsi="Calibri" w:cs="Calibri"/>
          <w:noProof/>
          <w:szCs w:val="24"/>
          <w:lang w:val="en-GB"/>
        </w:rPr>
        <w:t>cation. J. Chemom. 20, 341–351. https://doi.org/10.1002</w:t>
      </w:r>
    </w:p>
    <w:p w14:paraId="349929F5"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Dhenge, R.M., Cartwright, J.J., Doughty, D.G., Hounslow, M.J., Salman, A.D., 2011. Twin screw wet granulation: Effect of powder feed rate. Adv. Powder Technol. 22, 162–166. https://doi.org/10.1016/j.apt.2010.09.004</w:t>
      </w:r>
    </w:p>
    <w:p w14:paraId="72EB6D39"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Dhenge, R.M., Cartwright, J.J., Hounslow, M.J., Salman, A.D., 2012a. Twin screw granulation: Steps in granule growth. Int. J. Pharm. 438, 20–32. https://doi.org/10.1016/j.ijpharm.2012.08.049</w:t>
      </w:r>
    </w:p>
    <w:p w14:paraId="4CCA2003"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Dhenge, R.M., Cartwright, J.J., Hounslow, M.J., Salman, A.D., 2012b. Twin screw wet granulation: Effects of properties of granulation liquid. Powder Technol. 229, 126–136. https://doi.org/10.1016/j.powtec.2012.06.019</w:t>
      </w:r>
    </w:p>
    <w:p w14:paraId="013AFA1F"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Dhenge, R.M., Fyles, R.S., Cartwright, J.J., Doughty, D.G., Hounslow, M.J., Salman, A.D., 2010. Twin screw wet granulation: Granule properties. Chem. Eng. J. 164, 322–329. https://doi.org/10.1016/j.cej.2010.05.023</w:t>
      </w:r>
    </w:p>
    <w:p w14:paraId="4E9A215F"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Djuric, D., Kleinebudde, P., 2010. Continuous granulation with a twin-screw extruder: Impact of material throughput. Pharm. Dev. Technol. 15, 518–525. https://doi.org/10.3109/10837450903397578</w:t>
      </w:r>
    </w:p>
    <w:p w14:paraId="09FF1681"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Fonteyne, M., Correia, A., Plecker, D., Vercruysse, J., Ili, I., Zhou, Q., Vervaet, C., Remon, J.P., Onofre, F., Bulone, V., Beer, T. De, 2015. Impact of microcrystalline cellulose material attributes : A case study on continuous twin screw granulation 478, 705–717.</w:t>
      </w:r>
    </w:p>
    <w:p w14:paraId="1A0EFB67"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Fonteyne, M., Wickström, H., Peeters, E., Vercruysse, J., Ehlers, H., Peters, B.H., Remon, J.P., Vervaet, C., Ketolainen, J., Sandler, N., Rantanen, J., Naelapää, K., Beer, T. De, 2014. Influence of raw material properties upon critical quality attributes of continuously produced granules and tablets. Eur. J. Pharm. Biopharm. 87, 252–263. https://doi.org/10.1016/j.ejpb.2014.02.011</w:t>
      </w:r>
    </w:p>
    <w:p w14:paraId="4BCF5C29"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Garcia-Munoz, S., 2014. Two novel methods to analyze the combined effect of multiple raw-materials and processing conditions on the product’s final attributes: JRPLS and TPLS. Chemom. Intell. Lab. Syst. 133, 49–62. https://doi.org/10.1016/j.chemolab.2014.02.006</w:t>
      </w:r>
    </w:p>
    <w:p w14:paraId="6D0F5E25"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Hwang, K.M., Cho, C.H., Yoo, S.D., Cha, K.I., Park, E.S., 2019. Continuous twin screw granulation: Impact of the starting material properties and various process parameters. Powder Technol. 356, 847–857. https://doi.org/10.1016/j.powtec.2019.08.062</w:t>
      </w:r>
    </w:p>
    <w:p w14:paraId="019B95B3"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Keleb, E.I., Vermeire, A., Vervaet, C., Remon, J.P., 2004. Twin screw granulation as a simple and efficient tool for continuous wet granulation. Int. J. Pharm. 273, 183–194. https://doi.org/10.1016/j.ijpharm.2004.01.001</w:t>
      </w:r>
    </w:p>
    <w:p w14:paraId="48CAA900"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 xml:space="preserve">Lee, S.L., O’Connor, T.F., Yang, X., Cruz, C.N., Chatterjee, S., Madurawe, R.D., Moore, C.M.V., </w:t>
      </w:r>
      <w:r w:rsidRPr="00FB47DD">
        <w:rPr>
          <w:rFonts w:ascii="Calibri" w:hAnsi="Calibri" w:cs="Calibri"/>
          <w:noProof/>
          <w:szCs w:val="24"/>
          <w:lang w:val="en-GB"/>
        </w:rPr>
        <w:lastRenderedPageBreak/>
        <w:t>Yu, L.X., Woodcock, J., 2015. Modernizing Pharmaceutical Manufacturing: from Batch to Continuous Production. J. Pharm. Innov. 10, 191–199. https://doi.org/10.1007/s12247-015-9215-8</w:t>
      </w:r>
    </w:p>
    <w:p w14:paraId="21C24EF4"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Lute, S. V., Dhenge, R.M., Salman, A.D., 2018. Twin screw granulation: Effects of properties of primary powders. Pharmaceutics 10. https://doi.org/10.3390/pharmaceutics10020068</w:t>
      </w:r>
    </w:p>
    <w:p w14:paraId="365B9F70"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Meier, R., Moll, K.P., Krumme, M., Kleinebudde, P., 2017. Impact of fill-level in twin-screw granulation on critical quality attributes of granules and tablets. Eur. J. Pharm. Biopharm. 115, 102–112. https://doi.org/10.1016/j.ejpb.2017.02.010</w:t>
      </w:r>
    </w:p>
    <w:p w14:paraId="74005963" w14:textId="77777777" w:rsidR="003D65E2" w:rsidRPr="003D65E2" w:rsidRDefault="003D65E2" w:rsidP="003D65E2">
      <w:pPr>
        <w:widowControl w:val="0"/>
        <w:autoSpaceDE w:val="0"/>
        <w:autoSpaceDN w:val="0"/>
        <w:adjustRightInd w:val="0"/>
        <w:spacing w:line="240" w:lineRule="auto"/>
        <w:ind w:left="480" w:hanging="480"/>
        <w:rPr>
          <w:rFonts w:ascii="Calibri" w:hAnsi="Calibri" w:cs="Calibri"/>
          <w:noProof/>
          <w:szCs w:val="24"/>
        </w:rPr>
      </w:pPr>
      <w:r w:rsidRPr="00FB47DD">
        <w:rPr>
          <w:rFonts w:ascii="Calibri" w:hAnsi="Calibri" w:cs="Calibri"/>
          <w:noProof/>
          <w:szCs w:val="24"/>
          <w:lang w:val="en-GB"/>
        </w:rPr>
        <w:t xml:space="preserve">Nelson, P.R.C., Taylor, P.A., MacGregor, J.F., 1996. Missing data methods in PCA and PLS: Score calculations with incomplete observations. </w:t>
      </w:r>
      <w:r w:rsidRPr="003D65E2">
        <w:rPr>
          <w:rFonts w:ascii="Calibri" w:hAnsi="Calibri" w:cs="Calibri"/>
          <w:noProof/>
          <w:szCs w:val="24"/>
        </w:rPr>
        <w:t>Chemom. Intell. Lab. Syst. 35, 45–65. https://doi.org/10.1016/S0169-7439(96)00007-X</w:t>
      </w:r>
    </w:p>
    <w:p w14:paraId="4C7212AA" w14:textId="77777777" w:rsidR="003D65E2" w:rsidRPr="003D65E2" w:rsidRDefault="003D65E2" w:rsidP="003D65E2">
      <w:pPr>
        <w:widowControl w:val="0"/>
        <w:autoSpaceDE w:val="0"/>
        <w:autoSpaceDN w:val="0"/>
        <w:adjustRightInd w:val="0"/>
        <w:spacing w:line="240" w:lineRule="auto"/>
        <w:ind w:left="480" w:hanging="480"/>
        <w:rPr>
          <w:rFonts w:ascii="Calibri" w:hAnsi="Calibri" w:cs="Calibri"/>
          <w:noProof/>
          <w:szCs w:val="24"/>
        </w:rPr>
      </w:pPr>
      <w:r w:rsidRPr="003D65E2">
        <w:rPr>
          <w:rFonts w:ascii="Calibri" w:hAnsi="Calibri" w:cs="Calibri"/>
          <w:noProof/>
          <w:szCs w:val="24"/>
        </w:rPr>
        <w:t xml:space="preserve">Portier, C., De Vriendt, C., Vigh, T., Di Pretoro, G., De Beer, T., Vervaet, C., Vanhoorne, V., 2020a. </w:t>
      </w:r>
      <w:r w:rsidRPr="00FB47DD">
        <w:rPr>
          <w:rFonts w:ascii="Calibri" w:hAnsi="Calibri" w:cs="Calibri"/>
          <w:noProof/>
          <w:szCs w:val="24"/>
          <w:lang w:val="en-GB"/>
        </w:rPr>
        <w:t xml:space="preserve">Continuous twin screw granulation: Robustness of lactose/MCC-based formulations. </w:t>
      </w:r>
      <w:r w:rsidRPr="003D65E2">
        <w:rPr>
          <w:rFonts w:ascii="Calibri" w:hAnsi="Calibri" w:cs="Calibri"/>
          <w:noProof/>
          <w:szCs w:val="24"/>
        </w:rPr>
        <w:t>Int. J. Pharm. 588, 119756. https://doi.org/10.1016/j.ijpharm.2020.119756</w:t>
      </w:r>
    </w:p>
    <w:p w14:paraId="4F42EC95" w14:textId="77777777" w:rsidR="003D65E2" w:rsidRPr="003D65E2" w:rsidRDefault="003D65E2" w:rsidP="003D65E2">
      <w:pPr>
        <w:widowControl w:val="0"/>
        <w:autoSpaceDE w:val="0"/>
        <w:autoSpaceDN w:val="0"/>
        <w:adjustRightInd w:val="0"/>
        <w:spacing w:line="240" w:lineRule="auto"/>
        <w:ind w:left="480" w:hanging="480"/>
        <w:rPr>
          <w:rFonts w:ascii="Calibri" w:hAnsi="Calibri" w:cs="Calibri"/>
          <w:noProof/>
          <w:szCs w:val="24"/>
        </w:rPr>
      </w:pPr>
      <w:r w:rsidRPr="003D65E2">
        <w:rPr>
          <w:rFonts w:ascii="Calibri" w:hAnsi="Calibri" w:cs="Calibri"/>
          <w:noProof/>
          <w:szCs w:val="24"/>
        </w:rPr>
        <w:t xml:space="preserve">Portier, C., Pandelaere, K., Delaet, U., Vigh, T., Di Pretoro, G., De Beer, T., Vervaet, C., Vanhoorne, V., 2020b. </w:t>
      </w:r>
      <w:r w:rsidRPr="00FB47DD">
        <w:rPr>
          <w:rFonts w:ascii="Calibri" w:hAnsi="Calibri" w:cs="Calibri"/>
          <w:noProof/>
          <w:szCs w:val="24"/>
          <w:lang w:val="en-GB"/>
        </w:rPr>
        <w:t xml:space="preserve">Continuous twin screw granulation: A complex interplay between formulation properties, process settings and screw design. </w:t>
      </w:r>
      <w:r w:rsidRPr="003D65E2">
        <w:rPr>
          <w:rFonts w:ascii="Calibri" w:hAnsi="Calibri" w:cs="Calibri"/>
          <w:noProof/>
          <w:szCs w:val="24"/>
        </w:rPr>
        <w:t>Int. J. Pharm. 576, 119004. https://doi.org/10.1016/j.ijpharm.2019.119004</w:t>
      </w:r>
    </w:p>
    <w:p w14:paraId="557AEE63"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3D65E2">
        <w:rPr>
          <w:rFonts w:ascii="Calibri" w:hAnsi="Calibri" w:cs="Calibri"/>
          <w:noProof/>
          <w:szCs w:val="24"/>
        </w:rPr>
        <w:t xml:space="preserve">Portier, C., Pandelaere, K., Delaet, U., Vigh, T., Kumar, A., Di Pretoro, G., De Beer, T., Vervaet, C., Vanhoorne, V., 2020c. </w:t>
      </w:r>
      <w:r w:rsidRPr="00FB47DD">
        <w:rPr>
          <w:rFonts w:ascii="Calibri" w:hAnsi="Calibri" w:cs="Calibri"/>
          <w:noProof/>
          <w:szCs w:val="24"/>
          <w:lang w:val="en-GB"/>
        </w:rPr>
        <w:t>Continuous twin screw granulation: Influence of process and formulation variables on granule quality attributes of model formulations. Int. J. Pharm. 576, 118981. https://doi.org/10.1016/j.ijpharm.2019.118981</w:t>
      </w:r>
    </w:p>
    <w:p w14:paraId="68183922"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de-DE"/>
        </w:rPr>
      </w:pPr>
      <w:r w:rsidRPr="00FB47DD">
        <w:rPr>
          <w:rFonts w:ascii="Calibri" w:hAnsi="Calibri" w:cs="Calibri"/>
          <w:noProof/>
          <w:szCs w:val="24"/>
          <w:lang w:val="en-GB"/>
        </w:rPr>
        <w:t xml:space="preserve">Schulze, D., 2008. Practical determination of flow properties, in: Powders and Bulk Solids: Behavior, Characterization, Storage and Flow. </w:t>
      </w:r>
      <w:r w:rsidRPr="00FB47DD">
        <w:rPr>
          <w:rFonts w:ascii="Calibri" w:hAnsi="Calibri" w:cs="Calibri"/>
          <w:noProof/>
          <w:szCs w:val="24"/>
          <w:lang w:val="de-DE"/>
        </w:rPr>
        <w:t>Springer Berlin Heidelberg, Berlin, Heidelberg, pp. 75–111. https://doi.org/10.1007/978-3-540-73768-1_4</w:t>
      </w:r>
    </w:p>
    <w:p w14:paraId="0454C025"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de-DE"/>
        </w:rPr>
        <w:t xml:space="preserve">Thompson, M.R., 2015. </w:t>
      </w:r>
      <w:r w:rsidRPr="00FB47DD">
        <w:rPr>
          <w:rFonts w:ascii="Calibri" w:hAnsi="Calibri" w:cs="Calibri"/>
          <w:noProof/>
          <w:szCs w:val="24"/>
          <w:lang w:val="en-GB"/>
        </w:rPr>
        <w:t>Twin screw granulation-review of current progress. Drug Dev. Ind. Pharm. 41, 1223–1231. https://doi.org/10.3109/03639045.2014.983931</w:t>
      </w:r>
    </w:p>
    <w:p w14:paraId="425C0968"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it-IT"/>
        </w:rPr>
      </w:pPr>
      <w:r w:rsidRPr="00FB47DD">
        <w:rPr>
          <w:rFonts w:ascii="Calibri" w:hAnsi="Calibri" w:cs="Calibri"/>
          <w:noProof/>
          <w:szCs w:val="24"/>
          <w:lang w:val="en-GB"/>
        </w:rPr>
        <w:t xml:space="preserve">Thompson, M.R., Sun, J., 2010. Wet Granulation in a Twin‐Screw Extruder: Implications of Screw Design. </w:t>
      </w:r>
      <w:r w:rsidRPr="00FB47DD">
        <w:rPr>
          <w:rFonts w:ascii="Calibri" w:hAnsi="Calibri" w:cs="Calibri"/>
          <w:noProof/>
          <w:szCs w:val="24"/>
          <w:lang w:val="it-IT"/>
        </w:rPr>
        <w:t>J. Pharm. Sci. 99, 2090–2103. https://doi.org/10.1002/JPS.21973</w:t>
      </w:r>
    </w:p>
    <w:p w14:paraId="5FE1BCF0"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it-IT"/>
        </w:rPr>
        <w:t xml:space="preserve">Triguero, I., Maillo, J., Luengo, J., Garcia, S., Herrera, F., 2017. </w:t>
      </w:r>
      <w:r w:rsidRPr="00FB47DD">
        <w:rPr>
          <w:rFonts w:ascii="Calibri" w:hAnsi="Calibri" w:cs="Calibri"/>
          <w:noProof/>
          <w:szCs w:val="24"/>
          <w:lang w:val="en-GB"/>
        </w:rPr>
        <w:t>From Big Data to Smart Data with the K-Nearest Neighbours Algorithm. Proc. - 2016 IEEE Int. Conf. Internet Things; IEEE Green Comput. Commun. IEEE Cyber, Phys. Soc. Comput. IEEE Smart Data, iThings-GreenCom-CPSCom-Smart Data 2016 859–864. https://doi.org/10.1109/iThings-GreenCom-CPSCom-SmartData.2016.177</w:t>
      </w:r>
    </w:p>
    <w:p w14:paraId="721A1B13"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3D65E2">
        <w:rPr>
          <w:rFonts w:ascii="Calibri" w:hAnsi="Calibri" w:cs="Calibri"/>
          <w:noProof/>
          <w:szCs w:val="24"/>
        </w:rPr>
        <w:t xml:space="preserve">Van Snick, B., Dhondt, J., Pandelaere, K., Bertels, J., Mertens, R., Klingeleers, D., Di Pretoro, G., Remon, J.P., Vervaet, C., De Beer, T., Vanhoorne, V., 2018. </w:t>
      </w:r>
      <w:r w:rsidRPr="00FB47DD">
        <w:rPr>
          <w:rFonts w:ascii="Calibri" w:hAnsi="Calibri" w:cs="Calibri"/>
          <w:noProof/>
          <w:szCs w:val="24"/>
          <w:lang w:val="en-GB"/>
        </w:rPr>
        <w:t xml:space="preserve">A multivariate raw material property database to facilitate drug product development and enable in-silico design of pharmaceutical dry powder processes. Int. J. Pharm. 549, 415–435. </w:t>
      </w:r>
      <w:r w:rsidRPr="00FB47DD">
        <w:rPr>
          <w:rFonts w:ascii="Calibri" w:hAnsi="Calibri" w:cs="Calibri"/>
          <w:noProof/>
          <w:szCs w:val="24"/>
          <w:lang w:val="en-GB"/>
        </w:rPr>
        <w:lastRenderedPageBreak/>
        <w:t>https://doi.org/10.1016/j.ijpharm.2018.08.014</w:t>
      </w:r>
    </w:p>
    <w:p w14:paraId="6E8DAA93" w14:textId="77777777" w:rsidR="003D65E2" w:rsidRPr="003D65E2" w:rsidRDefault="003D65E2" w:rsidP="003D65E2">
      <w:pPr>
        <w:widowControl w:val="0"/>
        <w:autoSpaceDE w:val="0"/>
        <w:autoSpaceDN w:val="0"/>
        <w:adjustRightInd w:val="0"/>
        <w:spacing w:line="240" w:lineRule="auto"/>
        <w:ind w:left="480" w:hanging="480"/>
        <w:rPr>
          <w:rFonts w:ascii="Calibri" w:hAnsi="Calibri" w:cs="Calibri"/>
          <w:noProof/>
          <w:szCs w:val="24"/>
        </w:rPr>
      </w:pPr>
      <w:r w:rsidRPr="00FB47DD">
        <w:rPr>
          <w:rFonts w:ascii="Calibri" w:hAnsi="Calibri" w:cs="Calibri"/>
          <w:noProof/>
          <w:szCs w:val="24"/>
          <w:lang w:val="en-GB"/>
        </w:rPr>
        <w:t xml:space="preserve">Vandevivere, L., Denduyver, P., Portier, C., Häusler, O., Beer, T. De, Vervaet, C., 2020. Influence of binder attributes on binder effectiveness in a continuous twin screw wet granulation process via wet and dry binder addition. </w:t>
      </w:r>
      <w:r w:rsidRPr="003D65E2">
        <w:rPr>
          <w:rFonts w:ascii="Calibri" w:hAnsi="Calibri" w:cs="Calibri"/>
          <w:noProof/>
          <w:szCs w:val="24"/>
        </w:rPr>
        <w:t>Int. J. Pharm. 585, 119466. https://doi.org/10.1016/j.ijpharm.2020.119466</w:t>
      </w:r>
    </w:p>
    <w:p w14:paraId="4BD5C136"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3D65E2">
        <w:rPr>
          <w:rFonts w:ascii="Calibri" w:hAnsi="Calibri" w:cs="Calibri"/>
          <w:noProof/>
          <w:szCs w:val="24"/>
        </w:rPr>
        <w:t xml:space="preserve">Vanhoorne, V., Janssens, L., Vercruysse, J., De Beer, T., Remon, J.P., Vervaet, C., 2016. </w:t>
      </w:r>
      <w:r w:rsidRPr="00FB47DD">
        <w:rPr>
          <w:rFonts w:ascii="Calibri" w:hAnsi="Calibri" w:cs="Calibri"/>
          <w:noProof/>
          <w:szCs w:val="24"/>
          <w:lang w:val="en-GB"/>
        </w:rPr>
        <w:t>Continuous twin screw granulation of controlled release formulations with various HPMC grades. Int. J. Pharm. 511, 1048–1057. https://doi.org/10.1016/j.ijpharm.2016.08.020</w:t>
      </w:r>
    </w:p>
    <w:p w14:paraId="62621F8A"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Vercruysse, J., Burggraeve, A., Fonteyne, M., Cappuyns, P., Delaet, U., Van Assche, I., De Beer, T., Remon, J.P., Vervaet, C., 2015. Impact of screw configuration on the particle size distribution of granules produced by twin screw granulation. Int. J. Pharm. 479, 171–180. https://doi.org/10.1016/j.ijpharm.2014.12.071</w:t>
      </w:r>
    </w:p>
    <w:p w14:paraId="6960D2B0"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Vercruysse, J., Córdoba Díaz, D., Peeters, E., Fonteyne, M., Delaet, U., Van Assche, I., De Beer, T., Remon, J.P., Vervaet, C., 2012. Continuous twin screw granulation: Influence of process variables on granule and tablet quality. Eur. J. Pharm. Biopharm. 82, 205–211. https://doi.org/10.1016/j.ejpb.2012.05.010</w:t>
      </w:r>
    </w:p>
    <w:p w14:paraId="427F96CF"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Verstraeten, M., Van Hauwermeiren, D., Lee, K., Turnbull, N., Wilsdon, D., am Ende, M., Doshi, P., Vervaet, C., Brouckaert, D., Mortier, S.T.F.C., Nopens, I., Beer, T. De, 2017. In-depth experimental analysis of pharmaceutical twin-screw wet granulation in view of detailed process understanding. Int. J. Pharm. 529, 678–693. https://doi.org/10.1016/j.ijpharm.2017.07.045</w:t>
      </w:r>
    </w:p>
    <w:p w14:paraId="33C95A1E"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Vervaet, C., Remon, J.P., 2005. Continuous granulation in the pharmaceutical industry. Chem. Eng. Sci. 60, 3949–3957. https://doi.org/10.1016/j.ces.2005.02.028</w:t>
      </w:r>
    </w:p>
    <w:p w14:paraId="4E92FF59" w14:textId="77777777" w:rsidR="003D65E2" w:rsidRPr="00FB47DD" w:rsidRDefault="003D65E2" w:rsidP="003D65E2">
      <w:pPr>
        <w:widowControl w:val="0"/>
        <w:autoSpaceDE w:val="0"/>
        <w:autoSpaceDN w:val="0"/>
        <w:adjustRightInd w:val="0"/>
        <w:spacing w:line="240" w:lineRule="auto"/>
        <w:ind w:left="480" w:hanging="480"/>
        <w:rPr>
          <w:rFonts w:ascii="Calibri" w:hAnsi="Calibri" w:cs="Calibri"/>
          <w:noProof/>
          <w:szCs w:val="24"/>
          <w:lang w:val="en-GB"/>
        </w:rPr>
      </w:pPr>
      <w:r w:rsidRPr="00FB47DD">
        <w:rPr>
          <w:rFonts w:ascii="Calibri" w:hAnsi="Calibri" w:cs="Calibri"/>
          <w:noProof/>
          <w:szCs w:val="24"/>
          <w:lang w:val="en-GB"/>
        </w:rPr>
        <w:t>Willecke, N., Szepes, A., Wunderlich, M., Remon, J.P., Vervaet, C., Beer, T. De, 2018. A novel approach to support formulation design on twin screw wet granulation technology : Understanding the impact of overarching excipient properties on drug product quality attributes. Int. J. Pharm. 545, 128–143. https://doi.org/10.1016/j.ijpharm.2018.04.017</w:t>
      </w:r>
    </w:p>
    <w:p w14:paraId="785AD9FD" w14:textId="77777777" w:rsidR="003D65E2" w:rsidRPr="003D65E2" w:rsidRDefault="003D65E2" w:rsidP="003D65E2">
      <w:pPr>
        <w:widowControl w:val="0"/>
        <w:autoSpaceDE w:val="0"/>
        <w:autoSpaceDN w:val="0"/>
        <w:adjustRightInd w:val="0"/>
        <w:spacing w:line="240" w:lineRule="auto"/>
        <w:ind w:left="480" w:hanging="480"/>
        <w:rPr>
          <w:rFonts w:ascii="Calibri" w:hAnsi="Calibri" w:cs="Calibri"/>
          <w:noProof/>
        </w:rPr>
      </w:pPr>
      <w:r w:rsidRPr="00FB47DD">
        <w:rPr>
          <w:rFonts w:ascii="Calibri" w:hAnsi="Calibri" w:cs="Calibri"/>
          <w:noProof/>
          <w:szCs w:val="24"/>
          <w:lang w:val="en-GB"/>
        </w:rPr>
        <w:t xml:space="preserve">Willecke, N., Szepes, A., Wunderlich, M., Remon, J.P., Vervaet, C., Beer, T. De, 2017. Identifying overarching excipient properties towards an in-depth understanding of process and product performance for continuous twin-screw wet granulation. </w:t>
      </w:r>
      <w:r w:rsidRPr="003D65E2">
        <w:rPr>
          <w:rFonts w:ascii="Calibri" w:hAnsi="Calibri" w:cs="Calibri"/>
          <w:noProof/>
          <w:szCs w:val="24"/>
        </w:rPr>
        <w:t>Int. J. Pharm. 522, 234–247. https://doi.org/10.1016/j.ijpharm.2017.02.028</w:t>
      </w:r>
    </w:p>
    <w:p w14:paraId="719CF3B7" w14:textId="0236DE9A" w:rsidR="00EA7445" w:rsidRDefault="00EA7445" w:rsidP="00D711E6">
      <w:pPr>
        <w:spacing w:line="240" w:lineRule="auto"/>
        <w:jc w:val="left"/>
        <w:rPr>
          <w:lang w:val="en-US"/>
        </w:rPr>
      </w:pPr>
      <w:r w:rsidRPr="009B5335">
        <w:rPr>
          <w:lang w:val="en-US"/>
        </w:rPr>
        <w:fldChar w:fldCharType="end"/>
      </w:r>
    </w:p>
    <w:sectPr w:rsidR="00EA7445" w:rsidSect="003D65E2">
      <w:pgSz w:w="11906" w:h="16838"/>
      <w:pgMar w:top="1418" w:right="1418" w:bottom="1418" w:left="1418" w:header="709" w:footer="709" w:gutter="0"/>
      <w:lnNumType w:countBy="5"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Gent Panno Text Medium">
    <w:altName w:val="Calibri"/>
    <w:charset w:val="00"/>
    <w:family w:val="auto"/>
    <w:pitch w:val="variable"/>
    <w:sig w:usb0="A00002EF" w:usb1="4000206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32C1"/>
    <w:multiLevelType w:val="hybridMultilevel"/>
    <w:tmpl w:val="A210D3E6"/>
    <w:lvl w:ilvl="0" w:tplc="2DF6A904">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337CC2"/>
    <w:multiLevelType w:val="multilevel"/>
    <w:tmpl w:val="14FA1DC4"/>
    <w:styleLink w:val="Stijl1"/>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7773ED"/>
    <w:multiLevelType w:val="multilevel"/>
    <w:tmpl w:val="7F380850"/>
    <w:styleLink w:val="Stijl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9E2641"/>
    <w:multiLevelType w:val="multilevel"/>
    <w:tmpl w:val="C30047EE"/>
    <w:styleLink w:val="droger"/>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A822E69"/>
    <w:multiLevelType w:val="hybridMultilevel"/>
    <w:tmpl w:val="78A860DA"/>
    <w:lvl w:ilvl="0" w:tplc="2DF6A904">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202367"/>
    <w:multiLevelType w:val="hybridMultilevel"/>
    <w:tmpl w:val="D20A4B98"/>
    <w:lvl w:ilvl="0" w:tplc="2DF6A904">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CC41C2"/>
    <w:multiLevelType w:val="multilevel"/>
    <w:tmpl w:val="7F380850"/>
    <w:numStyleLink w:val="Stijl7"/>
  </w:abstractNum>
  <w:abstractNum w:abstractNumId="7" w15:restartNumberingAfterBreak="0">
    <w:nsid w:val="23220A2E"/>
    <w:multiLevelType w:val="hybridMultilevel"/>
    <w:tmpl w:val="68E8EC92"/>
    <w:lvl w:ilvl="0" w:tplc="2DF6A904">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F47962"/>
    <w:multiLevelType w:val="hybridMultilevel"/>
    <w:tmpl w:val="0BBA5980"/>
    <w:lvl w:ilvl="0" w:tplc="2DF6A904">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86B5CF0"/>
    <w:multiLevelType w:val="multilevel"/>
    <w:tmpl w:val="15E8D436"/>
    <w:styleLink w:val="Stijl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1E47F7"/>
    <w:multiLevelType w:val="multilevel"/>
    <w:tmpl w:val="9D9E558E"/>
    <w:styleLink w:val="Stijl2"/>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BE51A0"/>
    <w:multiLevelType w:val="hybridMultilevel"/>
    <w:tmpl w:val="BA3E5720"/>
    <w:lvl w:ilvl="0" w:tplc="2DF6A904">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302ABD"/>
    <w:multiLevelType w:val="multilevel"/>
    <w:tmpl w:val="6A90822A"/>
    <w:styleLink w:val="Stijl4"/>
    <w:lvl w:ilvl="0">
      <w:start w:val="1"/>
      <w:numFmt w:val="decimal"/>
      <w:lvlText w:val="%1."/>
      <w:lvlJc w:val="left"/>
      <w:pPr>
        <w:ind w:left="360" w:hanging="360"/>
      </w:pPr>
      <w:rPr>
        <w:rFonts w:hint="default"/>
      </w:rPr>
    </w:lvl>
    <w:lvl w:ilvl="1">
      <w:start w:val="1"/>
      <w:numFmt w:val="decimal"/>
      <w:lvlText w:val="%1.%2."/>
      <w:lvlJc w:val="left"/>
      <w:pPr>
        <w:ind w:left="-3"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6B0551"/>
    <w:multiLevelType w:val="multilevel"/>
    <w:tmpl w:val="BDC496D2"/>
    <w:styleLink w:val="Stijl6"/>
    <w:lvl w:ilvl="0">
      <w:start w:val="1"/>
      <w:numFmt w:val="decimal"/>
      <w:lvlText w:val="%1"/>
      <w:lvlJc w:val="left"/>
      <w:pPr>
        <w:ind w:left="357" w:hanging="357"/>
      </w:pPr>
      <w:rPr>
        <w:rFonts w:hint="default"/>
      </w:rPr>
    </w:lvl>
    <w:lvl w:ilvl="1">
      <w:start w:val="1"/>
      <w:numFmt w:val="decimal"/>
      <w:lvlRestart w:val="0"/>
      <w:lvlText w:val="%2"/>
      <w:lvlJc w:val="left"/>
      <w:pPr>
        <w:ind w:left="357" w:hanging="357"/>
      </w:pPr>
      <w:rPr>
        <w:rFonts w:hint="default"/>
      </w:rPr>
    </w:lvl>
    <w:lvl w:ilvl="2">
      <w:start w:val="1"/>
      <w:numFmt w:val="decimal"/>
      <w:lvlRestart w:val="0"/>
      <w:lvlText w:val="%3"/>
      <w:lvlJc w:val="left"/>
      <w:pPr>
        <w:ind w:left="357" w:hanging="357"/>
      </w:pPr>
      <w:rPr>
        <w:rFonts w:hint="default"/>
      </w:rPr>
    </w:lvl>
    <w:lvl w:ilvl="3">
      <w:start w:val="1"/>
      <w:numFmt w:val="decimal"/>
      <w:lvlRestart w:val="0"/>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49545D28"/>
    <w:multiLevelType w:val="multilevel"/>
    <w:tmpl w:val="9F340892"/>
    <w:styleLink w:val="Stijl3"/>
    <w:lvl w:ilvl="0">
      <w:start w:val="1"/>
      <w:numFmt w:val="decimal"/>
      <w:lvlText w:val="%1."/>
      <w:lvlJc w:val="left"/>
      <w:pPr>
        <w:ind w:left="357" w:hanging="357"/>
      </w:pPr>
      <w:rPr>
        <w:rFonts w:hint="default"/>
      </w:rPr>
    </w:lvl>
    <w:lvl w:ilvl="1">
      <w:start w:val="1"/>
      <w:numFmt w:val="decimal"/>
      <w:lvlText w:val="%1.%2."/>
      <w:lvlJc w:val="left"/>
      <w:pPr>
        <w:ind w:left="720" w:hanging="363"/>
      </w:pPr>
      <w:rPr>
        <w:rFonts w:hint="default"/>
      </w:rPr>
    </w:lvl>
    <w:lvl w:ilvl="2">
      <w:start w:val="1"/>
      <w:numFmt w:val="decimal"/>
      <w:lvlText w:val="%1.%2.%3."/>
      <w:lvlJc w:val="left"/>
      <w:pPr>
        <w:ind w:left="720" w:hanging="363"/>
      </w:pPr>
      <w:rPr>
        <w:rFonts w:hint="default"/>
      </w:rPr>
    </w:lvl>
    <w:lvl w:ilvl="3">
      <w:start w:val="1"/>
      <w:numFmt w:val="decimal"/>
      <w:lvlText w:val="%1.%2.%3.%4."/>
      <w:lvlJc w:val="left"/>
      <w:pPr>
        <w:ind w:left="720" w:hanging="363"/>
      </w:pPr>
      <w:rPr>
        <w:rFonts w:hint="default"/>
      </w:rPr>
    </w:lvl>
    <w:lvl w:ilvl="4">
      <w:start w:val="1"/>
      <w:numFmt w:val="decimal"/>
      <w:lvlText w:val="%1.%2.%3.%4.%5."/>
      <w:lvlJc w:val="left"/>
      <w:pPr>
        <w:ind w:left="720" w:hanging="363"/>
      </w:pPr>
      <w:rPr>
        <w:rFonts w:hint="default"/>
      </w:rPr>
    </w:lvl>
    <w:lvl w:ilvl="5">
      <w:start w:val="1"/>
      <w:numFmt w:val="decimal"/>
      <w:lvlText w:val="%1.%2.%3.%4.%5.%6."/>
      <w:lvlJc w:val="left"/>
      <w:pPr>
        <w:ind w:left="720" w:hanging="363"/>
      </w:pPr>
      <w:rPr>
        <w:rFonts w:hint="default"/>
      </w:rPr>
    </w:lvl>
    <w:lvl w:ilvl="6">
      <w:start w:val="1"/>
      <w:numFmt w:val="decimal"/>
      <w:lvlText w:val="%1.%2.%3.%4.%5.%6.%7."/>
      <w:lvlJc w:val="left"/>
      <w:pPr>
        <w:ind w:left="720" w:hanging="363"/>
      </w:pPr>
      <w:rPr>
        <w:rFonts w:hint="default"/>
      </w:rPr>
    </w:lvl>
    <w:lvl w:ilvl="7">
      <w:start w:val="1"/>
      <w:numFmt w:val="decimal"/>
      <w:lvlText w:val="%1.%2.%3.%4.%5.%6.%7.%8."/>
      <w:lvlJc w:val="left"/>
      <w:pPr>
        <w:ind w:left="720" w:hanging="363"/>
      </w:pPr>
      <w:rPr>
        <w:rFonts w:hint="default"/>
      </w:rPr>
    </w:lvl>
    <w:lvl w:ilvl="8">
      <w:start w:val="1"/>
      <w:numFmt w:val="decimal"/>
      <w:lvlText w:val="%1.%2.%3.%4.%5.%6.%7.%8.%9."/>
      <w:lvlJc w:val="left"/>
      <w:pPr>
        <w:ind w:left="720" w:hanging="363"/>
      </w:pPr>
      <w:rPr>
        <w:rFonts w:hint="default"/>
      </w:rPr>
    </w:lvl>
  </w:abstractNum>
  <w:abstractNum w:abstractNumId="15" w15:restartNumberingAfterBreak="0">
    <w:nsid w:val="5F2D14ED"/>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8106EF4"/>
    <w:multiLevelType w:val="hybridMultilevel"/>
    <w:tmpl w:val="AB4C164C"/>
    <w:lvl w:ilvl="0" w:tplc="AE706FC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5F45E7A"/>
    <w:multiLevelType w:val="hybridMultilevel"/>
    <w:tmpl w:val="63D6638E"/>
    <w:lvl w:ilvl="0" w:tplc="2DF6A904">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8884A38"/>
    <w:multiLevelType w:val="hybridMultilevel"/>
    <w:tmpl w:val="2E3E6C1A"/>
    <w:lvl w:ilvl="0" w:tplc="2DF6A904">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4"/>
  </w:num>
  <w:num w:numId="5">
    <w:abstractNumId w:val="12"/>
  </w:num>
  <w:num w:numId="6">
    <w:abstractNumId w:val="9"/>
  </w:num>
  <w:num w:numId="7">
    <w:abstractNumId w:val="13"/>
  </w:num>
  <w:num w:numId="8">
    <w:abstractNumId w:val="3"/>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7"/>
  </w:num>
  <w:num w:numId="14">
    <w:abstractNumId w:val="8"/>
  </w:num>
  <w:num w:numId="15">
    <w:abstractNumId w:val="0"/>
  </w:num>
  <w:num w:numId="16">
    <w:abstractNumId w:val="18"/>
  </w:num>
  <w:num w:numId="17">
    <w:abstractNumId w:val="4"/>
  </w:num>
  <w:num w:numId="18">
    <w:abstractNumId w:val="7"/>
  </w:num>
  <w:num w:numId="19">
    <w:abstractNumId w:val="2"/>
  </w:num>
  <w:num w:numId="20">
    <w:abstractNumId w:val="6"/>
  </w:num>
  <w:num w:numId="21">
    <w:abstractNumId w:val="15"/>
  </w:num>
  <w:num w:numId="22">
    <w:abstractNumId w:val="15"/>
  </w:num>
  <w:num w:numId="23">
    <w:abstractNumId w:val="1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45"/>
    <w:rsid w:val="000052F7"/>
    <w:rsid w:val="00014893"/>
    <w:rsid w:val="000A3100"/>
    <w:rsid w:val="000B743B"/>
    <w:rsid w:val="00116BE2"/>
    <w:rsid w:val="00166822"/>
    <w:rsid w:val="001A142E"/>
    <w:rsid w:val="002430EF"/>
    <w:rsid w:val="003345F5"/>
    <w:rsid w:val="00361080"/>
    <w:rsid w:val="003665E3"/>
    <w:rsid w:val="0038497A"/>
    <w:rsid w:val="003A0F5C"/>
    <w:rsid w:val="003A2A38"/>
    <w:rsid w:val="003D65E2"/>
    <w:rsid w:val="003F442E"/>
    <w:rsid w:val="0043270E"/>
    <w:rsid w:val="0044009E"/>
    <w:rsid w:val="00486F71"/>
    <w:rsid w:val="005737D2"/>
    <w:rsid w:val="005A45E9"/>
    <w:rsid w:val="005C70B5"/>
    <w:rsid w:val="005D6C8A"/>
    <w:rsid w:val="00625702"/>
    <w:rsid w:val="00690883"/>
    <w:rsid w:val="0069155F"/>
    <w:rsid w:val="006B3532"/>
    <w:rsid w:val="00707DD4"/>
    <w:rsid w:val="00733AB1"/>
    <w:rsid w:val="007411D3"/>
    <w:rsid w:val="00780278"/>
    <w:rsid w:val="00792965"/>
    <w:rsid w:val="00796B95"/>
    <w:rsid w:val="00877721"/>
    <w:rsid w:val="008A6F67"/>
    <w:rsid w:val="009251A3"/>
    <w:rsid w:val="00930D68"/>
    <w:rsid w:val="00930F03"/>
    <w:rsid w:val="0098758E"/>
    <w:rsid w:val="009B432A"/>
    <w:rsid w:val="00A30C98"/>
    <w:rsid w:val="00A7736B"/>
    <w:rsid w:val="00A80782"/>
    <w:rsid w:val="00A95FB8"/>
    <w:rsid w:val="00AE3FFC"/>
    <w:rsid w:val="00B15787"/>
    <w:rsid w:val="00B85BBA"/>
    <w:rsid w:val="00BC3A8A"/>
    <w:rsid w:val="00C077CE"/>
    <w:rsid w:val="00C22730"/>
    <w:rsid w:val="00C44BA4"/>
    <w:rsid w:val="00CF4384"/>
    <w:rsid w:val="00D12C4C"/>
    <w:rsid w:val="00D356FE"/>
    <w:rsid w:val="00D711E6"/>
    <w:rsid w:val="00DC1AF3"/>
    <w:rsid w:val="00EA7445"/>
    <w:rsid w:val="00EC2588"/>
    <w:rsid w:val="00EF21B3"/>
    <w:rsid w:val="00EF54E7"/>
    <w:rsid w:val="00F5010B"/>
    <w:rsid w:val="00F653A7"/>
    <w:rsid w:val="00F700A8"/>
    <w:rsid w:val="00F80F77"/>
    <w:rsid w:val="00FB47DD"/>
    <w:rsid w:val="00FC4613"/>
    <w:rsid w:val="00FD57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E23F"/>
  <w15:chartTrackingRefBased/>
  <w15:docId w15:val="{E8367E07-89E5-46FD-8D89-F80DD0E9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7445"/>
    <w:pPr>
      <w:spacing w:after="240" w:line="360" w:lineRule="auto"/>
      <w:jc w:val="both"/>
    </w:pPr>
    <w:rPr>
      <w:sz w:val="24"/>
    </w:rPr>
  </w:style>
  <w:style w:type="paragraph" w:styleId="Kop1">
    <w:name w:val="heading 1"/>
    <w:basedOn w:val="Standaard"/>
    <w:next w:val="Standaard"/>
    <w:link w:val="Kop1Char"/>
    <w:uiPriority w:val="9"/>
    <w:qFormat/>
    <w:rsid w:val="00B85BBA"/>
    <w:pPr>
      <w:keepNext/>
      <w:keepLines/>
      <w:spacing w:before="120"/>
      <w:outlineLvl w:val="0"/>
    </w:pPr>
    <w:rPr>
      <w:rFonts w:asciiTheme="majorHAnsi" w:eastAsiaTheme="majorEastAsia" w:hAnsiTheme="majorHAnsi" w:cstheme="majorBidi"/>
      <w:b/>
      <w:caps/>
      <w:szCs w:val="32"/>
    </w:rPr>
  </w:style>
  <w:style w:type="paragraph" w:styleId="Kop2">
    <w:name w:val="heading 2"/>
    <w:basedOn w:val="Standaard"/>
    <w:next w:val="Standaard"/>
    <w:link w:val="Kop2Char"/>
    <w:unhideWhenUsed/>
    <w:qFormat/>
    <w:rsid w:val="00EA7445"/>
    <w:pPr>
      <w:keepNext/>
      <w:keepLines/>
      <w:spacing w:before="240" w:after="120"/>
      <w:outlineLvl w:val="1"/>
    </w:pPr>
    <w:rPr>
      <w:rFonts w:asciiTheme="majorHAnsi" w:eastAsiaTheme="majorEastAsia" w:hAnsiTheme="majorHAnsi" w:cstheme="majorBidi"/>
      <w:b/>
      <w:caps/>
      <w:sz w:val="32"/>
      <w:szCs w:val="26"/>
    </w:rPr>
  </w:style>
  <w:style w:type="paragraph" w:styleId="Kop3">
    <w:name w:val="heading 3"/>
    <w:basedOn w:val="Standaard"/>
    <w:next w:val="Standaard"/>
    <w:link w:val="Kop3Char"/>
    <w:uiPriority w:val="9"/>
    <w:unhideWhenUsed/>
    <w:qFormat/>
    <w:rsid w:val="00EA7445"/>
    <w:pPr>
      <w:keepNext/>
      <w:keepLines/>
      <w:spacing w:before="240" w:after="120"/>
      <w:outlineLvl w:val="2"/>
    </w:pPr>
    <w:rPr>
      <w:rFonts w:asciiTheme="majorHAnsi" w:eastAsiaTheme="majorEastAsia" w:hAnsiTheme="majorHAnsi" w:cstheme="majorBidi"/>
      <w:b/>
      <w:caps/>
      <w:szCs w:val="24"/>
    </w:rPr>
  </w:style>
  <w:style w:type="paragraph" w:styleId="Kop4">
    <w:name w:val="heading 4"/>
    <w:basedOn w:val="Standaard"/>
    <w:next w:val="Standaard"/>
    <w:link w:val="Kop4Char"/>
    <w:uiPriority w:val="9"/>
    <w:unhideWhenUsed/>
    <w:qFormat/>
    <w:rsid w:val="00EA7445"/>
    <w:pPr>
      <w:keepNext/>
      <w:keepLines/>
      <w:spacing w:before="240" w:after="120"/>
      <w:outlineLvl w:val="3"/>
    </w:pPr>
    <w:rPr>
      <w:rFonts w:asciiTheme="majorHAnsi" w:eastAsiaTheme="majorEastAsia" w:hAnsiTheme="majorHAnsi" w:cstheme="majorBidi"/>
      <w:iCs/>
      <w:caps/>
    </w:rPr>
  </w:style>
  <w:style w:type="paragraph" w:styleId="Kop5">
    <w:name w:val="heading 5"/>
    <w:basedOn w:val="Standaard"/>
    <w:next w:val="Standaard"/>
    <w:link w:val="Kop5Char"/>
    <w:uiPriority w:val="9"/>
    <w:unhideWhenUsed/>
    <w:qFormat/>
    <w:rsid w:val="00EA7445"/>
    <w:pPr>
      <w:keepNext/>
      <w:keepLines/>
      <w:spacing w:before="40" w:after="0"/>
      <w:outlineLvl w:val="4"/>
    </w:pPr>
    <w:rPr>
      <w:rFonts w:asciiTheme="majorHAnsi" w:eastAsiaTheme="majorEastAsia" w:hAnsiTheme="majorHAnsi" w:cstheme="majorBidi"/>
    </w:rPr>
  </w:style>
  <w:style w:type="paragraph" w:styleId="Kop6">
    <w:name w:val="heading 6"/>
    <w:basedOn w:val="Standaard"/>
    <w:next w:val="Standaard"/>
    <w:link w:val="Kop6Char"/>
    <w:uiPriority w:val="9"/>
    <w:unhideWhenUsed/>
    <w:qFormat/>
    <w:rsid w:val="00EA7445"/>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A744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A74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A74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BBA"/>
    <w:rPr>
      <w:rFonts w:asciiTheme="majorHAnsi" w:eastAsiaTheme="majorEastAsia" w:hAnsiTheme="majorHAnsi" w:cstheme="majorBidi"/>
      <w:b/>
      <w:caps/>
      <w:sz w:val="24"/>
      <w:szCs w:val="32"/>
    </w:rPr>
  </w:style>
  <w:style w:type="character" w:customStyle="1" w:styleId="Kop2Char">
    <w:name w:val="Kop 2 Char"/>
    <w:basedOn w:val="Standaardalinea-lettertype"/>
    <w:link w:val="Kop2"/>
    <w:rsid w:val="00EA7445"/>
    <w:rPr>
      <w:rFonts w:asciiTheme="majorHAnsi" w:eastAsiaTheme="majorEastAsia" w:hAnsiTheme="majorHAnsi" w:cstheme="majorBidi"/>
      <w:b/>
      <w:caps/>
      <w:sz w:val="32"/>
      <w:szCs w:val="26"/>
    </w:rPr>
  </w:style>
  <w:style w:type="character" w:customStyle="1" w:styleId="Kop3Char">
    <w:name w:val="Kop 3 Char"/>
    <w:basedOn w:val="Standaardalinea-lettertype"/>
    <w:link w:val="Kop3"/>
    <w:uiPriority w:val="9"/>
    <w:rsid w:val="00EA7445"/>
    <w:rPr>
      <w:rFonts w:asciiTheme="majorHAnsi" w:eastAsiaTheme="majorEastAsia" w:hAnsiTheme="majorHAnsi" w:cstheme="majorBidi"/>
      <w:b/>
      <w:caps/>
      <w:sz w:val="24"/>
      <w:szCs w:val="24"/>
    </w:rPr>
  </w:style>
  <w:style w:type="character" w:customStyle="1" w:styleId="Kop4Char">
    <w:name w:val="Kop 4 Char"/>
    <w:basedOn w:val="Standaardalinea-lettertype"/>
    <w:link w:val="Kop4"/>
    <w:uiPriority w:val="9"/>
    <w:rsid w:val="00EA7445"/>
    <w:rPr>
      <w:rFonts w:asciiTheme="majorHAnsi" w:eastAsiaTheme="majorEastAsia" w:hAnsiTheme="majorHAnsi" w:cstheme="majorBidi"/>
      <w:iCs/>
      <w:caps/>
      <w:sz w:val="24"/>
    </w:rPr>
  </w:style>
  <w:style w:type="character" w:customStyle="1" w:styleId="Kop5Char">
    <w:name w:val="Kop 5 Char"/>
    <w:basedOn w:val="Standaardalinea-lettertype"/>
    <w:link w:val="Kop5"/>
    <w:uiPriority w:val="9"/>
    <w:rsid w:val="00EA7445"/>
    <w:rPr>
      <w:rFonts w:asciiTheme="majorHAnsi" w:eastAsiaTheme="majorEastAsia" w:hAnsiTheme="majorHAnsi" w:cstheme="majorBidi"/>
      <w:sz w:val="24"/>
    </w:rPr>
  </w:style>
  <w:style w:type="character" w:customStyle="1" w:styleId="Kop6Char">
    <w:name w:val="Kop 6 Char"/>
    <w:basedOn w:val="Standaardalinea-lettertype"/>
    <w:link w:val="Kop6"/>
    <w:uiPriority w:val="9"/>
    <w:rsid w:val="00EA7445"/>
    <w:rPr>
      <w:rFonts w:asciiTheme="majorHAnsi" w:eastAsiaTheme="majorEastAsia" w:hAnsiTheme="majorHAnsi" w:cstheme="majorBidi"/>
      <w:color w:val="1F3763" w:themeColor="accent1" w:themeShade="7F"/>
      <w:sz w:val="24"/>
    </w:rPr>
  </w:style>
  <w:style w:type="character" w:customStyle="1" w:styleId="Kop7Char">
    <w:name w:val="Kop 7 Char"/>
    <w:basedOn w:val="Standaardalinea-lettertype"/>
    <w:link w:val="Kop7"/>
    <w:uiPriority w:val="9"/>
    <w:semiHidden/>
    <w:rsid w:val="00EA7445"/>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EA744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A7445"/>
    <w:rPr>
      <w:rFonts w:asciiTheme="majorHAnsi" w:eastAsiaTheme="majorEastAsia" w:hAnsiTheme="majorHAnsi" w:cstheme="majorBidi"/>
      <w:i/>
      <w:iCs/>
      <w:color w:val="272727" w:themeColor="text1" w:themeTint="D8"/>
      <w:sz w:val="21"/>
      <w:szCs w:val="21"/>
    </w:rPr>
  </w:style>
  <w:style w:type="paragraph" w:customStyle="1" w:styleId="Default">
    <w:name w:val="Default"/>
    <w:rsid w:val="00EA7445"/>
    <w:pPr>
      <w:autoSpaceDE w:val="0"/>
      <w:autoSpaceDN w:val="0"/>
      <w:adjustRightInd w:val="0"/>
      <w:spacing w:after="0" w:line="240" w:lineRule="auto"/>
    </w:pPr>
    <w:rPr>
      <w:rFonts w:ascii="Calibri" w:hAnsi="Calibri" w:cs="Calibri"/>
      <w:color w:val="000000"/>
      <w:sz w:val="24"/>
      <w:szCs w:val="24"/>
    </w:rPr>
  </w:style>
  <w:style w:type="numbering" w:customStyle="1" w:styleId="Stijl1">
    <w:name w:val="Stijl1"/>
    <w:uiPriority w:val="99"/>
    <w:rsid w:val="00EA7445"/>
    <w:pPr>
      <w:numPr>
        <w:numId w:val="2"/>
      </w:numPr>
    </w:pPr>
  </w:style>
  <w:style w:type="table" w:styleId="Tabelraster">
    <w:name w:val="Table Grid"/>
    <w:basedOn w:val="Standaardtabel"/>
    <w:uiPriority w:val="39"/>
    <w:rsid w:val="00EA7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74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7445"/>
    <w:rPr>
      <w:sz w:val="24"/>
    </w:rPr>
  </w:style>
  <w:style w:type="paragraph" w:styleId="Voettekst">
    <w:name w:val="footer"/>
    <w:basedOn w:val="Standaard"/>
    <w:link w:val="VoettekstChar"/>
    <w:uiPriority w:val="99"/>
    <w:unhideWhenUsed/>
    <w:rsid w:val="00EA74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A7445"/>
    <w:rPr>
      <w:sz w:val="24"/>
    </w:rPr>
  </w:style>
  <w:style w:type="table" w:customStyle="1" w:styleId="Tabelraster1">
    <w:name w:val="Tabelraster1"/>
    <w:basedOn w:val="Standaardtabel"/>
    <w:next w:val="Tabelraster"/>
    <w:uiPriority w:val="39"/>
    <w:rsid w:val="00EA7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51">
    <w:name w:val="Onopgemaakte tabel 51"/>
    <w:basedOn w:val="Standaardtabel"/>
    <w:uiPriority w:val="45"/>
    <w:rsid w:val="00EA7445"/>
    <w:pPr>
      <w:spacing w:after="0" w:line="240" w:lineRule="auto"/>
    </w:pPr>
    <w:rPr>
      <w:rFonts w:eastAsiaTheme="minorEastAsia"/>
      <w:lang w:val="en-GB"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raster2">
    <w:name w:val="Tabelraster2"/>
    <w:basedOn w:val="Standaardtabel"/>
    <w:next w:val="Tabelraster"/>
    <w:uiPriority w:val="39"/>
    <w:rsid w:val="00EA7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EA7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EA7445"/>
    <w:pPr>
      <w:spacing w:before="240" w:line="240" w:lineRule="auto"/>
      <w:contextualSpacing/>
    </w:pPr>
    <w:rPr>
      <w:rFonts w:eastAsiaTheme="majorEastAsia" w:cstheme="majorBidi"/>
      <w:b/>
      <w:caps/>
      <w:spacing w:val="-10"/>
      <w:kern w:val="28"/>
      <w:szCs w:val="56"/>
    </w:rPr>
  </w:style>
  <w:style w:type="character" w:customStyle="1" w:styleId="TitelChar">
    <w:name w:val="Titel Char"/>
    <w:basedOn w:val="Standaardalinea-lettertype"/>
    <w:link w:val="Titel"/>
    <w:uiPriority w:val="10"/>
    <w:rsid w:val="00EA7445"/>
    <w:rPr>
      <w:rFonts w:eastAsiaTheme="majorEastAsia" w:cstheme="majorBidi"/>
      <w:b/>
      <w:caps/>
      <w:spacing w:val="-10"/>
      <w:kern w:val="28"/>
      <w:sz w:val="24"/>
      <w:szCs w:val="56"/>
    </w:rPr>
  </w:style>
  <w:style w:type="paragraph" w:styleId="Ondertitel">
    <w:name w:val="Subtitle"/>
    <w:basedOn w:val="Standaard"/>
    <w:next w:val="Standaard"/>
    <w:link w:val="OndertitelChar"/>
    <w:uiPriority w:val="11"/>
    <w:qFormat/>
    <w:rsid w:val="00EA7445"/>
    <w:pPr>
      <w:numPr>
        <w:ilvl w:val="1"/>
      </w:numPr>
      <w:spacing w:before="120" w:line="240" w:lineRule="auto"/>
    </w:pPr>
    <w:rPr>
      <w:rFonts w:eastAsiaTheme="minorEastAsia"/>
      <w:spacing w:val="15"/>
      <w:sz w:val="22"/>
    </w:rPr>
  </w:style>
  <w:style w:type="character" w:customStyle="1" w:styleId="OndertitelChar">
    <w:name w:val="Ondertitel Char"/>
    <w:basedOn w:val="Standaardalinea-lettertype"/>
    <w:link w:val="Ondertitel"/>
    <w:uiPriority w:val="11"/>
    <w:rsid w:val="00EA7445"/>
    <w:rPr>
      <w:rFonts w:eastAsiaTheme="minorEastAsia"/>
      <w:spacing w:val="15"/>
    </w:rPr>
  </w:style>
  <w:style w:type="character" w:customStyle="1" w:styleId="fs14">
    <w:name w:val="fs14"/>
    <w:basedOn w:val="Standaardalinea-lettertype"/>
    <w:rsid w:val="00EA7445"/>
  </w:style>
  <w:style w:type="character" w:styleId="Subtielebenadrukking">
    <w:name w:val="Subtle Emphasis"/>
    <w:aliases w:val="onderondertitel"/>
    <w:basedOn w:val="Standaardalinea-lettertype"/>
    <w:uiPriority w:val="19"/>
    <w:qFormat/>
    <w:rsid w:val="00EA7445"/>
    <w:rPr>
      <w:rFonts w:asciiTheme="minorHAnsi" w:hAnsiTheme="minorHAnsi" w:cstheme="majorBidi"/>
      <w:b w:val="0"/>
      <w:i/>
      <w:iCs/>
      <w:caps w:val="0"/>
      <w:smallCaps w:val="0"/>
      <w:strike w:val="0"/>
      <w:dstrike w:val="0"/>
      <w:vanish w:val="0"/>
      <w:color w:val="auto"/>
      <w:kern w:val="28"/>
      <w:szCs w:val="56"/>
      <w:vertAlign w:val="baseline"/>
    </w:rPr>
  </w:style>
  <w:style w:type="table" w:styleId="Onopgemaaktetabel5">
    <w:name w:val="Plain Table 5"/>
    <w:basedOn w:val="Standaardtabel"/>
    <w:uiPriority w:val="45"/>
    <w:rsid w:val="00EA74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ntekst">
    <w:name w:val="Balloon Text"/>
    <w:basedOn w:val="Standaard"/>
    <w:link w:val="BallontekstChar"/>
    <w:uiPriority w:val="99"/>
    <w:semiHidden/>
    <w:unhideWhenUsed/>
    <w:rsid w:val="00EA744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7445"/>
    <w:rPr>
      <w:rFonts w:ascii="Segoe UI" w:hAnsi="Segoe UI" w:cs="Segoe UI"/>
      <w:sz w:val="18"/>
      <w:szCs w:val="18"/>
    </w:rPr>
  </w:style>
  <w:style w:type="paragraph" w:styleId="Lijstalinea">
    <w:name w:val="List Paragraph"/>
    <w:basedOn w:val="Standaard"/>
    <w:uiPriority w:val="34"/>
    <w:qFormat/>
    <w:rsid w:val="00EA7445"/>
    <w:pPr>
      <w:spacing w:after="120"/>
      <w:ind w:left="720"/>
      <w:contextualSpacing/>
    </w:pPr>
  </w:style>
  <w:style w:type="character" w:styleId="Tekstvantijdelijkeaanduiding">
    <w:name w:val="Placeholder Text"/>
    <w:basedOn w:val="Standaardalinea-lettertype"/>
    <w:uiPriority w:val="99"/>
    <w:semiHidden/>
    <w:rsid w:val="00EA7445"/>
    <w:rPr>
      <w:color w:val="808080"/>
    </w:rPr>
  </w:style>
  <w:style w:type="paragraph" w:styleId="Geenafstand">
    <w:name w:val="No Spacing"/>
    <w:uiPriority w:val="1"/>
    <w:qFormat/>
    <w:rsid w:val="00EA7445"/>
    <w:pPr>
      <w:spacing w:before="100" w:beforeAutospacing="1" w:after="100" w:afterAutospacing="1" w:line="240" w:lineRule="auto"/>
      <w:jc w:val="both"/>
    </w:pPr>
    <w:rPr>
      <w:sz w:val="24"/>
    </w:rPr>
  </w:style>
  <w:style w:type="character" w:styleId="Verwijzingopmerking">
    <w:name w:val="annotation reference"/>
    <w:basedOn w:val="Standaardalinea-lettertype"/>
    <w:uiPriority w:val="99"/>
    <w:semiHidden/>
    <w:unhideWhenUsed/>
    <w:rsid w:val="00EA7445"/>
    <w:rPr>
      <w:sz w:val="16"/>
      <w:szCs w:val="16"/>
    </w:rPr>
  </w:style>
  <w:style w:type="paragraph" w:styleId="Tekstopmerking">
    <w:name w:val="annotation text"/>
    <w:basedOn w:val="Standaard"/>
    <w:link w:val="TekstopmerkingChar"/>
    <w:uiPriority w:val="99"/>
    <w:unhideWhenUsed/>
    <w:rsid w:val="00EA7445"/>
    <w:pPr>
      <w:spacing w:after="120" w:line="240" w:lineRule="auto"/>
    </w:pPr>
    <w:rPr>
      <w:sz w:val="20"/>
      <w:szCs w:val="20"/>
    </w:rPr>
  </w:style>
  <w:style w:type="character" w:customStyle="1" w:styleId="TekstopmerkingChar">
    <w:name w:val="Tekst opmerking Char"/>
    <w:basedOn w:val="Standaardalinea-lettertype"/>
    <w:link w:val="Tekstopmerking"/>
    <w:uiPriority w:val="99"/>
    <w:rsid w:val="00EA7445"/>
    <w:rPr>
      <w:sz w:val="20"/>
      <w:szCs w:val="20"/>
    </w:rPr>
  </w:style>
  <w:style w:type="paragraph" w:styleId="Onderwerpvanopmerking">
    <w:name w:val="annotation subject"/>
    <w:basedOn w:val="Tekstopmerking"/>
    <w:next w:val="Tekstopmerking"/>
    <w:link w:val="OnderwerpvanopmerkingChar"/>
    <w:uiPriority w:val="99"/>
    <w:semiHidden/>
    <w:unhideWhenUsed/>
    <w:rsid w:val="00EA7445"/>
    <w:rPr>
      <w:b/>
      <w:bCs/>
    </w:rPr>
  </w:style>
  <w:style w:type="character" w:customStyle="1" w:styleId="OnderwerpvanopmerkingChar">
    <w:name w:val="Onderwerp van opmerking Char"/>
    <w:basedOn w:val="TekstopmerkingChar"/>
    <w:link w:val="Onderwerpvanopmerking"/>
    <w:uiPriority w:val="99"/>
    <w:semiHidden/>
    <w:rsid w:val="00EA7445"/>
    <w:rPr>
      <w:b/>
      <w:bCs/>
      <w:sz w:val="20"/>
      <w:szCs w:val="20"/>
    </w:rPr>
  </w:style>
  <w:style w:type="character" w:customStyle="1" w:styleId="tlid-translation">
    <w:name w:val="tlid-translation"/>
    <w:basedOn w:val="Standaardalinea-lettertype"/>
    <w:rsid w:val="00EA7445"/>
  </w:style>
  <w:style w:type="paragraph" w:styleId="Revisie">
    <w:name w:val="Revision"/>
    <w:hidden/>
    <w:uiPriority w:val="99"/>
    <w:semiHidden/>
    <w:rsid w:val="00EA7445"/>
    <w:pPr>
      <w:spacing w:after="0" w:line="240" w:lineRule="auto"/>
    </w:pPr>
    <w:rPr>
      <w:sz w:val="24"/>
    </w:rPr>
  </w:style>
  <w:style w:type="table" w:styleId="Rastertabel1licht">
    <w:name w:val="Grid Table 1 Light"/>
    <w:basedOn w:val="Standaardtabel"/>
    <w:uiPriority w:val="46"/>
    <w:rsid w:val="00EA74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ijl2">
    <w:name w:val="Stijl2"/>
    <w:uiPriority w:val="99"/>
    <w:rsid w:val="00EA7445"/>
    <w:pPr>
      <w:numPr>
        <w:numId w:val="3"/>
      </w:numPr>
    </w:pPr>
  </w:style>
  <w:style w:type="numbering" w:customStyle="1" w:styleId="Stijl3">
    <w:name w:val="Stijl3"/>
    <w:uiPriority w:val="99"/>
    <w:rsid w:val="00EA7445"/>
    <w:pPr>
      <w:numPr>
        <w:numId w:val="4"/>
      </w:numPr>
    </w:pPr>
  </w:style>
  <w:style w:type="numbering" w:customStyle="1" w:styleId="Stijl4">
    <w:name w:val="Stijl4"/>
    <w:uiPriority w:val="99"/>
    <w:rsid w:val="00EA7445"/>
    <w:pPr>
      <w:numPr>
        <w:numId w:val="5"/>
      </w:numPr>
    </w:pPr>
  </w:style>
  <w:style w:type="numbering" w:customStyle="1" w:styleId="Stijl5">
    <w:name w:val="Stijl5"/>
    <w:uiPriority w:val="99"/>
    <w:rsid w:val="00EA7445"/>
    <w:pPr>
      <w:numPr>
        <w:numId w:val="6"/>
      </w:numPr>
    </w:pPr>
  </w:style>
  <w:style w:type="numbering" w:customStyle="1" w:styleId="Stijl6">
    <w:name w:val="Stijl6"/>
    <w:uiPriority w:val="99"/>
    <w:rsid w:val="00EA7445"/>
    <w:pPr>
      <w:numPr>
        <w:numId w:val="7"/>
      </w:numPr>
    </w:pPr>
  </w:style>
  <w:style w:type="numbering" w:customStyle="1" w:styleId="droger">
    <w:name w:val="droger"/>
    <w:uiPriority w:val="99"/>
    <w:rsid w:val="00EA7445"/>
    <w:pPr>
      <w:numPr>
        <w:numId w:val="8"/>
      </w:numPr>
    </w:pPr>
  </w:style>
  <w:style w:type="table" w:styleId="Tabelrasterlicht">
    <w:name w:val="Grid Table Light"/>
    <w:basedOn w:val="Standaardtabel"/>
    <w:uiPriority w:val="40"/>
    <w:rsid w:val="00EA74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2">
    <w:name w:val="Plain Table 2"/>
    <w:basedOn w:val="Standaardtabel"/>
    <w:uiPriority w:val="42"/>
    <w:rsid w:val="00EA74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EA74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EA74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3-Accent3">
    <w:name w:val="Grid Table 3 Accent 3"/>
    <w:basedOn w:val="Standaardtabel"/>
    <w:uiPriority w:val="48"/>
    <w:rsid w:val="00EA74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1licht-Accent5">
    <w:name w:val="Grid Table 1 Light Accent 5"/>
    <w:basedOn w:val="Standaardtabel"/>
    <w:uiPriority w:val="46"/>
    <w:rsid w:val="00EA744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EA7445"/>
    <w:rPr>
      <w:color w:val="0563C1" w:themeColor="hyperlink"/>
      <w:u w:val="single"/>
    </w:rPr>
  </w:style>
  <w:style w:type="character" w:customStyle="1" w:styleId="Onopgelostemelding1">
    <w:name w:val="Onopgeloste melding1"/>
    <w:basedOn w:val="Standaardalinea-lettertype"/>
    <w:uiPriority w:val="99"/>
    <w:semiHidden/>
    <w:unhideWhenUsed/>
    <w:rsid w:val="00EA7445"/>
    <w:rPr>
      <w:color w:val="605E5C"/>
      <w:shd w:val="clear" w:color="auto" w:fill="E1DFDD"/>
    </w:rPr>
  </w:style>
  <w:style w:type="character" w:customStyle="1" w:styleId="Onopgelostemelding2">
    <w:name w:val="Onopgeloste melding2"/>
    <w:basedOn w:val="Standaardalinea-lettertype"/>
    <w:uiPriority w:val="99"/>
    <w:semiHidden/>
    <w:unhideWhenUsed/>
    <w:rsid w:val="00EA7445"/>
    <w:rPr>
      <w:color w:val="605E5C"/>
      <w:shd w:val="clear" w:color="auto" w:fill="E1DFDD"/>
    </w:rPr>
  </w:style>
  <w:style w:type="character" w:styleId="GevolgdeHyperlink">
    <w:name w:val="FollowedHyperlink"/>
    <w:basedOn w:val="Standaardalinea-lettertype"/>
    <w:uiPriority w:val="99"/>
    <w:semiHidden/>
    <w:unhideWhenUsed/>
    <w:rsid w:val="00EA7445"/>
    <w:rPr>
      <w:color w:val="954F72" w:themeColor="followedHyperlink"/>
      <w:u w:val="single"/>
    </w:rPr>
  </w:style>
  <w:style w:type="character" w:styleId="Onopgelostemelding">
    <w:name w:val="Unresolved Mention"/>
    <w:basedOn w:val="Standaardalinea-lettertype"/>
    <w:uiPriority w:val="99"/>
    <w:semiHidden/>
    <w:unhideWhenUsed/>
    <w:rsid w:val="00EA7445"/>
    <w:rPr>
      <w:color w:val="605E5C"/>
      <w:shd w:val="clear" w:color="auto" w:fill="E1DFDD"/>
    </w:rPr>
  </w:style>
  <w:style w:type="table" w:styleId="Lijsttabel1licht">
    <w:name w:val="List Table 1 Light"/>
    <w:basedOn w:val="Standaardtabel"/>
    <w:uiPriority w:val="46"/>
    <w:rsid w:val="00EA7445"/>
    <w:pPr>
      <w:spacing w:after="0" w:line="240" w:lineRule="auto"/>
    </w:pPr>
    <w:rPr>
      <w:lang w:val="en-GB"/>
    </w:rPr>
    <w:tblPr>
      <w:tblStyleRowBandSize w:val="1"/>
      <w:tblStyleColBandSize w:val="1"/>
      <w:tblBorders>
        <w:top w:val="single" w:sz="4" w:space="0" w:color="000000" w:themeColor="text1"/>
        <w:bottom w:val="single" w:sz="4" w:space="0" w:color="000000" w:themeColor="text1"/>
      </w:tblBorders>
    </w:tblPr>
    <w:tblStylePr w:type="firstRow">
      <w:rPr>
        <w:b/>
        <w:bCs/>
        <w:color w:val="000000" w:themeColor="text1"/>
      </w:rPr>
      <w:tblPr/>
      <w:tcPr>
        <w:tcBorders>
          <w:bottom w:val="single" w:sz="4" w:space="0" w:color="000000" w:themeColor="text1"/>
        </w:tcBorders>
      </w:tcPr>
    </w:tblStylePr>
    <w:tblStylePr w:type="lastRow">
      <w:rPr>
        <w:b w:val="0"/>
        <w:bCs/>
      </w:rPr>
      <w:tblPr/>
      <w:tcPr>
        <w:shd w:val="clear" w:color="auto" w:fill="FFFFFF" w:themeFill="background1"/>
      </w:tcPr>
    </w:tblStylePr>
    <w:tblStylePr w:type="firstCol">
      <w:rPr>
        <w:b/>
        <w:bCs/>
      </w:rPr>
    </w:tblStylePr>
    <w:tblStylePr w:type="lastCol">
      <w:rPr>
        <w:b w:val="0"/>
        <w:bCs/>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swCell">
      <w:rPr>
        <w:b/>
      </w:rPr>
    </w:tblStylePr>
  </w:style>
  <w:style w:type="table" w:customStyle="1" w:styleId="Style1">
    <w:name w:val="Style1"/>
    <w:basedOn w:val="Standaardtabel"/>
    <w:uiPriority w:val="99"/>
    <w:rsid w:val="00EA7445"/>
    <w:pPr>
      <w:spacing w:after="0" w:line="240" w:lineRule="auto"/>
      <w:jc w:val="center"/>
    </w:pPr>
    <w:rPr>
      <w:lang w:val="en-GB"/>
    </w:rPr>
    <w:tblPr/>
    <w:tcPr>
      <w:vAlign w:val="bottom"/>
    </w:tcPr>
    <w:tblStylePr w:type="lastCol">
      <w:pPr>
        <w:jc w:val="right"/>
      </w:pPr>
      <w:tblPr/>
      <w:tcPr>
        <w:vAlign w:val="bottom"/>
      </w:tcPr>
    </w:tblStylePr>
  </w:style>
  <w:style w:type="paragraph" w:styleId="Bijschrift">
    <w:name w:val="caption"/>
    <w:basedOn w:val="Standaard"/>
    <w:next w:val="Standaard"/>
    <w:uiPriority w:val="35"/>
    <w:unhideWhenUsed/>
    <w:qFormat/>
    <w:rsid w:val="00EA7445"/>
    <w:pPr>
      <w:spacing w:after="200" w:line="240" w:lineRule="auto"/>
      <w:ind w:firstLine="851"/>
    </w:pPr>
    <w:rPr>
      <w:rFonts w:ascii="UGent Panno Text Medium" w:hAnsi="UGent Panno Text Medium" w:cs="Arial"/>
      <w:i/>
      <w:iCs/>
      <w:color w:val="44546A" w:themeColor="text2"/>
      <w:sz w:val="18"/>
      <w:szCs w:val="18"/>
    </w:rPr>
  </w:style>
  <w:style w:type="table" w:styleId="Onopgemaaktetabel1">
    <w:name w:val="Plain Table 1"/>
    <w:basedOn w:val="Standaardtabel"/>
    <w:uiPriority w:val="41"/>
    <w:rsid w:val="00EA74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voorafopgemaakt">
    <w:name w:val="HTML Preformatted"/>
    <w:basedOn w:val="Standaard"/>
    <w:link w:val="HTML-voorafopgemaaktChar"/>
    <w:uiPriority w:val="99"/>
    <w:semiHidden/>
    <w:unhideWhenUsed/>
    <w:rsid w:val="00EA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semiHidden/>
    <w:rsid w:val="00EA7445"/>
    <w:rPr>
      <w:rFonts w:ascii="Courier New" w:eastAsia="Times New Roman" w:hAnsi="Courier New" w:cs="Courier New"/>
      <w:sz w:val="20"/>
      <w:szCs w:val="20"/>
      <w:lang w:eastAsia="nl-BE"/>
    </w:rPr>
  </w:style>
  <w:style w:type="paragraph" w:customStyle="1" w:styleId="msonormal0">
    <w:name w:val="msonormal"/>
    <w:basedOn w:val="Standaard"/>
    <w:rsid w:val="00EA7445"/>
    <w:pPr>
      <w:spacing w:before="100" w:beforeAutospacing="1" w:after="100" w:afterAutospacing="1" w:line="240" w:lineRule="auto"/>
      <w:jc w:val="left"/>
    </w:pPr>
    <w:rPr>
      <w:rFonts w:ascii="Times New Roman" w:eastAsia="Times New Roman" w:hAnsi="Times New Roman" w:cs="Times New Roman"/>
      <w:szCs w:val="24"/>
      <w:lang w:eastAsia="nl-BE"/>
    </w:rPr>
  </w:style>
  <w:style w:type="paragraph" w:customStyle="1" w:styleId="xl65">
    <w:name w:val="xl65"/>
    <w:basedOn w:val="Standaard"/>
    <w:rsid w:val="00EA7445"/>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66">
    <w:name w:val="xl66"/>
    <w:basedOn w:val="Standaard"/>
    <w:rsid w:val="00EA7445"/>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67">
    <w:name w:val="xl67"/>
    <w:basedOn w:val="Standaard"/>
    <w:rsid w:val="00EA7445"/>
    <w:pPr>
      <w:pBdr>
        <w:lef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68">
    <w:name w:val="xl68"/>
    <w:basedOn w:val="Standaard"/>
    <w:rsid w:val="00EA7445"/>
    <w:pPr>
      <w:pBdr>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69">
    <w:name w:val="xl69"/>
    <w:basedOn w:val="Standaard"/>
    <w:rsid w:val="00EA7445"/>
    <w:pPr>
      <w:pBdr>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70">
    <w:name w:val="xl70"/>
    <w:basedOn w:val="Standaard"/>
    <w:rsid w:val="00EA7445"/>
    <w:pPr>
      <w:pBdr>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71">
    <w:name w:val="xl71"/>
    <w:basedOn w:val="Standaard"/>
    <w:rsid w:val="00EA7445"/>
    <w:pPr>
      <w:pBdr>
        <w:lef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72">
    <w:name w:val="xl72"/>
    <w:basedOn w:val="Standaard"/>
    <w:rsid w:val="00EA7445"/>
    <w:pPr>
      <w:pBdr>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73">
    <w:name w:val="xl73"/>
    <w:basedOn w:val="Standaard"/>
    <w:rsid w:val="00EA7445"/>
    <w:pPr>
      <w:pBdr>
        <w:lef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74">
    <w:name w:val="xl74"/>
    <w:basedOn w:val="Standaard"/>
    <w:rsid w:val="00EA7445"/>
    <w:pPr>
      <w:pBdr>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75">
    <w:name w:val="xl75"/>
    <w:basedOn w:val="Standaard"/>
    <w:rsid w:val="00EA7445"/>
    <w:pPr>
      <w:pBdr>
        <w:left w:val="single" w:sz="8" w:space="0" w:color="auto"/>
        <w:bottom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76">
    <w:name w:val="xl76"/>
    <w:basedOn w:val="Standaard"/>
    <w:rsid w:val="00EA7445"/>
    <w:pPr>
      <w:pBdr>
        <w:bottom w:val="single" w:sz="8" w:space="0" w:color="auto"/>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77">
    <w:name w:val="xl77"/>
    <w:basedOn w:val="Standaard"/>
    <w:rsid w:val="00EA7445"/>
    <w:pPr>
      <w:pBdr>
        <w:top w:val="single" w:sz="8" w:space="0" w:color="auto"/>
        <w:left w:val="single" w:sz="8" w:space="0" w:color="auto"/>
        <w:right w:val="single" w:sz="8"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Cs w:val="24"/>
      <w:lang w:eastAsia="nl-BE"/>
    </w:rPr>
  </w:style>
  <w:style w:type="paragraph" w:customStyle="1" w:styleId="xl78">
    <w:name w:val="xl78"/>
    <w:basedOn w:val="Standaard"/>
    <w:rsid w:val="00EA7445"/>
    <w:pPr>
      <w:pBdr>
        <w:left w:val="single" w:sz="8" w:space="0" w:color="auto"/>
        <w:right w:val="single" w:sz="8"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Cs w:val="24"/>
      <w:lang w:eastAsia="nl-BE"/>
    </w:rPr>
  </w:style>
  <w:style w:type="paragraph" w:customStyle="1" w:styleId="xl79">
    <w:name w:val="xl79"/>
    <w:basedOn w:val="Standaard"/>
    <w:rsid w:val="00EA7445"/>
    <w:pPr>
      <w:pBdr>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Cs w:val="24"/>
      <w:lang w:eastAsia="nl-BE"/>
    </w:rPr>
  </w:style>
  <w:style w:type="paragraph" w:customStyle="1" w:styleId="xl80">
    <w:name w:val="xl80"/>
    <w:basedOn w:val="Standaard"/>
    <w:rsid w:val="00EA7445"/>
    <w:pPr>
      <w:pBdr>
        <w:left w:val="single" w:sz="8" w:space="0" w:color="auto"/>
        <w:bottom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81">
    <w:name w:val="xl81"/>
    <w:basedOn w:val="Standaard"/>
    <w:rsid w:val="00EA7445"/>
    <w:pPr>
      <w:pBdr>
        <w:bottom w:val="single" w:sz="8" w:space="0" w:color="auto"/>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82">
    <w:name w:val="xl82"/>
    <w:basedOn w:val="Standaard"/>
    <w:rsid w:val="00EA7445"/>
    <w:pP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83">
    <w:name w:val="xl83"/>
    <w:basedOn w:val="Standaard"/>
    <w:rsid w:val="00EA7445"/>
    <w:pP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84">
    <w:name w:val="xl84"/>
    <w:basedOn w:val="Standaard"/>
    <w:rsid w:val="00EA744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85">
    <w:name w:val="xl85"/>
    <w:basedOn w:val="Standaard"/>
    <w:rsid w:val="00EA744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86">
    <w:name w:val="xl86"/>
    <w:basedOn w:val="Standaard"/>
    <w:rsid w:val="00EA744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nl-BE"/>
    </w:rPr>
  </w:style>
  <w:style w:type="paragraph" w:customStyle="1" w:styleId="xl87">
    <w:name w:val="xl87"/>
    <w:basedOn w:val="Standaard"/>
    <w:rsid w:val="00EA7445"/>
    <w:pPr>
      <w:pBdr>
        <w:top w:val="single" w:sz="8" w:space="0" w:color="auto"/>
        <w:left w:val="single" w:sz="8" w:space="0" w:color="auto"/>
        <w:bottom w:val="single" w:sz="8"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Cs w:val="24"/>
      <w:lang w:eastAsia="nl-BE"/>
    </w:rPr>
  </w:style>
  <w:style w:type="paragraph" w:customStyle="1" w:styleId="xl88">
    <w:name w:val="xl88"/>
    <w:basedOn w:val="Standaard"/>
    <w:rsid w:val="00EA7445"/>
    <w:pPr>
      <w:pBdr>
        <w:top w:val="single" w:sz="8" w:space="0" w:color="auto"/>
        <w:bottom w:val="single" w:sz="8"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Cs w:val="24"/>
      <w:lang w:eastAsia="nl-BE"/>
    </w:rPr>
  </w:style>
  <w:style w:type="paragraph" w:customStyle="1" w:styleId="xl89">
    <w:name w:val="xl89"/>
    <w:basedOn w:val="Standaard"/>
    <w:rsid w:val="00EA7445"/>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Cs w:val="24"/>
      <w:lang w:eastAsia="nl-BE"/>
    </w:rPr>
  </w:style>
  <w:style w:type="numbering" w:customStyle="1" w:styleId="Stijl7">
    <w:name w:val="Stijl7"/>
    <w:uiPriority w:val="99"/>
    <w:rsid w:val="00B85BBA"/>
    <w:pPr>
      <w:numPr>
        <w:numId w:val="19"/>
      </w:numPr>
    </w:pPr>
  </w:style>
  <w:style w:type="character" w:styleId="Regelnummer">
    <w:name w:val="line number"/>
    <w:basedOn w:val="Standaardalinea-lettertype"/>
    <w:uiPriority w:val="99"/>
    <w:semiHidden/>
    <w:unhideWhenUsed/>
    <w:rsid w:val="003D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sJ.Dhondt@UGent.be" TargetMode="External"/><Relationship Id="rId13" Type="http://schemas.openxmlformats.org/officeDocument/2006/relationships/hyperlink" Target="mailto:Ingmar.Nopens@ugent.be" TargetMode="External"/><Relationship Id="rId3" Type="http://schemas.openxmlformats.org/officeDocument/2006/relationships/styles" Target="styles.xml"/><Relationship Id="rId7" Type="http://schemas.openxmlformats.org/officeDocument/2006/relationships/hyperlink" Target="mailto:Daan.VanHauwermeiren@UGent.be" TargetMode="External"/><Relationship Id="rId12" Type="http://schemas.openxmlformats.org/officeDocument/2006/relationships/hyperlink" Target="mailto:Chris.Vervaet@UGen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lexanderJ.Ryckaert@UGent.be" TargetMode="External"/><Relationship Id="rId11" Type="http://schemas.openxmlformats.org/officeDocument/2006/relationships/hyperlink" Target="mailto:Dejan.Djuric@bay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rian.Funke@bayer.com" TargetMode="External"/><Relationship Id="rId4" Type="http://schemas.openxmlformats.org/officeDocument/2006/relationships/settings" Target="settings.xml"/><Relationship Id="rId9" Type="http://schemas.openxmlformats.org/officeDocument/2006/relationships/hyperlink" Target="mailto:Alexander.DeMan@UGent.be" TargetMode="External"/><Relationship Id="rId14" Type="http://schemas.openxmlformats.org/officeDocument/2006/relationships/hyperlink" Target="mailto:Thomas.DeBeer@UGen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9299-12EA-49EB-B382-3061FC84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26528</Words>
  <Characters>145905</Characters>
  <Application>Microsoft Office Word</Application>
  <DocSecurity>0</DocSecurity>
  <Lines>1215</Lines>
  <Paragraphs>344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Ryckaert</dc:creator>
  <cp:keywords/>
  <dc:description/>
  <cp:lastModifiedBy>Alexander Ryckaert</cp:lastModifiedBy>
  <cp:revision>5</cp:revision>
  <dcterms:created xsi:type="dcterms:W3CDTF">2021-05-28T09:07:00Z</dcterms:created>
  <dcterms:modified xsi:type="dcterms:W3CDTF">2021-06-03T08:12:00Z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http://www.zotero.org/styles/european-journal-of-pharmaceutics-and-biopharmaceutics</vt:lpwstr>
  </property>
  <property fmtid="{D5CDD505-2E9C-101B-9397-08002B2CF9AE}" pid="9" name="Mendeley Recent Style Name 3_1">
    <vt:lpwstr>European Journal of Pharmaceutics and Biopharmaceutics</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http://www.zotero.org/styles/international-journal-of-pharmaceutics</vt:lpwstr>
  </property>
  <property fmtid="{D5CDD505-2E9C-101B-9397-08002B2CF9AE}" pid="13" name="Mendeley Recent Style Name 5_1">
    <vt:lpwstr>International Journal of Pharmaceutics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http://www.zotero.org/styles/international-journal-of-pharmaceutics</vt:lpwstr>
  </property>
  <property fmtid="{D5CDD505-2E9C-101B-9397-08002B2CF9AE}" pid="24" name="Mendeley Unique User Id_1">
    <vt:lpwstr>9cdc6a1f-14ce-39cf-9b9b-c790853d3a0f</vt:lpwstr>
  </property>
</Properties>
</file>