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26CD5" w14:textId="77777777" w:rsidR="00A7797C" w:rsidRPr="00C67E9E" w:rsidRDefault="00A7797C" w:rsidP="00AC7F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67E9E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Inclusiones y dislocaciones sintácticas en el lenguaje juvenil. El caso particular de </w:t>
      </w:r>
      <w:r w:rsidRPr="00C67E9E">
        <w:rPr>
          <w:rFonts w:ascii="Times New Roman" w:hAnsi="Times New Roman" w:cs="Times New Roman"/>
          <w:b/>
          <w:i/>
          <w:sz w:val="24"/>
          <w:szCs w:val="24"/>
          <w:lang w:val="es-ES"/>
        </w:rPr>
        <w:t>es que</w:t>
      </w:r>
      <w:r w:rsidRPr="00C67E9E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14:paraId="0CC102E0" w14:textId="77777777" w:rsidR="000F48E1" w:rsidRDefault="000F48E1" w:rsidP="000F48E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90A28A" w14:textId="457AA2B6" w:rsidR="00A7797C" w:rsidRPr="00CA28E4" w:rsidRDefault="00A7797C" w:rsidP="00AC7F7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28E4">
        <w:rPr>
          <w:rFonts w:ascii="Times New Roman" w:hAnsi="Times New Roman" w:cs="Times New Roman"/>
          <w:b/>
          <w:i/>
          <w:sz w:val="24"/>
          <w:szCs w:val="24"/>
        </w:rPr>
        <w:t>Nele Van Den Driessche &amp; Renata Enghels</w:t>
      </w:r>
    </w:p>
    <w:p w14:paraId="5B68E83A" w14:textId="3B87D0D7" w:rsidR="000F48E1" w:rsidRDefault="000F48E1" w:rsidP="00AC7F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8E1">
        <w:rPr>
          <w:rFonts w:ascii="Times New Roman" w:hAnsi="Times New Roman" w:cs="Times New Roman"/>
          <w:b/>
          <w:sz w:val="24"/>
          <w:szCs w:val="24"/>
        </w:rPr>
        <w:t>(Universidad de Gante)</w:t>
      </w:r>
    </w:p>
    <w:p w14:paraId="6463A491" w14:textId="6CBBFFE4" w:rsidR="000F48E1" w:rsidRPr="000F48E1" w:rsidRDefault="000F48E1" w:rsidP="00AC7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48E1">
        <w:rPr>
          <w:rFonts w:ascii="Times New Roman" w:hAnsi="Times New Roman" w:cs="Times New Roman"/>
          <w:sz w:val="24"/>
          <w:szCs w:val="24"/>
          <w:u w:val="single"/>
          <w:lang w:val="es-ES"/>
        </w:rPr>
        <w:t>Propuesta para Mesa 5</w:t>
      </w:r>
      <w:r w:rsidRPr="000F48E1">
        <w:rPr>
          <w:rFonts w:ascii="Times New Roman" w:hAnsi="Times New Roman" w:cs="Times New Roman"/>
          <w:sz w:val="24"/>
          <w:szCs w:val="24"/>
          <w:lang w:val="es-ES"/>
        </w:rPr>
        <w:t>: Lingüística Española. Nuevas tendencias en el estudio del español oral</w:t>
      </w:r>
    </w:p>
    <w:p w14:paraId="650F7611" w14:textId="77777777" w:rsidR="000F48E1" w:rsidRDefault="000F48E1" w:rsidP="00AC7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9B836F6" w14:textId="34976F8F" w:rsidR="00665ADF" w:rsidRDefault="00114D01" w:rsidP="00AC7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En las últimas décadas,</w:t>
      </w:r>
      <w:r w:rsidR="0040020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44A76">
        <w:rPr>
          <w:rFonts w:ascii="Times New Roman" w:hAnsi="Times New Roman" w:cs="Times New Roman"/>
          <w:sz w:val="24"/>
          <w:szCs w:val="24"/>
          <w:lang w:val="es-ES_tradnl"/>
        </w:rPr>
        <w:t>el interés por el lenguaje juvenil ha aumentado considerablemente,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debido al papel importante que asumen los jóvenes en el cambio lingüístico</w:t>
      </w:r>
      <w:r w:rsidR="00D83C15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="00D83C15" w:rsidRPr="00D83C15">
        <w:rPr>
          <w:rFonts w:ascii="Times New Roman" w:hAnsi="Times New Roman" w:cs="Times New Roman"/>
          <w:sz w:val="24"/>
          <w:szCs w:val="24"/>
          <w:lang w:val="es-ES_tradnl"/>
        </w:rPr>
        <w:t>Andersen 2001</w:t>
      </w:r>
      <w:r w:rsidR="00D83C15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D83C15" w:rsidRPr="00D83C15">
        <w:rPr>
          <w:rFonts w:ascii="Times New Roman" w:hAnsi="Times New Roman" w:cs="Times New Roman"/>
          <w:sz w:val="24"/>
          <w:szCs w:val="24"/>
          <w:lang w:val="es-ES_tradnl"/>
        </w:rPr>
        <w:t>Blas Arroyo 2005</w:t>
      </w:r>
      <w:r w:rsidR="00844A7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D83C1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83C15" w:rsidRPr="00D83C15">
        <w:rPr>
          <w:rFonts w:ascii="Times New Roman" w:hAnsi="Times New Roman" w:cs="Times New Roman"/>
          <w:sz w:val="24"/>
          <w:szCs w:val="24"/>
          <w:lang w:val="es-ES_tradnl"/>
        </w:rPr>
        <w:t xml:space="preserve">Eckert </w:t>
      </w:r>
      <w:r w:rsidR="00D83C15">
        <w:rPr>
          <w:rFonts w:ascii="Times New Roman" w:hAnsi="Times New Roman" w:cs="Times New Roman"/>
          <w:sz w:val="24"/>
          <w:szCs w:val="24"/>
          <w:lang w:val="es-ES_tradnl"/>
        </w:rPr>
        <w:t>2003</w:t>
      </w:r>
      <w:r w:rsidR="00844A7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D83C1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83C15" w:rsidRPr="00D83C15">
        <w:rPr>
          <w:rFonts w:ascii="Times New Roman" w:hAnsi="Times New Roman" w:cs="Times New Roman"/>
          <w:sz w:val="24"/>
          <w:szCs w:val="24"/>
          <w:lang w:val="es-ES_tradnl"/>
        </w:rPr>
        <w:t>Stenström 2014</w:t>
      </w:r>
      <w:r w:rsidR="00844A7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D83C1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61C2C" w:rsidRPr="00D83C15">
        <w:rPr>
          <w:rFonts w:ascii="Times New Roman" w:hAnsi="Times New Roman" w:cs="Times New Roman"/>
          <w:sz w:val="24"/>
          <w:szCs w:val="24"/>
          <w:lang w:val="es-ES_tradnl"/>
        </w:rPr>
        <w:t>Tagliamonte 2016</w:t>
      </w:r>
      <w:r w:rsidR="00D61C2C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D83C15" w:rsidRPr="00D83C15">
        <w:rPr>
          <w:rFonts w:ascii="Times New Roman" w:hAnsi="Times New Roman" w:cs="Times New Roman"/>
          <w:sz w:val="24"/>
          <w:szCs w:val="24"/>
          <w:lang w:val="es-ES_tradnl"/>
        </w:rPr>
        <w:t>Zimmerman</w:t>
      </w:r>
      <w:r w:rsidR="00D83C15">
        <w:rPr>
          <w:rFonts w:ascii="Times New Roman" w:hAnsi="Times New Roman" w:cs="Times New Roman"/>
          <w:sz w:val="24"/>
          <w:szCs w:val="24"/>
          <w:lang w:val="es-ES_tradnl"/>
        </w:rPr>
        <w:t xml:space="preserve"> 2002</w:t>
      </w:r>
      <w:r w:rsidR="00D83C15" w:rsidRPr="00D83C15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D83C15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Puesto que el léxico sufre un cambio rápido (Catalá 2002), los estudios suelen centrarse en </w:t>
      </w:r>
      <w:r w:rsidR="00844A76">
        <w:rPr>
          <w:rFonts w:ascii="Times New Roman" w:hAnsi="Times New Roman" w:cs="Times New Roman"/>
          <w:sz w:val="24"/>
          <w:szCs w:val="24"/>
          <w:lang w:val="es-ES_tradnl"/>
        </w:rPr>
        <w:t>los rasgos léxicos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14410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D61C2C">
        <w:rPr>
          <w:rFonts w:ascii="Times New Roman" w:hAnsi="Times New Roman" w:cs="Times New Roman"/>
          <w:sz w:val="24"/>
          <w:szCs w:val="24"/>
          <w:lang w:val="es-ES_tradnl"/>
        </w:rPr>
        <w:t xml:space="preserve">Blas Arroyo 1996, Briz Gómez 2003, Herrero 2002, </w:t>
      </w:r>
      <w:r w:rsidR="003A2D70">
        <w:rPr>
          <w:rFonts w:ascii="Times New Roman" w:hAnsi="Times New Roman" w:cs="Times New Roman"/>
          <w:sz w:val="24"/>
          <w:szCs w:val="24"/>
          <w:lang w:val="es-ES_tradnl"/>
        </w:rPr>
        <w:t>Mitkova 2009, Rodríguez González 2002)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3A2D70">
        <w:rPr>
          <w:rFonts w:ascii="Times New Roman" w:hAnsi="Times New Roman" w:cs="Times New Roman"/>
          <w:sz w:val="24"/>
          <w:szCs w:val="24"/>
          <w:lang w:val="es-ES_tradnl"/>
        </w:rPr>
        <w:t xml:space="preserve">El nivel morfosintáctico, al contrario, ha sido relegado a un segundo plano. Por lo tanto, nuestra ponencia </w:t>
      </w:r>
      <w:r w:rsidR="006D30AB">
        <w:rPr>
          <w:rFonts w:ascii="Times New Roman" w:hAnsi="Times New Roman" w:cs="Times New Roman"/>
          <w:sz w:val="24"/>
          <w:szCs w:val="24"/>
          <w:lang w:val="es-ES_tradnl"/>
        </w:rPr>
        <w:t>aspira a</w:t>
      </w:r>
      <w:r w:rsidR="003A2D70">
        <w:rPr>
          <w:rFonts w:ascii="Times New Roman" w:hAnsi="Times New Roman" w:cs="Times New Roman"/>
          <w:sz w:val="24"/>
          <w:szCs w:val="24"/>
          <w:lang w:val="es-ES_tradnl"/>
        </w:rPr>
        <w:t xml:space="preserve"> contribuir a </w:t>
      </w:r>
      <w:r w:rsidR="00C67E9E" w:rsidRPr="00C67E9E">
        <w:rPr>
          <w:rFonts w:ascii="Times New Roman" w:hAnsi="Times New Roman" w:cs="Times New Roman"/>
          <w:sz w:val="24"/>
          <w:szCs w:val="24"/>
          <w:lang w:val="es-ES_tradnl"/>
        </w:rPr>
        <w:t>la investigación de las características morfosintácticas</w:t>
      </w:r>
      <w:r w:rsidR="006D30AB">
        <w:rPr>
          <w:rFonts w:ascii="Times New Roman" w:hAnsi="Times New Roman" w:cs="Times New Roman"/>
          <w:sz w:val="24"/>
          <w:szCs w:val="24"/>
          <w:lang w:val="es-ES_tradnl"/>
        </w:rPr>
        <w:t xml:space="preserve"> del lenguaje juvenil</w:t>
      </w:r>
      <w:r w:rsidR="00D61C2C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 xml:space="preserve">utilizando el corpus </w:t>
      </w:r>
      <w:r w:rsidR="00665ADF" w:rsidRPr="00C67E9E">
        <w:rPr>
          <w:rFonts w:ascii="Times New Roman" w:hAnsi="Times New Roman" w:cs="Times New Roman"/>
          <w:sz w:val="24"/>
          <w:szCs w:val="24"/>
          <w:lang w:val="es-ES_tradnl"/>
        </w:rPr>
        <w:t>CORMA (</w:t>
      </w:r>
      <w:r w:rsidR="00665ADF" w:rsidRPr="00C67E9E">
        <w:rPr>
          <w:rFonts w:ascii="Times New Roman" w:hAnsi="Times New Roman" w:cs="Times New Roman"/>
          <w:i/>
          <w:sz w:val="24"/>
          <w:szCs w:val="24"/>
          <w:lang w:val="es-ES_tradnl"/>
        </w:rPr>
        <w:t>Corpus Oral de Madrid</w:t>
      </w:r>
      <w:r w:rsidR="00665ADF" w:rsidRPr="00C67E9E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>, grabado en 2016 y en 2019.</w:t>
      </w:r>
      <w:r w:rsidR="00D61C2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 xml:space="preserve">Este corpus recopila 87 conversaciones entre hablantes madrileños de todas las generaciones y de diferentes clases sociales. </w:t>
      </w:r>
      <w:r w:rsidR="00CA28E4">
        <w:rPr>
          <w:rFonts w:ascii="Times New Roman" w:hAnsi="Times New Roman" w:cs="Times New Roman"/>
          <w:sz w:val="24"/>
          <w:szCs w:val="24"/>
          <w:lang w:val="es-ES_tradnl"/>
        </w:rPr>
        <w:t>El estudio</w:t>
      </w:r>
      <w:r w:rsidR="00D61C2C">
        <w:rPr>
          <w:rFonts w:ascii="Times New Roman" w:hAnsi="Times New Roman" w:cs="Times New Roman"/>
          <w:sz w:val="24"/>
          <w:szCs w:val="24"/>
          <w:lang w:val="es-ES_tradnl"/>
        </w:rPr>
        <w:t xml:space="preserve"> se dedica </w:t>
      </w:r>
      <w:r w:rsidR="00CA28E4">
        <w:rPr>
          <w:rFonts w:ascii="Times New Roman" w:hAnsi="Times New Roman" w:cs="Times New Roman"/>
          <w:sz w:val="24"/>
          <w:szCs w:val="24"/>
          <w:lang w:val="es-ES_tradnl"/>
        </w:rPr>
        <w:t>a fenómenos</w:t>
      </w:r>
      <w:r w:rsidR="00D61C2C">
        <w:rPr>
          <w:rFonts w:ascii="Times New Roman" w:hAnsi="Times New Roman" w:cs="Times New Roman"/>
          <w:sz w:val="24"/>
          <w:szCs w:val="24"/>
          <w:lang w:val="es-ES_tradnl"/>
        </w:rPr>
        <w:t xml:space="preserve"> de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 xml:space="preserve"> inclusión y dislocación sintáctica</w:t>
      </w:r>
      <w:r w:rsidR="00D61C2C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6D30AB">
        <w:rPr>
          <w:rFonts w:ascii="Times New Roman" w:hAnsi="Times New Roman" w:cs="Times New Roman"/>
          <w:sz w:val="24"/>
          <w:szCs w:val="24"/>
          <w:lang w:val="es-ES_tradnl"/>
        </w:rPr>
        <w:t>es decir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 xml:space="preserve"> la alteración del orden habitual de los componentes de un sintagma (cf. </w:t>
      </w:r>
      <w:r w:rsidR="00665ADF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¡Aquí hay un </w:t>
      </w:r>
      <w:r w:rsidR="00665ADF" w:rsidRPr="00183839">
        <w:rPr>
          <w:rFonts w:ascii="Times New Roman" w:hAnsi="Times New Roman" w:cs="Times New Roman"/>
          <w:i/>
          <w:iCs/>
          <w:sz w:val="24"/>
          <w:szCs w:val="24"/>
          <w:u w:val="single"/>
          <w:lang w:val="es-ES_tradnl"/>
        </w:rPr>
        <w:t>montón</w:t>
      </w:r>
      <w:r w:rsidR="00665ADF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de petas horroroso!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665ADF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>o de una oración  (Herrero 2002).</w:t>
      </w:r>
      <w:r w:rsidR="00665ADF" w:rsidRPr="00665AD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F03C7">
        <w:rPr>
          <w:rFonts w:ascii="Times New Roman" w:hAnsi="Times New Roman" w:cs="Times New Roman"/>
          <w:sz w:val="24"/>
          <w:szCs w:val="24"/>
          <w:lang w:val="es-ES_tradnl"/>
        </w:rPr>
        <w:t xml:space="preserve">Dentro de esta última categoría se destaca el uso recurrente de 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 xml:space="preserve">la estructura con </w:t>
      </w:r>
      <w:r w:rsidR="00665ADF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es que 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 xml:space="preserve">(cf. </w:t>
      </w:r>
      <w:r w:rsidRPr="00114D0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Ya </w:t>
      </w:r>
      <w:r w:rsidRPr="00D61C2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pero </w:t>
      </w:r>
      <w:r w:rsidRPr="00114D01">
        <w:rPr>
          <w:rFonts w:ascii="Times New Roman" w:hAnsi="Times New Roman" w:cs="Times New Roman"/>
          <w:i/>
          <w:iCs/>
          <w:sz w:val="24"/>
          <w:szCs w:val="24"/>
          <w:u w:val="single"/>
          <w:lang w:val="es-ES_tradnl"/>
        </w:rPr>
        <w:t>es que</w:t>
      </w:r>
      <w:r w:rsidRPr="00114D0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Jennifer López es diva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701625">
        <w:rPr>
          <w:rFonts w:ascii="Times New Roman" w:hAnsi="Times New Roman" w:cs="Times New Roman"/>
          <w:sz w:val="24"/>
          <w:szCs w:val="24"/>
          <w:lang w:val="es-ES_tradnl"/>
        </w:rPr>
        <w:t xml:space="preserve">, una construcción omnipresente en el habla juvenil </w:t>
      </w:r>
      <w:r w:rsidR="000F48E1">
        <w:rPr>
          <w:rFonts w:ascii="Times New Roman" w:hAnsi="Times New Roman" w:cs="Times New Roman"/>
          <w:sz w:val="24"/>
          <w:szCs w:val="24"/>
          <w:lang w:val="es-ES_tradnl"/>
        </w:rPr>
        <w:t xml:space="preserve">tal y como está representada en 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 xml:space="preserve">CORMA. </w:t>
      </w:r>
      <w:r w:rsidR="006D30AB">
        <w:rPr>
          <w:rFonts w:ascii="Times New Roman" w:hAnsi="Times New Roman" w:cs="Times New Roman"/>
          <w:sz w:val="24"/>
          <w:szCs w:val="24"/>
          <w:lang w:val="es-ES_tradnl"/>
        </w:rPr>
        <w:t>Concretamente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 xml:space="preserve">, quiere </w:t>
      </w:r>
      <w:r w:rsidR="00DC4F53">
        <w:rPr>
          <w:rFonts w:ascii="Times New Roman" w:hAnsi="Times New Roman" w:cs="Times New Roman"/>
          <w:sz w:val="24"/>
          <w:szCs w:val="24"/>
          <w:lang w:val="es-ES_tradnl"/>
        </w:rPr>
        <w:t xml:space="preserve">analizar 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 xml:space="preserve">las características formales </w:t>
      </w:r>
      <w:r w:rsidR="003F03C7">
        <w:rPr>
          <w:rFonts w:ascii="Times New Roman" w:hAnsi="Times New Roman" w:cs="Times New Roman"/>
          <w:sz w:val="24"/>
          <w:szCs w:val="24"/>
          <w:lang w:val="es-ES_tradnl"/>
        </w:rPr>
        <w:t xml:space="preserve">(entre otros 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>la posición en el discurso</w:t>
      </w:r>
      <w:r w:rsidR="003F03C7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 xml:space="preserve">, y </w:t>
      </w:r>
      <w:r w:rsidR="008678B0">
        <w:rPr>
          <w:rFonts w:ascii="Times New Roman" w:hAnsi="Times New Roman" w:cs="Times New Roman"/>
          <w:sz w:val="24"/>
          <w:szCs w:val="24"/>
          <w:lang w:val="es-ES_tradnl"/>
        </w:rPr>
        <w:t>las macrofunciones</w:t>
      </w:r>
      <w:r w:rsidR="00665ADF">
        <w:rPr>
          <w:rFonts w:ascii="Times New Roman" w:hAnsi="Times New Roman" w:cs="Times New Roman"/>
          <w:sz w:val="24"/>
          <w:szCs w:val="24"/>
          <w:lang w:val="es-ES_tradnl"/>
        </w:rPr>
        <w:t xml:space="preserve"> de esta construcción</w:t>
      </w:r>
      <w:r w:rsidR="00701625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A70D912" w14:textId="77777777" w:rsidR="00400208" w:rsidRPr="00CA28E4" w:rsidRDefault="00400208" w:rsidP="00AC7F7B">
      <w:pPr>
        <w:spacing w:line="360" w:lineRule="auto"/>
        <w:jc w:val="both"/>
        <w:rPr>
          <w:b/>
          <w:bCs/>
          <w:lang w:val="en-GB"/>
        </w:rPr>
      </w:pPr>
      <w:bookmarkStart w:id="0" w:name="_GoBack"/>
      <w:bookmarkEnd w:id="0"/>
      <w:r w:rsidRPr="00CA28E4">
        <w:rPr>
          <w:b/>
          <w:bCs/>
          <w:lang w:val="en-GB"/>
        </w:rPr>
        <w:t>Referencias</w:t>
      </w:r>
    </w:p>
    <w:p w14:paraId="5644942E" w14:textId="77777777" w:rsidR="00114D01" w:rsidRPr="00AC7F7B" w:rsidRDefault="00114D01" w:rsidP="00AC7F7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CA28E4">
        <w:rPr>
          <w:rFonts w:ascii="Times New Roman" w:hAnsi="Times New Roman" w:cs="Times New Roman"/>
          <w:lang w:val="en-GB"/>
        </w:rPr>
        <w:t xml:space="preserve">Andersen, Gisle. </w:t>
      </w:r>
      <w:r w:rsidRPr="00AC7F7B">
        <w:rPr>
          <w:rFonts w:ascii="Times New Roman" w:hAnsi="Times New Roman" w:cs="Times New Roman"/>
          <w:lang w:val="en-US"/>
        </w:rPr>
        <w:t xml:space="preserve">2001. </w:t>
      </w:r>
      <w:r w:rsidRPr="00AC7F7B">
        <w:rPr>
          <w:rFonts w:ascii="Times New Roman" w:hAnsi="Times New Roman" w:cs="Times New Roman"/>
          <w:i/>
          <w:iCs/>
          <w:lang w:val="en-US"/>
        </w:rPr>
        <w:t>PRAGMATIC MARKERS AND SOCIOLINGUISTIC VARIATION: A Relevance-Theoretic Approach to the Language of Adolescents.</w:t>
      </w:r>
      <w:r w:rsidRPr="00AC7F7B">
        <w:rPr>
          <w:rFonts w:ascii="Times New Roman" w:hAnsi="Times New Roman" w:cs="Times New Roman"/>
          <w:lang w:val="en-US"/>
        </w:rPr>
        <w:t xml:space="preserve"> Amsterdam/Philadelphia: John Benjamins Publishing Company.</w:t>
      </w:r>
    </w:p>
    <w:p w14:paraId="1FF5804E" w14:textId="77777777" w:rsidR="00114D01" w:rsidRPr="00AC7F7B" w:rsidRDefault="00114D01" w:rsidP="00AC7F7B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C7F7B">
        <w:rPr>
          <w:rFonts w:ascii="Times New Roman" w:hAnsi="Times New Roman" w:cs="Times New Roman"/>
          <w:lang w:val="en-US"/>
        </w:rPr>
        <w:t xml:space="preserve">Blas Arroyo, José L. 2005. </w:t>
      </w:r>
      <w:r w:rsidRPr="00AC7F7B">
        <w:rPr>
          <w:rFonts w:ascii="Times New Roman" w:hAnsi="Times New Roman" w:cs="Times New Roman"/>
          <w:lang w:val="es-ES_tradnl"/>
        </w:rPr>
        <w:t xml:space="preserve">“La variación genolectal en español.” en: </w:t>
      </w:r>
      <w:r w:rsidRPr="00AC7F7B">
        <w:rPr>
          <w:rFonts w:ascii="Times New Roman" w:hAnsi="Times New Roman" w:cs="Times New Roman"/>
          <w:i/>
          <w:lang w:val="es-ES_tradnl"/>
        </w:rPr>
        <w:t>Sociolingüística del español. Desarrollos y perspectivas en el estudio de la lengua española en contexto social</w:t>
      </w:r>
      <w:r w:rsidRPr="00AC7F7B">
        <w:rPr>
          <w:rFonts w:ascii="Times New Roman" w:hAnsi="Times New Roman" w:cs="Times New Roman"/>
          <w:lang w:val="es-ES_tradnl"/>
        </w:rPr>
        <w:t>. Luca de Tena, J.I. (ed.). Madrid: Cátedra, 190-207.</w:t>
      </w:r>
    </w:p>
    <w:p w14:paraId="2847F0C7" w14:textId="77777777" w:rsidR="00114D01" w:rsidRPr="00CA28E4" w:rsidRDefault="00114D01" w:rsidP="00AC7F7B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C7F7B">
        <w:rPr>
          <w:rFonts w:ascii="Times New Roman" w:hAnsi="Times New Roman" w:cs="Times New Roman"/>
          <w:lang w:val="es-ES_tradnl"/>
        </w:rPr>
        <w:lastRenderedPageBreak/>
        <w:t xml:space="preserve">Briz Gómez, Antonio. 2003. “La interacción entre jóvenes: español coloquial, argot y lenguaje juvenil.” en: </w:t>
      </w:r>
      <w:r w:rsidRPr="00AC7F7B">
        <w:rPr>
          <w:rFonts w:ascii="Times New Roman" w:hAnsi="Times New Roman" w:cs="Times New Roman"/>
          <w:i/>
          <w:iCs/>
          <w:lang w:val="es-ES_tradnl"/>
        </w:rPr>
        <w:t>Lexicografía y Lexicología en Europa y América: Homenaje a Günter Haensch</w:t>
      </w:r>
      <w:r w:rsidRPr="00AC7F7B">
        <w:rPr>
          <w:rFonts w:ascii="Times New Roman" w:hAnsi="Times New Roman" w:cs="Times New Roman"/>
          <w:lang w:val="es-ES_tradnl"/>
        </w:rPr>
        <w:t xml:space="preserve">. </w:t>
      </w:r>
      <w:r w:rsidRPr="00CA28E4">
        <w:rPr>
          <w:rFonts w:ascii="Times New Roman" w:hAnsi="Times New Roman" w:cs="Times New Roman"/>
          <w:lang w:val="es-ES"/>
        </w:rPr>
        <w:t>Haensch, G. (ed.). Madrid: Editorial Gredos, 141-151.</w:t>
      </w:r>
    </w:p>
    <w:p w14:paraId="6AECBDDC" w14:textId="77777777" w:rsidR="00D61C2C" w:rsidRPr="00AC7F7B" w:rsidRDefault="00D61C2C" w:rsidP="00AC7F7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C7F7B">
        <w:rPr>
          <w:rFonts w:ascii="Times New Roman" w:hAnsi="Times New Roman" w:cs="Times New Roman"/>
          <w:lang w:val="es-ES_tradnl"/>
        </w:rPr>
        <w:t xml:space="preserve">Catalá Torres, Natalia. 2002. “Consideraciones acerca de la pobreza expresiva de los jóvenes.” en: </w:t>
      </w:r>
      <w:r w:rsidRPr="00AC7F7B">
        <w:rPr>
          <w:rFonts w:ascii="Times New Roman" w:hAnsi="Times New Roman" w:cs="Times New Roman"/>
          <w:i/>
          <w:iCs/>
          <w:lang w:val="es-ES_tradnl"/>
        </w:rPr>
        <w:t>El lenguaje de los jóvenes.</w:t>
      </w:r>
      <w:r w:rsidRPr="00AC7F7B">
        <w:rPr>
          <w:rFonts w:ascii="Times New Roman" w:hAnsi="Times New Roman" w:cs="Times New Roman"/>
          <w:lang w:val="es-ES_tradnl"/>
        </w:rPr>
        <w:t xml:space="preserve"> </w:t>
      </w:r>
      <w:r w:rsidRPr="00AC7F7B">
        <w:rPr>
          <w:rFonts w:ascii="Times New Roman" w:hAnsi="Times New Roman" w:cs="Times New Roman"/>
          <w:lang w:val="en-US"/>
        </w:rPr>
        <w:t>Rodríguez González, F. (ed.). Barcelona: Ariel, 123-136.</w:t>
      </w:r>
    </w:p>
    <w:p w14:paraId="173C8A46" w14:textId="77777777" w:rsidR="00114D01" w:rsidRPr="00AC7F7B" w:rsidRDefault="00114D01" w:rsidP="00AC7F7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C7F7B">
        <w:rPr>
          <w:rFonts w:ascii="Times New Roman" w:hAnsi="Times New Roman" w:cs="Times New Roman"/>
          <w:lang w:val="en-US"/>
        </w:rPr>
        <w:t xml:space="preserve">Eckert, Penelope. 2003. “Language and Adolescent Peer Groups.” </w:t>
      </w:r>
      <w:r w:rsidRPr="00AC7F7B">
        <w:rPr>
          <w:rFonts w:ascii="Times New Roman" w:hAnsi="Times New Roman" w:cs="Times New Roman"/>
          <w:i/>
          <w:iCs/>
          <w:lang w:val="en-US"/>
        </w:rPr>
        <w:t>Journal of Language and Social Psychology</w:t>
      </w:r>
      <w:r w:rsidRPr="00AC7F7B">
        <w:rPr>
          <w:rFonts w:ascii="Times New Roman" w:hAnsi="Times New Roman" w:cs="Times New Roman"/>
          <w:lang w:val="en-US"/>
        </w:rPr>
        <w:t>, 22</w:t>
      </w:r>
      <w:r w:rsidR="00AC7F7B">
        <w:rPr>
          <w:rFonts w:ascii="Times New Roman" w:hAnsi="Times New Roman" w:cs="Times New Roman"/>
          <w:lang w:val="en-US"/>
        </w:rPr>
        <w:t>.</w:t>
      </w:r>
      <w:r w:rsidRPr="00AC7F7B">
        <w:rPr>
          <w:rFonts w:ascii="Times New Roman" w:hAnsi="Times New Roman" w:cs="Times New Roman"/>
          <w:lang w:val="en-US"/>
        </w:rPr>
        <w:t>1, 112-118.</w:t>
      </w:r>
    </w:p>
    <w:p w14:paraId="089161E5" w14:textId="77777777" w:rsidR="00114D01" w:rsidRPr="00AC7F7B" w:rsidRDefault="00114D01" w:rsidP="00AC7F7B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C7F7B">
        <w:rPr>
          <w:rFonts w:ascii="Times New Roman" w:hAnsi="Times New Roman" w:cs="Times New Roman"/>
          <w:lang w:val="es-ES_tradnl"/>
        </w:rPr>
        <w:t xml:space="preserve">Herrero, Gemma. 2002. “Aspectos sintácticos del lenguaje juvenil.” en: </w:t>
      </w:r>
      <w:r w:rsidRPr="00AC7F7B">
        <w:rPr>
          <w:rFonts w:ascii="Times New Roman" w:hAnsi="Times New Roman" w:cs="Times New Roman"/>
          <w:i/>
          <w:lang w:val="es-ES_tradnl"/>
        </w:rPr>
        <w:t>El lenguaje de los jóvenes</w:t>
      </w:r>
      <w:r w:rsidRPr="00AC7F7B">
        <w:rPr>
          <w:rFonts w:ascii="Times New Roman" w:hAnsi="Times New Roman" w:cs="Times New Roman"/>
          <w:lang w:val="es-ES_tradnl"/>
        </w:rPr>
        <w:t>. Rodríguez González, F. (ed.). Barcelona: Ariel, 67-96.</w:t>
      </w:r>
    </w:p>
    <w:p w14:paraId="4C654616" w14:textId="77777777" w:rsidR="00114D01" w:rsidRPr="00AC7F7B" w:rsidRDefault="00114D01" w:rsidP="00AC7F7B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C7F7B">
        <w:rPr>
          <w:rFonts w:ascii="Times New Roman" w:hAnsi="Times New Roman" w:cs="Times New Roman"/>
          <w:lang w:val="es-ES_tradnl"/>
        </w:rPr>
        <w:t xml:space="preserve">Mitkova, Adriana. 2009. “El estilo comunicativo de los jóvenes.” </w:t>
      </w:r>
      <w:r w:rsidRPr="00AC7F7B">
        <w:rPr>
          <w:rFonts w:ascii="Times New Roman" w:hAnsi="Times New Roman" w:cs="Times New Roman"/>
          <w:i/>
          <w:lang w:val="es-ES_tradnl"/>
        </w:rPr>
        <w:t>Círculo de lingüística aplicada a la comunicación</w:t>
      </w:r>
      <w:r w:rsidRPr="00AC7F7B">
        <w:rPr>
          <w:rFonts w:ascii="Times New Roman" w:hAnsi="Times New Roman" w:cs="Times New Roman"/>
          <w:lang w:val="es-ES_tradnl"/>
        </w:rPr>
        <w:t>, 37, 21-44.</w:t>
      </w:r>
    </w:p>
    <w:p w14:paraId="643EA729" w14:textId="77777777" w:rsidR="00AC7F7B" w:rsidRPr="00856C3C" w:rsidRDefault="00AC7F7B" w:rsidP="00AC7F7B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C7F7B">
        <w:rPr>
          <w:rFonts w:ascii="Times New Roman" w:hAnsi="Times New Roman" w:cs="Times New Roman"/>
          <w:lang w:val="es-ES_tradnl"/>
        </w:rPr>
        <w:t>Rodríguez González, Félix</w:t>
      </w:r>
      <w:r w:rsidRPr="00856C3C">
        <w:rPr>
          <w:rFonts w:ascii="Times New Roman" w:hAnsi="Times New Roman" w:cs="Times New Roman"/>
          <w:lang w:val="es-ES_tradnl"/>
        </w:rPr>
        <w:t xml:space="preserve">. 2002. “Lenguaje y contracultura juvenil: anatomía de una generación.” en: </w:t>
      </w:r>
      <w:r w:rsidRPr="00856C3C">
        <w:rPr>
          <w:rFonts w:ascii="Times New Roman" w:hAnsi="Times New Roman" w:cs="Times New Roman"/>
          <w:i/>
          <w:lang w:val="es-ES_tradnl"/>
        </w:rPr>
        <w:t>El lenguaje de los jóvenes</w:t>
      </w:r>
      <w:r w:rsidRPr="00856C3C">
        <w:rPr>
          <w:rFonts w:ascii="Times New Roman" w:hAnsi="Times New Roman" w:cs="Times New Roman"/>
          <w:lang w:val="es-ES_tradnl"/>
        </w:rPr>
        <w:t>. Rodríguez González, F. (ed.). Barcelona: Ariel, 29-56.</w:t>
      </w:r>
    </w:p>
    <w:p w14:paraId="529FC2AF" w14:textId="77777777" w:rsidR="00114D01" w:rsidRPr="00AC7F7B" w:rsidRDefault="00114D01" w:rsidP="00AC7F7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C7F7B">
        <w:rPr>
          <w:rFonts w:ascii="Times New Roman" w:hAnsi="Times New Roman" w:cs="Times New Roman"/>
          <w:lang w:val="es-ES_tradnl"/>
        </w:rPr>
        <w:t xml:space="preserve">Stenström, Anna-Brita. </w:t>
      </w:r>
      <w:r w:rsidRPr="00CA28E4">
        <w:rPr>
          <w:rFonts w:ascii="Times New Roman" w:hAnsi="Times New Roman" w:cs="Times New Roman"/>
          <w:lang w:val="es-ES"/>
        </w:rPr>
        <w:t xml:space="preserve">2014. </w:t>
      </w:r>
      <w:r w:rsidRPr="00CA28E4">
        <w:rPr>
          <w:rFonts w:ascii="Times New Roman" w:hAnsi="Times New Roman" w:cs="Times New Roman"/>
          <w:i/>
          <w:lang w:val="es-ES"/>
        </w:rPr>
        <w:t>Teenage Talk</w:t>
      </w:r>
      <w:r w:rsidRPr="00CA28E4">
        <w:rPr>
          <w:rFonts w:ascii="Times New Roman" w:hAnsi="Times New Roman" w:cs="Times New Roman"/>
          <w:lang w:val="es-ES"/>
        </w:rPr>
        <w:t xml:space="preserve">. </w:t>
      </w:r>
      <w:r w:rsidRPr="00AC7F7B">
        <w:rPr>
          <w:rFonts w:ascii="Times New Roman" w:hAnsi="Times New Roman" w:cs="Times New Roman"/>
          <w:lang w:val="en-US"/>
        </w:rPr>
        <w:t>New York: Palgrave Macmillan.</w:t>
      </w:r>
    </w:p>
    <w:p w14:paraId="55FC97E7" w14:textId="77777777" w:rsidR="00114D01" w:rsidRPr="00CA28E4" w:rsidRDefault="00114D01" w:rsidP="00AC7F7B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C7F7B">
        <w:rPr>
          <w:rFonts w:ascii="Times New Roman" w:hAnsi="Times New Roman" w:cs="Times New Roman"/>
          <w:lang w:val="en-US"/>
        </w:rPr>
        <w:t xml:space="preserve">Tagliamonte, Sali A. 2016. </w:t>
      </w:r>
      <w:r w:rsidRPr="00AC7F7B">
        <w:rPr>
          <w:rFonts w:ascii="Times New Roman" w:hAnsi="Times New Roman" w:cs="Times New Roman"/>
          <w:i/>
          <w:lang w:val="en-US"/>
        </w:rPr>
        <w:t>Teen Talk. The Language of Adolescents</w:t>
      </w:r>
      <w:r w:rsidRPr="00AC7F7B">
        <w:rPr>
          <w:rFonts w:ascii="Times New Roman" w:hAnsi="Times New Roman" w:cs="Times New Roman"/>
          <w:lang w:val="en-US"/>
        </w:rPr>
        <w:t xml:space="preserve">. </w:t>
      </w:r>
      <w:r w:rsidRPr="00CA28E4">
        <w:rPr>
          <w:rFonts w:ascii="Times New Roman" w:hAnsi="Times New Roman" w:cs="Times New Roman"/>
          <w:lang w:val="es-ES"/>
        </w:rPr>
        <w:t>Cambridge: Cambridge University Press.</w:t>
      </w:r>
    </w:p>
    <w:p w14:paraId="565C5B13" w14:textId="77777777" w:rsidR="00114D01" w:rsidRPr="00AC7F7B" w:rsidRDefault="00114D01" w:rsidP="00AC7F7B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C7F7B">
        <w:rPr>
          <w:rFonts w:ascii="Times New Roman" w:hAnsi="Times New Roman" w:cs="Times New Roman"/>
          <w:lang w:val="es-ES_tradnl"/>
        </w:rPr>
        <w:t xml:space="preserve">Zimmermann, Klaus. 2002. “La variedad juvenil y la interacción verbal entre jóvenes.” en: </w:t>
      </w:r>
      <w:r w:rsidRPr="00AC7F7B">
        <w:rPr>
          <w:rFonts w:ascii="Times New Roman" w:hAnsi="Times New Roman" w:cs="Times New Roman"/>
          <w:i/>
          <w:lang w:val="es-ES_tradnl"/>
        </w:rPr>
        <w:t>El lenguaje de los jóvenes</w:t>
      </w:r>
      <w:r w:rsidRPr="00AC7F7B">
        <w:rPr>
          <w:rFonts w:ascii="Times New Roman" w:hAnsi="Times New Roman" w:cs="Times New Roman"/>
          <w:lang w:val="es-ES_tradnl"/>
        </w:rPr>
        <w:t>. Rodríguez González, F. (ed.). Barcelona: Ariel, 137-163.</w:t>
      </w:r>
    </w:p>
    <w:p w14:paraId="301EBFCB" w14:textId="77777777" w:rsidR="00114D01" w:rsidRPr="00114D01" w:rsidRDefault="00114D01" w:rsidP="00AC7F7B">
      <w:pPr>
        <w:spacing w:line="360" w:lineRule="auto"/>
        <w:jc w:val="both"/>
        <w:rPr>
          <w:lang w:val="en-US"/>
        </w:rPr>
      </w:pPr>
    </w:p>
    <w:sectPr w:rsidR="00114D01" w:rsidRPr="00114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7C"/>
    <w:rsid w:val="0001553D"/>
    <w:rsid w:val="00033084"/>
    <w:rsid w:val="00052578"/>
    <w:rsid w:val="000D034F"/>
    <w:rsid w:val="000D6D13"/>
    <w:rsid w:val="000F48E1"/>
    <w:rsid w:val="00103346"/>
    <w:rsid w:val="00114D01"/>
    <w:rsid w:val="0013395C"/>
    <w:rsid w:val="00183839"/>
    <w:rsid w:val="002C0665"/>
    <w:rsid w:val="002D5B38"/>
    <w:rsid w:val="002D5D84"/>
    <w:rsid w:val="00377488"/>
    <w:rsid w:val="003A2D70"/>
    <w:rsid w:val="003F03C7"/>
    <w:rsid w:val="00400208"/>
    <w:rsid w:val="004451B9"/>
    <w:rsid w:val="004D3F77"/>
    <w:rsid w:val="005040AB"/>
    <w:rsid w:val="005F6F39"/>
    <w:rsid w:val="00665ADF"/>
    <w:rsid w:val="006D30AB"/>
    <w:rsid w:val="00701625"/>
    <w:rsid w:val="00712375"/>
    <w:rsid w:val="00772B33"/>
    <w:rsid w:val="007E2D54"/>
    <w:rsid w:val="00844A76"/>
    <w:rsid w:val="00862A36"/>
    <w:rsid w:val="0086323A"/>
    <w:rsid w:val="00866898"/>
    <w:rsid w:val="008678B0"/>
    <w:rsid w:val="008956B0"/>
    <w:rsid w:val="00905FC3"/>
    <w:rsid w:val="009532CE"/>
    <w:rsid w:val="009D6F77"/>
    <w:rsid w:val="00A7797C"/>
    <w:rsid w:val="00AC46B5"/>
    <w:rsid w:val="00AC7F7B"/>
    <w:rsid w:val="00AD0A09"/>
    <w:rsid w:val="00B14410"/>
    <w:rsid w:val="00B344F8"/>
    <w:rsid w:val="00C03508"/>
    <w:rsid w:val="00C20BB5"/>
    <w:rsid w:val="00C67E9E"/>
    <w:rsid w:val="00CA28E4"/>
    <w:rsid w:val="00D61C2C"/>
    <w:rsid w:val="00D83C15"/>
    <w:rsid w:val="00D95A88"/>
    <w:rsid w:val="00DC4F53"/>
    <w:rsid w:val="00E17D77"/>
    <w:rsid w:val="00E40089"/>
    <w:rsid w:val="00F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CFC8"/>
  <w15:chartTrackingRefBased/>
  <w15:docId w15:val="{85422478-D221-4A68-8823-C4479231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797C"/>
    <w:rPr>
      <w:rFonts w:asciiTheme="minorHAnsi" w:hAnsiTheme="minorHAns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17D77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3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03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6D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F5496" w:themeColor="accent1" w:themeShade="B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532C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9532CE"/>
    <w:rPr>
      <w:rFonts w:asciiTheme="majorHAnsi" w:eastAsiaTheme="majorEastAsia" w:hAnsiTheme="majorHAnsi" w:cstheme="majorBidi"/>
      <w:b/>
      <w:spacing w:val="-10"/>
      <w:kern w:val="28"/>
      <w:sz w:val="56"/>
      <w:szCs w:val="5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E17D77"/>
    <w:rPr>
      <w:rFonts w:ascii="Times New Roman" w:eastAsiaTheme="majorEastAsia" w:hAnsi="Times New Roman" w:cstheme="majorBidi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03508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03508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Kop4Char">
    <w:name w:val="Kop 4 Char"/>
    <w:basedOn w:val="Standaardalinea-lettertype"/>
    <w:link w:val="Kop4"/>
    <w:uiPriority w:val="9"/>
    <w:rsid w:val="000D6D13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797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28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28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28E4"/>
    <w:rPr>
      <w:rFonts w:asciiTheme="minorHAnsi" w:hAnsi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E4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Van Den Driessche</dc:creator>
  <cp:keywords/>
  <dc:description/>
  <cp:lastModifiedBy>Renata Enghels</cp:lastModifiedBy>
  <cp:revision>33</cp:revision>
  <dcterms:created xsi:type="dcterms:W3CDTF">2020-02-25T08:10:00Z</dcterms:created>
  <dcterms:modified xsi:type="dcterms:W3CDTF">2020-03-06T13:53:00Z</dcterms:modified>
</cp:coreProperties>
</file>