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9CB4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43"/>
          <w:szCs w:val="43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43"/>
          <w:szCs w:val="43"/>
          <w:lang w:val="en-US"/>
        </w:rPr>
        <w:t>Pitfalls of objective gait analysis</w:t>
      </w:r>
    </w:p>
    <w:p w14:paraId="70F05FC2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5"/>
          <w:szCs w:val="15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Oosterlinck M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vertAlign w:val="superscript"/>
          <w:lang w:val="en-US"/>
        </w:rPr>
        <w:t>*</w:t>
      </w:r>
      <w:r w:rsidRPr="00930A79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  <w:lang w:val="en-US"/>
        </w:rPr>
        <w:t>1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, Starke S</w:t>
      </w:r>
      <w:r w:rsidRPr="00930A79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  <w:lang w:val="en-US"/>
        </w:rPr>
        <w:t>2</w:t>
      </w:r>
    </w:p>
    <w:p w14:paraId="5096826C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5"/>
          <w:szCs w:val="15"/>
          <w:lang w:val="en-US"/>
        </w:rPr>
      </w:pPr>
    </w:p>
    <w:p w14:paraId="391652A9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  <w:lang w:val="en-US"/>
        </w:rPr>
        <w:t>1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Ghent University, Faculty of Veterinary Medicine, Department of Surgery and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Anaesthesiology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of Domestic</w:t>
      </w:r>
    </w:p>
    <w:p w14:paraId="286DE6AD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Animals,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Merelbeke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, Belgium, </w:t>
      </w:r>
      <w:r w:rsidRPr="00930A79">
        <w:rPr>
          <w:rFonts w:ascii="Times New Roman" w:hAnsi="Times New Roman" w:cs="Times New Roman"/>
          <w:color w:val="000000" w:themeColor="text1"/>
          <w:sz w:val="15"/>
          <w:szCs w:val="15"/>
          <w:vertAlign w:val="superscript"/>
          <w:lang w:val="en-US"/>
        </w:rPr>
        <w:t>2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Centre for Process Innovation,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Sedgefield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, United Kingdom.</w:t>
      </w:r>
    </w:p>
    <w:p w14:paraId="1B37470D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</w:p>
    <w:p w14:paraId="422DF77A" w14:textId="00A5A561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The limitations of human perception for the visual evaluation of lameness have been well described, whereby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not only classification of mild to moderate lameness but also the correct classification of sound horses as sound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poses a challenge, even for experienced veterinarians (Starke and Oosterlinck, 2019). Nowadays, practical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tools for quantitative (often referred to as objective) evaluation of lameness are available and this technology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has unquestionably increased our understanding of the biomechanics of lameness (Keegan,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2007; Pfau et al.,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2016;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Greve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and Dyson, 2020). A preliminary inventory of perceived pros and cons in equine practice revealed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that users of quantitative gait analysis tools were motivated by objectivity, transparency, 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documentation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and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client service, whereas non-users mentioned costs and complexity of data interpretation as main issues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(Hardeman et al., 2021). However, there are some common misconceptions on the use of objective methods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for lameness evaluation, and it should be emphasized that the use of measurements is not replacing the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clinician but rather augmenting the clinician’s toolbox. All measurements must be evaluated within the context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of the presenting complaint and history, complimentary to further clinical assessment or diagnostic tests (Adair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et al., 2018, 2019).</w:t>
      </w:r>
    </w:p>
    <w:p w14:paraId="7332A1B6" w14:textId="2D749FE0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To date, no visual or quantitative lameness assessment approach can claim 100% reliability in classifying a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horse correctly. When applying quantitative methods, one should therefore be aware of pitfalls that may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confound data and the assessment. Before looking at those pitfalls specific to objective gait analysis,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quantitative evaluation may increase one’s awareness of issues which are also often encountered during visual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evaluation, and which should therefore not be regarded as pitfalls of solely objective analysis. For example,</w:t>
      </w:r>
    </w:p>
    <w:p w14:paraId="0EAE4295" w14:textId="665913B5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‘unstable’ lameness varying in intensity during an evaluation session or between successive days of evaluation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can confound both visual and quantitative analysis. Also, variation in trotting speed may confound the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assessment of especially hindlimb lameness (Moorman et al., 2017a). Furthermore, quantitative evaluation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lameness has revealed a high prevalence of potential multi-limb lameness and the confounding effects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compensatory movements (Reed et al., 2020). It is plausible to assume that many of the mysterious lameness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cases that ‘cannot be blocked’ are, in fact, compensatory movements by a primary lameness in another limb.</w:t>
      </w:r>
    </w:p>
    <w:p w14:paraId="126A069A" w14:textId="2D09F8B3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 first potential pitfall of solely objective methods for evaluation of lameness is erroneous marker or sensor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placement that would lead to erroneous conclusions as the recorded data track the wrong location. In the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Equinosis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Q system for example, human error can mainly occur in the placement of the right forelimb sensor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and the pelvic sensor. According to Moorman et al. (2017b), rotation of the right forelimb sensor less than 2 cm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away from midline did not significantly affect data, but they did not evaluate more severe rotation. According to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the manufacturer, rotation of more than 30-45 degrees will reduce the signal, impacting on the accuracy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stride segmentation and derived metrics. Rotation to the back of the pastern or mounting the sensor upside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down will even result in classifying the horse lame in the opposite from the true limb (e.g., left fore rather than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right fore). For the sacrum, left/right misplacement away from the midline affects the measured asymmetry to a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much greater magnitude in comparison to cranial/caudal misplacement: in their study using optical motion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capture, Serra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Bragan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 a et al. (2018) reported that each cm of marker placement left/right off the midline leads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to an average difference in minimum position of the pelvis of 1.67 mm. Similarly, Moorman et al. (2017b)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showed significant effects of a 2-cm sidewards change in the location of the pelvic sensor of the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Equinosis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Q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system. These placement errors result in data that either falsely indicate lameness in a sound horse,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soundness in a lame horse or lameness disproportional to what is present. In essence, studies show that if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markers or sensors are not placed accurately, results of qualitative gait assessment are inaccurate, too.</w:t>
      </w:r>
    </w:p>
    <w:p w14:paraId="6BB74D91" w14:textId="77777777" w:rsid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 second potential pitfall is bilateral lameness. Obviously, when using head and pelvis displacement asymmetry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 a lameness indicator on the straight line, symmetrically bilateral conditions can remain undetected if only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looking at the data. Where visual assessment may note a choppy gait or stiffness in movement, the data will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only report back on the anatomical landmark which they are attached to. This again underlines the need to use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objective gait analysis not as a substitute for visual assessment, but an addition to a holistic approach based 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visual observation and measurements. In the case of bilateral lameness, further clinical assessment (lunging,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ridden evaluation, diagnostic anesthesia, …) should be used.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</w:p>
    <w:p w14:paraId="547E1F3C" w14:textId="440F9A2F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 third pitfall is a bias in asymmetry data during lunging and ridden exercise. On the circle, a sound horse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presents with movement that is by default asymmetrical (Starke et al., 2012), where the asymmetry depends 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circle radius, trotting speed and conformation (Pfau et al., 2012). Care should be taken because circle-induced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asymmetry may mask or mimic forelimb or hindlimb lameness (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et al., 2016), with expected patterns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even potentially depending on surface characteristics. For quantitative lameness assessment on the circle, the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common approach is currently to compare data for the horse trotting on the left and right rein, trying to keep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circle diameter and trotting speed identical between conditions. This area remains subject to further research.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Moreover, the presence of a rider, interaction between rider and horse, and rider seating style can also affect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vertical movement parameters, with the sitting trot being the least potentially confounding activity and posting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commonly causing movement akin to a push-off type lameness in the contralateral limb to which the rider is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posting on (Persson-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Sjodin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et al., 2018).</w:t>
      </w:r>
    </w:p>
    <w:p w14:paraId="3416D662" w14:textId="77777777" w:rsid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The final pitfall relates to imperfect classification thresholds and heuristics that must be applied to quantitative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methods to make decisions. While decades of biomechanics research allow to approximate reference values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for the vertical displacement asymmetry of head and pelvis above which a horse is likely clinically significantly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lame, these reference values are not perfect. At present, all indications suggest that for subtle and mild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lameness, we are facing an overlap between horses that present with natural and insignificant asymmetry and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those that present with asymmetry due to a painful focus in the limb. This results in a ‘signal detection’ problem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of finding the best threshold to discriminate between the two. It is unavoidable that around this threshold, some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classifications as sound or lame will be incorrect. In addition, the assignment of lameness to left or right limb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depends on signal features derived from the recorded data, in the process turning ‘rich’ data into simplified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asymmetry measures. How this is done varies between systems. To date, no single metric or approach has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proven 100% reliable in indicating the correct limb as lame. Finally, since lame horses present with a range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lameness patterns that affect the derived asymmetry measures and signal shapes, in some instances horses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may be misclassified, and for some lameness patterns it even remains unclear how to interpret them.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Even in the absence of errors in sensor placement, discrepancies between the visual and quantitative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evaluation may arise. On the one hand, it is not surprising to measure subtle asymmetries which are below the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visual detection threshold. On the other hand, there is still a lack of knowledge regarding the interpretation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these subtle asymmetries, opening the debate on what degree of asymmetry can be considered normal (van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Weeren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et al., 2017). In this respect, breed differences should be considered, as significantly larger values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baseline asymmetries have been reported for example in Thoroughbred racehorses (Pfau et al., 2020) and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Standardbred trotters (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Kallerud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et al., 2021). Moreover, several studies on objective evaluation have shown a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high prevalence of what would be classified as a mild lameness in horses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lastRenderedPageBreak/>
        <w:t>perceived as sound by their owners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(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et al., 2016, 2017). However, this has also been reported in a study based on comprehensive clinical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examination (Dyson and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Greve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, 2016), and agrees with clinical experience. Therefore, the accurate and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objective detection of subtle asymmetries should warrant further clinical examination or at least follow-up,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rather than lead to skepticism of the technique. Undiagnosed lameness is a major reason for poor performance,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and the increased sensitivity for detecting subtle asymmetries should be used to as a tool to guide further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clinical assessment and is very valuable for monitoring horses over time. This may facilitate earlier detection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changes in baselines asymmetry as afforded by solely visual assessment, as shown in an experimental study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by McCracken et al. (2012).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</w:p>
    <w:p w14:paraId="5F576131" w14:textId="21DBC9B2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With the systems currently available, there is no barrier anymore to clinical everyday use: very little time is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required to put the sensors on the horse, measurements can be performed under a variety of clinical conditions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and there is no need to focus on a computer screen instead of looking at the patient, so there should be no fear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of losing clinical details. As a great benefit, the clinician is provided with data often captured hundred times per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second, has access to instant feedback on clinical observations and can track and measure the response to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any interventions with increased sensitivity and objectivity. Yet using objective, quantitative tools is not a reason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to stop looking at the whole horse and performing a comprehensive clinical evaluation. As with any tool, there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definitely is a learning curve in interpreting data, and there is ongoing research to increase our understanding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how we perceive and how we should interpret these movement alterations. With appropriate training in the use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of the technology and progressive insights gained by further research in this exciting field, the potential pitfalls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or limitations should not discourage clinicians from exploring this application of modern technology. Clinicians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should learn to use the technology to their advantage, striving for superior clinical judgement of our equine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athletes, as summarized in the statement of Emeritus Professor Derek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Knottenbelt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: “Technology won't replace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vets… but vets who use technology logically and carefully will replace those who don't” (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Knottenbelt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, 2017).</w:t>
      </w:r>
    </w:p>
    <w:p w14:paraId="48E2C1B8" w14:textId="7777777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</w:p>
    <w:p w14:paraId="363877DB" w14:textId="24ED910F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b/>
          <w:bCs/>
          <w:color w:val="000000" w:themeColor="text1"/>
          <w:sz w:val="17"/>
          <w:szCs w:val="17"/>
          <w:lang w:val="en-US"/>
        </w:rPr>
        <w:t>References</w:t>
      </w:r>
    </w:p>
    <w:p w14:paraId="4E036031" w14:textId="22FFEBF2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1. Adair S,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Baus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M, Belknap J, et al. Response to Letter to the Editor: Do we have to redefine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lameness in the era of quantitative gait analysis. Equine Vet J 2018;50(3):415–7.</w:t>
      </w:r>
    </w:p>
    <w:p w14:paraId="4EB218F9" w14:textId="061FB0E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2. Adair S,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Baus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M, Bell R, et al. Letter to the Editor: A response to “What is lameness and what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(or who) is the gold standard to detect it?” Equine Vet J 2019;51(2):270–2.</w:t>
      </w:r>
    </w:p>
    <w:p w14:paraId="1F6D2901" w14:textId="048B3839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3.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Greve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L, Dyson S. What can we learn from visual and objective assessment of non‐lame and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lame horses in straight lines, on the lunge and ridden? Equine Vet Educ 2020;32(9):479–91.</w:t>
      </w:r>
    </w:p>
    <w:p w14:paraId="3146A7F8" w14:textId="0A85B157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4. Dyson S,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Greve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L. Subjective gait assessment of 57 sports horses in normal work: A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comparison of the response to flexion tests, movement in hand, on the lunge, and ridden. J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Equine Vet Sci 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2016;38:1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–7.</w:t>
      </w:r>
    </w:p>
    <w:p w14:paraId="467C22F4" w14:textId="079828B5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5. Hardeman AM, van Weeren PR, Serra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Bragan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 a FM,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 first exploration of perceived pros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and cons of quantitative gait analysis in equine clinical practice. Equine Vet Educ.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https://doi.org/10.1111/eve.13505</w:t>
      </w:r>
    </w:p>
    <w:p w14:paraId="2D3CCA66" w14:textId="040D0D0F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6.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Kallerud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AS,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Fjordbakk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CT, Hendrickson EHS, et al. Objectively measured movement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asymmetry in yearling Standardbred trotters. Equine Vet J 2021;53(3):590-1</w:t>
      </w:r>
    </w:p>
    <w:p w14:paraId="3BAF499E" w14:textId="2DA15AE8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7. Keegan KG. Evidence-based lameness detection and quantification. Vet Clin North Am Equine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Pract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2007;23:403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-23</w:t>
      </w:r>
    </w:p>
    <w:p w14:paraId="1D694EAD" w14:textId="231967C9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8. McCracken MJ, Kramer J, Keegan KG, et al. Comparison of an inertial sensor system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lameness quantification with subjective lameness evaluation.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Equine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Vet J 2012;44(6):652-656.</w:t>
      </w:r>
    </w:p>
    <w:p w14:paraId="3BD24393" w14:textId="7F6970B3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9. Moorman VJ,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Frisbie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DD,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Kawcak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CE,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The effect of horse velocity on the output of an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inertial sensor system. J Eq Vet Sci 2017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a;58:34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-9.</w:t>
      </w:r>
    </w:p>
    <w:p w14:paraId="1311D1A7" w14:textId="6246285F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10. Moorman VJ,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Frisbie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DD,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Kawcak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CE,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Effects of sensor position on kinematic data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obtained with an inertial sensor system during gait analysis of trotting horses. J Am Vet Med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2017b;250(5):548-53.</w:t>
      </w:r>
    </w:p>
    <w:p w14:paraId="21F7993E" w14:textId="45FDD26D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11. Persson-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Sj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 din E,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Hernlund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E, Pfau T, et al. Effect of meloxicam treatment on movement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asymmetry in riding horses in training.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PLoS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ONE 2019;14(8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):e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0221117</w:t>
      </w:r>
    </w:p>
    <w:p w14:paraId="57C06EA4" w14:textId="52305666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12. Pfau T, Fiske-Jackson A,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M. Quantitative assessment of gait parameters in horses: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Useful for aiding clinical decision making? Equine Vet Educ 2016;28(4):209-15.</w:t>
      </w:r>
    </w:p>
    <w:p w14:paraId="0540BCA0" w14:textId="14B3E15B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13. Pfau T, Sepulveda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Caviedes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MF, McCarthy R, et al. Comparison of visual lameness scores to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gait asymmetry in racing Thoroughbreds during trot in‐hand. Equine Vet Educ 2020;32(4):191–8.</w:t>
      </w:r>
    </w:p>
    <w:p w14:paraId="18375572" w14:textId="49ACC1FE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14. Pfau T, Stubbs NC, Kaiser LJ, et al. Effect of trotting speed and circle radius on movement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symmetry in horses during lunging on a soft surface. Am J Vet Res 2012;73(12):1890–9.</w:t>
      </w:r>
    </w:p>
    <w:p w14:paraId="337EB22F" w14:textId="12FE840A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15.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Knottenbelt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DC. Using the past to make the future better: the long and winding road. Plenary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opening lecture, 56th Annual Congress British Equine Veterinary Association, Liverpool, UK.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(2017) pp 30– 31.</w:t>
      </w:r>
    </w:p>
    <w:p w14:paraId="5F4E31F6" w14:textId="59AC783C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16. Reed SK, Kramer J,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Thombs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L,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Comparison of results for body-mounted inertial sensor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assessment with final lameness determination in 1,224 equids. J Am Vet Med Assoc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2020;256(5):590–9.</w:t>
      </w:r>
    </w:p>
    <w:p w14:paraId="557CC13F" w14:textId="7165B264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17. Serra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Bragan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 a FM,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Wiestner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T, et al. Quantification of the effect of instrumentation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error in objective gait assessment in the horse on hindlimb symmetry parameters. Equine Vet J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2018;50(3):370–6.</w:t>
      </w:r>
    </w:p>
    <w:p w14:paraId="79ED5965" w14:textId="0347AB93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18. Starke SD, Oosterlinck M. Reliability of equine visual lameness classification as a function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expertise, lameness severity and rater confidence. Vet Rec 2019;184(2):63–63.</w:t>
      </w:r>
    </w:p>
    <w:p w14:paraId="7C5B76C4" w14:textId="323F63A5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19. Starke SD, Willems E, May SA, et al. Vertical 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head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and trunk movement adaptations of sound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horses trotting in a circle on a hard surface.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Vet J 2012;193(1):73-80.</w:t>
      </w:r>
    </w:p>
    <w:p w14:paraId="123EDCC1" w14:textId="06D22E31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20.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M,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Egenvall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A, Andersen PH,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Head and pelvic movement asymmetries at trot in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riding horses in training and perceived as free from lameness by the owner.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PLoS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ONE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2017;12(4</w:t>
      </w:r>
      <w:proofErr w:type="gram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):e</w:t>
      </w:r>
      <w:proofErr w:type="gram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0176253.</w:t>
      </w:r>
    </w:p>
    <w:p w14:paraId="09495303" w14:textId="449E8B39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21.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M, Roepstorff L, French A, et al. Head and pelvic movement asymmetry during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lungeing</w:t>
      </w:r>
      <w:proofErr w:type="spellEnd"/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in horses with symmetrical movement on the straight.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Equine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Vet J 2016;48(3):315–20.</w:t>
      </w:r>
    </w:p>
    <w:p w14:paraId="3A4FDD67" w14:textId="40B10558" w:rsidR="00930A79" w:rsidRPr="00930A79" w:rsidRDefault="00930A79" w:rsidP="00930A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22. Van Weeren PR,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Pfau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T, </w:t>
      </w:r>
      <w:proofErr w:type="spellStart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>Rhodin</w:t>
      </w:r>
      <w:proofErr w:type="spellEnd"/>
      <w:r w:rsidRPr="00930A7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M, et al.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Do we have to redefine lameness in the era of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 xml:space="preserve"> </w:t>
      </w:r>
      <w:r w:rsidRPr="00930A79"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quantitative gait analysis? Equine Vet J 2017;49(5):567-9.</w:t>
      </w:r>
    </w:p>
    <w:p w14:paraId="70B51012" w14:textId="77777777" w:rsidR="00F372A5" w:rsidRPr="00930A79" w:rsidRDefault="00930A79">
      <w:pPr>
        <w:rPr>
          <w:color w:val="000000" w:themeColor="text1"/>
          <w:lang w:val="en-US"/>
        </w:rPr>
      </w:pPr>
    </w:p>
    <w:sectPr w:rsidR="00F372A5" w:rsidRPr="00930A79" w:rsidSect="003575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79"/>
    <w:rsid w:val="000F0EF3"/>
    <w:rsid w:val="0035755B"/>
    <w:rsid w:val="004C3F0D"/>
    <w:rsid w:val="00506505"/>
    <w:rsid w:val="005E07A4"/>
    <w:rsid w:val="00930A79"/>
    <w:rsid w:val="00BC4D53"/>
    <w:rsid w:val="00D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BA0D6"/>
  <w14:defaultImageDpi w14:val="32767"/>
  <w15:chartTrackingRefBased/>
  <w15:docId w15:val="{2742F811-04A0-624A-A582-64DA550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30A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2303</Words>
  <Characters>12668</Characters>
  <Application>Microsoft Office Word</Application>
  <DocSecurity>0</DocSecurity>
  <Lines>105</Lines>
  <Paragraphs>29</Paragraphs>
  <ScaleCrop>false</ScaleCrop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Oosterlinck</dc:creator>
  <cp:keywords/>
  <dc:description/>
  <cp:lastModifiedBy>Maarten Oosterlinck</cp:lastModifiedBy>
  <cp:revision>1</cp:revision>
  <dcterms:created xsi:type="dcterms:W3CDTF">2021-07-07T14:35:00Z</dcterms:created>
  <dcterms:modified xsi:type="dcterms:W3CDTF">2021-07-07T14:41:00Z</dcterms:modified>
</cp:coreProperties>
</file>