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7226" w14:textId="77777777" w:rsidR="00BD4F7A" w:rsidRDefault="00BD4F7A" w:rsidP="006F0F47">
      <w:pPr>
        <w:pStyle w:val="Title"/>
        <w:spacing w:beforeAutospacing="0" w:afterAutospacing="0" w:line="480" w:lineRule="auto"/>
        <w:rPr>
          <w:caps/>
          <w:sz w:val="24"/>
          <w:szCs w:val="24"/>
          <w:lang w:val="en-US"/>
        </w:rPr>
      </w:pPr>
    </w:p>
    <w:p w14:paraId="41353D9A" w14:textId="727D03FA" w:rsidR="0060478C" w:rsidRDefault="007A6739" w:rsidP="006F0F47">
      <w:pPr>
        <w:pStyle w:val="Title"/>
        <w:spacing w:beforeAutospacing="0" w:afterAutospacing="0" w:line="480" w:lineRule="auto"/>
        <w:rPr>
          <w:caps/>
          <w:sz w:val="24"/>
          <w:szCs w:val="24"/>
          <w:lang w:val="en-US"/>
        </w:rPr>
      </w:pPr>
      <w:r w:rsidRPr="0060478C">
        <w:rPr>
          <w:caps/>
          <w:sz w:val="24"/>
          <w:szCs w:val="24"/>
          <w:lang w:val="en-US"/>
        </w:rPr>
        <w:t xml:space="preserve">Dealing with Common Method Variance in </w:t>
      </w:r>
    </w:p>
    <w:p w14:paraId="664E232F" w14:textId="2CB1EF47" w:rsidR="007A6739" w:rsidRPr="0060478C" w:rsidRDefault="007A6739" w:rsidP="006F0F47">
      <w:pPr>
        <w:pStyle w:val="Title"/>
        <w:spacing w:beforeAutospacing="0" w:afterAutospacing="0" w:line="480" w:lineRule="auto"/>
        <w:rPr>
          <w:caps/>
          <w:sz w:val="24"/>
          <w:szCs w:val="24"/>
          <w:lang w:val="en-US"/>
        </w:rPr>
      </w:pPr>
      <w:r w:rsidRPr="0060478C">
        <w:rPr>
          <w:caps/>
          <w:sz w:val="24"/>
          <w:szCs w:val="24"/>
          <w:lang w:val="en-US"/>
        </w:rPr>
        <w:t>International Marketing Research</w:t>
      </w:r>
    </w:p>
    <w:p w14:paraId="74E7CC58" w14:textId="77777777" w:rsidR="006F0F47" w:rsidRDefault="006F0F47" w:rsidP="005C1D6E">
      <w:pPr>
        <w:spacing w:before="0" w:beforeAutospacing="0" w:after="0" w:afterAutospacing="0"/>
        <w:rPr>
          <w:b/>
          <w:bCs/>
          <w:lang w:val="en-US"/>
        </w:rPr>
      </w:pPr>
    </w:p>
    <w:p w14:paraId="5EA8C173" w14:textId="724C51B7" w:rsidR="007A6739" w:rsidRPr="0060478C" w:rsidRDefault="007A6739" w:rsidP="005C1D6E">
      <w:pPr>
        <w:spacing w:before="0" w:beforeAutospacing="0" w:after="0" w:afterAutospacing="0"/>
        <w:rPr>
          <w:b/>
          <w:bCs/>
          <w:caps/>
          <w:lang w:val="en-US"/>
        </w:rPr>
      </w:pPr>
      <w:r w:rsidRPr="0060478C">
        <w:rPr>
          <w:b/>
          <w:bCs/>
          <w:caps/>
          <w:lang w:val="en-US"/>
        </w:rPr>
        <w:t>Abstract</w:t>
      </w:r>
    </w:p>
    <w:p w14:paraId="0B1250E4" w14:textId="40D4BB6C" w:rsidR="007A6739" w:rsidRDefault="003D5FD9" w:rsidP="005C1D6E">
      <w:pPr>
        <w:spacing w:before="0" w:beforeAutospacing="0" w:after="0" w:afterAutospacing="0"/>
        <w:rPr>
          <w:lang w:val="en-US"/>
        </w:rPr>
      </w:pPr>
      <w:r>
        <w:rPr>
          <w:lang w:val="en-US"/>
        </w:rPr>
        <w:t>C</w:t>
      </w:r>
      <w:r w:rsidR="007A6739" w:rsidRPr="00216F60">
        <w:rPr>
          <w:lang w:val="en-US"/>
        </w:rPr>
        <w:t xml:space="preserve">ommon </w:t>
      </w:r>
      <w:r w:rsidR="007A6739">
        <w:rPr>
          <w:lang w:val="en-US"/>
        </w:rPr>
        <w:t>m</w:t>
      </w:r>
      <w:r w:rsidR="007A6739" w:rsidRPr="00216F60">
        <w:rPr>
          <w:lang w:val="en-US"/>
        </w:rPr>
        <w:t xml:space="preserve">ethod </w:t>
      </w:r>
      <w:r w:rsidR="007A6739">
        <w:rPr>
          <w:lang w:val="en-US"/>
        </w:rPr>
        <w:t>v</w:t>
      </w:r>
      <w:r w:rsidR="007A6739" w:rsidRPr="00216F60">
        <w:rPr>
          <w:lang w:val="en-US"/>
        </w:rPr>
        <w:t>ariance (CMV) is an important concern</w:t>
      </w:r>
      <w:r>
        <w:rPr>
          <w:lang w:val="en-US"/>
        </w:rPr>
        <w:t xml:space="preserve"> in international marketing research</w:t>
      </w:r>
      <w:r w:rsidR="007A6739" w:rsidRPr="00216F60">
        <w:rPr>
          <w:lang w:val="en-US"/>
        </w:rPr>
        <w:t xml:space="preserve"> </w:t>
      </w:r>
      <w:r w:rsidR="007A6739">
        <w:rPr>
          <w:lang w:val="en-US"/>
        </w:rPr>
        <w:t xml:space="preserve">because presumed substantive relationships may actually be due to shared method variance. Since method effects may vary systematically across cultures and countries, accounting for method effects in international marketing research is particularly critical. </w:t>
      </w:r>
      <w:r w:rsidR="007A6739" w:rsidRPr="00216F60">
        <w:rPr>
          <w:lang w:val="en-US"/>
        </w:rPr>
        <w:t xml:space="preserve">A systematic review of </w:t>
      </w:r>
      <w:r w:rsidR="007A6739">
        <w:rPr>
          <w:lang w:val="en-US"/>
        </w:rPr>
        <w:t xml:space="preserve">articles published in the </w:t>
      </w:r>
      <w:r w:rsidR="007A6739" w:rsidRPr="00216F60">
        <w:rPr>
          <w:i/>
          <w:iCs/>
          <w:lang w:val="en-US"/>
        </w:rPr>
        <w:t>Journal of International Marketing</w:t>
      </w:r>
      <w:r w:rsidR="007A6739" w:rsidRPr="00216F60">
        <w:rPr>
          <w:lang w:val="en-US"/>
        </w:rPr>
        <w:t xml:space="preserve"> </w:t>
      </w:r>
      <w:r w:rsidR="007A6739">
        <w:rPr>
          <w:lang w:val="en-US"/>
        </w:rPr>
        <w:t xml:space="preserve">over a five-year period </w:t>
      </w:r>
      <w:r w:rsidR="007A6739" w:rsidRPr="00216F60">
        <w:rPr>
          <w:lang w:val="en-US"/>
        </w:rPr>
        <w:t xml:space="preserve">(2015-2019, N = 93) shows that </w:t>
      </w:r>
      <w:r w:rsidR="00CC051A">
        <w:rPr>
          <w:lang w:val="en-US"/>
        </w:rPr>
        <w:t xml:space="preserve">(a) </w:t>
      </w:r>
      <w:r w:rsidR="007A6739" w:rsidRPr="00216F60">
        <w:rPr>
          <w:lang w:val="en-US"/>
        </w:rPr>
        <w:t xml:space="preserve">authors often report </w:t>
      </w:r>
      <w:r w:rsidR="007A6739" w:rsidRPr="005C1D6E">
        <w:rPr>
          <w:i/>
          <w:iCs/>
          <w:lang w:val="en-US"/>
        </w:rPr>
        <w:t>post hoc</w:t>
      </w:r>
      <w:r w:rsidR="007A6739" w:rsidRPr="00216F60">
        <w:rPr>
          <w:lang w:val="en-US"/>
        </w:rPr>
        <w:t xml:space="preserve"> CMV tests but usually conclude that CMV is not an issue and </w:t>
      </w:r>
      <w:r w:rsidR="007A6739">
        <w:rPr>
          <w:lang w:val="en-US"/>
        </w:rPr>
        <w:t xml:space="preserve">that </w:t>
      </w:r>
      <w:r w:rsidR="007A6739" w:rsidRPr="00216F60">
        <w:rPr>
          <w:lang w:val="en-US"/>
        </w:rPr>
        <w:t xml:space="preserve">(b) </w:t>
      </w:r>
      <w:r w:rsidR="007A6739">
        <w:rPr>
          <w:lang w:val="en-US"/>
        </w:rPr>
        <w:t xml:space="preserve">many </w:t>
      </w:r>
      <w:r w:rsidR="007A6739" w:rsidRPr="005C1D6E">
        <w:rPr>
          <w:i/>
          <w:iCs/>
          <w:lang w:val="en-US"/>
        </w:rPr>
        <w:t>post hoc</w:t>
      </w:r>
      <w:r w:rsidR="007A6739">
        <w:rPr>
          <w:lang w:val="en-US"/>
        </w:rPr>
        <w:t xml:space="preserve"> tests are conducted using the </w:t>
      </w:r>
      <w:r w:rsidR="007A6739" w:rsidRPr="00216F60">
        <w:rPr>
          <w:lang w:val="en-US"/>
        </w:rPr>
        <w:t>Harman one-factor test</w:t>
      </w:r>
      <w:r w:rsidR="007A6739">
        <w:rPr>
          <w:lang w:val="en-US"/>
        </w:rPr>
        <w:t xml:space="preserve"> and the marker variable technique, which have serious deficiencies for detecting and controlling CMV. Based on a classification and comparative evaluation of the most common statistical approaches for dealing with CMV, two approaches </w:t>
      </w:r>
      <w:r w:rsidR="00EA0910">
        <w:rPr>
          <w:lang w:val="en-US"/>
        </w:rPr>
        <w:t xml:space="preserve">are recommended </w:t>
      </w:r>
      <w:r w:rsidR="007A6739">
        <w:rPr>
          <w:lang w:val="en-US"/>
        </w:rPr>
        <w:t>and a procedure for dealing with CMV in international marketing research</w:t>
      </w:r>
      <w:r w:rsidR="00EA0910">
        <w:rPr>
          <w:lang w:val="en-US"/>
        </w:rPr>
        <w:t xml:space="preserve"> is proposed</w:t>
      </w:r>
      <w:r w:rsidR="007A6739">
        <w:rPr>
          <w:lang w:val="en-US"/>
        </w:rPr>
        <w:t xml:space="preserve">. The procedure, which is based on multi-sample structural equation modeling, is illustrated with </w:t>
      </w:r>
      <w:r w:rsidR="007A6739" w:rsidRPr="00216F60">
        <w:rPr>
          <w:lang w:val="en-US"/>
        </w:rPr>
        <w:t>data from a cross-national pan-European survey (N =</w:t>
      </w:r>
      <w:r w:rsidR="007A6739">
        <w:rPr>
          <w:lang w:val="en-US"/>
        </w:rPr>
        <w:t>11,970</w:t>
      </w:r>
      <w:r w:rsidR="007A6739" w:rsidRPr="00216F60">
        <w:rPr>
          <w:lang w:val="en-US"/>
        </w:rPr>
        <w:t>, 1</w:t>
      </w:r>
      <w:r w:rsidR="007A6739">
        <w:rPr>
          <w:lang w:val="en-US"/>
        </w:rPr>
        <w:t>4</w:t>
      </w:r>
      <w:r w:rsidR="007A6739" w:rsidRPr="00216F60">
        <w:rPr>
          <w:lang w:val="en-US"/>
        </w:rPr>
        <w:t xml:space="preserve"> countries), </w:t>
      </w:r>
      <w:r w:rsidR="007A6739">
        <w:rPr>
          <w:lang w:val="en-US"/>
        </w:rPr>
        <w:t>which shows that even though method variance is present in the data, method effects do not seriously bias the substantive conclusions in this particular study.</w:t>
      </w:r>
    </w:p>
    <w:p w14:paraId="20228389" w14:textId="671CED4B" w:rsidR="000B0D7E" w:rsidRDefault="000B0D7E" w:rsidP="005C1D6E">
      <w:pPr>
        <w:spacing w:before="0" w:beforeAutospacing="0" w:after="0" w:afterAutospacing="0"/>
        <w:rPr>
          <w:lang w:val="en-US"/>
        </w:rPr>
      </w:pPr>
    </w:p>
    <w:p w14:paraId="5BC83DDF" w14:textId="40F405B0" w:rsidR="000B0D7E" w:rsidRPr="00216F60" w:rsidRDefault="000B0D7E" w:rsidP="005C1D6E">
      <w:pPr>
        <w:spacing w:before="0" w:beforeAutospacing="0" w:after="0" w:afterAutospacing="0"/>
        <w:rPr>
          <w:lang w:val="en-US"/>
        </w:rPr>
      </w:pPr>
      <w:r>
        <w:rPr>
          <w:lang w:val="en-US"/>
        </w:rPr>
        <w:t xml:space="preserve">Keywords: </w:t>
      </w:r>
      <w:r w:rsidR="00BD4F7A">
        <w:rPr>
          <w:lang w:val="en-US"/>
        </w:rPr>
        <w:t>Common method variance, international survey research, method bias, m</w:t>
      </w:r>
      <w:r>
        <w:rPr>
          <w:lang w:val="en-US"/>
        </w:rPr>
        <w:t>ethod effects, multi-sample structural equation modeling</w:t>
      </w:r>
    </w:p>
    <w:p w14:paraId="58B5F4D2" w14:textId="77777777" w:rsidR="007A6739" w:rsidRDefault="007A6739" w:rsidP="00B070E9">
      <w:pPr>
        <w:spacing w:before="0" w:beforeAutospacing="0" w:after="0" w:afterAutospacing="0"/>
        <w:ind w:firstLine="708"/>
        <w:rPr>
          <w:lang w:val="en-US"/>
        </w:rPr>
        <w:sectPr w:rsidR="007A6739" w:rsidSect="00B070E9">
          <w:footerReference w:type="default" r:id="rId7"/>
          <w:pgSz w:w="11906" w:h="16838"/>
          <w:pgMar w:top="1417" w:right="1417" w:bottom="1417" w:left="1417" w:header="708" w:footer="708" w:gutter="0"/>
          <w:cols w:space="708"/>
          <w:docGrid w:linePitch="360"/>
        </w:sectPr>
      </w:pPr>
    </w:p>
    <w:p w14:paraId="577E0CC1" w14:textId="77777777" w:rsidR="007A6739" w:rsidRPr="00216F60" w:rsidRDefault="007A6739" w:rsidP="00B070E9">
      <w:pPr>
        <w:spacing w:before="0" w:beforeAutospacing="0" w:after="0" w:afterAutospacing="0"/>
        <w:ind w:firstLine="708"/>
        <w:rPr>
          <w:szCs w:val="24"/>
          <w:lang w:val="en-US"/>
        </w:rPr>
      </w:pPr>
      <w:r w:rsidRPr="00216F60">
        <w:rPr>
          <w:lang w:val="en-US"/>
        </w:rPr>
        <w:lastRenderedPageBreak/>
        <w:t>There is broad consensus among methodological researchers that random and systematic measurement error can seriously distort observed responses</w:t>
      </w:r>
      <w:r>
        <w:rPr>
          <w:lang w:val="en-US"/>
        </w:rPr>
        <w:t xml:space="preserve"> </w:t>
      </w:r>
      <w:r>
        <w:rPr>
          <w:noProof/>
          <w:lang w:val="en-US"/>
        </w:rPr>
        <w:t>(Baumgartner and Weijters 2019; Podsakoff et al. 2003; Viswanathan 2005)</w:t>
      </w:r>
      <w:r w:rsidRPr="00216F60">
        <w:rPr>
          <w:rFonts w:ascii="Avenir-Book" w:hAnsi="Avenir-Book"/>
          <w:lang w:val="en-US"/>
        </w:rPr>
        <w:t>. </w:t>
      </w:r>
      <w:r w:rsidRPr="00216F60">
        <w:rPr>
          <w:lang w:val="en-US"/>
        </w:rPr>
        <w:t xml:space="preserve">While the use of multiple measures to assess a construct of interest can mitigate the adverse effects of random measurement error, systematic measurement error poses more difficult challenges. A common source of systematic measurement error is method variance. Method variance is present when an observed response reflects not only the construct the researcher intends to measure (and usually random measurement error), but also the method of measurement on which the observed responses are based. </w:t>
      </w:r>
      <w:r w:rsidRPr="00216F60">
        <w:rPr>
          <w:szCs w:val="24"/>
          <w:lang w:val="en-US"/>
        </w:rPr>
        <w:t>If method variance is not accounted for appropriately, it can be mistaken for substantive variance</w:t>
      </w:r>
      <w:r>
        <w:rPr>
          <w:szCs w:val="24"/>
          <w:lang w:val="en-US"/>
        </w:rPr>
        <w:t>,</w:t>
      </w:r>
      <w:r w:rsidRPr="00216F60">
        <w:rPr>
          <w:szCs w:val="24"/>
          <w:lang w:val="en-US"/>
        </w:rPr>
        <w:t xml:space="preserve"> and the conclusions derived from the research might be misleading. The situation is particularly serious when multiple measures of the same construct or different constructs share the </w:t>
      </w:r>
      <w:r w:rsidRPr="00236A66">
        <w:rPr>
          <w:i/>
          <w:iCs/>
          <w:szCs w:val="24"/>
          <w:lang w:val="en-US"/>
        </w:rPr>
        <w:t>same</w:t>
      </w:r>
      <w:r w:rsidRPr="00216F60">
        <w:rPr>
          <w:szCs w:val="24"/>
          <w:lang w:val="en-US"/>
        </w:rPr>
        <w:t xml:space="preserve"> measurement method, which gives rise to common method variance (CMV).</w:t>
      </w:r>
    </w:p>
    <w:p w14:paraId="6F73E364" w14:textId="17B648B1" w:rsidR="007C5494" w:rsidRDefault="007A6739" w:rsidP="00B070E9">
      <w:pPr>
        <w:spacing w:before="0" w:beforeAutospacing="0" w:after="0" w:afterAutospacing="0"/>
        <w:rPr>
          <w:szCs w:val="24"/>
          <w:lang w:val="en-US"/>
        </w:rPr>
      </w:pPr>
      <w:r w:rsidRPr="00216F60">
        <w:rPr>
          <w:szCs w:val="24"/>
          <w:lang w:val="en-US"/>
        </w:rPr>
        <w:tab/>
        <w:t xml:space="preserve">Although CMV is a problem in any research in which non-substantive systematic influences affect observed responses, it may be expected to be of particular concern in international marketing research. The reason is that researchers often want to either establish the cross-cultural or cross-national invariance of construct scores or relationships between constructs or demonstrate predicted differences between cultures and countries. If there are systematic differences in CMV across </w:t>
      </w:r>
      <w:r w:rsidR="005C1D6E">
        <w:rPr>
          <w:szCs w:val="24"/>
          <w:lang w:val="en-US"/>
        </w:rPr>
        <w:t>groups</w:t>
      </w:r>
      <w:r w:rsidRPr="00216F60">
        <w:rPr>
          <w:szCs w:val="24"/>
          <w:lang w:val="en-US"/>
        </w:rPr>
        <w:t>, cross-cultural and cross-national comparisons</w:t>
      </w:r>
      <w:r>
        <w:rPr>
          <w:szCs w:val="24"/>
          <w:lang w:val="en-US"/>
        </w:rPr>
        <w:t xml:space="preserve"> that do not take into account method effects may yield misleading conclusions about invariance or predicted differences in construct scores or relationships between constructs.</w:t>
      </w:r>
      <w:r w:rsidR="007E480B">
        <w:rPr>
          <w:szCs w:val="24"/>
          <w:lang w:val="en-US"/>
        </w:rPr>
        <w:t xml:space="preserve"> For example, </w:t>
      </w:r>
      <w:r w:rsidR="007E480B" w:rsidRPr="007E480B">
        <w:rPr>
          <w:szCs w:val="24"/>
          <w:lang w:val="en-US"/>
        </w:rPr>
        <w:t>Wong, Rindfleisch and Burroughs (2003) found cross-cultural differences in method effects related to reverse-worded items</w:t>
      </w:r>
      <w:r w:rsidR="007E480B">
        <w:rPr>
          <w:szCs w:val="24"/>
          <w:lang w:val="en-US"/>
        </w:rPr>
        <w:t>,</w:t>
      </w:r>
      <w:r w:rsidR="007E480B" w:rsidRPr="007E480B">
        <w:rPr>
          <w:szCs w:val="24"/>
          <w:lang w:val="en-US"/>
        </w:rPr>
        <w:t xml:space="preserve"> Van Auken, Barry and Bagozzi (2006) found cross-cultural </w:t>
      </w:r>
      <w:r w:rsidR="007E480B">
        <w:rPr>
          <w:szCs w:val="24"/>
          <w:lang w:val="en-US"/>
        </w:rPr>
        <w:t>variation</w:t>
      </w:r>
      <w:r w:rsidR="007E480B" w:rsidRPr="007E480B">
        <w:rPr>
          <w:szCs w:val="24"/>
          <w:lang w:val="en-US"/>
        </w:rPr>
        <w:t xml:space="preserve"> in the way that respondents use different scale formats for measuring </w:t>
      </w:r>
      <w:r w:rsidR="007E480B" w:rsidRPr="007E480B">
        <w:rPr>
          <w:szCs w:val="24"/>
          <w:lang w:val="en-US"/>
        </w:rPr>
        <w:lastRenderedPageBreak/>
        <w:t>cognitive age</w:t>
      </w:r>
      <w:r w:rsidR="007E480B">
        <w:rPr>
          <w:szCs w:val="24"/>
          <w:lang w:val="en-US"/>
        </w:rPr>
        <w:t>,</w:t>
      </w:r>
      <w:r w:rsidR="007E480B" w:rsidRPr="007E480B">
        <w:rPr>
          <w:szCs w:val="24"/>
          <w:lang w:val="en-US"/>
        </w:rPr>
        <w:t xml:space="preserve"> </w:t>
      </w:r>
      <w:r w:rsidR="007E480B">
        <w:rPr>
          <w:szCs w:val="24"/>
          <w:lang w:val="en-US"/>
        </w:rPr>
        <w:t xml:space="preserve">and </w:t>
      </w:r>
      <w:r w:rsidR="007E480B" w:rsidRPr="007E480B">
        <w:rPr>
          <w:szCs w:val="24"/>
          <w:lang w:val="en-US"/>
        </w:rPr>
        <w:t>Tellis and Chandrasekaran (2010) f</w:t>
      </w:r>
      <w:r w:rsidR="007E480B">
        <w:rPr>
          <w:szCs w:val="24"/>
          <w:lang w:val="en-US"/>
        </w:rPr>
        <w:t>ou</w:t>
      </w:r>
      <w:r w:rsidR="007E480B" w:rsidRPr="007E480B">
        <w:rPr>
          <w:szCs w:val="24"/>
          <w:lang w:val="en-US"/>
        </w:rPr>
        <w:t>nd cross-cultural differences in the extent to which response biases (like yea-saying, nay-saying and socially desirable responding) lead to over- or underreporting of innovative behavior.</w:t>
      </w:r>
    </w:p>
    <w:p w14:paraId="19BC3A9B" w14:textId="4CC037F8" w:rsidR="007A6739" w:rsidRPr="00216F60" w:rsidRDefault="007C5494" w:rsidP="007C5494">
      <w:pPr>
        <w:spacing w:before="0" w:beforeAutospacing="0" w:after="0" w:afterAutospacing="0"/>
        <w:ind w:firstLine="708"/>
        <w:rPr>
          <w:szCs w:val="24"/>
          <w:lang w:val="en-US"/>
        </w:rPr>
      </w:pPr>
      <w:r>
        <w:rPr>
          <w:szCs w:val="24"/>
          <w:lang w:val="en-US"/>
        </w:rPr>
        <w:t xml:space="preserve">The problem can </w:t>
      </w:r>
      <w:r w:rsidR="007E480B">
        <w:rPr>
          <w:szCs w:val="24"/>
          <w:lang w:val="en-US"/>
        </w:rPr>
        <w:t xml:space="preserve">also </w:t>
      </w:r>
      <w:r>
        <w:rPr>
          <w:szCs w:val="24"/>
          <w:lang w:val="en-US"/>
        </w:rPr>
        <w:t>be illustrated using the specific example studied in the empirical part of this paper. Assume that</w:t>
      </w:r>
      <w:r w:rsidR="0097223E">
        <w:rPr>
          <w:szCs w:val="24"/>
          <w:lang w:val="en-US"/>
        </w:rPr>
        <w:t xml:space="preserve"> a researcher is interested in the attributions (in terms of locus, stability, and controllability) that consumers in different countries make about the cause-related marketing (CRM) activities of a global brand. If consumers attribute the activities to </w:t>
      </w:r>
      <w:r w:rsidR="0097223E" w:rsidRPr="00216F60">
        <w:rPr>
          <w:lang w:val="en-US"/>
        </w:rPr>
        <w:t xml:space="preserve">internal, stable, and </w:t>
      </w:r>
      <w:r w:rsidR="0097223E">
        <w:rPr>
          <w:lang w:val="en-US"/>
        </w:rPr>
        <w:t>controllable</w:t>
      </w:r>
      <w:r w:rsidR="0097223E" w:rsidRPr="00216F60">
        <w:rPr>
          <w:lang w:val="en-US"/>
        </w:rPr>
        <w:t xml:space="preserve"> </w:t>
      </w:r>
      <w:r w:rsidR="00236A66">
        <w:rPr>
          <w:lang w:val="en-US"/>
        </w:rPr>
        <w:t>causes</w:t>
      </w:r>
      <w:r w:rsidR="0097223E">
        <w:rPr>
          <w:lang w:val="en-US"/>
        </w:rPr>
        <w:t>,</w:t>
      </w:r>
      <w:r w:rsidR="0097223E">
        <w:rPr>
          <w:szCs w:val="24"/>
          <w:lang w:val="en-US"/>
        </w:rPr>
        <w:t xml:space="preserve"> positive outcomes (e.g., increased trust) will accrue to the firm or brand. A researcher may want to know how well the three </w:t>
      </w:r>
      <w:r w:rsidR="00236A66">
        <w:rPr>
          <w:szCs w:val="24"/>
          <w:lang w:val="en-US"/>
        </w:rPr>
        <w:t xml:space="preserve">attribution </w:t>
      </w:r>
      <w:r w:rsidR="0097223E">
        <w:rPr>
          <w:szCs w:val="24"/>
          <w:lang w:val="en-US"/>
        </w:rPr>
        <w:t xml:space="preserve">dimensions can be measured </w:t>
      </w:r>
      <w:r w:rsidR="00236A66">
        <w:rPr>
          <w:szCs w:val="24"/>
          <w:lang w:val="en-US"/>
        </w:rPr>
        <w:t>in</w:t>
      </w:r>
      <w:r w:rsidR="0097223E">
        <w:rPr>
          <w:szCs w:val="24"/>
          <w:lang w:val="en-US"/>
        </w:rPr>
        <w:t xml:space="preserve"> different countries using a </w:t>
      </w:r>
      <w:r w:rsidR="00167816">
        <w:rPr>
          <w:szCs w:val="24"/>
          <w:lang w:val="en-US"/>
        </w:rPr>
        <w:t>particular</w:t>
      </w:r>
      <w:r w:rsidR="0097223E">
        <w:rPr>
          <w:szCs w:val="24"/>
          <w:lang w:val="en-US"/>
        </w:rPr>
        <w:t xml:space="preserve"> measurement instrument, </w:t>
      </w:r>
      <w:r w:rsidR="001C79FD">
        <w:rPr>
          <w:szCs w:val="24"/>
          <w:lang w:val="en-US"/>
        </w:rPr>
        <w:t xml:space="preserve">whether </w:t>
      </w:r>
      <w:r w:rsidR="00236A66">
        <w:rPr>
          <w:szCs w:val="24"/>
          <w:lang w:val="en-US"/>
        </w:rPr>
        <w:t xml:space="preserve">the mean </w:t>
      </w:r>
      <w:r w:rsidR="001C79FD">
        <w:rPr>
          <w:szCs w:val="24"/>
          <w:lang w:val="en-US"/>
        </w:rPr>
        <w:t xml:space="preserve">attributions differ across countries, </w:t>
      </w:r>
      <w:r w:rsidR="00236A66">
        <w:rPr>
          <w:szCs w:val="24"/>
          <w:lang w:val="en-US"/>
        </w:rPr>
        <w:t>or</w:t>
      </w:r>
      <w:r w:rsidR="001C79FD">
        <w:rPr>
          <w:szCs w:val="24"/>
          <w:lang w:val="en-US"/>
        </w:rPr>
        <w:t xml:space="preserve"> how strongly the attribution dimensions are correlated with each other </w:t>
      </w:r>
      <w:r w:rsidR="00236A66">
        <w:rPr>
          <w:szCs w:val="24"/>
          <w:lang w:val="en-US"/>
        </w:rPr>
        <w:t>and</w:t>
      </w:r>
      <w:r w:rsidR="001C79FD">
        <w:rPr>
          <w:szCs w:val="24"/>
          <w:lang w:val="en-US"/>
        </w:rPr>
        <w:t xml:space="preserve"> with other construct</w:t>
      </w:r>
      <w:r w:rsidR="00236A66">
        <w:rPr>
          <w:szCs w:val="24"/>
          <w:lang w:val="en-US"/>
        </w:rPr>
        <w:t>s</w:t>
      </w:r>
      <w:r w:rsidR="001C79FD">
        <w:rPr>
          <w:szCs w:val="24"/>
          <w:lang w:val="en-US"/>
        </w:rPr>
        <w:t>. In order to conduct th</w:t>
      </w:r>
      <w:r w:rsidR="00167816">
        <w:rPr>
          <w:szCs w:val="24"/>
          <w:lang w:val="en-US"/>
        </w:rPr>
        <w:t>ese</w:t>
      </w:r>
      <w:r w:rsidR="001C79FD">
        <w:rPr>
          <w:szCs w:val="24"/>
          <w:lang w:val="en-US"/>
        </w:rPr>
        <w:t xml:space="preserve"> cross-national comparisons with confidence, the researcher has to know that the method of measurement </w:t>
      </w:r>
      <w:r w:rsidR="00167816">
        <w:rPr>
          <w:szCs w:val="24"/>
          <w:lang w:val="en-US"/>
        </w:rPr>
        <w:t xml:space="preserve">used </w:t>
      </w:r>
      <w:r w:rsidR="001C79FD">
        <w:rPr>
          <w:szCs w:val="24"/>
          <w:lang w:val="en-US"/>
        </w:rPr>
        <w:t xml:space="preserve">(self-reports based on different scale formats for the response scale) and </w:t>
      </w:r>
      <w:r w:rsidR="00167816">
        <w:rPr>
          <w:szCs w:val="24"/>
          <w:lang w:val="en-US"/>
        </w:rPr>
        <w:t xml:space="preserve">potential differences in </w:t>
      </w:r>
      <w:r w:rsidR="001C79FD">
        <w:rPr>
          <w:szCs w:val="24"/>
          <w:lang w:val="en-US"/>
        </w:rPr>
        <w:t xml:space="preserve">response styles </w:t>
      </w:r>
      <w:r w:rsidR="00167816">
        <w:rPr>
          <w:szCs w:val="24"/>
          <w:lang w:val="en-US"/>
        </w:rPr>
        <w:t xml:space="preserve">across countries </w:t>
      </w:r>
      <w:r w:rsidR="001C79FD">
        <w:rPr>
          <w:szCs w:val="24"/>
          <w:lang w:val="en-US"/>
        </w:rPr>
        <w:t>(</w:t>
      </w:r>
      <w:r w:rsidR="00167816">
        <w:rPr>
          <w:szCs w:val="24"/>
          <w:lang w:val="en-US"/>
        </w:rPr>
        <w:t xml:space="preserve">i.e., </w:t>
      </w:r>
      <w:r w:rsidR="001C79FD">
        <w:rPr>
          <w:szCs w:val="24"/>
          <w:lang w:val="en-US"/>
        </w:rPr>
        <w:t>differences in how respondents in different countries use the response scale) do not confound the result</w:t>
      </w:r>
      <w:r w:rsidR="00167816">
        <w:rPr>
          <w:szCs w:val="24"/>
          <w:lang w:val="en-US"/>
        </w:rPr>
        <w:t>s</w:t>
      </w:r>
      <w:r w:rsidR="001C79FD">
        <w:rPr>
          <w:szCs w:val="24"/>
          <w:lang w:val="en-US"/>
        </w:rPr>
        <w:t xml:space="preserve">. The researcher is unsure about how to ascertain whether method variance is present and how method variance, if present, should be accounted for while conducting the necessary measurement invariance tests and substantive comparisons of interest. </w:t>
      </w:r>
      <w:r w:rsidR="0097223E">
        <w:rPr>
          <w:szCs w:val="24"/>
          <w:lang w:val="en-US"/>
        </w:rPr>
        <w:t xml:space="preserve"> </w:t>
      </w:r>
    </w:p>
    <w:p w14:paraId="652114C3" w14:textId="38904837" w:rsidR="007A6739" w:rsidRPr="00216F60" w:rsidRDefault="007A6739" w:rsidP="00B070E9">
      <w:pPr>
        <w:spacing w:before="0" w:beforeAutospacing="0" w:after="0" w:afterAutospacing="0"/>
        <w:rPr>
          <w:szCs w:val="24"/>
          <w:lang w:val="en-US"/>
        </w:rPr>
      </w:pPr>
      <w:r w:rsidRPr="00216F60">
        <w:rPr>
          <w:szCs w:val="24"/>
          <w:lang w:val="en-US"/>
        </w:rPr>
        <w:tab/>
        <w:t xml:space="preserve">In this paper, we will </w:t>
      </w:r>
      <w:r w:rsidR="00167816">
        <w:rPr>
          <w:szCs w:val="24"/>
          <w:lang w:val="en-US"/>
        </w:rPr>
        <w:t xml:space="preserve">provide answers to these kinds of questions. In particular, we will address </w:t>
      </w:r>
      <w:r w:rsidRPr="00216F60">
        <w:rPr>
          <w:szCs w:val="24"/>
          <w:lang w:val="en-US"/>
        </w:rPr>
        <w:t>two important issues related to common method variance</w:t>
      </w:r>
      <w:r>
        <w:rPr>
          <w:szCs w:val="24"/>
          <w:lang w:val="en-US"/>
        </w:rPr>
        <w:t xml:space="preserve"> in international marketing research</w:t>
      </w:r>
      <w:r w:rsidRPr="00216F60">
        <w:rPr>
          <w:szCs w:val="24"/>
          <w:lang w:val="en-US"/>
        </w:rPr>
        <w:t xml:space="preserve">. </w:t>
      </w:r>
      <w:bookmarkStart w:id="0" w:name="_Hlk61862466"/>
      <w:r w:rsidRPr="00216F60">
        <w:rPr>
          <w:szCs w:val="24"/>
          <w:lang w:val="en-US"/>
        </w:rPr>
        <w:t>First, we will</w:t>
      </w:r>
      <w:r>
        <w:rPr>
          <w:szCs w:val="24"/>
          <w:lang w:val="en-US"/>
        </w:rPr>
        <w:t xml:space="preserve"> review the most common procedures </w:t>
      </w:r>
      <w:r w:rsidR="00236A66">
        <w:rPr>
          <w:szCs w:val="24"/>
          <w:lang w:val="en-US"/>
        </w:rPr>
        <w:t>for</w:t>
      </w:r>
      <w:r>
        <w:rPr>
          <w:szCs w:val="24"/>
          <w:lang w:val="en-US"/>
        </w:rPr>
        <w:t xml:space="preserve"> detect</w:t>
      </w:r>
      <w:r w:rsidR="00236A66">
        <w:rPr>
          <w:szCs w:val="24"/>
          <w:lang w:val="en-US"/>
        </w:rPr>
        <w:t>ing</w:t>
      </w:r>
      <w:r>
        <w:rPr>
          <w:szCs w:val="24"/>
          <w:lang w:val="en-US"/>
        </w:rPr>
        <w:t xml:space="preserve"> and control</w:t>
      </w:r>
      <w:r w:rsidR="00236A66">
        <w:rPr>
          <w:szCs w:val="24"/>
          <w:lang w:val="en-US"/>
        </w:rPr>
        <w:t>ling</w:t>
      </w:r>
      <w:r>
        <w:rPr>
          <w:szCs w:val="24"/>
          <w:lang w:val="en-US"/>
        </w:rPr>
        <w:t xml:space="preserve"> CMV and then</w:t>
      </w:r>
      <w:r w:rsidRPr="00216F60">
        <w:rPr>
          <w:szCs w:val="24"/>
          <w:lang w:val="en-US"/>
        </w:rPr>
        <w:t xml:space="preserve"> study whether international marketing researchers have </w:t>
      </w:r>
      <w:r>
        <w:rPr>
          <w:szCs w:val="24"/>
          <w:lang w:val="en-US"/>
        </w:rPr>
        <w:t xml:space="preserve">shown a </w:t>
      </w:r>
      <w:r w:rsidRPr="00216F60">
        <w:rPr>
          <w:szCs w:val="24"/>
          <w:lang w:val="en-US"/>
        </w:rPr>
        <w:t xml:space="preserve">concern </w:t>
      </w:r>
      <w:r>
        <w:rPr>
          <w:szCs w:val="24"/>
          <w:lang w:val="en-US"/>
        </w:rPr>
        <w:t>with</w:t>
      </w:r>
      <w:r w:rsidRPr="00216F60">
        <w:rPr>
          <w:szCs w:val="24"/>
          <w:lang w:val="en-US"/>
        </w:rPr>
        <w:t xml:space="preserve"> common method variance in their studies</w:t>
      </w:r>
      <w:r>
        <w:rPr>
          <w:szCs w:val="24"/>
          <w:lang w:val="en-US"/>
        </w:rPr>
        <w:t>,</w:t>
      </w:r>
      <w:r w:rsidRPr="00216F60">
        <w:rPr>
          <w:szCs w:val="24"/>
          <w:lang w:val="en-US"/>
        </w:rPr>
        <w:t xml:space="preserve"> and if so, how they have tried to </w:t>
      </w:r>
      <w:r w:rsidRPr="00216F60">
        <w:rPr>
          <w:szCs w:val="24"/>
          <w:lang w:val="en-US"/>
        </w:rPr>
        <w:lastRenderedPageBreak/>
        <w:t xml:space="preserve">ascertain whether CMV is present and what methods they have used to account for CMV. To this end, we will analyze survey-based papers that were published in the </w:t>
      </w:r>
      <w:r w:rsidRPr="00216F60">
        <w:rPr>
          <w:i/>
          <w:iCs/>
          <w:szCs w:val="24"/>
          <w:lang w:val="en-US"/>
        </w:rPr>
        <w:t>Journal of International Marketing</w:t>
      </w:r>
      <w:r w:rsidRPr="00216F60">
        <w:rPr>
          <w:szCs w:val="24"/>
          <w:lang w:val="en-US"/>
        </w:rPr>
        <w:t xml:space="preserve"> between 2015 and 2019 and critically examine whether the authors of these papers used appropriate methods to deal with CMV. Second, we will propose a procedure based on multi-sample structural equation modeling that researchers can use to model method effects in </w:t>
      </w:r>
      <w:r>
        <w:rPr>
          <w:szCs w:val="24"/>
          <w:lang w:val="en-US"/>
        </w:rPr>
        <w:t xml:space="preserve">cross-cultural and </w:t>
      </w:r>
      <w:r w:rsidRPr="00216F60">
        <w:rPr>
          <w:szCs w:val="24"/>
          <w:lang w:val="en-US"/>
        </w:rPr>
        <w:t xml:space="preserve">cross-national studies. The recommended approach considers two different methods for dealing with CMV depending on whether method effects are directly measured or inferred from the substantive variables, and </w:t>
      </w:r>
      <w:r>
        <w:rPr>
          <w:szCs w:val="24"/>
          <w:lang w:val="en-US"/>
        </w:rPr>
        <w:t xml:space="preserve">the procedure is </w:t>
      </w:r>
      <w:r w:rsidRPr="00216F60">
        <w:rPr>
          <w:szCs w:val="24"/>
          <w:lang w:val="en-US"/>
        </w:rPr>
        <w:t>illustrate</w:t>
      </w:r>
      <w:r>
        <w:rPr>
          <w:szCs w:val="24"/>
          <w:lang w:val="en-US"/>
        </w:rPr>
        <w:t>d</w:t>
      </w:r>
      <w:r w:rsidRPr="00216F60">
        <w:rPr>
          <w:szCs w:val="24"/>
          <w:lang w:val="en-US"/>
        </w:rPr>
        <w:t xml:space="preserve"> </w:t>
      </w:r>
      <w:r>
        <w:rPr>
          <w:szCs w:val="24"/>
          <w:lang w:val="en-US"/>
        </w:rPr>
        <w:t xml:space="preserve">using </w:t>
      </w:r>
      <w:r w:rsidRPr="00216F60">
        <w:rPr>
          <w:szCs w:val="24"/>
          <w:lang w:val="en-US"/>
        </w:rPr>
        <w:t>data from a 1</w:t>
      </w:r>
      <w:r>
        <w:rPr>
          <w:szCs w:val="24"/>
          <w:lang w:val="en-US"/>
        </w:rPr>
        <w:t>4</w:t>
      </w:r>
      <w:r w:rsidRPr="00216F60">
        <w:rPr>
          <w:szCs w:val="24"/>
          <w:lang w:val="en-US"/>
        </w:rPr>
        <w:t xml:space="preserve">-country study </w:t>
      </w:r>
      <w:r>
        <w:rPr>
          <w:szCs w:val="24"/>
          <w:lang w:val="en-US"/>
        </w:rPr>
        <w:t xml:space="preserve">conducted </w:t>
      </w:r>
      <w:r w:rsidRPr="00216F60">
        <w:rPr>
          <w:szCs w:val="24"/>
          <w:lang w:val="en-US"/>
        </w:rPr>
        <w:t>in Europe.</w:t>
      </w:r>
      <w:bookmarkEnd w:id="0"/>
    </w:p>
    <w:p w14:paraId="7A8F9813" w14:textId="77777777" w:rsidR="007A6739" w:rsidRPr="0060478C" w:rsidRDefault="007A6739" w:rsidP="0060478C">
      <w:pPr>
        <w:spacing w:before="0" w:beforeAutospacing="0" w:after="0" w:afterAutospacing="0"/>
        <w:rPr>
          <w:b/>
          <w:bCs/>
          <w:caps/>
          <w:szCs w:val="24"/>
          <w:lang w:val="en-US"/>
        </w:rPr>
      </w:pPr>
      <w:r w:rsidRPr="0060478C">
        <w:rPr>
          <w:b/>
          <w:bCs/>
          <w:caps/>
          <w:szCs w:val="24"/>
          <w:lang w:val="en-US"/>
        </w:rPr>
        <w:t>Statistical approaches for modeling method effects</w:t>
      </w:r>
    </w:p>
    <w:p w14:paraId="71C9FB4C" w14:textId="017A54E4" w:rsidR="007A6739" w:rsidRPr="00216F60" w:rsidRDefault="007A6739" w:rsidP="00DF658D">
      <w:pPr>
        <w:spacing w:before="0" w:beforeAutospacing="0" w:after="0" w:afterAutospacing="0"/>
        <w:ind w:firstLine="708"/>
        <w:rPr>
          <w:szCs w:val="24"/>
          <w:lang w:val="en-US"/>
        </w:rPr>
      </w:pPr>
      <w:r w:rsidRPr="004A2EFF">
        <w:rPr>
          <w:noProof/>
          <w:szCs w:val="24"/>
          <w:lang w:val="en-US"/>
        </w:rPr>
        <w:t>Podsakoff et al. (2003)</w:t>
      </w:r>
      <w:r w:rsidRPr="004A2EFF">
        <w:rPr>
          <w:szCs w:val="24"/>
          <w:lang w:val="en-US"/>
        </w:rPr>
        <w:t xml:space="preserve"> and </w:t>
      </w:r>
      <w:r w:rsidRPr="004A2EFF">
        <w:rPr>
          <w:noProof/>
          <w:szCs w:val="24"/>
          <w:lang w:val="en-US"/>
        </w:rPr>
        <w:t>Podsakoff</w:t>
      </w:r>
      <w:r w:rsidR="00CC051A" w:rsidRPr="004A2EFF">
        <w:rPr>
          <w:noProof/>
          <w:szCs w:val="24"/>
          <w:lang w:val="en-US"/>
        </w:rPr>
        <w:t>, MacKenzie, and Podsakoff</w:t>
      </w:r>
      <w:r w:rsidRPr="004A2EFF">
        <w:rPr>
          <w:noProof/>
          <w:szCs w:val="24"/>
          <w:lang w:val="en-US"/>
        </w:rPr>
        <w:t xml:space="preserve"> </w:t>
      </w:r>
      <w:r>
        <w:rPr>
          <w:noProof/>
          <w:szCs w:val="24"/>
          <w:lang w:val="en-US"/>
        </w:rPr>
        <w:t>(2012)</w:t>
      </w:r>
      <w:r>
        <w:rPr>
          <w:szCs w:val="24"/>
          <w:lang w:val="en-US"/>
        </w:rPr>
        <w:t xml:space="preserve"> </w:t>
      </w:r>
      <w:r w:rsidRPr="00216F60">
        <w:rPr>
          <w:szCs w:val="24"/>
          <w:lang w:val="en-US"/>
        </w:rPr>
        <w:t xml:space="preserve">distinguish between procedural and statistical approaches </w:t>
      </w:r>
      <w:r>
        <w:rPr>
          <w:szCs w:val="24"/>
          <w:lang w:val="en-US"/>
        </w:rPr>
        <w:t>to</w:t>
      </w:r>
      <w:r w:rsidRPr="00216F60">
        <w:rPr>
          <w:szCs w:val="24"/>
          <w:lang w:val="en-US"/>
        </w:rPr>
        <w:t xml:space="preserve"> dealing with method effects. While we agree that researchers should make </w:t>
      </w:r>
      <w:r>
        <w:rPr>
          <w:szCs w:val="24"/>
          <w:lang w:val="en-US"/>
        </w:rPr>
        <w:t>every</w:t>
      </w:r>
      <w:r w:rsidRPr="00216F60">
        <w:rPr>
          <w:szCs w:val="24"/>
          <w:lang w:val="en-US"/>
        </w:rPr>
        <w:t xml:space="preserve"> effort to consider method effects when designing empirical studies, our focus here will be on </w:t>
      </w:r>
      <w:r w:rsidRPr="00216F60">
        <w:rPr>
          <w:i/>
          <w:iCs/>
          <w:szCs w:val="24"/>
          <w:lang w:val="en-US"/>
        </w:rPr>
        <w:t>post hoc</w:t>
      </w:r>
      <w:r w:rsidRPr="00216F60">
        <w:rPr>
          <w:szCs w:val="24"/>
          <w:lang w:val="en-US"/>
        </w:rPr>
        <w:t xml:space="preserve"> statistical remedies. Arguably the best-known and most widely-used method for </w:t>
      </w:r>
      <w:r>
        <w:rPr>
          <w:szCs w:val="24"/>
          <w:lang w:val="en-US"/>
        </w:rPr>
        <w:t>investigating</w:t>
      </w:r>
      <w:r w:rsidRPr="00216F60">
        <w:rPr>
          <w:szCs w:val="24"/>
          <w:lang w:val="en-US"/>
        </w:rPr>
        <w:t xml:space="preserve"> CMV is the so-called Harman one-factor test. </w:t>
      </w:r>
      <w:r>
        <w:rPr>
          <w:szCs w:val="24"/>
          <w:lang w:val="en-US"/>
        </w:rPr>
        <w:t xml:space="preserve">This “test” </w:t>
      </w:r>
      <w:r w:rsidRPr="00216F60">
        <w:rPr>
          <w:szCs w:val="24"/>
          <w:lang w:val="en-US"/>
        </w:rPr>
        <w:t>cannot be used to control for CMV if it is present</w:t>
      </w:r>
      <w:r>
        <w:rPr>
          <w:szCs w:val="24"/>
          <w:lang w:val="en-US"/>
        </w:rPr>
        <w:t>;</w:t>
      </w:r>
      <w:r w:rsidRPr="00216F60">
        <w:rPr>
          <w:szCs w:val="24"/>
          <w:lang w:val="en-US"/>
        </w:rPr>
        <w:t xml:space="preserve"> its only purpose is to determine whether a researcher should be concerned about CMV. To use the Harman test, a researcher has to conduct an exploratory factor analysis on all the observed variables used in the analysis, and if the first factor is the only factor with an eigenvalue </w:t>
      </w:r>
      <w:r>
        <w:rPr>
          <w:szCs w:val="24"/>
          <w:lang w:val="en-US"/>
        </w:rPr>
        <w:t>greater than 1 and/or if the first factor</w:t>
      </w:r>
      <w:r w:rsidRPr="00216F60">
        <w:rPr>
          <w:szCs w:val="24"/>
          <w:lang w:val="en-US"/>
        </w:rPr>
        <w:t xml:space="preserve"> accounts for more than 50 percent of the total variance </w:t>
      </w:r>
      <w:r>
        <w:rPr>
          <w:szCs w:val="24"/>
          <w:lang w:val="en-US"/>
        </w:rPr>
        <w:t>in</w:t>
      </w:r>
      <w:r w:rsidRPr="00216F60">
        <w:rPr>
          <w:szCs w:val="24"/>
          <w:lang w:val="en-US"/>
        </w:rPr>
        <w:t xml:space="preserve"> all items, CMV is said to be present. </w:t>
      </w:r>
      <w:r>
        <w:rPr>
          <w:szCs w:val="24"/>
          <w:lang w:val="en-US"/>
        </w:rPr>
        <w:t xml:space="preserve">A closely related procedure, which is actually based on a statistical test, consists of estimating a one-factor confirmatory factor analysis model, and if this one-factor model is found to fit very poorly, the hypothesis that method variance is present is rejected. </w:t>
      </w:r>
      <w:r w:rsidRPr="00216F60">
        <w:rPr>
          <w:szCs w:val="24"/>
          <w:lang w:val="en-US"/>
        </w:rPr>
        <w:t xml:space="preserve">The Harman one-factor test has been severely criticized by many authors </w:t>
      </w:r>
      <w:r w:rsidRPr="007A6739">
        <w:rPr>
          <w:noProof/>
          <w:szCs w:val="24"/>
          <w:lang w:val="en-US"/>
        </w:rPr>
        <w:t>(</w:t>
      </w:r>
      <w:r w:rsidR="00F2096E">
        <w:rPr>
          <w:noProof/>
          <w:szCs w:val="24"/>
          <w:lang w:val="en-US"/>
        </w:rPr>
        <w:t xml:space="preserve">e.g., </w:t>
      </w:r>
      <w:r w:rsidR="00DF658D">
        <w:rPr>
          <w:noProof/>
          <w:szCs w:val="24"/>
          <w:lang w:val="en-US"/>
        </w:rPr>
        <w:t xml:space="preserve">Baumgartner, </w:t>
      </w:r>
      <w:r w:rsidR="00DF658D">
        <w:rPr>
          <w:noProof/>
          <w:szCs w:val="24"/>
          <w:lang w:val="en-US"/>
        </w:rPr>
        <w:lastRenderedPageBreak/>
        <w:t xml:space="preserve">Weijters, and Pieters 2021; </w:t>
      </w:r>
      <w:r w:rsidRPr="007A6739">
        <w:rPr>
          <w:noProof/>
          <w:szCs w:val="24"/>
          <w:lang w:val="en-US"/>
        </w:rPr>
        <w:t>Hulland</w:t>
      </w:r>
      <w:r w:rsidR="00F2096E">
        <w:rPr>
          <w:noProof/>
          <w:szCs w:val="24"/>
          <w:lang w:val="en-US"/>
        </w:rPr>
        <w:t>, Baumgartner, and Smith</w:t>
      </w:r>
      <w:r w:rsidRPr="007A6739">
        <w:rPr>
          <w:noProof/>
          <w:szCs w:val="24"/>
          <w:lang w:val="en-US"/>
        </w:rPr>
        <w:t xml:space="preserve"> 2018; Podsakoff et al. 2003)</w:t>
      </w:r>
      <w:r w:rsidRPr="007A6739">
        <w:rPr>
          <w:szCs w:val="24"/>
          <w:lang w:val="en-US"/>
        </w:rPr>
        <w:t xml:space="preserve">, and </w:t>
      </w:r>
      <w:r w:rsidR="00F2096E">
        <w:rPr>
          <w:szCs w:val="24"/>
          <w:lang w:val="en-US"/>
        </w:rPr>
        <w:t>Hulland</w:t>
      </w:r>
      <w:r w:rsidR="00CC051A">
        <w:rPr>
          <w:szCs w:val="24"/>
          <w:lang w:val="en-US"/>
        </w:rPr>
        <w:t>, Baumgartner, and Smith</w:t>
      </w:r>
      <w:r w:rsidR="00F2096E">
        <w:rPr>
          <w:szCs w:val="24"/>
          <w:lang w:val="en-US"/>
        </w:rPr>
        <w:t xml:space="preserve"> (2018, Appendix) forcefully argued that the test be put to rest.</w:t>
      </w:r>
      <w:r w:rsidRPr="00216F60">
        <w:rPr>
          <w:szCs w:val="24"/>
          <w:lang w:val="en-US"/>
        </w:rPr>
        <w:t xml:space="preserve"> </w:t>
      </w:r>
      <w:r w:rsidR="00DF658D">
        <w:rPr>
          <w:szCs w:val="24"/>
          <w:lang w:val="en-US"/>
        </w:rPr>
        <w:t>Similarly, Baumgartner</w:t>
      </w:r>
      <w:r w:rsidR="009C5EC9">
        <w:rPr>
          <w:szCs w:val="24"/>
          <w:lang w:val="en-US"/>
        </w:rPr>
        <w:t>, Weijters, and Pieters</w:t>
      </w:r>
      <w:r w:rsidR="00DF658D">
        <w:rPr>
          <w:szCs w:val="24"/>
          <w:lang w:val="en-US"/>
        </w:rPr>
        <w:t xml:space="preserve"> (2021) </w:t>
      </w:r>
      <w:r w:rsidR="00EA0910">
        <w:rPr>
          <w:szCs w:val="24"/>
          <w:lang w:val="en-US"/>
        </w:rPr>
        <w:t xml:space="preserve">recently </w:t>
      </w:r>
      <w:r w:rsidR="00DF658D">
        <w:rPr>
          <w:szCs w:val="24"/>
          <w:lang w:val="en-US"/>
        </w:rPr>
        <w:t>concluded that “</w:t>
      </w:r>
      <w:r w:rsidR="00DF658D" w:rsidRPr="00DF658D">
        <w:rPr>
          <w:szCs w:val="24"/>
          <w:lang w:val="en-US"/>
        </w:rPr>
        <w:t>the Harman one-factor test</w:t>
      </w:r>
      <w:r w:rsidR="00DF658D">
        <w:rPr>
          <w:szCs w:val="24"/>
          <w:lang w:val="en-US"/>
        </w:rPr>
        <w:t xml:space="preserve"> </w:t>
      </w:r>
      <w:r w:rsidR="00DF658D" w:rsidRPr="00DF658D">
        <w:rPr>
          <w:szCs w:val="24"/>
          <w:lang w:val="en-US"/>
        </w:rPr>
        <w:t>is an ineffective tool for detecting CMV; researchers should stop using this likely misleading technique; and reviewers and</w:t>
      </w:r>
      <w:r w:rsidR="00DF658D">
        <w:rPr>
          <w:szCs w:val="24"/>
          <w:lang w:val="en-US"/>
        </w:rPr>
        <w:t xml:space="preserve"> </w:t>
      </w:r>
      <w:r w:rsidR="00DF658D" w:rsidRPr="00DF658D">
        <w:rPr>
          <w:szCs w:val="24"/>
          <w:lang w:val="en-US"/>
        </w:rPr>
        <w:t>editors should insist that it not be reported in published</w:t>
      </w:r>
      <w:r w:rsidR="00DF658D">
        <w:rPr>
          <w:szCs w:val="24"/>
          <w:lang w:val="en-US"/>
        </w:rPr>
        <w:t xml:space="preserve"> </w:t>
      </w:r>
      <w:r w:rsidR="00DF658D" w:rsidRPr="00DF658D">
        <w:rPr>
          <w:szCs w:val="24"/>
          <w:lang w:val="en-US"/>
        </w:rPr>
        <w:t>articles.</w:t>
      </w:r>
      <w:r w:rsidR="00DF658D">
        <w:rPr>
          <w:szCs w:val="24"/>
          <w:lang w:val="en-US"/>
        </w:rPr>
        <w:t xml:space="preserve">” </w:t>
      </w:r>
      <w:r w:rsidRPr="00216F60">
        <w:rPr>
          <w:szCs w:val="24"/>
          <w:lang w:val="en-US"/>
        </w:rPr>
        <w:t xml:space="preserve">We will not repeat the many arguments against the Harman one-factor test here and </w:t>
      </w:r>
      <w:r>
        <w:rPr>
          <w:szCs w:val="24"/>
          <w:lang w:val="en-US"/>
        </w:rPr>
        <w:t xml:space="preserve">instead </w:t>
      </w:r>
      <w:r w:rsidRPr="00216F60">
        <w:rPr>
          <w:szCs w:val="24"/>
          <w:lang w:val="en-US"/>
        </w:rPr>
        <w:t>refer the reader to the cited sources.</w:t>
      </w:r>
    </w:p>
    <w:p w14:paraId="6CBA901D" w14:textId="454D8E08" w:rsidR="007A6739" w:rsidRPr="00216F60" w:rsidRDefault="007A6739" w:rsidP="00B070E9">
      <w:pPr>
        <w:spacing w:before="0" w:beforeAutospacing="0" w:after="0" w:afterAutospacing="0"/>
        <w:rPr>
          <w:szCs w:val="24"/>
          <w:lang w:val="en-US"/>
        </w:rPr>
      </w:pPr>
      <w:r w:rsidRPr="00216F60">
        <w:rPr>
          <w:szCs w:val="24"/>
          <w:lang w:val="en-US"/>
        </w:rPr>
        <w:tab/>
        <w:t xml:space="preserve">Many other methods for dealing with CMV have been suggested in the literature. Table 1 presents a classification of previous approaches similar to one proposed by </w:t>
      </w:r>
      <w:r>
        <w:rPr>
          <w:noProof/>
          <w:szCs w:val="24"/>
          <w:lang w:val="en-US"/>
        </w:rPr>
        <w:t>Podsakoff et al. (2003)</w:t>
      </w:r>
      <w:r w:rsidRPr="00216F60">
        <w:rPr>
          <w:szCs w:val="24"/>
          <w:lang w:val="en-US"/>
        </w:rPr>
        <w:t xml:space="preserve">. The rows of the table refer to </w:t>
      </w:r>
      <w:r w:rsidR="00F2096E">
        <w:rPr>
          <w:szCs w:val="24"/>
          <w:lang w:val="en-US"/>
        </w:rPr>
        <w:t>techniques</w:t>
      </w:r>
      <w:r w:rsidRPr="00216F60">
        <w:rPr>
          <w:szCs w:val="24"/>
          <w:lang w:val="en-US"/>
        </w:rPr>
        <w:t xml:space="preserve"> in which method effects are accounted for </w:t>
      </w:r>
      <w:r>
        <w:rPr>
          <w:szCs w:val="24"/>
          <w:lang w:val="en-US"/>
        </w:rPr>
        <w:t xml:space="preserve">either </w:t>
      </w:r>
      <w:r w:rsidRPr="00216F60">
        <w:rPr>
          <w:szCs w:val="24"/>
          <w:lang w:val="en-US"/>
        </w:rPr>
        <w:t xml:space="preserve">at the scale level or </w:t>
      </w:r>
      <w:r>
        <w:rPr>
          <w:szCs w:val="24"/>
          <w:lang w:val="en-US"/>
        </w:rPr>
        <w:t xml:space="preserve">at </w:t>
      </w:r>
      <w:r w:rsidRPr="00216F60">
        <w:rPr>
          <w:szCs w:val="24"/>
          <w:lang w:val="en-US"/>
        </w:rPr>
        <w:t>the item level. The colum</w:t>
      </w:r>
      <w:r>
        <w:rPr>
          <w:szCs w:val="24"/>
          <w:lang w:val="en-US"/>
        </w:rPr>
        <w:t>n</w:t>
      </w:r>
      <w:r w:rsidRPr="00216F60">
        <w:rPr>
          <w:szCs w:val="24"/>
          <w:lang w:val="en-US"/>
        </w:rPr>
        <w:t xml:space="preserve">s refer to whether method effects are measured using variables other </w:t>
      </w:r>
      <w:r>
        <w:rPr>
          <w:szCs w:val="24"/>
          <w:lang w:val="en-US"/>
        </w:rPr>
        <w:t xml:space="preserve">than </w:t>
      </w:r>
      <w:r w:rsidRPr="00216F60">
        <w:rPr>
          <w:szCs w:val="24"/>
          <w:lang w:val="en-US"/>
        </w:rPr>
        <w:t xml:space="preserve">the substantive items of interest or inferred using the substantive variables themselves. In the former case, a measured method variable may assess a specific method effect directly (e.g., social desirability or acquiescence may be </w:t>
      </w:r>
      <w:r>
        <w:rPr>
          <w:szCs w:val="24"/>
          <w:lang w:val="en-US"/>
        </w:rPr>
        <w:t xml:space="preserve">measured directly and used </w:t>
      </w:r>
      <w:r w:rsidRPr="00216F60">
        <w:rPr>
          <w:szCs w:val="24"/>
          <w:lang w:val="en-US"/>
        </w:rPr>
        <w:t>as control variables</w:t>
      </w:r>
      <w:r>
        <w:rPr>
          <w:szCs w:val="24"/>
          <w:lang w:val="en-US"/>
        </w:rPr>
        <w:t xml:space="preserve"> in the analysis</w:t>
      </w:r>
      <w:r w:rsidRPr="00216F60">
        <w:rPr>
          <w:szCs w:val="24"/>
          <w:lang w:val="en-US"/>
        </w:rPr>
        <w:t xml:space="preserve">), or a proxy measure (or so-called marker variable) that tries to capture </w:t>
      </w:r>
      <w:r w:rsidR="002B5D82">
        <w:rPr>
          <w:szCs w:val="24"/>
          <w:lang w:val="en-US"/>
        </w:rPr>
        <w:t xml:space="preserve">unspecified </w:t>
      </w:r>
      <w:r w:rsidRPr="00216F60">
        <w:rPr>
          <w:szCs w:val="24"/>
          <w:lang w:val="en-US"/>
        </w:rPr>
        <w:t xml:space="preserve">method is included in the analysis. In the latter case, method effects can be inferred from the substantive items </w:t>
      </w:r>
      <w:r>
        <w:rPr>
          <w:szCs w:val="24"/>
          <w:lang w:val="en-US"/>
        </w:rPr>
        <w:t xml:space="preserve">either by including </w:t>
      </w:r>
      <w:r w:rsidRPr="00216F60">
        <w:rPr>
          <w:szCs w:val="24"/>
          <w:lang w:val="en-US"/>
        </w:rPr>
        <w:t xml:space="preserve">a </w:t>
      </w:r>
      <w:r>
        <w:rPr>
          <w:szCs w:val="24"/>
          <w:lang w:val="en-US"/>
        </w:rPr>
        <w:t xml:space="preserve">latent </w:t>
      </w:r>
      <w:r w:rsidRPr="00216F60">
        <w:rPr>
          <w:szCs w:val="24"/>
          <w:lang w:val="en-US"/>
        </w:rPr>
        <w:t xml:space="preserve">method factor </w:t>
      </w:r>
      <w:r>
        <w:rPr>
          <w:szCs w:val="24"/>
          <w:lang w:val="en-US"/>
        </w:rPr>
        <w:t xml:space="preserve">to model the </w:t>
      </w:r>
      <w:r w:rsidR="00F2096E">
        <w:rPr>
          <w:szCs w:val="24"/>
          <w:lang w:val="en-US"/>
        </w:rPr>
        <w:t xml:space="preserve">non-substantive </w:t>
      </w:r>
      <w:r w:rsidRPr="00216F60">
        <w:rPr>
          <w:szCs w:val="24"/>
          <w:lang w:val="en-US"/>
        </w:rPr>
        <w:t>source</w:t>
      </w:r>
      <w:r>
        <w:rPr>
          <w:szCs w:val="24"/>
          <w:lang w:val="en-US"/>
        </w:rPr>
        <w:t>(s)</w:t>
      </w:r>
      <w:r w:rsidRPr="00216F60">
        <w:rPr>
          <w:szCs w:val="24"/>
          <w:lang w:val="en-US"/>
        </w:rPr>
        <w:t xml:space="preserve"> </w:t>
      </w:r>
      <w:r>
        <w:rPr>
          <w:szCs w:val="24"/>
          <w:lang w:val="en-US"/>
        </w:rPr>
        <w:t>of</w:t>
      </w:r>
      <w:r w:rsidRPr="00216F60">
        <w:rPr>
          <w:szCs w:val="24"/>
          <w:lang w:val="en-US"/>
        </w:rPr>
        <w:t xml:space="preserve"> covariation between the items (in addition to the substantive factors)</w:t>
      </w:r>
      <w:r>
        <w:rPr>
          <w:szCs w:val="24"/>
          <w:lang w:val="en-US"/>
        </w:rPr>
        <w:t xml:space="preserve"> </w:t>
      </w:r>
      <w:r w:rsidRPr="00216F60">
        <w:rPr>
          <w:szCs w:val="24"/>
          <w:lang w:val="en-US"/>
        </w:rPr>
        <w:t xml:space="preserve">or </w:t>
      </w:r>
      <w:r>
        <w:rPr>
          <w:szCs w:val="24"/>
          <w:lang w:val="en-US"/>
        </w:rPr>
        <w:t xml:space="preserve">by specifying </w:t>
      </w:r>
      <w:r w:rsidRPr="00216F60">
        <w:rPr>
          <w:szCs w:val="24"/>
          <w:lang w:val="en-US"/>
        </w:rPr>
        <w:t xml:space="preserve">correlated uniquenesses (i.e., covariances </w:t>
      </w:r>
      <w:r>
        <w:rPr>
          <w:szCs w:val="24"/>
          <w:lang w:val="en-US"/>
        </w:rPr>
        <w:t>between the</w:t>
      </w:r>
      <w:r w:rsidRPr="00216F60">
        <w:rPr>
          <w:szCs w:val="24"/>
          <w:lang w:val="en-US"/>
        </w:rPr>
        <w:t xml:space="preserve"> unique factor</w:t>
      </w:r>
      <w:r>
        <w:rPr>
          <w:szCs w:val="24"/>
          <w:lang w:val="en-US"/>
        </w:rPr>
        <w:t>s</w:t>
      </w:r>
      <w:r w:rsidRPr="00216F60">
        <w:rPr>
          <w:szCs w:val="24"/>
          <w:lang w:val="en-US"/>
        </w:rPr>
        <w:t>) to model systematic sources of error between the items.</w:t>
      </w:r>
    </w:p>
    <w:p w14:paraId="4C378BF7" w14:textId="14C57655" w:rsidR="007A6739" w:rsidRPr="00216F60" w:rsidRDefault="007A6739" w:rsidP="00B070E9">
      <w:pPr>
        <w:spacing w:before="0" w:beforeAutospacing="0" w:after="0" w:afterAutospacing="0"/>
        <w:rPr>
          <w:szCs w:val="24"/>
          <w:lang w:val="en-US"/>
        </w:rPr>
      </w:pPr>
      <w:r w:rsidRPr="00216F60">
        <w:rPr>
          <w:szCs w:val="24"/>
          <w:lang w:val="en-US"/>
        </w:rPr>
        <w:tab/>
        <w:t xml:space="preserve">The two methods in the first column of Table 1 </w:t>
      </w:r>
      <w:r>
        <w:rPr>
          <w:szCs w:val="24"/>
          <w:lang w:val="en-US"/>
        </w:rPr>
        <w:t xml:space="preserve">(i.e., cells A and B) </w:t>
      </w:r>
      <w:r w:rsidRPr="00216F60">
        <w:rPr>
          <w:szCs w:val="24"/>
          <w:lang w:val="en-US"/>
        </w:rPr>
        <w:t xml:space="preserve">can be used when a specific method effect is hypothesized to lead to CMV, which requires that explicit measures of the method effect in question </w:t>
      </w:r>
      <w:r>
        <w:rPr>
          <w:szCs w:val="24"/>
          <w:lang w:val="en-US"/>
        </w:rPr>
        <w:t>be</w:t>
      </w:r>
      <w:r w:rsidRPr="00216F60">
        <w:rPr>
          <w:szCs w:val="24"/>
          <w:lang w:val="en-US"/>
        </w:rPr>
        <w:t xml:space="preserve"> included in the questionnaire. For example, if a researcher believes that social desirability may confound the relationship between two </w:t>
      </w:r>
      <w:r w:rsidRPr="00216F60">
        <w:rPr>
          <w:szCs w:val="24"/>
          <w:lang w:val="en-US"/>
        </w:rPr>
        <w:lastRenderedPageBreak/>
        <w:t xml:space="preserve">substantive constructs, a social desirability scale </w:t>
      </w:r>
      <w:r w:rsidR="002B5D82">
        <w:rPr>
          <w:szCs w:val="24"/>
          <w:lang w:val="en-US"/>
        </w:rPr>
        <w:t xml:space="preserve">could be included and </w:t>
      </w:r>
      <w:r>
        <w:rPr>
          <w:szCs w:val="24"/>
          <w:lang w:val="en-US"/>
        </w:rPr>
        <w:t>used</w:t>
      </w:r>
      <w:r w:rsidRPr="00216F60">
        <w:rPr>
          <w:szCs w:val="24"/>
          <w:lang w:val="en-US"/>
        </w:rPr>
        <w:t xml:space="preserve"> as a control variable. The control variable could be a single measure </w:t>
      </w:r>
      <w:r w:rsidR="001E0833">
        <w:rPr>
          <w:szCs w:val="24"/>
          <w:lang w:val="en-US"/>
        </w:rPr>
        <w:t>(</w:t>
      </w:r>
      <w:r w:rsidRPr="00216F60">
        <w:rPr>
          <w:szCs w:val="24"/>
          <w:lang w:val="en-US"/>
        </w:rPr>
        <w:t>with or without correction for unreliability</w:t>
      </w:r>
      <w:r w:rsidR="001E0833">
        <w:rPr>
          <w:szCs w:val="24"/>
          <w:lang w:val="en-US"/>
        </w:rPr>
        <w:t>)</w:t>
      </w:r>
      <w:r w:rsidRPr="00216F60">
        <w:rPr>
          <w:szCs w:val="24"/>
          <w:lang w:val="en-US"/>
        </w:rPr>
        <w:t xml:space="preserve"> or a latent variable </w:t>
      </w:r>
      <w:r w:rsidR="001E0833">
        <w:rPr>
          <w:szCs w:val="24"/>
          <w:lang w:val="en-US"/>
        </w:rPr>
        <w:t>(</w:t>
      </w:r>
      <w:r w:rsidRPr="00216F60">
        <w:rPr>
          <w:szCs w:val="24"/>
          <w:lang w:val="en-US"/>
        </w:rPr>
        <w:t>measured by multiple indicators</w:t>
      </w:r>
      <w:r w:rsidR="001E0833">
        <w:rPr>
          <w:szCs w:val="24"/>
          <w:lang w:val="en-US"/>
        </w:rPr>
        <w:t>)</w:t>
      </w:r>
      <w:r w:rsidRPr="00216F60">
        <w:rPr>
          <w:szCs w:val="24"/>
          <w:lang w:val="en-US"/>
        </w:rPr>
        <w:t xml:space="preserve">. </w:t>
      </w:r>
      <w:r w:rsidR="001E0833">
        <w:rPr>
          <w:szCs w:val="24"/>
          <w:lang w:val="en-US"/>
        </w:rPr>
        <w:t>I</w:t>
      </w:r>
      <w:r w:rsidR="001E0833" w:rsidRPr="00216F60">
        <w:rPr>
          <w:szCs w:val="24"/>
          <w:lang w:val="en-US"/>
        </w:rPr>
        <w:t>f several sources of method effects are hypothesized</w:t>
      </w:r>
      <w:r w:rsidRPr="00216F60">
        <w:rPr>
          <w:szCs w:val="24"/>
          <w:lang w:val="en-US"/>
        </w:rPr>
        <w:t>, multiple control vari</w:t>
      </w:r>
      <w:r>
        <w:rPr>
          <w:szCs w:val="24"/>
          <w:lang w:val="en-US"/>
        </w:rPr>
        <w:t>a</w:t>
      </w:r>
      <w:r w:rsidRPr="00216F60">
        <w:rPr>
          <w:szCs w:val="24"/>
          <w:lang w:val="en-US"/>
        </w:rPr>
        <w:t>bles could be considered. The two methods in the first column of Table 1 differ depending on whether method variance is controlled for at the scale level (top row</w:t>
      </w:r>
      <w:r>
        <w:rPr>
          <w:szCs w:val="24"/>
          <w:lang w:val="en-US"/>
        </w:rPr>
        <w:t>; Panel A of Figure 1</w:t>
      </w:r>
      <w:r w:rsidRPr="00216F60">
        <w:rPr>
          <w:szCs w:val="24"/>
          <w:lang w:val="en-US"/>
        </w:rPr>
        <w:t>) or</w:t>
      </w:r>
      <w:r>
        <w:rPr>
          <w:szCs w:val="24"/>
          <w:lang w:val="en-US"/>
        </w:rPr>
        <w:t xml:space="preserve"> at</w:t>
      </w:r>
      <w:r w:rsidRPr="00216F60">
        <w:rPr>
          <w:szCs w:val="24"/>
          <w:lang w:val="en-US"/>
        </w:rPr>
        <w:t xml:space="preserve"> the item level (bottom row</w:t>
      </w:r>
      <w:r>
        <w:rPr>
          <w:szCs w:val="24"/>
          <w:lang w:val="en-US"/>
        </w:rPr>
        <w:t>; Panel B of Figure 1</w:t>
      </w:r>
      <w:r w:rsidRPr="00216F60">
        <w:rPr>
          <w:szCs w:val="24"/>
          <w:lang w:val="en-US"/>
        </w:rPr>
        <w:t xml:space="preserve">). </w:t>
      </w:r>
      <w:r>
        <w:rPr>
          <w:noProof/>
          <w:szCs w:val="24"/>
          <w:lang w:val="en-US"/>
        </w:rPr>
        <w:t>Podsakoff et al. (2003)</w:t>
      </w:r>
      <w:r w:rsidRPr="00216F60">
        <w:rPr>
          <w:szCs w:val="24"/>
          <w:lang w:val="en-US"/>
        </w:rPr>
        <w:t xml:space="preserve"> recommend the latter because once </w:t>
      </w:r>
      <w:r>
        <w:rPr>
          <w:szCs w:val="24"/>
          <w:lang w:val="en-US"/>
        </w:rPr>
        <w:t xml:space="preserve">method effects are purged from </w:t>
      </w:r>
      <w:r w:rsidRPr="00216F60">
        <w:rPr>
          <w:szCs w:val="24"/>
          <w:lang w:val="en-US"/>
        </w:rPr>
        <w:t>individual items, the construct of interest can be measured more accurately based on the purified items.</w:t>
      </w:r>
    </w:p>
    <w:p w14:paraId="0A015E12" w14:textId="776D56F0" w:rsidR="007A6739" w:rsidRPr="00216F60" w:rsidRDefault="007A6739" w:rsidP="00B070E9">
      <w:pPr>
        <w:spacing w:before="0" w:beforeAutospacing="0" w:after="0" w:afterAutospacing="0"/>
        <w:rPr>
          <w:szCs w:val="24"/>
          <w:lang w:val="en-US"/>
        </w:rPr>
      </w:pPr>
      <w:r w:rsidRPr="00216F60">
        <w:rPr>
          <w:szCs w:val="24"/>
          <w:lang w:val="en-US"/>
        </w:rPr>
        <w:tab/>
      </w:r>
      <w:r w:rsidRPr="006A43D9">
        <w:rPr>
          <w:szCs w:val="24"/>
          <w:lang w:val="en-US"/>
        </w:rPr>
        <w:t xml:space="preserve">It is important that the direct measure of method effects not be confounded with the substantive constructs. For example, </w:t>
      </w:r>
      <w:r w:rsidR="001E0833" w:rsidRPr="006A43D9">
        <w:rPr>
          <w:szCs w:val="24"/>
          <w:lang w:val="en-US"/>
        </w:rPr>
        <w:t>assume that a researcher wants to include social desirability as a control variable to account for potential method effects</w:t>
      </w:r>
      <w:r w:rsidR="001E0833" w:rsidRPr="006A43D9">
        <w:rPr>
          <w:szCs w:val="24"/>
          <w:lang w:val="en-US"/>
        </w:rPr>
        <w:t xml:space="preserve"> </w:t>
      </w:r>
      <w:r w:rsidR="001E0833">
        <w:rPr>
          <w:szCs w:val="24"/>
          <w:lang w:val="en-US"/>
        </w:rPr>
        <w:t xml:space="preserve">in </w:t>
      </w:r>
      <w:r w:rsidRPr="006A43D9">
        <w:rPr>
          <w:szCs w:val="24"/>
          <w:lang w:val="en-US"/>
        </w:rPr>
        <w:t xml:space="preserve">the influence of attitudes and subjective norms on purchase intentions. It is likely that social norms and social desirability are </w:t>
      </w:r>
      <w:r w:rsidR="001E0833" w:rsidRPr="006A43D9">
        <w:rPr>
          <w:szCs w:val="24"/>
          <w:lang w:val="en-US"/>
        </w:rPr>
        <w:t>substantive</w:t>
      </w:r>
      <w:r w:rsidR="001E0833">
        <w:rPr>
          <w:szCs w:val="24"/>
          <w:lang w:val="en-US"/>
        </w:rPr>
        <w:t>ly</w:t>
      </w:r>
      <w:r w:rsidR="001E0833" w:rsidRPr="006A43D9">
        <w:rPr>
          <w:szCs w:val="24"/>
          <w:lang w:val="en-US"/>
        </w:rPr>
        <w:t xml:space="preserve"> </w:t>
      </w:r>
      <w:r w:rsidRPr="006A43D9">
        <w:rPr>
          <w:szCs w:val="24"/>
          <w:lang w:val="en-US"/>
        </w:rPr>
        <w:t xml:space="preserve">related, so controlling for social desirability will probably remove substantive variance from the </w:t>
      </w:r>
      <w:r w:rsidR="001E0833" w:rsidRPr="006A43D9">
        <w:rPr>
          <w:szCs w:val="24"/>
          <w:lang w:val="en-US"/>
        </w:rPr>
        <w:t>social norm</w:t>
      </w:r>
      <w:r w:rsidR="001E0833">
        <w:rPr>
          <w:szCs w:val="24"/>
          <w:lang w:val="en-US"/>
        </w:rPr>
        <w:t xml:space="preserve"> </w:t>
      </w:r>
      <w:r w:rsidRPr="006A43D9">
        <w:rPr>
          <w:szCs w:val="24"/>
          <w:lang w:val="en-US"/>
        </w:rPr>
        <w:t xml:space="preserve">measures, </w:t>
      </w:r>
      <w:r w:rsidR="001E0833">
        <w:rPr>
          <w:szCs w:val="24"/>
          <w:lang w:val="en-US"/>
        </w:rPr>
        <w:t>leading</w:t>
      </w:r>
      <w:r w:rsidRPr="006A43D9">
        <w:rPr>
          <w:szCs w:val="24"/>
          <w:lang w:val="en-US"/>
        </w:rPr>
        <w:t xml:space="preserve"> to overcontrol of method effects</w:t>
      </w:r>
      <w:r>
        <w:rPr>
          <w:szCs w:val="24"/>
          <w:lang w:val="en-US"/>
        </w:rPr>
        <w:t xml:space="preserve"> </w:t>
      </w:r>
      <w:r>
        <w:rPr>
          <w:noProof/>
          <w:szCs w:val="24"/>
          <w:lang w:val="en-US"/>
        </w:rPr>
        <w:t>(Steenkamp</w:t>
      </w:r>
      <w:r w:rsidR="009C5EC9">
        <w:rPr>
          <w:noProof/>
          <w:szCs w:val="24"/>
          <w:lang w:val="en-US"/>
        </w:rPr>
        <w:t>, De Jong, and Baumgartner</w:t>
      </w:r>
      <w:r>
        <w:rPr>
          <w:noProof/>
          <w:szCs w:val="24"/>
          <w:lang w:val="en-US"/>
        </w:rPr>
        <w:t xml:space="preserve"> 2010)</w:t>
      </w:r>
      <w:r w:rsidRPr="006A43D9">
        <w:rPr>
          <w:szCs w:val="24"/>
          <w:lang w:val="en-US"/>
        </w:rPr>
        <w:t>.</w:t>
      </w:r>
    </w:p>
    <w:p w14:paraId="71829C1F" w14:textId="6FA4CCCB" w:rsidR="007A6739" w:rsidRPr="00216F60" w:rsidRDefault="007A6739" w:rsidP="00B070E9">
      <w:pPr>
        <w:spacing w:before="0" w:beforeAutospacing="0" w:after="0" w:afterAutospacing="0"/>
        <w:rPr>
          <w:szCs w:val="24"/>
          <w:lang w:val="en-US"/>
        </w:rPr>
      </w:pPr>
      <w:r w:rsidRPr="00216F60">
        <w:rPr>
          <w:szCs w:val="24"/>
          <w:lang w:val="en-US"/>
        </w:rPr>
        <w:tab/>
        <w:t xml:space="preserve">The two methods in the second column of Table 2 </w:t>
      </w:r>
      <w:r>
        <w:rPr>
          <w:szCs w:val="24"/>
          <w:lang w:val="en-US"/>
        </w:rPr>
        <w:t xml:space="preserve">(i.e., cells C and D) </w:t>
      </w:r>
      <w:r w:rsidRPr="00216F60">
        <w:rPr>
          <w:szCs w:val="24"/>
          <w:lang w:val="en-US"/>
        </w:rPr>
        <w:t xml:space="preserve">are variations on the marker variable approach to accounting for method effects. The original marker variable method suggested by </w:t>
      </w:r>
      <w:r>
        <w:rPr>
          <w:noProof/>
          <w:szCs w:val="24"/>
          <w:lang w:val="en-US"/>
        </w:rPr>
        <w:t>Lindell and Whitney (2001)</w:t>
      </w:r>
      <w:r w:rsidRPr="00216F60">
        <w:rPr>
          <w:szCs w:val="24"/>
          <w:lang w:val="en-US"/>
        </w:rPr>
        <w:t xml:space="preserve">, sometimes called the correlational marker technique </w:t>
      </w:r>
      <w:r>
        <w:rPr>
          <w:noProof/>
          <w:szCs w:val="24"/>
          <w:lang w:val="en-US"/>
        </w:rPr>
        <w:t>(</w:t>
      </w:r>
      <w:r w:rsidR="00AC268D" w:rsidRPr="004A2EFF">
        <w:rPr>
          <w:lang w:val="en-US"/>
        </w:rPr>
        <w:t>Richardson, Simmering, and Sturman</w:t>
      </w:r>
      <w:r>
        <w:rPr>
          <w:noProof/>
          <w:szCs w:val="24"/>
          <w:lang w:val="en-US"/>
        </w:rPr>
        <w:t xml:space="preserve"> 2009)</w:t>
      </w:r>
      <w:r w:rsidRPr="00216F60">
        <w:rPr>
          <w:szCs w:val="24"/>
          <w:lang w:val="en-US"/>
        </w:rPr>
        <w:t xml:space="preserve">, </w:t>
      </w:r>
      <w:r w:rsidR="001E0833">
        <w:rPr>
          <w:szCs w:val="24"/>
          <w:lang w:val="en-US"/>
        </w:rPr>
        <w:t>aims</w:t>
      </w:r>
      <w:r w:rsidRPr="00216F60">
        <w:rPr>
          <w:szCs w:val="24"/>
          <w:lang w:val="en-US"/>
        </w:rPr>
        <w:t xml:space="preserve"> to remove CMV contamination at the scale level. </w:t>
      </w:r>
      <w:r>
        <w:rPr>
          <w:noProof/>
          <w:szCs w:val="24"/>
          <w:lang w:val="en-US"/>
        </w:rPr>
        <w:t>Podsakoff</w:t>
      </w:r>
      <w:r w:rsidR="009C5EC9">
        <w:rPr>
          <w:noProof/>
          <w:szCs w:val="24"/>
          <w:lang w:val="en-US"/>
        </w:rPr>
        <w:t>, MacKenzie, and Podsakoff</w:t>
      </w:r>
      <w:r>
        <w:rPr>
          <w:noProof/>
          <w:szCs w:val="24"/>
          <w:lang w:val="en-US"/>
        </w:rPr>
        <w:t xml:space="preserve"> (2012)</w:t>
      </w:r>
      <w:r w:rsidRPr="00216F60">
        <w:rPr>
          <w:szCs w:val="24"/>
          <w:lang w:val="en-US"/>
        </w:rPr>
        <w:t xml:space="preserve"> offer a long list of shortcomings of th</w:t>
      </w:r>
      <w:r>
        <w:rPr>
          <w:szCs w:val="24"/>
          <w:lang w:val="en-US"/>
        </w:rPr>
        <w:t>is</w:t>
      </w:r>
      <w:r w:rsidRPr="00216F60">
        <w:rPr>
          <w:szCs w:val="24"/>
          <w:lang w:val="en-US"/>
        </w:rPr>
        <w:t xml:space="preserve"> technique, but the two major issues are the choice of appropriate marker variables and the restrictive assumptions underlying the method. </w:t>
      </w:r>
      <w:r>
        <w:rPr>
          <w:noProof/>
          <w:szCs w:val="24"/>
          <w:lang w:val="en-US"/>
        </w:rPr>
        <w:t>Lindell and Whitney (2001)</w:t>
      </w:r>
      <w:r w:rsidRPr="00216F60">
        <w:rPr>
          <w:szCs w:val="24"/>
          <w:lang w:val="en-US"/>
        </w:rPr>
        <w:t xml:space="preserve"> argue that marker variables should be highly reliable (which generally implies that a </w:t>
      </w:r>
      <w:r w:rsidRPr="00216F60">
        <w:rPr>
          <w:szCs w:val="24"/>
          <w:lang w:val="en-US"/>
        </w:rPr>
        <w:lastRenderedPageBreak/>
        <w:t xml:space="preserve">multi-item scale be used) and that they </w:t>
      </w:r>
      <w:r>
        <w:rPr>
          <w:szCs w:val="24"/>
          <w:lang w:val="en-US"/>
        </w:rPr>
        <w:t xml:space="preserve">should </w:t>
      </w:r>
      <w:r w:rsidRPr="00216F60">
        <w:rPr>
          <w:szCs w:val="24"/>
          <w:lang w:val="en-US"/>
        </w:rPr>
        <w:t>be theoretical</w:t>
      </w:r>
      <w:r>
        <w:rPr>
          <w:szCs w:val="24"/>
          <w:lang w:val="en-US"/>
        </w:rPr>
        <w:t>l</w:t>
      </w:r>
      <w:r w:rsidRPr="00216F60">
        <w:rPr>
          <w:szCs w:val="24"/>
          <w:lang w:val="en-US"/>
        </w:rPr>
        <w:t xml:space="preserve">y unrelated to at least one of the substantive variables (i.e., the true correlation between the marker variable and one of the substantive constructs </w:t>
      </w:r>
      <w:r>
        <w:rPr>
          <w:szCs w:val="24"/>
          <w:lang w:val="en-US"/>
        </w:rPr>
        <w:t xml:space="preserve">should </w:t>
      </w:r>
      <w:r w:rsidRPr="00216F60">
        <w:rPr>
          <w:szCs w:val="24"/>
          <w:lang w:val="en-US"/>
        </w:rPr>
        <w:t>be zero). Ideally, a questionnaire should include such a marker variable</w:t>
      </w:r>
      <w:r w:rsidR="001E0833">
        <w:rPr>
          <w:szCs w:val="24"/>
          <w:lang w:val="en-US"/>
        </w:rPr>
        <w:t xml:space="preserve"> by design</w:t>
      </w:r>
      <w:r w:rsidRPr="00216F60">
        <w:rPr>
          <w:szCs w:val="24"/>
          <w:lang w:val="en-US"/>
        </w:rPr>
        <w:t xml:space="preserve">, but Lindell and Whitney suggest that researchers may </w:t>
      </w:r>
      <w:r w:rsidR="001E0833" w:rsidRPr="00216F60">
        <w:rPr>
          <w:szCs w:val="24"/>
          <w:lang w:val="en-US"/>
        </w:rPr>
        <w:t xml:space="preserve">also </w:t>
      </w:r>
      <w:r w:rsidRPr="00216F60">
        <w:rPr>
          <w:szCs w:val="24"/>
          <w:lang w:val="en-US"/>
        </w:rPr>
        <w:t>choose the smallest correlation among the substantive cor</w:t>
      </w:r>
      <w:r>
        <w:rPr>
          <w:szCs w:val="24"/>
          <w:lang w:val="en-US"/>
        </w:rPr>
        <w:t>r</w:t>
      </w:r>
      <w:r w:rsidRPr="00216F60">
        <w:rPr>
          <w:szCs w:val="24"/>
          <w:lang w:val="en-US"/>
        </w:rPr>
        <w:t xml:space="preserve">elations as an estimate of CMV. Although the requirement that a marker variable be substantively unrelated to at least one substantive variable is a necessary condition for accurately capturing method effects, it is not sufficient, because a marker variable also has to </w:t>
      </w:r>
      <w:r w:rsidR="00AC268D">
        <w:rPr>
          <w:szCs w:val="24"/>
          <w:lang w:val="en-US"/>
        </w:rPr>
        <w:t>tap</w:t>
      </w:r>
      <w:r w:rsidRPr="00216F60">
        <w:rPr>
          <w:szCs w:val="24"/>
          <w:lang w:val="en-US"/>
        </w:rPr>
        <w:t xml:space="preserve"> some type of method effect to be useful for removing method variance. Even </w:t>
      </w:r>
      <w:r>
        <w:rPr>
          <w:szCs w:val="24"/>
          <w:lang w:val="en-US"/>
        </w:rPr>
        <w:t>more problematically</w:t>
      </w:r>
      <w:r w:rsidRPr="00216F60">
        <w:rPr>
          <w:szCs w:val="24"/>
          <w:lang w:val="en-US"/>
        </w:rPr>
        <w:t xml:space="preserve">, the </w:t>
      </w:r>
      <w:r w:rsidRPr="00A56003">
        <w:rPr>
          <w:i/>
          <w:iCs/>
          <w:szCs w:val="24"/>
          <w:lang w:val="en-US"/>
        </w:rPr>
        <w:t>ad hoc</w:t>
      </w:r>
      <w:r w:rsidRPr="00216F60">
        <w:rPr>
          <w:szCs w:val="24"/>
          <w:lang w:val="en-US"/>
        </w:rPr>
        <w:t xml:space="preserve"> choice of the smallest correlation among the substantive correlation</w:t>
      </w:r>
      <w:r w:rsidR="00AC268D">
        <w:rPr>
          <w:szCs w:val="24"/>
          <w:lang w:val="en-US"/>
        </w:rPr>
        <w:t>s</w:t>
      </w:r>
      <w:r w:rsidRPr="00216F60">
        <w:rPr>
          <w:szCs w:val="24"/>
          <w:lang w:val="en-US"/>
        </w:rPr>
        <w:t xml:space="preserve"> as an approximation of </w:t>
      </w:r>
      <w:r w:rsidR="001E0833">
        <w:rPr>
          <w:szCs w:val="24"/>
          <w:lang w:val="en-US"/>
        </w:rPr>
        <w:t>CMV</w:t>
      </w:r>
      <w:r w:rsidRPr="00216F60">
        <w:rPr>
          <w:szCs w:val="24"/>
          <w:lang w:val="en-US"/>
        </w:rPr>
        <w:t xml:space="preserve"> makes </w:t>
      </w:r>
      <w:r>
        <w:rPr>
          <w:szCs w:val="24"/>
          <w:lang w:val="en-US"/>
        </w:rPr>
        <w:t>little</w:t>
      </w:r>
      <w:r w:rsidRPr="00216F60">
        <w:rPr>
          <w:szCs w:val="24"/>
          <w:lang w:val="en-US"/>
        </w:rPr>
        <w:t xml:space="preserve"> conceptual sense since it is unclear what the smallest correlation represents (substantive variance, method variance, other systematic biases besides method variance, random deviations from zero, etc.). </w:t>
      </w:r>
      <w:r>
        <w:rPr>
          <w:szCs w:val="24"/>
          <w:lang w:val="en-US"/>
        </w:rPr>
        <w:t xml:space="preserve">Furthermore, using the smallest correlation makes it </w:t>
      </w:r>
      <w:r w:rsidRPr="00D87AEA">
        <w:rPr>
          <w:i/>
          <w:iCs/>
          <w:szCs w:val="24"/>
          <w:lang w:val="en-US"/>
        </w:rPr>
        <w:t>a priori</w:t>
      </w:r>
      <w:r>
        <w:rPr>
          <w:szCs w:val="24"/>
          <w:lang w:val="en-US"/>
        </w:rPr>
        <w:t xml:space="preserve"> unlikely that evidence of CMV will be detected because the smallest correlation is often close to zero. </w:t>
      </w:r>
      <w:r w:rsidRPr="00216F60">
        <w:rPr>
          <w:szCs w:val="24"/>
          <w:lang w:val="en-US"/>
        </w:rPr>
        <w:t>Unfort</w:t>
      </w:r>
      <w:r>
        <w:rPr>
          <w:szCs w:val="24"/>
          <w:lang w:val="en-US"/>
        </w:rPr>
        <w:t>u</w:t>
      </w:r>
      <w:r w:rsidRPr="00216F60">
        <w:rPr>
          <w:szCs w:val="24"/>
          <w:lang w:val="en-US"/>
        </w:rPr>
        <w:t>nate</w:t>
      </w:r>
      <w:r>
        <w:rPr>
          <w:szCs w:val="24"/>
          <w:lang w:val="en-US"/>
        </w:rPr>
        <w:t>l</w:t>
      </w:r>
      <w:r w:rsidRPr="00216F60">
        <w:rPr>
          <w:szCs w:val="24"/>
          <w:lang w:val="en-US"/>
        </w:rPr>
        <w:t xml:space="preserve">y, as will be shown below, researchers have </w:t>
      </w:r>
      <w:r>
        <w:rPr>
          <w:szCs w:val="24"/>
          <w:lang w:val="en-US"/>
        </w:rPr>
        <w:t xml:space="preserve">mostly </w:t>
      </w:r>
      <w:r w:rsidRPr="00216F60">
        <w:rPr>
          <w:szCs w:val="24"/>
          <w:lang w:val="en-US"/>
        </w:rPr>
        <w:t>used non-sensical marker variables</w:t>
      </w:r>
      <w:r>
        <w:rPr>
          <w:szCs w:val="24"/>
          <w:lang w:val="en-US"/>
        </w:rPr>
        <w:t xml:space="preserve"> when using the marker variable </w:t>
      </w:r>
      <w:r w:rsidR="00424EAD">
        <w:rPr>
          <w:szCs w:val="24"/>
          <w:lang w:val="en-US"/>
        </w:rPr>
        <w:t>approach</w:t>
      </w:r>
      <w:r w:rsidRPr="00216F60">
        <w:rPr>
          <w:szCs w:val="24"/>
          <w:lang w:val="en-US"/>
        </w:rPr>
        <w:t>.</w:t>
      </w:r>
    </w:p>
    <w:p w14:paraId="3AAC4B52" w14:textId="0B321920" w:rsidR="007A6739" w:rsidRPr="00216F60" w:rsidRDefault="007A6739" w:rsidP="00B070E9">
      <w:pPr>
        <w:spacing w:before="0" w:beforeAutospacing="0" w:after="0" w:afterAutospacing="0"/>
        <w:rPr>
          <w:szCs w:val="24"/>
          <w:lang w:val="en-US"/>
        </w:rPr>
      </w:pPr>
      <w:r w:rsidRPr="00216F60">
        <w:rPr>
          <w:szCs w:val="24"/>
          <w:lang w:val="en-US"/>
        </w:rPr>
        <w:tab/>
        <w:t xml:space="preserve">The marker variable technique also imposes rather restrictive assumptions on the control of method variance. Although </w:t>
      </w:r>
      <w:r>
        <w:rPr>
          <w:noProof/>
          <w:szCs w:val="24"/>
          <w:lang w:val="en-US"/>
        </w:rPr>
        <w:t>Lindell and Whitney (2001)</w:t>
      </w:r>
      <w:r w:rsidRPr="00216F60">
        <w:rPr>
          <w:szCs w:val="24"/>
          <w:lang w:val="en-US"/>
        </w:rPr>
        <w:t xml:space="preserve"> derive their method based on partial correlations, the underlying model can be depicted as a structural equation model as shown in </w:t>
      </w:r>
      <w:r>
        <w:rPr>
          <w:szCs w:val="24"/>
          <w:lang w:val="en-US"/>
        </w:rPr>
        <w:t xml:space="preserve">Panel C of </w:t>
      </w:r>
      <w:r w:rsidRPr="00216F60">
        <w:rPr>
          <w:szCs w:val="24"/>
          <w:lang w:val="en-US"/>
        </w:rPr>
        <w:t>Figure 1. As already discussed, one of the substantive variables (</w:t>
      </w:r>
      <w:r>
        <w:rPr>
          <w:szCs w:val="24"/>
          <w:lang w:val="en-US"/>
        </w:rPr>
        <w:t>Construct B</w:t>
      </w:r>
      <w:r w:rsidRPr="00216F60">
        <w:rPr>
          <w:szCs w:val="24"/>
          <w:lang w:val="en-US"/>
        </w:rPr>
        <w:t xml:space="preserve"> in </w:t>
      </w:r>
      <w:r>
        <w:rPr>
          <w:szCs w:val="24"/>
          <w:lang w:val="en-US"/>
        </w:rPr>
        <w:t xml:space="preserve">Panel C of </w:t>
      </w:r>
      <w:r w:rsidRPr="00216F60">
        <w:rPr>
          <w:szCs w:val="24"/>
          <w:lang w:val="en-US"/>
        </w:rPr>
        <w:t xml:space="preserve">Figure 1) has to be </w:t>
      </w:r>
      <w:r>
        <w:rPr>
          <w:szCs w:val="24"/>
          <w:lang w:val="en-US"/>
        </w:rPr>
        <w:t>conceptually</w:t>
      </w:r>
      <w:r w:rsidRPr="00216F60">
        <w:rPr>
          <w:szCs w:val="24"/>
          <w:lang w:val="en-US"/>
        </w:rPr>
        <w:t xml:space="preserve"> unrelated to the marker variable; this is shown by the missing bi-directional arrow between </w:t>
      </w:r>
      <w:r>
        <w:rPr>
          <w:szCs w:val="24"/>
          <w:lang w:val="en-US"/>
        </w:rPr>
        <w:t>B</w:t>
      </w:r>
      <w:r w:rsidRPr="00216F60">
        <w:rPr>
          <w:szCs w:val="24"/>
          <w:lang w:val="en-US"/>
        </w:rPr>
        <w:t xml:space="preserve"> and </w:t>
      </w:r>
      <w:r>
        <w:rPr>
          <w:szCs w:val="24"/>
          <w:lang w:val="en-US"/>
        </w:rPr>
        <w:t>MA</w:t>
      </w:r>
      <w:r w:rsidRPr="00216F60">
        <w:rPr>
          <w:szCs w:val="24"/>
          <w:lang w:val="en-US"/>
        </w:rPr>
        <w:t xml:space="preserve"> in </w:t>
      </w:r>
      <w:r>
        <w:rPr>
          <w:szCs w:val="24"/>
          <w:lang w:val="en-US"/>
        </w:rPr>
        <w:t>the figure</w:t>
      </w:r>
      <w:r w:rsidRPr="00216F60">
        <w:rPr>
          <w:szCs w:val="24"/>
          <w:lang w:val="en-US"/>
        </w:rPr>
        <w:t xml:space="preserve">. The only open path between </w:t>
      </w:r>
      <w:r>
        <w:rPr>
          <w:szCs w:val="24"/>
          <w:lang w:val="en-US"/>
        </w:rPr>
        <w:t>B</w:t>
      </w:r>
      <w:r w:rsidRPr="00216F60">
        <w:rPr>
          <w:szCs w:val="24"/>
          <w:lang w:val="en-US"/>
        </w:rPr>
        <w:t xml:space="preserve"> and </w:t>
      </w:r>
      <w:r>
        <w:rPr>
          <w:szCs w:val="24"/>
          <w:lang w:val="en-US"/>
        </w:rPr>
        <w:t>MA</w:t>
      </w:r>
      <w:r w:rsidRPr="00216F60">
        <w:rPr>
          <w:szCs w:val="24"/>
          <w:lang w:val="en-US"/>
        </w:rPr>
        <w:t xml:space="preserve"> is through the underlying method factor (MF). Since the model </w:t>
      </w:r>
      <w:r>
        <w:rPr>
          <w:szCs w:val="24"/>
          <w:lang w:val="en-US"/>
        </w:rPr>
        <w:t>i</w:t>
      </w:r>
      <w:r w:rsidRPr="00216F60">
        <w:rPr>
          <w:szCs w:val="24"/>
          <w:lang w:val="en-US"/>
        </w:rPr>
        <w:t xml:space="preserve">n </w:t>
      </w:r>
      <w:r>
        <w:rPr>
          <w:szCs w:val="24"/>
          <w:lang w:val="en-US"/>
        </w:rPr>
        <w:t xml:space="preserve">Panel C of </w:t>
      </w:r>
      <w:r w:rsidRPr="00216F60">
        <w:rPr>
          <w:szCs w:val="24"/>
          <w:lang w:val="en-US"/>
        </w:rPr>
        <w:t xml:space="preserve">Figure 1 is exactly identified (i.e., it has </w:t>
      </w:r>
      <w:r w:rsidR="00EA0910">
        <w:rPr>
          <w:szCs w:val="24"/>
          <w:lang w:val="en-US"/>
        </w:rPr>
        <w:t xml:space="preserve">zero </w:t>
      </w:r>
      <w:r w:rsidRPr="00216F60">
        <w:rPr>
          <w:szCs w:val="24"/>
          <w:lang w:val="en-US"/>
        </w:rPr>
        <w:t xml:space="preserve">degrees of freedom), this </w:t>
      </w:r>
      <w:r w:rsidRPr="00216F60">
        <w:rPr>
          <w:szCs w:val="24"/>
          <w:lang w:val="en-US"/>
        </w:rPr>
        <w:lastRenderedPageBreak/>
        <w:t>assumption cannot be tested.</w:t>
      </w:r>
      <w:r>
        <w:rPr>
          <w:szCs w:val="24"/>
          <w:lang w:val="en-US"/>
        </w:rPr>
        <w:t xml:space="preserve"> </w:t>
      </w:r>
      <w:r w:rsidRPr="00216F60">
        <w:rPr>
          <w:szCs w:val="24"/>
          <w:lang w:val="en-US"/>
        </w:rPr>
        <w:t xml:space="preserve">Furthermore, it is apparent that the loadings of </w:t>
      </w:r>
      <w:r>
        <w:rPr>
          <w:szCs w:val="24"/>
          <w:lang w:val="en-US"/>
        </w:rPr>
        <w:t>a</w:t>
      </w:r>
      <w:r w:rsidRPr="00216F60">
        <w:rPr>
          <w:szCs w:val="24"/>
          <w:lang w:val="en-US"/>
        </w:rPr>
        <w:t>,</w:t>
      </w:r>
      <w:r>
        <w:rPr>
          <w:szCs w:val="24"/>
          <w:lang w:val="en-US"/>
        </w:rPr>
        <w:t xml:space="preserve"> b</w:t>
      </w:r>
      <w:r w:rsidRPr="00216F60">
        <w:rPr>
          <w:szCs w:val="24"/>
          <w:lang w:val="en-US"/>
        </w:rPr>
        <w:t xml:space="preserve">, and </w:t>
      </w:r>
      <w:r>
        <w:rPr>
          <w:szCs w:val="24"/>
          <w:lang w:val="en-US"/>
        </w:rPr>
        <w:t xml:space="preserve">ma </w:t>
      </w:r>
      <w:r w:rsidRPr="00216F60">
        <w:rPr>
          <w:szCs w:val="24"/>
          <w:lang w:val="en-US"/>
        </w:rPr>
        <w:t xml:space="preserve">on the method factor </w:t>
      </w:r>
      <w:r>
        <w:rPr>
          <w:szCs w:val="24"/>
          <w:lang w:val="en-US"/>
        </w:rPr>
        <w:t xml:space="preserve">(MF) </w:t>
      </w:r>
      <w:r w:rsidRPr="00216F60">
        <w:rPr>
          <w:szCs w:val="24"/>
          <w:lang w:val="en-US"/>
        </w:rPr>
        <w:t xml:space="preserve">are identical, meaning that the hypothesized method factor influences all three variables equally. Again, this assumption cannot be tested. The model in </w:t>
      </w:r>
      <w:r>
        <w:rPr>
          <w:szCs w:val="24"/>
          <w:lang w:val="en-US"/>
        </w:rPr>
        <w:t>Panel C</w:t>
      </w:r>
      <w:r w:rsidRPr="00216F60">
        <w:rPr>
          <w:szCs w:val="24"/>
          <w:lang w:val="en-US"/>
        </w:rPr>
        <w:t xml:space="preserve"> allows a direct path between </w:t>
      </w:r>
      <w:r>
        <w:rPr>
          <w:szCs w:val="24"/>
          <w:lang w:val="en-US"/>
        </w:rPr>
        <w:t>A</w:t>
      </w:r>
      <w:r w:rsidRPr="00216F60">
        <w:rPr>
          <w:szCs w:val="24"/>
          <w:lang w:val="en-US"/>
        </w:rPr>
        <w:t xml:space="preserve"> and </w:t>
      </w:r>
      <w:r>
        <w:rPr>
          <w:szCs w:val="24"/>
          <w:lang w:val="en-US"/>
        </w:rPr>
        <w:t>MA</w:t>
      </w:r>
      <w:r w:rsidRPr="00216F60">
        <w:rPr>
          <w:szCs w:val="24"/>
          <w:lang w:val="en-US"/>
        </w:rPr>
        <w:t xml:space="preserve">, and if this path is </w:t>
      </w:r>
      <w:r>
        <w:rPr>
          <w:szCs w:val="24"/>
          <w:lang w:val="en-US"/>
        </w:rPr>
        <w:t xml:space="preserve">constrained </w:t>
      </w:r>
      <w:r w:rsidRPr="00216F60">
        <w:rPr>
          <w:szCs w:val="24"/>
          <w:lang w:val="en-US"/>
        </w:rPr>
        <w:t>to zero, the restrictive assumptions contained in the model could be tested. Most likely, this model would not fit the data well.</w:t>
      </w:r>
      <w:r>
        <w:rPr>
          <w:szCs w:val="24"/>
          <w:lang w:val="en-US"/>
        </w:rPr>
        <w:t xml:space="preserve"> </w:t>
      </w:r>
      <w:r w:rsidR="00D43D7E">
        <w:rPr>
          <w:szCs w:val="24"/>
          <w:lang w:val="en-US"/>
        </w:rPr>
        <w:t>C</w:t>
      </w:r>
      <w:r>
        <w:rPr>
          <w:szCs w:val="24"/>
          <w:lang w:val="en-US"/>
        </w:rPr>
        <w:t>onstraining the loadings of the method factor on the substantive indicators (a and b) to be equal is</w:t>
      </w:r>
      <w:r w:rsidR="00D43D7E">
        <w:rPr>
          <w:szCs w:val="24"/>
          <w:lang w:val="en-US"/>
        </w:rPr>
        <w:t xml:space="preserve"> often considered</w:t>
      </w:r>
      <w:r>
        <w:rPr>
          <w:szCs w:val="24"/>
          <w:lang w:val="en-US"/>
        </w:rPr>
        <w:t xml:space="preserve"> too restrictive (Podsakoff et al. 2003). </w:t>
      </w:r>
      <w:r w:rsidR="00096C28">
        <w:rPr>
          <w:szCs w:val="24"/>
          <w:lang w:val="en-US"/>
        </w:rPr>
        <w:t>But</w:t>
      </w:r>
      <w:r>
        <w:rPr>
          <w:szCs w:val="24"/>
          <w:lang w:val="en-US"/>
        </w:rPr>
        <w:t xml:space="preserve"> the truly unrealistic assumption is that the effects of the method factor on the substantive items are as strong as the effect of the method factor on the marker variable, which is supposed to be a direct proxy for method effects. </w:t>
      </w:r>
      <w:r w:rsidRPr="00216F60">
        <w:rPr>
          <w:szCs w:val="24"/>
          <w:lang w:val="en-US"/>
        </w:rPr>
        <w:t xml:space="preserve">Overall, because of the many problems afflicting the Lindell and Whitney marker variable technique, we are skeptical about its </w:t>
      </w:r>
      <w:r>
        <w:rPr>
          <w:szCs w:val="24"/>
          <w:lang w:val="en-US"/>
        </w:rPr>
        <w:t xml:space="preserve">value as a </w:t>
      </w:r>
      <w:r w:rsidRPr="00216F60">
        <w:rPr>
          <w:szCs w:val="24"/>
          <w:lang w:val="en-US"/>
        </w:rPr>
        <w:t>control</w:t>
      </w:r>
      <w:r>
        <w:rPr>
          <w:szCs w:val="24"/>
          <w:lang w:val="en-US"/>
        </w:rPr>
        <w:t xml:space="preserve"> for</w:t>
      </w:r>
      <w:r w:rsidRPr="00216F60">
        <w:rPr>
          <w:szCs w:val="24"/>
          <w:lang w:val="en-US"/>
        </w:rPr>
        <w:t xml:space="preserve"> method effects</w:t>
      </w:r>
      <w:r>
        <w:rPr>
          <w:szCs w:val="24"/>
          <w:lang w:val="en-US"/>
        </w:rPr>
        <w:t xml:space="preserve"> (consistent with Podsakoff et al. 2003)</w:t>
      </w:r>
      <w:r w:rsidRPr="00216F60">
        <w:rPr>
          <w:szCs w:val="24"/>
          <w:lang w:val="en-US"/>
        </w:rPr>
        <w:t xml:space="preserve">. The popularity of the technique is probably due to its ease of use and the fact that the marker variable </w:t>
      </w:r>
      <w:r w:rsidR="00EA0910">
        <w:rPr>
          <w:szCs w:val="24"/>
          <w:lang w:val="en-US"/>
        </w:rPr>
        <w:t xml:space="preserve">method </w:t>
      </w:r>
      <w:r w:rsidRPr="00216F60">
        <w:rPr>
          <w:szCs w:val="24"/>
          <w:lang w:val="en-US"/>
        </w:rPr>
        <w:t>usually leads to the desired finding that method variance is not a problem.</w:t>
      </w:r>
    </w:p>
    <w:p w14:paraId="7ED25E94" w14:textId="7258E9B5" w:rsidR="007A6739" w:rsidRPr="00216F60" w:rsidRDefault="007A6739" w:rsidP="00B070E9">
      <w:pPr>
        <w:spacing w:before="0" w:beforeAutospacing="0" w:after="0" w:afterAutospacing="0"/>
        <w:rPr>
          <w:szCs w:val="24"/>
          <w:lang w:val="en-US"/>
        </w:rPr>
      </w:pPr>
      <w:r w:rsidRPr="00216F60">
        <w:rPr>
          <w:szCs w:val="24"/>
          <w:lang w:val="en-US"/>
        </w:rPr>
        <w:tab/>
      </w:r>
      <w:r w:rsidR="00D43D7E" w:rsidRPr="004A2EFF">
        <w:rPr>
          <w:lang w:val="en-US"/>
        </w:rPr>
        <w:t>Williams, Hartman, and Cavazotte</w:t>
      </w:r>
      <w:r w:rsidR="00D43D7E">
        <w:rPr>
          <w:noProof/>
          <w:szCs w:val="24"/>
          <w:lang w:val="en-US"/>
        </w:rPr>
        <w:t xml:space="preserve"> (2010)</w:t>
      </w:r>
      <w:r w:rsidR="00D43D7E">
        <w:rPr>
          <w:noProof/>
          <w:szCs w:val="24"/>
          <w:lang w:val="en-US"/>
        </w:rPr>
        <w:t xml:space="preserve"> proposed a</w:t>
      </w:r>
      <w:r w:rsidRPr="00216F60">
        <w:rPr>
          <w:szCs w:val="24"/>
          <w:lang w:val="en-US"/>
        </w:rPr>
        <w:t xml:space="preserve"> more sophisticated version of the correlational marker variable technique, which enables a correction for m</w:t>
      </w:r>
      <w:r w:rsidR="00D43D7E">
        <w:rPr>
          <w:szCs w:val="24"/>
          <w:lang w:val="en-US"/>
        </w:rPr>
        <w:t>ethod effects at the item level</w:t>
      </w:r>
      <w:r w:rsidRPr="00216F60">
        <w:rPr>
          <w:szCs w:val="24"/>
          <w:lang w:val="en-US"/>
        </w:rPr>
        <w:t xml:space="preserve">. </w:t>
      </w:r>
      <w:r w:rsidR="00D43D7E">
        <w:rPr>
          <w:szCs w:val="24"/>
          <w:lang w:val="en-US"/>
        </w:rPr>
        <w:t>T</w:t>
      </w:r>
      <w:r w:rsidR="00D43D7E" w:rsidRPr="00216F60">
        <w:rPr>
          <w:szCs w:val="24"/>
          <w:lang w:val="en-US"/>
        </w:rPr>
        <w:t>he Comprehensive CFA Marker Techn</w:t>
      </w:r>
      <w:r w:rsidR="00D43D7E">
        <w:rPr>
          <w:szCs w:val="24"/>
          <w:lang w:val="en-US"/>
        </w:rPr>
        <w:t>i</w:t>
      </w:r>
      <w:r w:rsidR="00D43D7E" w:rsidRPr="00216F60">
        <w:rPr>
          <w:szCs w:val="24"/>
          <w:lang w:val="en-US"/>
        </w:rPr>
        <w:t>que (CFMT</w:t>
      </w:r>
      <w:r w:rsidR="00D43D7E">
        <w:rPr>
          <w:szCs w:val="24"/>
          <w:lang w:val="en-US"/>
        </w:rPr>
        <w:t>; see Panel D of Figure 1</w:t>
      </w:r>
      <w:r w:rsidR="00D43D7E" w:rsidRPr="00216F60">
        <w:rPr>
          <w:szCs w:val="24"/>
          <w:lang w:val="en-US"/>
        </w:rPr>
        <w:t>)</w:t>
      </w:r>
      <w:r w:rsidRPr="00216F60">
        <w:rPr>
          <w:szCs w:val="24"/>
          <w:lang w:val="en-US"/>
        </w:rPr>
        <w:t xml:space="preserve"> extends earlier applications of confirmatory factor analysis to the control of method variance through marker variables (referred to as the CFA Marker Technique by Richardson</w:t>
      </w:r>
      <w:r w:rsidR="009C5EC9">
        <w:rPr>
          <w:szCs w:val="24"/>
          <w:lang w:val="en-US"/>
        </w:rPr>
        <w:t>, Simmering, and Sturman</w:t>
      </w:r>
      <w:r w:rsidR="00D43D7E">
        <w:rPr>
          <w:szCs w:val="24"/>
          <w:lang w:val="en-US"/>
        </w:rPr>
        <w:t xml:space="preserve"> 2009)</w:t>
      </w:r>
      <w:r w:rsidRPr="00216F60">
        <w:rPr>
          <w:szCs w:val="24"/>
          <w:lang w:val="en-US"/>
        </w:rPr>
        <w:t xml:space="preserve">. The procedure is complex and </w:t>
      </w:r>
      <w:r w:rsidR="00D43D7E">
        <w:rPr>
          <w:szCs w:val="24"/>
          <w:lang w:val="en-US"/>
        </w:rPr>
        <w:t>not used very often</w:t>
      </w:r>
      <w:r w:rsidR="00205253">
        <w:rPr>
          <w:szCs w:val="24"/>
          <w:lang w:val="en-US"/>
        </w:rPr>
        <w:t>. T</w:t>
      </w:r>
      <w:r w:rsidR="00D43D7E">
        <w:rPr>
          <w:szCs w:val="24"/>
          <w:lang w:val="en-US"/>
        </w:rPr>
        <w:t>he proposed</w:t>
      </w:r>
      <w:r w:rsidRPr="00216F60">
        <w:rPr>
          <w:szCs w:val="24"/>
          <w:lang w:val="en-US"/>
        </w:rPr>
        <w:t xml:space="preserve"> factor model includes both substantive factors and a latent marker factor measured by multiple indicators; the latent marker factor is specified to be uncorrelated with the substantive factors, </w:t>
      </w:r>
      <w:r w:rsidR="00424EAD">
        <w:rPr>
          <w:szCs w:val="24"/>
          <w:lang w:val="en-US"/>
        </w:rPr>
        <w:t>although</w:t>
      </w:r>
      <w:r w:rsidRPr="00216F60">
        <w:rPr>
          <w:szCs w:val="24"/>
          <w:lang w:val="en-US"/>
        </w:rPr>
        <w:t xml:space="preserve"> the loadings of the marker indicators on the latent marker factors are fixed to the values obtained from a CFA model in which these factor correlations are </w:t>
      </w:r>
      <w:r w:rsidRPr="00216F60">
        <w:rPr>
          <w:szCs w:val="24"/>
          <w:lang w:val="en-US"/>
        </w:rPr>
        <w:lastRenderedPageBreak/>
        <w:t xml:space="preserve">freely estimated; the latent marker factor can have equal or unequal effects on the indicators of the substantive factors; and the correlations between the substantive factors are explicitly compared between the model with and without method effects. </w:t>
      </w:r>
    </w:p>
    <w:p w14:paraId="67835324" w14:textId="62120ED2" w:rsidR="007A6739" w:rsidRPr="00216F60" w:rsidRDefault="007A6739" w:rsidP="00B070E9">
      <w:pPr>
        <w:spacing w:before="0" w:beforeAutospacing="0" w:after="0" w:afterAutospacing="0"/>
        <w:ind w:firstLine="708"/>
        <w:rPr>
          <w:rFonts w:cs="Times New Roman"/>
          <w:szCs w:val="24"/>
          <w:lang w:val="en-US"/>
        </w:rPr>
      </w:pPr>
      <w:r w:rsidRPr="00216F60">
        <w:rPr>
          <w:szCs w:val="24"/>
          <w:lang w:val="en-US"/>
        </w:rPr>
        <w:t xml:space="preserve">Despite </w:t>
      </w:r>
      <w:r>
        <w:rPr>
          <w:szCs w:val="24"/>
          <w:lang w:val="en-US"/>
        </w:rPr>
        <w:t>certain</w:t>
      </w:r>
      <w:r w:rsidRPr="00216F60">
        <w:rPr>
          <w:szCs w:val="24"/>
          <w:lang w:val="en-US"/>
        </w:rPr>
        <w:t xml:space="preserve"> advantages (</w:t>
      </w:r>
      <w:r>
        <w:rPr>
          <w:szCs w:val="24"/>
          <w:lang w:val="en-US"/>
        </w:rPr>
        <w:t xml:space="preserve">e.g., </w:t>
      </w:r>
      <w:r w:rsidRPr="00216F60">
        <w:rPr>
          <w:szCs w:val="24"/>
          <w:lang w:val="en-US"/>
        </w:rPr>
        <w:t xml:space="preserve">control of method effects at the item level, correction for measurement error in the indicators of the marker factor, consideration of equal vs. unequal method effects, examination of the </w:t>
      </w:r>
      <w:r>
        <w:rPr>
          <w:szCs w:val="24"/>
          <w:lang w:val="en-US"/>
        </w:rPr>
        <w:t xml:space="preserve">influence </w:t>
      </w:r>
      <w:r w:rsidRPr="00216F60">
        <w:rPr>
          <w:szCs w:val="24"/>
          <w:lang w:val="en-US"/>
        </w:rPr>
        <w:t>of me</w:t>
      </w:r>
      <w:r>
        <w:rPr>
          <w:szCs w:val="24"/>
          <w:lang w:val="en-US"/>
        </w:rPr>
        <w:t>t</w:t>
      </w:r>
      <w:r w:rsidRPr="00216F60">
        <w:rPr>
          <w:szCs w:val="24"/>
          <w:lang w:val="en-US"/>
        </w:rPr>
        <w:t xml:space="preserve">hod effects on the substantive correlations), the </w:t>
      </w:r>
      <w:r w:rsidR="00205253" w:rsidRPr="00216F60">
        <w:rPr>
          <w:szCs w:val="24"/>
          <w:lang w:val="en-US"/>
        </w:rPr>
        <w:t>CFMT</w:t>
      </w:r>
      <w:r w:rsidRPr="00216F60">
        <w:rPr>
          <w:szCs w:val="24"/>
          <w:lang w:val="en-US"/>
        </w:rPr>
        <w:t xml:space="preserve"> approach fails to resolve the basic problem of the marker variable technique: </w:t>
      </w:r>
      <w:r w:rsidR="00424EAD">
        <w:rPr>
          <w:szCs w:val="24"/>
          <w:lang w:val="en-US"/>
        </w:rPr>
        <w:t>H</w:t>
      </w:r>
      <w:r w:rsidRPr="00216F60">
        <w:rPr>
          <w:szCs w:val="24"/>
          <w:lang w:val="en-US"/>
        </w:rPr>
        <w:t xml:space="preserve">ow can a marker variable serve as a measured proxy for method effects when the concept of method variance remains undefined? </w:t>
      </w:r>
      <w:r w:rsidR="00D43D7E">
        <w:rPr>
          <w:szCs w:val="24"/>
          <w:lang w:val="en-US"/>
        </w:rPr>
        <w:t>A</w:t>
      </w:r>
      <w:r w:rsidR="00D43D7E" w:rsidRPr="00216F60">
        <w:rPr>
          <w:szCs w:val="24"/>
          <w:lang w:val="en-US"/>
        </w:rPr>
        <w:t>t least aware of this conundrum</w:t>
      </w:r>
      <w:r w:rsidR="00D43D7E">
        <w:rPr>
          <w:szCs w:val="24"/>
          <w:lang w:val="en-US"/>
        </w:rPr>
        <w:t>,</w:t>
      </w:r>
      <w:r w:rsidR="00D43D7E" w:rsidRPr="00216F60">
        <w:rPr>
          <w:szCs w:val="24"/>
          <w:lang w:val="en-US"/>
        </w:rPr>
        <w:t xml:space="preserve"> </w:t>
      </w:r>
      <w:r w:rsidRPr="00216F60">
        <w:rPr>
          <w:szCs w:val="24"/>
          <w:lang w:val="en-US"/>
        </w:rPr>
        <w:t>Williams</w:t>
      </w:r>
      <w:r w:rsidR="009C5EC9">
        <w:rPr>
          <w:szCs w:val="24"/>
          <w:lang w:val="en-US"/>
        </w:rPr>
        <w:t>, Hartman, and Cavazotte</w:t>
      </w:r>
      <w:r w:rsidR="00D43D7E">
        <w:rPr>
          <w:szCs w:val="24"/>
          <w:lang w:val="en-US"/>
        </w:rPr>
        <w:t xml:space="preserve"> (2010)</w:t>
      </w:r>
      <w:r w:rsidRPr="00216F60">
        <w:rPr>
          <w:szCs w:val="24"/>
          <w:lang w:val="en-US"/>
        </w:rPr>
        <w:t xml:space="preserve"> </w:t>
      </w:r>
      <w:r>
        <w:rPr>
          <w:szCs w:val="24"/>
          <w:lang w:val="en-US"/>
        </w:rPr>
        <w:t>recommend</w:t>
      </w:r>
      <w:r w:rsidRPr="00216F60">
        <w:rPr>
          <w:szCs w:val="24"/>
          <w:lang w:val="en-US"/>
        </w:rPr>
        <w:t xml:space="preserve"> that </w:t>
      </w:r>
      <w:r w:rsidRPr="00216F60">
        <w:rPr>
          <w:rFonts w:cs="Times New Roman"/>
          <w:szCs w:val="24"/>
          <w:lang w:val="en-US"/>
        </w:rPr>
        <w:t xml:space="preserve">“the definition of a marker variable be expanded so that not only is a marker variable defined as a variable that is not expected to be theoretically related to substantive variables in the model but it is also defined as capturing or tapping into one or more of the sources of bias that can occur in the measurement context for given substantive variables being examined” (p. 507). </w:t>
      </w:r>
      <w:r w:rsidR="00D43D7E">
        <w:rPr>
          <w:rFonts w:cs="Times New Roman"/>
          <w:szCs w:val="24"/>
          <w:lang w:val="en-US"/>
        </w:rPr>
        <w:t>Still, the authors</w:t>
      </w:r>
      <w:r>
        <w:rPr>
          <w:rFonts w:cs="Times New Roman"/>
          <w:szCs w:val="24"/>
          <w:lang w:val="en-US"/>
        </w:rPr>
        <w:t xml:space="preserve"> </w:t>
      </w:r>
      <w:r w:rsidRPr="00216F60">
        <w:rPr>
          <w:rFonts w:cs="Times New Roman"/>
          <w:szCs w:val="24"/>
          <w:lang w:val="en-US"/>
        </w:rPr>
        <w:t xml:space="preserve">also explicitly </w:t>
      </w:r>
      <w:r w:rsidR="00D43D7E">
        <w:rPr>
          <w:rFonts w:cs="Times New Roman"/>
          <w:szCs w:val="24"/>
          <w:lang w:val="en-US"/>
        </w:rPr>
        <w:t>differentiate</w:t>
      </w:r>
      <w:r w:rsidRPr="00216F60">
        <w:rPr>
          <w:rFonts w:cs="Times New Roman"/>
          <w:szCs w:val="24"/>
          <w:lang w:val="en-US"/>
        </w:rPr>
        <w:t xml:space="preserve"> marker variables from measured method effect variables. </w:t>
      </w:r>
      <w:r w:rsidR="00205253" w:rsidRPr="00205253">
        <w:rPr>
          <w:rFonts w:cs="Times New Roman"/>
          <w:szCs w:val="24"/>
          <w:lang w:val="en-US"/>
        </w:rPr>
        <w:t>Though tempting, hoping that some marker variable miraculously captures all the method effects that imping</w:t>
      </w:r>
      <w:r w:rsidR="00205253">
        <w:rPr>
          <w:rFonts w:cs="Times New Roman"/>
          <w:szCs w:val="24"/>
          <w:lang w:val="en-US"/>
        </w:rPr>
        <w:t>e</w:t>
      </w:r>
      <w:r w:rsidR="00205253" w:rsidRPr="00205253">
        <w:rPr>
          <w:rFonts w:cs="Times New Roman"/>
          <w:szCs w:val="24"/>
          <w:lang w:val="en-US"/>
        </w:rPr>
        <w:t xml:space="preserve"> on observed measures in a survey</w:t>
      </w:r>
      <w:r w:rsidR="00205253">
        <w:rPr>
          <w:rFonts w:cs="Times New Roman"/>
          <w:szCs w:val="24"/>
          <w:lang w:val="en-US"/>
        </w:rPr>
        <w:t xml:space="preserve"> </w:t>
      </w:r>
      <w:r w:rsidRPr="00216F60">
        <w:rPr>
          <w:rFonts w:cs="Times New Roman"/>
          <w:szCs w:val="24"/>
          <w:lang w:val="en-US"/>
        </w:rPr>
        <w:t xml:space="preserve">is likely futile and reflects </w:t>
      </w:r>
      <w:r w:rsidRPr="00216F60">
        <w:rPr>
          <w:rFonts w:cs="Times New Roman"/>
          <w:i/>
          <w:iCs/>
          <w:szCs w:val="24"/>
          <w:lang w:val="en-US"/>
        </w:rPr>
        <w:t>deus ex machina</w:t>
      </w:r>
      <w:r w:rsidRPr="00216F60">
        <w:rPr>
          <w:rFonts w:cs="Times New Roman"/>
          <w:szCs w:val="24"/>
          <w:lang w:val="en-US"/>
        </w:rPr>
        <w:t xml:space="preserve"> thinking. It seem</w:t>
      </w:r>
      <w:r>
        <w:rPr>
          <w:rFonts w:cs="Times New Roman"/>
          <w:szCs w:val="24"/>
          <w:lang w:val="en-US"/>
        </w:rPr>
        <w:t>s</w:t>
      </w:r>
      <w:r w:rsidRPr="00216F60">
        <w:rPr>
          <w:rFonts w:cs="Times New Roman"/>
          <w:szCs w:val="24"/>
          <w:lang w:val="en-US"/>
        </w:rPr>
        <w:t xml:space="preserve"> more realistic to try to identify likely method effects </w:t>
      </w:r>
      <w:r w:rsidRPr="00191FEA">
        <w:rPr>
          <w:rFonts w:cs="Times New Roman"/>
          <w:i/>
          <w:iCs/>
          <w:szCs w:val="24"/>
          <w:lang w:val="en-US"/>
        </w:rPr>
        <w:t>a priori</w:t>
      </w:r>
      <w:r w:rsidRPr="00216F60">
        <w:rPr>
          <w:rFonts w:cs="Times New Roman"/>
          <w:szCs w:val="24"/>
          <w:lang w:val="en-US"/>
        </w:rPr>
        <w:t xml:space="preserve"> and measure these method effects directly, or to infer method effects implicitly as discussed next.    </w:t>
      </w:r>
    </w:p>
    <w:p w14:paraId="34198430" w14:textId="3407B5DE" w:rsidR="007A6739" w:rsidRPr="00216F60" w:rsidRDefault="007A6739" w:rsidP="00B070E9">
      <w:pPr>
        <w:spacing w:before="0" w:beforeAutospacing="0" w:after="0" w:afterAutospacing="0"/>
        <w:ind w:firstLine="708"/>
        <w:rPr>
          <w:rFonts w:cs="Times New Roman"/>
          <w:szCs w:val="24"/>
          <w:lang w:val="en-US"/>
        </w:rPr>
      </w:pPr>
      <w:r w:rsidRPr="00216F60">
        <w:rPr>
          <w:rFonts w:cs="Times New Roman"/>
          <w:szCs w:val="24"/>
          <w:lang w:val="en-US"/>
        </w:rPr>
        <w:t xml:space="preserve">The third column in Table 1 </w:t>
      </w:r>
      <w:r>
        <w:rPr>
          <w:rFonts w:cs="Times New Roman"/>
          <w:szCs w:val="24"/>
          <w:lang w:val="en-US"/>
        </w:rPr>
        <w:t xml:space="preserve">(i.e., cells E and F) </w:t>
      </w:r>
      <w:r w:rsidRPr="00216F60">
        <w:rPr>
          <w:rFonts w:cs="Times New Roman"/>
          <w:szCs w:val="24"/>
          <w:lang w:val="en-US"/>
        </w:rPr>
        <w:t xml:space="preserve">refers to methods in which method effects are accounted for using an inferred </w:t>
      </w:r>
      <w:r>
        <w:rPr>
          <w:rFonts w:cs="Times New Roman"/>
          <w:szCs w:val="24"/>
          <w:lang w:val="en-US"/>
        </w:rPr>
        <w:t xml:space="preserve">latent </w:t>
      </w:r>
      <w:r w:rsidRPr="00216F60">
        <w:rPr>
          <w:rFonts w:cs="Times New Roman"/>
          <w:szCs w:val="24"/>
          <w:lang w:val="en-US"/>
        </w:rPr>
        <w:t>method factor (or possibly several inferred method factors). When method effects are modeled at the scale level, a sin</w:t>
      </w:r>
      <w:r>
        <w:rPr>
          <w:rFonts w:cs="Times New Roman"/>
          <w:szCs w:val="24"/>
          <w:lang w:val="en-US"/>
        </w:rPr>
        <w:t>g</w:t>
      </w:r>
      <w:r w:rsidRPr="00216F60">
        <w:rPr>
          <w:rFonts w:cs="Times New Roman"/>
          <w:szCs w:val="24"/>
          <w:lang w:val="en-US"/>
        </w:rPr>
        <w:t xml:space="preserve">le-factor exploratory or confirmatory factor analysis is conducted first, then factor scores for this factor </w:t>
      </w:r>
      <w:r>
        <w:rPr>
          <w:rFonts w:cs="Times New Roman"/>
          <w:szCs w:val="24"/>
          <w:lang w:val="en-US"/>
        </w:rPr>
        <w:t xml:space="preserve">(or </w:t>
      </w:r>
      <w:r w:rsidR="00424EAD">
        <w:rPr>
          <w:rFonts w:cs="Times New Roman"/>
          <w:szCs w:val="24"/>
          <w:lang w:val="en-US"/>
        </w:rPr>
        <w:t xml:space="preserve">possibly </w:t>
      </w:r>
      <w:r>
        <w:rPr>
          <w:rFonts w:cs="Times New Roman"/>
          <w:szCs w:val="24"/>
          <w:lang w:val="en-US"/>
        </w:rPr>
        <w:t xml:space="preserve">averages of all items) </w:t>
      </w:r>
      <w:r w:rsidRPr="00216F60">
        <w:rPr>
          <w:rFonts w:cs="Times New Roman"/>
          <w:szCs w:val="24"/>
          <w:lang w:val="en-US"/>
        </w:rPr>
        <w:t xml:space="preserve">are computed, and finally these factor scores are used as a </w:t>
      </w:r>
      <w:r w:rsidRPr="00216F60">
        <w:rPr>
          <w:rFonts w:cs="Times New Roman"/>
          <w:szCs w:val="24"/>
          <w:lang w:val="en-US"/>
        </w:rPr>
        <w:lastRenderedPageBreak/>
        <w:t>control vari</w:t>
      </w:r>
      <w:r>
        <w:rPr>
          <w:rFonts w:cs="Times New Roman"/>
          <w:szCs w:val="24"/>
          <w:lang w:val="en-US"/>
        </w:rPr>
        <w:t>a</w:t>
      </w:r>
      <w:r w:rsidRPr="00216F60">
        <w:rPr>
          <w:rFonts w:cs="Times New Roman"/>
          <w:szCs w:val="24"/>
          <w:lang w:val="en-US"/>
        </w:rPr>
        <w:t>ble similar to the partial correlation approach at the scale level with a measured method variable</w:t>
      </w:r>
      <w:r>
        <w:rPr>
          <w:rFonts w:cs="Times New Roman"/>
          <w:szCs w:val="24"/>
          <w:lang w:val="en-US"/>
        </w:rPr>
        <w:t xml:space="preserve"> (see Panel E in Figure 1)</w:t>
      </w:r>
      <w:r w:rsidRPr="00216F60">
        <w:rPr>
          <w:rFonts w:cs="Times New Roman"/>
          <w:szCs w:val="24"/>
          <w:lang w:val="en-US"/>
        </w:rPr>
        <w:t xml:space="preserve">. </w:t>
      </w:r>
      <w:r w:rsidR="00205253">
        <w:rPr>
          <w:rFonts w:cs="Times New Roman"/>
          <w:szCs w:val="24"/>
          <w:lang w:val="en-US"/>
        </w:rPr>
        <w:t xml:space="preserve">Like the </w:t>
      </w:r>
      <w:r w:rsidRPr="00216F60">
        <w:rPr>
          <w:rFonts w:cs="Times New Roman"/>
          <w:szCs w:val="24"/>
          <w:lang w:val="en-US"/>
        </w:rPr>
        <w:t>Harman one-factor test</w:t>
      </w:r>
      <w:r w:rsidR="00205253">
        <w:rPr>
          <w:rFonts w:cs="Times New Roman"/>
          <w:szCs w:val="24"/>
          <w:lang w:val="en-US"/>
        </w:rPr>
        <w:t>,</w:t>
      </w:r>
      <w:r w:rsidRPr="00216F60">
        <w:rPr>
          <w:rFonts w:cs="Times New Roman"/>
          <w:szCs w:val="24"/>
          <w:lang w:val="en-US"/>
        </w:rPr>
        <w:t xml:space="preserve"> </w:t>
      </w:r>
      <w:r w:rsidR="00205253">
        <w:rPr>
          <w:rFonts w:cs="Times New Roman"/>
          <w:szCs w:val="24"/>
          <w:lang w:val="en-US"/>
        </w:rPr>
        <w:t>this method</w:t>
      </w:r>
      <w:r w:rsidRPr="00216F60">
        <w:rPr>
          <w:rFonts w:cs="Times New Roman"/>
          <w:szCs w:val="24"/>
          <w:lang w:val="en-US"/>
        </w:rPr>
        <w:t xml:space="preserve"> incorrectly assumes that the first factor is a “pure” method factor. Particular</w:t>
      </w:r>
      <w:r>
        <w:rPr>
          <w:rFonts w:cs="Times New Roman"/>
          <w:szCs w:val="24"/>
          <w:lang w:val="en-US"/>
        </w:rPr>
        <w:t>l</w:t>
      </w:r>
      <w:r w:rsidRPr="00216F60">
        <w:rPr>
          <w:rFonts w:cs="Times New Roman"/>
          <w:szCs w:val="24"/>
          <w:lang w:val="en-US"/>
        </w:rPr>
        <w:t xml:space="preserve">y </w:t>
      </w:r>
      <w:r w:rsidR="00205253">
        <w:rPr>
          <w:rFonts w:cs="Times New Roman"/>
          <w:szCs w:val="24"/>
          <w:lang w:val="en-US"/>
        </w:rPr>
        <w:t xml:space="preserve">in the common situation where all </w:t>
      </w:r>
      <w:r w:rsidRPr="00216F60">
        <w:rPr>
          <w:rFonts w:cs="Times New Roman"/>
          <w:szCs w:val="24"/>
          <w:lang w:val="en-US"/>
        </w:rPr>
        <w:t xml:space="preserve">substantive variables in the analysis are positively related, the first factor </w:t>
      </w:r>
      <w:r>
        <w:rPr>
          <w:rFonts w:cs="Times New Roman"/>
          <w:szCs w:val="24"/>
          <w:lang w:val="en-US"/>
        </w:rPr>
        <w:t>will</w:t>
      </w:r>
      <w:r w:rsidRPr="00216F60">
        <w:rPr>
          <w:rFonts w:cs="Times New Roman"/>
          <w:szCs w:val="24"/>
          <w:lang w:val="en-US"/>
        </w:rPr>
        <w:t xml:space="preserve"> likely capture primarily substantive variance, which implies that the </w:t>
      </w:r>
      <w:r>
        <w:rPr>
          <w:rFonts w:cs="Times New Roman"/>
          <w:szCs w:val="24"/>
          <w:lang w:val="en-US"/>
        </w:rPr>
        <w:t xml:space="preserve">presumed </w:t>
      </w:r>
      <w:r w:rsidRPr="00216F60">
        <w:rPr>
          <w:rFonts w:cs="Times New Roman"/>
          <w:szCs w:val="24"/>
          <w:lang w:val="en-US"/>
        </w:rPr>
        <w:t>method</w:t>
      </w:r>
      <w:r>
        <w:rPr>
          <w:rFonts w:cs="Times New Roman"/>
          <w:szCs w:val="24"/>
          <w:lang w:val="en-US"/>
        </w:rPr>
        <w:t xml:space="preserve"> factor will actually remove substantive variance.</w:t>
      </w:r>
      <w:r w:rsidRPr="00216F60">
        <w:rPr>
          <w:rFonts w:cs="Times New Roman"/>
          <w:szCs w:val="24"/>
          <w:lang w:val="en-US"/>
        </w:rPr>
        <w:t xml:space="preserve"> The method has several other weaknesses (e.g., method effects are only controlled at the scale level, the approach is piecemeal and requires the </w:t>
      </w:r>
      <w:r w:rsidR="00205253">
        <w:rPr>
          <w:rFonts w:cs="Times New Roman"/>
          <w:szCs w:val="24"/>
          <w:lang w:val="en-US"/>
        </w:rPr>
        <w:t xml:space="preserve">potentially problematic </w:t>
      </w:r>
      <w:r w:rsidRPr="00216F60">
        <w:rPr>
          <w:rFonts w:cs="Times New Roman"/>
          <w:szCs w:val="24"/>
          <w:lang w:val="en-US"/>
        </w:rPr>
        <w:t xml:space="preserve">computation of factor scores), </w:t>
      </w:r>
      <w:r w:rsidR="00205253">
        <w:rPr>
          <w:rFonts w:cs="Times New Roman"/>
          <w:szCs w:val="24"/>
          <w:lang w:val="en-US"/>
        </w:rPr>
        <w:t xml:space="preserve">and should therefore </w:t>
      </w:r>
      <w:r w:rsidRPr="00216F60">
        <w:rPr>
          <w:rFonts w:cs="Times New Roman"/>
          <w:szCs w:val="24"/>
          <w:lang w:val="en-US"/>
        </w:rPr>
        <w:t>not be used to account for method effects.</w:t>
      </w:r>
    </w:p>
    <w:p w14:paraId="51F105CB" w14:textId="31CA05A3" w:rsidR="007A6739" w:rsidRPr="00216F60" w:rsidRDefault="007A6739" w:rsidP="00B070E9">
      <w:pPr>
        <w:spacing w:before="0" w:beforeAutospacing="0" w:after="0" w:afterAutospacing="0"/>
        <w:ind w:firstLine="708"/>
        <w:rPr>
          <w:rFonts w:cs="Times New Roman"/>
          <w:szCs w:val="24"/>
          <w:lang w:val="en-US"/>
        </w:rPr>
      </w:pPr>
      <w:r w:rsidRPr="00216F60">
        <w:rPr>
          <w:rFonts w:cs="Times New Roman"/>
          <w:szCs w:val="24"/>
          <w:lang w:val="en-US"/>
        </w:rPr>
        <w:t xml:space="preserve">A preferred approach to modeling method effects via an inferred method factor (or several method factors) is to assume that the observed measures are a function of both a substantive factor and a method factor (in addition to a unique factor). </w:t>
      </w:r>
      <w:r w:rsidR="00205253">
        <w:rPr>
          <w:rFonts w:cs="Times New Roman"/>
          <w:szCs w:val="24"/>
          <w:lang w:val="en-US"/>
        </w:rPr>
        <w:t>In t</w:t>
      </w:r>
      <w:r w:rsidRPr="00216F60">
        <w:rPr>
          <w:rFonts w:cs="Times New Roman"/>
          <w:szCs w:val="24"/>
          <w:lang w:val="en-US"/>
        </w:rPr>
        <w:t>he simplest</w:t>
      </w:r>
      <w:r w:rsidR="00205253">
        <w:rPr>
          <w:rFonts w:cs="Times New Roman"/>
          <w:szCs w:val="24"/>
          <w:lang w:val="en-US"/>
        </w:rPr>
        <w:t xml:space="preserve"> such model, </w:t>
      </w:r>
      <w:r w:rsidRPr="00216F60">
        <w:rPr>
          <w:rFonts w:cs="Times New Roman"/>
          <w:szCs w:val="24"/>
          <w:lang w:val="en-US"/>
        </w:rPr>
        <w:t>a single method factor influence</w:t>
      </w:r>
      <w:r w:rsidR="00205253">
        <w:rPr>
          <w:rFonts w:cs="Times New Roman"/>
          <w:szCs w:val="24"/>
          <w:lang w:val="en-US"/>
        </w:rPr>
        <w:t>s</w:t>
      </w:r>
      <w:r w:rsidRPr="00216F60">
        <w:rPr>
          <w:rFonts w:cs="Times New Roman"/>
          <w:szCs w:val="24"/>
          <w:lang w:val="en-US"/>
        </w:rPr>
        <w:t xml:space="preserve"> all observed measures</w:t>
      </w:r>
      <w:r>
        <w:rPr>
          <w:rFonts w:cs="Times New Roman"/>
          <w:szCs w:val="24"/>
          <w:lang w:val="en-US"/>
        </w:rPr>
        <w:t xml:space="preserve">. </w:t>
      </w:r>
      <w:r w:rsidR="00205253">
        <w:rPr>
          <w:rFonts w:cs="Times New Roman"/>
          <w:szCs w:val="24"/>
          <w:lang w:val="en-US"/>
        </w:rPr>
        <w:t>A</w:t>
      </w:r>
      <w:r w:rsidR="00205253" w:rsidRPr="00216F60">
        <w:rPr>
          <w:rFonts w:cs="Times New Roman"/>
          <w:szCs w:val="24"/>
          <w:lang w:val="en-US"/>
        </w:rPr>
        <w:t xml:space="preserve">t least two substantive factors </w:t>
      </w:r>
      <w:r w:rsidR="00205253">
        <w:rPr>
          <w:rFonts w:cs="Times New Roman"/>
          <w:szCs w:val="24"/>
          <w:lang w:val="en-US"/>
        </w:rPr>
        <w:t>are needed</w:t>
      </w:r>
      <w:r w:rsidR="00205253">
        <w:rPr>
          <w:rFonts w:cs="Times New Roman"/>
          <w:szCs w:val="24"/>
          <w:lang w:val="en-US"/>
        </w:rPr>
        <w:t xml:space="preserve"> f</w:t>
      </w:r>
      <w:r w:rsidRPr="00216F60">
        <w:rPr>
          <w:rFonts w:cs="Times New Roman"/>
          <w:szCs w:val="24"/>
          <w:lang w:val="en-US"/>
        </w:rPr>
        <w:t xml:space="preserve">or this model to be identified, and often the method </w:t>
      </w:r>
      <w:r w:rsidR="00DA1E24" w:rsidRPr="00216F60">
        <w:rPr>
          <w:rFonts w:cs="Times New Roman"/>
          <w:szCs w:val="24"/>
          <w:lang w:val="en-US"/>
        </w:rPr>
        <w:t xml:space="preserve">loadings </w:t>
      </w:r>
      <w:r w:rsidRPr="00216F60">
        <w:rPr>
          <w:rFonts w:cs="Times New Roman"/>
          <w:szCs w:val="24"/>
          <w:lang w:val="en-US"/>
        </w:rPr>
        <w:t xml:space="preserve">have to be constrained to be equal to obtain a converged solution. </w:t>
      </w:r>
      <w:r w:rsidR="00DA1E24">
        <w:rPr>
          <w:rFonts w:cs="Times New Roman"/>
          <w:szCs w:val="24"/>
          <w:lang w:val="en-US"/>
        </w:rPr>
        <w:t>T</w:t>
      </w:r>
      <w:r w:rsidRPr="00216F60">
        <w:rPr>
          <w:rFonts w:cs="Times New Roman"/>
          <w:szCs w:val="24"/>
          <w:lang w:val="en-US"/>
        </w:rPr>
        <w:t>his model is preferable to the corresponding scale-level model because the substantive factors are modeled exp</w:t>
      </w:r>
      <w:r>
        <w:rPr>
          <w:rFonts w:cs="Times New Roman"/>
          <w:szCs w:val="24"/>
          <w:lang w:val="en-US"/>
        </w:rPr>
        <w:t>l</w:t>
      </w:r>
      <w:r w:rsidRPr="00216F60">
        <w:rPr>
          <w:rFonts w:cs="Times New Roman"/>
          <w:szCs w:val="24"/>
          <w:lang w:val="en-US"/>
        </w:rPr>
        <w:t xml:space="preserve">icitly (which avoids </w:t>
      </w:r>
      <w:r>
        <w:rPr>
          <w:rFonts w:cs="Times New Roman"/>
          <w:szCs w:val="24"/>
          <w:lang w:val="en-US"/>
        </w:rPr>
        <w:t xml:space="preserve">the </w:t>
      </w:r>
      <w:r w:rsidRPr="00216F60">
        <w:rPr>
          <w:rFonts w:cs="Times New Roman"/>
          <w:szCs w:val="24"/>
          <w:lang w:val="en-US"/>
        </w:rPr>
        <w:t>confounding of substantive and method variance</w:t>
      </w:r>
      <w:r>
        <w:rPr>
          <w:rFonts w:cs="Times New Roman"/>
          <w:szCs w:val="24"/>
          <w:lang w:val="en-US"/>
        </w:rPr>
        <w:t xml:space="preserve"> to some extent</w:t>
      </w:r>
      <w:r w:rsidRPr="00216F60">
        <w:rPr>
          <w:rFonts w:cs="Times New Roman"/>
          <w:szCs w:val="24"/>
          <w:lang w:val="en-US"/>
        </w:rPr>
        <w:t>),</w:t>
      </w:r>
      <w:r w:rsidR="00DA1E24">
        <w:rPr>
          <w:rFonts w:cs="Times New Roman"/>
          <w:szCs w:val="24"/>
          <w:lang w:val="en-US"/>
        </w:rPr>
        <w:t xml:space="preserve"> but</w:t>
      </w:r>
      <w:r w:rsidRPr="00216F60">
        <w:rPr>
          <w:rFonts w:cs="Times New Roman"/>
          <w:szCs w:val="24"/>
          <w:lang w:val="en-US"/>
        </w:rPr>
        <w:t xml:space="preserve"> it </w:t>
      </w:r>
      <w:r w:rsidR="00DA1E24">
        <w:rPr>
          <w:rFonts w:cs="Times New Roman"/>
          <w:szCs w:val="24"/>
          <w:lang w:val="en-US"/>
        </w:rPr>
        <w:t xml:space="preserve">generally </w:t>
      </w:r>
      <w:r w:rsidRPr="00216F60">
        <w:rPr>
          <w:rFonts w:cs="Times New Roman"/>
          <w:szCs w:val="24"/>
          <w:lang w:val="en-US"/>
        </w:rPr>
        <w:t>is not clear what the method factor represents. When each of several constructs of interest is measured via multiple methods of measurement (e.g., three different response scale formats are used to measure several constructs), the resulting model is called the multi-trait multi-method (MTMM) model in the literature</w:t>
      </w:r>
      <w:r>
        <w:rPr>
          <w:rFonts w:cs="Times New Roman"/>
          <w:szCs w:val="24"/>
          <w:lang w:val="en-US"/>
        </w:rPr>
        <w:t xml:space="preserve"> (see Panel F in Figure 1)</w:t>
      </w:r>
      <w:r w:rsidRPr="00216F60">
        <w:rPr>
          <w:rFonts w:cs="Times New Roman"/>
          <w:szCs w:val="24"/>
          <w:lang w:val="en-US"/>
        </w:rPr>
        <w:t xml:space="preserve">. In principle, this is an attractive model for representing method effects (in part because method effects can be inferred from the substantive measures themselves) and the model has been used in numerous studies, but in practice there are several weaknesses (see Baumgartner and Weijters 2019 for a </w:t>
      </w:r>
      <w:r w:rsidRPr="00216F60">
        <w:rPr>
          <w:rFonts w:cs="Times New Roman"/>
          <w:szCs w:val="24"/>
          <w:lang w:val="en-US"/>
        </w:rPr>
        <w:lastRenderedPageBreak/>
        <w:t>recent discussion). First, researchers often use methods that are quite similar, and if the method factors are allowed to be correlated, it is not clear whether the presumed method factors really capture method effects</w:t>
      </w:r>
      <w:r>
        <w:rPr>
          <w:rFonts w:cs="Times New Roman"/>
          <w:szCs w:val="24"/>
          <w:lang w:val="en-US"/>
        </w:rPr>
        <w:t xml:space="preserve"> </w:t>
      </w:r>
      <w:r>
        <w:rPr>
          <w:rFonts w:cs="Times New Roman"/>
          <w:noProof/>
          <w:szCs w:val="24"/>
          <w:lang w:val="en-US"/>
        </w:rPr>
        <w:t>(Marsh 1989)</w:t>
      </w:r>
      <w:r w:rsidRPr="00216F60">
        <w:rPr>
          <w:rFonts w:cs="Times New Roman"/>
          <w:szCs w:val="24"/>
          <w:lang w:val="en-US"/>
        </w:rPr>
        <w:t xml:space="preserve">. Second, simulations show that inferred method factors may fail to </w:t>
      </w:r>
      <w:r w:rsidRPr="00216F60">
        <w:rPr>
          <w:szCs w:val="24"/>
          <w:lang w:val="en-US"/>
        </w:rPr>
        <w:t>yield accurate estimates of method effects</w:t>
      </w:r>
      <w:r>
        <w:rPr>
          <w:szCs w:val="24"/>
          <w:lang w:val="en-US"/>
        </w:rPr>
        <w:t xml:space="preserve"> </w:t>
      </w:r>
      <w:r>
        <w:rPr>
          <w:noProof/>
          <w:szCs w:val="24"/>
          <w:lang w:val="en-US"/>
        </w:rPr>
        <w:t>(Richardson</w:t>
      </w:r>
      <w:r w:rsidR="009C5EC9">
        <w:rPr>
          <w:noProof/>
          <w:szCs w:val="24"/>
          <w:lang w:val="en-US"/>
        </w:rPr>
        <w:t>, Simmering, and Sturman</w:t>
      </w:r>
      <w:r>
        <w:rPr>
          <w:noProof/>
          <w:szCs w:val="24"/>
          <w:lang w:val="en-US"/>
        </w:rPr>
        <w:t xml:space="preserve"> 2009)</w:t>
      </w:r>
      <w:r w:rsidRPr="00216F60">
        <w:rPr>
          <w:szCs w:val="24"/>
          <w:lang w:val="en-US"/>
        </w:rPr>
        <w:t xml:space="preserve">. Third, </w:t>
      </w:r>
      <w:r w:rsidRPr="00216F60">
        <w:rPr>
          <w:rFonts w:cs="Times New Roman"/>
          <w:szCs w:val="24"/>
          <w:lang w:val="en-US"/>
        </w:rPr>
        <w:t>MTMM models are notoriously difficult to estim</w:t>
      </w:r>
      <w:r w:rsidR="00DA1E24">
        <w:rPr>
          <w:rFonts w:cs="Times New Roman"/>
          <w:szCs w:val="24"/>
          <w:lang w:val="en-US"/>
        </w:rPr>
        <w:t xml:space="preserve">ate, and sometimes simplifying </w:t>
      </w:r>
      <w:r w:rsidRPr="00216F60">
        <w:rPr>
          <w:rFonts w:cs="Times New Roman"/>
          <w:szCs w:val="24"/>
          <w:lang w:val="en-US"/>
        </w:rPr>
        <w:t>and possibly unrealistic assumptions such as zero correlations between the method factors or equality of method loadings have to be imposed to avoid improper solutions</w:t>
      </w:r>
      <w:r w:rsidR="00DA1E24">
        <w:rPr>
          <w:rFonts w:cs="Times New Roman"/>
          <w:szCs w:val="24"/>
          <w:lang w:val="en-US"/>
        </w:rPr>
        <w:t xml:space="preserve"> and</w:t>
      </w:r>
      <w:r w:rsidR="00DA1E24" w:rsidRPr="00DA1E24">
        <w:rPr>
          <w:rFonts w:cs="Times New Roman"/>
          <w:szCs w:val="24"/>
          <w:lang w:val="en-US"/>
        </w:rPr>
        <w:t xml:space="preserve"> </w:t>
      </w:r>
      <w:r w:rsidR="00DA1E24" w:rsidRPr="00216F60">
        <w:rPr>
          <w:rFonts w:cs="Times New Roman"/>
          <w:szCs w:val="24"/>
          <w:lang w:val="en-US"/>
        </w:rPr>
        <w:t>nonconvergence</w:t>
      </w:r>
      <w:r w:rsidR="006E788C">
        <w:rPr>
          <w:rFonts w:cs="Times New Roman"/>
          <w:szCs w:val="24"/>
          <w:lang w:val="en-US"/>
        </w:rPr>
        <w:t xml:space="preserve"> issues</w:t>
      </w:r>
      <w:r w:rsidRPr="00216F60">
        <w:rPr>
          <w:rFonts w:cs="Times New Roman"/>
          <w:szCs w:val="24"/>
          <w:lang w:val="en-US"/>
        </w:rPr>
        <w:t xml:space="preserve">.    </w:t>
      </w:r>
    </w:p>
    <w:p w14:paraId="26782D37" w14:textId="09868354" w:rsidR="007A6739" w:rsidRPr="00216F60" w:rsidRDefault="007A6739" w:rsidP="00B070E9">
      <w:pPr>
        <w:spacing w:before="0" w:beforeAutospacing="0" w:after="0" w:afterAutospacing="0"/>
        <w:rPr>
          <w:rFonts w:cs="Times New Roman"/>
          <w:szCs w:val="24"/>
          <w:lang w:val="en-US"/>
        </w:rPr>
      </w:pPr>
      <w:r w:rsidRPr="00216F60">
        <w:rPr>
          <w:rFonts w:cs="Times New Roman"/>
          <w:szCs w:val="24"/>
          <w:lang w:val="en-US"/>
        </w:rPr>
        <w:tab/>
        <w:t xml:space="preserve">Our recommendation is </w:t>
      </w:r>
      <w:r w:rsidR="00DA1E24">
        <w:rPr>
          <w:rFonts w:cs="Times New Roman"/>
          <w:szCs w:val="24"/>
          <w:lang w:val="en-US"/>
        </w:rPr>
        <w:t>to use</w:t>
      </w:r>
      <w:r w:rsidRPr="00216F60">
        <w:rPr>
          <w:rFonts w:cs="Times New Roman"/>
          <w:szCs w:val="24"/>
          <w:lang w:val="en-US"/>
        </w:rPr>
        <w:t xml:space="preserve"> </w:t>
      </w:r>
      <w:r>
        <w:rPr>
          <w:rFonts w:cs="Times New Roman"/>
          <w:szCs w:val="24"/>
          <w:lang w:val="en-US"/>
        </w:rPr>
        <w:t xml:space="preserve">the </w:t>
      </w:r>
      <w:r w:rsidRPr="00216F60">
        <w:rPr>
          <w:rFonts w:cs="Times New Roman"/>
          <w:szCs w:val="24"/>
          <w:lang w:val="en-US"/>
        </w:rPr>
        <w:t>model based on inferred method factors only under specific ci</w:t>
      </w:r>
      <w:r>
        <w:rPr>
          <w:rFonts w:cs="Times New Roman"/>
          <w:szCs w:val="24"/>
          <w:lang w:val="en-US"/>
        </w:rPr>
        <w:t>r</w:t>
      </w:r>
      <w:r w:rsidRPr="00216F60">
        <w:rPr>
          <w:rFonts w:cs="Times New Roman"/>
          <w:szCs w:val="24"/>
          <w:lang w:val="en-US"/>
        </w:rPr>
        <w:t>cumstances. For example, assume that two constructs are measured with balanced scales, where half the items in each scale are reverse</w:t>
      </w:r>
      <w:r>
        <w:rPr>
          <w:rFonts w:cs="Times New Roman"/>
          <w:szCs w:val="24"/>
          <w:lang w:val="en-US"/>
        </w:rPr>
        <w:t>-keyed</w:t>
      </w:r>
      <w:r w:rsidRPr="00216F60">
        <w:rPr>
          <w:rFonts w:cs="Times New Roman"/>
          <w:szCs w:val="24"/>
          <w:lang w:val="en-US"/>
        </w:rPr>
        <w:t xml:space="preserve">. </w:t>
      </w:r>
      <w:r>
        <w:rPr>
          <w:rFonts w:cs="Times New Roman"/>
          <w:szCs w:val="24"/>
          <w:lang w:val="en-US"/>
        </w:rPr>
        <w:t>If</w:t>
      </w:r>
      <w:r w:rsidRPr="00216F60">
        <w:rPr>
          <w:rFonts w:cs="Times New Roman"/>
          <w:szCs w:val="24"/>
          <w:lang w:val="en-US"/>
        </w:rPr>
        <w:t xml:space="preserve"> the reversed items have not been recoded, the regular items should have a positive loading on the substantive constructs and the reversed items should have a negative loading. A method factor on which all the items of both scales have a positive loading w</w:t>
      </w:r>
      <w:r>
        <w:rPr>
          <w:rFonts w:cs="Times New Roman"/>
          <w:szCs w:val="24"/>
          <w:lang w:val="en-US"/>
        </w:rPr>
        <w:t>ill</w:t>
      </w:r>
      <w:r w:rsidRPr="00216F60">
        <w:rPr>
          <w:rFonts w:cs="Times New Roman"/>
          <w:szCs w:val="24"/>
          <w:lang w:val="en-US"/>
        </w:rPr>
        <w:t xml:space="preserve"> capture response tendencies such as acquiescence that indicate a lack of sensitivity to the keying direction of the items</w:t>
      </w:r>
      <w:r>
        <w:rPr>
          <w:rFonts w:cs="Times New Roman"/>
          <w:szCs w:val="24"/>
          <w:lang w:val="en-US"/>
        </w:rPr>
        <w:t xml:space="preserve"> </w:t>
      </w:r>
      <w:r>
        <w:rPr>
          <w:rFonts w:cs="Times New Roman"/>
          <w:noProof/>
          <w:szCs w:val="24"/>
          <w:lang w:val="en-US"/>
        </w:rPr>
        <w:t>(</w:t>
      </w:r>
      <w:r w:rsidR="00E47F11" w:rsidRPr="004A2EFF">
        <w:rPr>
          <w:lang w:val="en-US"/>
        </w:rPr>
        <w:t>Weijters, Baumgartner, and Schillewaert 2013</w:t>
      </w:r>
      <w:r>
        <w:rPr>
          <w:rFonts w:cs="Times New Roman"/>
          <w:noProof/>
          <w:szCs w:val="24"/>
          <w:lang w:val="en-US"/>
        </w:rPr>
        <w:t>)</w:t>
      </w:r>
      <w:r w:rsidRPr="00216F60">
        <w:rPr>
          <w:rFonts w:cs="Times New Roman"/>
          <w:szCs w:val="24"/>
          <w:lang w:val="en-US"/>
        </w:rPr>
        <w:t>. In this case, the interpretation of the method factor has at least face validity because somebody who agrees with both an item and its opposite probably does not respond based on substantive considerations.</w:t>
      </w:r>
    </w:p>
    <w:p w14:paraId="6B6B631B" w14:textId="1CAD3056" w:rsidR="007A6739" w:rsidRPr="00216F60" w:rsidRDefault="007A6739" w:rsidP="00B070E9">
      <w:pPr>
        <w:spacing w:before="0" w:beforeAutospacing="0" w:after="0" w:afterAutospacing="0"/>
        <w:rPr>
          <w:rFonts w:cs="Times New Roman"/>
          <w:szCs w:val="24"/>
          <w:lang w:val="en-US"/>
        </w:rPr>
      </w:pPr>
      <w:r w:rsidRPr="00216F60">
        <w:rPr>
          <w:rFonts w:cs="Times New Roman"/>
          <w:szCs w:val="24"/>
          <w:lang w:val="en-US"/>
        </w:rPr>
        <w:tab/>
        <w:t>The final model for representing method effects is similar to the previous model, but instead of specifying a method factor, so-called correlated uniquenesses (i.e., covariances between the unique factors or error terms) are used to account for method effects</w:t>
      </w:r>
      <w:r>
        <w:rPr>
          <w:rFonts w:cs="Times New Roman"/>
          <w:szCs w:val="24"/>
          <w:lang w:val="en-US"/>
        </w:rPr>
        <w:t xml:space="preserve"> (see Panel G of Figure 1)</w:t>
      </w:r>
      <w:r w:rsidRPr="00216F60">
        <w:rPr>
          <w:rFonts w:cs="Times New Roman"/>
          <w:szCs w:val="24"/>
          <w:lang w:val="en-US"/>
        </w:rPr>
        <w:t xml:space="preserve">. </w:t>
      </w:r>
      <w:r>
        <w:rPr>
          <w:rFonts w:cs="Times New Roman"/>
          <w:szCs w:val="24"/>
          <w:lang w:val="en-US"/>
        </w:rPr>
        <w:t>The c</w:t>
      </w:r>
      <w:r w:rsidRPr="00216F60">
        <w:rPr>
          <w:rFonts w:cs="Times New Roman"/>
          <w:szCs w:val="24"/>
          <w:lang w:val="en-US"/>
        </w:rPr>
        <w:t>orrelated uniqueness</w:t>
      </w:r>
      <w:r>
        <w:rPr>
          <w:rFonts w:cs="Times New Roman"/>
          <w:szCs w:val="24"/>
          <w:lang w:val="en-US"/>
        </w:rPr>
        <w:t xml:space="preserve"> (CU) model was </w:t>
      </w:r>
      <w:r w:rsidRPr="00216F60">
        <w:rPr>
          <w:rFonts w:cs="Times New Roman"/>
          <w:szCs w:val="24"/>
          <w:lang w:val="en-US"/>
        </w:rPr>
        <w:t xml:space="preserve">originally promoted as a way of avoiding the estimation problems associated with MTMM models. Another advantage is that the </w:t>
      </w:r>
      <w:r>
        <w:rPr>
          <w:rFonts w:cs="Times New Roman"/>
          <w:szCs w:val="24"/>
          <w:lang w:val="en-US"/>
        </w:rPr>
        <w:t>CU</w:t>
      </w:r>
      <w:r w:rsidRPr="00216F60">
        <w:rPr>
          <w:rFonts w:cs="Times New Roman"/>
          <w:szCs w:val="24"/>
          <w:lang w:val="en-US"/>
        </w:rPr>
        <w:t xml:space="preserve"> model does not assume unidimen</w:t>
      </w:r>
      <w:r>
        <w:rPr>
          <w:rFonts w:cs="Times New Roman"/>
          <w:szCs w:val="24"/>
          <w:lang w:val="en-US"/>
        </w:rPr>
        <w:t>s</w:t>
      </w:r>
      <w:r w:rsidRPr="00216F60">
        <w:rPr>
          <w:rFonts w:cs="Times New Roman"/>
          <w:szCs w:val="24"/>
          <w:lang w:val="en-US"/>
        </w:rPr>
        <w:t xml:space="preserve">ionality of method effects. However, the CU model </w:t>
      </w:r>
      <w:r w:rsidRPr="00216F60">
        <w:rPr>
          <w:rFonts w:cs="Times New Roman"/>
          <w:szCs w:val="24"/>
          <w:lang w:val="en-US"/>
        </w:rPr>
        <w:lastRenderedPageBreak/>
        <w:t xml:space="preserve">is less parsimonious when there are many indicators, it is not possible to specify correlated method effects across different methods, and </w:t>
      </w:r>
      <w:r>
        <w:rPr>
          <w:rFonts w:cs="Times New Roman"/>
          <w:szCs w:val="24"/>
          <w:lang w:val="en-US"/>
        </w:rPr>
        <w:t xml:space="preserve">one cannot </w:t>
      </w:r>
      <w:r w:rsidRPr="00216F60">
        <w:rPr>
          <w:rFonts w:cs="Times New Roman"/>
          <w:szCs w:val="24"/>
          <w:lang w:val="en-US"/>
        </w:rPr>
        <w:t xml:space="preserve">study antecedents, correlates, or consequences of method effects. In general, we prefer method factor models to CU models, although with three indicators per factor the CU model is </w:t>
      </w:r>
      <w:r w:rsidR="00E47F11">
        <w:rPr>
          <w:rFonts w:cs="Times New Roman"/>
          <w:szCs w:val="24"/>
          <w:lang w:val="en-US"/>
        </w:rPr>
        <w:t xml:space="preserve">usually </w:t>
      </w:r>
      <w:r w:rsidRPr="00216F60">
        <w:rPr>
          <w:rFonts w:cs="Times New Roman"/>
          <w:szCs w:val="24"/>
          <w:lang w:val="en-US"/>
        </w:rPr>
        <w:t xml:space="preserve">identical to a method factor model with uncorrelated method factors.      </w:t>
      </w:r>
    </w:p>
    <w:p w14:paraId="11C5F1A1" w14:textId="77777777" w:rsidR="007A6739" w:rsidRPr="00216F60" w:rsidRDefault="007A6739" w:rsidP="00B070E9">
      <w:pPr>
        <w:spacing w:before="0" w:beforeAutospacing="0" w:after="0" w:afterAutospacing="0"/>
        <w:rPr>
          <w:rFonts w:cs="Times New Roman"/>
          <w:lang w:val="en-US"/>
        </w:rPr>
      </w:pPr>
      <w:r w:rsidRPr="00216F60">
        <w:rPr>
          <w:szCs w:val="24"/>
          <w:lang w:val="en-US"/>
        </w:rPr>
        <w:tab/>
      </w:r>
      <w:r>
        <w:rPr>
          <w:szCs w:val="24"/>
          <w:lang w:val="en-US"/>
        </w:rPr>
        <w:t>In summary, although many approaches have been suggested to account for method effects in empirical data, only p</w:t>
      </w:r>
      <w:r w:rsidRPr="00216F60">
        <w:rPr>
          <w:rFonts w:cs="Times New Roman"/>
          <w:lang w:val="en-US"/>
        </w:rPr>
        <w:t>artialing a directly measured method variable at the item level</w:t>
      </w:r>
      <w:r>
        <w:rPr>
          <w:rFonts w:cs="Times New Roman"/>
          <w:lang w:val="en-US"/>
        </w:rPr>
        <w:t xml:space="preserve"> and confirmatory factor analysis using an inferred method factor (or several method factors) can be recommended for future use. We next report a study of articles published in the </w:t>
      </w:r>
      <w:r w:rsidRPr="006E6B6F">
        <w:rPr>
          <w:rFonts w:cs="Times New Roman"/>
          <w:i/>
          <w:iCs/>
          <w:lang w:val="en-US"/>
        </w:rPr>
        <w:t>Journal of International Marketing</w:t>
      </w:r>
      <w:r>
        <w:rPr>
          <w:rFonts w:cs="Times New Roman"/>
          <w:lang w:val="en-US"/>
        </w:rPr>
        <w:t xml:space="preserve"> to examine how international marketing researchers have dealt with method effects in their research.</w:t>
      </w:r>
    </w:p>
    <w:p w14:paraId="71D379D6" w14:textId="0F79D320" w:rsidR="007A6739" w:rsidRPr="0060478C" w:rsidRDefault="007A6739" w:rsidP="0060478C">
      <w:pPr>
        <w:spacing w:before="0" w:beforeAutospacing="0" w:after="0" w:afterAutospacing="0"/>
        <w:rPr>
          <w:b/>
          <w:bCs/>
          <w:caps/>
          <w:szCs w:val="24"/>
          <w:lang w:val="en-US"/>
        </w:rPr>
      </w:pPr>
      <w:r w:rsidRPr="0060478C">
        <w:rPr>
          <w:b/>
          <w:bCs/>
          <w:caps/>
          <w:szCs w:val="24"/>
          <w:lang w:val="en-US"/>
        </w:rPr>
        <w:t>Study 1</w:t>
      </w:r>
    </w:p>
    <w:p w14:paraId="58F60A77" w14:textId="76A1F0B7" w:rsidR="007A6739" w:rsidRPr="00465FCF" w:rsidRDefault="007A6739" w:rsidP="00B070E9">
      <w:pPr>
        <w:spacing w:before="0" w:beforeAutospacing="0" w:after="0" w:afterAutospacing="0"/>
        <w:ind w:firstLine="708"/>
        <w:rPr>
          <w:szCs w:val="24"/>
          <w:lang w:val="en-US"/>
        </w:rPr>
      </w:pPr>
      <w:r w:rsidRPr="00465FCF">
        <w:rPr>
          <w:szCs w:val="24"/>
          <w:lang w:val="en-US"/>
        </w:rPr>
        <w:t xml:space="preserve">To investigate how CMV is dealt with in research published in the </w:t>
      </w:r>
      <w:r w:rsidRPr="00465FCF">
        <w:rPr>
          <w:i/>
          <w:iCs/>
          <w:szCs w:val="24"/>
          <w:lang w:val="en-US"/>
        </w:rPr>
        <w:t>Journal of International Marketing</w:t>
      </w:r>
      <w:r w:rsidRPr="00465FCF">
        <w:rPr>
          <w:szCs w:val="24"/>
          <w:lang w:val="en-US"/>
        </w:rPr>
        <w:t xml:space="preserve">, we performed a systematic review of articles published </w:t>
      </w:r>
      <w:r>
        <w:rPr>
          <w:szCs w:val="24"/>
          <w:lang w:val="en-US"/>
        </w:rPr>
        <w:t>in the journal during the last five years</w:t>
      </w:r>
      <w:r w:rsidRPr="00465FCF">
        <w:rPr>
          <w:szCs w:val="24"/>
          <w:lang w:val="en-US"/>
        </w:rPr>
        <w:t>. The goal was to assess how often authors discuss CMV, how they test for its presence and potential impact on the results, and how they attempt to control for CMV when corrective action is deemed necessary.</w:t>
      </w:r>
    </w:p>
    <w:p w14:paraId="71FC5DA8" w14:textId="77777777" w:rsidR="007A6739" w:rsidRPr="00465FCF" w:rsidRDefault="007A6739" w:rsidP="00B070E9">
      <w:pPr>
        <w:spacing w:before="0" w:beforeAutospacing="0" w:after="0" w:afterAutospacing="0"/>
        <w:rPr>
          <w:b/>
          <w:bCs/>
          <w:szCs w:val="24"/>
          <w:lang w:val="en-US"/>
        </w:rPr>
      </w:pPr>
      <w:r w:rsidRPr="00465FCF">
        <w:rPr>
          <w:b/>
          <w:bCs/>
          <w:szCs w:val="24"/>
          <w:lang w:val="en-US"/>
        </w:rPr>
        <w:t xml:space="preserve">Method </w:t>
      </w:r>
    </w:p>
    <w:p w14:paraId="79A1DB7B" w14:textId="77777777" w:rsidR="007A6739" w:rsidRPr="00465FCF" w:rsidRDefault="007A6739" w:rsidP="00B070E9">
      <w:pPr>
        <w:spacing w:before="0" w:beforeAutospacing="0" w:after="0" w:afterAutospacing="0"/>
        <w:ind w:firstLine="706"/>
        <w:rPr>
          <w:szCs w:val="24"/>
          <w:lang w:val="en-US"/>
        </w:rPr>
      </w:pPr>
      <w:r w:rsidRPr="00465FCF">
        <w:rPr>
          <w:szCs w:val="24"/>
          <w:lang w:val="en-US"/>
        </w:rPr>
        <w:t xml:space="preserve">We analyzed all articles published in the </w:t>
      </w:r>
      <w:r w:rsidRPr="00465FCF">
        <w:rPr>
          <w:i/>
          <w:iCs/>
          <w:szCs w:val="24"/>
          <w:lang w:val="en-US"/>
        </w:rPr>
        <w:t>Journal of International Marketing</w:t>
      </w:r>
      <w:r w:rsidRPr="00465FCF">
        <w:rPr>
          <w:szCs w:val="24"/>
          <w:lang w:val="en-US"/>
        </w:rPr>
        <w:t xml:space="preserve"> in the period from January 2015 to December 2019 (N = 93) using the Quanteda package in R. The files were assigned to a corpus and tokenized, and we then searched the documents for instances of terms related to CMV using the search terms specified in the dictionary in Table 2, which includes five categories of terms: (1) Category 1 aims to identify papers based on survey data; (2) Category 2 tries to identify papers that discuss CMV; (3) Category 3 seeks to </w:t>
      </w:r>
      <w:r w:rsidRPr="00465FCF">
        <w:rPr>
          <w:szCs w:val="24"/>
          <w:lang w:val="en-US"/>
        </w:rPr>
        <w:lastRenderedPageBreak/>
        <w:t>identify papers in which the Harman one-factor test was used; (4) Category 4 attempts to identify papers in which partial correlation procedures based on measured method effects (including marker variables) were used to correct for method effects; and (5) Category 5 tr</w:t>
      </w:r>
      <w:r>
        <w:rPr>
          <w:szCs w:val="24"/>
          <w:lang w:val="en-US"/>
        </w:rPr>
        <w:t>ies</w:t>
      </w:r>
      <w:r w:rsidRPr="00465FCF">
        <w:rPr>
          <w:szCs w:val="24"/>
          <w:lang w:val="en-US"/>
        </w:rPr>
        <w:t xml:space="preserve"> to identify papers in which method effects were inferred based on a latent method factor.</w:t>
      </w:r>
    </w:p>
    <w:p w14:paraId="516DFBCA" w14:textId="6CDB62AA" w:rsidR="007A6739" w:rsidRPr="00465FCF" w:rsidRDefault="007A6739" w:rsidP="00B070E9">
      <w:pPr>
        <w:spacing w:before="0" w:beforeAutospacing="0" w:after="0" w:afterAutospacing="0"/>
        <w:ind w:firstLine="708"/>
        <w:rPr>
          <w:szCs w:val="24"/>
          <w:lang w:val="en-US"/>
        </w:rPr>
      </w:pPr>
      <w:r w:rsidRPr="00465FCF">
        <w:rPr>
          <w:szCs w:val="24"/>
          <w:lang w:val="en-US"/>
        </w:rPr>
        <w:t xml:space="preserve">We then read the paragraph(s) of the papers that were flagged as discussing CMV </w:t>
      </w:r>
      <w:r>
        <w:rPr>
          <w:szCs w:val="24"/>
          <w:lang w:val="en-US"/>
        </w:rPr>
        <w:t xml:space="preserve">and eliminated </w:t>
      </w:r>
      <w:r w:rsidRPr="00465FCF">
        <w:rPr>
          <w:szCs w:val="24"/>
          <w:lang w:val="en-US"/>
        </w:rPr>
        <w:t xml:space="preserve">false </w:t>
      </w:r>
      <w:r>
        <w:rPr>
          <w:szCs w:val="24"/>
          <w:lang w:val="en-US"/>
        </w:rPr>
        <w:t>positives</w:t>
      </w:r>
      <w:r w:rsidRPr="00465FCF">
        <w:rPr>
          <w:szCs w:val="24"/>
          <w:lang w:val="en-US"/>
        </w:rPr>
        <w:t xml:space="preserve"> (e.g., a reference to an author named </w:t>
      </w:r>
      <w:r w:rsidRPr="00242507">
        <w:rPr>
          <w:szCs w:val="24"/>
          <w:lang w:val="en-US"/>
        </w:rPr>
        <w:t>Harmancioglu</w:t>
      </w:r>
      <w:r w:rsidRPr="00465FCF">
        <w:rPr>
          <w:szCs w:val="24"/>
          <w:lang w:val="en-US"/>
        </w:rPr>
        <w:t>)</w:t>
      </w:r>
      <w:r>
        <w:rPr>
          <w:szCs w:val="24"/>
          <w:lang w:val="en-US"/>
        </w:rPr>
        <w:t xml:space="preserve">. We also classified papers based on whether they used the Harman one-factor test or any of the other approaches listed in Table 1 </w:t>
      </w:r>
      <w:r w:rsidR="007542DC">
        <w:rPr>
          <w:szCs w:val="24"/>
          <w:lang w:val="en-US"/>
        </w:rPr>
        <w:t xml:space="preserve">in order </w:t>
      </w:r>
      <w:r>
        <w:rPr>
          <w:szCs w:val="24"/>
          <w:lang w:val="en-US"/>
        </w:rPr>
        <w:t xml:space="preserve">to check for CMV. Finally, we </w:t>
      </w:r>
      <w:r w:rsidRPr="00465FCF">
        <w:rPr>
          <w:szCs w:val="24"/>
          <w:lang w:val="en-US"/>
        </w:rPr>
        <w:t xml:space="preserve">made some additional notes on the conclusions drawn by </w:t>
      </w:r>
      <w:r>
        <w:rPr>
          <w:szCs w:val="24"/>
          <w:lang w:val="en-US"/>
        </w:rPr>
        <w:t xml:space="preserve">the </w:t>
      </w:r>
      <w:r w:rsidRPr="00465FCF">
        <w:rPr>
          <w:szCs w:val="24"/>
          <w:lang w:val="en-US"/>
        </w:rPr>
        <w:t>authors based on their CMV analyses.</w:t>
      </w:r>
    </w:p>
    <w:p w14:paraId="036142D6" w14:textId="77777777" w:rsidR="007A6739" w:rsidRPr="00465FCF" w:rsidRDefault="007A6739" w:rsidP="00B070E9">
      <w:pPr>
        <w:pStyle w:val="Heading2"/>
        <w:spacing w:before="0" w:beforeAutospacing="0" w:afterAutospacing="0"/>
        <w:rPr>
          <w:b/>
          <w:bCs/>
          <w:sz w:val="24"/>
          <w:szCs w:val="24"/>
          <w:lang w:val="en-US"/>
        </w:rPr>
      </w:pPr>
      <w:r w:rsidRPr="00465FCF">
        <w:rPr>
          <w:b/>
          <w:bCs/>
          <w:sz w:val="24"/>
          <w:szCs w:val="24"/>
          <w:lang w:val="en-US"/>
        </w:rPr>
        <w:t>Results</w:t>
      </w:r>
    </w:p>
    <w:p w14:paraId="454DC609" w14:textId="3110D667" w:rsidR="007A6739" w:rsidRDefault="007A6739" w:rsidP="00B070E9">
      <w:pPr>
        <w:spacing w:before="0" w:beforeAutospacing="0" w:after="0" w:afterAutospacing="0"/>
        <w:ind w:firstLine="708"/>
        <w:rPr>
          <w:szCs w:val="24"/>
          <w:lang w:val="en-US"/>
        </w:rPr>
      </w:pPr>
      <w:r w:rsidRPr="00465FCF">
        <w:rPr>
          <w:szCs w:val="24"/>
          <w:lang w:val="en-US"/>
        </w:rPr>
        <w:t xml:space="preserve">Figure </w:t>
      </w:r>
      <w:r>
        <w:rPr>
          <w:szCs w:val="24"/>
          <w:lang w:val="en-US"/>
        </w:rPr>
        <w:t>2</w:t>
      </w:r>
      <w:r w:rsidRPr="00465FCF">
        <w:rPr>
          <w:szCs w:val="24"/>
          <w:lang w:val="en-US"/>
        </w:rPr>
        <w:t xml:space="preserve"> shows a tree diagram </w:t>
      </w:r>
      <w:r>
        <w:rPr>
          <w:szCs w:val="24"/>
          <w:lang w:val="en-US"/>
        </w:rPr>
        <w:t xml:space="preserve">of the findings </w:t>
      </w:r>
      <w:r w:rsidRPr="00465FCF">
        <w:rPr>
          <w:szCs w:val="24"/>
          <w:lang w:val="en-US"/>
        </w:rPr>
        <w:t xml:space="preserve">based on the Quanteda analysis </w:t>
      </w:r>
      <w:r>
        <w:rPr>
          <w:szCs w:val="24"/>
          <w:lang w:val="en-US"/>
        </w:rPr>
        <w:t>(</w:t>
      </w:r>
      <w:r w:rsidRPr="00465FCF">
        <w:rPr>
          <w:szCs w:val="24"/>
          <w:lang w:val="en-US"/>
        </w:rPr>
        <w:t>using the dictionary in Table 1</w:t>
      </w:r>
      <w:r>
        <w:rPr>
          <w:szCs w:val="24"/>
          <w:lang w:val="en-US"/>
        </w:rPr>
        <w:t>)</w:t>
      </w:r>
      <w:r w:rsidRPr="00465FCF">
        <w:rPr>
          <w:szCs w:val="24"/>
          <w:lang w:val="en-US"/>
        </w:rPr>
        <w:t xml:space="preserve"> and </w:t>
      </w:r>
      <w:r>
        <w:rPr>
          <w:szCs w:val="24"/>
          <w:lang w:val="en-US"/>
        </w:rPr>
        <w:t xml:space="preserve">the corrections applied after </w:t>
      </w:r>
      <w:r w:rsidRPr="00465FCF">
        <w:rPr>
          <w:szCs w:val="24"/>
          <w:lang w:val="en-US"/>
        </w:rPr>
        <w:t xml:space="preserve">reading the relevant </w:t>
      </w:r>
      <w:r>
        <w:rPr>
          <w:szCs w:val="24"/>
          <w:lang w:val="en-US"/>
        </w:rPr>
        <w:t xml:space="preserve">paragraphs dealing with CMV in each </w:t>
      </w:r>
      <w:r w:rsidRPr="00465FCF">
        <w:rPr>
          <w:szCs w:val="24"/>
          <w:lang w:val="en-US"/>
        </w:rPr>
        <w:t xml:space="preserve">paper. </w:t>
      </w:r>
      <w:r>
        <w:rPr>
          <w:szCs w:val="24"/>
          <w:lang w:val="en-US"/>
        </w:rPr>
        <w:t xml:space="preserve">Of the </w:t>
      </w:r>
      <w:r w:rsidRPr="00465FCF">
        <w:rPr>
          <w:szCs w:val="24"/>
          <w:lang w:val="en-US"/>
        </w:rPr>
        <w:t xml:space="preserve">93 papers published in </w:t>
      </w:r>
      <w:r>
        <w:rPr>
          <w:szCs w:val="24"/>
          <w:lang w:val="en-US"/>
        </w:rPr>
        <w:t xml:space="preserve">the </w:t>
      </w:r>
      <w:r w:rsidRPr="003A4715">
        <w:rPr>
          <w:i/>
          <w:iCs/>
          <w:szCs w:val="24"/>
          <w:lang w:val="en-US"/>
        </w:rPr>
        <w:t>Journal of International Marketing</w:t>
      </w:r>
      <w:r w:rsidRPr="00465FCF">
        <w:rPr>
          <w:szCs w:val="24"/>
          <w:lang w:val="en-US"/>
        </w:rPr>
        <w:t xml:space="preserve">, 78 </w:t>
      </w:r>
      <w:r>
        <w:rPr>
          <w:szCs w:val="24"/>
          <w:lang w:val="en-US"/>
        </w:rPr>
        <w:t>(</w:t>
      </w:r>
      <w:r w:rsidRPr="00465FCF">
        <w:rPr>
          <w:szCs w:val="24"/>
          <w:lang w:val="en-US"/>
        </w:rPr>
        <w:t>or 8</w:t>
      </w:r>
      <w:r>
        <w:rPr>
          <w:szCs w:val="24"/>
          <w:lang w:val="en-US"/>
        </w:rPr>
        <w:t>4</w:t>
      </w:r>
      <w:r w:rsidRPr="00465FCF">
        <w:rPr>
          <w:szCs w:val="24"/>
          <w:lang w:val="en-US"/>
        </w:rPr>
        <w:t xml:space="preserve">%) </w:t>
      </w:r>
      <w:r>
        <w:rPr>
          <w:szCs w:val="24"/>
          <w:lang w:val="en-US"/>
        </w:rPr>
        <w:t>were</w:t>
      </w:r>
      <w:r w:rsidRPr="00465FCF">
        <w:rPr>
          <w:szCs w:val="24"/>
          <w:lang w:val="en-US"/>
        </w:rPr>
        <w:t xml:space="preserve"> survey</w:t>
      </w:r>
      <w:r>
        <w:rPr>
          <w:szCs w:val="24"/>
          <w:lang w:val="en-US"/>
        </w:rPr>
        <w:t>-</w:t>
      </w:r>
      <w:r w:rsidRPr="00465FCF">
        <w:rPr>
          <w:szCs w:val="24"/>
          <w:lang w:val="en-US"/>
        </w:rPr>
        <w:t>based. Most of the survey</w:t>
      </w:r>
      <w:r>
        <w:rPr>
          <w:szCs w:val="24"/>
          <w:lang w:val="en-US"/>
        </w:rPr>
        <w:t>-</w:t>
      </w:r>
      <w:r w:rsidRPr="00465FCF">
        <w:rPr>
          <w:szCs w:val="24"/>
          <w:lang w:val="en-US"/>
        </w:rPr>
        <w:t>based papers (48 out of 78, or 6</w:t>
      </w:r>
      <w:r>
        <w:rPr>
          <w:szCs w:val="24"/>
          <w:lang w:val="en-US"/>
        </w:rPr>
        <w:t>2</w:t>
      </w:r>
      <w:r w:rsidRPr="00465FCF">
        <w:rPr>
          <w:szCs w:val="24"/>
          <w:lang w:val="en-US"/>
        </w:rPr>
        <w:t>%) discuss</w:t>
      </w:r>
      <w:r>
        <w:rPr>
          <w:szCs w:val="24"/>
          <w:lang w:val="en-US"/>
        </w:rPr>
        <w:t>ed</w:t>
      </w:r>
      <w:r w:rsidRPr="00465FCF">
        <w:rPr>
          <w:szCs w:val="24"/>
          <w:lang w:val="en-US"/>
        </w:rPr>
        <w:t xml:space="preserve"> CMV. Of the 48 survey</w:t>
      </w:r>
      <w:r>
        <w:rPr>
          <w:szCs w:val="24"/>
          <w:lang w:val="en-US"/>
        </w:rPr>
        <w:t>-</w:t>
      </w:r>
      <w:r w:rsidRPr="00465FCF">
        <w:rPr>
          <w:szCs w:val="24"/>
          <w:lang w:val="en-US"/>
        </w:rPr>
        <w:t xml:space="preserve">based papers that </w:t>
      </w:r>
      <w:r>
        <w:rPr>
          <w:szCs w:val="24"/>
          <w:lang w:val="en-US"/>
        </w:rPr>
        <w:t xml:space="preserve">offered a discussion of CMV, </w:t>
      </w:r>
      <w:r w:rsidRPr="00465FCF">
        <w:rPr>
          <w:szCs w:val="24"/>
          <w:lang w:val="en-US"/>
        </w:rPr>
        <w:t>three papers d</w:t>
      </w:r>
      <w:r>
        <w:rPr>
          <w:szCs w:val="24"/>
          <w:lang w:val="en-US"/>
        </w:rPr>
        <w:t>id</w:t>
      </w:r>
      <w:r w:rsidRPr="00465FCF">
        <w:rPr>
          <w:szCs w:val="24"/>
          <w:lang w:val="en-US"/>
        </w:rPr>
        <w:t xml:space="preserve"> not report any </w:t>
      </w:r>
      <w:r w:rsidRPr="000A083F">
        <w:rPr>
          <w:i/>
          <w:iCs/>
          <w:szCs w:val="24"/>
          <w:lang w:val="en-US"/>
        </w:rPr>
        <w:t>post hoc</w:t>
      </w:r>
      <w:r w:rsidRPr="00465FCF">
        <w:rPr>
          <w:szCs w:val="24"/>
          <w:lang w:val="en-US"/>
        </w:rPr>
        <w:t xml:space="preserve"> CMV</w:t>
      </w:r>
      <w:r>
        <w:rPr>
          <w:szCs w:val="24"/>
          <w:lang w:val="en-US"/>
        </w:rPr>
        <w:t xml:space="preserve"> analyses and the authors of one paper only stated that they “</w:t>
      </w:r>
      <w:r w:rsidRPr="0035133E">
        <w:rPr>
          <w:szCs w:val="24"/>
          <w:lang w:val="en-US"/>
        </w:rPr>
        <w:t>conducted common method bias checks</w:t>
      </w:r>
      <w:r>
        <w:rPr>
          <w:szCs w:val="24"/>
          <w:lang w:val="en-US"/>
        </w:rPr>
        <w:t xml:space="preserve">”; the three papers that did not report </w:t>
      </w:r>
      <w:r w:rsidRPr="000A083F">
        <w:rPr>
          <w:i/>
          <w:iCs/>
          <w:szCs w:val="24"/>
          <w:lang w:val="en-US"/>
        </w:rPr>
        <w:t>post hoc</w:t>
      </w:r>
      <w:r>
        <w:rPr>
          <w:szCs w:val="24"/>
          <w:lang w:val="en-US"/>
        </w:rPr>
        <w:t xml:space="preserve"> tests did mention effective procedural remedies, however (e.g., use of multi-source data or two key informants).</w:t>
      </w:r>
      <w:r w:rsidRPr="00465FCF">
        <w:rPr>
          <w:szCs w:val="24"/>
          <w:lang w:val="en-US"/>
        </w:rPr>
        <w:t xml:space="preserve"> </w:t>
      </w:r>
      <w:r>
        <w:rPr>
          <w:szCs w:val="24"/>
          <w:lang w:val="en-US"/>
        </w:rPr>
        <w:t xml:space="preserve">Of the 44 papers in which specific </w:t>
      </w:r>
      <w:r w:rsidRPr="000A083F">
        <w:rPr>
          <w:i/>
          <w:iCs/>
          <w:szCs w:val="24"/>
          <w:lang w:val="en-US"/>
        </w:rPr>
        <w:t>post hoc</w:t>
      </w:r>
      <w:r>
        <w:rPr>
          <w:szCs w:val="24"/>
          <w:lang w:val="en-US"/>
        </w:rPr>
        <w:t xml:space="preserve"> tests were conducted, 21 used a single method and 23 used two or more. As reported in Table 3, the most commonly used approaches were the Lindell and Whitney marker technique (27) and the Harman one-factor test (23); these techniques are also sometimes reported together (12). Note that we treated papers in which the authors performed a single-factor confirmatory factor analysis and interpreted a poorly fitting one-factor model as evidence that no method variance was present </w:t>
      </w:r>
      <w:r>
        <w:rPr>
          <w:szCs w:val="24"/>
          <w:lang w:val="en-US"/>
        </w:rPr>
        <w:lastRenderedPageBreak/>
        <w:t xml:space="preserve">as applications of the Harman one-factor test, because both are based on the same </w:t>
      </w:r>
      <w:r w:rsidR="00EB4CEE">
        <w:rPr>
          <w:szCs w:val="24"/>
          <w:lang w:val="en-US"/>
        </w:rPr>
        <w:t>(</w:t>
      </w:r>
      <w:r>
        <w:rPr>
          <w:szCs w:val="24"/>
          <w:lang w:val="en-US"/>
        </w:rPr>
        <w:t>faulty</w:t>
      </w:r>
      <w:r w:rsidR="00EB4CEE">
        <w:rPr>
          <w:szCs w:val="24"/>
          <w:lang w:val="en-US"/>
        </w:rPr>
        <w:t>)</w:t>
      </w:r>
      <w:r>
        <w:rPr>
          <w:szCs w:val="24"/>
          <w:lang w:val="en-US"/>
        </w:rPr>
        <w:t xml:space="preserve"> logic. Factor models with substantive factors and at least one inferred latent method factor were also reported somewhat frequently (14), sometimes in follow-up analyses to a one-factor test (6). The methods based on partialing a directly measured method variable at either the scale level (1) or the item level (2) and versions of the William</w:t>
      </w:r>
      <w:r w:rsidR="009C5EC9">
        <w:rPr>
          <w:szCs w:val="24"/>
          <w:lang w:val="en-US"/>
        </w:rPr>
        <w:t>, Hartman, and Cavazotte</w:t>
      </w:r>
      <w:r>
        <w:rPr>
          <w:szCs w:val="24"/>
          <w:lang w:val="en-US"/>
        </w:rPr>
        <w:t xml:space="preserve"> (2010) Comprehensive Marker Variable Technique (2) were used infrequently, and partialing an inferred method factor at the scale level and factor models with correlated uniquenesses were not reported in our sample of articles. </w:t>
      </w:r>
    </w:p>
    <w:p w14:paraId="53B32D3F" w14:textId="77777777" w:rsidR="007A6739" w:rsidRPr="00465FCF" w:rsidRDefault="007A6739" w:rsidP="00B070E9">
      <w:pPr>
        <w:spacing w:before="0" w:beforeAutospacing="0" w:after="0" w:afterAutospacing="0"/>
        <w:ind w:firstLine="708"/>
        <w:rPr>
          <w:szCs w:val="24"/>
          <w:lang w:val="en-US"/>
        </w:rPr>
      </w:pPr>
      <w:r w:rsidRPr="00465FCF">
        <w:rPr>
          <w:szCs w:val="24"/>
          <w:lang w:val="en-US"/>
        </w:rPr>
        <w:t>Closer inspection of the</w:t>
      </w:r>
      <w:r>
        <w:rPr>
          <w:szCs w:val="24"/>
          <w:lang w:val="en-US"/>
        </w:rPr>
        <w:t>se</w:t>
      </w:r>
      <w:r w:rsidRPr="00465FCF">
        <w:rPr>
          <w:szCs w:val="24"/>
          <w:lang w:val="en-US"/>
        </w:rPr>
        <w:t xml:space="preserve"> papers </w:t>
      </w:r>
      <w:r>
        <w:rPr>
          <w:szCs w:val="24"/>
          <w:lang w:val="en-US"/>
        </w:rPr>
        <w:t xml:space="preserve">yields </w:t>
      </w:r>
      <w:r w:rsidRPr="00465FCF">
        <w:rPr>
          <w:szCs w:val="24"/>
          <w:lang w:val="en-US"/>
        </w:rPr>
        <w:t>some further insights. Most papers dedicate</w:t>
      </w:r>
      <w:r>
        <w:rPr>
          <w:szCs w:val="24"/>
          <w:lang w:val="en-US"/>
        </w:rPr>
        <w:t>d</w:t>
      </w:r>
      <w:r w:rsidRPr="00465FCF">
        <w:rPr>
          <w:szCs w:val="24"/>
          <w:lang w:val="en-US"/>
        </w:rPr>
        <w:t xml:space="preserve"> at least a full paragraph to </w:t>
      </w:r>
      <w:r>
        <w:rPr>
          <w:szCs w:val="24"/>
          <w:lang w:val="en-US"/>
        </w:rPr>
        <w:t xml:space="preserve">discussing </w:t>
      </w:r>
      <w:r w:rsidRPr="00465FCF">
        <w:rPr>
          <w:szCs w:val="24"/>
          <w:lang w:val="en-US"/>
        </w:rPr>
        <w:t>CMV. But strikingly, only in one paper d</w:t>
      </w:r>
      <w:r>
        <w:rPr>
          <w:szCs w:val="24"/>
          <w:lang w:val="en-US"/>
        </w:rPr>
        <w:t>id</w:t>
      </w:r>
      <w:r w:rsidRPr="00465FCF">
        <w:rPr>
          <w:szCs w:val="24"/>
          <w:lang w:val="en-US"/>
        </w:rPr>
        <w:t xml:space="preserve"> the authors conclude that the </w:t>
      </w:r>
      <w:r>
        <w:rPr>
          <w:szCs w:val="24"/>
          <w:lang w:val="en-US"/>
        </w:rPr>
        <w:t xml:space="preserve">analysis </w:t>
      </w:r>
      <w:r w:rsidRPr="00465FCF">
        <w:rPr>
          <w:szCs w:val="24"/>
          <w:lang w:val="en-US"/>
        </w:rPr>
        <w:t>indicat</w:t>
      </w:r>
      <w:r>
        <w:rPr>
          <w:szCs w:val="24"/>
          <w:lang w:val="en-US"/>
        </w:rPr>
        <w:t xml:space="preserve">ed </w:t>
      </w:r>
      <w:r w:rsidRPr="00465FCF">
        <w:rPr>
          <w:szCs w:val="24"/>
          <w:lang w:val="en-US"/>
        </w:rPr>
        <w:t xml:space="preserve">a potential risk </w:t>
      </w:r>
      <w:r>
        <w:rPr>
          <w:szCs w:val="24"/>
          <w:lang w:val="en-US"/>
        </w:rPr>
        <w:t xml:space="preserve">of </w:t>
      </w:r>
      <w:r w:rsidRPr="00465FCF">
        <w:rPr>
          <w:szCs w:val="24"/>
          <w:lang w:val="en-US"/>
        </w:rPr>
        <w:t>CMV bias, leading the</w:t>
      </w:r>
      <w:r>
        <w:rPr>
          <w:szCs w:val="24"/>
          <w:lang w:val="en-US"/>
        </w:rPr>
        <w:t xml:space="preserve"> authors </w:t>
      </w:r>
      <w:r w:rsidRPr="00465FCF">
        <w:rPr>
          <w:szCs w:val="24"/>
          <w:lang w:val="en-US"/>
        </w:rPr>
        <w:t>to statistically control for CMV in the main analysis reported in the paper. The other papers consistently conclude</w:t>
      </w:r>
      <w:r>
        <w:rPr>
          <w:szCs w:val="24"/>
          <w:lang w:val="en-US"/>
        </w:rPr>
        <w:t>d</w:t>
      </w:r>
      <w:r w:rsidRPr="00465FCF">
        <w:rPr>
          <w:szCs w:val="24"/>
          <w:lang w:val="en-US"/>
        </w:rPr>
        <w:t xml:space="preserve"> that CMV d</w:t>
      </w:r>
      <w:r>
        <w:rPr>
          <w:szCs w:val="24"/>
          <w:lang w:val="en-US"/>
        </w:rPr>
        <w:t>id</w:t>
      </w:r>
      <w:r w:rsidRPr="00465FCF">
        <w:rPr>
          <w:szCs w:val="24"/>
          <w:lang w:val="en-US"/>
        </w:rPr>
        <w:t xml:space="preserve"> not pose a threat to validity</w:t>
      </w:r>
      <w:r>
        <w:rPr>
          <w:szCs w:val="24"/>
          <w:lang w:val="en-US"/>
        </w:rPr>
        <w:t xml:space="preserve"> (</w:t>
      </w:r>
      <w:r w:rsidRPr="00465FCF">
        <w:rPr>
          <w:szCs w:val="24"/>
          <w:lang w:val="en-US"/>
        </w:rPr>
        <w:t xml:space="preserve">e.g., </w:t>
      </w:r>
      <w:r>
        <w:rPr>
          <w:szCs w:val="24"/>
          <w:lang w:val="en-US"/>
        </w:rPr>
        <w:t>“</w:t>
      </w:r>
      <w:r w:rsidRPr="00465FCF">
        <w:rPr>
          <w:szCs w:val="24"/>
          <w:lang w:val="en-US"/>
        </w:rPr>
        <w:t>We can safely conclude that CMV does not seem to be a problem in this study</w:t>
      </w:r>
      <w:r>
        <w:rPr>
          <w:szCs w:val="24"/>
          <w:lang w:val="en-US"/>
        </w:rPr>
        <w:t>”</w:t>
      </w:r>
      <w:r w:rsidRPr="00465FCF">
        <w:rPr>
          <w:szCs w:val="24"/>
          <w:lang w:val="en-US"/>
        </w:rPr>
        <w:t xml:space="preserve">; </w:t>
      </w:r>
      <w:r>
        <w:rPr>
          <w:szCs w:val="24"/>
          <w:lang w:val="en-US"/>
        </w:rPr>
        <w:t>“</w:t>
      </w:r>
      <w:r w:rsidRPr="00465FCF">
        <w:rPr>
          <w:szCs w:val="24"/>
          <w:lang w:val="en-US"/>
        </w:rPr>
        <w:t>Taken together, the results of all of the tests indicate that common method bias does not seem to be a threat within our data (though it cannot be ruled out completely) and is unlikely to explain any of the results of our hypothesis tests</w:t>
      </w:r>
      <w:r>
        <w:rPr>
          <w:szCs w:val="24"/>
          <w:lang w:val="en-US"/>
        </w:rPr>
        <w:t>”)</w:t>
      </w:r>
      <w:r w:rsidRPr="00465FCF">
        <w:rPr>
          <w:szCs w:val="24"/>
          <w:lang w:val="en-US"/>
        </w:rPr>
        <w:t xml:space="preserve">. In some instances, this conclusion may be plausible, but in many cases there </w:t>
      </w:r>
      <w:r>
        <w:rPr>
          <w:szCs w:val="24"/>
          <w:lang w:val="en-US"/>
        </w:rPr>
        <w:t xml:space="preserve">are </w:t>
      </w:r>
      <w:r w:rsidRPr="00465FCF">
        <w:rPr>
          <w:szCs w:val="24"/>
          <w:lang w:val="en-US"/>
        </w:rPr>
        <w:t>no valid ground</w:t>
      </w:r>
      <w:r>
        <w:rPr>
          <w:szCs w:val="24"/>
          <w:lang w:val="en-US"/>
        </w:rPr>
        <w:t>s</w:t>
      </w:r>
      <w:r w:rsidRPr="00465FCF">
        <w:rPr>
          <w:szCs w:val="24"/>
          <w:lang w:val="en-US"/>
        </w:rPr>
        <w:t xml:space="preserve"> for such reassurances, as we discuss further below. </w:t>
      </w:r>
    </w:p>
    <w:p w14:paraId="1BDBABE5" w14:textId="77777777" w:rsidR="007A6739" w:rsidRPr="00465FCF" w:rsidRDefault="007A6739" w:rsidP="00B070E9">
      <w:pPr>
        <w:pStyle w:val="Heading2"/>
        <w:spacing w:before="0" w:beforeAutospacing="0" w:afterAutospacing="0"/>
        <w:rPr>
          <w:b/>
          <w:bCs/>
          <w:sz w:val="24"/>
          <w:szCs w:val="24"/>
          <w:lang w:val="en-US"/>
        </w:rPr>
      </w:pPr>
      <w:r w:rsidRPr="00465FCF">
        <w:rPr>
          <w:b/>
          <w:bCs/>
          <w:sz w:val="24"/>
          <w:szCs w:val="24"/>
          <w:lang w:val="en-US"/>
        </w:rPr>
        <w:t xml:space="preserve">Discussion </w:t>
      </w:r>
    </w:p>
    <w:p w14:paraId="555E3A25" w14:textId="77777777" w:rsidR="007A6739" w:rsidRDefault="007A6739" w:rsidP="00B070E9">
      <w:pPr>
        <w:spacing w:before="0" w:beforeAutospacing="0" w:after="0" w:afterAutospacing="0"/>
        <w:ind w:firstLine="708"/>
        <w:rPr>
          <w:szCs w:val="24"/>
          <w:lang w:val="en-US"/>
        </w:rPr>
      </w:pPr>
      <w:r>
        <w:rPr>
          <w:szCs w:val="24"/>
          <w:lang w:val="en-US"/>
        </w:rPr>
        <w:t xml:space="preserve">Most survey-based papers that have recently been published in the </w:t>
      </w:r>
      <w:r w:rsidRPr="00E46C1F">
        <w:rPr>
          <w:i/>
          <w:iCs/>
          <w:szCs w:val="24"/>
          <w:lang w:val="en-US"/>
        </w:rPr>
        <w:t>Journal of International Marketing</w:t>
      </w:r>
      <w:r>
        <w:rPr>
          <w:szCs w:val="24"/>
          <w:lang w:val="en-US"/>
        </w:rPr>
        <w:t xml:space="preserve"> discuss the problem of CMV and attempt to do something about it. This is a reassuring finding, but unfortunately the methods that are used to detect and control for CMV are often sub-optimal.  </w:t>
      </w:r>
    </w:p>
    <w:p w14:paraId="1AE981FF" w14:textId="5F0B2673" w:rsidR="007A6739" w:rsidRPr="00465FCF" w:rsidRDefault="007A6739" w:rsidP="00B070E9">
      <w:pPr>
        <w:spacing w:before="0" w:beforeAutospacing="0" w:after="0" w:afterAutospacing="0"/>
        <w:ind w:firstLine="708"/>
        <w:rPr>
          <w:szCs w:val="24"/>
          <w:lang w:val="en-US"/>
        </w:rPr>
      </w:pPr>
      <w:r>
        <w:rPr>
          <w:szCs w:val="24"/>
          <w:lang w:val="en-US"/>
        </w:rPr>
        <w:lastRenderedPageBreak/>
        <w:t xml:space="preserve">First, it is surprising </w:t>
      </w:r>
      <w:r w:rsidRPr="00465FCF">
        <w:rPr>
          <w:szCs w:val="24"/>
          <w:lang w:val="en-US"/>
        </w:rPr>
        <w:t xml:space="preserve">that the </w:t>
      </w:r>
      <w:r>
        <w:rPr>
          <w:szCs w:val="24"/>
          <w:lang w:val="en-US"/>
        </w:rPr>
        <w:t xml:space="preserve">Harman </w:t>
      </w:r>
      <w:r w:rsidRPr="00465FCF">
        <w:rPr>
          <w:szCs w:val="24"/>
          <w:lang w:val="en-US"/>
        </w:rPr>
        <w:t>one-factor test is still commonly used and reported</w:t>
      </w:r>
      <w:r>
        <w:rPr>
          <w:szCs w:val="24"/>
          <w:lang w:val="en-US"/>
        </w:rPr>
        <w:t>, despite the criticism leveled at the test in the influential review paper by Podsakoff et al. (2003) almost 20 years ago</w:t>
      </w:r>
      <w:r w:rsidRPr="00465FCF">
        <w:rPr>
          <w:szCs w:val="24"/>
          <w:lang w:val="en-US"/>
        </w:rPr>
        <w:t>.</w:t>
      </w:r>
      <w:r>
        <w:rPr>
          <w:szCs w:val="24"/>
          <w:lang w:val="en-US"/>
        </w:rPr>
        <w:t xml:space="preserve"> Ironically, many papers cite Podsakoff et al. but ignore their recommendations.</w:t>
      </w:r>
      <w:r w:rsidRPr="00465FCF">
        <w:rPr>
          <w:szCs w:val="24"/>
          <w:lang w:val="en-US"/>
        </w:rPr>
        <w:t xml:space="preserve"> </w:t>
      </w:r>
      <w:r>
        <w:rPr>
          <w:szCs w:val="24"/>
          <w:lang w:val="en-US"/>
        </w:rPr>
        <w:t xml:space="preserve">As stated more recently by </w:t>
      </w:r>
      <w:r>
        <w:rPr>
          <w:noProof/>
          <w:szCs w:val="24"/>
          <w:lang w:val="en-US"/>
        </w:rPr>
        <w:t>Hulland</w:t>
      </w:r>
      <w:r w:rsidR="009C5EC9">
        <w:rPr>
          <w:noProof/>
          <w:szCs w:val="24"/>
          <w:lang w:val="en-US"/>
        </w:rPr>
        <w:t>, Baumgartner, and Smith</w:t>
      </w:r>
      <w:r>
        <w:rPr>
          <w:noProof/>
          <w:szCs w:val="24"/>
          <w:lang w:val="en-US"/>
        </w:rPr>
        <w:t xml:space="preserve"> (2018)</w:t>
      </w:r>
      <w:r>
        <w:rPr>
          <w:szCs w:val="24"/>
          <w:lang w:val="en-US"/>
        </w:rPr>
        <w:t>, “</w:t>
      </w:r>
      <w:r w:rsidRPr="00465FCF">
        <w:rPr>
          <w:szCs w:val="24"/>
          <w:lang w:val="en-US"/>
        </w:rPr>
        <w:t>the Harman test is entirely non-diagnostic about the presence of common method variance in data. Researchers should stop going through the motions of conducting a Harman test and pretending that they are performing a meaningful investigation of systematic errors of measurement.</w:t>
      </w:r>
      <w:r>
        <w:rPr>
          <w:szCs w:val="24"/>
          <w:lang w:val="en-US"/>
        </w:rPr>
        <w:t>”</w:t>
      </w:r>
      <w:r w:rsidRPr="00465FCF">
        <w:rPr>
          <w:szCs w:val="24"/>
          <w:lang w:val="en-US"/>
        </w:rPr>
        <w:t xml:space="preserve"> On the positive side, </w:t>
      </w:r>
      <w:r>
        <w:rPr>
          <w:szCs w:val="24"/>
          <w:lang w:val="en-US"/>
        </w:rPr>
        <w:t xml:space="preserve">the Harman one-factor test is rarely reported as the only evidence about method variance, </w:t>
      </w:r>
      <w:r w:rsidRPr="00465FCF">
        <w:rPr>
          <w:szCs w:val="24"/>
          <w:lang w:val="en-US"/>
        </w:rPr>
        <w:t xml:space="preserve">and </w:t>
      </w:r>
      <w:r>
        <w:rPr>
          <w:szCs w:val="24"/>
          <w:lang w:val="en-US"/>
        </w:rPr>
        <w:t>18</w:t>
      </w:r>
      <w:r w:rsidRPr="00465FCF">
        <w:rPr>
          <w:szCs w:val="24"/>
          <w:lang w:val="en-US"/>
        </w:rPr>
        <w:t xml:space="preserve"> of the </w:t>
      </w:r>
      <w:r>
        <w:rPr>
          <w:szCs w:val="24"/>
          <w:lang w:val="en-US"/>
        </w:rPr>
        <w:t>23</w:t>
      </w:r>
      <w:r w:rsidRPr="00465FCF">
        <w:rPr>
          <w:szCs w:val="24"/>
          <w:lang w:val="en-US"/>
        </w:rPr>
        <w:t xml:space="preserve"> papers </w:t>
      </w:r>
      <w:r>
        <w:rPr>
          <w:szCs w:val="24"/>
          <w:lang w:val="en-US"/>
        </w:rPr>
        <w:t xml:space="preserve">in which it is conducted </w:t>
      </w:r>
      <w:r w:rsidRPr="00465FCF">
        <w:rPr>
          <w:szCs w:val="24"/>
          <w:lang w:val="en-US"/>
        </w:rPr>
        <w:t>also report another CMV test.</w:t>
      </w:r>
    </w:p>
    <w:p w14:paraId="0B2CE457" w14:textId="77777777" w:rsidR="007A6739" w:rsidRPr="00465FCF" w:rsidRDefault="007A6739" w:rsidP="00B070E9">
      <w:pPr>
        <w:spacing w:before="0" w:beforeAutospacing="0" w:after="0" w:afterAutospacing="0"/>
        <w:ind w:firstLine="708"/>
        <w:rPr>
          <w:szCs w:val="24"/>
          <w:lang w:val="en-US"/>
        </w:rPr>
      </w:pPr>
      <w:r w:rsidRPr="00465FCF">
        <w:rPr>
          <w:szCs w:val="24"/>
          <w:lang w:val="en-US"/>
        </w:rPr>
        <w:t xml:space="preserve">Second, the use </w:t>
      </w:r>
      <w:r>
        <w:rPr>
          <w:szCs w:val="24"/>
          <w:lang w:val="en-US"/>
        </w:rPr>
        <w:t xml:space="preserve">of </w:t>
      </w:r>
      <w:r w:rsidRPr="00465FCF">
        <w:rPr>
          <w:szCs w:val="24"/>
          <w:lang w:val="en-US"/>
        </w:rPr>
        <w:t>marker variable</w:t>
      </w:r>
      <w:r>
        <w:rPr>
          <w:szCs w:val="24"/>
          <w:lang w:val="en-US"/>
        </w:rPr>
        <w:t>s</w:t>
      </w:r>
      <w:r w:rsidRPr="00465FCF">
        <w:rPr>
          <w:szCs w:val="24"/>
          <w:lang w:val="en-US"/>
        </w:rPr>
        <w:t xml:space="preserve"> is remarkably popular, but here too </w:t>
      </w:r>
      <w:r>
        <w:rPr>
          <w:szCs w:val="24"/>
          <w:lang w:val="en-US"/>
        </w:rPr>
        <w:t>many</w:t>
      </w:r>
      <w:r w:rsidRPr="00465FCF">
        <w:rPr>
          <w:szCs w:val="24"/>
          <w:lang w:val="en-US"/>
        </w:rPr>
        <w:t xml:space="preserve"> problems occur. First, some authors do not report wh</w:t>
      </w:r>
      <w:r>
        <w:rPr>
          <w:szCs w:val="24"/>
          <w:lang w:val="en-US"/>
        </w:rPr>
        <w:t>ich</w:t>
      </w:r>
      <w:r w:rsidRPr="00465FCF">
        <w:rPr>
          <w:szCs w:val="24"/>
          <w:lang w:val="en-US"/>
        </w:rPr>
        <w:t xml:space="preserve"> marker variable they use</w:t>
      </w:r>
      <w:r>
        <w:rPr>
          <w:szCs w:val="24"/>
          <w:lang w:val="en-US"/>
        </w:rPr>
        <w:t>d</w:t>
      </w:r>
      <w:r w:rsidRPr="00465FCF">
        <w:rPr>
          <w:szCs w:val="24"/>
          <w:lang w:val="en-US"/>
        </w:rPr>
        <w:t xml:space="preserve">, which makes it hard to evaluate how relevant the marker is or </w:t>
      </w:r>
      <w:r>
        <w:rPr>
          <w:szCs w:val="24"/>
          <w:lang w:val="en-US"/>
        </w:rPr>
        <w:t xml:space="preserve">how the </w:t>
      </w:r>
      <w:r w:rsidRPr="00465FCF">
        <w:rPr>
          <w:szCs w:val="24"/>
          <w:lang w:val="en-US"/>
        </w:rPr>
        <w:t>results</w:t>
      </w:r>
      <w:r>
        <w:rPr>
          <w:szCs w:val="24"/>
          <w:lang w:val="en-US"/>
        </w:rPr>
        <w:t xml:space="preserve"> could be replicated</w:t>
      </w:r>
      <w:r w:rsidRPr="00465FCF">
        <w:rPr>
          <w:szCs w:val="24"/>
          <w:lang w:val="en-US"/>
        </w:rPr>
        <w:t>. Second, some marker variables cannot reasonably be expected to be valid indicators of common method variance in Likert</w:t>
      </w:r>
      <w:r>
        <w:rPr>
          <w:szCs w:val="24"/>
          <w:lang w:val="en-US"/>
        </w:rPr>
        <w:t>-</w:t>
      </w:r>
      <w:r w:rsidRPr="00465FCF">
        <w:rPr>
          <w:szCs w:val="24"/>
          <w:lang w:val="en-US"/>
        </w:rPr>
        <w:t>type rating scale</w:t>
      </w:r>
      <w:r>
        <w:rPr>
          <w:szCs w:val="24"/>
          <w:lang w:val="en-US"/>
        </w:rPr>
        <w:t>s</w:t>
      </w:r>
      <w:r w:rsidRPr="00465FCF">
        <w:rPr>
          <w:szCs w:val="24"/>
          <w:lang w:val="en-US"/>
        </w:rPr>
        <w:t xml:space="preserve">. Examples of questionable marker variables include the number of years the firm has been purchasing from abroad, occupation (with the question wording and response format left unspecified), </w:t>
      </w:r>
      <w:r>
        <w:rPr>
          <w:szCs w:val="24"/>
          <w:lang w:val="en-US"/>
        </w:rPr>
        <w:t xml:space="preserve">the </w:t>
      </w:r>
      <w:r w:rsidRPr="00465FCF">
        <w:rPr>
          <w:szCs w:val="24"/>
          <w:lang w:val="en-US"/>
        </w:rPr>
        <w:t xml:space="preserve">respondent’s position within </w:t>
      </w:r>
      <w:r>
        <w:rPr>
          <w:szCs w:val="24"/>
          <w:lang w:val="en-US"/>
        </w:rPr>
        <w:t xml:space="preserve">the </w:t>
      </w:r>
      <w:r w:rsidRPr="00465FCF">
        <w:rPr>
          <w:szCs w:val="24"/>
          <w:lang w:val="en-US"/>
        </w:rPr>
        <w:t xml:space="preserve">company (not further specified), or demographics </w:t>
      </w:r>
      <w:r>
        <w:rPr>
          <w:szCs w:val="24"/>
          <w:lang w:val="en-US"/>
        </w:rPr>
        <w:t xml:space="preserve">such as </w:t>
      </w:r>
      <w:r w:rsidRPr="00465FCF">
        <w:rPr>
          <w:szCs w:val="24"/>
          <w:lang w:val="en-US"/>
        </w:rPr>
        <w:t>age, gender, income and education. It is not clear how such marker variables c</w:t>
      </w:r>
      <w:r>
        <w:rPr>
          <w:szCs w:val="24"/>
          <w:lang w:val="en-US"/>
        </w:rPr>
        <w:t>ould</w:t>
      </w:r>
      <w:r w:rsidRPr="00465FCF">
        <w:rPr>
          <w:szCs w:val="24"/>
          <w:lang w:val="en-US"/>
        </w:rPr>
        <w:t xml:space="preserve"> meaningfully </w:t>
      </w:r>
      <w:r>
        <w:rPr>
          <w:szCs w:val="24"/>
          <w:lang w:val="en-US"/>
        </w:rPr>
        <w:t xml:space="preserve">capture </w:t>
      </w:r>
      <w:r w:rsidRPr="00465FCF">
        <w:rPr>
          <w:szCs w:val="24"/>
          <w:lang w:val="en-US"/>
        </w:rPr>
        <w:t xml:space="preserve">typical sources of common method variance </w:t>
      </w:r>
      <w:r>
        <w:rPr>
          <w:szCs w:val="24"/>
          <w:lang w:val="en-US"/>
        </w:rPr>
        <w:t xml:space="preserve">such as </w:t>
      </w:r>
      <w:r w:rsidRPr="00465FCF">
        <w:rPr>
          <w:szCs w:val="24"/>
          <w:lang w:val="en-US"/>
        </w:rPr>
        <w:t>impression management, consistency</w:t>
      </w:r>
      <w:r>
        <w:rPr>
          <w:szCs w:val="24"/>
          <w:lang w:val="en-US"/>
        </w:rPr>
        <w:t xml:space="preserve"> bias</w:t>
      </w:r>
      <w:r w:rsidRPr="00465FCF">
        <w:rPr>
          <w:szCs w:val="24"/>
          <w:lang w:val="en-US"/>
        </w:rPr>
        <w:t xml:space="preserve">, </w:t>
      </w:r>
      <w:r>
        <w:rPr>
          <w:szCs w:val="24"/>
          <w:lang w:val="en-US"/>
        </w:rPr>
        <w:t xml:space="preserve">or </w:t>
      </w:r>
      <w:r w:rsidRPr="00465FCF">
        <w:rPr>
          <w:szCs w:val="24"/>
          <w:lang w:val="en-US"/>
        </w:rPr>
        <w:t xml:space="preserve">response styles. </w:t>
      </w:r>
      <w:r>
        <w:rPr>
          <w:szCs w:val="24"/>
          <w:lang w:val="en-US"/>
        </w:rPr>
        <w:t xml:space="preserve">Many authors mention that </w:t>
      </w:r>
      <w:r w:rsidRPr="00465FCF">
        <w:rPr>
          <w:szCs w:val="24"/>
          <w:lang w:val="en-US"/>
        </w:rPr>
        <w:t xml:space="preserve">the marker </w:t>
      </w:r>
      <w:r>
        <w:rPr>
          <w:szCs w:val="24"/>
          <w:lang w:val="en-US"/>
        </w:rPr>
        <w:t xml:space="preserve">variable has to be </w:t>
      </w:r>
      <w:r w:rsidRPr="00465FCF">
        <w:rPr>
          <w:szCs w:val="24"/>
          <w:lang w:val="en-US"/>
        </w:rPr>
        <w:t xml:space="preserve">conceptually unrelated to </w:t>
      </w:r>
      <w:r>
        <w:rPr>
          <w:szCs w:val="24"/>
          <w:lang w:val="en-US"/>
        </w:rPr>
        <w:t xml:space="preserve">at least one </w:t>
      </w:r>
      <w:r w:rsidRPr="00465FCF">
        <w:rPr>
          <w:szCs w:val="24"/>
          <w:lang w:val="en-US"/>
        </w:rPr>
        <w:t>focal construct</w:t>
      </w:r>
      <w:r>
        <w:rPr>
          <w:szCs w:val="24"/>
          <w:lang w:val="en-US"/>
        </w:rPr>
        <w:t>, but they do not seem to realize that this is not a sufficient condition because the marker variable also has to serve as a proxy variable for any method effects that might confound the results.</w:t>
      </w:r>
    </w:p>
    <w:p w14:paraId="544082C5" w14:textId="77777777" w:rsidR="007A6739" w:rsidRPr="00465FCF" w:rsidRDefault="007A6739" w:rsidP="00B070E9">
      <w:pPr>
        <w:spacing w:before="0" w:beforeAutospacing="0" w:after="0" w:afterAutospacing="0"/>
        <w:ind w:firstLine="708"/>
        <w:rPr>
          <w:szCs w:val="24"/>
          <w:lang w:val="en-US"/>
        </w:rPr>
      </w:pPr>
      <w:r w:rsidRPr="00465FCF">
        <w:rPr>
          <w:szCs w:val="24"/>
          <w:lang w:val="en-US"/>
        </w:rPr>
        <w:lastRenderedPageBreak/>
        <w:t>Third, the use of a</w:t>
      </w:r>
      <w:r>
        <w:rPr>
          <w:szCs w:val="24"/>
          <w:lang w:val="en-US"/>
        </w:rPr>
        <w:t>n inferred</w:t>
      </w:r>
      <w:r w:rsidRPr="00465FCF">
        <w:rPr>
          <w:szCs w:val="24"/>
          <w:lang w:val="en-US"/>
        </w:rPr>
        <w:t xml:space="preserve"> method factor can be useful, but here as well several instances of problematic practices emerged. </w:t>
      </w:r>
      <w:r>
        <w:rPr>
          <w:szCs w:val="24"/>
          <w:lang w:val="en-US"/>
        </w:rPr>
        <w:t>For example, s</w:t>
      </w:r>
      <w:r w:rsidRPr="00465FCF">
        <w:rPr>
          <w:szCs w:val="24"/>
          <w:lang w:val="en-US"/>
        </w:rPr>
        <w:t>ome researchers simply add</w:t>
      </w:r>
      <w:r>
        <w:rPr>
          <w:szCs w:val="24"/>
          <w:lang w:val="en-US"/>
        </w:rPr>
        <w:t>ed</w:t>
      </w:r>
      <w:r w:rsidRPr="00465FCF">
        <w:rPr>
          <w:szCs w:val="24"/>
          <w:lang w:val="en-US"/>
        </w:rPr>
        <w:t xml:space="preserve"> a method factor to </w:t>
      </w:r>
      <w:r>
        <w:rPr>
          <w:szCs w:val="24"/>
          <w:lang w:val="en-US"/>
        </w:rPr>
        <w:t xml:space="preserve">a </w:t>
      </w:r>
      <w:r w:rsidRPr="00465FCF">
        <w:rPr>
          <w:szCs w:val="24"/>
          <w:lang w:val="en-US"/>
        </w:rPr>
        <w:t>model</w:t>
      </w:r>
      <w:r>
        <w:rPr>
          <w:szCs w:val="24"/>
          <w:lang w:val="en-US"/>
        </w:rPr>
        <w:t xml:space="preserve"> already containing the substantive factors </w:t>
      </w:r>
      <w:r w:rsidRPr="00465FCF">
        <w:rPr>
          <w:szCs w:val="24"/>
          <w:lang w:val="en-US"/>
        </w:rPr>
        <w:t xml:space="preserve">(i.e., </w:t>
      </w:r>
      <w:r>
        <w:rPr>
          <w:szCs w:val="24"/>
          <w:lang w:val="en-US"/>
        </w:rPr>
        <w:t>each substantive indicator loads on both a substantive factor and a method factor</w:t>
      </w:r>
      <w:r w:rsidRPr="00465FCF">
        <w:rPr>
          <w:szCs w:val="24"/>
          <w:lang w:val="en-US"/>
        </w:rPr>
        <w:t>) and conclude</w:t>
      </w:r>
      <w:r>
        <w:rPr>
          <w:szCs w:val="24"/>
          <w:lang w:val="en-US"/>
        </w:rPr>
        <w:t>d</w:t>
      </w:r>
      <w:r w:rsidRPr="00465FCF">
        <w:rPr>
          <w:szCs w:val="24"/>
          <w:lang w:val="en-US"/>
        </w:rPr>
        <w:t xml:space="preserve"> that </w:t>
      </w:r>
      <w:r>
        <w:rPr>
          <w:szCs w:val="24"/>
          <w:lang w:val="en-US"/>
        </w:rPr>
        <w:t xml:space="preserve">since </w:t>
      </w:r>
      <w:r w:rsidRPr="00465FCF">
        <w:rPr>
          <w:szCs w:val="24"/>
          <w:lang w:val="en-US"/>
        </w:rPr>
        <w:t xml:space="preserve">the method loadings </w:t>
      </w:r>
      <w:r>
        <w:rPr>
          <w:szCs w:val="24"/>
          <w:lang w:val="en-US"/>
        </w:rPr>
        <w:t xml:space="preserve">were small or at least </w:t>
      </w:r>
      <w:r w:rsidRPr="00465FCF">
        <w:rPr>
          <w:szCs w:val="24"/>
          <w:lang w:val="en-US"/>
        </w:rPr>
        <w:t>smaller than the substantive loadings</w:t>
      </w:r>
      <w:r>
        <w:rPr>
          <w:szCs w:val="24"/>
          <w:lang w:val="en-US"/>
        </w:rPr>
        <w:t>,</w:t>
      </w:r>
      <w:r w:rsidRPr="00465FCF">
        <w:rPr>
          <w:szCs w:val="24"/>
          <w:lang w:val="en-US"/>
        </w:rPr>
        <w:t xml:space="preserve"> </w:t>
      </w:r>
      <w:r>
        <w:rPr>
          <w:szCs w:val="24"/>
          <w:lang w:val="en-US"/>
        </w:rPr>
        <w:t xml:space="preserve">CMV was not a problem. Obviously, </w:t>
      </w:r>
      <w:r w:rsidRPr="00465FCF">
        <w:rPr>
          <w:szCs w:val="24"/>
          <w:lang w:val="en-US"/>
        </w:rPr>
        <w:t xml:space="preserve">concluding that there is more substantive variance than method variance is not the same as concluding that there is no method variance. </w:t>
      </w:r>
      <w:r>
        <w:rPr>
          <w:szCs w:val="24"/>
          <w:lang w:val="en-US"/>
        </w:rPr>
        <w:t xml:space="preserve">Just because method variance is smaller than substantive variance does not necessarily mean that method </w:t>
      </w:r>
      <w:r w:rsidRPr="00465FCF">
        <w:rPr>
          <w:szCs w:val="24"/>
          <w:lang w:val="en-US"/>
        </w:rPr>
        <w:t xml:space="preserve">variance </w:t>
      </w:r>
      <w:r>
        <w:rPr>
          <w:szCs w:val="24"/>
          <w:lang w:val="en-US"/>
        </w:rPr>
        <w:t xml:space="preserve">can be ignored </w:t>
      </w:r>
      <w:r w:rsidRPr="00465FCF">
        <w:rPr>
          <w:szCs w:val="24"/>
          <w:lang w:val="en-US"/>
        </w:rPr>
        <w:t xml:space="preserve">in subsequent </w:t>
      </w:r>
      <w:r>
        <w:rPr>
          <w:szCs w:val="24"/>
          <w:lang w:val="en-US"/>
        </w:rPr>
        <w:t>analyses</w:t>
      </w:r>
      <w:r w:rsidRPr="00465FCF">
        <w:rPr>
          <w:szCs w:val="24"/>
          <w:lang w:val="en-US"/>
        </w:rPr>
        <w:t xml:space="preserve">. Also, if all items load on a common method factor, it is only possible to distinguish method variance from substantive variance under specific </w:t>
      </w:r>
      <w:r>
        <w:rPr>
          <w:szCs w:val="24"/>
          <w:lang w:val="en-US"/>
        </w:rPr>
        <w:t>circumstances</w:t>
      </w:r>
      <w:r w:rsidRPr="00465FCF">
        <w:rPr>
          <w:szCs w:val="24"/>
          <w:lang w:val="en-US"/>
        </w:rPr>
        <w:t xml:space="preserve">. </w:t>
      </w:r>
      <w:r>
        <w:rPr>
          <w:szCs w:val="24"/>
          <w:lang w:val="en-US"/>
        </w:rPr>
        <w:t>For example, as discussed earlier, if a scale contains an equal number of regular and reversed items, a substantive construct can be distinguished from a method factor, but when all substantive constructs are positively correlated and the substantive scales contain no reverse-keyed items, substance and method are likely confounded</w:t>
      </w:r>
      <w:r w:rsidRPr="00465FCF">
        <w:rPr>
          <w:szCs w:val="24"/>
          <w:lang w:val="en-US"/>
        </w:rPr>
        <w:t xml:space="preserve">. </w:t>
      </w:r>
    </w:p>
    <w:p w14:paraId="49E59D00" w14:textId="77777777" w:rsidR="007A6739" w:rsidRDefault="007A6739" w:rsidP="00B070E9">
      <w:pPr>
        <w:spacing w:before="0" w:beforeAutospacing="0" w:after="0" w:afterAutospacing="0"/>
        <w:ind w:firstLine="708"/>
        <w:rPr>
          <w:szCs w:val="24"/>
          <w:lang w:val="en-US"/>
        </w:rPr>
      </w:pPr>
      <w:r w:rsidRPr="00465FCF">
        <w:rPr>
          <w:szCs w:val="24"/>
          <w:lang w:val="en-US"/>
        </w:rPr>
        <w:t xml:space="preserve">To sum up, </w:t>
      </w:r>
      <w:r>
        <w:rPr>
          <w:szCs w:val="24"/>
          <w:lang w:val="en-US"/>
        </w:rPr>
        <w:t xml:space="preserve">the </w:t>
      </w:r>
      <w:r w:rsidRPr="00465FCF">
        <w:rPr>
          <w:szCs w:val="24"/>
          <w:lang w:val="en-US"/>
        </w:rPr>
        <w:t xml:space="preserve">Harman one-factor test is still </w:t>
      </w:r>
      <w:r>
        <w:rPr>
          <w:szCs w:val="24"/>
          <w:lang w:val="en-US"/>
        </w:rPr>
        <w:t xml:space="preserve">being </w:t>
      </w:r>
      <w:r w:rsidRPr="00465FCF">
        <w:rPr>
          <w:szCs w:val="24"/>
          <w:lang w:val="en-US"/>
        </w:rPr>
        <w:t xml:space="preserve">used, </w:t>
      </w:r>
      <w:r>
        <w:rPr>
          <w:szCs w:val="24"/>
          <w:lang w:val="en-US"/>
        </w:rPr>
        <w:t xml:space="preserve">despite clear evidence that it cannot validly detect the presence and severity of method variance. There are also serious problems with the concept of a marker </w:t>
      </w:r>
      <w:r w:rsidRPr="00465FCF">
        <w:rPr>
          <w:szCs w:val="24"/>
          <w:lang w:val="en-US"/>
        </w:rPr>
        <w:t>variable</w:t>
      </w:r>
      <w:r>
        <w:rPr>
          <w:szCs w:val="24"/>
          <w:lang w:val="en-US"/>
        </w:rPr>
        <w:t xml:space="preserve">, and most marker variables used in practice lead to invalid corrections for CMV. The preferred methods are based on using a directly measured method effect or an inferred method factor to account for method variance at the item level, and the latter method is only useful under certain circumstances. Below we discuss how these two methods can be used in international marketing research, and we illustrate the proposed approach with a </w:t>
      </w:r>
      <w:r w:rsidRPr="00465FCF">
        <w:rPr>
          <w:szCs w:val="24"/>
          <w:lang w:val="en-US"/>
        </w:rPr>
        <w:t xml:space="preserve">cross-national </w:t>
      </w:r>
      <w:r>
        <w:rPr>
          <w:szCs w:val="24"/>
          <w:lang w:val="en-US"/>
        </w:rPr>
        <w:t>study involving 14 European countries</w:t>
      </w:r>
      <w:r w:rsidRPr="00465FCF">
        <w:rPr>
          <w:szCs w:val="24"/>
          <w:lang w:val="en-US"/>
        </w:rPr>
        <w:t>.</w:t>
      </w:r>
    </w:p>
    <w:p w14:paraId="08C4F640" w14:textId="4C6FDE6E" w:rsidR="007A6739" w:rsidRPr="0060478C" w:rsidRDefault="007A6739" w:rsidP="0060478C">
      <w:pPr>
        <w:spacing w:before="0" w:beforeAutospacing="0" w:after="0" w:afterAutospacing="0"/>
        <w:rPr>
          <w:b/>
          <w:bCs/>
          <w:caps/>
          <w:szCs w:val="24"/>
          <w:lang w:val="en-US"/>
        </w:rPr>
      </w:pPr>
      <w:r w:rsidRPr="0060478C">
        <w:rPr>
          <w:b/>
          <w:bCs/>
          <w:caps/>
          <w:szCs w:val="24"/>
          <w:lang w:val="en-US"/>
        </w:rPr>
        <w:t>How to model common method variance in international marketing research</w:t>
      </w:r>
    </w:p>
    <w:p w14:paraId="0727A249" w14:textId="5BA8FEB5" w:rsidR="007A6739" w:rsidRDefault="007A6739" w:rsidP="00B070E9">
      <w:pPr>
        <w:spacing w:before="0" w:beforeAutospacing="0" w:after="0" w:afterAutospacing="0"/>
        <w:ind w:firstLine="720"/>
        <w:rPr>
          <w:szCs w:val="24"/>
          <w:lang w:val="en-US"/>
        </w:rPr>
      </w:pPr>
      <w:r>
        <w:rPr>
          <w:szCs w:val="24"/>
          <w:lang w:val="en-US"/>
        </w:rPr>
        <w:lastRenderedPageBreak/>
        <w:t xml:space="preserve">There are two issues that have to be addressed when trying to account for common method variance in international marketing research. First, CMV has to be captured using an approach that is conceptually meaningful. This excludes approaches such as the Harman one-factor test and most applications of the marker variable technique. Second, CMV has to be modeled in a principled way in all countries that are being compared. This is in contrast to the usual practice of ignoring method effects in the main analysis because CMV is presumably not a threat (based on evidence obtained via questionable </w:t>
      </w:r>
      <w:r w:rsidRPr="00D45482">
        <w:rPr>
          <w:i/>
          <w:iCs/>
          <w:szCs w:val="24"/>
          <w:lang w:val="en-US"/>
        </w:rPr>
        <w:t>post hoc</w:t>
      </w:r>
      <w:r>
        <w:rPr>
          <w:szCs w:val="24"/>
          <w:lang w:val="en-US"/>
        </w:rPr>
        <w:t xml:space="preserve"> CMV approaches).</w:t>
      </w:r>
    </w:p>
    <w:p w14:paraId="1689845E" w14:textId="44441BAE" w:rsidR="007A6739" w:rsidRPr="00576AFE" w:rsidRDefault="007A6739" w:rsidP="00B070E9">
      <w:pPr>
        <w:spacing w:before="0" w:beforeAutospacing="0" w:after="0" w:afterAutospacing="0"/>
        <w:ind w:firstLine="720"/>
        <w:rPr>
          <w:rFonts w:cs="Times New Roman"/>
          <w:szCs w:val="24"/>
          <w:lang w:val="en-US"/>
        </w:rPr>
      </w:pPr>
      <w:r>
        <w:rPr>
          <w:szCs w:val="24"/>
          <w:lang w:val="en-US"/>
        </w:rPr>
        <w:t xml:space="preserve">With respect to the first issue, the best way to deal with CMV is to carefully evaluate the procedural remedies discussed in such sources as </w:t>
      </w:r>
      <w:r>
        <w:rPr>
          <w:noProof/>
          <w:szCs w:val="24"/>
          <w:lang w:val="en-US"/>
        </w:rPr>
        <w:t>MacKenzie and Podsakoff (2012)</w:t>
      </w:r>
      <w:r>
        <w:rPr>
          <w:szCs w:val="24"/>
          <w:lang w:val="en-US"/>
        </w:rPr>
        <w:t xml:space="preserve">. Although our focus is on </w:t>
      </w:r>
      <w:r w:rsidRPr="00D45482">
        <w:rPr>
          <w:i/>
          <w:iCs/>
          <w:szCs w:val="24"/>
          <w:lang w:val="en-US"/>
        </w:rPr>
        <w:t>post hoc</w:t>
      </w:r>
      <w:r>
        <w:rPr>
          <w:szCs w:val="24"/>
          <w:lang w:val="en-US"/>
        </w:rPr>
        <w:t xml:space="preserve"> statistical approaches, an </w:t>
      </w:r>
      <w:r w:rsidRPr="00D45482">
        <w:rPr>
          <w:i/>
          <w:iCs/>
          <w:szCs w:val="24"/>
          <w:lang w:val="en-US"/>
        </w:rPr>
        <w:t>a priori</w:t>
      </w:r>
      <w:r>
        <w:rPr>
          <w:szCs w:val="24"/>
          <w:lang w:val="en-US"/>
        </w:rPr>
        <w:t xml:space="preserve"> consideration of potential sources of method effects may point to specific threats that should be addressed head-on in the empirical study. For example, if social desirability is expected to influence respondents’ answers to the substantive questions, a recommended social desirability scale should be included in the study (e.g., Steenkamp</w:t>
      </w:r>
      <w:r w:rsidR="009C5EC9">
        <w:rPr>
          <w:szCs w:val="24"/>
          <w:lang w:val="en-US"/>
        </w:rPr>
        <w:t>, De Jong, and Baumgartner</w:t>
      </w:r>
      <w:r>
        <w:rPr>
          <w:szCs w:val="24"/>
          <w:lang w:val="en-US"/>
        </w:rPr>
        <w:t xml:space="preserve"> 2010). Often, it will be difficult to identify potential threats </w:t>
      </w:r>
      <w:r w:rsidRPr="00D45482">
        <w:rPr>
          <w:i/>
          <w:iCs/>
          <w:szCs w:val="24"/>
          <w:lang w:val="en-US"/>
        </w:rPr>
        <w:t>a priori</w:t>
      </w:r>
      <w:r>
        <w:rPr>
          <w:szCs w:val="24"/>
          <w:lang w:val="en-US"/>
        </w:rPr>
        <w:t xml:space="preserve">, and there may be too many potential threats to include separate measures for all of them. However, an excellent approach for dealing with method effects that are quite common in international marketing research is to include a scale consisting of items that are (a) conceptually unrelated to each other and (b) conceptually unrelated to the substantive constructs studied. In other words, the items in this scale should be heterogeneous in content (i.e., since the items are unrelated, they lack common content so that they can be used to construct a “pure” measure of method effects) and unrelated to the substantive constructs in the study. Based on the items in this scale (which we will call a response style scale), the researcher can then calculate various indices of stylistic responding, which are often a source of method effects and which have been shown to vary systematically </w:t>
      </w:r>
      <w:r>
        <w:rPr>
          <w:szCs w:val="24"/>
          <w:lang w:val="en-US"/>
        </w:rPr>
        <w:lastRenderedPageBreak/>
        <w:t xml:space="preserve">across cultures and countries </w:t>
      </w:r>
      <w:r>
        <w:rPr>
          <w:noProof/>
          <w:szCs w:val="24"/>
          <w:lang w:val="en-US"/>
        </w:rPr>
        <w:t>(Baumgartner and Weijters 2015)</w:t>
      </w:r>
      <w:r>
        <w:rPr>
          <w:szCs w:val="24"/>
          <w:lang w:val="en-US"/>
        </w:rPr>
        <w:t xml:space="preserve">. Among the most common response styles are (dis)acquiescent and net acquiescent responding, extreme responding, and midpoint </w:t>
      </w:r>
      <w:r w:rsidRPr="00576AFE">
        <w:rPr>
          <w:rFonts w:cs="Times New Roman"/>
          <w:szCs w:val="24"/>
          <w:lang w:val="en-US"/>
        </w:rPr>
        <w:t xml:space="preserve">responding, and they can be computed </w:t>
      </w:r>
      <w:r w:rsidR="00B070E9">
        <w:rPr>
          <w:rFonts w:cs="Times New Roman"/>
          <w:szCs w:val="24"/>
          <w:lang w:val="en-US"/>
        </w:rPr>
        <w:t xml:space="preserve">for each person </w:t>
      </w:r>
      <w:r w:rsidRPr="00576AFE">
        <w:rPr>
          <w:rFonts w:cs="Times New Roman"/>
          <w:szCs w:val="24"/>
          <w:lang w:val="en-US"/>
        </w:rPr>
        <w:t xml:space="preserve">from the items in the response style scale as follows </w:t>
      </w:r>
      <w:r>
        <w:rPr>
          <w:rFonts w:cs="Times New Roman"/>
          <w:noProof/>
          <w:szCs w:val="24"/>
          <w:lang w:val="en-US"/>
        </w:rPr>
        <w:t>(</w:t>
      </w:r>
      <w:r w:rsidR="007542DC" w:rsidRPr="004A2EFF">
        <w:rPr>
          <w:lang w:val="en-US"/>
        </w:rPr>
        <w:t xml:space="preserve">Weijters, Schillewaert, and Geuens </w:t>
      </w:r>
      <w:r>
        <w:rPr>
          <w:rFonts w:cs="Times New Roman"/>
          <w:noProof/>
          <w:szCs w:val="24"/>
          <w:lang w:val="en-US"/>
        </w:rPr>
        <w:t>2008)</w:t>
      </w:r>
      <w:r w:rsidRPr="00576AFE">
        <w:rPr>
          <w:rFonts w:cs="Times New Roman"/>
          <w:szCs w:val="24"/>
          <w:lang w:val="en-US"/>
        </w:rPr>
        <w:t xml:space="preserve">:     </w:t>
      </w:r>
    </w:p>
    <w:p w14:paraId="34A7C651" w14:textId="77777777" w:rsidR="007A6739" w:rsidRPr="00576AFE" w:rsidRDefault="007A6739" w:rsidP="00B070E9">
      <w:pPr>
        <w:pStyle w:val="ListParagraph"/>
        <w:numPr>
          <w:ilvl w:val="0"/>
          <w:numId w:val="9"/>
        </w:numPr>
        <w:spacing w:after="0" w:line="480" w:lineRule="auto"/>
        <w:ind w:left="720"/>
        <w:rPr>
          <w:rFonts w:ascii="Times New Roman" w:hAnsi="Times New Roman" w:cs="Times New Roman"/>
          <w:sz w:val="24"/>
          <w:szCs w:val="24"/>
          <w:lang w:val="en-US"/>
        </w:rPr>
      </w:pPr>
      <w:r w:rsidRPr="00576AFE">
        <w:rPr>
          <w:rFonts w:ascii="Times New Roman" w:hAnsi="Times New Roman" w:cs="Times New Roman"/>
          <w:sz w:val="24"/>
          <w:szCs w:val="24"/>
          <w:lang w:val="en-US"/>
        </w:rPr>
        <w:t xml:space="preserve">Acquiescent responding: ARS = [ </w:t>
      </w:r>
      <w:r w:rsidRPr="00576AFE">
        <w:rPr>
          <w:rFonts w:ascii="Times New Roman" w:hAnsi="Times New Roman" w:cs="Times New Roman"/>
          <w:i/>
          <w:iCs/>
          <w:sz w:val="24"/>
          <w:szCs w:val="24"/>
          <w:lang w:val="en-US"/>
        </w:rPr>
        <w:t xml:space="preserve">f </w:t>
      </w:r>
      <w:r w:rsidRPr="00576AFE">
        <w:rPr>
          <w:rFonts w:ascii="Times New Roman" w:hAnsi="Times New Roman" w:cs="Times New Roman"/>
          <w:sz w:val="24"/>
          <w:szCs w:val="24"/>
          <w:lang w:val="en-US"/>
        </w:rPr>
        <w:t xml:space="preserve">(4)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sz w:val="24"/>
          <w:szCs w:val="24"/>
          <w:lang w:val="en-US"/>
        </w:rPr>
        <w:t xml:space="preserve">1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i/>
          <w:iCs/>
          <w:sz w:val="24"/>
          <w:szCs w:val="24"/>
          <w:lang w:val="en-US"/>
        </w:rPr>
        <w:t xml:space="preserve">f </w:t>
      </w:r>
      <w:r w:rsidRPr="00576AFE">
        <w:rPr>
          <w:rFonts w:ascii="Times New Roman" w:hAnsi="Times New Roman" w:cs="Times New Roman"/>
          <w:sz w:val="24"/>
          <w:szCs w:val="24"/>
          <w:lang w:val="en-US"/>
        </w:rPr>
        <w:t xml:space="preserve">(5)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sz w:val="24"/>
          <w:szCs w:val="24"/>
          <w:lang w:val="en-US"/>
        </w:rPr>
        <w:t xml:space="preserve">2 ] / </w:t>
      </w:r>
      <w:r w:rsidRPr="00576AFE">
        <w:rPr>
          <w:rFonts w:ascii="Times New Roman" w:hAnsi="Times New Roman" w:cs="Times New Roman"/>
          <w:i/>
          <w:iCs/>
          <w:sz w:val="24"/>
          <w:szCs w:val="24"/>
          <w:lang w:val="en-US"/>
        </w:rPr>
        <w:t>k</w:t>
      </w:r>
    </w:p>
    <w:p w14:paraId="236FE5CC" w14:textId="77777777" w:rsidR="007A6739" w:rsidRPr="00576AFE" w:rsidRDefault="007A6739" w:rsidP="00B070E9">
      <w:pPr>
        <w:pStyle w:val="ListParagraph"/>
        <w:numPr>
          <w:ilvl w:val="0"/>
          <w:numId w:val="9"/>
        </w:numPr>
        <w:spacing w:after="0" w:line="480" w:lineRule="auto"/>
        <w:ind w:left="720"/>
        <w:rPr>
          <w:rFonts w:ascii="Times New Roman" w:hAnsi="Times New Roman" w:cs="Times New Roman"/>
          <w:sz w:val="24"/>
          <w:szCs w:val="24"/>
          <w:lang w:val="en-US"/>
        </w:rPr>
      </w:pPr>
      <w:r w:rsidRPr="00576AFE">
        <w:rPr>
          <w:rFonts w:ascii="Times New Roman" w:hAnsi="Times New Roman" w:cs="Times New Roman"/>
          <w:sz w:val="24"/>
          <w:szCs w:val="24"/>
          <w:lang w:val="en-US"/>
        </w:rPr>
        <w:t xml:space="preserve">Disacquiescent responding: DARS = [ </w:t>
      </w:r>
      <w:r w:rsidRPr="00576AFE">
        <w:rPr>
          <w:rFonts w:ascii="Times New Roman" w:hAnsi="Times New Roman" w:cs="Times New Roman"/>
          <w:i/>
          <w:iCs/>
          <w:sz w:val="24"/>
          <w:szCs w:val="24"/>
          <w:lang w:val="en-US"/>
        </w:rPr>
        <w:t xml:space="preserve">f </w:t>
      </w:r>
      <w:r w:rsidRPr="00576AFE">
        <w:rPr>
          <w:rFonts w:ascii="Times New Roman" w:hAnsi="Times New Roman" w:cs="Times New Roman"/>
          <w:sz w:val="24"/>
          <w:szCs w:val="24"/>
          <w:lang w:val="en-US"/>
        </w:rPr>
        <w:t xml:space="preserve">(2)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sz w:val="24"/>
          <w:szCs w:val="24"/>
          <w:lang w:val="en-US"/>
        </w:rPr>
        <w:t xml:space="preserve">1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i/>
          <w:iCs/>
          <w:sz w:val="24"/>
          <w:szCs w:val="24"/>
          <w:lang w:val="en-US"/>
        </w:rPr>
        <w:t xml:space="preserve">f </w:t>
      </w:r>
      <w:r w:rsidRPr="00576AFE">
        <w:rPr>
          <w:rFonts w:ascii="Times New Roman" w:hAnsi="Times New Roman" w:cs="Times New Roman"/>
          <w:sz w:val="24"/>
          <w:szCs w:val="24"/>
          <w:lang w:val="en-US"/>
        </w:rPr>
        <w:t xml:space="preserve">(1)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sz w:val="24"/>
          <w:szCs w:val="24"/>
          <w:lang w:val="en-US"/>
        </w:rPr>
        <w:t xml:space="preserve">2 ] / </w:t>
      </w:r>
      <w:r w:rsidRPr="00576AFE">
        <w:rPr>
          <w:rFonts w:ascii="Times New Roman" w:hAnsi="Times New Roman" w:cs="Times New Roman"/>
          <w:i/>
          <w:iCs/>
          <w:sz w:val="24"/>
          <w:szCs w:val="24"/>
          <w:lang w:val="en-US"/>
        </w:rPr>
        <w:t>k</w:t>
      </w:r>
    </w:p>
    <w:p w14:paraId="16CF8AD2" w14:textId="77777777" w:rsidR="007A6739" w:rsidRDefault="007A6739" w:rsidP="00B070E9">
      <w:pPr>
        <w:pStyle w:val="ListParagraph"/>
        <w:numPr>
          <w:ilvl w:val="0"/>
          <w:numId w:val="9"/>
        </w:numPr>
        <w:spacing w:after="0" w:line="480" w:lineRule="auto"/>
        <w:ind w:left="720"/>
        <w:rPr>
          <w:rFonts w:ascii="Times New Roman" w:hAnsi="Times New Roman" w:cs="Times New Roman"/>
          <w:sz w:val="24"/>
          <w:szCs w:val="24"/>
          <w:lang w:val="en-US"/>
        </w:rPr>
      </w:pPr>
      <w:r w:rsidRPr="00576AFE">
        <w:rPr>
          <w:rFonts w:ascii="Times New Roman" w:hAnsi="Times New Roman" w:cs="Times New Roman"/>
          <w:sz w:val="24"/>
          <w:szCs w:val="24"/>
          <w:lang w:val="en-US"/>
        </w:rPr>
        <w:t xml:space="preserve">Net acquiescent responding: </w:t>
      </w:r>
    </w:p>
    <w:p w14:paraId="330D473F" w14:textId="77777777" w:rsidR="007A6739" w:rsidRPr="00576AFE" w:rsidRDefault="007A6739" w:rsidP="00B070E9">
      <w:pPr>
        <w:pStyle w:val="ListParagraph"/>
        <w:spacing w:after="0" w:line="480" w:lineRule="auto"/>
        <w:ind w:firstLine="348"/>
        <w:rPr>
          <w:rFonts w:ascii="Times New Roman" w:hAnsi="Times New Roman" w:cs="Times New Roman"/>
          <w:sz w:val="24"/>
          <w:szCs w:val="24"/>
          <w:lang w:val="en-US"/>
        </w:rPr>
      </w:pPr>
      <w:r w:rsidRPr="00576AFE">
        <w:rPr>
          <w:rFonts w:ascii="Times New Roman" w:hAnsi="Times New Roman" w:cs="Times New Roman"/>
          <w:sz w:val="24"/>
          <w:szCs w:val="24"/>
          <w:lang w:val="en-US"/>
        </w:rPr>
        <w:t xml:space="preserve">NARS = [ </w:t>
      </w:r>
      <w:r w:rsidRPr="00576AFE">
        <w:rPr>
          <w:rFonts w:ascii="Times New Roman" w:hAnsi="Times New Roman" w:cs="Times New Roman"/>
          <w:i/>
          <w:iCs/>
          <w:sz w:val="24"/>
          <w:szCs w:val="24"/>
          <w:lang w:val="en-US"/>
        </w:rPr>
        <w:t xml:space="preserve">f </w:t>
      </w:r>
      <w:r w:rsidRPr="00576AFE">
        <w:rPr>
          <w:rFonts w:ascii="Times New Roman" w:hAnsi="Times New Roman" w:cs="Times New Roman"/>
          <w:sz w:val="24"/>
          <w:szCs w:val="24"/>
          <w:lang w:val="en-US"/>
        </w:rPr>
        <w:t xml:space="preserve">(1)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sz w:val="24"/>
          <w:szCs w:val="24"/>
          <w:lang w:val="en-US"/>
        </w:rPr>
        <w:t xml:space="preserve">1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i/>
          <w:iCs/>
          <w:sz w:val="24"/>
          <w:szCs w:val="24"/>
          <w:lang w:val="en-US"/>
        </w:rPr>
        <w:t xml:space="preserve">f </w:t>
      </w:r>
      <w:r w:rsidRPr="00576AFE">
        <w:rPr>
          <w:rFonts w:ascii="Times New Roman" w:hAnsi="Times New Roman" w:cs="Times New Roman"/>
          <w:sz w:val="24"/>
          <w:szCs w:val="24"/>
          <w:lang w:val="en-US"/>
        </w:rPr>
        <w:t xml:space="preserve">(2)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sz w:val="24"/>
          <w:szCs w:val="24"/>
          <w:lang w:val="en-US"/>
        </w:rPr>
        <w:t>2 +</w:t>
      </w:r>
      <w:r w:rsidRPr="00576AFE">
        <w:rPr>
          <w:rFonts w:ascii="Times New Roman" w:hAnsi="Times New Roman" w:cs="Times New Roman"/>
          <w:i/>
          <w:iCs/>
          <w:sz w:val="24"/>
          <w:szCs w:val="24"/>
          <w:lang w:val="en-US"/>
        </w:rPr>
        <w:t xml:space="preserve"> f </w:t>
      </w:r>
      <w:r w:rsidRPr="00576AFE">
        <w:rPr>
          <w:rFonts w:ascii="Times New Roman" w:hAnsi="Times New Roman" w:cs="Times New Roman"/>
          <w:sz w:val="24"/>
          <w:szCs w:val="24"/>
          <w:lang w:val="en-US"/>
        </w:rPr>
        <w:t xml:space="preserve">(3) </w:t>
      </w:r>
      <w:r w:rsidRPr="00576AFE">
        <w:rPr>
          <w:rFonts w:ascii="Times New Roman" w:eastAsia="MTSY" w:hAnsi="Times New Roman" w:cs="Times New Roman"/>
          <w:sz w:val="24"/>
          <w:szCs w:val="24"/>
          <w:lang w:val="en-US"/>
        </w:rPr>
        <w:t xml:space="preserve">× 3 + </w:t>
      </w:r>
      <w:r w:rsidRPr="00576AFE">
        <w:rPr>
          <w:rFonts w:ascii="Times New Roman" w:hAnsi="Times New Roman" w:cs="Times New Roman"/>
          <w:i/>
          <w:iCs/>
          <w:sz w:val="24"/>
          <w:szCs w:val="24"/>
          <w:lang w:val="en-US"/>
        </w:rPr>
        <w:t xml:space="preserve">f </w:t>
      </w:r>
      <w:r w:rsidRPr="00576AFE">
        <w:rPr>
          <w:rFonts w:ascii="Times New Roman" w:hAnsi="Times New Roman" w:cs="Times New Roman"/>
          <w:sz w:val="24"/>
          <w:szCs w:val="24"/>
          <w:lang w:val="en-US"/>
        </w:rPr>
        <w:t xml:space="preserve">(4) </w:t>
      </w:r>
      <w:r w:rsidRPr="00576AFE">
        <w:rPr>
          <w:rFonts w:ascii="Times New Roman" w:eastAsia="MTSY" w:hAnsi="Times New Roman" w:cs="Times New Roman"/>
          <w:sz w:val="24"/>
          <w:szCs w:val="24"/>
          <w:lang w:val="en-US"/>
        </w:rPr>
        <w:t xml:space="preserve">× 4 + </w:t>
      </w:r>
      <w:r w:rsidRPr="00576AFE">
        <w:rPr>
          <w:rFonts w:ascii="Times New Roman" w:hAnsi="Times New Roman" w:cs="Times New Roman"/>
          <w:i/>
          <w:iCs/>
          <w:sz w:val="24"/>
          <w:szCs w:val="24"/>
          <w:lang w:val="en-US"/>
        </w:rPr>
        <w:t xml:space="preserve">f </w:t>
      </w:r>
      <w:r w:rsidRPr="00576AFE">
        <w:rPr>
          <w:rFonts w:ascii="Times New Roman" w:hAnsi="Times New Roman" w:cs="Times New Roman"/>
          <w:sz w:val="24"/>
          <w:szCs w:val="24"/>
          <w:lang w:val="en-US"/>
        </w:rPr>
        <w:t xml:space="preserve">(5) </w:t>
      </w:r>
      <w:r w:rsidRPr="00576AFE">
        <w:rPr>
          <w:rFonts w:ascii="Times New Roman" w:eastAsia="MTSY" w:hAnsi="Times New Roman" w:cs="Times New Roman"/>
          <w:sz w:val="24"/>
          <w:szCs w:val="24"/>
          <w:lang w:val="en-US"/>
        </w:rPr>
        <w:t>× 5</w:t>
      </w:r>
      <w:r w:rsidRPr="00576AFE">
        <w:rPr>
          <w:rFonts w:ascii="Times New Roman" w:hAnsi="Times New Roman" w:cs="Times New Roman"/>
          <w:sz w:val="24"/>
          <w:szCs w:val="24"/>
          <w:lang w:val="en-US"/>
        </w:rPr>
        <w:t xml:space="preserve">] / </w:t>
      </w:r>
      <w:r w:rsidRPr="00576AFE">
        <w:rPr>
          <w:rFonts w:ascii="Times New Roman" w:hAnsi="Times New Roman" w:cs="Times New Roman"/>
          <w:i/>
          <w:iCs/>
          <w:sz w:val="24"/>
          <w:szCs w:val="24"/>
          <w:lang w:val="en-US"/>
        </w:rPr>
        <w:t>k</w:t>
      </w:r>
    </w:p>
    <w:p w14:paraId="1F731521" w14:textId="77777777" w:rsidR="007A6739" w:rsidRPr="00576AFE" w:rsidRDefault="007A6739" w:rsidP="00B070E9">
      <w:pPr>
        <w:pStyle w:val="ListParagraph"/>
        <w:numPr>
          <w:ilvl w:val="0"/>
          <w:numId w:val="9"/>
        </w:numPr>
        <w:spacing w:after="0" w:line="480" w:lineRule="auto"/>
        <w:ind w:left="720"/>
        <w:rPr>
          <w:rFonts w:ascii="Times New Roman" w:hAnsi="Times New Roman" w:cs="Times New Roman"/>
          <w:sz w:val="24"/>
          <w:szCs w:val="24"/>
          <w:lang w:val="en-US"/>
        </w:rPr>
      </w:pPr>
      <w:r w:rsidRPr="00576AFE">
        <w:rPr>
          <w:rFonts w:ascii="Times New Roman" w:hAnsi="Times New Roman" w:cs="Times New Roman"/>
          <w:sz w:val="24"/>
          <w:szCs w:val="24"/>
          <w:lang w:val="en-US"/>
        </w:rPr>
        <w:t xml:space="preserve">Extreme responding: ERS = [ </w:t>
      </w:r>
      <w:r w:rsidRPr="00576AFE">
        <w:rPr>
          <w:rFonts w:ascii="Times New Roman" w:hAnsi="Times New Roman" w:cs="Times New Roman"/>
          <w:i/>
          <w:iCs/>
          <w:sz w:val="24"/>
          <w:szCs w:val="24"/>
          <w:lang w:val="en-US"/>
        </w:rPr>
        <w:t xml:space="preserve">f </w:t>
      </w:r>
      <w:r w:rsidRPr="00576AFE">
        <w:rPr>
          <w:rFonts w:ascii="Times New Roman" w:hAnsi="Times New Roman" w:cs="Times New Roman"/>
          <w:sz w:val="24"/>
          <w:szCs w:val="24"/>
          <w:lang w:val="en-US"/>
        </w:rPr>
        <w:t xml:space="preserve">(1)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sz w:val="24"/>
          <w:szCs w:val="24"/>
          <w:lang w:val="en-US"/>
        </w:rPr>
        <w:t xml:space="preserve">1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i/>
          <w:iCs/>
          <w:sz w:val="24"/>
          <w:szCs w:val="24"/>
          <w:lang w:val="en-US"/>
        </w:rPr>
        <w:t xml:space="preserve">f </w:t>
      </w:r>
      <w:r w:rsidRPr="00576AFE">
        <w:rPr>
          <w:rFonts w:ascii="Times New Roman" w:hAnsi="Times New Roman" w:cs="Times New Roman"/>
          <w:sz w:val="24"/>
          <w:szCs w:val="24"/>
          <w:lang w:val="en-US"/>
        </w:rPr>
        <w:t xml:space="preserve">(5) </w:t>
      </w:r>
      <w:r w:rsidRPr="00576AFE">
        <w:rPr>
          <w:rFonts w:ascii="Times New Roman" w:eastAsia="MTSY" w:hAnsi="Times New Roman" w:cs="Times New Roman"/>
          <w:sz w:val="24"/>
          <w:szCs w:val="24"/>
          <w:lang w:val="en-US"/>
        </w:rPr>
        <w:t>× 1</w:t>
      </w:r>
      <w:r w:rsidRPr="00576AFE">
        <w:rPr>
          <w:rFonts w:ascii="Times New Roman" w:hAnsi="Times New Roman" w:cs="Times New Roman"/>
          <w:sz w:val="24"/>
          <w:szCs w:val="24"/>
          <w:lang w:val="en-US"/>
        </w:rPr>
        <w:t xml:space="preserve"> ] / </w:t>
      </w:r>
      <w:r w:rsidRPr="00576AFE">
        <w:rPr>
          <w:rFonts w:ascii="Times New Roman" w:hAnsi="Times New Roman" w:cs="Times New Roman"/>
          <w:i/>
          <w:iCs/>
          <w:sz w:val="24"/>
          <w:szCs w:val="24"/>
          <w:lang w:val="en-US"/>
        </w:rPr>
        <w:t>k</w:t>
      </w:r>
    </w:p>
    <w:p w14:paraId="1CFE5347" w14:textId="77777777" w:rsidR="007A6739" w:rsidRPr="00576AFE" w:rsidRDefault="007A6739" w:rsidP="00B070E9">
      <w:pPr>
        <w:pStyle w:val="ListParagraph"/>
        <w:numPr>
          <w:ilvl w:val="0"/>
          <w:numId w:val="9"/>
        </w:numPr>
        <w:spacing w:after="0" w:line="480" w:lineRule="auto"/>
        <w:ind w:left="720"/>
        <w:rPr>
          <w:rFonts w:ascii="Times New Roman" w:hAnsi="Times New Roman" w:cs="Times New Roman"/>
          <w:sz w:val="24"/>
          <w:szCs w:val="24"/>
          <w:lang w:val="en-US"/>
        </w:rPr>
      </w:pPr>
      <w:r w:rsidRPr="00576AFE">
        <w:rPr>
          <w:rFonts w:ascii="Times New Roman" w:hAnsi="Times New Roman" w:cs="Times New Roman"/>
          <w:sz w:val="24"/>
          <w:szCs w:val="24"/>
          <w:lang w:val="en-US"/>
        </w:rPr>
        <w:t xml:space="preserve">Midpoint responding: MRS = [ </w:t>
      </w:r>
      <w:r w:rsidRPr="00576AFE">
        <w:rPr>
          <w:rFonts w:ascii="Times New Roman" w:hAnsi="Times New Roman" w:cs="Times New Roman"/>
          <w:i/>
          <w:iCs/>
          <w:sz w:val="24"/>
          <w:szCs w:val="24"/>
          <w:lang w:val="en-US"/>
        </w:rPr>
        <w:t xml:space="preserve">f </w:t>
      </w:r>
      <w:r w:rsidRPr="00576AFE">
        <w:rPr>
          <w:rFonts w:ascii="Times New Roman" w:hAnsi="Times New Roman" w:cs="Times New Roman"/>
          <w:sz w:val="24"/>
          <w:szCs w:val="24"/>
          <w:lang w:val="en-US"/>
        </w:rPr>
        <w:t xml:space="preserve">(3) </w:t>
      </w:r>
      <w:r w:rsidRPr="00576AFE">
        <w:rPr>
          <w:rFonts w:ascii="Times New Roman" w:eastAsia="MTSY" w:hAnsi="Times New Roman" w:cs="Times New Roman"/>
          <w:sz w:val="24"/>
          <w:szCs w:val="24"/>
          <w:lang w:val="en-US"/>
        </w:rPr>
        <w:t xml:space="preserve">× </w:t>
      </w:r>
      <w:r w:rsidRPr="00576AFE">
        <w:rPr>
          <w:rFonts w:ascii="Times New Roman" w:hAnsi="Times New Roman" w:cs="Times New Roman"/>
          <w:sz w:val="24"/>
          <w:szCs w:val="24"/>
          <w:lang w:val="en-US"/>
        </w:rPr>
        <w:t xml:space="preserve">1] / </w:t>
      </w:r>
      <w:r w:rsidRPr="00576AFE">
        <w:rPr>
          <w:rFonts w:ascii="Times New Roman" w:hAnsi="Times New Roman" w:cs="Times New Roman"/>
          <w:i/>
          <w:iCs/>
          <w:sz w:val="24"/>
          <w:szCs w:val="24"/>
          <w:lang w:val="en-US"/>
        </w:rPr>
        <w:t>k</w:t>
      </w:r>
    </w:p>
    <w:p w14:paraId="63CD9EC9" w14:textId="37F6D308" w:rsidR="007A6739" w:rsidRDefault="007A6739" w:rsidP="00B070E9">
      <w:pPr>
        <w:autoSpaceDE w:val="0"/>
        <w:autoSpaceDN w:val="0"/>
        <w:adjustRightInd w:val="0"/>
        <w:spacing w:before="0" w:beforeAutospacing="0" w:after="0" w:afterAutospacing="0"/>
        <w:rPr>
          <w:rFonts w:cs="Times New Roman"/>
          <w:szCs w:val="24"/>
          <w:lang w:val="en-US"/>
        </w:rPr>
      </w:pPr>
      <w:r w:rsidRPr="00576AFE">
        <w:rPr>
          <w:rFonts w:cs="Times New Roman"/>
          <w:szCs w:val="24"/>
          <w:lang w:val="en-US"/>
        </w:rPr>
        <w:t xml:space="preserve">where </w:t>
      </w:r>
      <w:r w:rsidRPr="00576AFE">
        <w:rPr>
          <w:rFonts w:cs="Times New Roman"/>
          <w:i/>
          <w:iCs/>
          <w:szCs w:val="24"/>
          <w:lang w:val="en-US"/>
        </w:rPr>
        <w:t xml:space="preserve">f </w:t>
      </w:r>
      <w:r w:rsidRPr="00576AFE">
        <w:rPr>
          <w:rFonts w:cs="Times New Roman"/>
          <w:szCs w:val="24"/>
          <w:lang w:val="en-US"/>
        </w:rPr>
        <w:t xml:space="preserve">(x) refers to the frequency with which response option x is chosen </w:t>
      </w:r>
      <w:r w:rsidR="00B070E9">
        <w:rPr>
          <w:rFonts w:cs="Times New Roman"/>
          <w:szCs w:val="24"/>
          <w:lang w:val="en-US"/>
        </w:rPr>
        <w:t xml:space="preserve">by a respondent </w:t>
      </w:r>
      <w:r w:rsidRPr="00576AFE">
        <w:rPr>
          <w:rFonts w:cs="Times New Roman"/>
          <w:szCs w:val="24"/>
          <w:lang w:val="en-US"/>
        </w:rPr>
        <w:t xml:space="preserve">across all k items in the response style scale. In these expressions, we have assumed that there are </w:t>
      </w:r>
      <w:r>
        <w:rPr>
          <w:rFonts w:cs="Times New Roman"/>
          <w:szCs w:val="24"/>
          <w:lang w:val="en-US"/>
        </w:rPr>
        <w:t>five</w:t>
      </w:r>
      <w:r w:rsidRPr="00576AFE">
        <w:rPr>
          <w:rFonts w:cs="Times New Roman"/>
          <w:szCs w:val="24"/>
          <w:lang w:val="en-US"/>
        </w:rPr>
        <w:t xml:space="preserve"> response </w:t>
      </w:r>
      <w:r>
        <w:rPr>
          <w:rFonts w:cs="Times New Roman"/>
          <w:szCs w:val="24"/>
          <w:lang w:val="en-US"/>
        </w:rPr>
        <w:t>options (because 5-point scales seem to be most common in practice), but extensions to more than five response categories are straightforward. Prior research has shown, for example, that respondents from individualistic cultures are more likely to engage in extreme responding and less likely to engage in (net) acquiescent and midpoint responding; the opposite is true for respondents from collectivist cultures (see the review in Baumgartner and Weijters 2015). Since these response styles vary systematically across cultures, it is important to take into account these differences, otherwise stylistic response differences could be mistaken for substantive differences.</w:t>
      </w:r>
    </w:p>
    <w:p w14:paraId="6251769C" w14:textId="08F52391" w:rsidR="007A6739" w:rsidRDefault="007A6739" w:rsidP="00B070E9">
      <w:pPr>
        <w:autoSpaceDE w:val="0"/>
        <w:autoSpaceDN w:val="0"/>
        <w:adjustRightInd w:val="0"/>
        <w:spacing w:before="0" w:beforeAutospacing="0" w:after="0" w:afterAutospacing="0"/>
        <w:rPr>
          <w:rFonts w:cs="Times New Roman"/>
          <w:szCs w:val="24"/>
          <w:lang w:val="en-US"/>
        </w:rPr>
      </w:pPr>
      <w:r>
        <w:rPr>
          <w:rFonts w:cs="Times New Roman"/>
          <w:szCs w:val="24"/>
          <w:lang w:val="en-US"/>
        </w:rPr>
        <w:tab/>
        <w:t xml:space="preserve">Instead of directly measuring method effects, a researcher may sometimes specify a method factor that tries to infer method effects from the substantive items. While this approach has the advantage that it does not require the inclusion of separate response style items, it has to be used with great care. For example, specifying a general method factor on </w:t>
      </w:r>
      <w:r>
        <w:rPr>
          <w:rFonts w:cs="Times New Roman"/>
          <w:szCs w:val="24"/>
          <w:lang w:val="en-US"/>
        </w:rPr>
        <w:lastRenderedPageBreak/>
        <w:t>which all the items are allowed to load (in addition to the substantive factors) is unlikely to yield a valid test of method effects in general. As discussed earlier, one exception occurs when the substantive constructs are measured by balanced scales (i.e., scales in which half the items are keyed in one direction and half in the opposite direction), in which case the loadings of the reverse-keyed items on the substantive factor will be negative (if reversed items have not be recoded) and the loadings on the method factor will be positive. Another option is to design the study in such a way that method effects can be distinguished from the substantive effects. For example, a researcher can measure each substantive factor with several different methods (e.g., different scale formats) and then specify an MTMM model in which the variance in each measure can be partitioned into substantive variance, method variance, and unique variance. Unfortunately, it is often difficult to estimate such models (particularly when the methods are conceptually related), and if the methods are allowed to be correlated, there is no guarantee that the presumed method factors actually measure method effects (see Marsh 1989 and Baumgartner and Weijters 2019 for examples and further discussion).</w:t>
      </w:r>
    </w:p>
    <w:p w14:paraId="6A402698" w14:textId="77777777" w:rsidR="007A6739" w:rsidRDefault="007A6739" w:rsidP="00B070E9">
      <w:pPr>
        <w:autoSpaceDE w:val="0"/>
        <w:autoSpaceDN w:val="0"/>
        <w:adjustRightInd w:val="0"/>
        <w:spacing w:before="0" w:beforeAutospacing="0" w:after="0" w:afterAutospacing="0"/>
        <w:rPr>
          <w:rFonts w:cs="Times New Roman"/>
          <w:szCs w:val="24"/>
          <w:lang w:val="en-US"/>
        </w:rPr>
      </w:pPr>
      <w:r>
        <w:rPr>
          <w:rFonts w:cs="Times New Roman"/>
          <w:szCs w:val="24"/>
          <w:lang w:val="en-US"/>
        </w:rPr>
        <w:tab/>
        <w:t>With respect to the second issue, models based on data from several cultures or countries can be specified using a multi-sample analysis (fixed-effect specification) or a hierarchical analysis (random-effect specification). Since the number of cultures or countries for which data are available is usually relatively small, we will focus on the former. We recommend that international marketing researchers specify a series of models and conduct explicit model comparisons to evaluate whether method effects are present and need to be accounted for in testing the substantive hypotheses of interest. In the following discussion we will assume that the model of interest is a factor model in which the relationships between the substantive constructs are modeled as covariances. However, a model with directed relationships between the constructs could also be specified.</w:t>
      </w:r>
    </w:p>
    <w:p w14:paraId="68B3462C" w14:textId="33F4CA02" w:rsidR="007A6739" w:rsidRPr="0060478C" w:rsidRDefault="007A6739" w:rsidP="005D5128">
      <w:pPr>
        <w:autoSpaceDE w:val="0"/>
        <w:autoSpaceDN w:val="0"/>
        <w:adjustRightInd w:val="0"/>
        <w:spacing w:before="0" w:beforeAutospacing="0" w:after="0" w:afterAutospacing="0"/>
        <w:rPr>
          <w:b/>
          <w:bCs/>
          <w:caps/>
          <w:lang w:val="en-US"/>
        </w:rPr>
      </w:pPr>
      <w:r>
        <w:rPr>
          <w:rFonts w:cs="Times New Roman"/>
          <w:szCs w:val="24"/>
          <w:lang w:val="en-US"/>
        </w:rPr>
        <w:lastRenderedPageBreak/>
        <w:tab/>
        <w:t xml:space="preserve">The first model is a factor model in which only the substantive factors are considered and all parameters are freely estimated in all </w:t>
      </w:r>
      <w:r w:rsidR="00B070E9">
        <w:rPr>
          <w:rFonts w:cs="Times New Roman"/>
          <w:szCs w:val="24"/>
          <w:lang w:val="en-US"/>
        </w:rPr>
        <w:t xml:space="preserve">cultures or </w:t>
      </w:r>
      <w:r>
        <w:rPr>
          <w:rFonts w:cs="Times New Roman"/>
          <w:szCs w:val="24"/>
          <w:lang w:val="en-US"/>
        </w:rPr>
        <w:t xml:space="preserve">countries. This model serves as a baseline model. Next, methods effects are introduced, either by </w:t>
      </w:r>
      <w:r w:rsidR="00E3025F">
        <w:rPr>
          <w:rFonts w:cs="Times New Roman"/>
          <w:szCs w:val="24"/>
          <w:lang w:val="en-US"/>
        </w:rPr>
        <w:t xml:space="preserve">(a) </w:t>
      </w:r>
      <w:r>
        <w:rPr>
          <w:rFonts w:cs="Times New Roman"/>
          <w:szCs w:val="24"/>
          <w:lang w:val="en-US"/>
        </w:rPr>
        <w:t xml:space="preserve">relating each observed measure to a directly measured method effect or </w:t>
      </w:r>
      <w:r w:rsidR="00E3025F">
        <w:rPr>
          <w:rFonts w:cs="Times New Roman"/>
          <w:szCs w:val="24"/>
          <w:lang w:val="en-US"/>
        </w:rPr>
        <w:t xml:space="preserve">(b) </w:t>
      </w:r>
      <w:r>
        <w:rPr>
          <w:rFonts w:cs="Times New Roman"/>
          <w:szCs w:val="24"/>
          <w:lang w:val="en-US"/>
        </w:rPr>
        <w:t xml:space="preserve">specifying a latent method factor (or multiple method factors) in an effort to infer method effects from the substantive items. Method effects are present if (a) the direct measure of method effects has a significant influence on the observed measures (an overall test can be conducted by comparing the model in which all method effects are constrained to zero with a model in which the method effects are freely estimated) or (b) the loadings of the substantive items on the inferred method factor(s) are significant (an overall test can be conducted by comparing the model with method effects to the baseline model). If method effects are found to be present, a researcher may consider further models in which the method effects or method loadings are constrained to be equal across items. A comparison of this model with the previous model tests whether method effects are uniform across items. Finally, the preferred model specification based on these model comparisons can be compared across cultures or countries. Unless a researcher wants to compare method effects or relationships between method effects and other constructs across cultures or countries, it is not necessary to establish the (metric or scalar) invariance of method effects across groups. However, researchers often want to compare scores on substantive constructs (e.g., means) or relationships between substantive constructs across cultures or countries. If such comparisons are to be conducted, it is necessary to establish the metric or scalar invariance of the purified observed measures of the substantive constructs (i.e., the observed measures that have been purged of method effects) </w:t>
      </w:r>
      <w:r>
        <w:rPr>
          <w:rFonts w:cs="Times New Roman"/>
          <w:noProof/>
          <w:szCs w:val="24"/>
          <w:lang w:val="en-US"/>
        </w:rPr>
        <w:t>(Steenkamp and Baumgartner 1998)</w:t>
      </w:r>
      <w:r>
        <w:rPr>
          <w:rFonts w:cs="Times New Roman"/>
          <w:szCs w:val="24"/>
          <w:lang w:val="en-US"/>
        </w:rPr>
        <w:t xml:space="preserve">. If a researcher only wants to compare covariances or structural relations across groups, it is sufficient to assess the metric invariance of </w:t>
      </w:r>
      <w:r w:rsidR="00B070E9">
        <w:rPr>
          <w:rFonts w:cs="Times New Roman"/>
          <w:szCs w:val="24"/>
          <w:lang w:val="en-US"/>
        </w:rPr>
        <w:t xml:space="preserve">the </w:t>
      </w:r>
      <w:r>
        <w:rPr>
          <w:rFonts w:cs="Times New Roman"/>
          <w:szCs w:val="24"/>
          <w:lang w:val="en-US"/>
        </w:rPr>
        <w:t xml:space="preserve">substantive loadings. In </w:t>
      </w:r>
      <w:r>
        <w:rPr>
          <w:rFonts w:cs="Times New Roman"/>
          <w:szCs w:val="24"/>
          <w:lang w:val="en-US"/>
        </w:rPr>
        <w:lastRenderedPageBreak/>
        <w:t xml:space="preserve">contrast, when construct means are to be compared across cultures or countries, the scalar invariance of </w:t>
      </w:r>
      <w:r w:rsidR="00B070E9">
        <w:rPr>
          <w:rFonts w:cs="Times New Roman"/>
          <w:szCs w:val="24"/>
          <w:lang w:val="en-US"/>
        </w:rPr>
        <w:t xml:space="preserve">the </w:t>
      </w:r>
      <w:r>
        <w:rPr>
          <w:rFonts w:cs="Times New Roman"/>
          <w:szCs w:val="24"/>
          <w:lang w:val="en-US"/>
        </w:rPr>
        <w:t xml:space="preserve">items has to be tested as well (see Steenkamp and Baumgartner 1998 for details). Additional details will be provided in the context of the empirical application below.          </w:t>
      </w:r>
      <w:r w:rsidRPr="0060478C">
        <w:rPr>
          <w:b/>
          <w:bCs/>
          <w:caps/>
          <w:lang w:val="en-US"/>
        </w:rPr>
        <w:t>Study 2</w:t>
      </w:r>
    </w:p>
    <w:p w14:paraId="4097F447" w14:textId="50AEFAB9" w:rsidR="007A6739" w:rsidRDefault="007A6739" w:rsidP="0060478C">
      <w:pPr>
        <w:spacing w:before="0" w:beforeAutospacing="0" w:after="0" w:afterAutospacing="0"/>
        <w:ind w:firstLine="708"/>
        <w:rPr>
          <w:lang w:val="en-US"/>
        </w:rPr>
      </w:pPr>
      <w:r>
        <w:rPr>
          <w:lang w:val="en-US"/>
        </w:rPr>
        <w:t>The goal of this study is to provide an empirical illustration of the previously described procedure for assessing and controlling CMV across countries. The empirical example in this study</w:t>
      </w:r>
      <w:r w:rsidRPr="00DD5732">
        <w:rPr>
          <w:lang w:val="en-US"/>
        </w:rPr>
        <w:t xml:space="preserve"> </w:t>
      </w:r>
      <w:r>
        <w:rPr>
          <w:lang w:val="en-US"/>
        </w:rPr>
        <w:t xml:space="preserve">focuses on consumer perceptions of a </w:t>
      </w:r>
      <w:r w:rsidRPr="00DD5732">
        <w:rPr>
          <w:lang w:val="en-US"/>
        </w:rPr>
        <w:t>global brand</w:t>
      </w:r>
      <w:r>
        <w:rPr>
          <w:lang w:val="en-US"/>
        </w:rPr>
        <w:t xml:space="preserve"> engaging in cross-national Cause</w:t>
      </w:r>
      <w:r w:rsidR="00A55CAD">
        <w:rPr>
          <w:lang w:val="en-US"/>
        </w:rPr>
        <w:t>-</w:t>
      </w:r>
      <w:r>
        <w:rPr>
          <w:lang w:val="en-US"/>
        </w:rPr>
        <w:t>Related Marketing (CRM), that is, “</w:t>
      </w:r>
      <w:r w:rsidRPr="00DD67A6">
        <w:rPr>
          <w:lang w:val="en-US"/>
        </w:rPr>
        <w:t>activities by firms to contribute to designated causes</w:t>
      </w:r>
      <w:r>
        <w:rPr>
          <w:lang w:val="en-US"/>
        </w:rPr>
        <w:t>”</w:t>
      </w:r>
      <w:r w:rsidRPr="00A36F25">
        <w:rPr>
          <w:lang w:val="en-US"/>
        </w:rPr>
        <w:t xml:space="preserve"> </w:t>
      </w:r>
      <w:r>
        <w:rPr>
          <w:noProof/>
          <w:lang w:val="en-US"/>
        </w:rPr>
        <w:t>(Strizhakova and Coulter 2019)</w:t>
      </w:r>
      <w:r>
        <w:rPr>
          <w:lang w:val="en-US"/>
        </w:rPr>
        <w:t xml:space="preserve">. In line with previous research in this domain </w:t>
      </w:r>
      <w:r>
        <w:rPr>
          <w:noProof/>
          <w:lang w:val="en-US"/>
        </w:rPr>
        <w:t>(Klein and Dawar 2004; Sen and Bhattacharya 2001)</w:t>
      </w:r>
      <w:r w:rsidRPr="00DD5732">
        <w:rPr>
          <w:lang w:val="en-US"/>
        </w:rPr>
        <w:t xml:space="preserve">, we </w:t>
      </w:r>
      <w:r>
        <w:rPr>
          <w:lang w:val="en-US"/>
        </w:rPr>
        <w:t>apply</w:t>
      </w:r>
      <w:r w:rsidRPr="00DD5732">
        <w:rPr>
          <w:lang w:val="en-US"/>
        </w:rPr>
        <w:t xml:space="preserve"> Weiner’s attribution model </w:t>
      </w:r>
      <w:r>
        <w:rPr>
          <w:noProof/>
          <w:lang w:val="en-US"/>
        </w:rPr>
        <w:t xml:space="preserve">(Weiner </w:t>
      </w:r>
      <w:r w:rsidR="00B070E9">
        <w:rPr>
          <w:noProof/>
          <w:lang w:val="en-US"/>
        </w:rPr>
        <w:t xml:space="preserve">1980, </w:t>
      </w:r>
      <w:r>
        <w:rPr>
          <w:noProof/>
          <w:lang w:val="en-US"/>
        </w:rPr>
        <w:t xml:space="preserve">1985; </w:t>
      </w:r>
      <w:r w:rsidR="00B070E9" w:rsidRPr="004A2EFF">
        <w:rPr>
          <w:lang w:val="en-US"/>
        </w:rPr>
        <w:t>Weiner, Graham, and Chandler</w:t>
      </w:r>
      <w:r>
        <w:rPr>
          <w:noProof/>
          <w:lang w:val="en-US"/>
        </w:rPr>
        <w:t xml:space="preserve"> 1982)</w:t>
      </w:r>
      <w:r>
        <w:rPr>
          <w:lang w:val="en-US"/>
        </w:rPr>
        <w:t xml:space="preserve"> </w:t>
      </w:r>
      <w:r w:rsidRPr="00DD5732">
        <w:rPr>
          <w:lang w:val="en-US"/>
        </w:rPr>
        <w:t xml:space="preserve">to </w:t>
      </w:r>
      <w:r>
        <w:rPr>
          <w:lang w:val="en-US"/>
        </w:rPr>
        <w:t xml:space="preserve">estimate individual variation in consumer perceptions of a brand's CRM initiatives. </w:t>
      </w:r>
      <w:r w:rsidRPr="00DD5732">
        <w:rPr>
          <w:lang w:val="en-US"/>
        </w:rPr>
        <w:t>Weiner’s model distinguishes three dimensions of attribution</w:t>
      </w:r>
      <w:r>
        <w:rPr>
          <w:lang w:val="en-US"/>
        </w:rPr>
        <w:t>s</w:t>
      </w:r>
      <w:r w:rsidRPr="00DD5732">
        <w:rPr>
          <w:lang w:val="en-US"/>
        </w:rPr>
        <w:t xml:space="preserve"> that influence the inferences consumer</w:t>
      </w:r>
      <w:r>
        <w:rPr>
          <w:lang w:val="en-US"/>
        </w:rPr>
        <w:t xml:space="preserve">s </w:t>
      </w:r>
      <w:r w:rsidR="00B070E9">
        <w:rPr>
          <w:lang w:val="en-US"/>
        </w:rPr>
        <w:t>draw</w:t>
      </w:r>
      <w:r>
        <w:rPr>
          <w:lang w:val="en-US"/>
        </w:rPr>
        <w:t xml:space="preserve"> from an event or behavio</w:t>
      </w:r>
      <w:r w:rsidRPr="00DD5732">
        <w:rPr>
          <w:lang w:val="en-US"/>
        </w:rPr>
        <w:t xml:space="preserve">r, such as a specific </w:t>
      </w:r>
      <w:r>
        <w:rPr>
          <w:lang w:val="en-US"/>
        </w:rPr>
        <w:t>CRM</w:t>
      </w:r>
      <w:r w:rsidRPr="00DD5732">
        <w:rPr>
          <w:lang w:val="en-US"/>
        </w:rPr>
        <w:t xml:space="preserve"> initiative: (1) the locus of the behavior (the event that triggers the </w:t>
      </w:r>
      <w:r>
        <w:rPr>
          <w:lang w:val="en-US"/>
        </w:rPr>
        <w:t>CRM</w:t>
      </w:r>
      <w:r w:rsidRPr="00DD5732">
        <w:rPr>
          <w:lang w:val="en-US"/>
        </w:rPr>
        <w:t xml:space="preserve"> initiative), which can be internal or external to the company; (2) the stability of the behavior, which can be long</w:t>
      </w:r>
      <w:r w:rsidR="00A55CAD">
        <w:rPr>
          <w:lang w:val="en-US"/>
        </w:rPr>
        <w:t>-</w:t>
      </w:r>
      <w:r w:rsidRPr="00DD5732">
        <w:rPr>
          <w:lang w:val="en-US"/>
        </w:rPr>
        <w:t>term or short</w:t>
      </w:r>
      <w:r w:rsidR="00A55CAD">
        <w:rPr>
          <w:lang w:val="en-US"/>
        </w:rPr>
        <w:t>-</w:t>
      </w:r>
      <w:r w:rsidRPr="00DD5732">
        <w:rPr>
          <w:lang w:val="en-US"/>
        </w:rPr>
        <w:t>term; and (3) the controllability of the behavior, which can be within or outs</w:t>
      </w:r>
      <w:r>
        <w:rPr>
          <w:lang w:val="en-US"/>
        </w:rPr>
        <w:t xml:space="preserve">ide the control of the company. </w:t>
      </w:r>
      <w:r w:rsidRPr="00216F60">
        <w:rPr>
          <w:lang w:val="en-US"/>
        </w:rPr>
        <w:t xml:space="preserve">These three attribution factors are relevant since </w:t>
      </w:r>
      <w:r>
        <w:rPr>
          <w:lang w:val="en-US"/>
        </w:rPr>
        <w:t xml:space="preserve">positive </w:t>
      </w:r>
      <w:r w:rsidRPr="00216F60">
        <w:rPr>
          <w:lang w:val="en-US"/>
        </w:rPr>
        <w:t>outcomes for the firm (</w:t>
      </w:r>
      <w:r>
        <w:rPr>
          <w:lang w:val="en-US"/>
        </w:rPr>
        <w:t xml:space="preserve">such as </w:t>
      </w:r>
      <w:r w:rsidRPr="00216F60">
        <w:rPr>
          <w:lang w:val="en-US"/>
        </w:rPr>
        <w:t xml:space="preserve">increased trust) </w:t>
      </w:r>
      <w:r>
        <w:rPr>
          <w:lang w:val="en-US"/>
        </w:rPr>
        <w:t xml:space="preserve">will mostly occur when </w:t>
      </w:r>
      <w:r w:rsidRPr="00216F60">
        <w:rPr>
          <w:lang w:val="en-US"/>
        </w:rPr>
        <w:t>a firm’s CRM initiative</w:t>
      </w:r>
      <w:r>
        <w:rPr>
          <w:lang w:val="en-US"/>
        </w:rPr>
        <w:t xml:space="preserve">s are attributed </w:t>
      </w:r>
      <w:r w:rsidRPr="00216F60">
        <w:rPr>
          <w:lang w:val="en-US"/>
        </w:rPr>
        <w:t xml:space="preserve">to internal, stable, and </w:t>
      </w:r>
      <w:r w:rsidR="00A55CAD">
        <w:rPr>
          <w:lang w:val="en-US"/>
        </w:rPr>
        <w:t>controllable causes</w:t>
      </w:r>
      <w:r w:rsidRPr="00216F60">
        <w:rPr>
          <w:lang w:val="en-US"/>
        </w:rPr>
        <w:t xml:space="preserve"> </w:t>
      </w:r>
      <w:r>
        <w:rPr>
          <w:noProof/>
          <w:lang w:val="en-US"/>
        </w:rPr>
        <w:t>(</w:t>
      </w:r>
      <w:r w:rsidR="00682BFE" w:rsidRPr="004A2EFF">
        <w:rPr>
          <w:lang w:val="en-US"/>
        </w:rPr>
        <w:t>Ellen, Webb, and Mohr</w:t>
      </w:r>
      <w:r w:rsidR="00682BFE">
        <w:rPr>
          <w:noProof/>
          <w:lang w:val="en-US"/>
        </w:rPr>
        <w:t xml:space="preserve"> </w:t>
      </w:r>
      <w:r>
        <w:rPr>
          <w:noProof/>
          <w:lang w:val="en-US"/>
        </w:rPr>
        <w:t>2006)</w:t>
      </w:r>
      <w:r w:rsidRPr="00216F60">
        <w:rPr>
          <w:lang w:val="en-US"/>
        </w:rPr>
        <w:t xml:space="preserve">. </w:t>
      </w:r>
    </w:p>
    <w:p w14:paraId="20833005" w14:textId="76FCEDEF" w:rsidR="007A6739" w:rsidRPr="00216F60" w:rsidRDefault="007A6739" w:rsidP="00B070E9">
      <w:pPr>
        <w:spacing w:before="0" w:beforeAutospacing="0" w:after="0" w:afterAutospacing="0"/>
        <w:ind w:firstLine="708"/>
        <w:rPr>
          <w:lang w:val="en-US"/>
        </w:rPr>
      </w:pPr>
      <w:r>
        <w:rPr>
          <w:lang w:val="en-US"/>
        </w:rPr>
        <w:t xml:space="preserve">For our illustration we use the three attribution dimensions as our substantive factors. Each factor is measured by three different methods (i.e., different response scales), which enables us to specify a model with </w:t>
      </w:r>
      <w:r w:rsidR="00A55CAD">
        <w:rPr>
          <w:lang w:val="en-US"/>
        </w:rPr>
        <w:t>severl</w:t>
      </w:r>
      <w:r>
        <w:rPr>
          <w:lang w:val="en-US"/>
        </w:rPr>
        <w:t xml:space="preserve"> latent (inferred) method factors. In addition, we consider a single directly measured method effect, as described below. </w:t>
      </w:r>
      <w:r w:rsidR="008E35D5">
        <w:rPr>
          <w:lang w:val="en-US"/>
        </w:rPr>
        <w:t xml:space="preserve">Since we have data </w:t>
      </w:r>
      <w:r w:rsidR="008E35D5">
        <w:rPr>
          <w:lang w:val="en-US"/>
        </w:rPr>
        <w:lastRenderedPageBreak/>
        <w:t xml:space="preserve">from 14 different countries, we can demonstrate how CMV can be dealt with in a relatively complex cross-national study, and we can additional show how two </w:t>
      </w:r>
      <w:r>
        <w:rPr>
          <w:lang w:val="en-US"/>
        </w:rPr>
        <w:t xml:space="preserve">recommended </w:t>
      </w:r>
      <w:r w:rsidR="008E35D5">
        <w:rPr>
          <w:lang w:val="en-US"/>
        </w:rPr>
        <w:t xml:space="preserve">methods </w:t>
      </w:r>
      <w:r w:rsidRPr="00216F60">
        <w:rPr>
          <w:lang w:val="en-US"/>
        </w:rPr>
        <w:t xml:space="preserve">can be </w:t>
      </w:r>
      <w:r>
        <w:rPr>
          <w:lang w:val="en-US"/>
        </w:rPr>
        <w:t xml:space="preserve">used to test and </w:t>
      </w:r>
      <w:r w:rsidRPr="00216F60">
        <w:rPr>
          <w:lang w:val="en-US"/>
        </w:rPr>
        <w:t>account for CMV</w:t>
      </w:r>
      <w:r w:rsidR="00A55CAD">
        <w:rPr>
          <w:lang w:val="en-US"/>
        </w:rPr>
        <w:t xml:space="preserve"> in international marketing research</w:t>
      </w:r>
      <w:r>
        <w:rPr>
          <w:lang w:val="en-US"/>
        </w:rPr>
        <w:t>.</w:t>
      </w:r>
      <w:r w:rsidRPr="00216F60">
        <w:rPr>
          <w:lang w:val="en-US"/>
        </w:rPr>
        <w:t xml:space="preserve"> </w:t>
      </w:r>
    </w:p>
    <w:p w14:paraId="63D5FCB1" w14:textId="77777777" w:rsidR="007A6739" w:rsidRPr="00216F60" w:rsidRDefault="007A6739" w:rsidP="00B070E9">
      <w:pPr>
        <w:spacing w:before="0" w:beforeAutospacing="0" w:after="0" w:afterAutospacing="0"/>
        <w:rPr>
          <w:b/>
          <w:lang w:val="en-US"/>
        </w:rPr>
      </w:pPr>
      <w:r w:rsidRPr="00216F60">
        <w:rPr>
          <w:b/>
          <w:lang w:val="en-US"/>
        </w:rPr>
        <w:t>Method</w:t>
      </w:r>
    </w:p>
    <w:p w14:paraId="234BFA14" w14:textId="77777777" w:rsidR="007A6739" w:rsidRPr="00216F60" w:rsidRDefault="007A6739" w:rsidP="00B070E9">
      <w:pPr>
        <w:spacing w:before="0" w:beforeAutospacing="0" w:after="0" w:afterAutospacing="0"/>
        <w:ind w:firstLine="708"/>
        <w:rPr>
          <w:lang w:val="en-US"/>
        </w:rPr>
      </w:pPr>
      <w:r>
        <w:rPr>
          <w:lang w:val="en-US"/>
        </w:rPr>
        <w:t>The d</w:t>
      </w:r>
      <w:r w:rsidRPr="00216F60">
        <w:rPr>
          <w:lang w:val="en-US"/>
        </w:rPr>
        <w:t>ata were collected through an online survey</w:t>
      </w:r>
      <w:r>
        <w:rPr>
          <w:lang w:val="en-US"/>
        </w:rPr>
        <w:t xml:space="preserve"> among members of a market research online panel in fourteen countries (total N =11970, with quotas for gender and age category). The number of respondents per country is as follows: Belgium, 899; Denmark, 838; France, 893; Germany, 881; Italy, 836; Netherlands, 927; Poland, 708; Romania, 866; Slovakia, 941; Spain, 831; Sweden, 871; Switzerland, 858; Turkey, 813; UK, 808. The questionnaire was translated by professional translators using the back-translation procedure. Respondents read a description of </w:t>
      </w:r>
      <w:r w:rsidRPr="00216F60">
        <w:rPr>
          <w:lang w:val="en-US"/>
        </w:rPr>
        <w:t>plausible but fictitious CRM initiatives by a global soft drink brand</w:t>
      </w:r>
      <w:r>
        <w:rPr>
          <w:lang w:val="en-US"/>
        </w:rPr>
        <w:t>. We used different scenarios to vary locus, stability, and controllability, but each respondent was randomly assigned to a single scenario. For our purposes, the different scenarios simply create variance in the attribution measures, which are the focus of our study. An illustrative scenario is as follows: “</w:t>
      </w:r>
      <w:r w:rsidRPr="00216F60">
        <w:rPr>
          <w:lang w:val="en-US"/>
        </w:rPr>
        <w:t xml:space="preserve">Children are the building blocks of our society. Starting from that conviction the following initiative was developed. In November </w:t>
      </w:r>
      <w:r>
        <w:rPr>
          <w:lang w:val="en-US"/>
        </w:rPr>
        <w:t>[the brand]</w:t>
      </w:r>
      <w:r w:rsidRPr="00216F60">
        <w:rPr>
          <w:lang w:val="en-US"/>
        </w:rPr>
        <w:t xml:space="preserve"> will give away a fixed amount of money for every can that consumers buy. The aid is for the benefit of a European organization that supports children during their rehabilitation after a traffic accident.</w:t>
      </w:r>
      <w:r>
        <w:rPr>
          <w:lang w:val="en-US"/>
        </w:rPr>
        <w:t xml:space="preserve">” Appendix A lists all 8 scenarios used in the study. </w:t>
      </w:r>
    </w:p>
    <w:p w14:paraId="34C59AB2" w14:textId="77777777" w:rsidR="007A6739" w:rsidRDefault="007A6739" w:rsidP="00B070E9">
      <w:pPr>
        <w:spacing w:before="0" w:beforeAutospacing="0" w:after="0" w:afterAutospacing="0"/>
        <w:ind w:firstLine="708"/>
        <w:rPr>
          <w:lang w:val="en-US"/>
        </w:rPr>
      </w:pPr>
      <w:r w:rsidRPr="00216F60">
        <w:rPr>
          <w:lang w:val="en-US"/>
        </w:rPr>
        <w:t xml:space="preserve">The questionnaire consisted of </w:t>
      </w:r>
      <w:r>
        <w:rPr>
          <w:lang w:val="en-US"/>
        </w:rPr>
        <w:t>four</w:t>
      </w:r>
      <w:r w:rsidRPr="00216F60">
        <w:rPr>
          <w:lang w:val="en-US"/>
        </w:rPr>
        <w:t xml:space="preserve"> </w:t>
      </w:r>
      <w:r>
        <w:rPr>
          <w:lang w:val="en-US"/>
        </w:rPr>
        <w:t xml:space="preserve">major </w:t>
      </w:r>
      <w:r w:rsidRPr="00216F60">
        <w:rPr>
          <w:lang w:val="en-US"/>
        </w:rPr>
        <w:t>sections</w:t>
      </w:r>
      <w:r>
        <w:rPr>
          <w:lang w:val="en-US"/>
        </w:rPr>
        <w:t xml:space="preserve">. First, respondents read a scenario that briefly described a hypothetical </w:t>
      </w:r>
      <w:r w:rsidRPr="00216F60">
        <w:rPr>
          <w:lang w:val="en-US"/>
        </w:rPr>
        <w:t>CRM</w:t>
      </w:r>
      <w:r>
        <w:rPr>
          <w:lang w:val="en-US"/>
        </w:rPr>
        <w:t xml:space="preserve"> initiative by a </w:t>
      </w:r>
      <w:r w:rsidRPr="00216F60">
        <w:rPr>
          <w:lang w:val="en-US"/>
        </w:rPr>
        <w:t>global soft drink brand</w:t>
      </w:r>
      <w:r>
        <w:rPr>
          <w:lang w:val="en-US"/>
        </w:rPr>
        <w:t>. Second, respondents rated the CRM initiative on 9 attribution measures. Third, respondents answered 16 questions about a heterogeneous set of issues unrelated to the CRM initiative. Fourth, respondents provided some background information, which is not of interest here.</w:t>
      </w:r>
    </w:p>
    <w:p w14:paraId="1BCC78CE" w14:textId="77777777" w:rsidR="007A6739" w:rsidRPr="00216F60" w:rsidRDefault="007A6739" w:rsidP="00B070E9">
      <w:pPr>
        <w:spacing w:before="0" w:beforeAutospacing="0" w:after="0" w:afterAutospacing="0"/>
        <w:ind w:firstLine="708"/>
        <w:rPr>
          <w:lang w:val="en-US"/>
        </w:rPr>
      </w:pPr>
      <w:r w:rsidRPr="00216F60">
        <w:rPr>
          <w:lang w:val="en-US"/>
        </w:rPr>
        <w:lastRenderedPageBreak/>
        <w:t>The three attribution dimensions</w:t>
      </w:r>
      <w:r>
        <w:rPr>
          <w:lang w:val="en-US"/>
        </w:rPr>
        <w:t xml:space="preserve"> (</w:t>
      </w:r>
      <w:r w:rsidRPr="00216F60">
        <w:rPr>
          <w:lang w:val="en-US"/>
        </w:rPr>
        <w:t>locus, stability, and control</w:t>
      </w:r>
      <w:r>
        <w:rPr>
          <w:lang w:val="en-US"/>
        </w:rPr>
        <w:t>)</w:t>
      </w:r>
      <w:r w:rsidRPr="00216F60">
        <w:rPr>
          <w:lang w:val="en-US"/>
        </w:rPr>
        <w:t xml:space="preserve"> were measured using three items each. </w:t>
      </w:r>
      <w:r>
        <w:rPr>
          <w:lang w:val="en-US"/>
        </w:rPr>
        <w:t>To make the questions less repetitive, the questions asking about each attribution dimension were varied slightly, but the major difference was that three different response scales were used for each dimension. The attribution questions and the scale formats are reported in Table 4.</w:t>
      </w:r>
    </w:p>
    <w:p w14:paraId="0E433E05" w14:textId="366953C3" w:rsidR="007A6739" w:rsidRPr="00216F60" w:rsidRDefault="007A6739" w:rsidP="00B070E9">
      <w:pPr>
        <w:spacing w:before="0" w:beforeAutospacing="0" w:after="0" w:afterAutospacing="0"/>
        <w:ind w:firstLine="708"/>
        <w:rPr>
          <w:lang w:val="en-US"/>
        </w:rPr>
      </w:pPr>
      <w:r w:rsidRPr="00216F60">
        <w:rPr>
          <w:lang w:val="en-US"/>
        </w:rPr>
        <w:t xml:space="preserve">The scale </w:t>
      </w:r>
      <w:r>
        <w:rPr>
          <w:lang w:val="en-US"/>
        </w:rPr>
        <w:t xml:space="preserve">used for measuring method effects directly </w:t>
      </w:r>
      <w:r w:rsidRPr="00216F60">
        <w:rPr>
          <w:lang w:val="en-US"/>
        </w:rPr>
        <w:t xml:space="preserve">consists of 16 items that are deliberately heterogeneous in content </w:t>
      </w:r>
      <w:r>
        <w:rPr>
          <w:noProof/>
          <w:lang w:val="en-US"/>
        </w:rPr>
        <w:t>(Greenleaf 1992)</w:t>
      </w:r>
      <w:r>
        <w:rPr>
          <w:lang w:val="en-US"/>
        </w:rPr>
        <w:t xml:space="preserve">. Examples include </w:t>
      </w:r>
      <w:r w:rsidRPr="00216F60">
        <w:rPr>
          <w:lang w:val="en-US"/>
        </w:rPr>
        <w:t>‘I am a homebody’</w:t>
      </w:r>
      <w:r>
        <w:rPr>
          <w:lang w:val="en-US"/>
        </w:rPr>
        <w:t>;</w:t>
      </w:r>
      <w:r w:rsidRPr="00216F60">
        <w:rPr>
          <w:lang w:val="en-US"/>
        </w:rPr>
        <w:t xml:space="preserve"> ‘A college education is very important for success in today's world’</w:t>
      </w:r>
      <w:r>
        <w:rPr>
          <w:lang w:val="en-US"/>
        </w:rPr>
        <w:t>;</w:t>
      </w:r>
      <w:r w:rsidRPr="00216F60">
        <w:rPr>
          <w:lang w:val="en-US"/>
        </w:rPr>
        <w:t xml:space="preserve"> ‘When I see a full ashtray or wastebasket, I want it emptied immediately</w:t>
      </w:r>
      <w:r>
        <w:rPr>
          <w:lang w:val="en-US"/>
        </w:rPr>
        <w:t>;</w:t>
      </w:r>
      <w:r w:rsidRPr="00216F60">
        <w:rPr>
          <w:lang w:val="en-US"/>
        </w:rPr>
        <w:t xml:space="preserve"> ‘I eat more than I should</w:t>
      </w:r>
      <w:r>
        <w:rPr>
          <w:lang w:val="en-US"/>
        </w:rPr>
        <w:t>,</w:t>
      </w:r>
      <w:r w:rsidRPr="00216F60">
        <w:rPr>
          <w:lang w:val="en-US"/>
        </w:rPr>
        <w:t>’ and ‘No matter how fast our income goes up, we never seem to get ahead’. The heterogeneous content of the items makes them well-suited for quantifying differences in non-substantive response patterns</w:t>
      </w:r>
      <w:r>
        <w:rPr>
          <w:lang w:val="en-US"/>
        </w:rPr>
        <w:t>,</w:t>
      </w:r>
      <w:r w:rsidRPr="00216F60">
        <w:rPr>
          <w:lang w:val="en-US"/>
        </w:rPr>
        <w:t xml:space="preserve"> and </w:t>
      </w:r>
      <w:r>
        <w:rPr>
          <w:lang w:val="en-US"/>
        </w:rPr>
        <w:t xml:space="preserve">the scale </w:t>
      </w:r>
      <w:r w:rsidRPr="00216F60">
        <w:rPr>
          <w:lang w:val="en-US"/>
        </w:rPr>
        <w:t xml:space="preserve">has been used for this purpose in cross-national research </w:t>
      </w:r>
      <w:r>
        <w:rPr>
          <w:noProof/>
          <w:lang w:val="en-US"/>
        </w:rPr>
        <w:t>(Weijters</w:t>
      </w:r>
      <w:r w:rsidR="009C5EC9">
        <w:rPr>
          <w:noProof/>
          <w:lang w:val="en-US"/>
        </w:rPr>
        <w:t>, Baumgartner, and Geuens</w:t>
      </w:r>
      <w:r>
        <w:rPr>
          <w:noProof/>
          <w:lang w:val="en-US"/>
        </w:rPr>
        <w:t xml:space="preserve"> 2016)</w:t>
      </w:r>
      <w:r w:rsidRPr="00216F60">
        <w:rPr>
          <w:lang w:val="en-US"/>
        </w:rPr>
        <w:t xml:space="preserve">. </w:t>
      </w:r>
      <w:r>
        <w:rPr>
          <w:lang w:val="en-US"/>
        </w:rPr>
        <w:t xml:space="preserve">Respondents indicated their answers to the Greenleaf items on a </w:t>
      </w:r>
      <w:r w:rsidRPr="00216F60">
        <w:rPr>
          <w:lang w:val="en-US"/>
        </w:rPr>
        <w:t xml:space="preserve">seven-point Likert scale ranging from ‘strongly disagree’ to ‘strongly agree’. </w:t>
      </w:r>
      <w:r>
        <w:rPr>
          <w:lang w:val="en-US"/>
        </w:rPr>
        <w:t xml:space="preserve">Although several different sources of method effects could be computed from the Greenleaf scale (ARS, DARS, ERS, and MRS, as described earlier), we only computed NARS (which is equivalent to the </w:t>
      </w:r>
      <w:r w:rsidRPr="00216F60">
        <w:rPr>
          <w:lang w:val="en-US"/>
        </w:rPr>
        <w:t xml:space="preserve">average score </w:t>
      </w:r>
      <w:r>
        <w:rPr>
          <w:lang w:val="en-US"/>
        </w:rPr>
        <w:t xml:space="preserve">across the </w:t>
      </w:r>
      <w:r w:rsidRPr="00216F60">
        <w:rPr>
          <w:lang w:val="en-US"/>
        </w:rPr>
        <w:t>16 items</w:t>
      </w:r>
      <w:r>
        <w:rPr>
          <w:lang w:val="en-US"/>
        </w:rPr>
        <w:t>); NARS reflects systematic scale usage differences in net endorsement of items regardless of content (Baumgartner and Steenkamp 2001).</w:t>
      </w:r>
    </w:p>
    <w:p w14:paraId="44AF0EB9" w14:textId="77777777" w:rsidR="007A6739" w:rsidRPr="006E7F78" w:rsidRDefault="007A6739" w:rsidP="00B070E9">
      <w:pPr>
        <w:pStyle w:val="Heading2"/>
        <w:spacing w:before="0" w:beforeAutospacing="0" w:afterAutospacing="0"/>
        <w:rPr>
          <w:b/>
          <w:bCs/>
          <w:lang w:val="en-US"/>
        </w:rPr>
      </w:pPr>
      <w:r w:rsidRPr="006E7F78">
        <w:rPr>
          <w:b/>
          <w:bCs/>
          <w:lang w:val="en-US"/>
        </w:rPr>
        <w:t>Results</w:t>
      </w:r>
    </w:p>
    <w:p w14:paraId="3FCAAC90" w14:textId="59846B21" w:rsidR="00EF4391" w:rsidRDefault="00EF4391" w:rsidP="00B070E9">
      <w:pPr>
        <w:spacing w:before="0" w:beforeAutospacing="0" w:after="0" w:afterAutospacing="0"/>
        <w:ind w:firstLine="708"/>
        <w:rPr>
          <w:lang w:val="en-US"/>
        </w:rPr>
      </w:pPr>
      <w:r>
        <w:rPr>
          <w:lang w:val="en-US"/>
        </w:rPr>
        <w:t xml:space="preserve">The data analysis has to account for the following complexities in the present case. First, we have data </w:t>
      </w:r>
      <w:r w:rsidR="00574F47">
        <w:rPr>
          <w:lang w:val="en-US"/>
        </w:rPr>
        <w:t xml:space="preserve">from 14 different countries. We use multi-sample structural equation modeling to represent the data, starting with a series of models in which no invariance constraints are imposed across countries (M1 to M8) and eventually testing (partial) metric </w:t>
      </w:r>
      <w:r w:rsidR="00574F47">
        <w:rPr>
          <w:lang w:val="en-US"/>
        </w:rPr>
        <w:lastRenderedPageBreak/>
        <w:t xml:space="preserve">invariance of the substantive loadings (M9 to M10). Second, we will demonstrate two different approaches for modeling method effects. One is based on a measured method </w:t>
      </w:r>
      <w:r w:rsidR="00B671EB">
        <w:rPr>
          <w:lang w:val="en-US"/>
        </w:rPr>
        <w:t>ef</w:t>
      </w:r>
      <w:r w:rsidR="00574F47">
        <w:rPr>
          <w:lang w:val="en-US"/>
        </w:rPr>
        <w:t>f</w:t>
      </w:r>
      <w:r w:rsidR="00B671EB">
        <w:rPr>
          <w:lang w:val="en-US"/>
        </w:rPr>
        <w:t>ect</w:t>
      </w:r>
      <w:r w:rsidR="00574F47">
        <w:rPr>
          <w:lang w:val="en-US"/>
        </w:rPr>
        <w:t xml:space="preserve"> (net acquiescence response style or NARS, which reflects scale usage differences regardless of the substantive content of the items). The other is an implicit method factor</w:t>
      </w:r>
      <w:r w:rsidR="007E49DB">
        <w:rPr>
          <w:lang w:val="en-US"/>
        </w:rPr>
        <w:t xml:space="preserve"> that </w:t>
      </w:r>
      <w:r w:rsidR="00A55CAD">
        <w:rPr>
          <w:lang w:val="en-US"/>
        </w:rPr>
        <w:t xml:space="preserve">takes into account the fact that the same </w:t>
      </w:r>
      <w:r w:rsidR="007E49DB">
        <w:rPr>
          <w:lang w:val="en-US"/>
        </w:rPr>
        <w:t xml:space="preserve">response scale </w:t>
      </w:r>
      <w:r w:rsidR="00A55CAD">
        <w:rPr>
          <w:lang w:val="en-US"/>
        </w:rPr>
        <w:t xml:space="preserve">is </w:t>
      </w:r>
      <w:r w:rsidR="007E49DB">
        <w:rPr>
          <w:lang w:val="en-US"/>
        </w:rPr>
        <w:t xml:space="preserve">used </w:t>
      </w:r>
      <w:r w:rsidR="00A55CAD">
        <w:rPr>
          <w:lang w:val="en-US"/>
        </w:rPr>
        <w:t xml:space="preserve">to </w:t>
      </w:r>
      <w:r w:rsidR="007E49DB">
        <w:rPr>
          <w:lang w:val="en-US"/>
        </w:rPr>
        <w:t>measur</w:t>
      </w:r>
      <w:r w:rsidR="00A55CAD">
        <w:rPr>
          <w:lang w:val="en-US"/>
        </w:rPr>
        <w:t>e</w:t>
      </w:r>
      <w:r w:rsidR="007E49DB">
        <w:rPr>
          <w:lang w:val="en-US"/>
        </w:rPr>
        <w:t xml:space="preserve"> different constructs. We will start with a baseline model containing no method effects (M1), then consider several models with either a measured NARS </w:t>
      </w:r>
      <w:r w:rsidR="00B671EB">
        <w:rPr>
          <w:lang w:val="en-US"/>
        </w:rPr>
        <w:t>factor</w:t>
      </w:r>
      <w:r w:rsidR="007E49DB">
        <w:rPr>
          <w:lang w:val="en-US"/>
        </w:rPr>
        <w:t xml:space="preserve"> (M2 to M3) or inferred response scale factor</w:t>
      </w:r>
      <w:r w:rsidR="00A55CAD">
        <w:rPr>
          <w:lang w:val="en-US"/>
        </w:rPr>
        <w:t>s</w:t>
      </w:r>
      <w:r w:rsidR="007E49DB">
        <w:rPr>
          <w:lang w:val="en-US"/>
        </w:rPr>
        <w:t xml:space="preserve"> (M4 to M7), and finally present a model that incorporates both the best specification for the NARS factor and the best specification for the implicit response scale factor</w:t>
      </w:r>
      <w:r w:rsidR="00A55CAD">
        <w:rPr>
          <w:lang w:val="en-US"/>
        </w:rPr>
        <w:t>s</w:t>
      </w:r>
      <w:r w:rsidR="007E49DB">
        <w:rPr>
          <w:lang w:val="en-US"/>
        </w:rPr>
        <w:t xml:space="preserve"> (M8). Third, for each type of method </w:t>
      </w:r>
      <w:r w:rsidR="00B671EB">
        <w:rPr>
          <w:lang w:val="en-US"/>
        </w:rPr>
        <w:t>effect</w:t>
      </w:r>
      <w:r w:rsidR="007E49DB">
        <w:rPr>
          <w:lang w:val="en-US"/>
        </w:rPr>
        <w:t xml:space="preserve"> specification, we will determine </w:t>
      </w:r>
      <w:r w:rsidR="00B671EB">
        <w:rPr>
          <w:lang w:val="en-US"/>
        </w:rPr>
        <w:t>the best-fitting model (e.g., in terms of whether or not the method effect</w:t>
      </w:r>
      <w:r w:rsidR="00A55CAD">
        <w:rPr>
          <w:lang w:val="en-US"/>
        </w:rPr>
        <w:t>s</w:t>
      </w:r>
      <w:r w:rsidR="00B671EB">
        <w:rPr>
          <w:lang w:val="en-US"/>
        </w:rPr>
        <w:t xml:space="preserve"> or method loadings are uniform across items, whether the implicit method factors corresponding to different response scales are correlated, etc.)</w:t>
      </w:r>
      <w:r>
        <w:rPr>
          <w:lang w:val="en-US"/>
        </w:rPr>
        <w:t xml:space="preserve"> </w:t>
      </w:r>
    </w:p>
    <w:p w14:paraId="0AD49EEF" w14:textId="3844BB1A" w:rsidR="007A6739" w:rsidRDefault="007A6739" w:rsidP="00B070E9">
      <w:pPr>
        <w:spacing w:before="0" w:beforeAutospacing="0" w:after="0" w:afterAutospacing="0"/>
        <w:ind w:firstLine="708"/>
        <w:rPr>
          <w:lang w:val="en-US"/>
        </w:rPr>
      </w:pPr>
      <w:r>
        <w:rPr>
          <w:lang w:val="en-US"/>
        </w:rPr>
        <w:t xml:space="preserve">We start from a model in which </w:t>
      </w:r>
      <w:r w:rsidRPr="00216F60">
        <w:rPr>
          <w:lang w:val="en-US"/>
        </w:rPr>
        <w:t>Locus, Stability and Control are freely correlating latent construct</w:t>
      </w:r>
      <w:r>
        <w:rPr>
          <w:lang w:val="en-US"/>
        </w:rPr>
        <w:t>s (traits)</w:t>
      </w:r>
      <w:r w:rsidRPr="00216F60">
        <w:rPr>
          <w:lang w:val="en-US"/>
        </w:rPr>
        <w:t xml:space="preserve"> with three reflective indicators each. Country serves as a grouping variable. </w:t>
      </w:r>
      <w:r>
        <w:rPr>
          <w:lang w:val="en-US"/>
        </w:rPr>
        <w:t xml:space="preserve">Several common model fit indices are reported in Table 5, and we will primarily rely on the fit measures that trade off fit with parsimony (RMSEA, TLI, </w:t>
      </w:r>
      <w:r w:rsidR="00682BFE">
        <w:rPr>
          <w:lang w:val="en-US"/>
        </w:rPr>
        <w:t xml:space="preserve">and </w:t>
      </w:r>
      <w:r>
        <w:rPr>
          <w:lang w:val="en-US"/>
        </w:rPr>
        <w:t>BIC) when comparing models. In models M1 through M8, the trait factor loadings are freely estimated and no metric invariance is imposed (that is, the loadings are allowed to differ across countries). In the initial model, M1, no effects of NARS on the items are modeled and no method factors are specified. In models M2 and M3, we evaluate NARS effects (without method factors); in models M4 to M7, we evaluate method factors (without NARS effects); and in model 8 there are both NARS effects and method factors. Model M2 has</w:t>
      </w:r>
      <w:r w:rsidRPr="00CE186C">
        <w:rPr>
          <w:lang w:val="en-US"/>
        </w:rPr>
        <w:t xml:space="preserve"> </w:t>
      </w:r>
      <w:r>
        <w:rPr>
          <w:lang w:val="en-US"/>
        </w:rPr>
        <w:t>3</w:t>
      </w:r>
      <w:r w:rsidRPr="00CE186C">
        <w:rPr>
          <w:lang w:val="en-US"/>
        </w:rPr>
        <w:t xml:space="preserve"> traits and unequal effects of NARS on </w:t>
      </w:r>
      <w:r>
        <w:rPr>
          <w:lang w:val="en-US"/>
        </w:rPr>
        <w:t xml:space="preserve">the </w:t>
      </w:r>
      <w:r w:rsidRPr="00CE186C">
        <w:rPr>
          <w:lang w:val="en-US"/>
        </w:rPr>
        <w:t>items</w:t>
      </w:r>
      <w:r>
        <w:rPr>
          <w:lang w:val="en-US"/>
        </w:rPr>
        <w:t xml:space="preserve">. That is, for each country the effect of NARS on each of the items is freely estimated. In Model </w:t>
      </w:r>
      <w:r w:rsidRPr="00CE186C">
        <w:rPr>
          <w:lang w:val="en-US"/>
        </w:rPr>
        <w:t>M3a</w:t>
      </w:r>
      <w:r>
        <w:rPr>
          <w:lang w:val="en-US"/>
        </w:rPr>
        <w:t xml:space="preserve">, NARS is specified to have the same effect on </w:t>
      </w:r>
      <w:r>
        <w:rPr>
          <w:lang w:val="en-US"/>
        </w:rPr>
        <w:lastRenderedPageBreak/>
        <w:t>each of the nine items within each country. Closer inspection of the parameter estimates showed that the NARS effect on the second locus item (locus-b) was weaker than the effect on the other items. This result makes sense: even though this item seems to use a scale format that is similar to the second item of the stability and control items with a scale range from 0 to 100, it is different because it uses a constant sum approach (see Table 4), which is inherently less prone to acquiescence (since respondents need to divide points over multiple options, making it impossible to be overly agreeable overall). Based on these observations, in model M3b the effect of NARS is constrained to be equal for only 8 of the 9 items (the exception is locus-b).</w:t>
      </w:r>
    </w:p>
    <w:p w14:paraId="19E1F47E" w14:textId="78BCA658" w:rsidR="007A6739" w:rsidRDefault="007A6739" w:rsidP="00B070E9">
      <w:pPr>
        <w:spacing w:before="0" w:beforeAutospacing="0" w:after="0" w:afterAutospacing="0"/>
        <w:ind w:firstLine="708"/>
        <w:rPr>
          <w:lang w:val="en-US"/>
        </w:rPr>
      </w:pPr>
      <w:r>
        <w:rPr>
          <w:lang w:val="en-US"/>
        </w:rPr>
        <w:t xml:space="preserve">The next four models do not account for NARS effects, but add </w:t>
      </w:r>
      <w:r w:rsidR="00B671EB">
        <w:rPr>
          <w:lang w:val="en-US"/>
        </w:rPr>
        <w:t xml:space="preserve">(inferred) </w:t>
      </w:r>
      <w:r>
        <w:rPr>
          <w:lang w:val="en-US"/>
        </w:rPr>
        <w:t xml:space="preserve">method factors. In particular, model </w:t>
      </w:r>
      <w:r w:rsidRPr="00CE186C">
        <w:rPr>
          <w:lang w:val="en-US"/>
        </w:rPr>
        <w:t>M4</w:t>
      </w:r>
      <w:r>
        <w:rPr>
          <w:lang w:val="en-US"/>
        </w:rPr>
        <w:t xml:space="preserve"> has </w:t>
      </w:r>
      <w:r w:rsidRPr="00CE186C">
        <w:rPr>
          <w:lang w:val="en-US"/>
        </w:rPr>
        <w:t xml:space="preserve">3 traits and 2 correlated method factors, </w:t>
      </w:r>
      <w:r>
        <w:rPr>
          <w:lang w:val="en-US"/>
        </w:rPr>
        <w:t xml:space="preserve">but </w:t>
      </w:r>
      <w:r w:rsidRPr="00CE186C">
        <w:rPr>
          <w:lang w:val="en-US"/>
        </w:rPr>
        <w:t xml:space="preserve">no effects of NARS on </w:t>
      </w:r>
      <w:r>
        <w:rPr>
          <w:lang w:val="en-US"/>
        </w:rPr>
        <w:t xml:space="preserve">the </w:t>
      </w:r>
      <w:r w:rsidRPr="00CE186C">
        <w:rPr>
          <w:lang w:val="en-US"/>
        </w:rPr>
        <w:t>items</w:t>
      </w:r>
      <w:r>
        <w:rPr>
          <w:lang w:val="en-US"/>
        </w:rPr>
        <w:t xml:space="preserve">. As discussed, note that even though the second item of each trait uses a scale ranging from 0 to 100, the second locus item is fundamentally different from the other b-items as it uses a constant sum format. Because of this, it would not be meaningful to estimate a method </w:t>
      </w:r>
      <w:r w:rsidR="00682BFE">
        <w:rPr>
          <w:lang w:val="en-US"/>
        </w:rPr>
        <w:t>b</w:t>
      </w:r>
      <w:r>
        <w:rPr>
          <w:lang w:val="en-US"/>
        </w:rPr>
        <w:t xml:space="preserve"> factor, so we only included two method factors, one for method </w:t>
      </w:r>
      <w:r w:rsidR="00682BFE">
        <w:rPr>
          <w:lang w:val="en-US"/>
        </w:rPr>
        <w:t>a</w:t>
      </w:r>
      <w:r>
        <w:rPr>
          <w:lang w:val="en-US"/>
        </w:rPr>
        <w:t xml:space="preserve">, another for method </w:t>
      </w:r>
      <w:r w:rsidR="00682BFE">
        <w:rPr>
          <w:lang w:val="en-US"/>
        </w:rPr>
        <w:t>c</w:t>
      </w:r>
      <w:r>
        <w:rPr>
          <w:lang w:val="en-US"/>
        </w:rPr>
        <w:t xml:space="preserve">. Our approach was confirmed by the fact that a model with method effects for method b did not yield a meaningful method factor since the method loadings consisted of a mix of positive and negative loadings. Model </w:t>
      </w:r>
      <w:r w:rsidRPr="00CE186C">
        <w:rPr>
          <w:lang w:val="en-US"/>
        </w:rPr>
        <w:t>M5</w:t>
      </w:r>
      <w:r>
        <w:rPr>
          <w:lang w:val="en-US"/>
        </w:rPr>
        <w:t xml:space="preserve"> evaluates whether the correlation between the two method factors can be set to zero. Model M6 again has two correlated method factors but imposes the assumption of </w:t>
      </w:r>
      <w:r w:rsidRPr="00CE186C">
        <w:rPr>
          <w:lang w:val="en-US"/>
        </w:rPr>
        <w:t>equal method loadings within each method factor</w:t>
      </w:r>
      <w:r>
        <w:rPr>
          <w:lang w:val="en-US"/>
        </w:rPr>
        <w:t xml:space="preserve">. Model 7 combines both constraints; it has a zero correlation between the method factors as well as equal loadings within each method factor. The model fit indices indicate that setting the method factor correlation to zero is not a plausible constraint, whereas constraining the loadings within each method factor to equality is justified. Model M8 </w:t>
      </w:r>
      <w:r>
        <w:rPr>
          <w:lang w:val="en-US"/>
        </w:rPr>
        <w:lastRenderedPageBreak/>
        <w:t xml:space="preserve">simultaneously models method effects due to NARS and two inferred method factors, using the preferred specification within each type of model: </w:t>
      </w:r>
      <w:r w:rsidRPr="00CE186C">
        <w:rPr>
          <w:lang w:val="en-US"/>
        </w:rPr>
        <w:t xml:space="preserve">equal effects of NARS on </w:t>
      </w:r>
      <w:r>
        <w:rPr>
          <w:lang w:val="en-US"/>
        </w:rPr>
        <w:t xml:space="preserve">8 of the items, with a separate effect for locus-b, and two correlated method factors with </w:t>
      </w:r>
      <w:r w:rsidRPr="00CE186C">
        <w:rPr>
          <w:lang w:val="en-US"/>
        </w:rPr>
        <w:t>equal method loadings within each method factor</w:t>
      </w:r>
      <w:r>
        <w:rPr>
          <w:lang w:val="en-US"/>
        </w:rPr>
        <w:t xml:space="preserve">. As might be expected based on the preceding model comparisons, model M8 has the best fit among all the models compared so far (with a higher CFI and TLI, and lower RMSEA, SRMR and BIC). Furthermore, although the chi-square test is significant, all alternative fit indices indicate acceptable, or nearly acceptable, fit (i.e., CFI and TLI &gt; .95; RMSEA &lt; .06, SRMR &lt; .08). </w:t>
      </w:r>
    </w:p>
    <w:p w14:paraId="0C6D4C0F" w14:textId="713B08C5" w:rsidR="007A6739" w:rsidRPr="00CE186C" w:rsidRDefault="007A6739" w:rsidP="00B070E9">
      <w:pPr>
        <w:spacing w:before="0" w:beforeAutospacing="0" w:after="0" w:afterAutospacing="0"/>
        <w:ind w:firstLine="708"/>
        <w:rPr>
          <w:lang w:val="en-US"/>
        </w:rPr>
      </w:pPr>
      <w:r>
        <w:rPr>
          <w:lang w:val="en-US"/>
        </w:rPr>
        <w:t>Once the most appropriate method effects specification has been determined, one can test for metric invariance (i.e., in the current example, the focus is on the covariances between the factors, so scalar invariance is not required). Model M9 imposes full metric invariance on the trait factor loadings of model M8</w:t>
      </w:r>
      <w:r w:rsidR="00E56737">
        <w:rPr>
          <w:lang w:val="en-US"/>
        </w:rPr>
        <w:t xml:space="preserve"> across countries</w:t>
      </w:r>
      <w:r>
        <w:rPr>
          <w:lang w:val="en-US"/>
        </w:rPr>
        <w:t xml:space="preserve">. Since the decrease in model fit is modest, one could accept metric invariance, especially in light of the improvement in BIC </w:t>
      </w:r>
      <w:r>
        <w:rPr>
          <w:noProof/>
          <w:lang w:val="en-US"/>
        </w:rPr>
        <w:t>(Steenkamp and Baumgartner 1998; Weijters</w:t>
      </w:r>
      <w:r w:rsidR="009C5EC9">
        <w:rPr>
          <w:noProof/>
          <w:lang w:val="en-US"/>
        </w:rPr>
        <w:t>, Puntoni, and Baumgartner</w:t>
      </w:r>
      <w:r>
        <w:rPr>
          <w:noProof/>
          <w:lang w:val="en-US"/>
        </w:rPr>
        <w:t xml:space="preserve"> 2017)</w:t>
      </w:r>
      <w:r>
        <w:rPr>
          <w:lang w:val="en-US"/>
        </w:rPr>
        <w:t>. However, if a researcher wants to be more conservative, o</w:t>
      </w:r>
      <w:r w:rsidRPr="006223B2">
        <w:rPr>
          <w:lang w:val="en-US"/>
        </w:rPr>
        <w:t xml:space="preserve">ne approach for </w:t>
      </w:r>
      <w:r>
        <w:rPr>
          <w:lang w:val="en-US"/>
        </w:rPr>
        <w:t>arriving at a plausible model specification with partial metric invariance</w:t>
      </w:r>
      <w:r w:rsidRPr="006223B2">
        <w:rPr>
          <w:lang w:val="en-US"/>
        </w:rPr>
        <w:t xml:space="preserve"> would be as follows. In a full metric invariance model, three loadings are set to 1 and </w:t>
      </w:r>
      <w:r>
        <w:rPr>
          <w:lang w:val="en-US"/>
        </w:rPr>
        <w:t>six</w:t>
      </w:r>
      <w:r w:rsidRPr="006223B2">
        <w:rPr>
          <w:lang w:val="en-US"/>
        </w:rPr>
        <w:t xml:space="preserve"> loadings are freely estimated but held invariant across all countries. In total, 6</w:t>
      </w:r>
      <w:r>
        <w:rPr>
          <w:lang w:val="en-US"/>
        </w:rPr>
        <w:t xml:space="preserve"> </w:t>
      </w:r>
      <w:r w:rsidRPr="006223B2">
        <w:rPr>
          <w:lang w:val="en-US"/>
        </w:rPr>
        <w:t>x</w:t>
      </w:r>
      <w:r>
        <w:rPr>
          <w:lang w:val="en-US"/>
        </w:rPr>
        <w:t xml:space="preserve"> </w:t>
      </w:r>
      <w:r w:rsidRPr="006223B2">
        <w:rPr>
          <w:lang w:val="en-US"/>
        </w:rPr>
        <w:t>1</w:t>
      </w:r>
      <w:r>
        <w:rPr>
          <w:lang w:val="en-US"/>
        </w:rPr>
        <w:t>3</w:t>
      </w:r>
      <w:r w:rsidRPr="006223B2">
        <w:rPr>
          <w:lang w:val="en-US"/>
        </w:rPr>
        <w:t xml:space="preserve"> loadings could be freed</w:t>
      </w:r>
      <w:r>
        <w:rPr>
          <w:lang w:val="en-US"/>
        </w:rPr>
        <w:t>. U</w:t>
      </w:r>
      <w:r w:rsidRPr="006223B2">
        <w:rPr>
          <w:lang w:val="en-US"/>
        </w:rPr>
        <w:t>sing an alpha of .01 and a Bonferroni correction, the adjusted alpha would be .000</w:t>
      </w:r>
      <w:r>
        <w:rPr>
          <w:lang w:val="en-US"/>
        </w:rPr>
        <w:t>1282</w:t>
      </w:r>
      <w:r w:rsidRPr="006223B2">
        <w:rPr>
          <w:lang w:val="en-US"/>
        </w:rPr>
        <w:t xml:space="preserve">. This would imply a critical value of </w:t>
      </w:r>
      <w:r>
        <w:rPr>
          <w:lang w:val="en-US"/>
        </w:rPr>
        <w:t>14.8</w:t>
      </w:r>
      <w:r w:rsidRPr="006223B2">
        <w:rPr>
          <w:lang w:val="en-US"/>
        </w:rPr>
        <w:t xml:space="preserve"> (rather than 3.84) for each individual modification index</w:t>
      </w:r>
      <w:r>
        <w:rPr>
          <w:lang w:val="en-US"/>
        </w:rPr>
        <w:t>, and one c</w:t>
      </w:r>
      <w:r w:rsidRPr="006223B2">
        <w:rPr>
          <w:lang w:val="en-US"/>
        </w:rPr>
        <w:t xml:space="preserve">ould sequentially free </w:t>
      </w:r>
      <w:r>
        <w:rPr>
          <w:lang w:val="en-US"/>
        </w:rPr>
        <w:t xml:space="preserve">non-invariant loadings </w:t>
      </w:r>
      <w:r w:rsidRPr="006223B2">
        <w:rPr>
          <w:lang w:val="en-US"/>
        </w:rPr>
        <w:t>until</w:t>
      </w:r>
      <w:r>
        <w:rPr>
          <w:lang w:val="en-US"/>
        </w:rPr>
        <w:t xml:space="preserve"> no modification index exceeds 14.8</w:t>
      </w:r>
      <w:r w:rsidRPr="006223B2">
        <w:rPr>
          <w:lang w:val="en-US"/>
        </w:rPr>
        <w:t>.</w:t>
      </w:r>
      <w:r>
        <w:rPr>
          <w:lang w:val="en-US"/>
        </w:rPr>
        <w:t xml:space="preserve"> This was done to arrive at Model M10, which resulted in the best-fitting model based on the fit measures that take into account model parsimony. </w:t>
      </w:r>
    </w:p>
    <w:p w14:paraId="40105603" w14:textId="3B61E1DB" w:rsidR="006327A8" w:rsidRDefault="007A6739" w:rsidP="00B070E9">
      <w:pPr>
        <w:spacing w:before="0" w:beforeAutospacing="0" w:after="0" w:afterAutospacing="0"/>
        <w:ind w:firstLine="708"/>
        <w:rPr>
          <w:lang w:val="en-US"/>
        </w:rPr>
      </w:pPr>
      <w:r>
        <w:rPr>
          <w:lang w:val="en-US"/>
        </w:rPr>
        <w:lastRenderedPageBreak/>
        <w:t>Table 6</w:t>
      </w:r>
      <w:r w:rsidRPr="00216F60">
        <w:rPr>
          <w:lang w:val="en-US"/>
        </w:rPr>
        <w:t xml:space="preserve"> reports a measurement analysis of the three attribution factors based on model </w:t>
      </w:r>
      <w:r>
        <w:rPr>
          <w:lang w:val="en-US"/>
        </w:rPr>
        <w:t>M1</w:t>
      </w:r>
      <w:r w:rsidRPr="00216F60">
        <w:rPr>
          <w:lang w:val="en-US"/>
        </w:rPr>
        <w:t xml:space="preserve"> (</w:t>
      </w:r>
      <w:r>
        <w:rPr>
          <w:lang w:val="en-US"/>
        </w:rPr>
        <w:t>a naive model that does not account for NARS effects or method factors</w:t>
      </w:r>
      <w:r w:rsidRPr="00216F60">
        <w:rPr>
          <w:lang w:val="en-US"/>
        </w:rPr>
        <w:t xml:space="preserve">) versus model </w:t>
      </w:r>
      <w:r>
        <w:rPr>
          <w:lang w:val="en-US"/>
        </w:rPr>
        <w:t>M10</w:t>
      </w:r>
      <w:r w:rsidRPr="00216F60">
        <w:rPr>
          <w:lang w:val="en-US"/>
        </w:rPr>
        <w:t xml:space="preserve"> (</w:t>
      </w:r>
      <w:r>
        <w:rPr>
          <w:lang w:val="en-US"/>
        </w:rPr>
        <w:t>which exhibits partial metric invariance and accounts for NARS effects and two method factors). F</w:t>
      </w:r>
      <w:r w:rsidRPr="00216F60">
        <w:rPr>
          <w:lang w:val="en-US"/>
        </w:rPr>
        <w:t>or each construct</w:t>
      </w:r>
      <w:r>
        <w:rPr>
          <w:lang w:val="en-US"/>
        </w:rPr>
        <w:t>,</w:t>
      </w:r>
      <w:r w:rsidRPr="00216F60">
        <w:rPr>
          <w:lang w:val="en-US"/>
        </w:rPr>
        <w:t xml:space="preserve"> </w:t>
      </w:r>
      <w:r w:rsidR="003A2809">
        <w:rPr>
          <w:lang w:val="en-US"/>
        </w:rPr>
        <w:t xml:space="preserve">averages across the 14 countries in </w:t>
      </w:r>
      <w:r w:rsidRPr="00216F60">
        <w:rPr>
          <w:lang w:val="en-US"/>
        </w:rPr>
        <w:t xml:space="preserve">estimates of Composite Reliability </w:t>
      </w:r>
      <w:r>
        <w:rPr>
          <w:lang w:val="en-US"/>
        </w:rPr>
        <w:t xml:space="preserve">(CR) </w:t>
      </w:r>
      <w:r w:rsidRPr="00216F60">
        <w:rPr>
          <w:lang w:val="en-US"/>
        </w:rPr>
        <w:t xml:space="preserve">and Average Variance Extracted (AVE), as well as Shared Variance </w:t>
      </w:r>
      <w:r>
        <w:rPr>
          <w:lang w:val="en-US"/>
        </w:rPr>
        <w:t xml:space="preserve">(SV) </w:t>
      </w:r>
      <w:r w:rsidRPr="00216F60">
        <w:rPr>
          <w:lang w:val="en-US"/>
        </w:rPr>
        <w:t>for each construct pair</w:t>
      </w:r>
      <w:r>
        <w:rPr>
          <w:lang w:val="en-US"/>
        </w:rPr>
        <w:t>, are reported</w:t>
      </w:r>
      <w:r w:rsidRPr="00216F60">
        <w:rPr>
          <w:lang w:val="en-US"/>
        </w:rPr>
        <w:t xml:space="preserve"> </w:t>
      </w:r>
      <w:r>
        <w:rPr>
          <w:noProof/>
          <w:lang w:val="en-US"/>
        </w:rPr>
        <w:t>(Baumgartner and Weijters 2017)</w:t>
      </w:r>
      <w:r w:rsidRPr="00216F60">
        <w:rPr>
          <w:lang w:val="en-US"/>
        </w:rPr>
        <w:t xml:space="preserve">. </w:t>
      </w:r>
      <w:r w:rsidR="003A2809">
        <w:rPr>
          <w:lang w:val="en-US"/>
        </w:rPr>
        <w:t xml:space="preserve">Note that for model M10, composite reliability and average variance extracted refer to the internal consistency and average individual-item reliability of the substantive portion of the variance of each item only. </w:t>
      </w:r>
      <w:r w:rsidRPr="00216F60">
        <w:rPr>
          <w:lang w:val="en-US"/>
        </w:rPr>
        <w:t>The results show a consistent pattern</w:t>
      </w:r>
      <w:r>
        <w:rPr>
          <w:lang w:val="en-US"/>
        </w:rPr>
        <w:t xml:space="preserve">: the CR and AVE values are slightly lower in the model in which method effects are accounted for (M10) compared to the baseline model (M1), suggesting that the presence of method variance leads to </w:t>
      </w:r>
      <w:r w:rsidR="00E56737">
        <w:rPr>
          <w:lang w:val="en-US"/>
        </w:rPr>
        <w:t>somewhat</w:t>
      </w:r>
      <w:r>
        <w:rPr>
          <w:lang w:val="en-US"/>
        </w:rPr>
        <w:t xml:space="preserve"> inflated estimates of internal consistency if left uncontrolled</w:t>
      </w:r>
      <w:r w:rsidR="003A2809">
        <w:rPr>
          <w:lang w:val="en-US"/>
        </w:rPr>
        <w:t xml:space="preserve"> (because shared method variance is incorrectly treated as substantive variance)</w:t>
      </w:r>
      <w:r>
        <w:rPr>
          <w:lang w:val="en-US"/>
        </w:rPr>
        <w:t xml:space="preserve">. The SV values are also lower in model M10 compared to the baseline model (M1), suggesting that the presence of method variance leads to inflated inter-factor correlations, which on the one hand could threaten discriminant validity (although this is not an issue in the current data) but on the other hand could also lead to exaggerated substantive relationships between constructs. The </w:t>
      </w:r>
      <w:r w:rsidRPr="00216F60">
        <w:rPr>
          <w:lang w:val="en-US"/>
        </w:rPr>
        <w:t>differences in estimates between the corrected and uncorrected model</w:t>
      </w:r>
      <w:r>
        <w:rPr>
          <w:lang w:val="en-US"/>
        </w:rPr>
        <w:t>s</w:t>
      </w:r>
      <w:r w:rsidRPr="00216F60">
        <w:rPr>
          <w:lang w:val="en-US"/>
        </w:rPr>
        <w:t xml:space="preserve"> are not large</w:t>
      </w:r>
      <w:r>
        <w:rPr>
          <w:lang w:val="en-US"/>
        </w:rPr>
        <w:t xml:space="preserve"> in the present case, but if a researcher concluded that method effects were absent (using faulty methods) and proceeded to investigate the substantive hypotheses </w:t>
      </w:r>
      <w:r w:rsidRPr="00216F60">
        <w:rPr>
          <w:lang w:val="en-US"/>
        </w:rPr>
        <w:t xml:space="preserve">without </w:t>
      </w:r>
      <w:r>
        <w:rPr>
          <w:lang w:val="en-US"/>
        </w:rPr>
        <w:t xml:space="preserve">controlling for </w:t>
      </w:r>
      <w:r w:rsidRPr="00216F60">
        <w:rPr>
          <w:lang w:val="en-US"/>
        </w:rPr>
        <w:t>CMV</w:t>
      </w:r>
      <w:r>
        <w:rPr>
          <w:lang w:val="en-US"/>
        </w:rPr>
        <w:t>, the empirical findings would be ambiguous at best and misleading at worst.</w:t>
      </w:r>
    </w:p>
    <w:p w14:paraId="580B9D76" w14:textId="35226088" w:rsidR="007A6739" w:rsidRDefault="006327A8" w:rsidP="00B070E9">
      <w:pPr>
        <w:spacing w:before="0" w:beforeAutospacing="0" w:after="0" w:afterAutospacing="0"/>
        <w:ind w:firstLine="708"/>
        <w:rPr>
          <w:b/>
          <w:bCs/>
          <w:lang w:val="en-US"/>
        </w:rPr>
      </w:pPr>
      <w:r>
        <w:rPr>
          <w:lang w:val="en-US"/>
        </w:rPr>
        <w:t xml:space="preserve">In sum, </w:t>
      </w:r>
      <w:r w:rsidR="009E7816">
        <w:rPr>
          <w:lang w:val="en-US"/>
        </w:rPr>
        <w:t xml:space="preserve">the findings show that method variance is clearly present in the data. Both scale usage differences or NARS and commonalities for two of the response scales used for measuring the three attribution dimensions contribute to shared method variance among the </w:t>
      </w:r>
      <w:r w:rsidR="009E7816">
        <w:rPr>
          <w:lang w:val="en-US"/>
        </w:rPr>
        <w:lastRenderedPageBreak/>
        <w:t xml:space="preserve">observed indicators. However, in the present case common method variance does not change the substantive conclusions (i.e., the three attribution dimensions are significantly positively correlated regardless of whether or not method effects are accounted for) and </w:t>
      </w:r>
      <w:r w:rsidR="00B32221">
        <w:rPr>
          <w:lang w:val="en-US"/>
        </w:rPr>
        <w:t xml:space="preserve">the shared </w:t>
      </w:r>
      <w:r w:rsidR="009E7816">
        <w:rPr>
          <w:lang w:val="en-US"/>
        </w:rPr>
        <w:t>variance (squared correlation</w:t>
      </w:r>
      <w:r w:rsidR="00B32221">
        <w:rPr>
          <w:lang w:val="en-US"/>
        </w:rPr>
        <w:t>) between constructs is only reduced by 14 percent on average (across the 14 countries and three constructs) when method effects are taken into account.</w:t>
      </w:r>
      <w:r w:rsidR="009E7816">
        <w:rPr>
          <w:lang w:val="en-US"/>
        </w:rPr>
        <w:t xml:space="preserve"> </w:t>
      </w:r>
      <w:r w:rsidR="007A6739" w:rsidRPr="00216F60">
        <w:rPr>
          <w:lang w:val="en-US"/>
        </w:rPr>
        <w:t xml:space="preserve"> </w:t>
      </w:r>
    </w:p>
    <w:p w14:paraId="50A492AE" w14:textId="71C516B0" w:rsidR="007A6739" w:rsidRPr="0060478C" w:rsidRDefault="009F65D7" w:rsidP="0060478C">
      <w:pPr>
        <w:spacing w:before="0" w:beforeAutospacing="0" w:after="0" w:afterAutospacing="0"/>
        <w:rPr>
          <w:b/>
          <w:bCs/>
          <w:caps/>
          <w:lang w:val="en-US"/>
        </w:rPr>
      </w:pPr>
      <w:r>
        <w:rPr>
          <w:b/>
          <w:bCs/>
          <w:caps/>
          <w:lang w:val="en-US"/>
        </w:rPr>
        <w:t>general discussion</w:t>
      </w:r>
    </w:p>
    <w:p w14:paraId="549BFCBE" w14:textId="03668AC2" w:rsidR="007A6739" w:rsidRDefault="007A6739" w:rsidP="0060478C">
      <w:pPr>
        <w:spacing w:before="0" w:beforeAutospacing="0" w:after="0" w:afterAutospacing="0"/>
        <w:ind w:firstLine="708"/>
        <w:rPr>
          <w:lang w:val="en-US"/>
        </w:rPr>
      </w:pPr>
      <w:r>
        <w:rPr>
          <w:lang w:val="en-US"/>
        </w:rPr>
        <w:t>Common method variance is a concern in studies in which the data come from a single source (often each respondent provides the data for all constructs measured in a study), the responses are based on the same response scale for all items (often a 5- or 7-point Likert scale is used), none of which are reverse-keyed, and/or the data are collected in the same setting at one point in time, with little separation between the dependent and independent variables. Under these circumstances, it is likely that the covariation between the measured items reflects not only the hypothesized substantive relationships between the constructs but also shared method variance. If this common method variance is not controlled, shared method variance may be mistaken for shared substantive variance.</w:t>
      </w:r>
    </w:p>
    <w:p w14:paraId="0FE5EE1A" w14:textId="296093BA" w:rsidR="000F6384" w:rsidRDefault="000F6384" w:rsidP="0060478C">
      <w:pPr>
        <w:spacing w:before="0" w:beforeAutospacing="0" w:after="0" w:afterAutospacing="0"/>
        <w:ind w:firstLine="708"/>
        <w:rPr>
          <w:lang w:val="en-US"/>
        </w:rPr>
      </w:pPr>
      <w:r>
        <w:rPr>
          <w:lang w:val="en-US"/>
        </w:rPr>
        <w:t>The conditions that give rise to common method variance point to strategies that researchers can adopt during the planning stage</w:t>
      </w:r>
      <w:r w:rsidR="00C55598">
        <w:rPr>
          <w:lang w:val="en-US"/>
        </w:rPr>
        <w:t>s</w:t>
      </w:r>
      <w:r>
        <w:rPr>
          <w:lang w:val="en-US"/>
        </w:rPr>
        <w:t xml:space="preserve"> of research to avoid method effects. Since MacKenzie and Podsakoff (2012) already presented a list of procedural remedies to counter method effects, we will only provide </w:t>
      </w:r>
      <w:r w:rsidR="00DA3F55">
        <w:rPr>
          <w:lang w:val="en-US"/>
        </w:rPr>
        <w:t xml:space="preserve">a brief overview </w:t>
      </w:r>
      <w:r>
        <w:rPr>
          <w:lang w:val="en-US"/>
        </w:rPr>
        <w:t>here (see also Podsakoff et al. 2003).</w:t>
      </w:r>
      <w:r w:rsidR="00DA3F55">
        <w:rPr>
          <w:lang w:val="en-US"/>
        </w:rPr>
        <w:t xml:space="preserve"> MacKenzie and Podsakoff (2012) suggest that there are three sets of factors that increase the likelihood of method bias: lack of respondent ability to respond accurately; lack of respondent motivation to respond accurately; and </w:t>
      </w:r>
      <w:r w:rsidR="00F92771">
        <w:rPr>
          <w:lang w:val="en-US"/>
        </w:rPr>
        <w:t>item characteristics that encourage satisficing in surveys (rather than optimizing).</w:t>
      </w:r>
      <w:r w:rsidR="00C55598">
        <w:rPr>
          <w:lang w:val="en-US"/>
        </w:rPr>
        <w:t xml:space="preserve"> </w:t>
      </w:r>
      <w:r w:rsidR="00C359F1">
        <w:rPr>
          <w:lang w:val="en-US"/>
        </w:rPr>
        <w:t xml:space="preserve">Based on these factors, distinct strategies for inhibiting method bias can be suggested. First, researchers should select respondents who are capable of </w:t>
      </w:r>
      <w:r w:rsidR="00C359F1">
        <w:rPr>
          <w:lang w:val="en-US"/>
        </w:rPr>
        <w:lastRenderedPageBreak/>
        <w:t xml:space="preserve">providing the desired responses with a reasonable amount of effort and/or align the response task with the cognitive capabilities of respondents. With regard to the latter, the usual methods for improving the instructions, the formulation of the items, and the response scales should be implemented (see Baumgartner and Weijters 2019, Chapter 3, for details). Second, </w:t>
      </w:r>
      <w:r w:rsidR="00D04C58">
        <w:rPr>
          <w:lang w:val="en-US"/>
        </w:rPr>
        <w:t>researchers should take steps to increase respondents’ motivation to answer all questions accurately (e.g., by emphasizing the relevance of the topics covered in the survey) and reduce survey characteristics that are detrimental to motivation (e.g., l</w:t>
      </w:r>
      <w:r w:rsidR="0048173A">
        <w:rPr>
          <w:lang w:val="en-US"/>
        </w:rPr>
        <w:t xml:space="preserve">engthy batteries of </w:t>
      </w:r>
      <w:r w:rsidR="00D04C58">
        <w:rPr>
          <w:lang w:val="en-US"/>
        </w:rPr>
        <w:t>questions</w:t>
      </w:r>
      <w:r w:rsidR="0048173A">
        <w:rPr>
          <w:lang w:val="en-US"/>
        </w:rPr>
        <w:t xml:space="preserve">). One way to achieve the latter is to collect the required responses from multiple sources or in several stages. Third, researchers </w:t>
      </w:r>
      <w:r w:rsidR="00050FA9">
        <w:rPr>
          <w:lang w:val="en-US"/>
        </w:rPr>
        <w:t xml:space="preserve">should eliminate factors that make it easy for respondents to satisfice, such as grouping related </w:t>
      </w:r>
      <w:r w:rsidR="00D8387A">
        <w:rPr>
          <w:lang w:val="en-US"/>
        </w:rPr>
        <w:t xml:space="preserve">(especially very similar) </w:t>
      </w:r>
      <w:r w:rsidR="00050FA9">
        <w:rPr>
          <w:lang w:val="en-US"/>
        </w:rPr>
        <w:t xml:space="preserve">items together (in which case respondents can provide the same answers without thinking) or using the same response scale for all items (which encourages respondents to choose the same scale position repeatedly). </w:t>
      </w:r>
      <w:r w:rsidR="00D90CE7">
        <w:rPr>
          <w:lang w:val="en-US"/>
        </w:rPr>
        <w:t xml:space="preserve">If the researcher believes that a survey is susceptible to specific common method effects and these effects cannot be avoided, then explicit measures of the method effects in question should be built into the survey so that they can be controlled for during the analysis stage. </w:t>
      </w:r>
      <w:r w:rsidR="00C359F1">
        <w:rPr>
          <w:lang w:val="en-US"/>
        </w:rPr>
        <w:t xml:space="preserve"> </w:t>
      </w:r>
      <w:r w:rsidR="00DA3F55">
        <w:rPr>
          <w:lang w:val="en-US"/>
        </w:rPr>
        <w:t xml:space="preserve"> </w:t>
      </w:r>
      <w:r>
        <w:rPr>
          <w:lang w:val="en-US"/>
        </w:rPr>
        <w:t xml:space="preserve">   </w:t>
      </w:r>
    </w:p>
    <w:p w14:paraId="7F3BF590" w14:textId="2E8DF696" w:rsidR="007A6739" w:rsidRPr="00216F60" w:rsidRDefault="007A6739" w:rsidP="00B070E9">
      <w:pPr>
        <w:spacing w:before="0" w:beforeAutospacing="0" w:after="0" w:afterAutospacing="0"/>
        <w:rPr>
          <w:lang w:val="en-US"/>
        </w:rPr>
      </w:pPr>
      <w:r>
        <w:rPr>
          <w:lang w:val="en-US"/>
        </w:rPr>
        <w:tab/>
        <w:t xml:space="preserve">Although </w:t>
      </w:r>
      <w:r w:rsidR="00D8387A">
        <w:rPr>
          <w:lang w:val="en-US"/>
        </w:rPr>
        <w:t xml:space="preserve">procedural remedies at the design stage </w:t>
      </w:r>
      <w:r w:rsidR="004A0A13">
        <w:rPr>
          <w:lang w:val="en-US"/>
        </w:rPr>
        <w:t xml:space="preserve">are very useful, they cannot guarantee that the data will be free of method bias. It is therefore necessary to check for method effects </w:t>
      </w:r>
      <w:r w:rsidR="004A0A13" w:rsidRPr="004A0A13">
        <w:rPr>
          <w:i/>
          <w:iCs/>
          <w:lang w:val="en-US"/>
        </w:rPr>
        <w:t>post hoc</w:t>
      </w:r>
      <w:r w:rsidR="004A0A13">
        <w:rPr>
          <w:lang w:val="en-US"/>
        </w:rPr>
        <w:t xml:space="preserve">. Our review of studies published in the </w:t>
      </w:r>
      <w:r w:rsidR="004A0A13" w:rsidRPr="004A0A13">
        <w:rPr>
          <w:i/>
          <w:iCs/>
          <w:lang w:val="en-US"/>
        </w:rPr>
        <w:t>Journal of International Marketing</w:t>
      </w:r>
      <w:r w:rsidR="004A0A13">
        <w:rPr>
          <w:lang w:val="en-US"/>
        </w:rPr>
        <w:t xml:space="preserve"> shows that </w:t>
      </w:r>
      <w:r>
        <w:rPr>
          <w:lang w:val="en-US"/>
        </w:rPr>
        <w:t>i</w:t>
      </w:r>
      <w:r w:rsidR="00DA3F55">
        <w:rPr>
          <w:lang w:val="en-US"/>
        </w:rPr>
        <w:t>nter</w:t>
      </w:r>
      <w:r>
        <w:rPr>
          <w:lang w:val="en-US"/>
        </w:rPr>
        <w:t>national marketing researchers are cognizant of th</w:t>
      </w:r>
      <w:r w:rsidR="004A0A13">
        <w:rPr>
          <w:lang w:val="en-US"/>
        </w:rPr>
        <w:t>e</w:t>
      </w:r>
      <w:r>
        <w:rPr>
          <w:lang w:val="en-US"/>
        </w:rPr>
        <w:t xml:space="preserve"> threat </w:t>
      </w:r>
      <w:r w:rsidR="004A0A13">
        <w:rPr>
          <w:lang w:val="en-US"/>
        </w:rPr>
        <w:t xml:space="preserve">of common method bias </w:t>
      </w:r>
      <w:r>
        <w:rPr>
          <w:lang w:val="en-US"/>
        </w:rPr>
        <w:t xml:space="preserve">to the validity of their research findings, </w:t>
      </w:r>
      <w:r w:rsidR="004A0A13">
        <w:rPr>
          <w:lang w:val="en-US"/>
        </w:rPr>
        <w:t xml:space="preserve">but </w:t>
      </w:r>
      <w:r>
        <w:rPr>
          <w:lang w:val="en-US"/>
        </w:rPr>
        <w:t xml:space="preserve">it appears that they have often used sub-optimal statistical methods for dealing with this problem. Despite strongly worded recommendations that the Harman one-factor test not be used to ascertain the presence of CMV, it is apparently routinely reported in published articles in the premier international journals. The criticism leveled at the marker variable technique has been less </w:t>
      </w:r>
      <w:r>
        <w:rPr>
          <w:lang w:val="en-US"/>
        </w:rPr>
        <w:lastRenderedPageBreak/>
        <w:t xml:space="preserve">harsh, but as shown in this paper the very concept of a marker variable is of doubtful validity, and the marker variables used in empirical studies cannot provide a meaningful control for CMV. Furthermore, the (usually untestable) assumptions underlying the technique are so unrealistic that the procedure lacks face validity. A moment’s reflection should make it plain that marker variables should not be used to control for CMV: If a variable is conceptually unrelated to at least one of the substantive variables (and usually most of them) and does not capture method effects in any meaningful way (e.g., why should a demographic or other factual question be influenced by method effects?), how could such a variable be useful in accounting for method effects? And if the smallest (or second-smallest) correlation is close to zero, as it often is, it is a foregone conclusion that partialing out this correlation will not affect the substantive correlations. The only reason for the popularity of this technique seems to be that it usually leads to the desired conclusion that no method variance is present in the data. The same is also true for the Harman one-factor test. </w:t>
      </w:r>
    </w:p>
    <w:p w14:paraId="2737D9D0" w14:textId="79100CED" w:rsidR="004A0A13" w:rsidRDefault="007A6739" w:rsidP="00B070E9">
      <w:pPr>
        <w:spacing w:before="0" w:beforeAutospacing="0" w:after="0" w:afterAutospacing="0"/>
        <w:rPr>
          <w:lang w:val="en-US"/>
        </w:rPr>
      </w:pPr>
      <w:r>
        <w:rPr>
          <w:lang w:val="en-US"/>
        </w:rPr>
        <w:tab/>
        <w:t xml:space="preserve">Although we believe that researchers often discount the threat of CMV based on faulty procedures, we do not want to argue that common method variance will invariably invalidate research findings. Even if CMV is present in empirical data (which need not be the case), it does not necessarily change the substantive conclusions, compared to when CMV is ignored. However, a researcher should (a) test whether observed measures contain a significant amount of method variance and (b) ascertain whether taking into account method effects significantly alters substantive relationships of interest. To this end, we proposed a </w:t>
      </w:r>
      <w:r w:rsidR="009F65D7" w:rsidRPr="009F65D7">
        <w:rPr>
          <w:i/>
          <w:iCs/>
          <w:lang w:val="en-US"/>
        </w:rPr>
        <w:t>post hoc</w:t>
      </w:r>
      <w:r w:rsidR="009F65D7">
        <w:rPr>
          <w:lang w:val="en-US"/>
        </w:rPr>
        <w:t xml:space="preserve"> </w:t>
      </w:r>
      <w:r>
        <w:rPr>
          <w:lang w:val="en-US"/>
        </w:rPr>
        <w:t xml:space="preserve">procedure for incorporating method effects in international marketing research. The procedure uses either a directly measured method effect or an inferred method factor as a control variable at the item level. If a latent method factor is specified, a researcher has to make sure that the presumed method factor actually captures method effects, which usually requires a research design that </w:t>
      </w:r>
      <w:r>
        <w:rPr>
          <w:lang w:val="en-US"/>
        </w:rPr>
        <w:lastRenderedPageBreak/>
        <w:t xml:space="preserve">makes the specification of a method factor meaningful (e.g., balanced scales with an equal number of regular and reversed items). The </w:t>
      </w:r>
      <w:r w:rsidR="004A0A13">
        <w:rPr>
          <w:lang w:val="en-US"/>
        </w:rPr>
        <w:t xml:space="preserve">proposed </w:t>
      </w:r>
      <w:r>
        <w:rPr>
          <w:lang w:val="en-US"/>
        </w:rPr>
        <w:t xml:space="preserve">procedure makes it possible to investigate method effects across cultures or countries in a principled way and uses multi-sample structural equation modeling and invariance testing. </w:t>
      </w:r>
    </w:p>
    <w:p w14:paraId="68AC3494" w14:textId="47C225CD" w:rsidR="000925D0" w:rsidRDefault="004A0A13" w:rsidP="004A0A13">
      <w:pPr>
        <w:spacing w:before="0" w:beforeAutospacing="0" w:after="0" w:afterAutospacing="0"/>
        <w:ind w:firstLine="708"/>
        <w:rPr>
          <w:lang w:val="en-US"/>
        </w:rPr>
        <w:sectPr w:rsidR="000925D0" w:rsidSect="009A4CCD">
          <w:headerReference w:type="default" r:id="rId8"/>
          <w:pgSz w:w="11906" w:h="16838"/>
          <w:pgMar w:top="1417" w:right="1417" w:bottom="1417" w:left="1417" w:header="708" w:footer="708" w:gutter="0"/>
          <w:pgNumType w:start="1"/>
          <w:cols w:space="708"/>
          <w:docGrid w:linePitch="360"/>
        </w:sectPr>
      </w:pPr>
      <w:r>
        <w:rPr>
          <w:lang w:val="en-US"/>
        </w:rPr>
        <w:t xml:space="preserve">Figure 4 </w:t>
      </w:r>
      <w:r w:rsidR="00236623">
        <w:rPr>
          <w:lang w:val="en-US"/>
        </w:rPr>
        <w:t xml:space="preserve">presents a flow chart of how researchers can deal with common method variance in international marketing research. It consists of both an </w:t>
      </w:r>
      <w:r w:rsidR="00236623" w:rsidRPr="00236623">
        <w:rPr>
          <w:i/>
          <w:iCs/>
          <w:lang w:val="en-US"/>
        </w:rPr>
        <w:t>a priori</w:t>
      </w:r>
      <w:r w:rsidR="00236623">
        <w:rPr>
          <w:lang w:val="en-US"/>
        </w:rPr>
        <w:t xml:space="preserve"> stage during the design of a research study (which we did not emphasize in this paper) and a </w:t>
      </w:r>
      <w:r w:rsidR="00236623" w:rsidRPr="00236623">
        <w:rPr>
          <w:i/>
          <w:iCs/>
          <w:lang w:val="en-US"/>
        </w:rPr>
        <w:t>post hoc</w:t>
      </w:r>
      <w:r w:rsidR="00236623">
        <w:rPr>
          <w:lang w:val="en-US"/>
        </w:rPr>
        <w:t xml:space="preserve"> stage during the analysis of the data collected in the study, as discussed in this paper and exemplified in our empirical study. </w:t>
      </w:r>
      <w:r w:rsidR="007A6739">
        <w:rPr>
          <w:lang w:val="en-US"/>
        </w:rPr>
        <w:t>It is our hope that the proposed procedure will prove useful in further studies</w:t>
      </w:r>
      <w:r w:rsidR="007A6739" w:rsidRPr="00A0695E">
        <w:rPr>
          <w:lang w:val="en-US"/>
        </w:rPr>
        <w:t xml:space="preserve"> </w:t>
      </w:r>
      <w:r w:rsidR="007A6739">
        <w:rPr>
          <w:lang w:val="en-US"/>
        </w:rPr>
        <w:t xml:space="preserve">and that in the future international marketing researchers will employ this and similar sophisticated approaches to deal with the problem of CMV. </w:t>
      </w:r>
    </w:p>
    <w:p w14:paraId="316A1065" w14:textId="77777777" w:rsidR="000925D0" w:rsidRPr="0060478C" w:rsidRDefault="000925D0" w:rsidP="0060478C">
      <w:pPr>
        <w:pStyle w:val="Heading1"/>
        <w:spacing w:before="0" w:beforeAutospacing="0" w:afterAutospacing="0"/>
        <w:ind w:left="720" w:hanging="720"/>
        <w:rPr>
          <w:caps/>
          <w:sz w:val="24"/>
          <w:szCs w:val="24"/>
          <w:lang w:val="en-US"/>
        </w:rPr>
      </w:pPr>
      <w:r w:rsidRPr="0060478C">
        <w:rPr>
          <w:caps/>
          <w:sz w:val="24"/>
          <w:szCs w:val="24"/>
          <w:lang w:val="en-US"/>
        </w:rPr>
        <w:lastRenderedPageBreak/>
        <w:t>References</w:t>
      </w:r>
    </w:p>
    <w:p w14:paraId="4D03CB7B" w14:textId="04DC8411" w:rsidR="000925D0" w:rsidRPr="0098725D" w:rsidRDefault="000925D0" w:rsidP="000925D0">
      <w:pPr>
        <w:spacing w:before="0" w:beforeAutospacing="0" w:after="0" w:afterAutospacing="0"/>
        <w:ind w:left="720" w:hanging="720"/>
        <w:rPr>
          <w:lang w:val="en-US"/>
        </w:rPr>
      </w:pPr>
      <w:r w:rsidRPr="0098725D">
        <w:rPr>
          <w:noProof/>
          <w:lang w:val="en-US"/>
        </w:rPr>
        <w:t xml:space="preserve">Baumgartner, Hans and Bert Weijters (2019), </w:t>
      </w:r>
      <w:r>
        <w:rPr>
          <w:noProof/>
          <w:lang w:val="en-US"/>
        </w:rPr>
        <w:t>“</w:t>
      </w:r>
      <w:r w:rsidRPr="0098725D">
        <w:rPr>
          <w:noProof/>
          <w:lang w:val="en-US"/>
        </w:rPr>
        <w:t>Measurement in Marketing,</w:t>
      </w:r>
      <w:r>
        <w:rPr>
          <w:noProof/>
          <w:lang w:val="en-US"/>
        </w:rPr>
        <w:t>”</w:t>
      </w:r>
      <w:r w:rsidRPr="0098725D">
        <w:rPr>
          <w:noProof/>
          <w:lang w:val="en-US"/>
        </w:rPr>
        <w:t xml:space="preserve"> </w:t>
      </w:r>
      <w:r w:rsidRPr="008F6403">
        <w:rPr>
          <w:i/>
          <w:iCs/>
          <w:noProof/>
          <w:lang w:val="en-US"/>
        </w:rPr>
        <w:t>Foundations and Trends® in Marketing</w:t>
      </w:r>
      <w:r w:rsidRPr="0098725D">
        <w:rPr>
          <w:noProof/>
          <w:lang w:val="en-US"/>
        </w:rPr>
        <w:t>, 12 (4), 278-400.</w:t>
      </w:r>
    </w:p>
    <w:p w14:paraId="49DF464C" w14:textId="38088264" w:rsidR="008F6403" w:rsidRDefault="008F6403" w:rsidP="000925D0">
      <w:pPr>
        <w:pStyle w:val="EndNoteBibliography"/>
        <w:spacing w:before="0" w:beforeAutospacing="0" w:after="0" w:afterAutospacing="0" w:line="480" w:lineRule="auto"/>
        <w:ind w:left="720" w:hanging="720"/>
        <w:jc w:val="left"/>
        <w:rPr>
          <w:snapToGrid w:val="0"/>
          <w:szCs w:val="24"/>
        </w:rPr>
      </w:pPr>
      <w:r w:rsidRPr="00D76954">
        <w:rPr>
          <w:snapToGrid w:val="0"/>
          <w:szCs w:val="24"/>
        </w:rPr>
        <w:t xml:space="preserve">Baumgartner, Hans, and Bert Weijters (2015), “Response </w:t>
      </w:r>
      <w:r w:rsidR="00D54070">
        <w:rPr>
          <w:snapToGrid w:val="0"/>
          <w:szCs w:val="24"/>
        </w:rPr>
        <w:t>B</w:t>
      </w:r>
      <w:r w:rsidRPr="00D76954">
        <w:rPr>
          <w:snapToGrid w:val="0"/>
          <w:szCs w:val="24"/>
        </w:rPr>
        <w:t xml:space="preserve">iases in </w:t>
      </w:r>
      <w:r w:rsidR="00D54070">
        <w:rPr>
          <w:snapToGrid w:val="0"/>
          <w:szCs w:val="24"/>
        </w:rPr>
        <w:t>C</w:t>
      </w:r>
      <w:r w:rsidRPr="00D76954">
        <w:rPr>
          <w:snapToGrid w:val="0"/>
          <w:szCs w:val="24"/>
        </w:rPr>
        <w:t>ross-</w:t>
      </w:r>
      <w:r w:rsidR="009050BC">
        <w:rPr>
          <w:snapToGrid w:val="0"/>
          <w:szCs w:val="24"/>
        </w:rPr>
        <w:t>C</w:t>
      </w:r>
      <w:r w:rsidRPr="00D76954">
        <w:rPr>
          <w:snapToGrid w:val="0"/>
          <w:szCs w:val="24"/>
        </w:rPr>
        <w:t xml:space="preserve">ultural </w:t>
      </w:r>
      <w:r w:rsidR="00D54070">
        <w:rPr>
          <w:snapToGrid w:val="0"/>
          <w:szCs w:val="24"/>
        </w:rPr>
        <w:t>M</w:t>
      </w:r>
      <w:r w:rsidRPr="00D76954">
        <w:rPr>
          <w:snapToGrid w:val="0"/>
          <w:szCs w:val="24"/>
        </w:rPr>
        <w:t xml:space="preserve">easurement,” in </w:t>
      </w:r>
      <w:r w:rsidRPr="008F6403">
        <w:rPr>
          <w:i/>
          <w:iCs/>
          <w:snapToGrid w:val="0"/>
          <w:szCs w:val="24"/>
        </w:rPr>
        <w:t>Handbook of Culture and Consumer Behavior</w:t>
      </w:r>
      <w:r w:rsidRPr="00D76954">
        <w:rPr>
          <w:snapToGrid w:val="0"/>
          <w:szCs w:val="24"/>
        </w:rPr>
        <w:t xml:space="preserve">, </w:t>
      </w:r>
      <w:r w:rsidR="00FF5A7B" w:rsidRPr="00D76954">
        <w:rPr>
          <w:snapToGrid w:val="0"/>
          <w:szCs w:val="24"/>
        </w:rPr>
        <w:t>Sharon Ng and Angele Y. Lee</w:t>
      </w:r>
      <w:r w:rsidR="00FF5A7B">
        <w:rPr>
          <w:snapToGrid w:val="0"/>
          <w:szCs w:val="24"/>
        </w:rPr>
        <w:t>, eds.</w:t>
      </w:r>
      <w:r w:rsidR="00FF5A7B" w:rsidRPr="00D76954">
        <w:rPr>
          <w:snapToGrid w:val="0"/>
          <w:szCs w:val="24"/>
        </w:rPr>
        <w:t>,</w:t>
      </w:r>
      <w:r w:rsidR="00FF5A7B">
        <w:rPr>
          <w:snapToGrid w:val="0"/>
          <w:szCs w:val="24"/>
        </w:rPr>
        <w:t xml:space="preserve"> </w:t>
      </w:r>
      <w:r w:rsidRPr="00D76954">
        <w:rPr>
          <w:snapToGrid w:val="0"/>
          <w:szCs w:val="24"/>
        </w:rPr>
        <w:t>Oxford, UK: Oxford University Press, 150-180.</w:t>
      </w:r>
    </w:p>
    <w:p w14:paraId="2E00F993" w14:textId="17805ABC" w:rsidR="009050BC" w:rsidRDefault="008F6403" w:rsidP="000925D0">
      <w:pPr>
        <w:pStyle w:val="EndNoteBibliography"/>
        <w:spacing w:before="0" w:beforeAutospacing="0" w:after="0" w:afterAutospacing="0" w:line="480" w:lineRule="auto"/>
        <w:ind w:left="720" w:hanging="720"/>
        <w:jc w:val="left"/>
        <w:rPr>
          <w:snapToGrid w:val="0"/>
          <w:szCs w:val="24"/>
        </w:rPr>
      </w:pPr>
      <w:r w:rsidRPr="00D76954">
        <w:rPr>
          <w:snapToGrid w:val="0"/>
          <w:szCs w:val="24"/>
        </w:rPr>
        <w:t>Baumgartner, Hans and Bert Weijters</w:t>
      </w:r>
      <w:r>
        <w:rPr>
          <w:snapToGrid w:val="0"/>
          <w:szCs w:val="24"/>
        </w:rPr>
        <w:t xml:space="preserve"> (2017)</w:t>
      </w:r>
      <w:r w:rsidRPr="00D76954">
        <w:rPr>
          <w:snapToGrid w:val="0"/>
          <w:szCs w:val="24"/>
        </w:rPr>
        <w:t xml:space="preserve">, “Structural </w:t>
      </w:r>
      <w:r w:rsidR="00D54070">
        <w:rPr>
          <w:snapToGrid w:val="0"/>
          <w:szCs w:val="24"/>
        </w:rPr>
        <w:t>E</w:t>
      </w:r>
      <w:r w:rsidRPr="00D76954">
        <w:rPr>
          <w:snapToGrid w:val="0"/>
          <w:szCs w:val="24"/>
        </w:rPr>
        <w:t xml:space="preserve">quation </w:t>
      </w:r>
      <w:r w:rsidR="00D54070">
        <w:rPr>
          <w:snapToGrid w:val="0"/>
          <w:szCs w:val="24"/>
        </w:rPr>
        <w:t>M</w:t>
      </w:r>
      <w:r w:rsidRPr="00D76954">
        <w:rPr>
          <w:snapToGrid w:val="0"/>
          <w:szCs w:val="24"/>
        </w:rPr>
        <w:t xml:space="preserve">odeling,” in </w:t>
      </w:r>
      <w:r w:rsidRPr="008F6403">
        <w:rPr>
          <w:i/>
          <w:iCs/>
          <w:snapToGrid w:val="0"/>
          <w:szCs w:val="24"/>
        </w:rPr>
        <w:t>Advanced Methods for Modeling Markets</w:t>
      </w:r>
      <w:r w:rsidRPr="00D76954">
        <w:rPr>
          <w:snapToGrid w:val="0"/>
          <w:szCs w:val="24"/>
        </w:rPr>
        <w:t xml:space="preserve">, </w:t>
      </w:r>
      <w:r w:rsidR="00FF5A7B" w:rsidRPr="00D76954">
        <w:rPr>
          <w:snapToGrid w:val="0"/>
          <w:szCs w:val="24"/>
        </w:rPr>
        <w:t>Peter S.</w:t>
      </w:r>
      <w:r w:rsidR="00FF5A7B">
        <w:rPr>
          <w:snapToGrid w:val="0"/>
          <w:szCs w:val="24"/>
        </w:rPr>
        <w:t xml:space="preserve"> </w:t>
      </w:r>
      <w:r w:rsidR="00FF5A7B" w:rsidRPr="00D76954">
        <w:rPr>
          <w:snapToGrid w:val="0"/>
          <w:szCs w:val="24"/>
        </w:rPr>
        <w:t>H</w:t>
      </w:r>
      <w:r w:rsidR="00FF5A7B">
        <w:rPr>
          <w:snapToGrid w:val="0"/>
          <w:szCs w:val="24"/>
        </w:rPr>
        <w:t>.</w:t>
      </w:r>
      <w:r w:rsidR="00FF5A7B" w:rsidRPr="00D76954">
        <w:rPr>
          <w:snapToGrid w:val="0"/>
          <w:szCs w:val="24"/>
        </w:rPr>
        <w:t xml:space="preserve"> Leeflang, Jaap E. Wieringa, Tammo H.</w:t>
      </w:r>
      <w:r w:rsidR="00FF5A7B">
        <w:rPr>
          <w:snapToGrid w:val="0"/>
          <w:szCs w:val="24"/>
        </w:rPr>
        <w:t xml:space="preserve"> </w:t>
      </w:r>
      <w:r w:rsidR="00FF5A7B" w:rsidRPr="00D76954">
        <w:rPr>
          <w:snapToGrid w:val="0"/>
          <w:szCs w:val="24"/>
        </w:rPr>
        <w:t>A. Bijmolt, and Koen H. Pauwels</w:t>
      </w:r>
      <w:r w:rsidR="00FF5A7B">
        <w:rPr>
          <w:snapToGrid w:val="0"/>
          <w:szCs w:val="24"/>
        </w:rPr>
        <w:t xml:space="preserve">, eds., </w:t>
      </w:r>
      <w:r w:rsidRPr="00D76954">
        <w:rPr>
          <w:snapToGrid w:val="0"/>
          <w:szCs w:val="24"/>
        </w:rPr>
        <w:t xml:space="preserve">Cham: Switzerland: Springer International Publishing AG, </w:t>
      </w:r>
      <w:r>
        <w:rPr>
          <w:snapToGrid w:val="0"/>
          <w:szCs w:val="24"/>
        </w:rPr>
        <w:t>335</w:t>
      </w:r>
      <w:r w:rsidRPr="00D76954">
        <w:rPr>
          <w:snapToGrid w:val="0"/>
          <w:szCs w:val="24"/>
        </w:rPr>
        <w:t>-</w:t>
      </w:r>
      <w:r>
        <w:rPr>
          <w:snapToGrid w:val="0"/>
          <w:szCs w:val="24"/>
        </w:rPr>
        <w:t>360</w:t>
      </w:r>
      <w:r w:rsidRPr="00D76954">
        <w:rPr>
          <w:snapToGrid w:val="0"/>
          <w:szCs w:val="24"/>
        </w:rPr>
        <w:t>.</w:t>
      </w:r>
    </w:p>
    <w:p w14:paraId="0E29E23F" w14:textId="424832B5" w:rsidR="008F6403" w:rsidRDefault="009050BC" w:rsidP="000925D0">
      <w:pPr>
        <w:pStyle w:val="EndNoteBibliography"/>
        <w:spacing w:before="0" w:beforeAutospacing="0" w:after="0" w:afterAutospacing="0" w:line="480" w:lineRule="auto"/>
        <w:ind w:left="720" w:hanging="720"/>
        <w:jc w:val="left"/>
        <w:rPr>
          <w:snapToGrid w:val="0"/>
          <w:szCs w:val="24"/>
        </w:rPr>
      </w:pPr>
      <w:r>
        <w:rPr>
          <w:szCs w:val="24"/>
        </w:rPr>
        <w:t>Baumgartner, Hans, Bert Weijters, and Rik Pieters (2021), “</w:t>
      </w:r>
      <w:r w:rsidRPr="0094178C">
        <w:rPr>
          <w:szCs w:val="24"/>
        </w:rPr>
        <w:t xml:space="preserve">The </w:t>
      </w:r>
      <w:r>
        <w:rPr>
          <w:szCs w:val="24"/>
        </w:rPr>
        <w:t>B</w:t>
      </w:r>
      <w:r w:rsidRPr="0094178C">
        <w:rPr>
          <w:szCs w:val="24"/>
        </w:rPr>
        <w:t xml:space="preserve">iasing </w:t>
      </w:r>
      <w:r>
        <w:rPr>
          <w:szCs w:val="24"/>
        </w:rPr>
        <w:t>E</w:t>
      </w:r>
      <w:r w:rsidRPr="0094178C">
        <w:rPr>
          <w:szCs w:val="24"/>
        </w:rPr>
        <w:t xml:space="preserve">ffect of </w:t>
      </w:r>
      <w:r>
        <w:rPr>
          <w:szCs w:val="24"/>
        </w:rPr>
        <w:t>C</w:t>
      </w:r>
      <w:r w:rsidRPr="0094178C">
        <w:rPr>
          <w:szCs w:val="24"/>
        </w:rPr>
        <w:t xml:space="preserve">ommon </w:t>
      </w:r>
      <w:r>
        <w:rPr>
          <w:szCs w:val="24"/>
        </w:rPr>
        <w:t>M</w:t>
      </w:r>
      <w:r w:rsidRPr="0094178C">
        <w:rPr>
          <w:szCs w:val="24"/>
        </w:rPr>
        <w:t xml:space="preserve">ethod </w:t>
      </w:r>
      <w:r>
        <w:rPr>
          <w:szCs w:val="24"/>
        </w:rPr>
        <w:t>V</w:t>
      </w:r>
      <w:r w:rsidRPr="0094178C">
        <w:rPr>
          <w:szCs w:val="24"/>
        </w:rPr>
        <w:t xml:space="preserve">ariance: </w:t>
      </w:r>
      <w:r>
        <w:rPr>
          <w:szCs w:val="24"/>
        </w:rPr>
        <w:t>S</w:t>
      </w:r>
      <w:r w:rsidRPr="0094178C">
        <w:rPr>
          <w:szCs w:val="24"/>
        </w:rPr>
        <w:t xml:space="preserve">ome </w:t>
      </w:r>
      <w:r>
        <w:rPr>
          <w:szCs w:val="24"/>
        </w:rPr>
        <w:t>C</w:t>
      </w:r>
      <w:r w:rsidRPr="0094178C">
        <w:rPr>
          <w:szCs w:val="24"/>
        </w:rPr>
        <w:t>larifications</w:t>
      </w:r>
      <w:r>
        <w:rPr>
          <w:szCs w:val="24"/>
        </w:rPr>
        <w:t xml:space="preserve">,” </w:t>
      </w:r>
      <w:r w:rsidRPr="00DF658D">
        <w:rPr>
          <w:i/>
          <w:iCs/>
          <w:szCs w:val="24"/>
        </w:rPr>
        <w:t>Journal of the Academy of Marketing Science</w:t>
      </w:r>
      <w:r>
        <w:rPr>
          <w:szCs w:val="24"/>
        </w:rPr>
        <w:t>, forthcoming, DOI:</w:t>
      </w:r>
      <w:r w:rsidR="00DF658D" w:rsidRPr="0094178C">
        <w:rPr>
          <w:szCs w:val="24"/>
        </w:rPr>
        <w:t xml:space="preserve"> </w:t>
      </w:r>
      <w:r w:rsidRPr="0094178C">
        <w:rPr>
          <w:szCs w:val="24"/>
        </w:rPr>
        <w:t>10.1007/s11747-020-00766-8</w:t>
      </w:r>
      <w:r>
        <w:rPr>
          <w:szCs w:val="24"/>
        </w:rPr>
        <w:t>.</w:t>
      </w:r>
      <w:r w:rsidR="008F6403" w:rsidRPr="00D76954">
        <w:rPr>
          <w:snapToGrid w:val="0"/>
          <w:szCs w:val="24"/>
        </w:rPr>
        <w:t xml:space="preserve"> </w:t>
      </w:r>
    </w:p>
    <w:p w14:paraId="14F6176C" w14:textId="3B386E41" w:rsidR="000925D0" w:rsidRPr="0098725D" w:rsidRDefault="000925D0" w:rsidP="000925D0">
      <w:pPr>
        <w:pStyle w:val="EndNoteBibliography"/>
        <w:spacing w:before="0" w:beforeAutospacing="0" w:after="0" w:afterAutospacing="0" w:line="480" w:lineRule="auto"/>
        <w:ind w:left="720" w:hanging="720"/>
        <w:jc w:val="left"/>
      </w:pPr>
      <w:r w:rsidRPr="0098725D">
        <w:t>Ellen, Pam Scholder, Deborah J</w:t>
      </w:r>
      <w:r w:rsidR="00D54070">
        <w:t>.</w:t>
      </w:r>
      <w:r w:rsidRPr="0098725D">
        <w:t xml:space="preserve"> Webb, and Lois A</w:t>
      </w:r>
      <w:r w:rsidR="00D54070">
        <w:t>.</w:t>
      </w:r>
      <w:r w:rsidRPr="0098725D">
        <w:t xml:space="preserve"> Mohr (2006), </w:t>
      </w:r>
      <w:r>
        <w:t>“</w:t>
      </w:r>
      <w:r w:rsidRPr="0098725D">
        <w:t xml:space="preserve">Building </w:t>
      </w:r>
      <w:r w:rsidR="00D54070">
        <w:t>C</w:t>
      </w:r>
      <w:r w:rsidRPr="0098725D">
        <w:t xml:space="preserve">orporate </w:t>
      </w:r>
      <w:r w:rsidR="00D54070">
        <w:t>A</w:t>
      </w:r>
      <w:r w:rsidRPr="0098725D">
        <w:t xml:space="preserve">ssociations: Consumer </w:t>
      </w:r>
      <w:r w:rsidR="00D54070">
        <w:t>A</w:t>
      </w:r>
      <w:r w:rsidRPr="0098725D">
        <w:t xml:space="preserve">ttributions for </w:t>
      </w:r>
      <w:r w:rsidR="00D54070">
        <w:t>C</w:t>
      </w:r>
      <w:r w:rsidRPr="0098725D">
        <w:t xml:space="preserve">orporate </w:t>
      </w:r>
      <w:r w:rsidR="00D54070">
        <w:t>S</w:t>
      </w:r>
      <w:r w:rsidRPr="0098725D">
        <w:t xml:space="preserve">ocially </w:t>
      </w:r>
      <w:r w:rsidR="00D54070">
        <w:t>R</w:t>
      </w:r>
      <w:r w:rsidRPr="0098725D">
        <w:t xml:space="preserve">esponsible </w:t>
      </w:r>
      <w:r w:rsidR="00D54070">
        <w:t>P</w:t>
      </w:r>
      <w:r w:rsidRPr="0098725D">
        <w:t>rograms,</w:t>
      </w:r>
      <w:r>
        <w:t>”</w:t>
      </w:r>
      <w:r w:rsidRPr="0098725D">
        <w:t xml:space="preserve"> </w:t>
      </w:r>
      <w:r w:rsidRPr="008F6403">
        <w:rPr>
          <w:i/>
          <w:iCs/>
        </w:rPr>
        <w:t xml:space="preserve">Journal of the </w:t>
      </w:r>
      <w:r w:rsidR="008F6403" w:rsidRPr="008F6403">
        <w:rPr>
          <w:i/>
          <w:iCs/>
        </w:rPr>
        <w:t>A</w:t>
      </w:r>
      <w:r w:rsidRPr="008F6403">
        <w:rPr>
          <w:i/>
          <w:iCs/>
        </w:rPr>
        <w:t>cademy of Marketing Science</w:t>
      </w:r>
      <w:r w:rsidRPr="0098725D">
        <w:t>, 34 (2), 147-57.</w:t>
      </w:r>
    </w:p>
    <w:p w14:paraId="3FED3A90" w14:textId="6E229CE2" w:rsidR="000925D0" w:rsidRPr="0098725D" w:rsidRDefault="000925D0" w:rsidP="000925D0">
      <w:pPr>
        <w:pStyle w:val="EndNoteBibliography"/>
        <w:spacing w:before="0" w:beforeAutospacing="0" w:after="0" w:afterAutospacing="0" w:line="480" w:lineRule="auto"/>
        <w:ind w:left="720" w:hanging="720"/>
        <w:jc w:val="left"/>
      </w:pPr>
      <w:r w:rsidRPr="0098725D">
        <w:t xml:space="preserve">Greenleaf, Eric A. (1992), </w:t>
      </w:r>
      <w:r>
        <w:t>“</w:t>
      </w:r>
      <w:r w:rsidRPr="0098725D">
        <w:t xml:space="preserve">Measuring </w:t>
      </w:r>
      <w:r w:rsidR="00D54070">
        <w:t>E</w:t>
      </w:r>
      <w:r w:rsidRPr="0098725D">
        <w:t xml:space="preserve">xtreme </w:t>
      </w:r>
      <w:r w:rsidR="00D54070">
        <w:t>R</w:t>
      </w:r>
      <w:r w:rsidRPr="0098725D">
        <w:t xml:space="preserve">esponse </w:t>
      </w:r>
      <w:r w:rsidR="00D54070">
        <w:t>S</w:t>
      </w:r>
      <w:r w:rsidRPr="0098725D">
        <w:t>tyle,</w:t>
      </w:r>
      <w:r>
        <w:t>”</w:t>
      </w:r>
      <w:r w:rsidRPr="0098725D">
        <w:t xml:space="preserve"> </w:t>
      </w:r>
      <w:r w:rsidRPr="008F6403">
        <w:rPr>
          <w:i/>
          <w:iCs/>
        </w:rPr>
        <w:t>Public Opinion Quarterly</w:t>
      </w:r>
      <w:r w:rsidRPr="0098725D">
        <w:t>, 56 (3), 328-50.</w:t>
      </w:r>
    </w:p>
    <w:p w14:paraId="0AEC8639" w14:textId="3993E820" w:rsidR="000925D0" w:rsidRPr="0098725D" w:rsidRDefault="000925D0" w:rsidP="000925D0">
      <w:pPr>
        <w:pStyle w:val="EndNoteBibliography"/>
        <w:spacing w:before="0" w:beforeAutospacing="0" w:after="0" w:afterAutospacing="0" w:line="480" w:lineRule="auto"/>
        <w:ind w:left="720" w:hanging="720"/>
        <w:jc w:val="left"/>
      </w:pPr>
      <w:r w:rsidRPr="0098725D">
        <w:t xml:space="preserve">Hulland, John, Hans Baumgartner, and Keith Marion Smith (2018), </w:t>
      </w:r>
      <w:r>
        <w:t>“</w:t>
      </w:r>
      <w:r w:rsidRPr="0098725D">
        <w:t xml:space="preserve">Marketing </w:t>
      </w:r>
      <w:r w:rsidR="00D54070">
        <w:t>S</w:t>
      </w:r>
      <w:r w:rsidRPr="0098725D">
        <w:t xml:space="preserve">urvey </w:t>
      </w:r>
      <w:r w:rsidR="00D54070">
        <w:t>R</w:t>
      </w:r>
      <w:r w:rsidRPr="0098725D">
        <w:t xml:space="preserve">esearch </w:t>
      </w:r>
      <w:r w:rsidR="00D54070">
        <w:t>B</w:t>
      </w:r>
      <w:r w:rsidRPr="0098725D">
        <w:t xml:space="preserve">est </w:t>
      </w:r>
      <w:r w:rsidR="00D54070">
        <w:t>P</w:t>
      </w:r>
      <w:r w:rsidRPr="0098725D">
        <w:t xml:space="preserve">ractices: </w:t>
      </w:r>
      <w:r w:rsidR="008F6403">
        <w:t>E</w:t>
      </w:r>
      <w:r w:rsidRPr="0098725D">
        <w:t xml:space="preserve">vidence and </w:t>
      </w:r>
      <w:r w:rsidR="00D54070">
        <w:t>R</w:t>
      </w:r>
      <w:r w:rsidRPr="0098725D">
        <w:t xml:space="preserve">ecommendations from a </w:t>
      </w:r>
      <w:r w:rsidR="00D54070">
        <w:t>R</w:t>
      </w:r>
      <w:r w:rsidRPr="0098725D">
        <w:t xml:space="preserve">eview of JAMS </w:t>
      </w:r>
      <w:r w:rsidR="00D54070">
        <w:t>A</w:t>
      </w:r>
      <w:r w:rsidRPr="0098725D">
        <w:t>rticles,</w:t>
      </w:r>
      <w:r>
        <w:t>”</w:t>
      </w:r>
      <w:r w:rsidRPr="0098725D">
        <w:t xml:space="preserve"> </w:t>
      </w:r>
      <w:r w:rsidRPr="008F6403">
        <w:rPr>
          <w:i/>
          <w:iCs/>
        </w:rPr>
        <w:t>Journal of the Academy of Marketing Science</w:t>
      </w:r>
      <w:r w:rsidRPr="0098725D">
        <w:t>, 46 (1), 92-108.</w:t>
      </w:r>
    </w:p>
    <w:p w14:paraId="2EE5FF5E" w14:textId="513EEEBA" w:rsidR="000925D0" w:rsidRPr="0098725D" w:rsidRDefault="000925D0" w:rsidP="000925D0">
      <w:pPr>
        <w:pStyle w:val="EndNoteBibliography"/>
        <w:spacing w:before="0" w:beforeAutospacing="0" w:after="0" w:afterAutospacing="0" w:line="480" w:lineRule="auto"/>
        <w:ind w:left="720" w:hanging="720"/>
        <w:jc w:val="left"/>
      </w:pPr>
      <w:r w:rsidRPr="0098725D">
        <w:t xml:space="preserve">Klein, Jill and Niraj Dawar (2004), </w:t>
      </w:r>
      <w:r>
        <w:t>“</w:t>
      </w:r>
      <w:r w:rsidRPr="0098725D">
        <w:t xml:space="preserve">Corporate </w:t>
      </w:r>
      <w:r w:rsidR="00D54070">
        <w:t>S</w:t>
      </w:r>
      <w:r w:rsidRPr="0098725D">
        <w:t xml:space="preserve">ocial </w:t>
      </w:r>
      <w:r w:rsidR="00D54070">
        <w:t>R</w:t>
      </w:r>
      <w:r w:rsidRPr="0098725D">
        <w:t xml:space="preserve">esponsibility and </w:t>
      </w:r>
      <w:r w:rsidR="00D54070">
        <w:t>C</w:t>
      </w:r>
      <w:r w:rsidRPr="0098725D">
        <w:t>onsumers</w:t>
      </w:r>
      <w:r w:rsidR="008F6403">
        <w:t>’</w:t>
      </w:r>
      <w:r w:rsidRPr="0098725D">
        <w:t xml:space="preserve"> </w:t>
      </w:r>
      <w:r w:rsidR="00D54070">
        <w:t>A</w:t>
      </w:r>
      <w:r w:rsidRPr="0098725D">
        <w:t xml:space="preserve">ttributions and </w:t>
      </w:r>
      <w:r w:rsidR="00D54070">
        <w:t>B</w:t>
      </w:r>
      <w:r w:rsidRPr="0098725D">
        <w:t xml:space="preserve">rand </w:t>
      </w:r>
      <w:r w:rsidR="00D54070">
        <w:t>E</w:t>
      </w:r>
      <w:r w:rsidRPr="0098725D">
        <w:t xml:space="preserve">valuations in a </w:t>
      </w:r>
      <w:r w:rsidR="00D54070">
        <w:t>P</w:t>
      </w:r>
      <w:r w:rsidRPr="0098725D">
        <w:t>roduct–</w:t>
      </w:r>
      <w:r w:rsidR="009050BC">
        <w:t>H</w:t>
      </w:r>
      <w:r w:rsidRPr="0098725D">
        <w:t xml:space="preserve">arm </w:t>
      </w:r>
      <w:r w:rsidR="00D54070">
        <w:t>C</w:t>
      </w:r>
      <w:r w:rsidRPr="0098725D">
        <w:t>risis,</w:t>
      </w:r>
      <w:r>
        <w:t>”</w:t>
      </w:r>
      <w:r w:rsidRPr="0098725D">
        <w:t xml:space="preserve"> </w:t>
      </w:r>
      <w:r w:rsidRPr="008F6403">
        <w:rPr>
          <w:i/>
          <w:iCs/>
        </w:rPr>
        <w:t xml:space="preserve">International Journal of </w:t>
      </w:r>
      <w:r w:rsidR="008F6403" w:rsidRPr="008F6403">
        <w:rPr>
          <w:i/>
          <w:iCs/>
        </w:rPr>
        <w:t>R</w:t>
      </w:r>
      <w:r w:rsidRPr="008F6403">
        <w:rPr>
          <w:i/>
          <w:iCs/>
        </w:rPr>
        <w:t>esearch in Marketing</w:t>
      </w:r>
      <w:r w:rsidRPr="0098725D">
        <w:t>, 21 (3), 203-17.</w:t>
      </w:r>
    </w:p>
    <w:p w14:paraId="488277A3" w14:textId="57E6D085" w:rsidR="000925D0" w:rsidRPr="0098725D" w:rsidRDefault="000925D0" w:rsidP="000925D0">
      <w:pPr>
        <w:pStyle w:val="EndNoteBibliography"/>
        <w:spacing w:before="0" w:beforeAutospacing="0" w:after="0" w:afterAutospacing="0" w:line="480" w:lineRule="auto"/>
        <w:ind w:left="720" w:hanging="720"/>
        <w:jc w:val="left"/>
      </w:pPr>
      <w:r w:rsidRPr="0098725D">
        <w:lastRenderedPageBreak/>
        <w:t>Lindell, Michael K</w:t>
      </w:r>
      <w:r w:rsidR="00D54070">
        <w:t>.</w:t>
      </w:r>
      <w:r w:rsidRPr="0098725D">
        <w:t xml:space="preserve"> and David J</w:t>
      </w:r>
      <w:r w:rsidR="00D54070">
        <w:t>.</w:t>
      </w:r>
      <w:r w:rsidRPr="0098725D">
        <w:t xml:space="preserve"> Whitney (2001), </w:t>
      </w:r>
      <w:r>
        <w:t>“</w:t>
      </w:r>
      <w:r w:rsidRPr="0098725D">
        <w:t xml:space="preserve">Accounting for </w:t>
      </w:r>
      <w:r w:rsidR="00D54070">
        <w:t>C</w:t>
      </w:r>
      <w:r w:rsidRPr="0098725D">
        <w:t xml:space="preserve">ommon </w:t>
      </w:r>
      <w:r w:rsidR="00D54070">
        <w:t>M</w:t>
      </w:r>
      <w:r w:rsidRPr="0098725D">
        <w:t xml:space="preserve">ethod </w:t>
      </w:r>
      <w:r w:rsidR="00D54070">
        <w:t>V</w:t>
      </w:r>
      <w:r w:rsidRPr="0098725D">
        <w:t xml:space="preserve">ariance in </w:t>
      </w:r>
      <w:r w:rsidR="00D54070">
        <w:t>C</w:t>
      </w:r>
      <w:r w:rsidRPr="0098725D">
        <w:t>ross-</w:t>
      </w:r>
      <w:r w:rsidR="009050BC">
        <w:t>S</w:t>
      </w:r>
      <w:r w:rsidRPr="0098725D">
        <w:t xml:space="preserve">ectional </w:t>
      </w:r>
      <w:r w:rsidR="00D54070">
        <w:t>R</w:t>
      </w:r>
      <w:r w:rsidRPr="0098725D">
        <w:t xml:space="preserve">esearch </w:t>
      </w:r>
      <w:r w:rsidR="00D54070">
        <w:t>D</w:t>
      </w:r>
      <w:r w:rsidRPr="0098725D">
        <w:t>esigns,</w:t>
      </w:r>
      <w:r>
        <w:t>”</w:t>
      </w:r>
      <w:r w:rsidRPr="0098725D">
        <w:t xml:space="preserve"> </w:t>
      </w:r>
      <w:r w:rsidRPr="008F6403">
        <w:rPr>
          <w:i/>
          <w:iCs/>
        </w:rPr>
        <w:t xml:space="preserve">Journal of </w:t>
      </w:r>
      <w:r w:rsidR="008F6403" w:rsidRPr="008F6403">
        <w:rPr>
          <w:i/>
          <w:iCs/>
        </w:rPr>
        <w:t>A</w:t>
      </w:r>
      <w:r w:rsidRPr="008F6403">
        <w:rPr>
          <w:i/>
          <w:iCs/>
        </w:rPr>
        <w:t xml:space="preserve">pplied </w:t>
      </w:r>
      <w:r w:rsidR="008F6403" w:rsidRPr="008F6403">
        <w:rPr>
          <w:i/>
          <w:iCs/>
        </w:rPr>
        <w:t>P</w:t>
      </w:r>
      <w:r w:rsidRPr="008F6403">
        <w:rPr>
          <w:i/>
          <w:iCs/>
        </w:rPr>
        <w:t>sychology</w:t>
      </w:r>
      <w:r w:rsidRPr="0098725D">
        <w:t>, 86 (1), 114.</w:t>
      </w:r>
    </w:p>
    <w:p w14:paraId="503494C9" w14:textId="046158C8" w:rsidR="000925D0" w:rsidRPr="0098725D" w:rsidRDefault="000925D0" w:rsidP="000925D0">
      <w:pPr>
        <w:pStyle w:val="EndNoteBibliography"/>
        <w:spacing w:before="0" w:beforeAutospacing="0" w:after="0" w:afterAutospacing="0" w:line="480" w:lineRule="auto"/>
        <w:ind w:left="720" w:hanging="720"/>
        <w:jc w:val="left"/>
      </w:pPr>
      <w:r w:rsidRPr="0098725D">
        <w:t xml:space="preserve">MacKenzie, Scott B. and Philip M. Podsakoff (2012), </w:t>
      </w:r>
      <w:r>
        <w:t>“</w:t>
      </w:r>
      <w:r w:rsidRPr="0098725D">
        <w:t xml:space="preserve">Common </w:t>
      </w:r>
      <w:r w:rsidR="00D54070">
        <w:t>M</w:t>
      </w:r>
      <w:r w:rsidRPr="0098725D">
        <w:t xml:space="preserve">ethod </w:t>
      </w:r>
      <w:r w:rsidR="00D54070">
        <w:t>B</w:t>
      </w:r>
      <w:r w:rsidRPr="0098725D">
        <w:t xml:space="preserve">ias in </w:t>
      </w:r>
      <w:r w:rsidR="00D54070">
        <w:t>M</w:t>
      </w:r>
      <w:r w:rsidRPr="0098725D">
        <w:t xml:space="preserve">arketing: Causes, </w:t>
      </w:r>
      <w:r w:rsidR="00D54070">
        <w:t>M</w:t>
      </w:r>
      <w:r w:rsidRPr="0098725D">
        <w:t xml:space="preserve">echanisms, and </w:t>
      </w:r>
      <w:r w:rsidR="00D54070">
        <w:t>P</w:t>
      </w:r>
      <w:r w:rsidRPr="0098725D">
        <w:t xml:space="preserve">rocedural </w:t>
      </w:r>
      <w:r w:rsidR="00D54070">
        <w:t>R</w:t>
      </w:r>
      <w:r w:rsidRPr="0098725D">
        <w:t>emedies,</w:t>
      </w:r>
      <w:r>
        <w:t>”</w:t>
      </w:r>
      <w:r w:rsidRPr="0098725D">
        <w:t xml:space="preserve"> </w:t>
      </w:r>
      <w:r w:rsidRPr="008F6403">
        <w:rPr>
          <w:i/>
          <w:iCs/>
        </w:rPr>
        <w:t>Journal of Retailing</w:t>
      </w:r>
      <w:r w:rsidRPr="0098725D">
        <w:t>, 88 (4), 542-55.</w:t>
      </w:r>
    </w:p>
    <w:p w14:paraId="0C3CC46E" w14:textId="6440B7DD" w:rsidR="000925D0" w:rsidRPr="0098725D" w:rsidRDefault="000925D0" w:rsidP="000925D0">
      <w:pPr>
        <w:pStyle w:val="EndNoteBibliography"/>
        <w:spacing w:before="0" w:beforeAutospacing="0" w:after="0" w:afterAutospacing="0" w:line="480" w:lineRule="auto"/>
        <w:ind w:left="720" w:hanging="720"/>
        <w:jc w:val="left"/>
      </w:pPr>
      <w:r w:rsidRPr="0098725D">
        <w:t>Marsh, Herbert W</w:t>
      </w:r>
      <w:r w:rsidR="00D54070">
        <w:t>.</w:t>
      </w:r>
      <w:r w:rsidRPr="0098725D">
        <w:t xml:space="preserve"> (1989), </w:t>
      </w:r>
      <w:r>
        <w:t>“</w:t>
      </w:r>
      <w:r w:rsidRPr="0098725D">
        <w:t xml:space="preserve">Confirmatory </w:t>
      </w:r>
      <w:r w:rsidR="00D54070">
        <w:t>F</w:t>
      </w:r>
      <w:r w:rsidRPr="0098725D">
        <w:t xml:space="preserve">actor </w:t>
      </w:r>
      <w:r w:rsidR="00D54070">
        <w:t>A</w:t>
      </w:r>
      <w:r w:rsidRPr="0098725D">
        <w:t xml:space="preserve">nalyses of </w:t>
      </w:r>
      <w:r w:rsidR="00D54070">
        <w:t>M</w:t>
      </w:r>
      <w:r w:rsidRPr="0098725D">
        <w:t xml:space="preserve">ultitrait-multimethod </w:t>
      </w:r>
      <w:r w:rsidR="00D54070">
        <w:t>D</w:t>
      </w:r>
      <w:r w:rsidRPr="0098725D">
        <w:t xml:space="preserve">ata: Many </w:t>
      </w:r>
      <w:r w:rsidR="00D54070">
        <w:t>P</w:t>
      </w:r>
      <w:r w:rsidRPr="0098725D">
        <w:t xml:space="preserve">roblems and a </w:t>
      </w:r>
      <w:r w:rsidR="00D54070">
        <w:t>F</w:t>
      </w:r>
      <w:r w:rsidRPr="0098725D">
        <w:t xml:space="preserve">ew </w:t>
      </w:r>
      <w:r w:rsidR="00D54070">
        <w:t>S</w:t>
      </w:r>
      <w:r w:rsidRPr="0098725D">
        <w:t>olutions,</w:t>
      </w:r>
      <w:r>
        <w:t>”</w:t>
      </w:r>
      <w:r w:rsidRPr="0098725D">
        <w:t xml:space="preserve"> </w:t>
      </w:r>
      <w:r w:rsidRPr="008F6403">
        <w:rPr>
          <w:i/>
          <w:iCs/>
        </w:rPr>
        <w:t>Applied Psychological Measurement</w:t>
      </w:r>
      <w:r w:rsidRPr="0098725D">
        <w:t>, 13 (4), 335-61.</w:t>
      </w:r>
    </w:p>
    <w:p w14:paraId="12486889" w14:textId="1C10AB07" w:rsidR="000925D0" w:rsidRPr="0098725D" w:rsidRDefault="000925D0" w:rsidP="000925D0">
      <w:pPr>
        <w:pStyle w:val="EndNoteBibliography"/>
        <w:spacing w:before="0" w:beforeAutospacing="0" w:after="0" w:afterAutospacing="0" w:line="480" w:lineRule="auto"/>
        <w:ind w:left="720" w:hanging="720"/>
        <w:jc w:val="left"/>
      </w:pPr>
      <w:r w:rsidRPr="0098725D">
        <w:t xml:space="preserve">Podsakoff, Philip M., Scott B. MacKenzie, Jeong-Yeon Lee, and Nathan P. Podsakoff (2003), </w:t>
      </w:r>
      <w:r>
        <w:t>“</w:t>
      </w:r>
      <w:r w:rsidRPr="0098725D">
        <w:t xml:space="preserve">Common </w:t>
      </w:r>
      <w:r w:rsidR="00D54070">
        <w:t>M</w:t>
      </w:r>
      <w:r w:rsidRPr="0098725D">
        <w:t xml:space="preserve">ethod </w:t>
      </w:r>
      <w:r w:rsidR="00D54070">
        <w:t>B</w:t>
      </w:r>
      <w:r w:rsidRPr="0098725D">
        <w:t xml:space="preserve">iases in </w:t>
      </w:r>
      <w:r w:rsidR="00D54070">
        <w:t>B</w:t>
      </w:r>
      <w:r w:rsidRPr="0098725D">
        <w:t xml:space="preserve">ehavioral </w:t>
      </w:r>
      <w:r w:rsidR="00D54070">
        <w:t>R</w:t>
      </w:r>
      <w:r w:rsidRPr="0098725D">
        <w:t xml:space="preserve">esearch: A </w:t>
      </w:r>
      <w:r w:rsidR="00D54070">
        <w:t>C</w:t>
      </w:r>
      <w:r w:rsidRPr="0098725D">
        <w:t xml:space="preserve">ritical </w:t>
      </w:r>
      <w:r w:rsidR="00D54070">
        <w:t>R</w:t>
      </w:r>
      <w:r w:rsidRPr="0098725D">
        <w:t xml:space="preserve">eview of the </w:t>
      </w:r>
      <w:r w:rsidR="00D54070">
        <w:t>L</w:t>
      </w:r>
      <w:r w:rsidRPr="0098725D">
        <w:t xml:space="preserve">iterature and </w:t>
      </w:r>
      <w:r w:rsidR="00D54070">
        <w:t>R</w:t>
      </w:r>
      <w:r w:rsidRPr="0098725D">
        <w:t xml:space="preserve">ecommended </w:t>
      </w:r>
      <w:r w:rsidR="00D54070">
        <w:t>R</w:t>
      </w:r>
      <w:r w:rsidRPr="0098725D">
        <w:t>emedies,</w:t>
      </w:r>
      <w:r>
        <w:t>”</w:t>
      </w:r>
      <w:r w:rsidRPr="0098725D">
        <w:t xml:space="preserve"> </w:t>
      </w:r>
      <w:r w:rsidRPr="008F6403">
        <w:rPr>
          <w:i/>
          <w:iCs/>
        </w:rPr>
        <w:t>Journal of Applied Psychology</w:t>
      </w:r>
      <w:r w:rsidRPr="0098725D">
        <w:t>, 88 (5), 879-903.</w:t>
      </w:r>
    </w:p>
    <w:p w14:paraId="7EDF0890" w14:textId="7AE7026B" w:rsidR="000925D0" w:rsidRPr="0098725D" w:rsidRDefault="000925D0" w:rsidP="000925D0">
      <w:pPr>
        <w:pStyle w:val="EndNoteBibliography"/>
        <w:spacing w:before="0" w:beforeAutospacing="0" w:after="0" w:afterAutospacing="0" w:line="480" w:lineRule="auto"/>
        <w:ind w:left="720" w:hanging="720"/>
        <w:jc w:val="left"/>
      </w:pPr>
      <w:r w:rsidRPr="0098725D">
        <w:t xml:space="preserve">Podsakoff, Philip M., Scott B. MacKenzie, and Nathan P. Podsakoff (2012), </w:t>
      </w:r>
      <w:r>
        <w:t>“</w:t>
      </w:r>
      <w:r w:rsidRPr="0098725D">
        <w:t xml:space="preserve">Sources of </w:t>
      </w:r>
      <w:r w:rsidR="00D54070">
        <w:t>M</w:t>
      </w:r>
      <w:r w:rsidRPr="0098725D">
        <w:t xml:space="preserve">ethod </w:t>
      </w:r>
      <w:r w:rsidR="00D54070">
        <w:t>B</w:t>
      </w:r>
      <w:r w:rsidRPr="0098725D">
        <w:t xml:space="preserve">ias in </w:t>
      </w:r>
      <w:r w:rsidR="00D54070">
        <w:t>S</w:t>
      </w:r>
      <w:r w:rsidRPr="0098725D">
        <w:t xml:space="preserve">ocial </w:t>
      </w:r>
      <w:r w:rsidR="00D54070">
        <w:t>S</w:t>
      </w:r>
      <w:r w:rsidRPr="0098725D">
        <w:t xml:space="preserve">cience </w:t>
      </w:r>
      <w:r w:rsidR="00D54070">
        <w:t>R</w:t>
      </w:r>
      <w:r w:rsidRPr="0098725D">
        <w:t xml:space="preserve">esearch and </w:t>
      </w:r>
      <w:r w:rsidR="00D54070">
        <w:t>R</w:t>
      </w:r>
      <w:r w:rsidRPr="0098725D">
        <w:t xml:space="preserve">ecommendations on </w:t>
      </w:r>
      <w:r w:rsidR="00D54070">
        <w:t>H</w:t>
      </w:r>
      <w:r w:rsidRPr="0098725D">
        <w:t xml:space="preserve">ow to </w:t>
      </w:r>
      <w:r w:rsidR="00D54070">
        <w:t>C</w:t>
      </w:r>
      <w:r w:rsidRPr="0098725D">
        <w:t xml:space="preserve">ontrol </w:t>
      </w:r>
      <w:r w:rsidR="00D54070">
        <w:t>I</w:t>
      </w:r>
      <w:r w:rsidRPr="0098725D">
        <w:t>t,</w:t>
      </w:r>
      <w:r>
        <w:t>”</w:t>
      </w:r>
      <w:r w:rsidRPr="0098725D">
        <w:t xml:space="preserve"> </w:t>
      </w:r>
      <w:r w:rsidRPr="008F6403">
        <w:rPr>
          <w:i/>
          <w:iCs/>
        </w:rPr>
        <w:t xml:space="preserve">Annual </w:t>
      </w:r>
      <w:r w:rsidR="008F6403" w:rsidRPr="008F6403">
        <w:rPr>
          <w:i/>
          <w:iCs/>
        </w:rPr>
        <w:t>R</w:t>
      </w:r>
      <w:r w:rsidRPr="008F6403">
        <w:rPr>
          <w:i/>
          <w:iCs/>
        </w:rPr>
        <w:t xml:space="preserve">eview of </w:t>
      </w:r>
      <w:r w:rsidR="008F6403" w:rsidRPr="008F6403">
        <w:rPr>
          <w:i/>
          <w:iCs/>
        </w:rPr>
        <w:t>P</w:t>
      </w:r>
      <w:r w:rsidRPr="008F6403">
        <w:rPr>
          <w:i/>
          <w:iCs/>
        </w:rPr>
        <w:t>sychology</w:t>
      </w:r>
      <w:r w:rsidRPr="0098725D">
        <w:t>, 63, 539-69.</w:t>
      </w:r>
    </w:p>
    <w:p w14:paraId="4D587060" w14:textId="716228BE" w:rsidR="000925D0" w:rsidRPr="0098725D" w:rsidRDefault="000925D0" w:rsidP="000925D0">
      <w:pPr>
        <w:pStyle w:val="EndNoteBibliography"/>
        <w:spacing w:before="0" w:beforeAutospacing="0" w:after="0" w:afterAutospacing="0" w:line="480" w:lineRule="auto"/>
        <w:ind w:left="720" w:hanging="720"/>
        <w:jc w:val="left"/>
      </w:pPr>
      <w:r w:rsidRPr="0098725D">
        <w:t>Richardson, Hettie A</w:t>
      </w:r>
      <w:r w:rsidR="00D54070">
        <w:t>.</w:t>
      </w:r>
      <w:r w:rsidRPr="0098725D">
        <w:t>, Marcia J</w:t>
      </w:r>
      <w:r w:rsidR="00D54070">
        <w:t>.</w:t>
      </w:r>
      <w:r w:rsidRPr="0098725D">
        <w:t xml:space="preserve"> Simmering, and Michael C</w:t>
      </w:r>
      <w:r w:rsidR="00D54070">
        <w:t>.</w:t>
      </w:r>
      <w:r w:rsidRPr="0098725D">
        <w:t xml:space="preserve"> Sturman (2009), </w:t>
      </w:r>
      <w:r>
        <w:t>“</w:t>
      </w:r>
      <w:r w:rsidRPr="0098725D">
        <w:t xml:space="preserve">A </w:t>
      </w:r>
      <w:r w:rsidR="00D54070">
        <w:t>T</w:t>
      </w:r>
      <w:r w:rsidRPr="0098725D">
        <w:t xml:space="preserve">ale of </w:t>
      </w:r>
      <w:r w:rsidR="00D54070">
        <w:t>T</w:t>
      </w:r>
      <w:r w:rsidRPr="0098725D">
        <w:t xml:space="preserve">hree </w:t>
      </w:r>
      <w:r w:rsidR="00D54070">
        <w:t>P</w:t>
      </w:r>
      <w:r w:rsidRPr="0098725D">
        <w:t xml:space="preserve">erspectives: Examining </w:t>
      </w:r>
      <w:r w:rsidR="00D54070">
        <w:t>P</w:t>
      </w:r>
      <w:r w:rsidRPr="0098725D">
        <w:t xml:space="preserve">ost </w:t>
      </w:r>
      <w:r w:rsidR="00D54070">
        <w:t>H</w:t>
      </w:r>
      <w:r w:rsidRPr="0098725D">
        <w:t xml:space="preserve">oc </w:t>
      </w:r>
      <w:r w:rsidR="00D54070">
        <w:t>S</w:t>
      </w:r>
      <w:r w:rsidRPr="0098725D">
        <w:t xml:space="preserve">tatistical </w:t>
      </w:r>
      <w:r w:rsidR="00D54070">
        <w:t>T</w:t>
      </w:r>
      <w:r w:rsidRPr="0098725D">
        <w:t xml:space="preserve">echniques for </w:t>
      </w:r>
      <w:r w:rsidR="00D54070">
        <w:t>D</w:t>
      </w:r>
      <w:r w:rsidRPr="0098725D">
        <w:t xml:space="preserve">etection and </w:t>
      </w:r>
      <w:r w:rsidR="00D54070">
        <w:t>C</w:t>
      </w:r>
      <w:r w:rsidRPr="0098725D">
        <w:t xml:space="preserve">orrection of </w:t>
      </w:r>
      <w:r w:rsidR="00D54070">
        <w:t>C</w:t>
      </w:r>
      <w:r w:rsidRPr="0098725D">
        <w:t xml:space="preserve">ommon </w:t>
      </w:r>
      <w:r w:rsidR="00D54070">
        <w:t>M</w:t>
      </w:r>
      <w:r w:rsidRPr="0098725D">
        <w:t xml:space="preserve">ethod </w:t>
      </w:r>
      <w:r w:rsidR="00D54070">
        <w:t>V</w:t>
      </w:r>
      <w:r w:rsidRPr="0098725D">
        <w:t>ariance,</w:t>
      </w:r>
      <w:r>
        <w:t>”</w:t>
      </w:r>
      <w:r w:rsidRPr="0098725D">
        <w:t xml:space="preserve"> </w:t>
      </w:r>
      <w:r w:rsidRPr="008F6403">
        <w:rPr>
          <w:i/>
          <w:iCs/>
        </w:rPr>
        <w:t>Organizational Research Methods</w:t>
      </w:r>
      <w:r w:rsidRPr="0098725D">
        <w:t>, 12 (4), 762-800.</w:t>
      </w:r>
    </w:p>
    <w:p w14:paraId="54DBFAA6" w14:textId="0539C65A" w:rsidR="000925D0" w:rsidRPr="0098725D" w:rsidRDefault="000925D0" w:rsidP="000925D0">
      <w:pPr>
        <w:pStyle w:val="EndNoteBibliography"/>
        <w:spacing w:before="0" w:beforeAutospacing="0" w:after="0" w:afterAutospacing="0" w:line="480" w:lineRule="auto"/>
        <w:ind w:left="720" w:hanging="720"/>
        <w:jc w:val="left"/>
      </w:pPr>
      <w:r w:rsidRPr="0098725D">
        <w:t xml:space="preserve">Sen, Sankar and Chitra Bhanu Bhattacharya (2001), </w:t>
      </w:r>
      <w:r>
        <w:t>“</w:t>
      </w:r>
      <w:r w:rsidRPr="0098725D">
        <w:t xml:space="preserve">Does </w:t>
      </w:r>
      <w:r w:rsidR="00D54070">
        <w:t>D</w:t>
      </w:r>
      <w:r w:rsidRPr="0098725D">
        <w:t xml:space="preserve">oing </w:t>
      </w:r>
      <w:r w:rsidR="00D54070">
        <w:t>G</w:t>
      </w:r>
      <w:r w:rsidRPr="0098725D">
        <w:t xml:space="preserve">ood </w:t>
      </w:r>
      <w:r w:rsidR="00D54070">
        <w:t>A</w:t>
      </w:r>
      <w:r w:rsidRPr="0098725D">
        <w:t xml:space="preserve">lways </w:t>
      </w:r>
      <w:r w:rsidR="00D54070">
        <w:t>L</w:t>
      </w:r>
      <w:r w:rsidRPr="0098725D">
        <w:t xml:space="preserve">ead to </w:t>
      </w:r>
      <w:r w:rsidR="00D54070">
        <w:t>D</w:t>
      </w:r>
      <w:r w:rsidRPr="0098725D">
        <w:t xml:space="preserve">oing </w:t>
      </w:r>
      <w:r w:rsidR="00D54070">
        <w:t>B</w:t>
      </w:r>
      <w:r w:rsidRPr="0098725D">
        <w:t xml:space="preserve">etter? Consumer </w:t>
      </w:r>
      <w:r w:rsidR="00D54070">
        <w:t>R</w:t>
      </w:r>
      <w:r w:rsidRPr="0098725D">
        <w:t xml:space="preserve">eactions to </w:t>
      </w:r>
      <w:r w:rsidR="00D54070">
        <w:t>C</w:t>
      </w:r>
      <w:r w:rsidRPr="0098725D">
        <w:t xml:space="preserve">orporate </w:t>
      </w:r>
      <w:r w:rsidR="00D54070">
        <w:t>S</w:t>
      </w:r>
      <w:r w:rsidRPr="0098725D">
        <w:t xml:space="preserve">ocial </w:t>
      </w:r>
      <w:r w:rsidR="00D54070">
        <w:t>R</w:t>
      </w:r>
      <w:r w:rsidRPr="0098725D">
        <w:t>esponsibility,</w:t>
      </w:r>
      <w:r>
        <w:t>”</w:t>
      </w:r>
      <w:r w:rsidRPr="0098725D">
        <w:t xml:space="preserve"> </w:t>
      </w:r>
      <w:r w:rsidRPr="008F6403">
        <w:rPr>
          <w:i/>
          <w:iCs/>
        </w:rPr>
        <w:t xml:space="preserve">Journal of </w:t>
      </w:r>
      <w:r w:rsidR="008F6403" w:rsidRPr="008F6403">
        <w:rPr>
          <w:i/>
          <w:iCs/>
        </w:rPr>
        <w:t>M</w:t>
      </w:r>
      <w:r w:rsidRPr="008F6403">
        <w:rPr>
          <w:i/>
          <w:iCs/>
        </w:rPr>
        <w:t>arketing Research</w:t>
      </w:r>
      <w:r w:rsidRPr="0098725D">
        <w:t>, 38 (2), 225-43.</w:t>
      </w:r>
    </w:p>
    <w:p w14:paraId="162BA21A" w14:textId="720FAA32" w:rsidR="000925D0" w:rsidRPr="0098725D" w:rsidRDefault="000925D0" w:rsidP="000925D0">
      <w:pPr>
        <w:pStyle w:val="EndNoteBibliography"/>
        <w:spacing w:before="0" w:beforeAutospacing="0" w:after="0" w:afterAutospacing="0" w:line="480" w:lineRule="auto"/>
        <w:ind w:left="720" w:hanging="720"/>
        <w:jc w:val="left"/>
      </w:pPr>
      <w:r w:rsidRPr="0098725D">
        <w:t xml:space="preserve">Steenkamp, Jan-Benedict E. M. and Hans Baumgartner (1998), </w:t>
      </w:r>
      <w:r>
        <w:t>“</w:t>
      </w:r>
      <w:r w:rsidRPr="0098725D">
        <w:t xml:space="preserve">Assessing </w:t>
      </w:r>
      <w:r w:rsidR="00D54070">
        <w:t>M</w:t>
      </w:r>
      <w:r w:rsidRPr="0098725D">
        <w:t xml:space="preserve">easurement </w:t>
      </w:r>
      <w:r w:rsidR="00D54070">
        <w:t>I</w:t>
      </w:r>
      <w:r w:rsidRPr="0098725D">
        <w:t xml:space="preserve">nvariance in </w:t>
      </w:r>
      <w:r w:rsidR="00D54070">
        <w:t>C</w:t>
      </w:r>
      <w:r w:rsidRPr="0098725D">
        <w:t>ross-</w:t>
      </w:r>
      <w:r w:rsidR="009050BC">
        <w:t>N</w:t>
      </w:r>
      <w:r w:rsidRPr="0098725D">
        <w:t xml:space="preserve">ational </w:t>
      </w:r>
      <w:r w:rsidR="00D54070">
        <w:t>C</w:t>
      </w:r>
      <w:r w:rsidRPr="0098725D">
        <w:t xml:space="preserve">onsumer </w:t>
      </w:r>
      <w:r w:rsidR="00D54070">
        <w:t>R</w:t>
      </w:r>
      <w:r w:rsidRPr="0098725D">
        <w:t>esearch,</w:t>
      </w:r>
      <w:r>
        <w:t>”</w:t>
      </w:r>
      <w:r w:rsidRPr="0098725D">
        <w:t xml:space="preserve"> </w:t>
      </w:r>
      <w:r w:rsidRPr="008F6403">
        <w:rPr>
          <w:i/>
          <w:iCs/>
        </w:rPr>
        <w:t>Journal of Consumer Research</w:t>
      </w:r>
      <w:r w:rsidRPr="0098725D">
        <w:t>, 25 (June), 78-90.</w:t>
      </w:r>
    </w:p>
    <w:p w14:paraId="22F67339" w14:textId="15537918" w:rsidR="000925D0" w:rsidRDefault="000925D0" w:rsidP="000925D0">
      <w:pPr>
        <w:pStyle w:val="EndNoteBibliography"/>
        <w:spacing w:before="0" w:beforeAutospacing="0" w:after="0" w:afterAutospacing="0" w:line="480" w:lineRule="auto"/>
        <w:ind w:left="720" w:hanging="720"/>
        <w:jc w:val="left"/>
      </w:pPr>
      <w:r w:rsidRPr="0098725D">
        <w:lastRenderedPageBreak/>
        <w:t xml:space="preserve">Steenkamp, Jan-Benedict E. M., Martijn G. De Jong, and Hans Baumgartner (2010), </w:t>
      </w:r>
      <w:r>
        <w:t>“</w:t>
      </w:r>
      <w:r w:rsidRPr="0098725D">
        <w:t xml:space="preserve">Socially </w:t>
      </w:r>
      <w:r w:rsidR="00D54070">
        <w:t>D</w:t>
      </w:r>
      <w:r w:rsidRPr="0098725D">
        <w:t xml:space="preserve">esirable </w:t>
      </w:r>
      <w:r w:rsidR="00D54070">
        <w:t>R</w:t>
      </w:r>
      <w:r w:rsidRPr="0098725D">
        <w:t xml:space="preserve">esponse </w:t>
      </w:r>
      <w:r w:rsidR="00D54070">
        <w:t>T</w:t>
      </w:r>
      <w:r w:rsidRPr="0098725D">
        <w:t xml:space="preserve">endencies in </w:t>
      </w:r>
      <w:r w:rsidR="00D54070">
        <w:t>S</w:t>
      </w:r>
      <w:r w:rsidRPr="0098725D">
        <w:t xml:space="preserve">urvey </w:t>
      </w:r>
      <w:r w:rsidR="00D54070">
        <w:t>R</w:t>
      </w:r>
      <w:r w:rsidRPr="0098725D">
        <w:t>esearch,</w:t>
      </w:r>
      <w:r>
        <w:t>”</w:t>
      </w:r>
      <w:r w:rsidRPr="0098725D">
        <w:t xml:space="preserve"> </w:t>
      </w:r>
      <w:r w:rsidRPr="008F6403">
        <w:rPr>
          <w:i/>
          <w:iCs/>
        </w:rPr>
        <w:t>Journal of Marketing Research</w:t>
      </w:r>
      <w:r w:rsidRPr="0098725D">
        <w:t>, 47 (2), 199-214.</w:t>
      </w:r>
    </w:p>
    <w:p w14:paraId="3E5943BE" w14:textId="456E5222" w:rsidR="007E480B" w:rsidRPr="007E480B" w:rsidRDefault="007E480B" w:rsidP="000925D0">
      <w:pPr>
        <w:pStyle w:val="EndNoteBibliography"/>
        <w:spacing w:before="0" w:beforeAutospacing="0" w:after="0" w:afterAutospacing="0" w:line="480" w:lineRule="auto"/>
        <w:ind w:left="720" w:hanging="720"/>
        <w:jc w:val="left"/>
      </w:pPr>
      <w:r w:rsidRPr="007E480B">
        <w:t>Tellis, G</w:t>
      </w:r>
      <w:r w:rsidR="00105602">
        <w:t>erard</w:t>
      </w:r>
      <w:r w:rsidRPr="007E480B">
        <w:t xml:space="preserve"> J., </w:t>
      </w:r>
      <w:r w:rsidR="00105602">
        <w:t>and</w:t>
      </w:r>
      <w:r w:rsidRPr="007E480B">
        <w:t xml:space="preserve"> Chandrasekaran, D</w:t>
      </w:r>
      <w:r w:rsidR="00105602">
        <w:t>eepa</w:t>
      </w:r>
      <w:r w:rsidRPr="007E480B">
        <w:t xml:space="preserve"> (2010). Extent and impact of response biases in cross-national survey research.</w:t>
      </w:r>
      <w:r w:rsidR="00105602">
        <w:t xml:space="preserve"> </w:t>
      </w:r>
      <w:r w:rsidRPr="007E480B">
        <w:rPr>
          <w:i/>
          <w:iCs/>
        </w:rPr>
        <w:t>International Journal of Research in Marketing</w:t>
      </w:r>
      <w:r w:rsidRPr="007E480B">
        <w:t>,</w:t>
      </w:r>
      <w:r w:rsidR="00105602">
        <w:t xml:space="preserve"> </w:t>
      </w:r>
      <w:r w:rsidRPr="00105602">
        <w:rPr>
          <w:iCs/>
        </w:rPr>
        <w:t>27</w:t>
      </w:r>
      <w:r w:rsidR="00105602">
        <w:rPr>
          <w:i/>
          <w:iCs/>
        </w:rPr>
        <w:t xml:space="preserve"> </w:t>
      </w:r>
      <w:r w:rsidRPr="007E480B">
        <w:t>(4), 329-341.</w:t>
      </w:r>
    </w:p>
    <w:p w14:paraId="6C7FD54D" w14:textId="754CFF48" w:rsidR="007E480B" w:rsidRPr="007E480B" w:rsidRDefault="007E480B" w:rsidP="000925D0">
      <w:pPr>
        <w:pStyle w:val="EndNoteBibliography"/>
        <w:spacing w:before="0" w:beforeAutospacing="0" w:after="0" w:afterAutospacing="0" w:line="480" w:lineRule="auto"/>
        <w:ind w:left="720" w:hanging="720"/>
        <w:jc w:val="left"/>
      </w:pPr>
      <w:r w:rsidRPr="007E480B">
        <w:t>Van Auken, S</w:t>
      </w:r>
      <w:r w:rsidR="00105602">
        <w:t>tuart</w:t>
      </w:r>
      <w:r w:rsidRPr="007E480B">
        <w:t>, Barry, T</w:t>
      </w:r>
      <w:r w:rsidR="00105602">
        <w:t xml:space="preserve">homas </w:t>
      </w:r>
      <w:r w:rsidRPr="007E480B">
        <w:t xml:space="preserve">E., </w:t>
      </w:r>
      <w:r w:rsidR="00105602">
        <w:t>and</w:t>
      </w:r>
      <w:r w:rsidRPr="007E480B">
        <w:t xml:space="preserve"> Bagozzi, R</w:t>
      </w:r>
      <w:r w:rsidR="00105602">
        <w:t>ichard</w:t>
      </w:r>
      <w:r w:rsidRPr="007E480B">
        <w:t xml:space="preserve"> P. (2006). A cross-country construct validation of cognitive </w:t>
      </w:r>
      <w:bookmarkStart w:id="1" w:name="_GoBack"/>
      <w:bookmarkEnd w:id="1"/>
      <w:r w:rsidRPr="007E480B">
        <w:t>age.</w:t>
      </w:r>
      <w:r w:rsidR="00105602">
        <w:t xml:space="preserve"> </w:t>
      </w:r>
      <w:r w:rsidRPr="007E480B">
        <w:rPr>
          <w:i/>
          <w:iCs/>
        </w:rPr>
        <w:t>Journal of the Academy of Marketing Science</w:t>
      </w:r>
      <w:r w:rsidRPr="007E480B">
        <w:t>,</w:t>
      </w:r>
      <w:r w:rsidR="00105602">
        <w:t xml:space="preserve"> </w:t>
      </w:r>
      <w:r w:rsidRPr="00105602">
        <w:rPr>
          <w:iCs/>
        </w:rPr>
        <w:t>34</w:t>
      </w:r>
      <w:r w:rsidR="00105602" w:rsidRPr="00105602">
        <w:rPr>
          <w:iCs/>
        </w:rPr>
        <w:t xml:space="preserve"> </w:t>
      </w:r>
      <w:r w:rsidRPr="007E480B">
        <w:t>(3), 439-455.</w:t>
      </w:r>
    </w:p>
    <w:p w14:paraId="63AF18E3" w14:textId="7170E37F" w:rsidR="000925D0" w:rsidRPr="0098725D" w:rsidRDefault="000925D0" w:rsidP="000925D0">
      <w:pPr>
        <w:pStyle w:val="EndNoteBibliography"/>
        <w:spacing w:before="0" w:beforeAutospacing="0" w:after="0" w:afterAutospacing="0" w:line="480" w:lineRule="auto"/>
        <w:ind w:left="720" w:hanging="720"/>
        <w:jc w:val="left"/>
      </w:pPr>
      <w:r w:rsidRPr="0098725D">
        <w:t>Strizhakova, Yuliya and Robin A</w:t>
      </w:r>
      <w:r w:rsidR="00D54070">
        <w:t>.</w:t>
      </w:r>
      <w:r w:rsidRPr="0098725D">
        <w:t xml:space="preserve"> Coulter (2019), </w:t>
      </w:r>
      <w:r>
        <w:t>“</w:t>
      </w:r>
      <w:r w:rsidRPr="0098725D">
        <w:t xml:space="preserve">Spatial </w:t>
      </w:r>
      <w:r w:rsidR="00D54070">
        <w:t>D</w:t>
      </w:r>
      <w:r w:rsidRPr="0098725D">
        <w:t xml:space="preserve">istance </w:t>
      </w:r>
      <w:r w:rsidR="00D54070">
        <w:t>C</w:t>
      </w:r>
      <w:r w:rsidRPr="0098725D">
        <w:t xml:space="preserve">onstrual </w:t>
      </w:r>
      <w:r w:rsidR="00D54070">
        <w:t>P</w:t>
      </w:r>
      <w:r w:rsidRPr="0098725D">
        <w:t xml:space="preserve">erspectives on </w:t>
      </w:r>
      <w:r w:rsidR="00D54070">
        <w:t>C</w:t>
      </w:r>
      <w:r w:rsidRPr="0098725D">
        <w:t>ause-</w:t>
      </w:r>
      <w:r w:rsidR="009050BC">
        <w:t>R</w:t>
      </w:r>
      <w:r w:rsidRPr="0098725D">
        <w:t xml:space="preserve">elated </w:t>
      </w:r>
      <w:r w:rsidR="00D54070">
        <w:t>M</w:t>
      </w:r>
      <w:r w:rsidRPr="0098725D">
        <w:t xml:space="preserve">arketing: </w:t>
      </w:r>
      <w:r w:rsidR="00D54070">
        <w:t>T</w:t>
      </w:r>
      <w:r w:rsidRPr="0098725D">
        <w:t xml:space="preserve">he </w:t>
      </w:r>
      <w:r w:rsidR="00D54070">
        <w:t>I</w:t>
      </w:r>
      <w:r w:rsidRPr="0098725D">
        <w:t xml:space="preserve">mportance of </w:t>
      </w:r>
      <w:r w:rsidR="00D54070">
        <w:t>N</w:t>
      </w:r>
      <w:r w:rsidRPr="0098725D">
        <w:t>ationalism in Russia,</w:t>
      </w:r>
      <w:r>
        <w:t>”</w:t>
      </w:r>
      <w:r w:rsidRPr="0098725D">
        <w:t xml:space="preserve"> </w:t>
      </w:r>
      <w:r w:rsidRPr="008F6403">
        <w:rPr>
          <w:i/>
          <w:iCs/>
        </w:rPr>
        <w:t>Journal of International Marketing</w:t>
      </w:r>
      <w:r w:rsidRPr="0098725D">
        <w:t>, 27 (1), 38-55.</w:t>
      </w:r>
    </w:p>
    <w:p w14:paraId="4F5AABBC" w14:textId="3E49CA91" w:rsidR="000925D0" w:rsidRPr="0098725D" w:rsidRDefault="000925D0" w:rsidP="000925D0">
      <w:pPr>
        <w:pStyle w:val="EndNoteBibliography"/>
        <w:spacing w:before="0" w:beforeAutospacing="0" w:after="0" w:afterAutospacing="0" w:line="480" w:lineRule="auto"/>
        <w:ind w:left="720" w:hanging="720"/>
        <w:jc w:val="left"/>
      </w:pPr>
      <w:r w:rsidRPr="0098725D">
        <w:t xml:space="preserve">Viswanathan, Madhu (2005), </w:t>
      </w:r>
      <w:r w:rsidRPr="00C710C3">
        <w:rPr>
          <w:i/>
          <w:iCs/>
        </w:rPr>
        <w:t xml:space="preserve">Measurement </w:t>
      </w:r>
      <w:r w:rsidR="00D54070">
        <w:rPr>
          <w:i/>
          <w:iCs/>
        </w:rPr>
        <w:t>E</w:t>
      </w:r>
      <w:r w:rsidRPr="00C710C3">
        <w:rPr>
          <w:i/>
          <w:iCs/>
        </w:rPr>
        <w:t xml:space="preserve">rror and </w:t>
      </w:r>
      <w:r w:rsidR="00D54070">
        <w:rPr>
          <w:i/>
          <w:iCs/>
        </w:rPr>
        <w:t>R</w:t>
      </w:r>
      <w:r w:rsidRPr="00C710C3">
        <w:rPr>
          <w:i/>
          <w:iCs/>
        </w:rPr>
        <w:t xml:space="preserve">esearch </w:t>
      </w:r>
      <w:r w:rsidR="00D54070">
        <w:rPr>
          <w:i/>
          <w:iCs/>
        </w:rPr>
        <w:t>D</w:t>
      </w:r>
      <w:r w:rsidRPr="00C710C3">
        <w:rPr>
          <w:i/>
          <w:iCs/>
        </w:rPr>
        <w:t>esign</w:t>
      </w:r>
      <w:r w:rsidR="00C710C3">
        <w:t>.</w:t>
      </w:r>
      <w:r w:rsidRPr="0098725D">
        <w:t xml:space="preserve"> </w:t>
      </w:r>
      <w:r w:rsidR="00C710C3">
        <w:t xml:space="preserve">Thousand Oaks: </w:t>
      </w:r>
      <w:r w:rsidRPr="0098725D">
        <w:t>Sage.</w:t>
      </w:r>
    </w:p>
    <w:p w14:paraId="647B1B05" w14:textId="7A5FFE38" w:rsidR="000925D0" w:rsidRPr="0098725D" w:rsidRDefault="000925D0" w:rsidP="000925D0">
      <w:pPr>
        <w:pStyle w:val="EndNoteBibliography"/>
        <w:spacing w:before="0" w:beforeAutospacing="0" w:after="0" w:afterAutospacing="0" w:line="480" w:lineRule="auto"/>
        <w:ind w:left="720" w:hanging="720"/>
        <w:jc w:val="left"/>
      </w:pPr>
      <w:r w:rsidRPr="0098725D">
        <w:t xml:space="preserve">Weijters, Bert, Hans Baumgartner, and Maggie Geuens (2016), </w:t>
      </w:r>
      <w:r>
        <w:t>“</w:t>
      </w:r>
      <w:r w:rsidRPr="0098725D">
        <w:t xml:space="preserve">The </w:t>
      </w:r>
      <w:r w:rsidR="00D54070">
        <w:t>C</w:t>
      </w:r>
      <w:r w:rsidRPr="0098725D">
        <w:t xml:space="preserve">alibrated </w:t>
      </w:r>
      <w:r w:rsidR="00D54070">
        <w:t>S</w:t>
      </w:r>
      <w:r w:rsidRPr="0098725D">
        <w:t xml:space="preserve">igma </w:t>
      </w:r>
      <w:r w:rsidR="00D54070">
        <w:t>M</w:t>
      </w:r>
      <w:r w:rsidRPr="0098725D">
        <w:t xml:space="preserve">ethod: An </w:t>
      </w:r>
      <w:r w:rsidR="00D54070">
        <w:t>E</w:t>
      </w:r>
      <w:r w:rsidRPr="0098725D">
        <w:t xml:space="preserve">fficient </w:t>
      </w:r>
      <w:r w:rsidR="00D54070">
        <w:t>R</w:t>
      </w:r>
      <w:r w:rsidRPr="0098725D">
        <w:t xml:space="preserve">emedy for </w:t>
      </w:r>
      <w:r w:rsidR="00D54070">
        <w:t>B</w:t>
      </w:r>
      <w:r w:rsidRPr="0098725D">
        <w:t>etween-</w:t>
      </w:r>
      <w:r w:rsidR="009050BC">
        <w:t>G</w:t>
      </w:r>
      <w:r w:rsidRPr="0098725D">
        <w:t xml:space="preserve">roup </w:t>
      </w:r>
      <w:r w:rsidR="00D54070">
        <w:t>D</w:t>
      </w:r>
      <w:r w:rsidRPr="0098725D">
        <w:t xml:space="preserve">ifferences in </w:t>
      </w:r>
      <w:r w:rsidR="00D54070">
        <w:t>R</w:t>
      </w:r>
      <w:r w:rsidRPr="0098725D">
        <w:t xml:space="preserve">esponse </w:t>
      </w:r>
      <w:r w:rsidR="00D54070">
        <w:t>C</w:t>
      </w:r>
      <w:r w:rsidRPr="0098725D">
        <w:t xml:space="preserve">ategory </w:t>
      </w:r>
      <w:r w:rsidR="00D54070">
        <w:t>U</w:t>
      </w:r>
      <w:r w:rsidRPr="0098725D">
        <w:t xml:space="preserve">se on Likert </w:t>
      </w:r>
      <w:r w:rsidR="00D54070">
        <w:t>S</w:t>
      </w:r>
      <w:r w:rsidRPr="0098725D">
        <w:t>cales,</w:t>
      </w:r>
      <w:r>
        <w:t>”</w:t>
      </w:r>
      <w:r w:rsidRPr="0098725D">
        <w:t xml:space="preserve"> </w:t>
      </w:r>
      <w:r w:rsidRPr="008F6403">
        <w:rPr>
          <w:i/>
          <w:iCs/>
        </w:rPr>
        <w:t>International Journal of Research in Marketing</w:t>
      </w:r>
      <w:r w:rsidRPr="0098725D">
        <w:t>, 33 (4), 944-60.</w:t>
      </w:r>
    </w:p>
    <w:p w14:paraId="61C872D8" w14:textId="65F6E184" w:rsidR="000925D0" w:rsidRPr="0098725D" w:rsidRDefault="000925D0" w:rsidP="000925D0">
      <w:pPr>
        <w:pStyle w:val="EndNoteBibliography"/>
        <w:spacing w:before="0" w:beforeAutospacing="0" w:after="0" w:afterAutospacing="0" w:line="480" w:lineRule="auto"/>
        <w:ind w:left="720" w:hanging="720"/>
        <w:jc w:val="left"/>
      </w:pPr>
      <w:r w:rsidRPr="0098725D">
        <w:t xml:space="preserve">Weijters, Bert, Hans Baumgartner, and Niels Schillewaert (2013), </w:t>
      </w:r>
      <w:r>
        <w:t>“</w:t>
      </w:r>
      <w:r w:rsidRPr="0098725D">
        <w:t xml:space="preserve">Reversed </w:t>
      </w:r>
      <w:r w:rsidR="00D54070">
        <w:t>I</w:t>
      </w:r>
      <w:r w:rsidRPr="0098725D">
        <w:t xml:space="preserve">tem </w:t>
      </w:r>
      <w:r w:rsidR="00D54070">
        <w:t>B</w:t>
      </w:r>
      <w:r w:rsidRPr="0098725D">
        <w:t xml:space="preserve">ias: An </w:t>
      </w:r>
      <w:r w:rsidR="00D54070">
        <w:t>I</w:t>
      </w:r>
      <w:r w:rsidRPr="0098725D">
        <w:t xml:space="preserve">ntegrative </w:t>
      </w:r>
      <w:r w:rsidR="00D54070">
        <w:t>M</w:t>
      </w:r>
      <w:r w:rsidRPr="0098725D">
        <w:t>odel,</w:t>
      </w:r>
      <w:r>
        <w:t>”</w:t>
      </w:r>
      <w:r w:rsidRPr="0098725D">
        <w:t xml:space="preserve"> </w:t>
      </w:r>
      <w:r w:rsidRPr="008F6403">
        <w:rPr>
          <w:i/>
          <w:iCs/>
        </w:rPr>
        <w:t>Psychological Methods</w:t>
      </w:r>
      <w:r w:rsidRPr="0098725D">
        <w:t>, 18 (3), 320-34.</w:t>
      </w:r>
    </w:p>
    <w:p w14:paraId="61EAB51D" w14:textId="11E34E5E" w:rsidR="000925D0" w:rsidRPr="0098725D" w:rsidRDefault="000925D0" w:rsidP="000925D0">
      <w:pPr>
        <w:pStyle w:val="EndNoteBibliography"/>
        <w:spacing w:before="0" w:beforeAutospacing="0" w:after="0" w:afterAutospacing="0" w:line="480" w:lineRule="auto"/>
        <w:ind w:left="720" w:hanging="720"/>
        <w:jc w:val="left"/>
      </w:pPr>
      <w:r w:rsidRPr="0098725D">
        <w:t xml:space="preserve">Weijters, Bert, Stefano Puntoni, and Hans Baumgartner (2017), </w:t>
      </w:r>
      <w:r>
        <w:t>“</w:t>
      </w:r>
      <w:r w:rsidRPr="0098725D">
        <w:t xml:space="preserve">Methodological </w:t>
      </w:r>
      <w:r w:rsidR="00D54070">
        <w:t>I</w:t>
      </w:r>
      <w:r w:rsidRPr="0098725D">
        <w:t xml:space="preserve">ssues in </w:t>
      </w:r>
      <w:r w:rsidR="00D54070">
        <w:t>C</w:t>
      </w:r>
      <w:r w:rsidRPr="0098725D">
        <w:t>ross-</w:t>
      </w:r>
      <w:r w:rsidR="009050BC">
        <w:t>L</w:t>
      </w:r>
      <w:r w:rsidRPr="0098725D">
        <w:t xml:space="preserve">inguistic and </w:t>
      </w:r>
      <w:r w:rsidR="00D54070">
        <w:t>M</w:t>
      </w:r>
      <w:r w:rsidRPr="0098725D">
        <w:t xml:space="preserve">ultilingual </w:t>
      </w:r>
      <w:r w:rsidR="00D54070">
        <w:t>A</w:t>
      </w:r>
      <w:r w:rsidRPr="0098725D">
        <w:t xml:space="preserve">dvertising </w:t>
      </w:r>
      <w:r w:rsidR="00D54070">
        <w:t>R</w:t>
      </w:r>
      <w:r w:rsidRPr="0098725D">
        <w:t>esearch,</w:t>
      </w:r>
      <w:r>
        <w:t>”</w:t>
      </w:r>
      <w:r w:rsidRPr="0098725D">
        <w:t xml:space="preserve"> </w:t>
      </w:r>
      <w:r w:rsidRPr="008F6403">
        <w:rPr>
          <w:i/>
          <w:iCs/>
        </w:rPr>
        <w:t>Journal of Advertising</w:t>
      </w:r>
      <w:r w:rsidRPr="0098725D">
        <w:t>, 46 (1), 115-28.</w:t>
      </w:r>
    </w:p>
    <w:p w14:paraId="043301EA" w14:textId="206E56EB" w:rsidR="000925D0" w:rsidRPr="0098725D" w:rsidRDefault="000925D0" w:rsidP="000925D0">
      <w:pPr>
        <w:pStyle w:val="EndNoteBibliography"/>
        <w:spacing w:before="0" w:beforeAutospacing="0" w:after="0" w:afterAutospacing="0" w:line="480" w:lineRule="auto"/>
        <w:ind w:left="720" w:hanging="720"/>
        <w:jc w:val="left"/>
      </w:pPr>
      <w:r w:rsidRPr="0098725D">
        <w:lastRenderedPageBreak/>
        <w:t xml:space="preserve">Weijters, Bert, Niels Schillewaert, and Maggie Geuens (2008), </w:t>
      </w:r>
      <w:r>
        <w:t>“</w:t>
      </w:r>
      <w:r w:rsidRPr="0098725D">
        <w:t xml:space="preserve">Assessing </w:t>
      </w:r>
      <w:r w:rsidR="00D54070">
        <w:t>R</w:t>
      </w:r>
      <w:r w:rsidRPr="0098725D">
        <w:t xml:space="preserve">esponse </w:t>
      </w:r>
      <w:r w:rsidR="00D54070">
        <w:t>S</w:t>
      </w:r>
      <w:r w:rsidRPr="0098725D">
        <w:t xml:space="preserve">tyles </w:t>
      </w:r>
      <w:r w:rsidR="00D54070">
        <w:t>A</w:t>
      </w:r>
      <w:r w:rsidRPr="0098725D">
        <w:t xml:space="preserve">cross </w:t>
      </w:r>
      <w:r w:rsidR="00D54070">
        <w:t>M</w:t>
      </w:r>
      <w:r w:rsidRPr="0098725D">
        <w:t xml:space="preserve">odes of </w:t>
      </w:r>
      <w:r w:rsidR="00D54070">
        <w:t>D</w:t>
      </w:r>
      <w:r w:rsidRPr="0098725D">
        <w:t xml:space="preserve">ata </w:t>
      </w:r>
      <w:r w:rsidR="00D54070">
        <w:t>C</w:t>
      </w:r>
      <w:r w:rsidRPr="0098725D">
        <w:t>ollection,</w:t>
      </w:r>
      <w:r w:rsidR="008F6403">
        <w:t>”</w:t>
      </w:r>
      <w:r w:rsidRPr="0098725D">
        <w:t xml:space="preserve"> </w:t>
      </w:r>
      <w:r w:rsidRPr="008F6403">
        <w:rPr>
          <w:i/>
          <w:iCs/>
        </w:rPr>
        <w:t>Journal of the Academy of Marketing Science</w:t>
      </w:r>
      <w:r w:rsidRPr="0098725D">
        <w:t>, 36 (3), 409–22.</w:t>
      </w:r>
    </w:p>
    <w:p w14:paraId="457FC20A" w14:textId="419340E9" w:rsidR="000925D0" w:rsidRPr="0098725D" w:rsidRDefault="008F6403" w:rsidP="000925D0">
      <w:pPr>
        <w:pStyle w:val="EndNoteBibliography"/>
        <w:spacing w:before="0" w:beforeAutospacing="0" w:after="0" w:afterAutospacing="0" w:line="480" w:lineRule="auto"/>
        <w:ind w:left="720" w:hanging="720"/>
        <w:jc w:val="left"/>
      </w:pPr>
      <w:r w:rsidRPr="0098725D">
        <w:t>Weiner, Bernard</w:t>
      </w:r>
      <w:r w:rsidR="000925D0" w:rsidRPr="0098725D">
        <w:t xml:space="preserve"> (1980), </w:t>
      </w:r>
      <w:r w:rsidR="000925D0">
        <w:t>“</w:t>
      </w:r>
      <w:r w:rsidR="000925D0" w:rsidRPr="0098725D">
        <w:t xml:space="preserve">A </w:t>
      </w:r>
      <w:r w:rsidR="00D54070">
        <w:t>C</w:t>
      </w:r>
      <w:r w:rsidR="000925D0" w:rsidRPr="0098725D">
        <w:t>ognitive (</w:t>
      </w:r>
      <w:r w:rsidR="00D54070">
        <w:t>A</w:t>
      </w:r>
      <w:r w:rsidR="000925D0" w:rsidRPr="0098725D">
        <w:t>ttribution)-</w:t>
      </w:r>
      <w:r w:rsidR="009050BC">
        <w:t>E</w:t>
      </w:r>
      <w:r w:rsidR="000925D0" w:rsidRPr="0098725D">
        <w:t>motion-</w:t>
      </w:r>
      <w:r w:rsidR="009050BC">
        <w:t>A</w:t>
      </w:r>
      <w:r w:rsidR="000925D0" w:rsidRPr="0098725D">
        <w:t xml:space="preserve">ction </w:t>
      </w:r>
      <w:r w:rsidR="00D54070">
        <w:t>M</w:t>
      </w:r>
      <w:r w:rsidR="000925D0" w:rsidRPr="0098725D">
        <w:t xml:space="preserve">odel of </w:t>
      </w:r>
      <w:r w:rsidR="00D54070">
        <w:t>M</w:t>
      </w:r>
      <w:r w:rsidR="000925D0" w:rsidRPr="0098725D">
        <w:t xml:space="preserve">otivated </w:t>
      </w:r>
      <w:r w:rsidR="00D54070">
        <w:t>B</w:t>
      </w:r>
      <w:r w:rsidR="000925D0" w:rsidRPr="0098725D">
        <w:t xml:space="preserve">ehavior: An </w:t>
      </w:r>
      <w:r w:rsidR="00D54070">
        <w:t>A</w:t>
      </w:r>
      <w:r w:rsidR="000925D0" w:rsidRPr="0098725D">
        <w:t xml:space="preserve">nalysis of </w:t>
      </w:r>
      <w:r w:rsidR="00D54070">
        <w:t>J</w:t>
      </w:r>
      <w:r w:rsidR="000925D0" w:rsidRPr="0098725D">
        <w:t xml:space="preserve">udgments of </w:t>
      </w:r>
      <w:r w:rsidR="00D54070">
        <w:t>H</w:t>
      </w:r>
      <w:r w:rsidR="000925D0" w:rsidRPr="0098725D">
        <w:t>elp-</w:t>
      </w:r>
      <w:r w:rsidR="009050BC">
        <w:t>G</w:t>
      </w:r>
      <w:r w:rsidR="000925D0" w:rsidRPr="0098725D">
        <w:t>iving,</w:t>
      </w:r>
      <w:r>
        <w:t>”</w:t>
      </w:r>
      <w:r w:rsidR="000925D0" w:rsidRPr="0098725D">
        <w:t xml:space="preserve"> </w:t>
      </w:r>
      <w:r w:rsidR="000925D0" w:rsidRPr="008F6403">
        <w:rPr>
          <w:i/>
          <w:iCs/>
        </w:rPr>
        <w:t xml:space="preserve">Journal of Personality and Social </w:t>
      </w:r>
      <w:r w:rsidRPr="008F6403">
        <w:rPr>
          <w:i/>
          <w:iCs/>
        </w:rPr>
        <w:t>P</w:t>
      </w:r>
      <w:r w:rsidR="000925D0" w:rsidRPr="008F6403">
        <w:rPr>
          <w:i/>
          <w:iCs/>
        </w:rPr>
        <w:t>sychology</w:t>
      </w:r>
      <w:r w:rsidR="000925D0" w:rsidRPr="0098725D">
        <w:t>, 39 (2), 186.</w:t>
      </w:r>
    </w:p>
    <w:p w14:paraId="152DB18D" w14:textId="2A2687C9" w:rsidR="008F6403" w:rsidRPr="0098725D" w:rsidRDefault="008F6403" w:rsidP="008F6403">
      <w:pPr>
        <w:pStyle w:val="EndNoteBibliography"/>
        <w:spacing w:before="0" w:beforeAutospacing="0" w:after="0" w:afterAutospacing="0" w:line="480" w:lineRule="auto"/>
        <w:ind w:left="720" w:hanging="720"/>
        <w:jc w:val="left"/>
      </w:pPr>
      <w:r w:rsidRPr="0098725D">
        <w:t xml:space="preserve">Weiner, Bernard (1985), </w:t>
      </w:r>
      <w:r>
        <w:t>“</w:t>
      </w:r>
      <w:r w:rsidRPr="0098725D">
        <w:t xml:space="preserve">An </w:t>
      </w:r>
      <w:r w:rsidR="00D54070">
        <w:t>A</w:t>
      </w:r>
      <w:r w:rsidRPr="0098725D">
        <w:t xml:space="preserve">ttributional </w:t>
      </w:r>
      <w:r w:rsidR="00D54070">
        <w:t>T</w:t>
      </w:r>
      <w:r w:rsidRPr="0098725D">
        <w:t xml:space="preserve">heory of </w:t>
      </w:r>
      <w:r w:rsidR="00D54070">
        <w:t>A</w:t>
      </w:r>
      <w:r w:rsidRPr="0098725D">
        <w:t xml:space="preserve">chievement </w:t>
      </w:r>
      <w:r w:rsidR="00D54070">
        <w:t>M</w:t>
      </w:r>
      <w:r w:rsidRPr="0098725D">
        <w:t xml:space="preserve">otivation and </w:t>
      </w:r>
      <w:r w:rsidR="00D54070">
        <w:t>E</w:t>
      </w:r>
      <w:r w:rsidRPr="0098725D">
        <w:t>motion,</w:t>
      </w:r>
      <w:r>
        <w:t>”</w:t>
      </w:r>
      <w:r w:rsidRPr="0098725D">
        <w:t xml:space="preserve"> </w:t>
      </w:r>
      <w:r w:rsidRPr="008F6403">
        <w:rPr>
          <w:i/>
          <w:iCs/>
        </w:rPr>
        <w:t>Psychological Review</w:t>
      </w:r>
      <w:r w:rsidRPr="0098725D">
        <w:t>, 92 (4), 548.</w:t>
      </w:r>
    </w:p>
    <w:p w14:paraId="5143C3D0" w14:textId="1DB2DFFB" w:rsidR="000925D0" w:rsidRPr="0098725D" w:rsidRDefault="000925D0" w:rsidP="000925D0">
      <w:pPr>
        <w:pStyle w:val="EndNoteBibliography"/>
        <w:spacing w:before="0" w:beforeAutospacing="0" w:after="0" w:afterAutospacing="0" w:line="480" w:lineRule="auto"/>
        <w:ind w:left="720" w:hanging="720"/>
        <w:jc w:val="left"/>
      </w:pPr>
      <w:r w:rsidRPr="0098725D">
        <w:t xml:space="preserve">Weiner, Bernard, Sandra Graham, and Carla Chandler (1982), </w:t>
      </w:r>
      <w:r>
        <w:t>“</w:t>
      </w:r>
      <w:r w:rsidRPr="0098725D">
        <w:t xml:space="preserve">Pity, </w:t>
      </w:r>
      <w:r w:rsidR="00D54070">
        <w:t>A</w:t>
      </w:r>
      <w:r w:rsidRPr="0098725D">
        <w:t xml:space="preserve">nger, and </w:t>
      </w:r>
      <w:r w:rsidR="00D54070">
        <w:t>G</w:t>
      </w:r>
      <w:r w:rsidRPr="0098725D">
        <w:t xml:space="preserve">uilt: An </w:t>
      </w:r>
      <w:r w:rsidR="00D54070">
        <w:t>A</w:t>
      </w:r>
      <w:r w:rsidRPr="0098725D">
        <w:t xml:space="preserve">ttributional </w:t>
      </w:r>
      <w:r w:rsidR="00D54070">
        <w:t>A</w:t>
      </w:r>
      <w:r w:rsidRPr="0098725D">
        <w:t>nalysis,</w:t>
      </w:r>
      <w:r w:rsidR="008F6403">
        <w:t>”</w:t>
      </w:r>
      <w:r w:rsidRPr="0098725D">
        <w:t xml:space="preserve"> </w:t>
      </w:r>
      <w:r w:rsidRPr="008F6403">
        <w:rPr>
          <w:i/>
          <w:iCs/>
        </w:rPr>
        <w:t>Personality and Social Psychology Bulletin</w:t>
      </w:r>
      <w:r w:rsidRPr="0098725D">
        <w:t>, 8 (2), 226-32.</w:t>
      </w:r>
    </w:p>
    <w:p w14:paraId="2FBBD5A9" w14:textId="7EB0ED40" w:rsidR="000925D0" w:rsidRDefault="000925D0" w:rsidP="000925D0">
      <w:pPr>
        <w:pStyle w:val="EndNoteBibliography"/>
        <w:spacing w:before="0" w:beforeAutospacing="0" w:after="0" w:afterAutospacing="0" w:line="480" w:lineRule="auto"/>
        <w:ind w:left="720" w:hanging="720"/>
        <w:jc w:val="left"/>
      </w:pPr>
      <w:r w:rsidRPr="0098725D">
        <w:t>Williams, Larry J</w:t>
      </w:r>
      <w:r w:rsidR="00D54070">
        <w:t>.</w:t>
      </w:r>
      <w:r w:rsidRPr="0098725D">
        <w:t xml:space="preserve">, Nathan Hartman, and Flavia Cavazotte (2010), </w:t>
      </w:r>
      <w:r>
        <w:t>“</w:t>
      </w:r>
      <w:r w:rsidRPr="0098725D">
        <w:t xml:space="preserve">Method </w:t>
      </w:r>
      <w:r w:rsidR="00D54070">
        <w:t>V</w:t>
      </w:r>
      <w:r w:rsidRPr="0098725D">
        <w:t xml:space="preserve">ariance and </w:t>
      </w:r>
      <w:r w:rsidR="00D54070">
        <w:t>M</w:t>
      </w:r>
      <w:r w:rsidRPr="0098725D">
        <w:t xml:space="preserve">arker </w:t>
      </w:r>
      <w:r w:rsidR="00D54070">
        <w:t>V</w:t>
      </w:r>
      <w:r w:rsidRPr="0098725D">
        <w:t xml:space="preserve">ariables: A </w:t>
      </w:r>
      <w:r w:rsidR="00D54070">
        <w:t>R</w:t>
      </w:r>
      <w:r w:rsidRPr="0098725D">
        <w:t xml:space="preserve">eview and </w:t>
      </w:r>
      <w:r w:rsidR="00D54070">
        <w:t>C</w:t>
      </w:r>
      <w:r w:rsidRPr="0098725D">
        <w:t xml:space="preserve">omprehensive CFA </w:t>
      </w:r>
      <w:r w:rsidR="00D54070">
        <w:t>M</w:t>
      </w:r>
      <w:r w:rsidRPr="0098725D">
        <w:t xml:space="preserve">arker </w:t>
      </w:r>
      <w:r w:rsidR="00D54070">
        <w:t>T</w:t>
      </w:r>
      <w:r w:rsidRPr="0098725D">
        <w:t>echnique,</w:t>
      </w:r>
      <w:r w:rsidR="008F6403">
        <w:t>”</w:t>
      </w:r>
      <w:r w:rsidRPr="0098725D">
        <w:t xml:space="preserve"> </w:t>
      </w:r>
      <w:r w:rsidRPr="008F6403">
        <w:rPr>
          <w:i/>
          <w:iCs/>
        </w:rPr>
        <w:t xml:space="preserve">Organizational </w:t>
      </w:r>
      <w:r w:rsidR="008F6403" w:rsidRPr="008F6403">
        <w:rPr>
          <w:i/>
          <w:iCs/>
        </w:rPr>
        <w:t>R</w:t>
      </w:r>
      <w:r w:rsidRPr="008F6403">
        <w:rPr>
          <w:i/>
          <w:iCs/>
        </w:rPr>
        <w:t xml:space="preserve">esearch </w:t>
      </w:r>
      <w:r w:rsidR="008F6403" w:rsidRPr="008F6403">
        <w:rPr>
          <w:i/>
          <w:iCs/>
        </w:rPr>
        <w:t>M</w:t>
      </w:r>
      <w:r w:rsidRPr="008F6403">
        <w:rPr>
          <w:i/>
          <w:iCs/>
        </w:rPr>
        <w:t>ethods</w:t>
      </w:r>
      <w:r w:rsidRPr="0098725D">
        <w:t>, 13 (3), 477-514.</w:t>
      </w:r>
    </w:p>
    <w:p w14:paraId="648AB2B3" w14:textId="13321C31" w:rsidR="007E480B" w:rsidRPr="007E480B" w:rsidRDefault="007E480B" w:rsidP="000925D0">
      <w:pPr>
        <w:pStyle w:val="EndNoteBibliography"/>
        <w:spacing w:before="0" w:beforeAutospacing="0" w:after="0" w:afterAutospacing="0" w:line="480" w:lineRule="auto"/>
        <w:ind w:left="720" w:hanging="720"/>
        <w:jc w:val="left"/>
      </w:pPr>
      <w:r w:rsidRPr="007E480B">
        <w:t>Wong, N</w:t>
      </w:r>
      <w:r>
        <w:t>ancy</w:t>
      </w:r>
      <w:r w:rsidRPr="007E480B">
        <w:t>, Rindfleisch, A</w:t>
      </w:r>
      <w:r>
        <w:t>ric</w:t>
      </w:r>
      <w:r w:rsidRPr="007E480B">
        <w:t>, &amp; Burroughs, J</w:t>
      </w:r>
      <w:r>
        <w:t>ames</w:t>
      </w:r>
      <w:r w:rsidRPr="007E480B">
        <w:t xml:space="preserve"> E. (2003). Do reverse-worded items confound measures in cross-cultural consumer research? The case of the material values scale.</w:t>
      </w:r>
      <w:r w:rsidR="007F0DDB">
        <w:t xml:space="preserve"> </w:t>
      </w:r>
      <w:r w:rsidRPr="007E480B">
        <w:rPr>
          <w:i/>
          <w:iCs/>
        </w:rPr>
        <w:t>Journal of consumer research</w:t>
      </w:r>
      <w:r w:rsidRPr="007E480B">
        <w:t>,</w:t>
      </w:r>
      <w:r w:rsidR="007F0DDB">
        <w:t xml:space="preserve"> </w:t>
      </w:r>
      <w:r w:rsidRPr="007F0DDB">
        <w:rPr>
          <w:iCs/>
        </w:rPr>
        <w:t>30</w:t>
      </w:r>
      <w:r w:rsidR="007F0DDB">
        <w:t xml:space="preserve"> </w:t>
      </w:r>
      <w:r w:rsidRPr="007E480B">
        <w:t>(1), 72-91.</w:t>
      </w:r>
    </w:p>
    <w:p w14:paraId="3A488EC6" w14:textId="4C40AFFC" w:rsidR="007A6739" w:rsidRPr="00216F60" w:rsidRDefault="007A6739" w:rsidP="00B070E9">
      <w:pPr>
        <w:spacing w:before="0" w:beforeAutospacing="0" w:after="0" w:afterAutospacing="0"/>
        <w:rPr>
          <w:lang w:val="en-US"/>
        </w:rPr>
        <w:sectPr w:rsidR="007A6739" w:rsidRPr="00216F60" w:rsidSect="00B070E9">
          <w:pgSz w:w="11906" w:h="16838"/>
          <w:pgMar w:top="1417" w:right="1417" w:bottom="1417" w:left="1417" w:header="708" w:footer="708" w:gutter="0"/>
          <w:cols w:space="708"/>
          <w:docGrid w:linePitch="360"/>
        </w:sectPr>
      </w:pPr>
      <w:r>
        <w:rPr>
          <w:lang w:val="en-US"/>
        </w:rPr>
        <w:tab/>
      </w:r>
    </w:p>
    <w:p w14:paraId="0C9A0658" w14:textId="77777777" w:rsidR="007A6739" w:rsidRPr="00AE684C" w:rsidRDefault="007A6739" w:rsidP="00AE684C">
      <w:pPr>
        <w:spacing w:before="0" w:beforeAutospacing="0" w:after="240" w:afterAutospacing="0" w:line="240" w:lineRule="auto"/>
        <w:jc w:val="center"/>
        <w:rPr>
          <w:caps/>
          <w:lang w:val="en-US"/>
        </w:rPr>
      </w:pPr>
      <w:r w:rsidRPr="00AE684C">
        <w:rPr>
          <w:caps/>
          <w:lang w:val="en-US"/>
        </w:rPr>
        <w:lastRenderedPageBreak/>
        <w:t>Table 1.  A classification of approaches for controlling method effects</w:t>
      </w:r>
    </w:p>
    <w:tbl>
      <w:tblPr>
        <w:tblStyle w:val="TableGrid"/>
        <w:tblW w:w="12955" w:type="dxa"/>
        <w:jc w:val="center"/>
        <w:tblLook w:val="04A0" w:firstRow="1" w:lastRow="0" w:firstColumn="1" w:lastColumn="0" w:noHBand="0" w:noVBand="1"/>
      </w:tblPr>
      <w:tblGrid>
        <w:gridCol w:w="895"/>
        <w:gridCol w:w="900"/>
        <w:gridCol w:w="2842"/>
        <w:gridCol w:w="2842"/>
        <w:gridCol w:w="2842"/>
        <w:gridCol w:w="2634"/>
      </w:tblGrid>
      <w:tr w:rsidR="007A6739" w:rsidRPr="004A2EFF" w14:paraId="56C0A1FF" w14:textId="77777777" w:rsidTr="00B070E9">
        <w:trPr>
          <w:trHeight w:val="517"/>
          <w:jc w:val="center"/>
        </w:trPr>
        <w:tc>
          <w:tcPr>
            <w:tcW w:w="895" w:type="dxa"/>
          </w:tcPr>
          <w:p w14:paraId="0BF20B3B" w14:textId="77777777" w:rsidR="007A6739" w:rsidRPr="00216F60" w:rsidRDefault="007A6739" w:rsidP="00B070E9">
            <w:pPr>
              <w:spacing w:before="0" w:beforeAutospacing="0" w:after="0" w:afterAutospacing="0" w:line="240" w:lineRule="auto"/>
              <w:rPr>
                <w:rFonts w:cs="Times New Roman"/>
                <w:lang w:val="en-US"/>
              </w:rPr>
            </w:pPr>
          </w:p>
        </w:tc>
        <w:tc>
          <w:tcPr>
            <w:tcW w:w="900" w:type="dxa"/>
          </w:tcPr>
          <w:p w14:paraId="5FA57ED1" w14:textId="77777777" w:rsidR="007A6739" w:rsidRPr="00216F60" w:rsidRDefault="007A6739" w:rsidP="00B070E9">
            <w:pPr>
              <w:spacing w:before="0" w:beforeAutospacing="0" w:after="0" w:afterAutospacing="0" w:line="240" w:lineRule="auto"/>
              <w:rPr>
                <w:rFonts w:cs="Times New Roman"/>
                <w:lang w:val="en-US"/>
              </w:rPr>
            </w:pPr>
          </w:p>
        </w:tc>
        <w:tc>
          <w:tcPr>
            <w:tcW w:w="11160" w:type="dxa"/>
            <w:gridSpan w:val="4"/>
            <w:vAlign w:val="center"/>
          </w:tcPr>
          <w:p w14:paraId="6AFF1474" w14:textId="77777777" w:rsidR="007A6739" w:rsidRPr="00216F60" w:rsidRDefault="007A6739" w:rsidP="00B070E9">
            <w:pPr>
              <w:spacing w:before="0" w:beforeAutospacing="0" w:after="0" w:afterAutospacing="0" w:line="240" w:lineRule="auto"/>
              <w:jc w:val="center"/>
              <w:rPr>
                <w:rFonts w:cs="Times New Roman"/>
                <w:lang w:val="en-US"/>
              </w:rPr>
            </w:pPr>
            <w:r w:rsidRPr="00216F60">
              <w:rPr>
                <w:rFonts w:cs="Times New Roman"/>
                <w:lang w:val="en-US"/>
              </w:rPr>
              <w:t>Are method effects measured or inferred?</w:t>
            </w:r>
          </w:p>
        </w:tc>
      </w:tr>
      <w:tr w:rsidR="007A6739" w:rsidRPr="00216F60" w14:paraId="2F24436C" w14:textId="77777777" w:rsidTr="00B070E9">
        <w:trPr>
          <w:trHeight w:val="526"/>
          <w:jc w:val="center"/>
        </w:trPr>
        <w:tc>
          <w:tcPr>
            <w:tcW w:w="895" w:type="dxa"/>
          </w:tcPr>
          <w:p w14:paraId="37139738" w14:textId="77777777" w:rsidR="007A6739" w:rsidRPr="00216F60" w:rsidRDefault="007A6739" w:rsidP="00B070E9">
            <w:pPr>
              <w:spacing w:before="0" w:beforeAutospacing="0" w:after="0" w:afterAutospacing="0" w:line="240" w:lineRule="auto"/>
              <w:rPr>
                <w:rFonts w:cs="Times New Roman"/>
                <w:lang w:val="en-US"/>
              </w:rPr>
            </w:pPr>
          </w:p>
        </w:tc>
        <w:tc>
          <w:tcPr>
            <w:tcW w:w="900" w:type="dxa"/>
          </w:tcPr>
          <w:p w14:paraId="059D022F" w14:textId="77777777" w:rsidR="007A6739" w:rsidRPr="00216F60" w:rsidRDefault="007A6739" w:rsidP="00B070E9">
            <w:pPr>
              <w:spacing w:before="0" w:beforeAutospacing="0" w:after="0" w:afterAutospacing="0" w:line="240" w:lineRule="auto"/>
              <w:rPr>
                <w:rFonts w:cs="Times New Roman"/>
                <w:lang w:val="en-US"/>
              </w:rPr>
            </w:pPr>
          </w:p>
        </w:tc>
        <w:tc>
          <w:tcPr>
            <w:tcW w:w="5684" w:type="dxa"/>
            <w:gridSpan w:val="2"/>
            <w:vAlign w:val="center"/>
          </w:tcPr>
          <w:p w14:paraId="73697972" w14:textId="77777777" w:rsidR="007A6739" w:rsidRPr="00216F60" w:rsidRDefault="007A6739" w:rsidP="00B070E9">
            <w:pPr>
              <w:spacing w:before="0" w:beforeAutospacing="0" w:after="0" w:afterAutospacing="0" w:line="240" w:lineRule="auto"/>
              <w:jc w:val="center"/>
              <w:rPr>
                <w:rFonts w:cs="Times New Roman"/>
                <w:lang w:val="en-US"/>
              </w:rPr>
            </w:pPr>
            <w:r w:rsidRPr="00216F60">
              <w:rPr>
                <w:rFonts w:cs="Times New Roman"/>
                <w:lang w:val="en-US"/>
              </w:rPr>
              <w:t>Measured (manifest)</w:t>
            </w:r>
          </w:p>
        </w:tc>
        <w:tc>
          <w:tcPr>
            <w:tcW w:w="5476" w:type="dxa"/>
            <w:gridSpan w:val="2"/>
            <w:vAlign w:val="center"/>
          </w:tcPr>
          <w:p w14:paraId="30650958" w14:textId="77777777" w:rsidR="007A6739" w:rsidRPr="00216F60" w:rsidRDefault="007A6739" w:rsidP="00B070E9">
            <w:pPr>
              <w:spacing w:before="0" w:beforeAutospacing="0" w:after="0" w:afterAutospacing="0" w:line="240" w:lineRule="auto"/>
              <w:jc w:val="center"/>
              <w:rPr>
                <w:rFonts w:cs="Times New Roman"/>
                <w:lang w:val="en-US"/>
              </w:rPr>
            </w:pPr>
            <w:r w:rsidRPr="00216F60">
              <w:rPr>
                <w:rFonts w:cs="Times New Roman"/>
                <w:lang w:val="en-US"/>
              </w:rPr>
              <w:t>Inferred (latent)</w:t>
            </w:r>
          </w:p>
        </w:tc>
      </w:tr>
      <w:tr w:rsidR="007A6739" w:rsidRPr="00216F60" w14:paraId="12BA5F1F" w14:textId="77777777" w:rsidTr="00B070E9">
        <w:trPr>
          <w:trHeight w:val="346"/>
          <w:jc w:val="center"/>
        </w:trPr>
        <w:tc>
          <w:tcPr>
            <w:tcW w:w="895" w:type="dxa"/>
          </w:tcPr>
          <w:p w14:paraId="1D3B4088" w14:textId="77777777" w:rsidR="007A6739" w:rsidRPr="00216F60" w:rsidRDefault="007A6739" w:rsidP="00B070E9">
            <w:pPr>
              <w:spacing w:before="0" w:beforeAutospacing="0" w:after="0" w:afterAutospacing="0" w:line="240" w:lineRule="auto"/>
              <w:rPr>
                <w:rFonts w:cs="Times New Roman"/>
                <w:lang w:val="en-US"/>
              </w:rPr>
            </w:pPr>
          </w:p>
        </w:tc>
        <w:tc>
          <w:tcPr>
            <w:tcW w:w="900" w:type="dxa"/>
          </w:tcPr>
          <w:p w14:paraId="05276106" w14:textId="77777777" w:rsidR="007A6739" w:rsidRPr="00216F60" w:rsidRDefault="007A6739" w:rsidP="00B070E9">
            <w:pPr>
              <w:spacing w:before="0" w:beforeAutospacing="0" w:after="0" w:afterAutospacing="0" w:line="240" w:lineRule="auto"/>
              <w:rPr>
                <w:rFonts w:cs="Times New Roman"/>
                <w:lang w:val="en-US"/>
              </w:rPr>
            </w:pPr>
          </w:p>
          <w:p w14:paraId="52C1DED2" w14:textId="77777777" w:rsidR="007A6739" w:rsidRPr="00216F60" w:rsidRDefault="007A6739" w:rsidP="00B070E9">
            <w:pPr>
              <w:spacing w:before="0" w:beforeAutospacing="0" w:after="0" w:afterAutospacing="0" w:line="240" w:lineRule="auto"/>
              <w:rPr>
                <w:rFonts w:cs="Times New Roman"/>
                <w:lang w:val="en-US"/>
              </w:rPr>
            </w:pPr>
          </w:p>
        </w:tc>
        <w:tc>
          <w:tcPr>
            <w:tcW w:w="2842" w:type="dxa"/>
            <w:vAlign w:val="center"/>
          </w:tcPr>
          <w:p w14:paraId="728E0E9B" w14:textId="77777777" w:rsidR="007A6739" w:rsidRPr="00216F60" w:rsidRDefault="007A6739" w:rsidP="00B070E9">
            <w:pPr>
              <w:spacing w:before="0" w:beforeAutospacing="0" w:after="0" w:afterAutospacing="0" w:line="240" w:lineRule="auto"/>
              <w:jc w:val="center"/>
              <w:rPr>
                <w:rFonts w:cs="Times New Roman"/>
                <w:lang w:val="en-US"/>
              </w:rPr>
            </w:pPr>
            <w:r w:rsidRPr="00216F60">
              <w:rPr>
                <w:rFonts w:cs="Times New Roman"/>
                <w:lang w:val="en-US"/>
              </w:rPr>
              <w:t>Direct measure</w:t>
            </w:r>
          </w:p>
        </w:tc>
        <w:tc>
          <w:tcPr>
            <w:tcW w:w="2842" w:type="dxa"/>
            <w:vAlign w:val="center"/>
          </w:tcPr>
          <w:p w14:paraId="4ED334DD" w14:textId="77777777" w:rsidR="007A6739" w:rsidRPr="00216F60" w:rsidRDefault="007A6739" w:rsidP="00B070E9">
            <w:pPr>
              <w:spacing w:before="0" w:beforeAutospacing="0" w:after="0" w:afterAutospacing="0" w:line="240" w:lineRule="auto"/>
              <w:jc w:val="center"/>
              <w:rPr>
                <w:rFonts w:cs="Times New Roman"/>
                <w:lang w:val="en-US"/>
              </w:rPr>
            </w:pPr>
            <w:r w:rsidRPr="00216F60">
              <w:rPr>
                <w:rFonts w:cs="Times New Roman"/>
                <w:lang w:val="en-US"/>
              </w:rPr>
              <w:t>Proxy measure</w:t>
            </w:r>
          </w:p>
        </w:tc>
        <w:tc>
          <w:tcPr>
            <w:tcW w:w="2842" w:type="dxa"/>
            <w:vAlign w:val="center"/>
          </w:tcPr>
          <w:p w14:paraId="179FD323" w14:textId="77777777" w:rsidR="007A6739" w:rsidRPr="00216F60" w:rsidRDefault="007A6739" w:rsidP="00B070E9">
            <w:pPr>
              <w:spacing w:before="0" w:beforeAutospacing="0" w:after="0" w:afterAutospacing="0" w:line="240" w:lineRule="auto"/>
              <w:jc w:val="center"/>
              <w:rPr>
                <w:rFonts w:cs="Times New Roman"/>
                <w:lang w:val="en-US"/>
              </w:rPr>
            </w:pPr>
            <w:r w:rsidRPr="00216F60">
              <w:rPr>
                <w:rFonts w:cs="Times New Roman"/>
                <w:lang w:val="en-US"/>
              </w:rPr>
              <w:t>Method factor</w:t>
            </w:r>
            <w:r>
              <w:rPr>
                <w:rFonts w:cs="Times New Roman"/>
                <w:lang w:val="en-US"/>
              </w:rPr>
              <w:t>(s)</w:t>
            </w:r>
          </w:p>
        </w:tc>
        <w:tc>
          <w:tcPr>
            <w:tcW w:w="2634" w:type="dxa"/>
            <w:vAlign w:val="center"/>
          </w:tcPr>
          <w:p w14:paraId="697398D0" w14:textId="77777777" w:rsidR="007A6739" w:rsidRPr="00216F60" w:rsidRDefault="007A6739" w:rsidP="00B070E9">
            <w:pPr>
              <w:spacing w:before="0" w:beforeAutospacing="0" w:after="0" w:afterAutospacing="0" w:line="240" w:lineRule="auto"/>
              <w:jc w:val="center"/>
              <w:rPr>
                <w:rFonts w:cs="Times New Roman"/>
                <w:lang w:val="en-US"/>
              </w:rPr>
            </w:pPr>
            <w:r w:rsidRPr="00216F60">
              <w:rPr>
                <w:rFonts w:cs="Times New Roman"/>
                <w:lang w:val="en-US"/>
              </w:rPr>
              <w:t>Correlated uniquenesses</w:t>
            </w:r>
          </w:p>
        </w:tc>
      </w:tr>
      <w:tr w:rsidR="007A6739" w:rsidRPr="005F6FB2" w14:paraId="1A25B67F" w14:textId="77777777" w:rsidTr="00B070E9">
        <w:trPr>
          <w:trHeight w:val="2209"/>
          <w:jc w:val="center"/>
        </w:trPr>
        <w:tc>
          <w:tcPr>
            <w:tcW w:w="895" w:type="dxa"/>
            <w:vMerge w:val="restart"/>
            <w:textDirection w:val="btLr"/>
            <w:vAlign w:val="center"/>
          </w:tcPr>
          <w:p w14:paraId="12DFEFE5" w14:textId="77777777" w:rsidR="007A6739" w:rsidRPr="00216F60" w:rsidRDefault="007A6739" w:rsidP="00B070E9">
            <w:pPr>
              <w:spacing w:before="0" w:beforeAutospacing="0" w:after="0" w:afterAutospacing="0" w:line="240" w:lineRule="auto"/>
              <w:ind w:left="113" w:right="113"/>
              <w:jc w:val="center"/>
              <w:rPr>
                <w:rFonts w:cs="Times New Roman"/>
                <w:lang w:val="en-US"/>
              </w:rPr>
            </w:pPr>
            <w:r w:rsidRPr="00216F60">
              <w:rPr>
                <w:rFonts w:cs="Times New Roman"/>
                <w:lang w:val="en-US"/>
              </w:rPr>
              <w:t>Are method effects controlled at the</w:t>
            </w:r>
          </w:p>
          <w:p w14:paraId="3402F08B" w14:textId="77777777" w:rsidR="007A6739" w:rsidRPr="00216F60" w:rsidRDefault="007A6739" w:rsidP="00B070E9">
            <w:pPr>
              <w:spacing w:before="0" w:beforeAutospacing="0" w:after="0" w:afterAutospacing="0" w:line="240" w:lineRule="auto"/>
              <w:ind w:left="113" w:right="113"/>
              <w:jc w:val="center"/>
              <w:rPr>
                <w:rFonts w:cs="Times New Roman"/>
                <w:lang w:val="en-US"/>
              </w:rPr>
            </w:pPr>
            <w:r w:rsidRPr="00216F60">
              <w:rPr>
                <w:rFonts w:cs="Times New Roman"/>
                <w:lang w:val="en-US"/>
              </w:rPr>
              <w:t>scale level or item level?</w:t>
            </w:r>
          </w:p>
        </w:tc>
        <w:tc>
          <w:tcPr>
            <w:tcW w:w="900" w:type="dxa"/>
            <w:vAlign w:val="center"/>
          </w:tcPr>
          <w:p w14:paraId="6FD2E1DB" w14:textId="77777777" w:rsidR="007A6739" w:rsidRPr="00216F60" w:rsidRDefault="007A6739" w:rsidP="00B070E9">
            <w:pPr>
              <w:spacing w:before="0" w:beforeAutospacing="0" w:after="0" w:afterAutospacing="0" w:line="240" w:lineRule="auto"/>
              <w:rPr>
                <w:rFonts w:cs="Times New Roman"/>
                <w:lang w:val="en-US"/>
              </w:rPr>
            </w:pPr>
            <w:r w:rsidRPr="00216F60">
              <w:rPr>
                <w:rFonts w:cs="Times New Roman"/>
                <w:lang w:val="en-US"/>
              </w:rPr>
              <w:t>Scale</w:t>
            </w:r>
          </w:p>
          <w:p w14:paraId="082F74D7" w14:textId="77777777" w:rsidR="007A6739" w:rsidRPr="00216F60" w:rsidRDefault="007A6739" w:rsidP="00B070E9">
            <w:pPr>
              <w:spacing w:before="0" w:beforeAutospacing="0" w:after="0" w:afterAutospacing="0" w:line="240" w:lineRule="auto"/>
              <w:rPr>
                <w:rFonts w:cs="Times New Roman"/>
                <w:lang w:val="en-US"/>
              </w:rPr>
            </w:pPr>
            <w:r w:rsidRPr="00216F60">
              <w:rPr>
                <w:rFonts w:cs="Times New Roman"/>
                <w:lang w:val="en-US"/>
              </w:rPr>
              <w:t>Level</w:t>
            </w:r>
          </w:p>
        </w:tc>
        <w:tc>
          <w:tcPr>
            <w:tcW w:w="2842" w:type="dxa"/>
          </w:tcPr>
          <w:p w14:paraId="1FA20D56" w14:textId="77777777" w:rsidR="007A6739" w:rsidRPr="00216F60" w:rsidRDefault="007A6739" w:rsidP="00B070E9">
            <w:pPr>
              <w:spacing w:before="120" w:beforeAutospacing="0" w:after="0" w:afterAutospacing="0" w:line="240" w:lineRule="auto"/>
              <w:rPr>
                <w:rFonts w:cs="Times New Roman"/>
                <w:lang w:val="en-US"/>
              </w:rPr>
            </w:pPr>
            <w:r>
              <w:rPr>
                <w:rFonts w:cs="Times New Roman"/>
                <w:lang w:val="en-US"/>
              </w:rPr>
              <w:t xml:space="preserve">A. </w:t>
            </w:r>
            <w:r w:rsidRPr="00216F60">
              <w:rPr>
                <w:rFonts w:cs="Times New Roman"/>
                <w:lang w:val="en-US"/>
              </w:rPr>
              <w:t xml:space="preserve">Partialing a directly measured method variable at the scale level </w:t>
            </w:r>
          </w:p>
          <w:p w14:paraId="26E65CAF" w14:textId="77777777" w:rsidR="007A6739" w:rsidRPr="00216F60" w:rsidRDefault="007A6739" w:rsidP="00B070E9">
            <w:pPr>
              <w:spacing w:before="0" w:beforeAutospacing="0" w:after="120" w:afterAutospacing="0" w:line="240" w:lineRule="auto"/>
              <w:rPr>
                <w:rFonts w:cs="Times New Roman"/>
                <w:lang w:val="en-US"/>
              </w:rPr>
            </w:pPr>
            <w:r w:rsidRPr="00216F60">
              <w:rPr>
                <w:rFonts w:cs="Times New Roman"/>
                <w:lang w:val="en-US"/>
              </w:rPr>
              <w:t xml:space="preserve">(with or without control </w:t>
            </w:r>
            <w:r>
              <w:rPr>
                <w:rFonts w:cs="Times New Roman"/>
                <w:lang w:val="en-US"/>
              </w:rPr>
              <w:t>of</w:t>
            </w:r>
            <w:r w:rsidRPr="00216F60">
              <w:rPr>
                <w:rFonts w:cs="Times New Roman"/>
                <w:lang w:val="en-US"/>
              </w:rPr>
              <w:t xml:space="preserve"> measurement error, multiple directly measured method variables c</w:t>
            </w:r>
            <w:r>
              <w:rPr>
                <w:rFonts w:cs="Times New Roman"/>
                <w:lang w:val="en-US"/>
              </w:rPr>
              <w:t>an</w:t>
            </w:r>
            <w:r w:rsidRPr="00216F60">
              <w:rPr>
                <w:rFonts w:cs="Times New Roman"/>
                <w:lang w:val="en-US"/>
              </w:rPr>
              <w:t xml:space="preserve"> be partialed)</w:t>
            </w:r>
          </w:p>
        </w:tc>
        <w:tc>
          <w:tcPr>
            <w:tcW w:w="2842" w:type="dxa"/>
          </w:tcPr>
          <w:p w14:paraId="6E7E6124" w14:textId="77777777" w:rsidR="007A6739" w:rsidRPr="00216F60" w:rsidRDefault="007A6739" w:rsidP="00B070E9">
            <w:pPr>
              <w:spacing w:before="120" w:beforeAutospacing="0" w:after="0" w:afterAutospacing="0" w:line="240" w:lineRule="auto"/>
              <w:rPr>
                <w:rFonts w:cs="Times New Roman"/>
                <w:lang w:val="en-US"/>
              </w:rPr>
            </w:pPr>
            <w:r>
              <w:rPr>
                <w:rFonts w:cs="Times New Roman"/>
                <w:lang w:val="en-US"/>
              </w:rPr>
              <w:t xml:space="preserve">C. </w:t>
            </w:r>
            <w:r w:rsidRPr="00216F60">
              <w:rPr>
                <w:rFonts w:cs="Times New Roman"/>
                <w:lang w:val="en-US"/>
              </w:rPr>
              <w:t xml:space="preserve">Lindell and Whitney (2001) </w:t>
            </w:r>
            <w:r>
              <w:rPr>
                <w:rFonts w:cs="Times New Roman"/>
                <w:lang w:val="en-US"/>
              </w:rPr>
              <w:t xml:space="preserve">correlational </w:t>
            </w:r>
            <w:r w:rsidRPr="00216F60">
              <w:rPr>
                <w:rFonts w:cs="Times New Roman"/>
                <w:lang w:val="en-US"/>
              </w:rPr>
              <w:t>marker variable technique</w:t>
            </w:r>
            <w:r>
              <w:rPr>
                <w:rFonts w:cs="Times New Roman"/>
                <w:lang w:val="en-US"/>
              </w:rPr>
              <w:t xml:space="preserve"> applied at the scale level</w:t>
            </w:r>
          </w:p>
        </w:tc>
        <w:tc>
          <w:tcPr>
            <w:tcW w:w="2842" w:type="dxa"/>
          </w:tcPr>
          <w:p w14:paraId="01618B6E" w14:textId="77777777" w:rsidR="007A6739" w:rsidRPr="00216F60" w:rsidRDefault="007A6739" w:rsidP="00B070E9">
            <w:pPr>
              <w:spacing w:before="120" w:beforeAutospacing="0" w:after="0" w:afterAutospacing="0" w:line="240" w:lineRule="auto"/>
              <w:rPr>
                <w:rFonts w:cs="Times New Roman"/>
                <w:lang w:val="en-US"/>
              </w:rPr>
            </w:pPr>
            <w:r>
              <w:rPr>
                <w:rFonts w:cs="Times New Roman"/>
                <w:lang w:val="en-US"/>
              </w:rPr>
              <w:t xml:space="preserve">E. </w:t>
            </w:r>
            <w:r w:rsidRPr="00216F60">
              <w:rPr>
                <w:rFonts w:cs="Times New Roman"/>
                <w:lang w:val="en-US"/>
              </w:rPr>
              <w:t xml:space="preserve">Partialing an inferred </w:t>
            </w:r>
            <w:r>
              <w:rPr>
                <w:rFonts w:cs="Times New Roman"/>
                <w:lang w:val="en-US"/>
              </w:rPr>
              <w:t xml:space="preserve">but measured </w:t>
            </w:r>
            <w:r w:rsidRPr="00216F60">
              <w:rPr>
                <w:rFonts w:cs="Times New Roman"/>
                <w:lang w:val="en-US"/>
              </w:rPr>
              <w:t>method factor (e.g., factor scores from an EFA</w:t>
            </w:r>
            <w:r>
              <w:rPr>
                <w:rFonts w:cs="Times New Roman"/>
                <w:lang w:val="en-US"/>
              </w:rPr>
              <w:t xml:space="preserve"> à la </w:t>
            </w:r>
            <w:r w:rsidRPr="00216F60">
              <w:rPr>
                <w:rFonts w:cs="Times New Roman"/>
                <w:lang w:val="en-US"/>
              </w:rPr>
              <w:t>Harman) at the scale level</w:t>
            </w:r>
          </w:p>
        </w:tc>
        <w:tc>
          <w:tcPr>
            <w:tcW w:w="2634" w:type="dxa"/>
          </w:tcPr>
          <w:p w14:paraId="162EBD6D" w14:textId="77777777" w:rsidR="007A6739" w:rsidRPr="00216F60" w:rsidRDefault="007A6739" w:rsidP="00B070E9">
            <w:pPr>
              <w:spacing w:before="120" w:beforeAutospacing="0" w:after="120" w:afterAutospacing="0" w:line="240" w:lineRule="auto"/>
              <w:rPr>
                <w:rFonts w:cs="Times New Roman"/>
                <w:lang w:val="en-US"/>
              </w:rPr>
            </w:pPr>
            <w:r w:rsidRPr="00216F60">
              <w:rPr>
                <w:rFonts w:cs="Times New Roman"/>
                <w:lang w:val="en-US"/>
              </w:rPr>
              <w:t>n.a.</w:t>
            </w:r>
          </w:p>
        </w:tc>
      </w:tr>
      <w:tr w:rsidR="007A6739" w:rsidRPr="004A2EFF" w14:paraId="4B2DF9FE" w14:textId="77777777" w:rsidTr="00B070E9">
        <w:trPr>
          <w:trHeight w:val="2240"/>
          <w:jc w:val="center"/>
        </w:trPr>
        <w:tc>
          <w:tcPr>
            <w:tcW w:w="895" w:type="dxa"/>
            <w:vMerge/>
          </w:tcPr>
          <w:p w14:paraId="33D6F872" w14:textId="77777777" w:rsidR="007A6739" w:rsidRPr="00216F60" w:rsidRDefault="007A6739" w:rsidP="00B070E9">
            <w:pPr>
              <w:spacing w:before="0" w:beforeAutospacing="0" w:after="0" w:afterAutospacing="0" w:line="240" w:lineRule="auto"/>
              <w:rPr>
                <w:rFonts w:cs="Times New Roman"/>
                <w:lang w:val="en-US"/>
              </w:rPr>
            </w:pPr>
          </w:p>
        </w:tc>
        <w:tc>
          <w:tcPr>
            <w:tcW w:w="900" w:type="dxa"/>
            <w:vAlign w:val="center"/>
          </w:tcPr>
          <w:p w14:paraId="5906087D" w14:textId="77777777" w:rsidR="007A6739" w:rsidRPr="00216F60" w:rsidRDefault="007A6739" w:rsidP="00B070E9">
            <w:pPr>
              <w:spacing w:before="0" w:beforeAutospacing="0" w:after="0" w:afterAutospacing="0" w:line="240" w:lineRule="auto"/>
              <w:rPr>
                <w:rFonts w:cs="Times New Roman"/>
                <w:lang w:val="en-US"/>
              </w:rPr>
            </w:pPr>
            <w:r w:rsidRPr="00216F60">
              <w:rPr>
                <w:rFonts w:cs="Times New Roman"/>
                <w:lang w:val="en-US"/>
              </w:rPr>
              <w:t xml:space="preserve">Item </w:t>
            </w:r>
          </w:p>
          <w:p w14:paraId="57808826" w14:textId="77777777" w:rsidR="007A6739" w:rsidRPr="00216F60" w:rsidRDefault="007A6739" w:rsidP="00B070E9">
            <w:pPr>
              <w:spacing w:before="0" w:beforeAutospacing="0" w:after="0" w:afterAutospacing="0" w:line="240" w:lineRule="auto"/>
              <w:rPr>
                <w:rFonts w:cs="Times New Roman"/>
                <w:lang w:val="en-US"/>
              </w:rPr>
            </w:pPr>
            <w:r w:rsidRPr="00216F60">
              <w:rPr>
                <w:rFonts w:cs="Times New Roman"/>
                <w:lang w:val="en-US"/>
              </w:rPr>
              <w:t>Level</w:t>
            </w:r>
          </w:p>
        </w:tc>
        <w:tc>
          <w:tcPr>
            <w:tcW w:w="2842" w:type="dxa"/>
          </w:tcPr>
          <w:p w14:paraId="78F40F24" w14:textId="77777777" w:rsidR="007A6739" w:rsidRPr="00216F60" w:rsidRDefault="007A6739" w:rsidP="00B070E9">
            <w:pPr>
              <w:spacing w:before="120" w:beforeAutospacing="0" w:after="0" w:afterAutospacing="0" w:line="240" w:lineRule="auto"/>
              <w:rPr>
                <w:rFonts w:cs="Times New Roman"/>
                <w:lang w:val="en-US"/>
              </w:rPr>
            </w:pPr>
            <w:r>
              <w:rPr>
                <w:rFonts w:cs="Times New Roman"/>
                <w:lang w:val="en-US"/>
              </w:rPr>
              <w:t xml:space="preserve">B. </w:t>
            </w:r>
            <w:r w:rsidRPr="00216F60">
              <w:rPr>
                <w:rFonts w:cs="Times New Roman"/>
                <w:lang w:val="en-US"/>
              </w:rPr>
              <w:t>Partialing a directly measured method variable at the item level</w:t>
            </w:r>
          </w:p>
          <w:p w14:paraId="45F5C327" w14:textId="77777777" w:rsidR="007A6739" w:rsidRPr="00216F60" w:rsidRDefault="007A6739" w:rsidP="00B070E9">
            <w:pPr>
              <w:spacing w:before="0" w:beforeAutospacing="0" w:after="120" w:afterAutospacing="0" w:line="240" w:lineRule="auto"/>
              <w:rPr>
                <w:rFonts w:cs="Times New Roman"/>
                <w:lang w:val="en-US"/>
              </w:rPr>
            </w:pPr>
            <w:r w:rsidRPr="00216F60">
              <w:rPr>
                <w:rFonts w:cs="Times New Roman"/>
                <w:lang w:val="en-US"/>
              </w:rPr>
              <w:t xml:space="preserve">(with or without control </w:t>
            </w:r>
            <w:r>
              <w:rPr>
                <w:rFonts w:cs="Times New Roman"/>
                <w:lang w:val="en-US"/>
              </w:rPr>
              <w:t>of</w:t>
            </w:r>
            <w:r w:rsidRPr="00216F60">
              <w:rPr>
                <w:rFonts w:cs="Times New Roman"/>
                <w:lang w:val="en-US"/>
              </w:rPr>
              <w:t xml:space="preserve"> measurement error, multiple directly measured method variables c</w:t>
            </w:r>
            <w:r>
              <w:rPr>
                <w:rFonts w:cs="Times New Roman"/>
                <w:lang w:val="en-US"/>
              </w:rPr>
              <w:t>an</w:t>
            </w:r>
            <w:r w:rsidRPr="00216F60">
              <w:rPr>
                <w:rFonts w:cs="Times New Roman"/>
                <w:lang w:val="en-US"/>
              </w:rPr>
              <w:t xml:space="preserve"> be partialed)</w:t>
            </w:r>
          </w:p>
        </w:tc>
        <w:tc>
          <w:tcPr>
            <w:tcW w:w="2842" w:type="dxa"/>
          </w:tcPr>
          <w:p w14:paraId="004C7861" w14:textId="59B69111" w:rsidR="007A6739" w:rsidRPr="00216F60" w:rsidRDefault="009C5EC9" w:rsidP="00B070E9">
            <w:pPr>
              <w:spacing w:before="120" w:beforeAutospacing="0" w:after="0" w:afterAutospacing="0" w:line="240" w:lineRule="auto"/>
              <w:rPr>
                <w:rFonts w:cs="Times New Roman"/>
                <w:lang w:val="en-US"/>
              </w:rPr>
            </w:pPr>
            <w:r>
              <w:rPr>
                <w:rFonts w:cs="Times New Roman"/>
                <w:lang w:val="en-US"/>
              </w:rPr>
              <w:t xml:space="preserve">D. </w:t>
            </w:r>
            <w:r w:rsidR="007A6739" w:rsidRPr="00216F60">
              <w:rPr>
                <w:rFonts w:cs="Times New Roman"/>
                <w:lang w:val="en-US"/>
              </w:rPr>
              <w:t>Williams</w:t>
            </w:r>
            <w:r>
              <w:rPr>
                <w:szCs w:val="24"/>
                <w:lang w:val="en-US"/>
              </w:rPr>
              <w:t>, Hartman, and Cavazotte</w:t>
            </w:r>
            <w:r w:rsidR="007A6739" w:rsidRPr="00216F60">
              <w:rPr>
                <w:rFonts w:cs="Times New Roman"/>
                <w:lang w:val="en-US"/>
              </w:rPr>
              <w:t xml:space="preserve"> (2010) Comprehensive Marker Variable Technique</w:t>
            </w:r>
            <w:r w:rsidR="007A6739">
              <w:rPr>
                <w:rFonts w:cs="Times New Roman"/>
                <w:lang w:val="en-US"/>
              </w:rPr>
              <w:t xml:space="preserve"> applied at the item level</w:t>
            </w:r>
          </w:p>
        </w:tc>
        <w:tc>
          <w:tcPr>
            <w:tcW w:w="2842" w:type="dxa"/>
          </w:tcPr>
          <w:p w14:paraId="10B2C01D" w14:textId="77777777" w:rsidR="007A6739" w:rsidRPr="00216F60" w:rsidRDefault="007A6739" w:rsidP="00B070E9">
            <w:pPr>
              <w:spacing w:before="120" w:beforeAutospacing="0" w:after="0" w:afterAutospacing="0" w:line="240" w:lineRule="auto"/>
              <w:rPr>
                <w:rFonts w:cs="Times New Roman"/>
                <w:lang w:val="en-US"/>
              </w:rPr>
            </w:pPr>
            <w:r>
              <w:rPr>
                <w:rFonts w:cs="Times New Roman"/>
                <w:lang w:val="en-US"/>
              </w:rPr>
              <w:t xml:space="preserve">F. </w:t>
            </w:r>
            <w:r w:rsidRPr="00216F60">
              <w:rPr>
                <w:rFonts w:cs="Times New Roman"/>
                <w:lang w:val="en-US"/>
              </w:rPr>
              <w:t>Factor model with substantive factors and at least one method factor (although there could be several as in MTMM models)</w:t>
            </w:r>
          </w:p>
        </w:tc>
        <w:tc>
          <w:tcPr>
            <w:tcW w:w="2634" w:type="dxa"/>
          </w:tcPr>
          <w:p w14:paraId="3480C5B8" w14:textId="77777777" w:rsidR="007A6739" w:rsidRPr="00216F60" w:rsidRDefault="007A6739" w:rsidP="00B070E9">
            <w:pPr>
              <w:spacing w:before="120" w:beforeAutospacing="0" w:after="0" w:afterAutospacing="0" w:line="240" w:lineRule="auto"/>
              <w:rPr>
                <w:rFonts w:cs="Times New Roman"/>
                <w:lang w:val="en-US"/>
              </w:rPr>
            </w:pPr>
            <w:r>
              <w:rPr>
                <w:rFonts w:cs="Times New Roman"/>
                <w:lang w:val="en-US"/>
              </w:rPr>
              <w:t xml:space="preserve">G. </w:t>
            </w:r>
            <w:r w:rsidRPr="00216F60">
              <w:rPr>
                <w:rFonts w:cs="Times New Roman"/>
                <w:lang w:val="en-US"/>
              </w:rPr>
              <w:t>Factor model with substantive factors and correlated uniquenesses instead of method factors</w:t>
            </w:r>
          </w:p>
        </w:tc>
      </w:tr>
    </w:tbl>
    <w:p w14:paraId="3DDC62A2" w14:textId="77777777" w:rsidR="007A6739" w:rsidRPr="00216F60" w:rsidRDefault="007A6739" w:rsidP="00B070E9">
      <w:pPr>
        <w:spacing w:before="0" w:beforeAutospacing="0" w:after="0" w:afterAutospacing="0" w:line="240" w:lineRule="auto"/>
        <w:rPr>
          <w:rFonts w:cs="Times New Roman"/>
          <w:lang w:val="en-US"/>
        </w:rPr>
      </w:pPr>
    </w:p>
    <w:p w14:paraId="4AC0C721" w14:textId="77777777" w:rsidR="007A6739" w:rsidRDefault="007A6739" w:rsidP="00B070E9">
      <w:pPr>
        <w:spacing w:before="0" w:beforeAutospacing="0" w:after="0" w:afterAutospacing="0" w:line="240" w:lineRule="auto"/>
        <w:rPr>
          <w:rFonts w:cs="Times New Roman"/>
          <w:lang w:val="en-US"/>
        </w:rPr>
        <w:sectPr w:rsidR="007A6739" w:rsidSect="00B070E9">
          <w:headerReference w:type="default" r:id="rId9"/>
          <w:pgSz w:w="16838" w:h="11906" w:orient="landscape"/>
          <w:pgMar w:top="1417" w:right="1417" w:bottom="1417" w:left="1417" w:header="708" w:footer="708" w:gutter="0"/>
          <w:cols w:space="708"/>
          <w:docGrid w:linePitch="360"/>
        </w:sectPr>
      </w:pPr>
      <w:r w:rsidRPr="00216F60">
        <w:rPr>
          <w:rFonts w:cs="Times New Roman"/>
          <w:lang w:val="en-US"/>
        </w:rPr>
        <w:t xml:space="preserve"> </w:t>
      </w:r>
    </w:p>
    <w:p w14:paraId="60A41481" w14:textId="77777777" w:rsidR="007A6739" w:rsidRPr="00AE684C" w:rsidRDefault="007A6739" w:rsidP="00AE684C">
      <w:pPr>
        <w:spacing w:before="0" w:beforeAutospacing="0" w:after="0" w:afterAutospacing="0" w:line="240" w:lineRule="auto"/>
        <w:jc w:val="center"/>
        <w:rPr>
          <w:caps/>
          <w:lang w:val="en-US"/>
        </w:rPr>
      </w:pPr>
      <w:r w:rsidRPr="00AE684C">
        <w:rPr>
          <w:caps/>
          <w:lang w:val="en-US"/>
        </w:rPr>
        <w:lastRenderedPageBreak/>
        <w:t>Table 2. Dictionary used for the systematic review</w:t>
      </w:r>
    </w:p>
    <w:p w14:paraId="11B378B3" w14:textId="77777777" w:rsidR="007A6739" w:rsidRPr="00216F60" w:rsidRDefault="007A6739" w:rsidP="00B070E9">
      <w:pPr>
        <w:spacing w:before="0" w:beforeAutospacing="0" w:after="0" w:afterAutospacing="0" w:line="240" w:lineRule="auto"/>
        <w:rPr>
          <w:lang w:val="en-US"/>
        </w:rPr>
      </w:pPr>
    </w:p>
    <w:tbl>
      <w:tblPr>
        <w:tblStyle w:val="TableGrid"/>
        <w:tblW w:w="0" w:type="auto"/>
        <w:tblLook w:val="04A0" w:firstRow="1" w:lastRow="0" w:firstColumn="1" w:lastColumn="0" w:noHBand="0" w:noVBand="1"/>
      </w:tblPr>
      <w:tblGrid>
        <w:gridCol w:w="4531"/>
        <w:gridCol w:w="9324"/>
      </w:tblGrid>
      <w:tr w:rsidR="007A6739" w:rsidRPr="00216F60" w14:paraId="62802956" w14:textId="77777777" w:rsidTr="00B070E9">
        <w:tc>
          <w:tcPr>
            <w:tcW w:w="4531" w:type="dxa"/>
          </w:tcPr>
          <w:p w14:paraId="2D2A2AB8" w14:textId="77777777" w:rsidR="007A6739" w:rsidRPr="00216F60" w:rsidRDefault="007A6739" w:rsidP="00B070E9">
            <w:pPr>
              <w:rPr>
                <w:lang w:val="en-US"/>
              </w:rPr>
            </w:pPr>
            <w:r w:rsidRPr="00216F60">
              <w:rPr>
                <w:lang w:val="en-US"/>
              </w:rPr>
              <w:t>Concept</w:t>
            </w:r>
          </w:p>
        </w:tc>
        <w:tc>
          <w:tcPr>
            <w:tcW w:w="9324" w:type="dxa"/>
          </w:tcPr>
          <w:p w14:paraId="45B59774" w14:textId="77777777" w:rsidR="007A6739" w:rsidRPr="00216F60" w:rsidRDefault="007A6739" w:rsidP="00B070E9">
            <w:pPr>
              <w:rPr>
                <w:lang w:val="en-US"/>
              </w:rPr>
            </w:pPr>
            <w:r w:rsidRPr="00216F60">
              <w:rPr>
                <w:lang w:val="en-US"/>
              </w:rPr>
              <w:t>Search terms</w:t>
            </w:r>
          </w:p>
        </w:tc>
      </w:tr>
      <w:tr w:rsidR="007A6739" w:rsidRPr="004A2EFF" w14:paraId="318B882E" w14:textId="77777777" w:rsidTr="00B070E9">
        <w:tc>
          <w:tcPr>
            <w:tcW w:w="4531" w:type="dxa"/>
          </w:tcPr>
          <w:p w14:paraId="69BEAD2B" w14:textId="77777777" w:rsidR="007A6739" w:rsidRPr="00216F60" w:rsidRDefault="007A6739" w:rsidP="00CC051A">
            <w:pPr>
              <w:rPr>
                <w:lang w:val="en-US"/>
              </w:rPr>
            </w:pPr>
            <w:r w:rsidRPr="00216F60">
              <w:rPr>
                <w:lang w:val="en-US"/>
              </w:rPr>
              <w:t>SURVEY</w:t>
            </w:r>
          </w:p>
        </w:tc>
        <w:tc>
          <w:tcPr>
            <w:tcW w:w="9324" w:type="dxa"/>
          </w:tcPr>
          <w:p w14:paraId="53063E29" w14:textId="77777777" w:rsidR="007A6739" w:rsidRPr="00216F60" w:rsidRDefault="007A6739" w:rsidP="00B070E9">
            <w:pPr>
              <w:rPr>
                <w:lang w:val="en-US"/>
              </w:rPr>
            </w:pPr>
            <w:r>
              <w:rPr>
                <w:lang w:val="en-US"/>
              </w:rPr>
              <w:t>“</w:t>
            </w:r>
            <w:r w:rsidRPr="00216F60">
              <w:rPr>
                <w:lang w:val="en-US"/>
              </w:rPr>
              <w:t>SURVEY</w:t>
            </w:r>
            <w:r>
              <w:rPr>
                <w:lang w:val="en-US"/>
              </w:rPr>
              <w:t>”</w:t>
            </w:r>
            <w:r w:rsidRPr="00216F60">
              <w:rPr>
                <w:lang w:val="en-US"/>
              </w:rPr>
              <w:t xml:space="preserve">, </w:t>
            </w:r>
            <w:r>
              <w:rPr>
                <w:lang w:val="en-US"/>
              </w:rPr>
              <w:t>“</w:t>
            </w:r>
            <w:r w:rsidRPr="00216F60">
              <w:rPr>
                <w:lang w:val="en-US"/>
              </w:rPr>
              <w:t>QUESTIONNAIRE</w:t>
            </w:r>
            <w:r>
              <w:rPr>
                <w:lang w:val="en-US"/>
              </w:rPr>
              <w:t>”</w:t>
            </w:r>
            <w:r w:rsidRPr="00216F60">
              <w:rPr>
                <w:lang w:val="en-US"/>
              </w:rPr>
              <w:t xml:space="preserve">, </w:t>
            </w:r>
            <w:r>
              <w:rPr>
                <w:lang w:val="en-US"/>
              </w:rPr>
              <w:t>“</w:t>
            </w:r>
            <w:r w:rsidRPr="00216F60">
              <w:rPr>
                <w:lang w:val="en-US"/>
              </w:rPr>
              <w:t>SELF_REPORT</w:t>
            </w:r>
            <w:r>
              <w:rPr>
                <w:lang w:val="en-US"/>
              </w:rPr>
              <w:t>”</w:t>
            </w:r>
            <w:r w:rsidRPr="00216F60">
              <w:rPr>
                <w:lang w:val="en-US"/>
              </w:rPr>
              <w:t xml:space="preserve">, </w:t>
            </w:r>
            <w:r>
              <w:rPr>
                <w:lang w:val="en-US"/>
              </w:rPr>
              <w:t>“</w:t>
            </w:r>
            <w:r w:rsidRPr="00216F60">
              <w:rPr>
                <w:lang w:val="en-US"/>
              </w:rPr>
              <w:t>LIKERT</w:t>
            </w:r>
            <w:r>
              <w:rPr>
                <w:lang w:val="en-US"/>
              </w:rPr>
              <w:t>”</w:t>
            </w:r>
          </w:p>
        </w:tc>
      </w:tr>
      <w:tr w:rsidR="007A6739" w:rsidRPr="004A2EFF" w14:paraId="1C441C9A" w14:textId="77777777" w:rsidTr="00B070E9">
        <w:tc>
          <w:tcPr>
            <w:tcW w:w="4531" w:type="dxa"/>
          </w:tcPr>
          <w:p w14:paraId="50F42C05" w14:textId="77777777" w:rsidR="007A6739" w:rsidRPr="00216F60" w:rsidRDefault="007A6739" w:rsidP="00B070E9">
            <w:pPr>
              <w:rPr>
                <w:lang w:val="en-US"/>
              </w:rPr>
            </w:pPr>
            <w:r w:rsidRPr="00216F60">
              <w:rPr>
                <w:lang w:val="en-US"/>
              </w:rPr>
              <w:t>CMV</w:t>
            </w:r>
          </w:p>
        </w:tc>
        <w:tc>
          <w:tcPr>
            <w:tcW w:w="9324" w:type="dxa"/>
          </w:tcPr>
          <w:p w14:paraId="42499774" w14:textId="77777777" w:rsidR="007A6739" w:rsidRPr="00216F60" w:rsidRDefault="007A6739" w:rsidP="00B070E9">
            <w:pPr>
              <w:rPr>
                <w:lang w:val="en-US"/>
              </w:rPr>
            </w:pPr>
            <w:r>
              <w:rPr>
                <w:lang w:val="en-US"/>
              </w:rPr>
              <w:t>“</w:t>
            </w:r>
            <w:r w:rsidRPr="00216F60">
              <w:rPr>
                <w:lang w:val="en-US"/>
              </w:rPr>
              <w:t>COMMON_METHOD</w:t>
            </w:r>
            <w:r>
              <w:rPr>
                <w:lang w:val="en-US"/>
              </w:rPr>
              <w:t>”</w:t>
            </w:r>
            <w:r w:rsidRPr="00216F60">
              <w:rPr>
                <w:lang w:val="en-US"/>
              </w:rPr>
              <w:t xml:space="preserve">, </w:t>
            </w:r>
            <w:r>
              <w:rPr>
                <w:lang w:val="en-US"/>
              </w:rPr>
              <w:t>“</w:t>
            </w:r>
            <w:r w:rsidRPr="00216F60">
              <w:rPr>
                <w:lang w:val="en-US"/>
              </w:rPr>
              <w:t>METHOD_VARIANCE</w:t>
            </w:r>
            <w:r>
              <w:rPr>
                <w:lang w:val="en-US"/>
              </w:rPr>
              <w:t>”</w:t>
            </w:r>
            <w:r w:rsidRPr="00216F60">
              <w:rPr>
                <w:lang w:val="en-US"/>
              </w:rPr>
              <w:t xml:space="preserve">, </w:t>
            </w:r>
            <w:r>
              <w:rPr>
                <w:lang w:val="en-US"/>
              </w:rPr>
              <w:t>“</w:t>
            </w:r>
            <w:r w:rsidRPr="00216F60">
              <w:rPr>
                <w:lang w:val="en-US"/>
              </w:rPr>
              <w:t>METHOD_BIAS</w:t>
            </w:r>
            <w:r>
              <w:rPr>
                <w:lang w:val="en-US"/>
              </w:rPr>
              <w:t>”</w:t>
            </w:r>
            <w:r w:rsidRPr="00216F60">
              <w:rPr>
                <w:lang w:val="en-US"/>
              </w:rPr>
              <w:t xml:space="preserve">, </w:t>
            </w:r>
            <w:r>
              <w:rPr>
                <w:lang w:val="en-US"/>
              </w:rPr>
              <w:t>“</w:t>
            </w:r>
            <w:r w:rsidRPr="00216F60">
              <w:rPr>
                <w:lang w:val="en-US"/>
              </w:rPr>
              <w:t>CMV</w:t>
            </w:r>
            <w:r>
              <w:rPr>
                <w:lang w:val="en-US"/>
              </w:rPr>
              <w:t>”</w:t>
            </w:r>
          </w:p>
        </w:tc>
      </w:tr>
      <w:tr w:rsidR="007A6739" w:rsidRPr="004A2EFF" w14:paraId="41B245B6" w14:textId="77777777" w:rsidTr="00B070E9">
        <w:tc>
          <w:tcPr>
            <w:tcW w:w="4531" w:type="dxa"/>
          </w:tcPr>
          <w:p w14:paraId="7C0A0327" w14:textId="77777777" w:rsidR="007A6739" w:rsidRPr="00216F60" w:rsidRDefault="007A6739" w:rsidP="00B070E9">
            <w:pPr>
              <w:rPr>
                <w:lang w:val="en-US"/>
              </w:rPr>
            </w:pPr>
            <w:r w:rsidRPr="00216F60">
              <w:rPr>
                <w:lang w:val="en-US"/>
              </w:rPr>
              <w:t>HARMAN</w:t>
            </w:r>
          </w:p>
        </w:tc>
        <w:tc>
          <w:tcPr>
            <w:tcW w:w="9324" w:type="dxa"/>
          </w:tcPr>
          <w:p w14:paraId="2727ECC0" w14:textId="77777777" w:rsidR="007A6739" w:rsidRPr="00216F60" w:rsidRDefault="007A6739" w:rsidP="00B070E9">
            <w:pPr>
              <w:rPr>
                <w:lang w:val="en-US"/>
              </w:rPr>
            </w:pPr>
            <w:r>
              <w:rPr>
                <w:lang w:val="en-US"/>
              </w:rPr>
              <w:t>“</w:t>
            </w:r>
            <w:r w:rsidRPr="00216F60">
              <w:rPr>
                <w:lang w:val="en-US"/>
              </w:rPr>
              <w:t>HARMAN</w:t>
            </w:r>
            <w:r>
              <w:rPr>
                <w:lang w:val="en-US"/>
              </w:rPr>
              <w:t>”</w:t>
            </w:r>
            <w:r w:rsidRPr="00216F60">
              <w:rPr>
                <w:lang w:val="en-US"/>
              </w:rPr>
              <w:t>,</w:t>
            </w:r>
            <w:r>
              <w:rPr>
                <w:lang w:val="en-US"/>
              </w:rPr>
              <w:t xml:space="preserve"> “</w:t>
            </w:r>
            <w:r w:rsidRPr="00216F60">
              <w:rPr>
                <w:lang w:val="en-US"/>
              </w:rPr>
              <w:t>HARMON</w:t>
            </w:r>
            <w:r>
              <w:rPr>
                <w:lang w:val="en-US"/>
              </w:rPr>
              <w:t>”</w:t>
            </w:r>
            <w:r w:rsidRPr="00216F60">
              <w:rPr>
                <w:lang w:val="en-US"/>
              </w:rPr>
              <w:t>,</w:t>
            </w:r>
            <w:r>
              <w:rPr>
                <w:lang w:val="en-US"/>
              </w:rPr>
              <w:t xml:space="preserve"> “</w:t>
            </w:r>
            <w:r w:rsidRPr="00216F60">
              <w:rPr>
                <w:lang w:val="en-US"/>
              </w:rPr>
              <w:t>HARMAN*</w:t>
            </w:r>
            <w:r>
              <w:rPr>
                <w:lang w:val="en-US"/>
              </w:rPr>
              <w:t>”</w:t>
            </w:r>
            <w:r w:rsidRPr="00216F60">
              <w:rPr>
                <w:lang w:val="en-US"/>
              </w:rPr>
              <w:t>,</w:t>
            </w:r>
            <w:r>
              <w:rPr>
                <w:lang w:val="en-US"/>
              </w:rPr>
              <w:t xml:space="preserve"> “</w:t>
            </w:r>
            <w:r w:rsidRPr="00216F60">
              <w:rPr>
                <w:lang w:val="en-US"/>
              </w:rPr>
              <w:t>SINGLE_FACTOR_TEST</w:t>
            </w:r>
            <w:r>
              <w:rPr>
                <w:lang w:val="en-US"/>
              </w:rPr>
              <w:t>”</w:t>
            </w:r>
          </w:p>
        </w:tc>
      </w:tr>
      <w:tr w:rsidR="007A6739" w:rsidRPr="004A2EFF" w14:paraId="44A0826B" w14:textId="77777777" w:rsidTr="00B070E9">
        <w:tc>
          <w:tcPr>
            <w:tcW w:w="4531" w:type="dxa"/>
          </w:tcPr>
          <w:p w14:paraId="6F29274A" w14:textId="77777777" w:rsidR="007A6739" w:rsidRPr="00457285" w:rsidRDefault="007A6739" w:rsidP="00B070E9">
            <w:pPr>
              <w:rPr>
                <w:caps/>
                <w:lang w:val="en-US"/>
              </w:rPr>
            </w:pPr>
            <w:r w:rsidRPr="00457285">
              <w:rPr>
                <w:caps/>
                <w:lang w:val="en-US"/>
              </w:rPr>
              <w:t>Partial Correlation</w:t>
            </w:r>
          </w:p>
        </w:tc>
        <w:tc>
          <w:tcPr>
            <w:tcW w:w="9324" w:type="dxa"/>
          </w:tcPr>
          <w:p w14:paraId="18D5295D" w14:textId="77777777" w:rsidR="007A6739" w:rsidRDefault="007A6739" w:rsidP="00B070E9">
            <w:pPr>
              <w:rPr>
                <w:lang w:val="en-US"/>
              </w:rPr>
            </w:pPr>
            <w:r>
              <w:rPr>
                <w:lang w:val="en-US"/>
              </w:rPr>
              <w:t>“</w:t>
            </w:r>
            <w:r w:rsidRPr="00216F60">
              <w:rPr>
                <w:lang w:val="en-US"/>
              </w:rPr>
              <w:t>LINDELL</w:t>
            </w:r>
            <w:r>
              <w:rPr>
                <w:lang w:val="en-US"/>
              </w:rPr>
              <w:t>”</w:t>
            </w:r>
            <w:r w:rsidRPr="00216F60">
              <w:rPr>
                <w:lang w:val="en-US"/>
              </w:rPr>
              <w:t xml:space="preserve">, </w:t>
            </w:r>
            <w:r>
              <w:rPr>
                <w:lang w:val="en-US"/>
              </w:rPr>
              <w:t>“</w:t>
            </w:r>
            <w:r w:rsidRPr="00216F60">
              <w:rPr>
                <w:lang w:val="en-US"/>
              </w:rPr>
              <w:t>MARKER</w:t>
            </w:r>
            <w:r>
              <w:rPr>
                <w:lang w:val="en-US"/>
              </w:rPr>
              <w:t>”</w:t>
            </w:r>
            <w:r w:rsidRPr="00216F60">
              <w:rPr>
                <w:lang w:val="en-US"/>
              </w:rPr>
              <w:t xml:space="preserve">, </w:t>
            </w:r>
            <w:r>
              <w:rPr>
                <w:lang w:val="en-US"/>
              </w:rPr>
              <w:t>“</w:t>
            </w:r>
            <w:r w:rsidRPr="00216F60">
              <w:rPr>
                <w:lang w:val="en-US"/>
              </w:rPr>
              <w:t>LINDELL_AND_WHITNEY</w:t>
            </w:r>
            <w:r>
              <w:rPr>
                <w:lang w:val="en-US"/>
              </w:rPr>
              <w:t>”</w:t>
            </w:r>
            <w:r w:rsidRPr="00216F60">
              <w:rPr>
                <w:lang w:val="en-US"/>
              </w:rPr>
              <w:t xml:space="preserve">, </w:t>
            </w:r>
            <w:r>
              <w:rPr>
                <w:lang w:val="en-US"/>
              </w:rPr>
              <w:t>“</w:t>
            </w:r>
            <w:r w:rsidRPr="00216F60">
              <w:rPr>
                <w:lang w:val="en-US"/>
              </w:rPr>
              <w:t>MARKER_VARIABLE</w:t>
            </w:r>
            <w:r>
              <w:rPr>
                <w:lang w:val="en-US"/>
              </w:rPr>
              <w:t>”</w:t>
            </w:r>
            <w:r w:rsidRPr="00216F60">
              <w:rPr>
                <w:lang w:val="en-US"/>
              </w:rPr>
              <w:t xml:space="preserve">, </w:t>
            </w:r>
            <w:r>
              <w:rPr>
                <w:lang w:val="en-US"/>
              </w:rPr>
              <w:t>“</w:t>
            </w:r>
            <w:r w:rsidRPr="00216F60">
              <w:rPr>
                <w:lang w:val="en-US"/>
              </w:rPr>
              <w:t>MARKER_INDICATOR</w:t>
            </w:r>
            <w:r>
              <w:rPr>
                <w:lang w:val="en-US"/>
              </w:rPr>
              <w:t>”</w:t>
            </w:r>
            <w:r w:rsidRPr="00216F60">
              <w:rPr>
                <w:lang w:val="en-US"/>
              </w:rPr>
              <w:t xml:space="preserve">, </w:t>
            </w:r>
            <w:r>
              <w:rPr>
                <w:lang w:val="en-US"/>
              </w:rPr>
              <w:t>“</w:t>
            </w:r>
            <w:r w:rsidRPr="00216F60">
              <w:rPr>
                <w:lang w:val="en-US"/>
              </w:rPr>
              <w:t>PARTIAL_CORRELATION_TECHNIQUE</w:t>
            </w:r>
            <w:r>
              <w:rPr>
                <w:lang w:val="en-US"/>
              </w:rPr>
              <w:t>”</w:t>
            </w:r>
            <w:r w:rsidRPr="00216F60">
              <w:rPr>
                <w:lang w:val="en-US"/>
              </w:rPr>
              <w:t xml:space="preserve">, </w:t>
            </w:r>
            <w:r>
              <w:rPr>
                <w:lang w:val="en-US"/>
              </w:rPr>
              <w:t>“</w:t>
            </w:r>
            <w:r w:rsidRPr="00216F60">
              <w:rPr>
                <w:lang w:val="en-US"/>
              </w:rPr>
              <w:t>PARTIAL_CORRELATION_PROCEDURE</w:t>
            </w:r>
            <w:r>
              <w:rPr>
                <w:lang w:val="en-US"/>
              </w:rPr>
              <w:t>”</w:t>
            </w:r>
          </w:p>
        </w:tc>
      </w:tr>
      <w:tr w:rsidR="007A6739" w:rsidRPr="004A2EFF" w14:paraId="09BCCD19" w14:textId="77777777" w:rsidTr="00B070E9">
        <w:tc>
          <w:tcPr>
            <w:tcW w:w="4531" w:type="dxa"/>
          </w:tcPr>
          <w:p w14:paraId="5CB80E19" w14:textId="77777777" w:rsidR="007A6739" w:rsidRPr="00216F60" w:rsidRDefault="007A6739" w:rsidP="00B070E9">
            <w:pPr>
              <w:rPr>
                <w:lang w:val="en-US"/>
              </w:rPr>
            </w:pPr>
            <w:r w:rsidRPr="00216F60">
              <w:rPr>
                <w:lang w:val="en-US"/>
              </w:rPr>
              <w:t>METHOD FACTOR</w:t>
            </w:r>
          </w:p>
        </w:tc>
        <w:tc>
          <w:tcPr>
            <w:tcW w:w="9324" w:type="dxa"/>
          </w:tcPr>
          <w:p w14:paraId="1C01BD03" w14:textId="77777777" w:rsidR="007A6739" w:rsidRPr="00216F60" w:rsidRDefault="007A6739" w:rsidP="00B070E9">
            <w:pPr>
              <w:rPr>
                <w:caps/>
                <w:lang w:val="en-US"/>
              </w:rPr>
            </w:pPr>
            <w:r>
              <w:rPr>
                <w:caps/>
                <w:lang w:val="en-US"/>
              </w:rPr>
              <w:t>“</w:t>
            </w:r>
            <w:r w:rsidRPr="00216F60">
              <w:rPr>
                <w:caps/>
                <w:lang w:val="en-US"/>
              </w:rPr>
              <w:t>method factor</w:t>
            </w:r>
            <w:r>
              <w:rPr>
                <w:caps/>
                <w:lang w:val="en-US"/>
              </w:rPr>
              <w:t>”</w:t>
            </w:r>
            <w:r w:rsidRPr="00216F60">
              <w:rPr>
                <w:caps/>
                <w:lang w:val="en-US"/>
              </w:rPr>
              <w:t xml:space="preserve">, </w:t>
            </w:r>
            <w:r>
              <w:rPr>
                <w:caps/>
                <w:lang w:val="en-US"/>
              </w:rPr>
              <w:t>“</w:t>
            </w:r>
            <w:r w:rsidRPr="00216F60">
              <w:rPr>
                <w:caps/>
                <w:lang w:val="en-US"/>
              </w:rPr>
              <w:t>method</w:t>
            </w:r>
            <w:r>
              <w:rPr>
                <w:caps/>
                <w:lang w:val="en-US"/>
              </w:rPr>
              <w:t>_</w:t>
            </w:r>
            <w:r w:rsidRPr="00216F60">
              <w:rPr>
                <w:caps/>
                <w:lang w:val="en-US"/>
              </w:rPr>
              <w:t>factor</w:t>
            </w:r>
            <w:r>
              <w:rPr>
                <w:caps/>
                <w:lang w:val="en-US"/>
              </w:rPr>
              <w:t>”</w:t>
            </w:r>
            <w:r w:rsidRPr="00216F60">
              <w:rPr>
                <w:caps/>
                <w:lang w:val="en-US"/>
              </w:rPr>
              <w:t xml:space="preserve">, </w:t>
            </w:r>
            <w:r>
              <w:rPr>
                <w:caps/>
                <w:lang w:val="en-US"/>
              </w:rPr>
              <w:t>“</w:t>
            </w:r>
            <w:r w:rsidRPr="00216F60">
              <w:rPr>
                <w:caps/>
                <w:lang w:val="en-US"/>
              </w:rPr>
              <w:t>common</w:t>
            </w:r>
            <w:r>
              <w:rPr>
                <w:caps/>
                <w:lang w:val="en-US"/>
              </w:rPr>
              <w:t>_</w:t>
            </w:r>
            <w:r w:rsidRPr="00216F60">
              <w:rPr>
                <w:caps/>
                <w:lang w:val="en-US"/>
              </w:rPr>
              <w:t>latent</w:t>
            </w:r>
            <w:r>
              <w:rPr>
                <w:caps/>
                <w:lang w:val="en-US"/>
              </w:rPr>
              <w:t>_</w:t>
            </w:r>
            <w:r w:rsidRPr="00216F60">
              <w:rPr>
                <w:caps/>
                <w:lang w:val="en-US"/>
              </w:rPr>
              <w:t>factor</w:t>
            </w:r>
            <w:r>
              <w:rPr>
                <w:caps/>
                <w:lang w:val="en-US"/>
              </w:rPr>
              <w:t>”</w:t>
            </w:r>
            <w:r w:rsidRPr="00216F60">
              <w:rPr>
                <w:caps/>
                <w:lang w:val="en-US"/>
              </w:rPr>
              <w:t>, "unmeasured</w:t>
            </w:r>
            <w:r>
              <w:rPr>
                <w:caps/>
                <w:lang w:val="en-US"/>
              </w:rPr>
              <w:t>_</w:t>
            </w:r>
            <w:r w:rsidRPr="00216F60">
              <w:rPr>
                <w:caps/>
                <w:lang w:val="en-US"/>
              </w:rPr>
              <w:t>latent</w:t>
            </w:r>
            <w:r>
              <w:rPr>
                <w:caps/>
                <w:lang w:val="en-US"/>
              </w:rPr>
              <w:t>”</w:t>
            </w:r>
          </w:p>
        </w:tc>
      </w:tr>
    </w:tbl>
    <w:p w14:paraId="2B14E39E" w14:textId="77777777" w:rsidR="007A6739" w:rsidRPr="00216F60" w:rsidRDefault="007A6739" w:rsidP="00BD4F7A">
      <w:pPr>
        <w:rPr>
          <w:lang w:val="en-US"/>
        </w:rPr>
      </w:pPr>
    </w:p>
    <w:p w14:paraId="5B6CEC54" w14:textId="77777777" w:rsidR="007A6739" w:rsidRDefault="007A6739" w:rsidP="00B070E9">
      <w:pPr>
        <w:spacing w:before="0" w:beforeAutospacing="0" w:after="160" w:afterAutospacing="0" w:line="259" w:lineRule="auto"/>
        <w:rPr>
          <w:lang w:val="en-US"/>
        </w:rPr>
        <w:sectPr w:rsidR="007A6739" w:rsidSect="00B070E9">
          <w:pgSz w:w="16838" w:h="11906" w:orient="landscape"/>
          <w:pgMar w:top="1417" w:right="1417" w:bottom="1417" w:left="1417" w:header="708" w:footer="708" w:gutter="0"/>
          <w:cols w:space="708"/>
          <w:docGrid w:linePitch="360"/>
        </w:sectPr>
      </w:pPr>
      <w:r w:rsidRPr="00216F60">
        <w:rPr>
          <w:lang w:val="en-US"/>
        </w:rPr>
        <w:br w:type="page"/>
      </w:r>
    </w:p>
    <w:p w14:paraId="7CB33ABD" w14:textId="77777777" w:rsidR="007A6739" w:rsidRPr="00AE684C" w:rsidRDefault="007A6739" w:rsidP="00AE684C">
      <w:pPr>
        <w:spacing w:before="0" w:beforeAutospacing="0" w:after="160" w:afterAutospacing="0" w:line="259" w:lineRule="auto"/>
        <w:jc w:val="center"/>
        <w:rPr>
          <w:caps/>
          <w:lang w:val="en-US"/>
        </w:rPr>
      </w:pPr>
      <w:r w:rsidRPr="00AE684C">
        <w:rPr>
          <w:caps/>
          <w:lang w:val="en-US"/>
        </w:rPr>
        <w:lastRenderedPageBreak/>
        <w:t xml:space="preserve">Table 3. Contingency table of observed </w:t>
      </w:r>
      <w:r w:rsidRPr="00AE684C">
        <w:rPr>
          <w:i/>
          <w:iCs/>
          <w:caps/>
          <w:lang w:val="en-US"/>
        </w:rPr>
        <w:t>post hoc</w:t>
      </w:r>
      <w:r w:rsidRPr="00AE684C">
        <w:rPr>
          <w:caps/>
          <w:lang w:val="en-US"/>
        </w:rPr>
        <w:t xml:space="preserve"> CMV techniques in Study 1</w:t>
      </w:r>
    </w:p>
    <w:p w14:paraId="02E157E7" w14:textId="77777777" w:rsidR="007A6739" w:rsidRPr="005462C5" w:rsidRDefault="007A6739">
      <w:pPr>
        <w:spacing w:before="0" w:beforeAutospacing="0" w:after="160" w:afterAutospacing="0" w:line="259" w:lineRule="auto"/>
        <w:rPr>
          <w:rFonts w:cs="Times New Roman"/>
          <w:lang w:val="en-US"/>
        </w:rPr>
      </w:pPr>
    </w:p>
    <w:tbl>
      <w:tblPr>
        <w:tblW w:w="5000" w:type="pct"/>
        <w:tblCellMar>
          <w:left w:w="0" w:type="dxa"/>
          <w:right w:w="0" w:type="dxa"/>
        </w:tblCellMar>
        <w:tblLook w:val="04A0" w:firstRow="1" w:lastRow="0" w:firstColumn="1" w:lastColumn="0" w:noHBand="0" w:noVBand="1"/>
      </w:tblPr>
      <w:tblGrid>
        <w:gridCol w:w="9389"/>
        <w:gridCol w:w="770"/>
        <w:gridCol w:w="770"/>
        <w:gridCol w:w="770"/>
        <w:gridCol w:w="770"/>
        <w:gridCol w:w="770"/>
        <w:gridCol w:w="765"/>
      </w:tblGrid>
      <w:tr w:rsidR="007A6739" w:rsidRPr="005462C5" w14:paraId="0D41CA72" w14:textId="77777777" w:rsidTr="00B070E9">
        <w:trPr>
          <w:trHeight w:val="288"/>
        </w:trPr>
        <w:tc>
          <w:tcPr>
            <w:tcW w:w="3352"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9F5FA7C" w14:textId="77777777" w:rsidR="007A6739" w:rsidRPr="005462C5" w:rsidRDefault="007A6739">
            <w:pPr>
              <w:spacing w:before="0" w:beforeAutospacing="0" w:after="0" w:afterAutospacing="0" w:line="240" w:lineRule="auto"/>
              <w:rPr>
                <w:rFonts w:cs="Times New Roman"/>
                <w:sz w:val="20"/>
                <w:lang w:val="en-US"/>
              </w:rPr>
            </w:pPr>
          </w:p>
        </w:tc>
        <w:tc>
          <w:tcPr>
            <w:tcW w:w="27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C97180E" w14:textId="77777777" w:rsidR="007A6739" w:rsidRPr="005462C5" w:rsidRDefault="007A6739">
            <w:pPr>
              <w:jc w:val="right"/>
              <w:rPr>
                <w:rFonts w:cs="Times New Roman"/>
                <w:color w:val="000000"/>
                <w:sz w:val="22"/>
              </w:rPr>
            </w:pPr>
            <w:r w:rsidRPr="005462C5">
              <w:rPr>
                <w:rFonts w:cs="Times New Roman"/>
                <w:color w:val="000000"/>
                <w:sz w:val="22"/>
              </w:rPr>
              <w:t>1</w:t>
            </w:r>
          </w:p>
        </w:tc>
        <w:tc>
          <w:tcPr>
            <w:tcW w:w="27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B8293A0" w14:textId="77777777" w:rsidR="007A6739" w:rsidRPr="005462C5" w:rsidRDefault="007A6739">
            <w:pPr>
              <w:jc w:val="right"/>
              <w:rPr>
                <w:rFonts w:cs="Times New Roman"/>
                <w:color w:val="000000"/>
                <w:sz w:val="22"/>
              </w:rPr>
            </w:pPr>
            <w:r w:rsidRPr="005462C5">
              <w:rPr>
                <w:rFonts w:cs="Times New Roman"/>
                <w:color w:val="000000"/>
                <w:sz w:val="22"/>
              </w:rPr>
              <w:t>2</w:t>
            </w:r>
          </w:p>
        </w:tc>
        <w:tc>
          <w:tcPr>
            <w:tcW w:w="27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B661FFD" w14:textId="77777777" w:rsidR="007A6739" w:rsidRPr="005462C5" w:rsidRDefault="007A6739">
            <w:pPr>
              <w:jc w:val="right"/>
              <w:rPr>
                <w:rFonts w:cs="Times New Roman"/>
                <w:color w:val="000000"/>
                <w:sz w:val="22"/>
              </w:rPr>
            </w:pPr>
            <w:r w:rsidRPr="005462C5">
              <w:rPr>
                <w:rFonts w:cs="Times New Roman"/>
                <w:color w:val="000000"/>
                <w:sz w:val="22"/>
              </w:rPr>
              <w:t>3</w:t>
            </w:r>
          </w:p>
        </w:tc>
        <w:tc>
          <w:tcPr>
            <w:tcW w:w="27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7E615F6" w14:textId="77777777" w:rsidR="007A6739" w:rsidRPr="005462C5" w:rsidRDefault="007A6739">
            <w:pPr>
              <w:jc w:val="right"/>
              <w:rPr>
                <w:rFonts w:cs="Times New Roman"/>
                <w:color w:val="000000"/>
                <w:sz w:val="22"/>
              </w:rPr>
            </w:pPr>
            <w:r w:rsidRPr="005462C5">
              <w:rPr>
                <w:rFonts w:cs="Times New Roman"/>
                <w:color w:val="000000"/>
                <w:sz w:val="22"/>
              </w:rPr>
              <w:t>4</w:t>
            </w:r>
          </w:p>
        </w:tc>
        <w:tc>
          <w:tcPr>
            <w:tcW w:w="27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0E54B51" w14:textId="77777777" w:rsidR="007A6739" w:rsidRPr="005462C5" w:rsidRDefault="007A6739">
            <w:pPr>
              <w:jc w:val="right"/>
              <w:rPr>
                <w:rFonts w:cs="Times New Roman"/>
                <w:color w:val="000000"/>
                <w:sz w:val="22"/>
              </w:rPr>
            </w:pPr>
            <w:r w:rsidRPr="005462C5">
              <w:rPr>
                <w:rFonts w:cs="Times New Roman"/>
                <w:color w:val="000000"/>
                <w:sz w:val="22"/>
              </w:rPr>
              <w:t>5</w:t>
            </w:r>
          </w:p>
        </w:tc>
        <w:tc>
          <w:tcPr>
            <w:tcW w:w="27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787512C" w14:textId="77777777" w:rsidR="007A6739" w:rsidRPr="005462C5" w:rsidRDefault="007A6739">
            <w:pPr>
              <w:jc w:val="right"/>
              <w:rPr>
                <w:rFonts w:cs="Times New Roman"/>
                <w:color w:val="000000"/>
                <w:sz w:val="22"/>
              </w:rPr>
            </w:pPr>
            <w:r w:rsidRPr="005462C5">
              <w:rPr>
                <w:rFonts w:cs="Times New Roman"/>
                <w:color w:val="000000"/>
                <w:sz w:val="22"/>
              </w:rPr>
              <w:t>6</w:t>
            </w:r>
          </w:p>
        </w:tc>
      </w:tr>
      <w:tr w:rsidR="007A6739" w:rsidRPr="005462C5" w14:paraId="56AD99E5" w14:textId="77777777" w:rsidTr="00B070E9">
        <w:trPr>
          <w:trHeight w:val="288"/>
        </w:trPr>
        <w:tc>
          <w:tcPr>
            <w:tcW w:w="335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0003981" w14:textId="77777777" w:rsidR="007A6739" w:rsidRPr="005462C5" w:rsidRDefault="007A6739" w:rsidP="00CC051A">
            <w:pPr>
              <w:rPr>
                <w:rFonts w:cs="Times New Roman"/>
                <w:color w:val="000000"/>
                <w:sz w:val="22"/>
              </w:rPr>
            </w:pPr>
            <w:r w:rsidRPr="005462C5">
              <w:rPr>
                <w:rFonts w:cs="Times New Roman"/>
                <w:color w:val="000000"/>
                <w:sz w:val="22"/>
              </w:rPr>
              <w:t>1. Harman one-factor test</w:t>
            </w:r>
          </w:p>
        </w:tc>
        <w:tc>
          <w:tcPr>
            <w:tcW w:w="275"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3AAC549" w14:textId="77777777" w:rsidR="007A6739" w:rsidRPr="005462C5" w:rsidRDefault="007A6739">
            <w:pPr>
              <w:jc w:val="right"/>
              <w:rPr>
                <w:rFonts w:cs="Times New Roman"/>
                <w:b/>
                <w:bCs/>
                <w:color w:val="000000"/>
                <w:sz w:val="22"/>
              </w:rPr>
            </w:pPr>
            <w:r w:rsidRPr="005462C5">
              <w:rPr>
                <w:rFonts w:cs="Times New Roman"/>
                <w:b/>
                <w:bCs/>
                <w:color w:val="000000"/>
                <w:sz w:val="22"/>
              </w:rPr>
              <w:t>23</w:t>
            </w:r>
          </w:p>
        </w:tc>
        <w:tc>
          <w:tcPr>
            <w:tcW w:w="275"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95F3692" w14:textId="77777777" w:rsidR="007A6739" w:rsidRPr="005462C5" w:rsidRDefault="007A6739">
            <w:pPr>
              <w:jc w:val="right"/>
              <w:rPr>
                <w:rFonts w:cs="Times New Roman"/>
                <w:color w:val="000000"/>
                <w:sz w:val="22"/>
              </w:rPr>
            </w:pPr>
            <w:r w:rsidRPr="005462C5">
              <w:rPr>
                <w:rFonts w:cs="Times New Roman"/>
                <w:color w:val="000000"/>
                <w:sz w:val="22"/>
              </w:rPr>
              <w:t>0</w:t>
            </w:r>
          </w:p>
        </w:tc>
        <w:tc>
          <w:tcPr>
            <w:tcW w:w="275"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4BD4997" w14:textId="77777777" w:rsidR="007A6739" w:rsidRPr="005462C5" w:rsidRDefault="007A6739">
            <w:pPr>
              <w:jc w:val="right"/>
              <w:rPr>
                <w:rFonts w:cs="Times New Roman"/>
                <w:color w:val="000000"/>
                <w:sz w:val="22"/>
              </w:rPr>
            </w:pPr>
            <w:r w:rsidRPr="005462C5">
              <w:rPr>
                <w:rFonts w:cs="Times New Roman"/>
                <w:color w:val="000000"/>
                <w:sz w:val="22"/>
              </w:rPr>
              <w:t>2</w:t>
            </w:r>
          </w:p>
        </w:tc>
        <w:tc>
          <w:tcPr>
            <w:tcW w:w="275"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CBD1BCC" w14:textId="77777777" w:rsidR="007A6739" w:rsidRPr="005462C5" w:rsidRDefault="007A6739">
            <w:pPr>
              <w:jc w:val="right"/>
              <w:rPr>
                <w:rFonts w:cs="Times New Roman"/>
                <w:color w:val="000000"/>
                <w:sz w:val="22"/>
              </w:rPr>
            </w:pPr>
            <w:r w:rsidRPr="005462C5">
              <w:rPr>
                <w:rFonts w:cs="Times New Roman"/>
                <w:color w:val="000000"/>
                <w:sz w:val="22"/>
              </w:rPr>
              <w:t>12</w:t>
            </w:r>
          </w:p>
        </w:tc>
        <w:tc>
          <w:tcPr>
            <w:tcW w:w="275"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DE010FE" w14:textId="77777777" w:rsidR="007A6739" w:rsidRPr="005462C5" w:rsidRDefault="007A6739">
            <w:pPr>
              <w:jc w:val="right"/>
              <w:rPr>
                <w:rFonts w:cs="Times New Roman"/>
                <w:color w:val="000000"/>
                <w:sz w:val="22"/>
              </w:rPr>
            </w:pPr>
            <w:r w:rsidRPr="005462C5">
              <w:rPr>
                <w:rFonts w:cs="Times New Roman"/>
                <w:color w:val="000000"/>
                <w:sz w:val="22"/>
              </w:rPr>
              <w:t>1</w:t>
            </w:r>
          </w:p>
        </w:tc>
        <w:tc>
          <w:tcPr>
            <w:tcW w:w="275"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7F8965F" w14:textId="77777777" w:rsidR="007A6739" w:rsidRPr="005462C5" w:rsidRDefault="007A6739">
            <w:pPr>
              <w:jc w:val="right"/>
              <w:rPr>
                <w:rFonts w:cs="Times New Roman"/>
                <w:color w:val="000000"/>
                <w:sz w:val="22"/>
              </w:rPr>
            </w:pPr>
            <w:r w:rsidRPr="005462C5">
              <w:rPr>
                <w:rFonts w:cs="Times New Roman"/>
                <w:color w:val="000000"/>
                <w:sz w:val="22"/>
              </w:rPr>
              <w:t>6</w:t>
            </w:r>
          </w:p>
        </w:tc>
      </w:tr>
      <w:tr w:rsidR="007A6739" w:rsidRPr="005462C5" w14:paraId="6A856E10" w14:textId="77777777" w:rsidTr="00B070E9">
        <w:trPr>
          <w:trHeight w:val="288"/>
        </w:trPr>
        <w:tc>
          <w:tcPr>
            <w:tcW w:w="3352" w:type="pct"/>
            <w:tcBorders>
              <w:top w:val="nil"/>
              <w:left w:val="nil"/>
              <w:bottom w:val="nil"/>
              <w:right w:val="nil"/>
            </w:tcBorders>
            <w:shd w:val="clear" w:color="auto" w:fill="auto"/>
            <w:noWrap/>
            <w:tcMar>
              <w:top w:w="15" w:type="dxa"/>
              <w:left w:w="15" w:type="dxa"/>
              <w:bottom w:w="0" w:type="dxa"/>
              <w:right w:w="15" w:type="dxa"/>
            </w:tcMar>
            <w:vAlign w:val="bottom"/>
            <w:hideMark/>
          </w:tcPr>
          <w:p w14:paraId="5CF5C8CC" w14:textId="77777777" w:rsidR="007A6739" w:rsidRPr="005462C5" w:rsidRDefault="007A6739">
            <w:pPr>
              <w:rPr>
                <w:rFonts w:cs="Times New Roman"/>
                <w:color w:val="000000"/>
                <w:sz w:val="22"/>
                <w:lang w:val="en-US"/>
              </w:rPr>
            </w:pPr>
            <w:r w:rsidRPr="005462C5">
              <w:rPr>
                <w:rFonts w:cs="Times New Roman"/>
                <w:color w:val="000000"/>
                <w:sz w:val="22"/>
                <w:lang w:val="en-US"/>
              </w:rPr>
              <w:t>2. Partialing a measured method at the scale level (cf. cell A in Table 1)</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5C251572" w14:textId="77777777" w:rsidR="007A6739" w:rsidRPr="005462C5" w:rsidRDefault="007A6739">
            <w:pPr>
              <w:jc w:val="right"/>
              <w:rPr>
                <w:rFonts w:cs="Times New Roman"/>
                <w:color w:val="000000"/>
                <w:sz w:val="22"/>
                <w:lang w:val="en-US"/>
              </w:rPr>
            </w:pPr>
            <w:r w:rsidRPr="005462C5">
              <w:rPr>
                <w:rFonts w:cs="Times New Roman"/>
                <w:color w:val="000000"/>
                <w:sz w:val="22"/>
                <w:lang w:val="en-US"/>
              </w:rPr>
              <w:t>0</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15B4A05E" w14:textId="77777777" w:rsidR="007A6739" w:rsidRPr="005462C5" w:rsidRDefault="007A6739">
            <w:pPr>
              <w:jc w:val="right"/>
              <w:rPr>
                <w:rFonts w:cs="Times New Roman"/>
                <w:b/>
                <w:bCs/>
                <w:color w:val="000000"/>
                <w:sz w:val="22"/>
                <w:lang w:val="en-US"/>
              </w:rPr>
            </w:pPr>
            <w:r w:rsidRPr="005462C5">
              <w:rPr>
                <w:rFonts w:cs="Times New Roman"/>
                <w:b/>
                <w:bCs/>
                <w:color w:val="000000"/>
                <w:sz w:val="22"/>
                <w:lang w:val="en-US"/>
              </w:rPr>
              <w:t>1</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4D78E37B" w14:textId="77777777" w:rsidR="007A6739" w:rsidRPr="005462C5" w:rsidRDefault="007A6739">
            <w:pPr>
              <w:jc w:val="right"/>
              <w:rPr>
                <w:rFonts w:cs="Times New Roman"/>
                <w:color w:val="000000"/>
                <w:sz w:val="22"/>
                <w:lang w:val="en-US"/>
              </w:rPr>
            </w:pPr>
            <w:r w:rsidRPr="005462C5">
              <w:rPr>
                <w:rFonts w:cs="Times New Roman"/>
                <w:color w:val="000000"/>
                <w:sz w:val="22"/>
                <w:lang w:val="en-US"/>
              </w:rPr>
              <w:t>0</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31BBBB67" w14:textId="77777777" w:rsidR="007A6739" w:rsidRPr="005462C5" w:rsidRDefault="007A6739">
            <w:pPr>
              <w:jc w:val="right"/>
              <w:rPr>
                <w:rFonts w:cs="Times New Roman"/>
                <w:color w:val="000000"/>
                <w:sz w:val="22"/>
                <w:lang w:val="en-US"/>
              </w:rPr>
            </w:pPr>
            <w:r w:rsidRPr="005462C5">
              <w:rPr>
                <w:rFonts w:cs="Times New Roman"/>
                <w:color w:val="000000"/>
                <w:sz w:val="22"/>
                <w:lang w:val="en-US"/>
              </w:rPr>
              <w:t>1</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0A113078" w14:textId="77777777" w:rsidR="007A6739" w:rsidRPr="005462C5" w:rsidRDefault="007A6739">
            <w:pPr>
              <w:jc w:val="right"/>
              <w:rPr>
                <w:rFonts w:cs="Times New Roman"/>
                <w:color w:val="000000"/>
                <w:sz w:val="22"/>
                <w:lang w:val="en-US"/>
              </w:rPr>
            </w:pPr>
            <w:r w:rsidRPr="005462C5">
              <w:rPr>
                <w:rFonts w:cs="Times New Roman"/>
                <w:color w:val="000000"/>
                <w:sz w:val="22"/>
                <w:lang w:val="en-US"/>
              </w:rPr>
              <w:t>0</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507D1B19" w14:textId="77777777" w:rsidR="007A6739" w:rsidRPr="005462C5" w:rsidRDefault="007A6739">
            <w:pPr>
              <w:jc w:val="right"/>
              <w:rPr>
                <w:rFonts w:cs="Times New Roman"/>
                <w:color w:val="000000"/>
                <w:sz w:val="22"/>
                <w:lang w:val="en-US"/>
              </w:rPr>
            </w:pPr>
            <w:r w:rsidRPr="005462C5">
              <w:rPr>
                <w:rFonts w:cs="Times New Roman"/>
                <w:color w:val="000000"/>
                <w:sz w:val="22"/>
                <w:lang w:val="en-US"/>
              </w:rPr>
              <w:t>0</w:t>
            </w:r>
          </w:p>
        </w:tc>
      </w:tr>
      <w:tr w:rsidR="007A6739" w:rsidRPr="005462C5" w14:paraId="683C5DC9" w14:textId="77777777" w:rsidTr="00B070E9">
        <w:trPr>
          <w:trHeight w:val="288"/>
        </w:trPr>
        <w:tc>
          <w:tcPr>
            <w:tcW w:w="3352" w:type="pct"/>
            <w:tcBorders>
              <w:top w:val="nil"/>
              <w:left w:val="nil"/>
              <w:bottom w:val="nil"/>
              <w:right w:val="nil"/>
            </w:tcBorders>
            <w:shd w:val="clear" w:color="auto" w:fill="auto"/>
            <w:noWrap/>
            <w:tcMar>
              <w:top w:w="15" w:type="dxa"/>
              <w:left w:w="15" w:type="dxa"/>
              <w:bottom w:w="0" w:type="dxa"/>
              <w:right w:w="15" w:type="dxa"/>
            </w:tcMar>
            <w:vAlign w:val="bottom"/>
            <w:hideMark/>
          </w:tcPr>
          <w:p w14:paraId="1BDC4FCE" w14:textId="77777777" w:rsidR="007A6739" w:rsidRPr="005462C5" w:rsidRDefault="007A6739">
            <w:pPr>
              <w:rPr>
                <w:rFonts w:cs="Times New Roman"/>
                <w:color w:val="000000"/>
                <w:sz w:val="22"/>
                <w:lang w:val="en-US"/>
              </w:rPr>
            </w:pPr>
            <w:r w:rsidRPr="005462C5">
              <w:rPr>
                <w:rFonts w:cs="Times New Roman"/>
                <w:color w:val="000000"/>
                <w:sz w:val="22"/>
                <w:lang w:val="en-US"/>
              </w:rPr>
              <w:t>3. Partialing a measured method at the item level (cf. cell B in Table 1)</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6DEE4C34" w14:textId="77777777" w:rsidR="007A6739" w:rsidRPr="005462C5" w:rsidRDefault="007A6739">
            <w:pPr>
              <w:jc w:val="right"/>
              <w:rPr>
                <w:rFonts w:cs="Times New Roman"/>
                <w:color w:val="000000"/>
                <w:sz w:val="22"/>
                <w:lang w:val="en-US"/>
              </w:rPr>
            </w:pPr>
            <w:r w:rsidRPr="005462C5">
              <w:rPr>
                <w:rFonts w:cs="Times New Roman"/>
                <w:color w:val="000000"/>
                <w:sz w:val="22"/>
                <w:lang w:val="en-US"/>
              </w:rPr>
              <w:t>2</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69EE53D6" w14:textId="77777777" w:rsidR="007A6739" w:rsidRPr="005462C5" w:rsidRDefault="007A6739">
            <w:pPr>
              <w:jc w:val="right"/>
              <w:rPr>
                <w:rFonts w:cs="Times New Roman"/>
                <w:color w:val="000000"/>
                <w:sz w:val="22"/>
                <w:lang w:val="en-US"/>
              </w:rPr>
            </w:pPr>
            <w:r w:rsidRPr="005462C5">
              <w:rPr>
                <w:rFonts w:cs="Times New Roman"/>
                <w:color w:val="000000"/>
                <w:sz w:val="22"/>
                <w:lang w:val="en-US"/>
              </w:rPr>
              <w:t>0</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771316C6" w14:textId="77777777" w:rsidR="007A6739" w:rsidRPr="005462C5" w:rsidRDefault="007A6739">
            <w:pPr>
              <w:jc w:val="right"/>
              <w:rPr>
                <w:rFonts w:cs="Times New Roman"/>
                <w:b/>
                <w:bCs/>
                <w:color w:val="000000"/>
                <w:sz w:val="22"/>
                <w:lang w:val="en-US"/>
              </w:rPr>
            </w:pPr>
            <w:r w:rsidRPr="005462C5">
              <w:rPr>
                <w:rFonts w:cs="Times New Roman"/>
                <w:b/>
                <w:bCs/>
                <w:color w:val="000000"/>
                <w:sz w:val="22"/>
                <w:lang w:val="en-US"/>
              </w:rPr>
              <w:t>2</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325DA88F" w14:textId="77777777" w:rsidR="007A6739" w:rsidRPr="005462C5" w:rsidRDefault="007A6739">
            <w:pPr>
              <w:jc w:val="right"/>
              <w:rPr>
                <w:rFonts w:cs="Times New Roman"/>
                <w:color w:val="000000"/>
                <w:sz w:val="22"/>
                <w:lang w:val="en-US"/>
              </w:rPr>
            </w:pPr>
            <w:r w:rsidRPr="005462C5">
              <w:rPr>
                <w:rFonts w:cs="Times New Roman"/>
                <w:color w:val="000000"/>
                <w:sz w:val="22"/>
                <w:lang w:val="en-US"/>
              </w:rPr>
              <w:t>1</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4E184EE3" w14:textId="77777777" w:rsidR="007A6739" w:rsidRPr="005462C5" w:rsidRDefault="007A6739">
            <w:pPr>
              <w:jc w:val="right"/>
              <w:rPr>
                <w:rFonts w:cs="Times New Roman"/>
                <w:color w:val="000000"/>
                <w:sz w:val="22"/>
                <w:lang w:val="en-US"/>
              </w:rPr>
            </w:pPr>
            <w:r w:rsidRPr="005462C5">
              <w:rPr>
                <w:rFonts w:cs="Times New Roman"/>
                <w:color w:val="000000"/>
                <w:sz w:val="22"/>
                <w:lang w:val="en-US"/>
              </w:rPr>
              <w:t>0</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15974B9C" w14:textId="77777777" w:rsidR="007A6739" w:rsidRPr="005462C5" w:rsidRDefault="007A6739">
            <w:pPr>
              <w:jc w:val="right"/>
              <w:rPr>
                <w:rFonts w:cs="Times New Roman"/>
                <w:color w:val="000000"/>
                <w:sz w:val="22"/>
                <w:lang w:val="en-US"/>
              </w:rPr>
            </w:pPr>
            <w:r w:rsidRPr="005462C5">
              <w:rPr>
                <w:rFonts w:cs="Times New Roman"/>
                <w:color w:val="000000"/>
                <w:sz w:val="22"/>
                <w:lang w:val="en-US"/>
              </w:rPr>
              <w:t>0</w:t>
            </w:r>
          </w:p>
        </w:tc>
      </w:tr>
      <w:tr w:rsidR="007A6739" w:rsidRPr="005462C5" w14:paraId="3046D986" w14:textId="77777777" w:rsidTr="00B070E9">
        <w:trPr>
          <w:trHeight w:val="288"/>
        </w:trPr>
        <w:tc>
          <w:tcPr>
            <w:tcW w:w="3352" w:type="pct"/>
            <w:tcBorders>
              <w:top w:val="nil"/>
              <w:left w:val="nil"/>
              <w:bottom w:val="nil"/>
              <w:right w:val="nil"/>
            </w:tcBorders>
            <w:shd w:val="clear" w:color="auto" w:fill="auto"/>
            <w:noWrap/>
            <w:tcMar>
              <w:top w:w="15" w:type="dxa"/>
              <w:left w:w="15" w:type="dxa"/>
              <w:bottom w:w="0" w:type="dxa"/>
              <w:right w:w="15" w:type="dxa"/>
            </w:tcMar>
            <w:vAlign w:val="bottom"/>
            <w:hideMark/>
          </w:tcPr>
          <w:p w14:paraId="6EE6D81C" w14:textId="77777777" w:rsidR="007A6739" w:rsidRPr="005462C5" w:rsidRDefault="007A6739">
            <w:pPr>
              <w:rPr>
                <w:rFonts w:cs="Times New Roman"/>
                <w:color w:val="000000"/>
                <w:sz w:val="22"/>
                <w:lang w:val="en-US"/>
              </w:rPr>
            </w:pPr>
            <w:r w:rsidRPr="005462C5">
              <w:rPr>
                <w:rFonts w:cs="Times New Roman"/>
                <w:color w:val="000000"/>
                <w:sz w:val="22"/>
                <w:lang w:val="en-US"/>
              </w:rPr>
              <w:t>4. Lindell &amp; Whitney marker technique (cf. cell C in Table 1)</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28FDA030" w14:textId="77777777" w:rsidR="007A6739" w:rsidRPr="005462C5" w:rsidRDefault="007A6739">
            <w:pPr>
              <w:jc w:val="right"/>
              <w:rPr>
                <w:rFonts w:cs="Times New Roman"/>
                <w:color w:val="000000"/>
                <w:sz w:val="22"/>
              </w:rPr>
            </w:pPr>
            <w:r w:rsidRPr="005462C5">
              <w:rPr>
                <w:rFonts w:cs="Times New Roman"/>
                <w:color w:val="000000"/>
                <w:sz w:val="22"/>
              </w:rPr>
              <w:t>12</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24F70836" w14:textId="77777777" w:rsidR="007A6739" w:rsidRPr="005462C5" w:rsidRDefault="007A6739">
            <w:pPr>
              <w:jc w:val="right"/>
              <w:rPr>
                <w:rFonts w:cs="Times New Roman"/>
                <w:color w:val="000000"/>
                <w:sz w:val="22"/>
              </w:rPr>
            </w:pPr>
            <w:r w:rsidRPr="005462C5">
              <w:rPr>
                <w:rFonts w:cs="Times New Roman"/>
                <w:color w:val="000000"/>
                <w:sz w:val="22"/>
              </w:rPr>
              <w:t>1</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3402D0FE" w14:textId="77777777" w:rsidR="007A6739" w:rsidRPr="005462C5" w:rsidRDefault="007A6739">
            <w:pPr>
              <w:jc w:val="right"/>
              <w:rPr>
                <w:rFonts w:cs="Times New Roman"/>
                <w:color w:val="000000"/>
                <w:sz w:val="22"/>
              </w:rPr>
            </w:pPr>
            <w:r w:rsidRPr="005462C5">
              <w:rPr>
                <w:rFonts w:cs="Times New Roman"/>
                <w:color w:val="000000"/>
                <w:sz w:val="22"/>
              </w:rPr>
              <w:t>1</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6B185DCA" w14:textId="77777777" w:rsidR="007A6739" w:rsidRPr="005462C5" w:rsidRDefault="007A6739">
            <w:pPr>
              <w:jc w:val="right"/>
              <w:rPr>
                <w:rFonts w:cs="Times New Roman"/>
                <w:b/>
                <w:bCs/>
                <w:color w:val="000000"/>
                <w:sz w:val="22"/>
              </w:rPr>
            </w:pPr>
            <w:r w:rsidRPr="005462C5">
              <w:rPr>
                <w:rFonts w:cs="Times New Roman"/>
                <w:b/>
                <w:bCs/>
                <w:color w:val="000000"/>
                <w:sz w:val="22"/>
              </w:rPr>
              <w:t>27</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20D2ED18" w14:textId="77777777" w:rsidR="007A6739" w:rsidRPr="005462C5" w:rsidRDefault="007A6739">
            <w:pPr>
              <w:jc w:val="right"/>
              <w:rPr>
                <w:rFonts w:cs="Times New Roman"/>
                <w:color w:val="000000"/>
                <w:sz w:val="22"/>
              </w:rPr>
            </w:pPr>
            <w:r w:rsidRPr="005462C5">
              <w:rPr>
                <w:rFonts w:cs="Times New Roman"/>
                <w:color w:val="000000"/>
                <w:sz w:val="22"/>
              </w:rPr>
              <w:t>0</w:t>
            </w:r>
          </w:p>
        </w:tc>
        <w:tc>
          <w:tcPr>
            <w:tcW w:w="275" w:type="pct"/>
            <w:tcBorders>
              <w:top w:val="nil"/>
              <w:left w:val="nil"/>
              <w:bottom w:val="nil"/>
              <w:right w:val="nil"/>
            </w:tcBorders>
            <w:shd w:val="clear" w:color="auto" w:fill="auto"/>
            <w:noWrap/>
            <w:tcMar>
              <w:top w:w="15" w:type="dxa"/>
              <w:left w:w="15" w:type="dxa"/>
              <w:bottom w:w="0" w:type="dxa"/>
              <w:right w:w="15" w:type="dxa"/>
            </w:tcMar>
            <w:vAlign w:val="bottom"/>
            <w:hideMark/>
          </w:tcPr>
          <w:p w14:paraId="56DE7BF9" w14:textId="77777777" w:rsidR="007A6739" w:rsidRPr="005462C5" w:rsidRDefault="007A6739">
            <w:pPr>
              <w:jc w:val="right"/>
              <w:rPr>
                <w:rFonts w:cs="Times New Roman"/>
                <w:color w:val="000000"/>
                <w:sz w:val="22"/>
              </w:rPr>
            </w:pPr>
            <w:r w:rsidRPr="005462C5">
              <w:rPr>
                <w:rFonts w:cs="Times New Roman"/>
                <w:color w:val="000000"/>
                <w:sz w:val="22"/>
              </w:rPr>
              <w:t>3</w:t>
            </w:r>
          </w:p>
        </w:tc>
      </w:tr>
      <w:tr w:rsidR="007A6739" w:rsidRPr="005462C5" w14:paraId="2117F5DB" w14:textId="77777777" w:rsidTr="00B070E9">
        <w:trPr>
          <w:trHeight w:val="288"/>
        </w:trPr>
        <w:tc>
          <w:tcPr>
            <w:tcW w:w="3352" w:type="pct"/>
            <w:tcBorders>
              <w:top w:val="nil"/>
              <w:left w:val="nil"/>
              <w:right w:val="nil"/>
            </w:tcBorders>
            <w:shd w:val="clear" w:color="auto" w:fill="auto"/>
            <w:noWrap/>
            <w:tcMar>
              <w:top w:w="15" w:type="dxa"/>
              <w:left w:w="15" w:type="dxa"/>
              <w:bottom w:w="0" w:type="dxa"/>
              <w:right w:w="15" w:type="dxa"/>
            </w:tcMar>
            <w:vAlign w:val="bottom"/>
            <w:hideMark/>
          </w:tcPr>
          <w:p w14:paraId="2913A9E5" w14:textId="77777777" w:rsidR="007A6739" w:rsidRPr="005462C5" w:rsidRDefault="007A6739">
            <w:pPr>
              <w:rPr>
                <w:rFonts w:cs="Times New Roman"/>
                <w:color w:val="000000"/>
                <w:sz w:val="22"/>
                <w:lang w:val="en-US"/>
              </w:rPr>
            </w:pPr>
            <w:r w:rsidRPr="005462C5">
              <w:rPr>
                <w:rFonts w:cs="Times New Roman"/>
                <w:color w:val="000000"/>
                <w:sz w:val="22"/>
                <w:lang w:val="en-US"/>
              </w:rPr>
              <w:t>5. Comprehensive Marker Variable Technique (cf. cell D in Table 1)</w:t>
            </w:r>
          </w:p>
        </w:tc>
        <w:tc>
          <w:tcPr>
            <w:tcW w:w="275" w:type="pct"/>
            <w:tcBorders>
              <w:top w:val="nil"/>
              <w:left w:val="nil"/>
              <w:right w:val="nil"/>
            </w:tcBorders>
            <w:shd w:val="clear" w:color="auto" w:fill="auto"/>
            <w:noWrap/>
            <w:tcMar>
              <w:top w:w="15" w:type="dxa"/>
              <w:left w:w="15" w:type="dxa"/>
              <w:bottom w:w="0" w:type="dxa"/>
              <w:right w:w="15" w:type="dxa"/>
            </w:tcMar>
            <w:vAlign w:val="bottom"/>
            <w:hideMark/>
          </w:tcPr>
          <w:p w14:paraId="72698337" w14:textId="77777777" w:rsidR="007A6739" w:rsidRPr="005462C5" w:rsidRDefault="007A6739">
            <w:pPr>
              <w:jc w:val="right"/>
              <w:rPr>
                <w:rFonts w:cs="Times New Roman"/>
                <w:color w:val="000000"/>
                <w:sz w:val="22"/>
              </w:rPr>
            </w:pPr>
            <w:r w:rsidRPr="005462C5">
              <w:rPr>
                <w:rFonts w:cs="Times New Roman"/>
                <w:color w:val="000000"/>
                <w:sz w:val="22"/>
              </w:rPr>
              <w:t>1</w:t>
            </w:r>
          </w:p>
        </w:tc>
        <w:tc>
          <w:tcPr>
            <w:tcW w:w="275" w:type="pct"/>
            <w:tcBorders>
              <w:top w:val="nil"/>
              <w:left w:val="nil"/>
              <w:right w:val="nil"/>
            </w:tcBorders>
            <w:shd w:val="clear" w:color="auto" w:fill="auto"/>
            <w:noWrap/>
            <w:tcMar>
              <w:top w:w="15" w:type="dxa"/>
              <w:left w:w="15" w:type="dxa"/>
              <w:bottom w:w="0" w:type="dxa"/>
              <w:right w:w="15" w:type="dxa"/>
            </w:tcMar>
            <w:vAlign w:val="bottom"/>
            <w:hideMark/>
          </w:tcPr>
          <w:p w14:paraId="54DBCAB1" w14:textId="77777777" w:rsidR="007A6739" w:rsidRPr="005462C5" w:rsidRDefault="007A6739">
            <w:pPr>
              <w:jc w:val="right"/>
              <w:rPr>
                <w:rFonts w:cs="Times New Roman"/>
                <w:color w:val="000000"/>
                <w:sz w:val="22"/>
              </w:rPr>
            </w:pPr>
            <w:r w:rsidRPr="005462C5">
              <w:rPr>
                <w:rFonts w:cs="Times New Roman"/>
                <w:color w:val="000000"/>
                <w:sz w:val="22"/>
              </w:rPr>
              <w:t>0</w:t>
            </w:r>
          </w:p>
        </w:tc>
        <w:tc>
          <w:tcPr>
            <w:tcW w:w="275" w:type="pct"/>
            <w:tcBorders>
              <w:top w:val="nil"/>
              <w:left w:val="nil"/>
              <w:right w:val="nil"/>
            </w:tcBorders>
            <w:shd w:val="clear" w:color="auto" w:fill="auto"/>
            <w:noWrap/>
            <w:tcMar>
              <w:top w:w="15" w:type="dxa"/>
              <w:left w:w="15" w:type="dxa"/>
              <w:bottom w:w="0" w:type="dxa"/>
              <w:right w:w="15" w:type="dxa"/>
            </w:tcMar>
            <w:vAlign w:val="bottom"/>
            <w:hideMark/>
          </w:tcPr>
          <w:p w14:paraId="0EFBCFEE" w14:textId="77777777" w:rsidR="007A6739" w:rsidRPr="005462C5" w:rsidRDefault="007A6739">
            <w:pPr>
              <w:jc w:val="right"/>
              <w:rPr>
                <w:rFonts w:cs="Times New Roman"/>
                <w:color w:val="000000"/>
                <w:sz w:val="22"/>
              </w:rPr>
            </w:pPr>
            <w:r w:rsidRPr="005462C5">
              <w:rPr>
                <w:rFonts w:cs="Times New Roman"/>
                <w:color w:val="000000"/>
                <w:sz w:val="22"/>
              </w:rPr>
              <w:t>0</w:t>
            </w:r>
          </w:p>
        </w:tc>
        <w:tc>
          <w:tcPr>
            <w:tcW w:w="275" w:type="pct"/>
            <w:tcBorders>
              <w:top w:val="nil"/>
              <w:left w:val="nil"/>
              <w:right w:val="nil"/>
            </w:tcBorders>
            <w:shd w:val="clear" w:color="auto" w:fill="auto"/>
            <w:noWrap/>
            <w:tcMar>
              <w:top w:w="15" w:type="dxa"/>
              <w:left w:w="15" w:type="dxa"/>
              <w:bottom w:w="0" w:type="dxa"/>
              <w:right w:w="15" w:type="dxa"/>
            </w:tcMar>
            <w:vAlign w:val="bottom"/>
            <w:hideMark/>
          </w:tcPr>
          <w:p w14:paraId="6D6498F4" w14:textId="77777777" w:rsidR="007A6739" w:rsidRPr="005462C5" w:rsidRDefault="007A6739">
            <w:pPr>
              <w:jc w:val="right"/>
              <w:rPr>
                <w:rFonts w:cs="Times New Roman"/>
                <w:color w:val="000000"/>
                <w:sz w:val="22"/>
              </w:rPr>
            </w:pPr>
            <w:r w:rsidRPr="005462C5">
              <w:rPr>
                <w:rFonts w:cs="Times New Roman"/>
                <w:color w:val="000000"/>
                <w:sz w:val="22"/>
              </w:rPr>
              <w:t>0</w:t>
            </w:r>
          </w:p>
        </w:tc>
        <w:tc>
          <w:tcPr>
            <w:tcW w:w="275" w:type="pct"/>
            <w:tcBorders>
              <w:top w:val="nil"/>
              <w:left w:val="nil"/>
              <w:right w:val="nil"/>
            </w:tcBorders>
            <w:shd w:val="clear" w:color="auto" w:fill="auto"/>
            <w:noWrap/>
            <w:tcMar>
              <w:top w:w="15" w:type="dxa"/>
              <w:left w:w="15" w:type="dxa"/>
              <w:bottom w:w="0" w:type="dxa"/>
              <w:right w:w="15" w:type="dxa"/>
            </w:tcMar>
            <w:vAlign w:val="bottom"/>
            <w:hideMark/>
          </w:tcPr>
          <w:p w14:paraId="474CAB05" w14:textId="77777777" w:rsidR="007A6739" w:rsidRPr="005462C5" w:rsidRDefault="007A6739">
            <w:pPr>
              <w:jc w:val="right"/>
              <w:rPr>
                <w:rFonts w:cs="Times New Roman"/>
                <w:b/>
                <w:bCs/>
                <w:color w:val="000000"/>
                <w:sz w:val="22"/>
              </w:rPr>
            </w:pPr>
            <w:r w:rsidRPr="005462C5">
              <w:rPr>
                <w:rFonts w:cs="Times New Roman"/>
                <w:b/>
                <w:bCs/>
                <w:color w:val="000000"/>
                <w:sz w:val="22"/>
              </w:rPr>
              <w:t>2</w:t>
            </w:r>
          </w:p>
        </w:tc>
        <w:tc>
          <w:tcPr>
            <w:tcW w:w="275" w:type="pct"/>
            <w:tcBorders>
              <w:top w:val="nil"/>
              <w:left w:val="nil"/>
              <w:right w:val="nil"/>
            </w:tcBorders>
            <w:shd w:val="clear" w:color="auto" w:fill="auto"/>
            <w:noWrap/>
            <w:tcMar>
              <w:top w:w="15" w:type="dxa"/>
              <w:left w:w="15" w:type="dxa"/>
              <w:bottom w:w="0" w:type="dxa"/>
              <w:right w:w="15" w:type="dxa"/>
            </w:tcMar>
            <w:vAlign w:val="bottom"/>
            <w:hideMark/>
          </w:tcPr>
          <w:p w14:paraId="6349CBAF" w14:textId="77777777" w:rsidR="007A6739" w:rsidRPr="005462C5" w:rsidRDefault="007A6739">
            <w:pPr>
              <w:jc w:val="right"/>
              <w:rPr>
                <w:rFonts w:cs="Times New Roman"/>
                <w:color w:val="000000"/>
                <w:sz w:val="22"/>
              </w:rPr>
            </w:pPr>
            <w:r w:rsidRPr="005462C5">
              <w:rPr>
                <w:rFonts w:cs="Times New Roman"/>
                <w:color w:val="000000"/>
                <w:sz w:val="22"/>
              </w:rPr>
              <w:t>1</w:t>
            </w:r>
          </w:p>
        </w:tc>
      </w:tr>
      <w:tr w:rsidR="007A6739" w:rsidRPr="005462C5" w14:paraId="46548980" w14:textId="77777777" w:rsidTr="00B070E9">
        <w:trPr>
          <w:trHeight w:val="288"/>
        </w:trPr>
        <w:tc>
          <w:tcPr>
            <w:tcW w:w="335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F3FA103" w14:textId="77777777" w:rsidR="007A6739" w:rsidRPr="005462C5" w:rsidRDefault="007A6739">
            <w:pPr>
              <w:rPr>
                <w:rFonts w:cs="Times New Roman"/>
                <w:color w:val="000000"/>
                <w:sz w:val="22"/>
                <w:lang w:val="en-US"/>
              </w:rPr>
            </w:pPr>
            <w:r w:rsidRPr="005462C5">
              <w:rPr>
                <w:rFonts w:cs="Times New Roman"/>
                <w:color w:val="000000"/>
                <w:sz w:val="22"/>
                <w:lang w:val="en-US"/>
              </w:rPr>
              <w:t>6. Inferred latent method factor(s) (cf. cell F in Table 1)</w:t>
            </w:r>
          </w:p>
        </w:tc>
        <w:tc>
          <w:tcPr>
            <w:tcW w:w="275"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710AA63" w14:textId="77777777" w:rsidR="007A6739" w:rsidRPr="005462C5" w:rsidRDefault="007A6739">
            <w:pPr>
              <w:jc w:val="right"/>
              <w:rPr>
                <w:rFonts w:cs="Times New Roman"/>
                <w:color w:val="000000"/>
                <w:sz w:val="22"/>
              </w:rPr>
            </w:pPr>
            <w:r w:rsidRPr="005462C5">
              <w:rPr>
                <w:rFonts w:cs="Times New Roman"/>
                <w:color w:val="000000"/>
                <w:sz w:val="22"/>
              </w:rPr>
              <w:t>6</w:t>
            </w:r>
          </w:p>
        </w:tc>
        <w:tc>
          <w:tcPr>
            <w:tcW w:w="275"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5655795" w14:textId="77777777" w:rsidR="007A6739" w:rsidRPr="005462C5" w:rsidRDefault="007A6739">
            <w:pPr>
              <w:jc w:val="right"/>
              <w:rPr>
                <w:rFonts w:cs="Times New Roman"/>
                <w:color w:val="000000"/>
                <w:sz w:val="22"/>
              </w:rPr>
            </w:pPr>
            <w:r w:rsidRPr="005462C5">
              <w:rPr>
                <w:rFonts w:cs="Times New Roman"/>
                <w:color w:val="000000"/>
                <w:sz w:val="22"/>
              </w:rPr>
              <w:t>0</w:t>
            </w:r>
          </w:p>
        </w:tc>
        <w:tc>
          <w:tcPr>
            <w:tcW w:w="275"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BDDAAC5" w14:textId="77777777" w:rsidR="007A6739" w:rsidRPr="005462C5" w:rsidRDefault="007A6739">
            <w:pPr>
              <w:jc w:val="right"/>
              <w:rPr>
                <w:rFonts w:cs="Times New Roman"/>
                <w:color w:val="000000"/>
                <w:sz w:val="22"/>
              </w:rPr>
            </w:pPr>
            <w:r w:rsidRPr="005462C5">
              <w:rPr>
                <w:rFonts w:cs="Times New Roman"/>
                <w:color w:val="000000"/>
                <w:sz w:val="22"/>
              </w:rPr>
              <w:t>0</w:t>
            </w:r>
          </w:p>
        </w:tc>
        <w:tc>
          <w:tcPr>
            <w:tcW w:w="275"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1ED37E3" w14:textId="77777777" w:rsidR="007A6739" w:rsidRPr="005462C5" w:rsidRDefault="007A6739">
            <w:pPr>
              <w:jc w:val="right"/>
              <w:rPr>
                <w:rFonts w:cs="Times New Roman"/>
                <w:color w:val="000000"/>
                <w:sz w:val="22"/>
              </w:rPr>
            </w:pPr>
            <w:r w:rsidRPr="005462C5">
              <w:rPr>
                <w:rFonts w:cs="Times New Roman"/>
                <w:color w:val="000000"/>
                <w:sz w:val="22"/>
              </w:rPr>
              <w:t>3</w:t>
            </w:r>
          </w:p>
        </w:tc>
        <w:tc>
          <w:tcPr>
            <w:tcW w:w="275"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85BDBA" w14:textId="77777777" w:rsidR="007A6739" w:rsidRPr="005462C5" w:rsidRDefault="007A6739">
            <w:pPr>
              <w:jc w:val="right"/>
              <w:rPr>
                <w:rFonts w:cs="Times New Roman"/>
                <w:color w:val="000000"/>
                <w:sz w:val="22"/>
              </w:rPr>
            </w:pPr>
            <w:r w:rsidRPr="005462C5">
              <w:rPr>
                <w:rFonts w:cs="Times New Roman"/>
                <w:color w:val="000000"/>
                <w:sz w:val="22"/>
              </w:rPr>
              <w:t>1</w:t>
            </w:r>
          </w:p>
        </w:tc>
        <w:tc>
          <w:tcPr>
            <w:tcW w:w="275"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9CC8699" w14:textId="77777777" w:rsidR="007A6739" w:rsidRPr="005462C5" w:rsidRDefault="007A6739">
            <w:pPr>
              <w:jc w:val="right"/>
              <w:rPr>
                <w:rFonts w:cs="Times New Roman"/>
                <w:b/>
                <w:bCs/>
                <w:color w:val="000000"/>
                <w:sz w:val="22"/>
              </w:rPr>
            </w:pPr>
            <w:r w:rsidRPr="005462C5">
              <w:rPr>
                <w:rFonts w:cs="Times New Roman"/>
                <w:b/>
                <w:bCs/>
                <w:color w:val="000000"/>
                <w:sz w:val="22"/>
              </w:rPr>
              <w:t>14</w:t>
            </w:r>
          </w:p>
        </w:tc>
      </w:tr>
    </w:tbl>
    <w:p w14:paraId="342BDF3F" w14:textId="77777777" w:rsidR="007A6739" w:rsidRPr="005462C5" w:rsidRDefault="007A6739">
      <w:pPr>
        <w:spacing w:before="0" w:beforeAutospacing="0" w:after="160" w:afterAutospacing="0" w:line="259" w:lineRule="auto"/>
        <w:rPr>
          <w:rFonts w:cs="Times New Roman"/>
          <w:lang w:val="en-US"/>
        </w:rPr>
      </w:pPr>
    </w:p>
    <w:p w14:paraId="1220555F" w14:textId="77777777" w:rsidR="007A6739" w:rsidRPr="005462C5" w:rsidRDefault="007A6739">
      <w:pPr>
        <w:spacing w:before="0" w:beforeAutospacing="0" w:after="160" w:afterAutospacing="0" w:line="259" w:lineRule="auto"/>
        <w:rPr>
          <w:rFonts w:cs="Times New Roman"/>
          <w:lang w:val="en-US"/>
        </w:rPr>
      </w:pPr>
      <w:r w:rsidRPr="005462C5">
        <w:rPr>
          <w:rFonts w:cs="Times New Roman"/>
          <w:lang w:val="en-US"/>
        </w:rPr>
        <w:t xml:space="preserve">Note: The cells in this table display the frequency of occurrence (diagonal) and co-occurrence (non-diagonal) of the various techniques. </w:t>
      </w:r>
    </w:p>
    <w:p w14:paraId="7D77DD0C" w14:textId="77777777" w:rsidR="007A6739" w:rsidRPr="005462C5" w:rsidRDefault="007A6739">
      <w:pPr>
        <w:spacing w:before="0" w:beforeAutospacing="0" w:after="160" w:afterAutospacing="0" w:line="259" w:lineRule="auto"/>
        <w:rPr>
          <w:rFonts w:cs="Times New Roman"/>
          <w:lang w:val="en-US"/>
        </w:rPr>
      </w:pPr>
      <w:r w:rsidRPr="005462C5">
        <w:rPr>
          <w:rFonts w:cs="Times New Roman"/>
          <w:lang w:val="en-US"/>
        </w:rPr>
        <w:t xml:space="preserve"> </w:t>
      </w:r>
      <w:r w:rsidRPr="005462C5">
        <w:rPr>
          <w:rFonts w:cs="Times New Roman"/>
          <w:lang w:val="en-US"/>
        </w:rPr>
        <w:br w:type="page"/>
      </w:r>
    </w:p>
    <w:p w14:paraId="7A6816C2" w14:textId="77777777" w:rsidR="007A6739" w:rsidRPr="00AE684C" w:rsidRDefault="007A6739" w:rsidP="00AE684C">
      <w:pPr>
        <w:spacing w:before="0" w:beforeAutospacing="0" w:after="160" w:afterAutospacing="0" w:line="259" w:lineRule="auto"/>
        <w:jc w:val="center"/>
        <w:rPr>
          <w:caps/>
          <w:lang w:val="en-US"/>
        </w:rPr>
      </w:pPr>
      <w:r w:rsidRPr="00AE684C">
        <w:rPr>
          <w:caps/>
          <w:lang w:val="en-US"/>
        </w:rPr>
        <w:lastRenderedPageBreak/>
        <w:t>Table 4. Questions and scale formats used in Study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1296"/>
        <w:gridCol w:w="3134"/>
        <w:gridCol w:w="5990"/>
        <w:gridCol w:w="2688"/>
      </w:tblGrid>
      <w:tr w:rsidR="007A6739" w:rsidRPr="00226C65" w14:paraId="25A5400F" w14:textId="77777777" w:rsidTr="00B070E9">
        <w:tc>
          <w:tcPr>
            <w:tcW w:w="222" w:type="dxa"/>
            <w:tcBorders>
              <w:top w:val="single" w:sz="4" w:space="0" w:color="auto"/>
              <w:bottom w:val="single" w:sz="4" w:space="0" w:color="auto"/>
            </w:tcBorders>
          </w:tcPr>
          <w:p w14:paraId="063E04FE" w14:textId="77777777" w:rsidR="007A6739" w:rsidRPr="0008730A" w:rsidRDefault="007A6739" w:rsidP="00B070E9">
            <w:pPr>
              <w:pStyle w:val="NoSpacing"/>
              <w:rPr>
                <w:bCs/>
                <w:lang w:val="en-US"/>
              </w:rPr>
            </w:pPr>
          </w:p>
        </w:tc>
        <w:tc>
          <w:tcPr>
            <w:tcW w:w="1304" w:type="dxa"/>
            <w:tcBorders>
              <w:top w:val="single" w:sz="4" w:space="0" w:color="auto"/>
              <w:bottom w:val="single" w:sz="4" w:space="0" w:color="auto"/>
            </w:tcBorders>
          </w:tcPr>
          <w:p w14:paraId="14524923" w14:textId="77777777" w:rsidR="007A6739" w:rsidRPr="0008730A" w:rsidRDefault="007A6739" w:rsidP="00B070E9">
            <w:pPr>
              <w:pStyle w:val="NoSpacing"/>
              <w:rPr>
                <w:bCs/>
                <w:lang w:val="en-US"/>
              </w:rPr>
            </w:pPr>
          </w:p>
        </w:tc>
        <w:tc>
          <w:tcPr>
            <w:tcW w:w="3289" w:type="dxa"/>
            <w:tcBorders>
              <w:top w:val="single" w:sz="4" w:space="0" w:color="auto"/>
              <w:bottom w:val="single" w:sz="4" w:space="0" w:color="auto"/>
            </w:tcBorders>
          </w:tcPr>
          <w:p w14:paraId="33CC746B" w14:textId="77777777" w:rsidR="007A6739" w:rsidRPr="0008730A" w:rsidRDefault="007A6739" w:rsidP="00B070E9">
            <w:pPr>
              <w:pStyle w:val="NoSpacing"/>
              <w:rPr>
                <w:bCs/>
                <w:lang w:val="en-US"/>
              </w:rPr>
            </w:pPr>
            <w:r w:rsidRPr="0008730A">
              <w:rPr>
                <w:bCs/>
                <w:lang w:val="en-US"/>
              </w:rPr>
              <w:t>Scale format A</w:t>
            </w:r>
          </w:p>
        </w:tc>
        <w:tc>
          <w:tcPr>
            <w:tcW w:w="6375" w:type="dxa"/>
            <w:tcBorders>
              <w:top w:val="single" w:sz="4" w:space="0" w:color="auto"/>
              <w:bottom w:val="single" w:sz="4" w:space="0" w:color="auto"/>
            </w:tcBorders>
          </w:tcPr>
          <w:p w14:paraId="459B0942" w14:textId="77777777" w:rsidR="007A6739" w:rsidRPr="0008730A" w:rsidRDefault="007A6739" w:rsidP="00B070E9">
            <w:pPr>
              <w:pStyle w:val="NoSpacing"/>
              <w:rPr>
                <w:bCs/>
                <w:lang w:val="en-US"/>
              </w:rPr>
            </w:pPr>
            <w:r w:rsidRPr="0008730A">
              <w:rPr>
                <w:bCs/>
                <w:lang w:val="en-US"/>
              </w:rPr>
              <w:t>Scale format B</w:t>
            </w:r>
          </w:p>
        </w:tc>
        <w:tc>
          <w:tcPr>
            <w:tcW w:w="2804" w:type="dxa"/>
            <w:tcBorders>
              <w:top w:val="single" w:sz="4" w:space="0" w:color="auto"/>
              <w:bottom w:val="single" w:sz="4" w:space="0" w:color="auto"/>
            </w:tcBorders>
          </w:tcPr>
          <w:p w14:paraId="67BF0164" w14:textId="77777777" w:rsidR="007A6739" w:rsidRPr="0008730A" w:rsidRDefault="007A6739" w:rsidP="00B070E9">
            <w:pPr>
              <w:pStyle w:val="NoSpacing"/>
              <w:rPr>
                <w:bCs/>
                <w:lang w:val="en-US"/>
              </w:rPr>
            </w:pPr>
            <w:r w:rsidRPr="0008730A">
              <w:rPr>
                <w:bCs/>
                <w:lang w:val="en-US"/>
              </w:rPr>
              <w:t>Scale format C</w:t>
            </w:r>
          </w:p>
        </w:tc>
      </w:tr>
      <w:tr w:rsidR="007A6739" w:rsidRPr="004A2EFF" w14:paraId="1DD01204" w14:textId="77777777" w:rsidTr="00B070E9">
        <w:tc>
          <w:tcPr>
            <w:tcW w:w="222" w:type="dxa"/>
            <w:tcBorders>
              <w:top w:val="single" w:sz="4" w:space="0" w:color="auto"/>
              <w:bottom w:val="single" w:sz="4" w:space="0" w:color="auto"/>
            </w:tcBorders>
          </w:tcPr>
          <w:p w14:paraId="4F97340C" w14:textId="77777777" w:rsidR="007A6739" w:rsidRPr="0008730A" w:rsidRDefault="007A6739" w:rsidP="00B070E9">
            <w:pPr>
              <w:pStyle w:val="NoSpacing"/>
              <w:rPr>
                <w:bCs/>
                <w:lang w:val="en-US"/>
              </w:rPr>
            </w:pPr>
          </w:p>
        </w:tc>
        <w:tc>
          <w:tcPr>
            <w:tcW w:w="1304" w:type="dxa"/>
            <w:tcBorders>
              <w:top w:val="single" w:sz="4" w:space="0" w:color="auto"/>
              <w:bottom w:val="single" w:sz="4" w:space="0" w:color="auto"/>
            </w:tcBorders>
          </w:tcPr>
          <w:p w14:paraId="76B49DD4" w14:textId="2900CCE5" w:rsidR="007A6739" w:rsidRPr="0008730A" w:rsidRDefault="007A6739" w:rsidP="00B070E9">
            <w:pPr>
              <w:pStyle w:val="NoSpacing"/>
              <w:rPr>
                <w:bCs/>
                <w:lang w:val="en-US"/>
              </w:rPr>
            </w:pPr>
          </w:p>
        </w:tc>
        <w:tc>
          <w:tcPr>
            <w:tcW w:w="3289" w:type="dxa"/>
            <w:tcBorders>
              <w:top w:val="single" w:sz="4" w:space="0" w:color="auto"/>
              <w:bottom w:val="single" w:sz="4" w:space="0" w:color="auto"/>
            </w:tcBorders>
          </w:tcPr>
          <w:p w14:paraId="0A17B652" w14:textId="77777777" w:rsidR="007A6739" w:rsidRPr="0008730A" w:rsidRDefault="007A6739" w:rsidP="00B070E9">
            <w:pPr>
              <w:pStyle w:val="NoSpacing"/>
              <w:spacing w:before="100" w:after="100"/>
              <w:rPr>
                <w:bCs/>
                <w:lang w:val="en-US"/>
              </w:rPr>
            </w:pPr>
            <w:r w:rsidRPr="0008730A">
              <w:rPr>
                <w:bCs/>
                <w:lang w:val="en-US"/>
              </w:rPr>
              <w:t>Very unlikely</w:t>
            </w:r>
            <w:r w:rsidRPr="0008730A">
              <w:rPr>
                <w:bCs/>
                <w:lang w:val="en-US"/>
              </w:rPr>
              <w:br/>
              <w:t>Unlikely</w:t>
            </w:r>
            <w:r w:rsidRPr="0008730A">
              <w:rPr>
                <w:bCs/>
                <w:lang w:val="en-US"/>
              </w:rPr>
              <w:br/>
              <w:t>Somewhat unlikely</w:t>
            </w:r>
            <w:r w:rsidRPr="0008730A">
              <w:rPr>
                <w:bCs/>
                <w:lang w:val="en-US"/>
              </w:rPr>
              <w:br/>
              <w:t>Neutral</w:t>
            </w:r>
            <w:r w:rsidRPr="0008730A">
              <w:rPr>
                <w:bCs/>
                <w:lang w:val="en-US"/>
              </w:rPr>
              <w:br/>
              <w:t>Somewhat likely</w:t>
            </w:r>
            <w:r w:rsidRPr="0008730A">
              <w:rPr>
                <w:bCs/>
                <w:lang w:val="en-US"/>
              </w:rPr>
              <w:br/>
              <w:t>Likely</w:t>
            </w:r>
            <w:r w:rsidRPr="0008730A">
              <w:rPr>
                <w:bCs/>
                <w:lang w:val="en-US"/>
              </w:rPr>
              <w:br/>
              <w:t>Very likely</w:t>
            </w:r>
          </w:p>
        </w:tc>
        <w:tc>
          <w:tcPr>
            <w:tcW w:w="6375" w:type="dxa"/>
            <w:tcBorders>
              <w:top w:val="single" w:sz="4" w:space="0" w:color="auto"/>
              <w:bottom w:val="single" w:sz="4" w:space="0" w:color="auto"/>
            </w:tcBorders>
          </w:tcPr>
          <w:p w14:paraId="4ABA1545" w14:textId="4BFF53D3" w:rsidR="007A6739" w:rsidRPr="0008730A" w:rsidRDefault="007A6739" w:rsidP="00B070E9">
            <w:pPr>
              <w:pStyle w:val="NoSpacing"/>
              <w:rPr>
                <w:bCs/>
                <w:lang w:val="en-US"/>
              </w:rPr>
            </w:pPr>
            <w:r w:rsidRPr="0008730A">
              <w:rPr>
                <w:bCs/>
                <w:lang w:val="en-US"/>
              </w:rPr>
              <w:t xml:space="preserve">Open question with numeric field </w:t>
            </w:r>
            <w:r w:rsidR="0008730A">
              <w:rPr>
                <w:bCs/>
                <w:lang w:val="en-US"/>
              </w:rPr>
              <w:t>accepting</w:t>
            </w:r>
            <w:r w:rsidRPr="0008730A">
              <w:rPr>
                <w:bCs/>
                <w:lang w:val="en-US"/>
              </w:rPr>
              <w:t xml:space="preserve"> scores from 0 to 100</w:t>
            </w:r>
          </w:p>
        </w:tc>
        <w:tc>
          <w:tcPr>
            <w:tcW w:w="2804" w:type="dxa"/>
            <w:tcBorders>
              <w:top w:val="single" w:sz="4" w:space="0" w:color="auto"/>
              <w:bottom w:val="single" w:sz="4" w:space="0" w:color="auto"/>
            </w:tcBorders>
          </w:tcPr>
          <w:p w14:paraId="5FCEDBB8" w14:textId="77777777" w:rsidR="007A6739" w:rsidRPr="0008730A" w:rsidRDefault="007A6739" w:rsidP="00B070E9">
            <w:pPr>
              <w:pStyle w:val="NoSpacing"/>
              <w:rPr>
                <w:bCs/>
                <w:lang w:val="en-US"/>
              </w:rPr>
            </w:pPr>
            <w:r w:rsidRPr="0008730A">
              <w:rPr>
                <w:bCs/>
                <w:lang w:val="en-US"/>
              </w:rPr>
              <w:t>1 =  Not at all</w:t>
            </w:r>
            <w:r w:rsidRPr="0008730A">
              <w:rPr>
                <w:bCs/>
                <w:lang w:val="en-US"/>
              </w:rPr>
              <w:br/>
              <w:t>2</w:t>
            </w:r>
            <w:r w:rsidRPr="0008730A">
              <w:rPr>
                <w:bCs/>
                <w:lang w:val="en-US"/>
              </w:rPr>
              <w:br/>
              <w:t>3</w:t>
            </w:r>
            <w:r w:rsidRPr="0008730A">
              <w:rPr>
                <w:bCs/>
                <w:lang w:val="en-US"/>
              </w:rPr>
              <w:br/>
              <w:t>4</w:t>
            </w:r>
            <w:r w:rsidRPr="0008730A">
              <w:rPr>
                <w:bCs/>
                <w:lang w:val="en-US"/>
              </w:rPr>
              <w:br/>
              <w:t>5</w:t>
            </w:r>
            <w:r w:rsidRPr="0008730A">
              <w:rPr>
                <w:bCs/>
                <w:lang w:val="en-US"/>
              </w:rPr>
              <w:br/>
              <w:t>6</w:t>
            </w:r>
            <w:r w:rsidRPr="0008730A">
              <w:rPr>
                <w:bCs/>
                <w:lang w:val="en-US"/>
              </w:rPr>
              <w:br/>
              <w:t>7 = Very strongly</w:t>
            </w:r>
          </w:p>
        </w:tc>
      </w:tr>
      <w:tr w:rsidR="007A6739" w:rsidRPr="004A2EFF" w14:paraId="0DB37A5E" w14:textId="77777777" w:rsidTr="00B070E9">
        <w:tc>
          <w:tcPr>
            <w:tcW w:w="222" w:type="dxa"/>
            <w:tcBorders>
              <w:top w:val="single" w:sz="4" w:space="0" w:color="auto"/>
            </w:tcBorders>
          </w:tcPr>
          <w:p w14:paraId="524FD3B5" w14:textId="77777777" w:rsidR="007A6739" w:rsidRPr="0008730A" w:rsidRDefault="007A6739" w:rsidP="00B070E9">
            <w:pPr>
              <w:pStyle w:val="NoSpacing"/>
              <w:spacing w:before="100" w:after="100"/>
              <w:rPr>
                <w:bCs/>
                <w:lang w:val="en-US"/>
              </w:rPr>
            </w:pPr>
            <w:r w:rsidRPr="0008730A">
              <w:rPr>
                <w:bCs/>
                <w:lang w:val="en-US"/>
              </w:rPr>
              <w:t>Factor:</w:t>
            </w:r>
          </w:p>
        </w:tc>
        <w:tc>
          <w:tcPr>
            <w:tcW w:w="1304" w:type="dxa"/>
            <w:tcBorders>
              <w:top w:val="single" w:sz="4" w:space="0" w:color="auto"/>
            </w:tcBorders>
          </w:tcPr>
          <w:p w14:paraId="5B799FB1" w14:textId="77777777" w:rsidR="007A6739" w:rsidRPr="0008730A" w:rsidRDefault="007A6739" w:rsidP="00B070E9">
            <w:pPr>
              <w:pStyle w:val="NoSpacing"/>
              <w:rPr>
                <w:bCs/>
                <w:lang w:val="en-US"/>
              </w:rPr>
            </w:pPr>
            <w:r w:rsidRPr="0008730A">
              <w:rPr>
                <w:bCs/>
                <w:lang w:val="en-US"/>
              </w:rPr>
              <w:t>Locus</w:t>
            </w:r>
          </w:p>
        </w:tc>
        <w:tc>
          <w:tcPr>
            <w:tcW w:w="3289" w:type="dxa"/>
            <w:tcBorders>
              <w:top w:val="single" w:sz="4" w:space="0" w:color="auto"/>
            </w:tcBorders>
          </w:tcPr>
          <w:p w14:paraId="63F03A71" w14:textId="77777777" w:rsidR="007A6739" w:rsidRPr="0008730A" w:rsidRDefault="007A6739" w:rsidP="00B070E9">
            <w:pPr>
              <w:pStyle w:val="NoSpacing"/>
              <w:rPr>
                <w:bCs/>
                <w:lang w:val="en-US"/>
              </w:rPr>
            </w:pPr>
            <w:r w:rsidRPr="0008730A">
              <w:rPr>
                <w:bCs/>
                <w:lang w:val="en-US"/>
              </w:rPr>
              <w:t>How likely is it that each of the following parties is a source of the initiative?</w:t>
            </w:r>
            <w:r w:rsidRPr="0008730A">
              <w:rPr>
                <w:bCs/>
                <w:lang w:val="en-US"/>
              </w:rPr>
              <w:br/>
              <w:t>Consumers of [the brand]</w:t>
            </w:r>
            <w:r w:rsidRPr="0008730A">
              <w:rPr>
                <w:bCs/>
                <w:lang w:val="en-US"/>
              </w:rPr>
              <w:br/>
              <w:t>Personnel of [the brand]</w:t>
            </w:r>
            <w:r w:rsidRPr="0008730A">
              <w:rPr>
                <w:bCs/>
                <w:lang w:val="en-US"/>
              </w:rPr>
              <w:br/>
              <w:t>[the brand] itself</w:t>
            </w:r>
            <w:r w:rsidRPr="0008730A">
              <w:rPr>
                <w:bCs/>
                <w:lang w:val="en-US"/>
              </w:rPr>
              <w:br/>
              <w:t>Others</w:t>
            </w:r>
          </w:p>
        </w:tc>
        <w:tc>
          <w:tcPr>
            <w:tcW w:w="6375" w:type="dxa"/>
            <w:tcBorders>
              <w:top w:val="single" w:sz="4" w:space="0" w:color="auto"/>
            </w:tcBorders>
          </w:tcPr>
          <w:p w14:paraId="11FEE588" w14:textId="77777777" w:rsidR="007A6739" w:rsidRPr="0008730A" w:rsidRDefault="007A6739" w:rsidP="00B070E9">
            <w:pPr>
              <w:pStyle w:val="NoSpacing"/>
              <w:rPr>
                <w:bCs/>
                <w:lang w:val="en-US"/>
              </w:rPr>
            </w:pPr>
            <w:r w:rsidRPr="0008730A">
              <w:rPr>
                <w:bCs/>
                <w:lang w:val="en-US"/>
              </w:rPr>
              <w:t>Please divide 100 points between the different parties as an indication of how responsible you feel that each party is for the initiative.</w:t>
            </w:r>
            <w:r w:rsidRPr="0008730A">
              <w:rPr>
                <w:bCs/>
                <w:lang w:val="en-US"/>
              </w:rPr>
              <w:br/>
              <w:t>Consumers of [the brand]</w:t>
            </w:r>
            <w:r w:rsidRPr="0008730A">
              <w:rPr>
                <w:bCs/>
                <w:lang w:val="en-US"/>
              </w:rPr>
              <w:br/>
              <w:t>Personnel of [the brand]</w:t>
            </w:r>
            <w:r w:rsidRPr="0008730A">
              <w:rPr>
                <w:bCs/>
                <w:lang w:val="en-US"/>
              </w:rPr>
              <w:br/>
              <w:t>[the brand] itself</w:t>
            </w:r>
            <w:r w:rsidRPr="0008730A">
              <w:rPr>
                <w:bCs/>
                <w:lang w:val="en-US"/>
              </w:rPr>
              <w:br/>
              <w:t>Others</w:t>
            </w:r>
          </w:p>
        </w:tc>
        <w:tc>
          <w:tcPr>
            <w:tcW w:w="2804" w:type="dxa"/>
            <w:tcBorders>
              <w:top w:val="single" w:sz="4" w:space="0" w:color="auto"/>
            </w:tcBorders>
          </w:tcPr>
          <w:p w14:paraId="7AB85C22" w14:textId="77777777" w:rsidR="007A6739" w:rsidRPr="0008730A" w:rsidRDefault="007A6739" w:rsidP="00B070E9">
            <w:pPr>
              <w:pStyle w:val="NoSpacing"/>
              <w:rPr>
                <w:bCs/>
                <w:lang w:val="en-US"/>
              </w:rPr>
            </w:pPr>
            <w:r w:rsidRPr="0008730A">
              <w:rPr>
                <w:bCs/>
                <w:lang w:val="en-US"/>
              </w:rPr>
              <w:t>To what extent do you believe that [the brand] is responsible for the initiative described earlier?</w:t>
            </w:r>
          </w:p>
        </w:tc>
      </w:tr>
      <w:tr w:rsidR="007A6739" w:rsidRPr="004A2EFF" w14:paraId="49348803" w14:textId="77777777" w:rsidTr="00B070E9">
        <w:tc>
          <w:tcPr>
            <w:tcW w:w="222" w:type="dxa"/>
          </w:tcPr>
          <w:p w14:paraId="396A1EEC" w14:textId="77777777" w:rsidR="007A6739" w:rsidRPr="0008730A" w:rsidRDefault="007A6739" w:rsidP="00B070E9">
            <w:pPr>
              <w:pStyle w:val="NoSpacing"/>
              <w:rPr>
                <w:bCs/>
                <w:lang w:val="en-US"/>
              </w:rPr>
            </w:pPr>
          </w:p>
        </w:tc>
        <w:tc>
          <w:tcPr>
            <w:tcW w:w="1304" w:type="dxa"/>
          </w:tcPr>
          <w:p w14:paraId="3731151B" w14:textId="77777777" w:rsidR="007A6739" w:rsidRPr="0008730A" w:rsidRDefault="007A6739" w:rsidP="00B070E9">
            <w:pPr>
              <w:pStyle w:val="NoSpacing"/>
              <w:rPr>
                <w:bCs/>
                <w:lang w:val="en-US"/>
              </w:rPr>
            </w:pPr>
            <w:r w:rsidRPr="0008730A">
              <w:rPr>
                <w:bCs/>
                <w:lang w:val="en-US"/>
              </w:rPr>
              <w:t>Stability</w:t>
            </w:r>
          </w:p>
        </w:tc>
        <w:tc>
          <w:tcPr>
            <w:tcW w:w="3289" w:type="dxa"/>
          </w:tcPr>
          <w:p w14:paraId="710390AF" w14:textId="77777777" w:rsidR="007A6739" w:rsidRPr="0008730A" w:rsidRDefault="007A6739" w:rsidP="00B070E9">
            <w:pPr>
              <w:pStyle w:val="NoSpacing"/>
              <w:spacing w:before="100" w:after="100"/>
              <w:rPr>
                <w:bCs/>
                <w:lang w:val="en-US"/>
              </w:rPr>
            </w:pPr>
            <w:r w:rsidRPr="0008730A">
              <w:rPr>
                <w:bCs/>
                <w:lang w:val="en-US"/>
              </w:rPr>
              <w:t>This type of initiative represents something stable and ongoing for [the brand]</w:t>
            </w:r>
          </w:p>
        </w:tc>
        <w:tc>
          <w:tcPr>
            <w:tcW w:w="6375" w:type="dxa"/>
          </w:tcPr>
          <w:p w14:paraId="30D28EA6" w14:textId="77777777" w:rsidR="007A6739" w:rsidRPr="0008730A" w:rsidRDefault="007A6739" w:rsidP="00B070E9">
            <w:pPr>
              <w:pStyle w:val="NoSpacing"/>
              <w:rPr>
                <w:bCs/>
                <w:lang w:val="en-US"/>
              </w:rPr>
            </w:pPr>
            <w:r w:rsidRPr="0008730A">
              <w:rPr>
                <w:bCs/>
                <w:lang w:val="en-US"/>
              </w:rPr>
              <w:t>To what extent do you believe that [the brand]'s support for this kind of initiative is something stable and ongoing? Please give a rating from 0 through 100, where 0 means 'this is a one-time initiative for [the brand]' and 100 means 'this is an enduring, stable commitment for [the brand]'.</w:t>
            </w:r>
          </w:p>
        </w:tc>
        <w:tc>
          <w:tcPr>
            <w:tcW w:w="2804" w:type="dxa"/>
          </w:tcPr>
          <w:p w14:paraId="18B74090" w14:textId="77777777" w:rsidR="007A6739" w:rsidRPr="0008730A" w:rsidRDefault="007A6739" w:rsidP="00B070E9">
            <w:pPr>
              <w:pStyle w:val="NoSpacing"/>
              <w:rPr>
                <w:bCs/>
                <w:lang w:val="en-US"/>
              </w:rPr>
            </w:pPr>
            <w:r w:rsidRPr="0008730A">
              <w:rPr>
                <w:bCs/>
                <w:lang w:val="en-US"/>
              </w:rPr>
              <w:t>To what extent do you believe that [the brand]'s support for this kind of initiative is something stable and ongoing?</w:t>
            </w:r>
          </w:p>
        </w:tc>
      </w:tr>
      <w:tr w:rsidR="007A6739" w:rsidRPr="004A2EFF" w14:paraId="3155ADBF" w14:textId="77777777" w:rsidTr="00B070E9">
        <w:tc>
          <w:tcPr>
            <w:tcW w:w="222" w:type="dxa"/>
            <w:tcBorders>
              <w:bottom w:val="single" w:sz="4" w:space="0" w:color="auto"/>
            </w:tcBorders>
          </w:tcPr>
          <w:p w14:paraId="7F52C1AA" w14:textId="77777777" w:rsidR="007A6739" w:rsidRPr="0008730A" w:rsidRDefault="007A6739" w:rsidP="00B070E9">
            <w:pPr>
              <w:pStyle w:val="NoSpacing"/>
              <w:rPr>
                <w:bCs/>
                <w:lang w:val="en-US"/>
              </w:rPr>
            </w:pPr>
          </w:p>
        </w:tc>
        <w:tc>
          <w:tcPr>
            <w:tcW w:w="1304" w:type="dxa"/>
            <w:tcBorders>
              <w:bottom w:val="single" w:sz="4" w:space="0" w:color="auto"/>
            </w:tcBorders>
          </w:tcPr>
          <w:p w14:paraId="24DC8A26" w14:textId="34E9C9AF" w:rsidR="007A6739" w:rsidRPr="0008730A" w:rsidRDefault="007A6739" w:rsidP="00B070E9">
            <w:pPr>
              <w:pStyle w:val="NoSpacing"/>
              <w:rPr>
                <w:bCs/>
                <w:lang w:val="en-US"/>
              </w:rPr>
            </w:pPr>
            <w:r w:rsidRPr="0008730A">
              <w:rPr>
                <w:bCs/>
                <w:lang w:val="en-US"/>
              </w:rPr>
              <w:t>Control</w:t>
            </w:r>
            <w:r w:rsidR="0008730A">
              <w:rPr>
                <w:bCs/>
                <w:lang w:val="en-US"/>
              </w:rPr>
              <w:t>la-bility</w:t>
            </w:r>
            <w:r w:rsidRPr="0008730A">
              <w:rPr>
                <w:bCs/>
                <w:lang w:val="en-US"/>
              </w:rPr>
              <w:t xml:space="preserve"> </w:t>
            </w:r>
          </w:p>
        </w:tc>
        <w:tc>
          <w:tcPr>
            <w:tcW w:w="3289" w:type="dxa"/>
            <w:tcBorders>
              <w:bottom w:val="single" w:sz="4" w:space="0" w:color="auto"/>
            </w:tcBorders>
          </w:tcPr>
          <w:p w14:paraId="3BACA328" w14:textId="77777777" w:rsidR="007A6739" w:rsidRPr="0008730A" w:rsidRDefault="007A6739" w:rsidP="00B070E9">
            <w:pPr>
              <w:pStyle w:val="NoSpacing"/>
              <w:rPr>
                <w:bCs/>
                <w:lang w:val="en-US"/>
              </w:rPr>
            </w:pPr>
            <w:r w:rsidRPr="0008730A">
              <w:rPr>
                <w:bCs/>
                <w:lang w:val="en-US"/>
              </w:rPr>
              <w:t>How likely is it that [the brand] has control over this sort of initiative?</w:t>
            </w:r>
          </w:p>
        </w:tc>
        <w:tc>
          <w:tcPr>
            <w:tcW w:w="6375" w:type="dxa"/>
            <w:tcBorders>
              <w:bottom w:val="single" w:sz="4" w:space="0" w:color="auto"/>
            </w:tcBorders>
          </w:tcPr>
          <w:p w14:paraId="68FBF6B7" w14:textId="77777777" w:rsidR="007A6739" w:rsidRPr="0008730A" w:rsidRDefault="007A6739" w:rsidP="00B070E9">
            <w:pPr>
              <w:pStyle w:val="NoSpacing"/>
              <w:rPr>
                <w:bCs/>
                <w:lang w:val="en-US"/>
              </w:rPr>
            </w:pPr>
            <w:r w:rsidRPr="0008730A">
              <w:rPr>
                <w:bCs/>
                <w:lang w:val="en-US"/>
              </w:rPr>
              <w:t>Please indicate to what extent you believe that [the brand] is in control of the initiative on a scale from 0 through 100, where 0 means [the brand] is not in control and 100 means [the brand] has full control.</w:t>
            </w:r>
          </w:p>
        </w:tc>
        <w:tc>
          <w:tcPr>
            <w:tcW w:w="2804" w:type="dxa"/>
            <w:tcBorders>
              <w:bottom w:val="single" w:sz="4" w:space="0" w:color="auto"/>
            </w:tcBorders>
          </w:tcPr>
          <w:p w14:paraId="2534CBBC" w14:textId="77777777" w:rsidR="007A6739" w:rsidRPr="0008730A" w:rsidRDefault="007A6739" w:rsidP="00B070E9">
            <w:pPr>
              <w:pStyle w:val="NoSpacing"/>
              <w:rPr>
                <w:bCs/>
                <w:lang w:val="en-US"/>
              </w:rPr>
            </w:pPr>
            <w:r w:rsidRPr="0008730A">
              <w:rPr>
                <w:bCs/>
                <w:lang w:val="en-US"/>
              </w:rPr>
              <w:t>To what extent is [the brand] in control of the initiative?</w:t>
            </w:r>
          </w:p>
          <w:p w14:paraId="7578AB6F" w14:textId="77777777" w:rsidR="007A6739" w:rsidRPr="0008730A" w:rsidRDefault="007A6739" w:rsidP="00B070E9">
            <w:pPr>
              <w:pStyle w:val="NoSpacing"/>
              <w:rPr>
                <w:bCs/>
                <w:lang w:val="en-US"/>
              </w:rPr>
            </w:pPr>
          </w:p>
        </w:tc>
      </w:tr>
    </w:tbl>
    <w:p w14:paraId="3EF74BEF" w14:textId="77777777" w:rsidR="007A6739" w:rsidRDefault="007A6739" w:rsidP="00CC051A">
      <w:pPr>
        <w:spacing w:line="240" w:lineRule="auto"/>
        <w:rPr>
          <w:lang w:val="en-US"/>
        </w:rPr>
      </w:pPr>
      <w:r>
        <w:rPr>
          <w:lang w:val="en-US"/>
        </w:rPr>
        <w:t xml:space="preserve">Note: For locus, the score for '[the brand]' itself was used (the scores for other parties involved were not included in the analysis). The second item of locus (locus-b) uses a constant sum format. The scores for all items in column B were divided by 15 to make the scale ranges similar to those of the other items. </w:t>
      </w:r>
      <w:r>
        <w:rPr>
          <w:lang w:val="en-US"/>
        </w:rPr>
        <w:br w:type="page"/>
      </w:r>
    </w:p>
    <w:p w14:paraId="3028D79B" w14:textId="77777777" w:rsidR="007A6739" w:rsidRPr="00AE684C" w:rsidRDefault="007A6739" w:rsidP="00AE684C">
      <w:pPr>
        <w:spacing w:before="0" w:beforeAutospacing="0" w:after="160" w:afterAutospacing="0" w:line="259" w:lineRule="auto"/>
        <w:jc w:val="center"/>
        <w:rPr>
          <w:caps/>
          <w:lang w:val="en-US"/>
        </w:rPr>
      </w:pPr>
      <w:r w:rsidRPr="00AE684C">
        <w:rPr>
          <w:caps/>
          <w:lang w:val="en-US"/>
        </w:rPr>
        <w:lastRenderedPageBreak/>
        <w:t>Table 5. Model fit comparison</w:t>
      </w:r>
    </w:p>
    <w:tbl>
      <w:tblPr>
        <w:tblW w:w="0" w:type="auto"/>
        <w:tblLayout w:type="fixed"/>
        <w:tblCellMar>
          <w:left w:w="70" w:type="dxa"/>
          <w:right w:w="70" w:type="dxa"/>
        </w:tblCellMar>
        <w:tblLook w:val="04A0" w:firstRow="1" w:lastRow="0" w:firstColumn="1" w:lastColumn="0" w:noHBand="0" w:noVBand="1"/>
      </w:tblPr>
      <w:tblGrid>
        <w:gridCol w:w="865"/>
        <w:gridCol w:w="7320"/>
        <w:gridCol w:w="902"/>
        <w:gridCol w:w="628"/>
        <w:gridCol w:w="745"/>
        <w:gridCol w:w="746"/>
        <w:gridCol w:w="745"/>
        <w:gridCol w:w="746"/>
        <w:gridCol w:w="1068"/>
      </w:tblGrid>
      <w:tr w:rsidR="007A6739" w:rsidRPr="00216F60" w14:paraId="4ED0B515" w14:textId="77777777" w:rsidTr="00B070E9">
        <w:trPr>
          <w:trHeight w:val="294"/>
        </w:trPr>
        <w:tc>
          <w:tcPr>
            <w:tcW w:w="865" w:type="dxa"/>
            <w:tcBorders>
              <w:top w:val="single" w:sz="4" w:space="0" w:color="auto"/>
              <w:left w:val="single" w:sz="4" w:space="0" w:color="auto"/>
              <w:bottom w:val="single" w:sz="4" w:space="0" w:color="auto"/>
              <w:right w:val="single" w:sz="4" w:space="0" w:color="auto"/>
            </w:tcBorders>
          </w:tcPr>
          <w:p w14:paraId="29E42F99" w14:textId="77777777" w:rsidR="007A6739" w:rsidRPr="00216F60" w:rsidRDefault="007A6739" w:rsidP="00B070E9">
            <w:pPr>
              <w:spacing w:before="0" w:beforeAutospacing="0" w:after="0" w:afterAutospacing="0" w:line="240" w:lineRule="auto"/>
              <w:rPr>
                <w:rFonts w:ascii="Calibri" w:eastAsia="Times New Roman" w:hAnsi="Calibri" w:cs="Calibri"/>
                <w:color w:val="000000"/>
                <w:sz w:val="22"/>
                <w:lang w:val="en-US" w:eastAsia="nl-BE"/>
              </w:rPr>
            </w:pPr>
          </w:p>
        </w:tc>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2D5B4" w14:textId="77777777" w:rsidR="007A6739" w:rsidRPr="00216F60" w:rsidRDefault="007A6739" w:rsidP="00B070E9">
            <w:pPr>
              <w:spacing w:before="0" w:beforeAutospacing="0" w:after="0" w:afterAutospacing="0" w:line="240" w:lineRule="auto"/>
              <w:rPr>
                <w:rFonts w:ascii="Calibri" w:eastAsia="Times New Roman" w:hAnsi="Calibri" w:cs="Calibri"/>
                <w:color w:val="000000"/>
                <w:sz w:val="22"/>
                <w:lang w:val="en-US" w:eastAsia="nl-BE"/>
              </w:rPr>
            </w:pPr>
            <w:r w:rsidRPr="00216F60">
              <w:rPr>
                <w:rFonts w:ascii="Calibri" w:eastAsia="Times New Roman" w:hAnsi="Calibri" w:cs="Calibri"/>
                <w:color w:val="000000"/>
                <w:sz w:val="22"/>
                <w:lang w:val="en-US" w:eastAsia="nl-BE"/>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D1B0E" w14:textId="77777777" w:rsidR="007A6739" w:rsidRPr="00216F60" w:rsidRDefault="007A6739" w:rsidP="00B070E9">
            <w:pPr>
              <w:spacing w:before="0" w:beforeAutospacing="0" w:after="0" w:afterAutospacing="0" w:line="240" w:lineRule="auto"/>
              <w:jc w:val="center"/>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sym w:font="Symbol" w:char="F063"/>
            </w:r>
            <w:r w:rsidRPr="00216F60">
              <w:rPr>
                <w:rFonts w:ascii="Calibri" w:eastAsia="Times New Roman" w:hAnsi="Calibri" w:cs="Calibri"/>
                <w:color w:val="000000"/>
                <w:sz w:val="20"/>
                <w:szCs w:val="20"/>
                <w:lang w:val="en-US" w:eastAsia="nl-BE"/>
              </w:rPr>
              <w:t>²</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3B890" w14:textId="77777777" w:rsidR="007A6739" w:rsidRPr="00216F60" w:rsidRDefault="007A6739" w:rsidP="00B070E9">
            <w:pPr>
              <w:spacing w:before="0" w:beforeAutospacing="0" w:after="0" w:afterAutospacing="0" w:line="240" w:lineRule="auto"/>
              <w:jc w:val="center"/>
              <w:rPr>
                <w:rFonts w:ascii="Calibri" w:eastAsia="Times New Roman" w:hAnsi="Calibri" w:cs="Calibri"/>
                <w:color w:val="000000"/>
                <w:sz w:val="20"/>
                <w:szCs w:val="20"/>
                <w:lang w:val="en-US" w:eastAsia="nl-BE"/>
              </w:rPr>
            </w:pPr>
            <w:r w:rsidRPr="00216F60">
              <w:rPr>
                <w:rFonts w:ascii="Calibri" w:eastAsia="Times New Roman" w:hAnsi="Calibri" w:cs="Calibri"/>
                <w:color w:val="000000"/>
                <w:sz w:val="20"/>
                <w:szCs w:val="20"/>
                <w:lang w:val="en-US" w:eastAsia="nl-BE"/>
              </w:rPr>
              <w:t>DF</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22EF" w14:textId="77777777" w:rsidR="007A6739" w:rsidRPr="00216F60" w:rsidRDefault="007A6739" w:rsidP="00B070E9">
            <w:pPr>
              <w:spacing w:before="0" w:beforeAutospacing="0" w:after="0" w:afterAutospacing="0" w:line="240" w:lineRule="auto"/>
              <w:jc w:val="center"/>
              <w:rPr>
                <w:rFonts w:ascii="Calibri" w:eastAsia="Times New Roman" w:hAnsi="Calibri" w:cs="Calibri"/>
                <w:color w:val="000000"/>
                <w:sz w:val="20"/>
                <w:szCs w:val="20"/>
                <w:lang w:val="en-US" w:eastAsia="nl-BE"/>
              </w:rPr>
            </w:pPr>
            <w:r w:rsidRPr="00216F60">
              <w:rPr>
                <w:rFonts w:ascii="Calibri" w:eastAsia="Times New Roman" w:hAnsi="Calibri" w:cs="Calibri"/>
                <w:color w:val="000000"/>
                <w:sz w:val="20"/>
                <w:szCs w:val="20"/>
                <w:lang w:val="en-US" w:eastAsia="nl-BE"/>
              </w:rPr>
              <w:t>RMSEA</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514A0" w14:textId="77777777" w:rsidR="007A6739" w:rsidRPr="00216F60" w:rsidRDefault="007A6739" w:rsidP="00B070E9">
            <w:pPr>
              <w:spacing w:before="0" w:beforeAutospacing="0" w:after="0" w:afterAutospacing="0" w:line="240" w:lineRule="auto"/>
              <w:jc w:val="center"/>
              <w:rPr>
                <w:rFonts w:ascii="Calibri" w:eastAsia="Times New Roman" w:hAnsi="Calibri" w:cs="Calibri"/>
                <w:color w:val="000000"/>
                <w:sz w:val="20"/>
                <w:szCs w:val="20"/>
                <w:lang w:val="en-US" w:eastAsia="nl-BE"/>
              </w:rPr>
            </w:pPr>
            <w:r w:rsidRPr="00216F60">
              <w:rPr>
                <w:rFonts w:ascii="Calibri" w:eastAsia="Times New Roman" w:hAnsi="Calibri" w:cs="Calibri"/>
                <w:color w:val="000000"/>
                <w:sz w:val="20"/>
                <w:szCs w:val="20"/>
                <w:lang w:val="en-US" w:eastAsia="nl-BE"/>
              </w:rPr>
              <w:t>CFI</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503E2" w14:textId="77777777" w:rsidR="007A6739" w:rsidRPr="00216F60" w:rsidRDefault="007A6739" w:rsidP="00B070E9">
            <w:pPr>
              <w:spacing w:before="0" w:beforeAutospacing="0" w:after="0" w:afterAutospacing="0" w:line="240" w:lineRule="auto"/>
              <w:jc w:val="center"/>
              <w:rPr>
                <w:rFonts w:ascii="Calibri" w:eastAsia="Times New Roman" w:hAnsi="Calibri" w:cs="Calibri"/>
                <w:color w:val="000000"/>
                <w:sz w:val="20"/>
                <w:szCs w:val="20"/>
                <w:lang w:val="en-US" w:eastAsia="nl-BE"/>
              </w:rPr>
            </w:pPr>
            <w:r w:rsidRPr="00216F60">
              <w:rPr>
                <w:rFonts w:ascii="Calibri" w:eastAsia="Times New Roman" w:hAnsi="Calibri" w:cs="Calibri"/>
                <w:color w:val="000000"/>
                <w:sz w:val="20"/>
                <w:szCs w:val="20"/>
                <w:lang w:val="en-US" w:eastAsia="nl-BE"/>
              </w:rPr>
              <w:t>TLI</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2D310" w14:textId="77777777" w:rsidR="007A6739" w:rsidRPr="00216F60" w:rsidRDefault="007A6739" w:rsidP="00B070E9">
            <w:pPr>
              <w:spacing w:before="0" w:beforeAutospacing="0" w:after="0" w:afterAutospacing="0" w:line="240" w:lineRule="auto"/>
              <w:jc w:val="center"/>
              <w:rPr>
                <w:rFonts w:ascii="Calibri" w:eastAsia="Times New Roman" w:hAnsi="Calibri" w:cs="Calibri"/>
                <w:color w:val="000000"/>
                <w:sz w:val="20"/>
                <w:szCs w:val="20"/>
                <w:lang w:val="en-US" w:eastAsia="nl-BE"/>
              </w:rPr>
            </w:pPr>
            <w:r w:rsidRPr="00216F60">
              <w:rPr>
                <w:rFonts w:ascii="Calibri" w:eastAsia="Times New Roman" w:hAnsi="Calibri" w:cs="Calibri"/>
                <w:color w:val="000000"/>
                <w:sz w:val="20"/>
                <w:szCs w:val="20"/>
                <w:lang w:val="en-US" w:eastAsia="nl-BE"/>
              </w:rPr>
              <w:t>SRMR</w:t>
            </w:r>
          </w:p>
        </w:tc>
        <w:tc>
          <w:tcPr>
            <w:tcW w:w="1068" w:type="dxa"/>
            <w:tcBorders>
              <w:top w:val="single" w:sz="4" w:space="0" w:color="auto"/>
              <w:left w:val="single" w:sz="4" w:space="0" w:color="auto"/>
              <w:bottom w:val="single" w:sz="4" w:space="0" w:color="auto"/>
              <w:right w:val="single" w:sz="4" w:space="0" w:color="auto"/>
            </w:tcBorders>
            <w:vAlign w:val="center"/>
          </w:tcPr>
          <w:p w14:paraId="5EB7DE1C" w14:textId="77777777" w:rsidR="007A6739" w:rsidRPr="00216F60" w:rsidRDefault="007A6739" w:rsidP="00B070E9">
            <w:pPr>
              <w:spacing w:before="0" w:beforeAutospacing="0" w:after="0" w:afterAutospacing="0" w:line="240" w:lineRule="auto"/>
              <w:jc w:val="center"/>
              <w:rPr>
                <w:rFonts w:ascii="Calibri" w:eastAsia="Times New Roman" w:hAnsi="Calibri" w:cs="Calibri"/>
                <w:color w:val="000000"/>
                <w:sz w:val="20"/>
                <w:szCs w:val="20"/>
                <w:lang w:val="en-US" w:eastAsia="nl-BE"/>
              </w:rPr>
            </w:pPr>
            <w:r w:rsidRPr="00216F60">
              <w:rPr>
                <w:rFonts w:ascii="Calibri" w:eastAsia="Times New Roman" w:hAnsi="Calibri" w:cs="Calibri"/>
                <w:color w:val="000000"/>
                <w:sz w:val="20"/>
                <w:szCs w:val="20"/>
                <w:lang w:val="en-US" w:eastAsia="nl-BE"/>
              </w:rPr>
              <w:t>BIC</w:t>
            </w:r>
          </w:p>
        </w:tc>
      </w:tr>
      <w:tr w:rsidR="007A6739" w:rsidRPr="004A2EFF" w14:paraId="01D89B6B" w14:textId="77777777" w:rsidTr="00B070E9">
        <w:trPr>
          <w:trHeight w:val="288"/>
        </w:trPr>
        <w:tc>
          <w:tcPr>
            <w:tcW w:w="8185" w:type="dxa"/>
            <w:gridSpan w:val="2"/>
            <w:tcBorders>
              <w:top w:val="single" w:sz="4" w:space="0" w:color="auto"/>
              <w:left w:val="single" w:sz="4" w:space="0" w:color="auto"/>
              <w:bottom w:val="single" w:sz="4" w:space="0" w:color="auto"/>
              <w:right w:val="single" w:sz="4" w:space="0" w:color="auto"/>
            </w:tcBorders>
          </w:tcPr>
          <w:p w14:paraId="37BFC976" w14:textId="77777777" w:rsidR="007A6739" w:rsidRPr="00216F60" w:rsidRDefault="007A6739" w:rsidP="00B070E9">
            <w:pPr>
              <w:spacing w:before="0" w:beforeAutospacing="0" w:after="0" w:afterAutospacing="0" w:line="240" w:lineRule="auto"/>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Models with no invariance constraints across countries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07DBF"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4E5F9"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75648"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5ACF2"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8A0E0"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066A6"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1068" w:type="dxa"/>
            <w:tcBorders>
              <w:top w:val="single" w:sz="4" w:space="0" w:color="auto"/>
              <w:left w:val="single" w:sz="4" w:space="0" w:color="auto"/>
              <w:bottom w:val="single" w:sz="4" w:space="0" w:color="auto"/>
              <w:right w:val="single" w:sz="4" w:space="0" w:color="auto"/>
            </w:tcBorders>
            <w:vAlign w:val="center"/>
          </w:tcPr>
          <w:p w14:paraId="3C6ECDC4"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r>
      <w:tr w:rsidR="007A6739" w:rsidRPr="00216F60" w14:paraId="2CF6E3C3" w14:textId="77777777" w:rsidTr="00B070E9">
        <w:trPr>
          <w:trHeight w:val="50"/>
        </w:trPr>
        <w:tc>
          <w:tcPr>
            <w:tcW w:w="8185" w:type="dxa"/>
            <w:gridSpan w:val="2"/>
            <w:tcBorders>
              <w:top w:val="single" w:sz="4" w:space="0" w:color="auto"/>
              <w:left w:val="single" w:sz="4" w:space="0" w:color="auto"/>
              <w:bottom w:val="single" w:sz="4" w:space="0" w:color="auto"/>
              <w:right w:val="single" w:sz="4" w:space="0" w:color="auto"/>
            </w:tcBorders>
          </w:tcPr>
          <w:p w14:paraId="6DCF08B9" w14:textId="77777777" w:rsidR="007A6739" w:rsidRPr="00216F60" w:rsidRDefault="007A6739" w:rsidP="00B070E9">
            <w:pPr>
              <w:spacing w:before="0" w:beforeAutospacing="0" w:after="0" w:afterAutospacing="0" w:line="240" w:lineRule="auto"/>
              <w:ind w:left="640" w:hanging="360"/>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M1: Baseline model with 3 traits and no effects of NARS on items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E8B89"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4294.05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BC796"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462</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7D8A"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.098</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0EBE0"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.953</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5DAEC"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.935</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C74D1"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.055</w:t>
            </w:r>
          </w:p>
        </w:tc>
        <w:tc>
          <w:tcPr>
            <w:tcW w:w="1068" w:type="dxa"/>
            <w:tcBorders>
              <w:top w:val="single" w:sz="4" w:space="0" w:color="auto"/>
              <w:left w:val="single" w:sz="4" w:space="0" w:color="auto"/>
              <w:bottom w:val="single" w:sz="4" w:space="0" w:color="auto"/>
              <w:right w:val="single" w:sz="4" w:space="0" w:color="auto"/>
            </w:tcBorders>
            <w:vAlign w:val="center"/>
          </w:tcPr>
          <w:p w14:paraId="3D6A2AC0" w14:textId="77777777" w:rsidR="007A6739" w:rsidRPr="00A43875"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360899.94</w:t>
            </w:r>
          </w:p>
        </w:tc>
      </w:tr>
      <w:tr w:rsidR="007A6739" w:rsidRPr="00216F60" w14:paraId="4A3F4D31" w14:textId="77777777" w:rsidTr="00B070E9">
        <w:trPr>
          <w:trHeight w:val="50"/>
        </w:trPr>
        <w:tc>
          <w:tcPr>
            <w:tcW w:w="8185" w:type="dxa"/>
            <w:gridSpan w:val="2"/>
            <w:tcBorders>
              <w:top w:val="single" w:sz="4" w:space="0" w:color="auto"/>
              <w:left w:val="single" w:sz="4" w:space="0" w:color="auto"/>
              <w:bottom w:val="single" w:sz="4" w:space="0" w:color="auto"/>
              <w:right w:val="single" w:sz="4" w:space="0" w:color="auto"/>
            </w:tcBorders>
          </w:tcPr>
          <w:p w14:paraId="168C8BC8" w14:textId="77777777" w:rsidR="007A6739" w:rsidRPr="00216F60" w:rsidRDefault="007A6739" w:rsidP="00B070E9">
            <w:pPr>
              <w:spacing w:before="0" w:beforeAutospacing="0" w:after="0" w:afterAutospacing="0" w:line="240" w:lineRule="auto"/>
              <w:ind w:left="640" w:hanging="360"/>
              <w:rPr>
                <w:rFonts w:ascii="Calibri" w:eastAsia="Times New Roman" w:hAnsi="Calibri" w:cs="Calibri"/>
                <w:color w:val="000000"/>
                <w:sz w:val="20"/>
                <w:szCs w:val="20"/>
                <w:lang w:val="en-US" w:eastAsia="nl-BE"/>
              </w:rPr>
            </w:pPr>
            <w:r w:rsidRPr="00216F60">
              <w:rPr>
                <w:rFonts w:ascii="Calibri" w:eastAsia="Times New Roman" w:hAnsi="Calibri" w:cs="Calibri"/>
                <w:color w:val="000000"/>
                <w:sz w:val="20"/>
                <w:szCs w:val="20"/>
                <w:lang w:val="en-US" w:eastAsia="nl-BE"/>
              </w:rPr>
              <w:t>M</w:t>
            </w:r>
            <w:r>
              <w:rPr>
                <w:rFonts w:ascii="Calibri" w:eastAsia="Times New Roman" w:hAnsi="Calibri" w:cs="Calibri"/>
                <w:color w:val="000000"/>
                <w:sz w:val="20"/>
                <w:szCs w:val="20"/>
                <w:lang w:val="en-US" w:eastAsia="nl-BE"/>
              </w:rPr>
              <w:t xml:space="preserve">2: </w:t>
            </w:r>
            <w:r w:rsidRPr="00216F60">
              <w:rPr>
                <w:rFonts w:ascii="Calibri" w:eastAsia="Times New Roman" w:hAnsi="Calibri" w:cs="Calibri"/>
                <w:color w:val="000000"/>
                <w:sz w:val="20"/>
                <w:szCs w:val="20"/>
                <w:lang w:val="en-US" w:eastAsia="nl-BE"/>
              </w:rPr>
              <w:t xml:space="preserve">Model with </w:t>
            </w:r>
            <w:r>
              <w:rPr>
                <w:rFonts w:ascii="Calibri" w:eastAsia="Times New Roman" w:hAnsi="Calibri" w:cs="Calibri"/>
                <w:color w:val="000000"/>
                <w:sz w:val="20"/>
                <w:szCs w:val="20"/>
                <w:lang w:val="en-US" w:eastAsia="nl-BE"/>
              </w:rPr>
              <w:t>3 traits and unequal effects of NARS on items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B2643"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3849.32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7B16D"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336</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EA1AE"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.111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D4616"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.956</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68479"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.918</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4DE90"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.040</w:t>
            </w:r>
          </w:p>
        </w:tc>
        <w:tc>
          <w:tcPr>
            <w:tcW w:w="1068" w:type="dxa"/>
            <w:tcBorders>
              <w:top w:val="single" w:sz="4" w:space="0" w:color="auto"/>
              <w:left w:val="single" w:sz="4" w:space="0" w:color="auto"/>
              <w:bottom w:val="single" w:sz="4" w:space="0" w:color="auto"/>
              <w:right w:val="single" w:sz="4" w:space="0" w:color="auto"/>
            </w:tcBorders>
            <w:vAlign w:val="center"/>
          </w:tcPr>
          <w:p w14:paraId="7CAB1486" w14:textId="77777777" w:rsidR="007A6739" w:rsidRPr="00A43875"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361638.37</w:t>
            </w:r>
          </w:p>
        </w:tc>
      </w:tr>
      <w:tr w:rsidR="007A6739" w:rsidRPr="00216F60" w14:paraId="5C9D9A5B" w14:textId="77777777" w:rsidTr="00B070E9">
        <w:trPr>
          <w:trHeight w:val="50"/>
        </w:trPr>
        <w:tc>
          <w:tcPr>
            <w:tcW w:w="8185" w:type="dxa"/>
            <w:gridSpan w:val="2"/>
            <w:tcBorders>
              <w:top w:val="single" w:sz="4" w:space="0" w:color="auto"/>
              <w:left w:val="single" w:sz="4" w:space="0" w:color="auto"/>
              <w:bottom w:val="single" w:sz="4" w:space="0" w:color="auto"/>
              <w:right w:val="single" w:sz="4" w:space="0" w:color="auto"/>
            </w:tcBorders>
          </w:tcPr>
          <w:p w14:paraId="79813C05" w14:textId="77777777" w:rsidR="007A6739" w:rsidRPr="00216F60" w:rsidRDefault="007A6739" w:rsidP="00B070E9">
            <w:pPr>
              <w:spacing w:before="0" w:beforeAutospacing="0" w:after="0" w:afterAutospacing="0" w:line="240" w:lineRule="auto"/>
              <w:ind w:left="640" w:hanging="360"/>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 xml:space="preserve">M3a: </w:t>
            </w:r>
            <w:r w:rsidRPr="00216F60">
              <w:rPr>
                <w:rFonts w:ascii="Calibri" w:eastAsia="Times New Roman" w:hAnsi="Calibri" w:cs="Calibri"/>
                <w:color w:val="000000"/>
                <w:sz w:val="20"/>
                <w:szCs w:val="20"/>
                <w:lang w:val="en-US" w:eastAsia="nl-BE"/>
              </w:rPr>
              <w:t xml:space="preserve">Model with </w:t>
            </w:r>
            <w:r>
              <w:rPr>
                <w:rFonts w:ascii="Calibri" w:eastAsia="Times New Roman" w:hAnsi="Calibri" w:cs="Calibri"/>
                <w:color w:val="000000"/>
                <w:sz w:val="20"/>
                <w:szCs w:val="20"/>
                <w:lang w:val="en-US" w:eastAsia="nl-BE"/>
              </w:rPr>
              <w:t>3 traits and equal effects of NARS on items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8893E"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4113.90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6126D"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448</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D9FA9"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.098</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2FBD9"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.955</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48B92"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.936</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B54C6"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.044</w:t>
            </w:r>
          </w:p>
        </w:tc>
        <w:tc>
          <w:tcPr>
            <w:tcW w:w="1068" w:type="dxa"/>
            <w:tcBorders>
              <w:top w:val="single" w:sz="4" w:space="0" w:color="auto"/>
              <w:left w:val="single" w:sz="4" w:space="0" w:color="auto"/>
              <w:bottom w:val="single" w:sz="4" w:space="0" w:color="auto"/>
              <w:right w:val="single" w:sz="4" w:space="0" w:color="auto"/>
            </w:tcBorders>
            <w:vAlign w:val="center"/>
          </w:tcPr>
          <w:p w14:paraId="3DE02FFC" w14:textId="77777777" w:rsidR="007A6739" w:rsidRPr="00A43875"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360851.25</w:t>
            </w:r>
          </w:p>
        </w:tc>
      </w:tr>
      <w:tr w:rsidR="007A6739" w:rsidRPr="00216F60" w14:paraId="42EC6952" w14:textId="77777777" w:rsidTr="00B070E9">
        <w:trPr>
          <w:trHeight w:val="50"/>
        </w:trPr>
        <w:tc>
          <w:tcPr>
            <w:tcW w:w="8185" w:type="dxa"/>
            <w:gridSpan w:val="2"/>
            <w:tcBorders>
              <w:top w:val="single" w:sz="4" w:space="0" w:color="auto"/>
              <w:left w:val="single" w:sz="4" w:space="0" w:color="auto"/>
              <w:bottom w:val="single" w:sz="4" w:space="0" w:color="auto"/>
              <w:right w:val="single" w:sz="4" w:space="0" w:color="auto"/>
            </w:tcBorders>
          </w:tcPr>
          <w:p w14:paraId="25377DA9" w14:textId="77777777" w:rsidR="007A6739" w:rsidRDefault="007A6739" w:rsidP="00B070E9">
            <w:pPr>
              <w:spacing w:before="0" w:beforeAutospacing="0" w:after="0" w:afterAutospacing="0" w:line="240" w:lineRule="auto"/>
              <w:ind w:left="640" w:hanging="360"/>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 xml:space="preserve">M3b: </w:t>
            </w:r>
            <w:r w:rsidRPr="00216F60">
              <w:rPr>
                <w:rFonts w:ascii="Calibri" w:eastAsia="Times New Roman" w:hAnsi="Calibri" w:cs="Calibri"/>
                <w:color w:val="000000"/>
                <w:sz w:val="20"/>
                <w:szCs w:val="20"/>
                <w:lang w:val="en-US" w:eastAsia="nl-BE"/>
              </w:rPr>
              <w:t xml:space="preserve">Model with </w:t>
            </w:r>
            <w:r>
              <w:rPr>
                <w:rFonts w:ascii="Calibri" w:eastAsia="Times New Roman" w:hAnsi="Calibri" w:cs="Calibri"/>
                <w:color w:val="000000"/>
                <w:sz w:val="20"/>
                <w:szCs w:val="20"/>
                <w:lang w:val="en-US" w:eastAsia="nl-BE"/>
              </w:rPr>
              <w:t>3 traits and equal effects of NARS on items (except one item)</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C85BF"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3977.33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3E9EC"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434</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1CE0A"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.098</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A1E2A"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.956</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40482"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.936</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D9B22"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.042</w:t>
            </w:r>
          </w:p>
        </w:tc>
        <w:tc>
          <w:tcPr>
            <w:tcW w:w="1068" w:type="dxa"/>
            <w:tcBorders>
              <w:top w:val="single" w:sz="4" w:space="0" w:color="auto"/>
              <w:left w:val="single" w:sz="4" w:space="0" w:color="auto"/>
              <w:bottom w:val="single" w:sz="4" w:space="0" w:color="auto"/>
              <w:right w:val="single" w:sz="4" w:space="0" w:color="auto"/>
            </w:tcBorders>
            <w:vAlign w:val="center"/>
          </w:tcPr>
          <w:p w14:paraId="0EC55221" w14:textId="77777777" w:rsidR="007A6739" w:rsidRPr="00A43875"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360846.15</w:t>
            </w:r>
          </w:p>
        </w:tc>
      </w:tr>
      <w:tr w:rsidR="007A6739" w:rsidRPr="00216F60" w14:paraId="76572713" w14:textId="77777777" w:rsidTr="00B070E9">
        <w:trPr>
          <w:trHeight w:val="50"/>
        </w:trPr>
        <w:tc>
          <w:tcPr>
            <w:tcW w:w="8185" w:type="dxa"/>
            <w:gridSpan w:val="2"/>
            <w:tcBorders>
              <w:top w:val="single" w:sz="4" w:space="0" w:color="auto"/>
              <w:left w:val="single" w:sz="4" w:space="0" w:color="auto"/>
              <w:bottom w:val="single" w:sz="4" w:space="0" w:color="auto"/>
              <w:right w:val="single" w:sz="4" w:space="0" w:color="auto"/>
            </w:tcBorders>
          </w:tcPr>
          <w:p w14:paraId="02914483" w14:textId="77777777" w:rsidR="007A6739" w:rsidRPr="00216F60" w:rsidRDefault="007A6739" w:rsidP="00B070E9">
            <w:pPr>
              <w:spacing w:before="0" w:beforeAutospacing="0" w:after="0" w:afterAutospacing="0" w:line="240" w:lineRule="auto"/>
              <w:ind w:left="640" w:hanging="360"/>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M4: Model with 3 traits and 2 correlated method factors, no effects of NARS on items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E0147"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2092.47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3B04D"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364</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F4A99"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.075</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D9424"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.979</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90AA2"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.963</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9D5BA"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.052</w:t>
            </w:r>
          </w:p>
        </w:tc>
        <w:tc>
          <w:tcPr>
            <w:tcW w:w="1068" w:type="dxa"/>
            <w:tcBorders>
              <w:top w:val="single" w:sz="4" w:space="0" w:color="auto"/>
              <w:left w:val="single" w:sz="4" w:space="0" w:color="auto"/>
              <w:bottom w:val="single" w:sz="4" w:space="0" w:color="auto"/>
              <w:right w:val="single" w:sz="4" w:space="0" w:color="auto"/>
            </w:tcBorders>
            <w:vAlign w:val="center"/>
          </w:tcPr>
          <w:p w14:paraId="5148F120" w14:textId="77777777" w:rsidR="007A6739" w:rsidRPr="00A43875"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359618.60</w:t>
            </w:r>
          </w:p>
        </w:tc>
      </w:tr>
      <w:tr w:rsidR="007A6739" w:rsidRPr="00216F60" w14:paraId="6CDA83AB" w14:textId="77777777" w:rsidTr="00B070E9">
        <w:trPr>
          <w:trHeight w:val="50"/>
        </w:trPr>
        <w:tc>
          <w:tcPr>
            <w:tcW w:w="8185" w:type="dxa"/>
            <w:gridSpan w:val="2"/>
            <w:tcBorders>
              <w:top w:val="single" w:sz="4" w:space="0" w:color="auto"/>
              <w:left w:val="single" w:sz="4" w:space="0" w:color="auto"/>
              <w:bottom w:val="single" w:sz="4" w:space="0" w:color="auto"/>
              <w:right w:val="single" w:sz="4" w:space="0" w:color="auto"/>
            </w:tcBorders>
          </w:tcPr>
          <w:p w14:paraId="0882FB91" w14:textId="77777777" w:rsidR="007A6739" w:rsidRPr="00216F60" w:rsidRDefault="007A6739" w:rsidP="00B070E9">
            <w:pPr>
              <w:spacing w:before="0" w:beforeAutospacing="0" w:after="0" w:afterAutospacing="0" w:line="240" w:lineRule="auto"/>
              <w:ind w:left="640" w:hanging="360"/>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M5: Model with 3 traits and 2 uncorrelated method factors, no effects of NARS on items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9A04D"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2870.98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76D69"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378</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D1AE6"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.088</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DEDE0"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.969</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BA22F"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.949</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9D000"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.053</w:t>
            </w:r>
          </w:p>
        </w:tc>
        <w:tc>
          <w:tcPr>
            <w:tcW w:w="1068" w:type="dxa"/>
            <w:tcBorders>
              <w:top w:val="single" w:sz="4" w:space="0" w:color="auto"/>
              <w:left w:val="single" w:sz="4" w:space="0" w:color="auto"/>
              <w:bottom w:val="single" w:sz="4" w:space="0" w:color="auto"/>
              <w:right w:val="single" w:sz="4" w:space="0" w:color="auto"/>
            </w:tcBorders>
            <w:vAlign w:val="center"/>
          </w:tcPr>
          <w:p w14:paraId="461D4B31" w14:textId="77777777" w:rsidR="007A6739" w:rsidRPr="00A43875"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360265.64</w:t>
            </w:r>
          </w:p>
        </w:tc>
      </w:tr>
      <w:tr w:rsidR="007A6739" w:rsidRPr="00216F60" w14:paraId="786A6CE0" w14:textId="77777777" w:rsidTr="00B070E9">
        <w:trPr>
          <w:trHeight w:val="288"/>
        </w:trPr>
        <w:tc>
          <w:tcPr>
            <w:tcW w:w="8185" w:type="dxa"/>
            <w:gridSpan w:val="2"/>
            <w:tcBorders>
              <w:top w:val="single" w:sz="4" w:space="0" w:color="auto"/>
              <w:left w:val="single" w:sz="4" w:space="0" w:color="auto"/>
              <w:bottom w:val="single" w:sz="4" w:space="0" w:color="auto"/>
              <w:right w:val="single" w:sz="4" w:space="0" w:color="auto"/>
            </w:tcBorders>
          </w:tcPr>
          <w:p w14:paraId="15FA3467" w14:textId="77777777" w:rsidR="007A6739" w:rsidRDefault="007A6739" w:rsidP="00B070E9">
            <w:pPr>
              <w:spacing w:before="0" w:beforeAutospacing="0" w:after="0" w:afterAutospacing="0" w:line="240" w:lineRule="auto"/>
              <w:ind w:left="640" w:hanging="360"/>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M6: Model with 3 traits and 2 correlated method factors (equal method loadings within each method factor), no effects of NARS on items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921DE"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2196.79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5224E"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420</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1F050"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.070</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D0F25"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.978</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ACF5E"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.967</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20338"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.052</w:t>
            </w:r>
          </w:p>
        </w:tc>
        <w:tc>
          <w:tcPr>
            <w:tcW w:w="1068" w:type="dxa"/>
            <w:tcBorders>
              <w:top w:val="single" w:sz="4" w:space="0" w:color="auto"/>
              <w:left w:val="single" w:sz="4" w:space="0" w:color="auto"/>
              <w:bottom w:val="single" w:sz="4" w:space="0" w:color="auto"/>
              <w:right w:val="single" w:sz="4" w:space="0" w:color="auto"/>
            </w:tcBorders>
            <w:vAlign w:val="center"/>
          </w:tcPr>
          <w:p w14:paraId="66F24C6A" w14:textId="77777777" w:rsidR="007A6739" w:rsidRPr="00E83C77"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359197.07</w:t>
            </w:r>
          </w:p>
        </w:tc>
      </w:tr>
      <w:tr w:rsidR="007A6739" w:rsidRPr="00216F60" w14:paraId="5F542A65" w14:textId="77777777" w:rsidTr="00B070E9">
        <w:trPr>
          <w:trHeight w:val="288"/>
        </w:trPr>
        <w:tc>
          <w:tcPr>
            <w:tcW w:w="8185" w:type="dxa"/>
            <w:gridSpan w:val="2"/>
            <w:tcBorders>
              <w:top w:val="single" w:sz="4" w:space="0" w:color="auto"/>
              <w:left w:val="single" w:sz="4" w:space="0" w:color="auto"/>
              <w:bottom w:val="single" w:sz="4" w:space="0" w:color="auto"/>
              <w:right w:val="single" w:sz="4" w:space="0" w:color="auto"/>
            </w:tcBorders>
          </w:tcPr>
          <w:p w14:paraId="25DFBC92" w14:textId="77777777" w:rsidR="007A6739" w:rsidRDefault="007A6739" w:rsidP="00B070E9">
            <w:pPr>
              <w:spacing w:before="0" w:beforeAutospacing="0" w:after="0" w:afterAutospacing="0" w:line="240" w:lineRule="auto"/>
              <w:ind w:left="640" w:hanging="360"/>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M7: Model with 3 traits and 2 uncorrelated method factors (equal method loadings within each method factor), no effects of NARS on items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1F5CC"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2985.45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F54E5"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434</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8C176"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.083</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2B7C4"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.968</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0A342"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.954</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F8A3" w14:textId="77777777" w:rsidR="007A6739"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.054</w:t>
            </w:r>
          </w:p>
        </w:tc>
        <w:tc>
          <w:tcPr>
            <w:tcW w:w="1068" w:type="dxa"/>
            <w:tcBorders>
              <w:top w:val="single" w:sz="4" w:space="0" w:color="auto"/>
              <w:left w:val="single" w:sz="4" w:space="0" w:color="auto"/>
              <w:bottom w:val="single" w:sz="4" w:space="0" w:color="auto"/>
              <w:right w:val="single" w:sz="4" w:space="0" w:color="auto"/>
            </w:tcBorders>
            <w:vAlign w:val="center"/>
          </w:tcPr>
          <w:p w14:paraId="74D66100" w14:textId="77777777" w:rsidR="007A6739" w:rsidRPr="004147DD"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sidRPr="004147DD">
              <w:rPr>
                <w:rFonts w:ascii="Calibri" w:eastAsia="Times New Roman" w:hAnsi="Calibri" w:cs="Calibri"/>
                <w:color w:val="000000"/>
                <w:sz w:val="20"/>
                <w:szCs w:val="20"/>
                <w:lang w:val="en-US" w:eastAsia="nl-BE"/>
              </w:rPr>
              <w:t>359854.27</w:t>
            </w:r>
          </w:p>
        </w:tc>
      </w:tr>
      <w:tr w:rsidR="007A6739" w:rsidRPr="00216F60" w14:paraId="7AB7DEA4" w14:textId="77777777" w:rsidTr="00B070E9">
        <w:trPr>
          <w:trHeight w:val="288"/>
        </w:trPr>
        <w:tc>
          <w:tcPr>
            <w:tcW w:w="8185" w:type="dxa"/>
            <w:gridSpan w:val="2"/>
            <w:tcBorders>
              <w:top w:val="single" w:sz="4" w:space="0" w:color="auto"/>
              <w:left w:val="single" w:sz="4" w:space="0" w:color="auto"/>
              <w:bottom w:val="single" w:sz="4" w:space="0" w:color="auto"/>
              <w:right w:val="single" w:sz="4" w:space="0" w:color="auto"/>
            </w:tcBorders>
          </w:tcPr>
          <w:p w14:paraId="3AEB4606" w14:textId="77777777" w:rsidR="007A6739" w:rsidRPr="00216F60" w:rsidRDefault="007A6739" w:rsidP="00B070E9">
            <w:pPr>
              <w:spacing w:before="0" w:beforeAutospacing="0" w:after="0" w:afterAutospacing="0" w:line="240" w:lineRule="auto"/>
              <w:ind w:left="640" w:hanging="360"/>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M8: Model with 3 traits and 2 correlated method factors (equal method loadings within each method factor), equal effects of NARS on items (except one item)</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A2C25" w14:textId="77777777" w:rsidR="007A6739" w:rsidRPr="00A30AC6"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sidRPr="00A30AC6">
              <w:rPr>
                <w:rFonts w:ascii="Calibri" w:eastAsia="Times New Roman" w:hAnsi="Calibri" w:cs="Calibri"/>
                <w:color w:val="000000"/>
                <w:sz w:val="20"/>
                <w:szCs w:val="20"/>
                <w:lang w:val="en-US" w:eastAsia="nl-BE"/>
              </w:rPr>
              <w:t>1893.06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C6AB9" w14:textId="77777777" w:rsidR="007A6739" w:rsidRPr="00A30AC6"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sidRPr="00A30AC6">
              <w:rPr>
                <w:rFonts w:ascii="Calibri" w:eastAsia="Times New Roman" w:hAnsi="Calibri" w:cs="Calibri"/>
                <w:color w:val="000000"/>
                <w:sz w:val="20"/>
                <w:szCs w:val="20"/>
                <w:lang w:val="en-US" w:eastAsia="nl-BE"/>
              </w:rPr>
              <w:t>392</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7089B" w14:textId="77777777" w:rsidR="007A6739" w:rsidRPr="00A30AC6"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sidRPr="00A30AC6">
              <w:rPr>
                <w:rFonts w:ascii="Calibri" w:eastAsia="Times New Roman" w:hAnsi="Calibri" w:cs="Calibri"/>
                <w:color w:val="000000"/>
                <w:sz w:val="20"/>
                <w:szCs w:val="20"/>
                <w:lang w:val="en-US" w:eastAsia="nl-BE"/>
              </w:rPr>
              <w:t>.067</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21480" w14:textId="77777777" w:rsidR="007A6739" w:rsidRPr="00A30AC6"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sidRPr="00A30AC6">
              <w:rPr>
                <w:rFonts w:ascii="Calibri" w:eastAsia="Times New Roman" w:hAnsi="Calibri" w:cs="Calibri"/>
                <w:color w:val="000000"/>
                <w:sz w:val="20"/>
                <w:szCs w:val="20"/>
                <w:lang w:val="en-US" w:eastAsia="nl-BE"/>
              </w:rPr>
              <w:t>.981</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94572" w14:textId="77777777" w:rsidR="007A6739" w:rsidRPr="00A30AC6"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sidRPr="00A30AC6">
              <w:rPr>
                <w:rFonts w:ascii="Calibri" w:eastAsia="Times New Roman" w:hAnsi="Calibri" w:cs="Calibri"/>
                <w:color w:val="000000"/>
                <w:sz w:val="20"/>
                <w:szCs w:val="20"/>
                <w:lang w:val="en-US" w:eastAsia="nl-BE"/>
              </w:rPr>
              <w:t>.970</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A032E" w14:textId="77777777" w:rsidR="007A6739" w:rsidRPr="00A30AC6"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sidRPr="00A30AC6">
              <w:rPr>
                <w:rFonts w:ascii="Calibri" w:eastAsia="Times New Roman" w:hAnsi="Calibri" w:cs="Calibri"/>
                <w:color w:val="000000"/>
                <w:sz w:val="20"/>
                <w:szCs w:val="20"/>
                <w:lang w:val="en-US" w:eastAsia="nl-BE"/>
              </w:rPr>
              <w:t>.038</w:t>
            </w:r>
          </w:p>
        </w:tc>
        <w:tc>
          <w:tcPr>
            <w:tcW w:w="1068" w:type="dxa"/>
            <w:tcBorders>
              <w:top w:val="single" w:sz="4" w:space="0" w:color="auto"/>
              <w:left w:val="single" w:sz="4" w:space="0" w:color="auto"/>
              <w:bottom w:val="single" w:sz="4" w:space="0" w:color="auto"/>
              <w:right w:val="single" w:sz="4" w:space="0" w:color="auto"/>
            </w:tcBorders>
            <w:vAlign w:val="center"/>
          </w:tcPr>
          <w:p w14:paraId="2C48AA3E" w14:textId="77777777" w:rsidR="007A6739" w:rsidRPr="00A30AC6"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sidRPr="00A30AC6">
              <w:rPr>
                <w:rFonts w:ascii="Calibri" w:eastAsia="Times New Roman" w:hAnsi="Calibri" w:cs="Calibri"/>
                <w:color w:val="000000"/>
                <w:sz w:val="20"/>
                <w:szCs w:val="20"/>
                <w:lang w:val="en-US" w:eastAsia="nl-BE"/>
              </w:rPr>
              <w:t>359156.27</w:t>
            </w:r>
          </w:p>
        </w:tc>
      </w:tr>
      <w:tr w:rsidR="007A6739" w:rsidRPr="004A2EFF" w14:paraId="04253033" w14:textId="77777777" w:rsidTr="00B070E9">
        <w:trPr>
          <w:trHeight w:val="288"/>
        </w:trPr>
        <w:tc>
          <w:tcPr>
            <w:tcW w:w="8185" w:type="dxa"/>
            <w:gridSpan w:val="2"/>
            <w:tcBorders>
              <w:top w:val="single" w:sz="4" w:space="0" w:color="auto"/>
              <w:left w:val="single" w:sz="4" w:space="0" w:color="auto"/>
              <w:bottom w:val="single" w:sz="4" w:space="0" w:color="auto"/>
              <w:right w:val="single" w:sz="4" w:space="0" w:color="auto"/>
            </w:tcBorders>
          </w:tcPr>
          <w:p w14:paraId="7AE53CC6" w14:textId="77777777" w:rsidR="007A6739" w:rsidRPr="00216F60" w:rsidRDefault="007A6739" w:rsidP="00B070E9">
            <w:pPr>
              <w:spacing w:before="0" w:beforeAutospacing="0" w:after="0" w:afterAutospacing="0" w:line="240" w:lineRule="auto"/>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 xml:space="preserve">Models with invariance constraints across countries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97A3B"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2FE7A"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96E61"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C53D6"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8EEFD"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54D3B"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p>
        </w:tc>
        <w:tc>
          <w:tcPr>
            <w:tcW w:w="1068" w:type="dxa"/>
            <w:tcBorders>
              <w:top w:val="single" w:sz="4" w:space="0" w:color="auto"/>
              <w:left w:val="single" w:sz="4" w:space="0" w:color="auto"/>
              <w:bottom w:val="single" w:sz="4" w:space="0" w:color="auto"/>
              <w:right w:val="single" w:sz="4" w:space="0" w:color="auto"/>
            </w:tcBorders>
            <w:vAlign w:val="center"/>
          </w:tcPr>
          <w:p w14:paraId="1580AACD" w14:textId="77777777" w:rsidR="007A6739" w:rsidRPr="00216F60" w:rsidRDefault="007A6739" w:rsidP="00B070E9">
            <w:pPr>
              <w:spacing w:before="0" w:beforeAutospacing="0" w:after="0" w:afterAutospacing="0" w:line="240" w:lineRule="auto"/>
              <w:jc w:val="right"/>
              <w:rPr>
                <w:rFonts w:ascii="Calibri" w:eastAsia="Times New Roman" w:hAnsi="Calibri" w:cs="Calibri"/>
                <w:b/>
                <w:bCs/>
                <w:color w:val="000000"/>
                <w:sz w:val="20"/>
                <w:szCs w:val="20"/>
                <w:lang w:val="en-US" w:eastAsia="nl-BE"/>
              </w:rPr>
            </w:pPr>
          </w:p>
        </w:tc>
      </w:tr>
      <w:tr w:rsidR="007A6739" w:rsidRPr="00216F60" w14:paraId="0513F24C" w14:textId="77777777" w:rsidTr="00B070E9">
        <w:trPr>
          <w:trHeight w:val="288"/>
        </w:trPr>
        <w:tc>
          <w:tcPr>
            <w:tcW w:w="8185" w:type="dxa"/>
            <w:gridSpan w:val="2"/>
            <w:tcBorders>
              <w:top w:val="single" w:sz="4" w:space="0" w:color="auto"/>
              <w:left w:val="single" w:sz="4" w:space="0" w:color="auto"/>
              <w:bottom w:val="single" w:sz="4" w:space="0" w:color="auto"/>
              <w:right w:val="single" w:sz="4" w:space="0" w:color="auto"/>
            </w:tcBorders>
          </w:tcPr>
          <w:p w14:paraId="21B6D112" w14:textId="77777777" w:rsidR="007A6739" w:rsidRPr="00216F60" w:rsidRDefault="007A6739" w:rsidP="00B070E9">
            <w:pPr>
              <w:spacing w:before="0" w:beforeAutospacing="0" w:after="0" w:afterAutospacing="0" w:line="240" w:lineRule="auto"/>
              <w:ind w:left="730" w:hanging="450"/>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M9: M8 with invariant substantive (trait) loadings across countries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F7062"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2316.66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75F6F"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470</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4D44E"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.068</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189E7"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.977</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44D65"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.969</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9D383"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.051</w:t>
            </w:r>
          </w:p>
        </w:tc>
        <w:tc>
          <w:tcPr>
            <w:tcW w:w="1068" w:type="dxa"/>
            <w:tcBorders>
              <w:top w:val="single" w:sz="4" w:space="0" w:color="auto"/>
              <w:left w:val="single" w:sz="4" w:space="0" w:color="auto"/>
              <w:bottom w:val="single" w:sz="4" w:space="0" w:color="auto"/>
              <w:right w:val="single" w:sz="4" w:space="0" w:color="auto"/>
            </w:tcBorders>
            <w:vAlign w:val="center"/>
          </w:tcPr>
          <w:p w14:paraId="36D42ECB"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358847.43</w:t>
            </w:r>
          </w:p>
        </w:tc>
      </w:tr>
      <w:tr w:rsidR="007A6739" w:rsidRPr="00216F60" w14:paraId="0DBC31F8" w14:textId="77777777" w:rsidTr="00B070E9">
        <w:trPr>
          <w:trHeight w:val="288"/>
        </w:trPr>
        <w:tc>
          <w:tcPr>
            <w:tcW w:w="8185" w:type="dxa"/>
            <w:gridSpan w:val="2"/>
            <w:tcBorders>
              <w:top w:val="single" w:sz="4" w:space="0" w:color="auto"/>
              <w:left w:val="single" w:sz="4" w:space="0" w:color="auto"/>
              <w:bottom w:val="single" w:sz="4" w:space="0" w:color="auto"/>
              <w:right w:val="single" w:sz="4" w:space="0" w:color="auto"/>
            </w:tcBorders>
          </w:tcPr>
          <w:p w14:paraId="69430B33" w14:textId="77777777" w:rsidR="007A6739" w:rsidRPr="00216F60" w:rsidRDefault="007A6739" w:rsidP="00B070E9">
            <w:pPr>
              <w:spacing w:before="0" w:beforeAutospacing="0" w:after="0" w:afterAutospacing="0" w:line="240" w:lineRule="auto"/>
              <w:ind w:left="730" w:hanging="450"/>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M10: M9 with partially invariant substantive (trait) loadings across countries</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18934"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2146.01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97C63"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463</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5BC67" w14:textId="77777777" w:rsidR="007A6739" w:rsidRPr="00690E63" w:rsidRDefault="007A6739" w:rsidP="00B070E9">
            <w:pPr>
              <w:spacing w:before="0" w:beforeAutospacing="0" w:after="0" w:afterAutospacing="0" w:line="240" w:lineRule="auto"/>
              <w:jc w:val="right"/>
              <w:rPr>
                <w:rFonts w:ascii="Calibri" w:eastAsia="Times New Roman" w:hAnsi="Calibri" w:cs="Calibri"/>
                <w:b/>
                <w:bCs/>
                <w:color w:val="000000"/>
                <w:sz w:val="20"/>
                <w:szCs w:val="20"/>
                <w:lang w:val="en-US" w:eastAsia="nl-BE"/>
              </w:rPr>
            </w:pPr>
            <w:r w:rsidRPr="00690E63">
              <w:rPr>
                <w:rFonts w:ascii="Calibri" w:eastAsia="Times New Roman" w:hAnsi="Calibri" w:cs="Calibri"/>
                <w:b/>
                <w:bCs/>
                <w:color w:val="000000"/>
                <w:sz w:val="20"/>
                <w:szCs w:val="20"/>
                <w:lang w:val="en-US" w:eastAsia="nl-BE"/>
              </w:rPr>
              <w:t>.065</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99E79"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.979</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166BF" w14:textId="77777777" w:rsidR="007A6739" w:rsidRPr="00690E63" w:rsidRDefault="007A6739" w:rsidP="00B070E9">
            <w:pPr>
              <w:spacing w:before="0" w:beforeAutospacing="0" w:after="0" w:afterAutospacing="0" w:line="240" w:lineRule="auto"/>
              <w:jc w:val="right"/>
              <w:rPr>
                <w:rFonts w:ascii="Calibri" w:eastAsia="Times New Roman" w:hAnsi="Calibri" w:cs="Calibri"/>
                <w:b/>
                <w:bCs/>
                <w:color w:val="000000"/>
                <w:sz w:val="20"/>
                <w:szCs w:val="20"/>
                <w:lang w:val="en-US" w:eastAsia="nl-BE"/>
              </w:rPr>
            </w:pPr>
            <w:r w:rsidRPr="00690E63">
              <w:rPr>
                <w:rFonts w:ascii="Calibri" w:eastAsia="Times New Roman" w:hAnsi="Calibri" w:cs="Calibri"/>
                <w:b/>
                <w:bCs/>
                <w:color w:val="000000"/>
                <w:sz w:val="20"/>
                <w:szCs w:val="20"/>
                <w:lang w:val="en-US" w:eastAsia="nl-BE"/>
              </w:rPr>
              <w:t>.972</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F583E" w14:textId="77777777" w:rsidR="007A6739" w:rsidRPr="00216F60" w:rsidRDefault="007A6739" w:rsidP="00B070E9">
            <w:pPr>
              <w:spacing w:before="0" w:beforeAutospacing="0" w:after="0" w:afterAutospacing="0" w:line="240" w:lineRule="auto"/>
              <w:jc w:val="right"/>
              <w:rPr>
                <w:rFonts w:ascii="Calibri" w:eastAsia="Times New Roman" w:hAnsi="Calibri" w:cs="Calibri"/>
                <w:color w:val="000000"/>
                <w:sz w:val="20"/>
                <w:szCs w:val="20"/>
                <w:lang w:val="en-US" w:eastAsia="nl-BE"/>
              </w:rPr>
            </w:pPr>
            <w:r>
              <w:rPr>
                <w:rFonts w:ascii="Calibri" w:eastAsia="Times New Roman" w:hAnsi="Calibri" w:cs="Calibri"/>
                <w:color w:val="000000"/>
                <w:sz w:val="20"/>
                <w:szCs w:val="20"/>
                <w:lang w:val="en-US" w:eastAsia="nl-BE"/>
              </w:rPr>
              <w:t>.045</w:t>
            </w:r>
          </w:p>
        </w:tc>
        <w:tc>
          <w:tcPr>
            <w:tcW w:w="1068" w:type="dxa"/>
            <w:tcBorders>
              <w:top w:val="single" w:sz="4" w:space="0" w:color="auto"/>
              <w:left w:val="single" w:sz="4" w:space="0" w:color="auto"/>
              <w:bottom w:val="single" w:sz="4" w:space="0" w:color="auto"/>
              <w:right w:val="single" w:sz="4" w:space="0" w:color="auto"/>
            </w:tcBorders>
            <w:vAlign w:val="center"/>
          </w:tcPr>
          <w:p w14:paraId="50093ED4" w14:textId="77777777" w:rsidR="007A6739" w:rsidRPr="00690E63" w:rsidRDefault="007A6739" w:rsidP="00B070E9">
            <w:pPr>
              <w:spacing w:before="0" w:beforeAutospacing="0" w:after="0" w:afterAutospacing="0" w:line="240" w:lineRule="auto"/>
              <w:jc w:val="right"/>
              <w:rPr>
                <w:rFonts w:ascii="Calibri" w:eastAsia="Times New Roman" w:hAnsi="Calibri" w:cs="Calibri"/>
                <w:b/>
                <w:bCs/>
                <w:color w:val="000000"/>
                <w:sz w:val="20"/>
                <w:szCs w:val="20"/>
                <w:lang w:val="en-US" w:eastAsia="nl-BE"/>
              </w:rPr>
            </w:pPr>
            <w:r w:rsidRPr="00690E63">
              <w:rPr>
                <w:rFonts w:ascii="Calibri" w:eastAsia="Times New Roman" w:hAnsi="Calibri" w:cs="Calibri"/>
                <w:b/>
                <w:bCs/>
                <w:color w:val="000000"/>
                <w:sz w:val="20"/>
                <w:szCs w:val="20"/>
                <w:lang w:val="en-US" w:eastAsia="nl-BE"/>
              </w:rPr>
              <w:t>358742.51</w:t>
            </w:r>
          </w:p>
        </w:tc>
      </w:tr>
    </w:tbl>
    <w:p w14:paraId="07D5C09A" w14:textId="77777777" w:rsidR="007A6739" w:rsidRDefault="007A6739" w:rsidP="00B070E9">
      <w:pPr>
        <w:spacing w:before="0" w:beforeAutospacing="0" w:after="160" w:afterAutospacing="0" w:line="259" w:lineRule="auto"/>
        <w:rPr>
          <w:lang w:val="en-US"/>
        </w:rPr>
      </w:pPr>
    </w:p>
    <w:p w14:paraId="2E4A8EB1" w14:textId="77777777" w:rsidR="007A6739" w:rsidRDefault="007A6739" w:rsidP="00B070E9">
      <w:pPr>
        <w:spacing w:before="0" w:beforeAutospacing="0" w:after="160" w:afterAutospacing="0" w:line="259" w:lineRule="auto"/>
        <w:rPr>
          <w:lang w:val="en-US"/>
        </w:rPr>
        <w:sectPr w:rsidR="007A6739" w:rsidSect="00B070E9">
          <w:pgSz w:w="16838" w:h="11906" w:orient="landscape"/>
          <w:pgMar w:top="1417" w:right="1417" w:bottom="1417" w:left="1417" w:header="708" w:footer="708" w:gutter="0"/>
          <w:cols w:space="708"/>
          <w:docGrid w:linePitch="360"/>
        </w:sectPr>
      </w:pPr>
      <w:r>
        <w:rPr>
          <w:lang w:val="en-US"/>
        </w:rPr>
        <w:t xml:space="preserve">Note: The model with the lowest (for badness-of-fit measures) and highest (for goodness-of-fit measures) fit measures that take into account model parsimony are shown in boldface. Model M10, the best-fitting model based on the fit measures that take into account model parsimony, imposes partial metric invariance (7 substantive loadings are freely estimated in various countries). </w:t>
      </w:r>
    </w:p>
    <w:p w14:paraId="7D50DF5C" w14:textId="77777777" w:rsidR="007A6739" w:rsidRPr="00216F60" w:rsidRDefault="007A6739">
      <w:pPr>
        <w:spacing w:before="0" w:beforeAutospacing="0" w:after="160" w:afterAutospacing="0" w:line="259" w:lineRule="auto"/>
        <w:rPr>
          <w:lang w:val="en-US"/>
        </w:rPr>
      </w:pPr>
    </w:p>
    <w:p w14:paraId="347C587A" w14:textId="77777777" w:rsidR="005B487D" w:rsidRDefault="007A6739" w:rsidP="005B487D">
      <w:pPr>
        <w:spacing w:before="0" w:beforeAutospacing="0" w:after="0" w:afterAutospacing="0"/>
        <w:jc w:val="center"/>
        <w:rPr>
          <w:caps/>
          <w:lang w:val="en-US"/>
        </w:rPr>
      </w:pPr>
      <w:r w:rsidRPr="00AE684C">
        <w:rPr>
          <w:caps/>
          <w:lang w:val="en-US"/>
        </w:rPr>
        <w:t xml:space="preserve">Table 6. </w:t>
      </w:r>
    </w:p>
    <w:p w14:paraId="2295BC11" w14:textId="427242E0" w:rsidR="007A6739" w:rsidRPr="00AE684C" w:rsidRDefault="007A6739" w:rsidP="005B487D">
      <w:pPr>
        <w:spacing w:before="0" w:beforeAutospacing="0" w:after="0" w:afterAutospacing="0"/>
        <w:jc w:val="center"/>
        <w:rPr>
          <w:caps/>
          <w:lang w:val="en-US"/>
        </w:rPr>
      </w:pPr>
      <w:r w:rsidRPr="00AE684C">
        <w:rPr>
          <w:caps/>
          <w:lang w:val="en-US"/>
        </w:rPr>
        <w:t>Composite reliability, average variance extracted, and shared variance for models M1 and M10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1416"/>
        <w:gridCol w:w="1416"/>
        <w:gridCol w:w="1416"/>
        <w:gridCol w:w="1741"/>
        <w:gridCol w:w="222"/>
        <w:gridCol w:w="1416"/>
        <w:gridCol w:w="1416"/>
        <w:gridCol w:w="1416"/>
        <w:gridCol w:w="1741"/>
      </w:tblGrid>
      <w:tr w:rsidR="007A6739" w:rsidRPr="00DD0A1C" w14:paraId="04008ED7" w14:textId="77777777" w:rsidTr="00B070E9">
        <w:tc>
          <w:tcPr>
            <w:tcW w:w="0" w:type="auto"/>
            <w:tcBorders>
              <w:top w:val="single" w:sz="4" w:space="0" w:color="auto"/>
            </w:tcBorders>
          </w:tcPr>
          <w:p w14:paraId="655CA487" w14:textId="77777777" w:rsidR="007A6739" w:rsidRPr="00DD0A1C" w:rsidRDefault="007A6739" w:rsidP="00B070E9">
            <w:pPr>
              <w:spacing w:before="0" w:beforeAutospacing="0" w:after="120" w:afterAutospacing="0" w:line="240" w:lineRule="auto"/>
              <w:rPr>
                <w:sz w:val="18"/>
                <w:szCs w:val="20"/>
                <w:lang w:val="en-US"/>
              </w:rPr>
            </w:pPr>
          </w:p>
        </w:tc>
        <w:tc>
          <w:tcPr>
            <w:tcW w:w="0" w:type="auto"/>
            <w:gridSpan w:val="4"/>
            <w:tcBorders>
              <w:top w:val="single" w:sz="4" w:space="0" w:color="auto"/>
              <w:bottom w:val="single" w:sz="4" w:space="0" w:color="auto"/>
            </w:tcBorders>
          </w:tcPr>
          <w:p w14:paraId="2E20AC68" w14:textId="77777777" w:rsidR="007A6739" w:rsidRPr="00DD0A1C" w:rsidRDefault="007A6739" w:rsidP="00B070E9">
            <w:pPr>
              <w:spacing w:before="120" w:beforeAutospacing="0" w:after="0" w:afterAutospacing="0" w:line="240" w:lineRule="auto"/>
              <w:jc w:val="center"/>
              <w:rPr>
                <w:sz w:val="18"/>
                <w:szCs w:val="20"/>
                <w:lang w:val="en-US"/>
              </w:rPr>
            </w:pPr>
            <w:r w:rsidRPr="00DD0A1C">
              <w:rPr>
                <w:sz w:val="18"/>
                <w:szCs w:val="20"/>
                <w:lang w:val="en-US"/>
              </w:rPr>
              <w:t>Baseline model without method effects</w:t>
            </w:r>
          </w:p>
          <w:p w14:paraId="3682D1B2" w14:textId="77777777" w:rsidR="007A6739" w:rsidRPr="00DD0A1C" w:rsidRDefault="007A6739" w:rsidP="00B070E9">
            <w:pPr>
              <w:spacing w:before="0" w:beforeAutospacing="0" w:after="120" w:afterAutospacing="0" w:line="240" w:lineRule="auto"/>
              <w:jc w:val="center"/>
              <w:rPr>
                <w:sz w:val="18"/>
                <w:szCs w:val="20"/>
                <w:lang w:val="en-US"/>
              </w:rPr>
            </w:pPr>
            <w:r w:rsidRPr="00DD0A1C">
              <w:rPr>
                <w:sz w:val="18"/>
                <w:szCs w:val="20"/>
                <w:lang w:val="en-US"/>
              </w:rPr>
              <w:t>(Model M1)</w:t>
            </w:r>
          </w:p>
        </w:tc>
        <w:tc>
          <w:tcPr>
            <w:tcW w:w="0" w:type="auto"/>
            <w:tcBorders>
              <w:top w:val="single" w:sz="4" w:space="0" w:color="auto"/>
            </w:tcBorders>
          </w:tcPr>
          <w:p w14:paraId="53B3712E" w14:textId="77777777" w:rsidR="007A6739" w:rsidRPr="00DD0A1C" w:rsidRDefault="007A6739" w:rsidP="00B070E9">
            <w:pPr>
              <w:spacing w:before="120" w:beforeAutospacing="0" w:after="0" w:afterAutospacing="0" w:line="240" w:lineRule="auto"/>
              <w:jc w:val="center"/>
              <w:rPr>
                <w:sz w:val="18"/>
                <w:szCs w:val="20"/>
                <w:lang w:val="en-US"/>
              </w:rPr>
            </w:pPr>
          </w:p>
        </w:tc>
        <w:tc>
          <w:tcPr>
            <w:tcW w:w="0" w:type="auto"/>
            <w:gridSpan w:val="4"/>
            <w:tcBorders>
              <w:top w:val="single" w:sz="4" w:space="0" w:color="auto"/>
              <w:bottom w:val="single" w:sz="4" w:space="0" w:color="auto"/>
            </w:tcBorders>
          </w:tcPr>
          <w:p w14:paraId="2609D18C" w14:textId="77777777" w:rsidR="007A6739" w:rsidRPr="00DD0A1C" w:rsidRDefault="007A6739" w:rsidP="00B070E9">
            <w:pPr>
              <w:spacing w:before="120" w:beforeAutospacing="0" w:after="0" w:afterAutospacing="0" w:line="240" w:lineRule="auto"/>
              <w:jc w:val="center"/>
              <w:rPr>
                <w:sz w:val="18"/>
                <w:szCs w:val="20"/>
                <w:lang w:val="en-US"/>
              </w:rPr>
            </w:pPr>
            <w:r w:rsidRPr="00DD0A1C">
              <w:rPr>
                <w:sz w:val="18"/>
                <w:szCs w:val="20"/>
                <w:lang w:val="en-US"/>
              </w:rPr>
              <w:t>Final partial metric invariance model with method effects</w:t>
            </w:r>
          </w:p>
          <w:p w14:paraId="61B8A78C" w14:textId="77777777" w:rsidR="007A6739" w:rsidRPr="00DD0A1C" w:rsidRDefault="007A6739" w:rsidP="00B070E9">
            <w:pPr>
              <w:spacing w:before="0" w:beforeAutospacing="0" w:after="120" w:afterAutospacing="0" w:line="240" w:lineRule="auto"/>
              <w:jc w:val="center"/>
              <w:rPr>
                <w:sz w:val="18"/>
                <w:szCs w:val="20"/>
                <w:lang w:val="en-US"/>
              </w:rPr>
            </w:pPr>
            <w:r w:rsidRPr="00DD0A1C">
              <w:rPr>
                <w:sz w:val="18"/>
                <w:szCs w:val="20"/>
                <w:lang w:val="en-US"/>
              </w:rPr>
              <w:t>(Model M10)</w:t>
            </w:r>
          </w:p>
        </w:tc>
      </w:tr>
      <w:tr w:rsidR="007A6739" w:rsidRPr="00DD0A1C" w14:paraId="78570B4F" w14:textId="77777777" w:rsidTr="00B070E9">
        <w:tc>
          <w:tcPr>
            <w:tcW w:w="0" w:type="auto"/>
          </w:tcPr>
          <w:p w14:paraId="24746D94" w14:textId="77777777" w:rsidR="007A6739" w:rsidRPr="00DD0A1C" w:rsidRDefault="007A6739" w:rsidP="00B070E9">
            <w:pPr>
              <w:spacing w:before="0" w:beforeAutospacing="0" w:after="0" w:afterAutospacing="0" w:line="240" w:lineRule="auto"/>
              <w:rPr>
                <w:sz w:val="18"/>
                <w:szCs w:val="20"/>
                <w:lang w:val="en-US"/>
              </w:rPr>
            </w:pPr>
          </w:p>
        </w:tc>
        <w:tc>
          <w:tcPr>
            <w:tcW w:w="0" w:type="auto"/>
            <w:tcBorders>
              <w:top w:val="single" w:sz="4" w:space="0" w:color="auto"/>
              <w:bottom w:val="single" w:sz="4" w:space="0" w:color="auto"/>
            </w:tcBorders>
          </w:tcPr>
          <w:p w14:paraId="219C8555" w14:textId="77777777" w:rsidR="007A6739" w:rsidRPr="00DD0A1C" w:rsidRDefault="007A6739" w:rsidP="00B070E9">
            <w:pPr>
              <w:spacing w:before="120" w:beforeAutospacing="0" w:after="120" w:afterAutospacing="0" w:line="240" w:lineRule="auto"/>
              <w:jc w:val="center"/>
              <w:rPr>
                <w:sz w:val="18"/>
                <w:szCs w:val="20"/>
                <w:lang w:val="en-US"/>
              </w:rPr>
            </w:pPr>
            <w:r w:rsidRPr="00DD0A1C">
              <w:rPr>
                <w:sz w:val="18"/>
                <w:szCs w:val="20"/>
                <w:lang w:val="en-US"/>
              </w:rPr>
              <w:t>Locus</w:t>
            </w:r>
          </w:p>
        </w:tc>
        <w:tc>
          <w:tcPr>
            <w:tcW w:w="0" w:type="auto"/>
            <w:tcBorders>
              <w:top w:val="single" w:sz="4" w:space="0" w:color="auto"/>
              <w:bottom w:val="single" w:sz="4" w:space="0" w:color="auto"/>
            </w:tcBorders>
          </w:tcPr>
          <w:p w14:paraId="0CB3DB0F" w14:textId="77777777" w:rsidR="007A6739" w:rsidRPr="00DD0A1C" w:rsidRDefault="007A6739" w:rsidP="00B070E9">
            <w:pPr>
              <w:spacing w:before="120" w:beforeAutospacing="0" w:after="120" w:afterAutospacing="0" w:line="240" w:lineRule="auto"/>
              <w:jc w:val="center"/>
              <w:rPr>
                <w:sz w:val="18"/>
                <w:szCs w:val="20"/>
                <w:lang w:val="en-US"/>
              </w:rPr>
            </w:pPr>
            <w:r w:rsidRPr="00DD0A1C">
              <w:rPr>
                <w:sz w:val="18"/>
                <w:szCs w:val="20"/>
                <w:lang w:val="en-US"/>
              </w:rPr>
              <w:t>Stability</w:t>
            </w:r>
          </w:p>
        </w:tc>
        <w:tc>
          <w:tcPr>
            <w:tcW w:w="0" w:type="auto"/>
            <w:tcBorders>
              <w:top w:val="single" w:sz="4" w:space="0" w:color="auto"/>
              <w:bottom w:val="single" w:sz="4" w:space="0" w:color="auto"/>
            </w:tcBorders>
          </w:tcPr>
          <w:p w14:paraId="6AE7855F" w14:textId="77777777" w:rsidR="007A6739" w:rsidRPr="00DD0A1C" w:rsidRDefault="007A6739" w:rsidP="00B070E9">
            <w:pPr>
              <w:spacing w:before="120" w:beforeAutospacing="0" w:after="120" w:afterAutospacing="0" w:line="240" w:lineRule="auto"/>
              <w:jc w:val="center"/>
              <w:rPr>
                <w:sz w:val="18"/>
                <w:szCs w:val="20"/>
                <w:lang w:val="en-US"/>
              </w:rPr>
            </w:pPr>
            <w:r w:rsidRPr="00DD0A1C">
              <w:rPr>
                <w:sz w:val="18"/>
                <w:szCs w:val="20"/>
                <w:lang w:val="en-US"/>
              </w:rPr>
              <w:t>Control</w:t>
            </w:r>
          </w:p>
        </w:tc>
        <w:tc>
          <w:tcPr>
            <w:tcW w:w="0" w:type="auto"/>
            <w:tcBorders>
              <w:top w:val="single" w:sz="4" w:space="0" w:color="auto"/>
              <w:bottom w:val="single" w:sz="4" w:space="0" w:color="auto"/>
            </w:tcBorders>
          </w:tcPr>
          <w:p w14:paraId="4EF46CD2" w14:textId="77777777" w:rsidR="007A6739" w:rsidRPr="00DD0A1C" w:rsidRDefault="007A6739" w:rsidP="00B070E9">
            <w:pPr>
              <w:spacing w:before="120" w:beforeAutospacing="0" w:after="120" w:afterAutospacing="0" w:line="240" w:lineRule="auto"/>
              <w:jc w:val="center"/>
              <w:rPr>
                <w:sz w:val="18"/>
                <w:szCs w:val="20"/>
                <w:lang w:val="en-US"/>
              </w:rPr>
            </w:pPr>
            <w:r w:rsidRPr="00DD0A1C">
              <w:rPr>
                <w:sz w:val="18"/>
                <w:szCs w:val="20"/>
                <w:lang w:val="en-US"/>
              </w:rPr>
              <w:t>Composite reliability</w:t>
            </w:r>
          </w:p>
        </w:tc>
        <w:tc>
          <w:tcPr>
            <w:tcW w:w="0" w:type="auto"/>
          </w:tcPr>
          <w:p w14:paraId="11FF8FEE" w14:textId="77777777" w:rsidR="007A6739" w:rsidRPr="00DD0A1C" w:rsidRDefault="007A6739" w:rsidP="00B070E9">
            <w:pPr>
              <w:spacing w:before="120" w:beforeAutospacing="0" w:after="120" w:afterAutospacing="0" w:line="240" w:lineRule="auto"/>
              <w:jc w:val="center"/>
              <w:rPr>
                <w:sz w:val="18"/>
                <w:szCs w:val="20"/>
                <w:lang w:val="en-US"/>
              </w:rPr>
            </w:pPr>
          </w:p>
        </w:tc>
        <w:tc>
          <w:tcPr>
            <w:tcW w:w="0" w:type="auto"/>
            <w:tcBorders>
              <w:top w:val="single" w:sz="4" w:space="0" w:color="auto"/>
              <w:bottom w:val="single" w:sz="4" w:space="0" w:color="auto"/>
            </w:tcBorders>
          </w:tcPr>
          <w:p w14:paraId="1441568F" w14:textId="77777777" w:rsidR="007A6739" w:rsidRPr="00DD0A1C" w:rsidRDefault="007A6739" w:rsidP="00B070E9">
            <w:pPr>
              <w:spacing w:before="120" w:beforeAutospacing="0" w:after="120" w:afterAutospacing="0" w:line="240" w:lineRule="auto"/>
              <w:jc w:val="center"/>
              <w:rPr>
                <w:sz w:val="18"/>
                <w:szCs w:val="20"/>
                <w:lang w:val="en-US"/>
              </w:rPr>
            </w:pPr>
            <w:r w:rsidRPr="00DD0A1C">
              <w:rPr>
                <w:sz w:val="18"/>
                <w:szCs w:val="20"/>
                <w:lang w:val="en-US"/>
              </w:rPr>
              <w:t>Locus</w:t>
            </w:r>
          </w:p>
        </w:tc>
        <w:tc>
          <w:tcPr>
            <w:tcW w:w="0" w:type="auto"/>
            <w:tcBorders>
              <w:top w:val="single" w:sz="4" w:space="0" w:color="auto"/>
              <w:bottom w:val="single" w:sz="4" w:space="0" w:color="auto"/>
            </w:tcBorders>
          </w:tcPr>
          <w:p w14:paraId="29A26F29" w14:textId="77777777" w:rsidR="007A6739" w:rsidRPr="00DD0A1C" w:rsidRDefault="007A6739" w:rsidP="00B070E9">
            <w:pPr>
              <w:spacing w:before="120" w:beforeAutospacing="0" w:after="120" w:afterAutospacing="0" w:line="240" w:lineRule="auto"/>
              <w:jc w:val="center"/>
              <w:rPr>
                <w:sz w:val="18"/>
                <w:szCs w:val="20"/>
                <w:lang w:val="en-US"/>
              </w:rPr>
            </w:pPr>
            <w:r w:rsidRPr="00DD0A1C">
              <w:rPr>
                <w:sz w:val="18"/>
                <w:szCs w:val="20"/>
                <w:lang w:val="en-US"/>
              </w:rPr>
              <w:t>Stability</w:t>
            </w:r>
          </w:p>
        </w:tc>
        <w:tc>
          <w:tcPr>
            <w:tcW w:w="0" w:type="auto"/>
            <w:tcBorders>
              <w:top w:val="single" w:sz="4" w:space="0" w:color="auto"/>
              <w:bottom w:val="single" w:sz="4" w:space="0" w:color="auto"/>
            </w:tcBorders>
          </w:tcPr>
          <w:p w14:paraId="578F4F1C" w14:textId="77777777" w:rsidR="007A6739" w:rsidRPr="00DD0A1C" w:rsidRDefault="007A6739" w:rsidP="00B070E9">
            <w:pPr>
              <w:spacing w:before="120" w:beforeAutospacing="0" w:after="120" w:afterAutospacing="0" w:line="240" w:lineRule="auto"/>
              <w:jc w:val="center"/>
              <w:rPr>
                <w:sz w:val="18"/>
                <w:szCs w:val="20"/>
                <w:lang w:val="en-US"/>
              </w:rPr>
            </w:pPr>
            <w:r w:rsidRPr="00DD0A1C">
              <w:rPr>
                <w:sz w:val="18"/>
                <w:szCs w:val="20"/>
                <w:lang w:val="en-US"/>
              </w:rPr>
              <w:t>Control</w:t>
            </w:r>
          </w:p>
        </w:tc>
        <w:tc>
          <w:tcPr>
            <w:tcW w:w="0" w:type="auto"/>
            <w:tcBorders>
              <w:top w:val="single" w:sz="4" w:space="0" w:color="auto"/>
              <w:bottom w:val="single" w:sz="4" w:space="0" w:color="auto"/>
            </w:tcBorders>
          </w:tcPr>
          <w:p w14:paraId="2FDACF7F" w14:textId="77777777" w:rsidR="007A6739" w:rsidRPr="00DD0A1C" w:rsidRDefault="007A6739" w:rsidP="00B070E9">
            <w:pPr>
              <w:spacing w:before="120" w:beforeAutospacing="0" w:after="120" w:afterAutospacing="0" w:line="240" w:lineRule="auto"/>
              <w:jc w:val="center"/>
              <w:rPr>
                <w:sz w:val="18"/>
                <w:szCs w:val="20"/>
                <w:lang w:val="en-US"/>
              </w:rPr>
            </w:pPr>
            <w:r w:rsidRPr="00DD0A1C">
              <w:rPr>
                <w:sz w:val="18"/>
                <w:szCs w:val="20"/>
                <w:lang w:val="en-US"/>
              </w:rPr>
              <w:t>Composite reliability</w:t>
            </w:r>
          </w:p>
        </w:tc>
      </w:tr>
      <w:tr w:rsidR="007A6739" w:rsidRPr="00DD0A1C" w14:paraId="79FA3366" w14:textId="77777777" w:rsidTr="00B070E9">
        <w:tc>
          <w:tcPr>
            <w:tcW w:w="0" w:type="auto"/>
          </w:tcPr>
          <w:p w14:paraId="3E59BD2D" w14:textId="77777777" w:rsidR="007A6739" w:rsidRPr="00DD0A1C" w:rsidRDefault="007A6739" w:rsidP="00B070E9">
            <w:pPr>
              <w:spacing w:before="120" w:beforeAutospacing="0" w:after="0" w:afterAutospacing="0" w:line="360" w:lineRule="auto"/>
              <w:rPr>
                <w:sz w:val="18"/>
                <w:szCs w:val="20"/>
                <w:lang w:val="en-US"/>
              </w:rPr>
            </w:pPr>
            <w:r w:rsidRPr="00DD0A1C">
              <w:rPr>
                <w:sz w:val="18"/>
                <w:szCs w:val="20"/>
                <w:lang w:val="en-US"/>
              </w:rPr>
              <w:t>Locus</w:t>
            </w:r>
          </w:p>
        </w:tc>
        <w:tc>
          <w:tcPr>
            <w:tcW w:w="0" w:type="auto"/>
            <w:tcBorders>
              <w:top w:val="single" w:sz="4" w:space="0" w:color="auto"/>
            </w:tcBorders>
          </w:tcPr>
          <w:p w14:paraId="13BB3B58" w14:textId="77777777" w:rsidR="007A6739" w:rsidRPr="00DD0A1C" w:rsidRDefault="007A6739" w:rsidP="00B070E9">
            <w:pPr>
              <w:spacing w:before="120" w:beforeAutospacing="0" w:after="0" w:afterAutospacing="0" w:line="360" w:lineRule="auto"/>
              <w:jc w:val="center"/>
              <w:rPr>
                <w:sz w:val="18"/>
                <w:szCs w:val="20"/>
                <w:lang w:val="en-US"/>
              </w:rPr>
            </w:pPr>
            <w:r w:rsidRPr="00DD0A1C">
              <w:rPr>
                <w:sz w:val="18"/>
                <w:szCs w:val="20"/>
                <w:lang w:val="en-US"/>
              </w:rPr>
              <w:t>.612 [.591, .633]</w:t>
            </w:r>
          </w:p>
        </w:tc>
        <w:tc>
          <w:tcPr>
            <w:tcW w:w="0" w:type="auto"/>
            <w:tcBorders>
              <w:top w:val="single" w:sz="4" w:space="0" w:color="auto"/>
            </w:tcBorders>
          </w:tcPr>
          <w:p w14:paraId="10E06A33" w14:textId="77777777" w:rsidR="007A6739" w:rsidRPr="00DD0A1C" w:rsidRDefault="007A6739" w:rsidP="00B070E9">
            <w:pPr>
              <w:spacing w:before="120" w:beforeAutospacing="0" w:after="0" w:afterAutospacing="0" w:line="360" w:lineRule="auto"/>
              <w:jc w:val="center"/>
              <w:rPr>
                <w:sz w:val="18"/>
                <w:szCs w:val="20"/>
                <w:lang w:val="en-US"/>
              </w:rPr>
            </w:pPr>
          </w:p>
        </w:tc>
        <w:tc>
          <w:tcPr>
            <w:tcW w:w="0" w:type="auto"/>
            <w:tcBorders>
              <w:top w:val="single" w:sz="4" w:space="0" w:color="auto"/>
            </w:tcBorders>
          </w:tcPr>
          <w:p w14:paraId="0C56E818" w14:textId="77777777" w:rsidR="007A6739" w:rsidRPr="00DD0A1C" w:rsidRDefault="007A6739" w:rsidP="00B070E9">
            <w:pPr>
              <w:spacing w:before="120" w:beforeAutospacing="0" w:after="0" w:afterAutospacing="0" w:line="360" w:lineRule="auto"/>
              <w:jc w:val="center"/>
              <w:rPr>
                <w:sz w:val="18"/>
                <w:szCs w:val="20"/>
                <w:lang w:val="en-US"/>
              </w:rPr>
            </w:pPr>
          </w:p>
        </w:tc>
        <w:tc>
          <w:tcPr>
            <w:tcW w:w="0" w:type="auto"/>
            <w:tcBorders>
              <w:top w:val="single" w:sz="4" w:space="0" w:color="auto"/>
            </w:tcBorders>
          </w:tcPr>
          <w:p w14:paraId="7D1291B8" w14:textId="77777777" w:rsidR="007A6739" w:rsidRPr="00DD0A1C" w:rsidRDefault="007A6739" w:rsidP="00B070E9">
            <w:pPr>
              <w:spacing w:before="120" w:beforeAutospacing="0" w:after="0" w:afterAutospacing="0" w:line="360" w:lineRule="auto"/>
              <w:jc w:val="center"/>
              <w:rPr>
                <w:sz w:val="18"/>
                <w:szCs w:val="20"/>
                <w:lang w:val="en-US"/>
              </w:rPr>
            </w:pPr>
            <w:r w:rsidRPr="00DD0A1C">
              <w:rPr>
                <w:sz w:val="18"/>
                <w:szCs w:val="20"/>
                <w:lang w:val="en-US"/>
              </w:rPr>
              <w:t>.827 [.811,.843]</w:t>
            </w:r>
          </w:p>
        </w:tc>
        <w:tc>
          <w:tcPr>
            <w:tcW w:w="0" w:type="auto"/>
          </w:tcPr>
          <w:p w14:paraId="4C6D381A" w14:textId="77777777" w:rsidR="007A6739" w:rsidRPr="00DD0A1C" w:rsidRDefault="007A6739" w:rsidP="00B070E9">
            <w:pPr>
              <w:spacing w:before="120" w:beforeAutospacing="0" w:after="0" w:afterAutospacing="0" w:line="360" w:lineRule="auto"/>
              <w:jc w:val="center"/>
              <w:rPr>
                <w:sz w:val="18"/>
                <w:szCs w:val="20"/>
                <w:lang w:val="en-US"/>
              </w:rPr>
            </w:pPr>
          </w:p>
        </w:tc>
        <w:tc>
          <w:tcPr>
            <w:tcW w:w="0" w:type="auto"/>
            <w:tcBorders>
              <w:top w:val="single" w:sz="4" w:space="0" w:color="auto"/>
            </w:tcBorders>
          </w:tcPr>
          <w:p w14:paraId="150E2BD1" w14:textId="77777777" w:rsidR="007A6739" w:rsidRPr="00DD0A1C" w:rsidRDefault="007A6739" w:rsidP="00B070E9">
            <w:pPr>
              <w:spacing w:before="120" w:beforeAutospacing="0" w:after="0" w:afterAutospacing="0" w:line="360" w:lineRule="auto"/>
              <w:jc w:val="center"/>
              <w:rPr>
                <w:sz w:val="18"/>
                <w:szCs w:val="20"/>
                <w:lang w:val="en-US"/>
              </w:rPr>
            </w:pPr>
            <w:r w:rsidRPr="00DD0A1C">
              <w:rPr>
                <w:sz w:val="18"/>
                <w:szCs w:val="20"/>
                <w:lang w:val="en-US"/>
              </w:rPr>
              <w:t>.578 [.551, .604]</w:t>
            </w:r>
          </w:p>
        </w:tc>
        <w:tc>
          <w:tcPr>
            <w:tcW w:w="0" w:type="auto"/>
            <w:tcBorders>
              <w:top w:val="single" w:sz="4" w:space="0" w:color="auto"/>
            </w:tcBorders>
          </w:tcPr>
          <w:p w14:paraId="5BB3B9C1" w14:textId="77777777" w:rsidR="007A6739" w:rsidRPr="00DD0A1C" w:rsidRDefault="007A6739" w:rsidP="00B070E9">
            <w:pPr>
              <w:spacing w:before="120" w:beforeAutospacing="0" w:after="0" w:afterAutospacing="0" w:line="360" w:lineRule="auto"/>
              <w:jc w:val="center"/>
              <w:rPr>
                <w:sz w:val="18"/>
                <w:szCs w:val="20"/>
                <w:lang w:val="en-US"/>
              </w:rPr>
            </w:pPr>
          </w:p>
        </w:tc>
        <w:tc>
          <w:tcPr>
            <w:tcW w:w="0" w:type="auto"/>
            <w:tcBorders>
              <w:top w:val="single" w:sz="4" w:space="0" w:color="auto"/>
            </w:tcBorders>
          </w:tcPr>
          <w:p w14:paraId="18EA103C" w14:textId="77777777" w:rsidR="007A6739" w:rsidRPr="00DD0A1C" w:rsidRDefault="007A6739" w:rsidP="00B070E9">
            <w:pPr>
              <w:spacing w:before="120" w:beforeAutospacing="0" w:after="0" w:afterAutospacing="0" w:line="360" w:lineRule="auto"/>
              <w:jc w:val="center"/>
              <w:rPr>
                <w:sz w:val="18"/>
                <w:szCs w:val="20"/>
                <w:lang w:val="en-US"/>
              </w:rPr>
            </w:pPr>
          </w:p>
        </w:tc>
        <w:tc>
          <w:tcPr>
            <w:tcW w:w="0" w:type="auto"/>
            <w:tcBorders>
              <w:top w:val="single" w:sz="4" w:space="0" w:color="auto"/>
            </w:tcBorders>
          </w:tcPr>
          <w:p w14:paraId="667D8F95" w14:textId="77777777" w:rsidR="007A6739" w:rsidRPr="00DD0A1C" w:rsidRDefault="007A6739" w:rsidP="00B070E9">
            <w:pPr>
              <w:spacing w:before="120" w:beforeAutospacing="0" w:after="0" w:afterAutospacing="0" w:line="360" w:lineRule="auto"/>
              <w:jc w:val="center"/>
              <w:rPr>
                <w:sz w:val="18"/>
                <w:szCs w:val="20"/>
                <w:lang w:val="en-US"/>
              </w:rPr>
            </w:pPr>
            <w:r w:rsidRPr="00DD0A1C">
              <w:rPr>
                <w:sz w:val="18"/>
                <w:szCs w:val="20"/>
                <w:lang w:val="en-US"/>
              </w:rPr>
              <w:t>.802 [.783, .821]</w:t>
            </w:r>
          </w:p>
        </w:tc>
      </w:tr>
      <w:tr w:rsidR="007A6739" w:rsidRPr="00DD0A1C" w14:paraId="0EFEFA9E" w14:textId="77777777" w:rsidTr="00B070E9">
        <w:tc>
          <w:tcPr>
            <w:tcW w:w="0" w:type="auto"/>
          </w:tcPr>
          <w:p w14:paraId="0E92BBF4" w14:textId="77777777" w:rsidR="007A6739" w:rsidRPr="00DD0A1C" w:rsidRDefault="007A6739" w:rsidP="00B070E9">
            <w:pPr>
              <w:spacing w:before="0" w:beforeAutospacing="0" w:after="0" w:afterAutospacing="0" w:line="360" w:lineRule="auto"/>
              <w:rPr>
                <w:sz w:val="18"/>
                <w:szCs w:val="20"/>
                <w:lang w:val="en-US"/>
              </w:rPr>
            </w:pPr>
            <w:r w:rsidRPr="00DD0A1C">
              <w:rPr>
                <w:sz w:val="18"/>
                <w:szCs w:val="20"/>
                <w:lang w:val="en-US"/>
              </w:rPr>
              <w:t>Stability</w:t>
            </w:r>
          </w:p>
        </w:tc>
        <w:tc>
          <w:tcPr>
            <w:tcW w:w="0" w:type="auto"/>
          </w:tcPr>
          <w:p w14:paraId="2E4148B2"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.278 [.196, .360]</w:t>
            </w:r>
          </w:p>
        </w:tc>
        <w:tc>
          <w:tcPr>
            <w:tcW w:w="0" w:type="auto"/>
          </w:tcPr>
          <w:p w14:paraId="198EB254"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.722 [.699, .745]</w:t>
            </w:r>
          </w:p>
        </w:tc>
        <w:tc>
          <w:tcPr>
            <w:tcW w:w="0" w:type="auto"/>
          </w:tcPr>
          <w:p w14:paraId="125BF5F1" w14:textId="77777777" w:rsidR="007A6739" w:rsidRPr="00DD0A1C" w:rsidRDefault="007A6739" w:rsidP="00B070E9">
            <w:pPr>
              <w:spacing w:before="0" w:beforeAutospacing="0" w:after="0" w:afterAutospacing="0" w:line="360" w:lineRule="auto"/>
              <w:jc w:val="center"/>
              <w:rPr>
                <w:sz w:val="18"/>
                <w:szCs w:val="20"/>
                <w:lang w:val="en-US"/>
              </w:rPr>
            </w:pPr>
          </w:p>
        </w:tc>
        <w:tc>
          <w:tcPr>
            <w:tcW w:w="0" w:type="auto"/>
          </w:tcPr>
          <w:p w14:paraId="6CF6E595"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.898 [.885, .911]</w:t>
            </w:r>
          </w:p>
        </w:tc>
        <w:tc>
          <w:tcPr>
            <w:tcW w:w="0" w:type="auto"/>
          </w:tcPr>
          <w:p w14:paraId="56D26676" w14:textId="77777777" w:rsidR="007A6739" w:rsidRPr="00DD0A1C" w:rsidRDefault="007A6739" w:rsidP="00B070E9">
            <w:pPr>
              <w:spacing w:before="0" w:beforeAutospacing="0" w:after="0" w:afterAutospacing="0" w:line="360" w:lineRule="auto"/>
              <w:jc w:val="center"/>
              <w:rPr>
                <w:sz w:val="18"/>
                <w:szCs w:val="20"/>
                <w:lang w:val="en-US"/>
              </w:rPr>
            </w:pPr>
          </w:p>
        </w:tc>
        <w:tc>
          <w:tcPr>
            <w:tcW w:w="0" w:type="auto"/>
          </w:tcPr>
          <w:p w14:paraId="60B194E8"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.225 [.148, .302]</w:t>
            </w:r>
          </w:p>
        </w:tc>
        <w:tc>
          <w:tcPr>
            <w:tcW w:w="0" w:type="auto"/>
          </w:tcPr>
          <w:p w14:paraId="17AA7288"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.696 [.666, .726]</w:t>
            </w:r>
          </w:p>
        </w:tc>
        <w:tc>
          <w:tcPr>
            <w:tcW w:w="0" w:type="auto"/>
          </w:tcPr>
          <w:p w14:paraId="00F8949E" w14:textId="77777777" w:rsidR="007A6739" w:rsidRPr="00DD0A1C" w:rsidRDefault="007A6739" w:rsidP="00B070E9">
            <w:pPr>
              <w:spacing w:before="0" w:beforeAutospacing="0" w:after="0" w:afterAutospacing="0" w:line="360" w:lineRule="auto"/>
              <w:jc w:val="center"/>
              <w:rPr>
                <w:sz w:val="18"/>
                <w:szCs w:val="20"/>
                <w:lang w:val="en-US"/>
              </w:rPr>
            </w:pPr>
          </w:p>
        </w:tc>
        <w:tc>
          <w:tcPr>
            <w:tcW w:w="0" w:type="auto"/>
          </w:tcPr>
          <w:p w14:paraId="5B6A1044"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.879 [.864, .895]</w:t>
            </w:r>
          </w:p>
        </w:tc>
      </w:tr>
      <w:tr w:rsidR="007A6739" w:rsidRPr="00DD0A1C" w14:paraId="2DA5302C" w14:textId="77777777" w:rsidTr="00B070E9">
        <w:tc>
          <w:tcPr>
            <w:tcW w:w="0" w:type="auto"/>
            <w:tcBorders>
              <w:bottom w:val="single" w:sz="4" w:space="0" w:color="auto"/>
            </w:tcBorders>
          </w:tcPr>
          <w:p w14:paraId="66E12C47" w14:textId="77777777" w:rsidR="007A6739" w:rsidRPr="00DD0A1C" w:rsidRDefault="007A6739" w:rsidP="00B070E9">
            <w:pPr>
              <w:spacing w:before="0" w:beforeAutospacing="0" w:after="0" w:afterAutospacing="0" w:line="360" w:lineRule="auto"/>
              <w:rPr>
                <w:sz w:val="18"/>
                <w:szCs w:val="20"/>
                <w:lang w:val="en-US"/>
              </w:rPr>
            </w:pPr>
            <w:r w:rsidRPr="00DD0A1C">
              <w:rPr>
                <w:sz w:val="18"/>
                <w:szCs w:val="20"/>
                <w:lang w:val="en-US"/>
              </w:rPr>
              <w:t>Control</w:t>
            </w:r>
          </w:p>
        </w:tc>
        <w:tc>
          <w:tcPr>
            <w:tcW w:w="0" w:type="auto"/>
            <w:tcBorders>
              <w:bottom w:val="single" w:sz="4" w:space="0" w:color="auto"/>
            </w:tcBorders>
          </w:tcPr>
          <w:p w14:paraId="676C986D"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.414 [.328, .501]</w:t>
            </w:r>
          </w:p>
        </w:tc>
        <w:tc>
          <w:tcPr>
            <w:tcW w:w="0" w:type="auto"/>
            <w:tcBorders>
              <w:bottom w:val="single" w:sz="4" w:space="0" w:color="auto"/>
            </w:tcBorders>
          </w:tcPr>
          <w:p w14:paraId="4C20785F"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.358 [.260, .456]</w:t>
            </w:r>
          </w:p>
        </w:tc>
        <w:tc>
          <w:tcPr>
            <w:tcW w:w="0" w:type="auto"/>
            <w:tcBorders>
              <w:bottom w:val="single" w:sz="4" w:space="0" w:color="auto"/>
            </w:tcBorders>
          </w:tcPr>
          <w:p w14:paraId="14B6A822"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.795 [.771, .818]</w:t>
            </w:r>
          </w:p>
        </w:tc>
        <w:tc>
          <w:tcPr>
            <w:tcW w:w="0" w:type="auto"/>
            <w:tcBorders>
              <w:bottom w:val="single" w:sz="4" w:space="0" w:color="auto"/>
            </w:tcBorders>
          </w:tcPr>
          <w:p w14:paraId="3E5CEF1A"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.929 [.922, .937]</w:t>
            </w:r>
          </w:p>
        </w:tc>
        <w:tc>
          <w:tcPr>
            <w:tcW w:w="0" w:type="auto"/>
            <w:tcBorders>
              <w:bottom w:val="single" w:sz="4" w:space="0" w:color="auto"/>
            </w:tcBorders>
          </w:tcPr>
          <w:p w14:paraId="0E4D8E9E" w14:textId="77777777" w:rsidR="007A6739" w:rsidRPr="00DD0A1C" w:rsidRDefault="007A6739" w:rsidP="00B070E9">
            <w:pPr>
              <w:spacing w:before="0" w:beforeAutospacing="0" w:after="0" w:afterAutospacing="0" w:line="360" w:lineRule="auto"/>
              <w:jc w:val="center"/>
              <w:rPr>
                <w:sz w:val="18"/>
                <w:szCs w:val="20"/>
                <w:lang w:val="en-US"/>
              </w:rPr>
            </w:pPr>
          </w:p>
        </w:tc>
        <w:tc>
          <w:tcPr>
            <w:tcW w:w="0" w:type="auto"/>
            <w:tcBorders>
              <w:bottom w:val="single" w:sz="4" w:space="0" w:color="auto"/>
            </w:tcBorders>
          </w:tcPr>
          <w:p w14:paraId="5064F287"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.367 [.281, .453]</w:t>
            </w:r>
          </w:p>
        </w:tc>
        <w:tc>
          <w:tcPr>
            <w:tcW w:w="0" w:type="auto"/>
            <w:tcBorders>
              <w:bottom w:val="single" w:sz="4" w:space="0" w:color="auto"/>
            </w:tcBorders>
          </w:tcPr>
          <w:p w14:paraId="4BB9088C"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.317 [.227, .406]</w:t>
            </w:r>
          </w:p>
        </w:tc>
        <w:tc>
          <w:tcPr>
            <w:tcW w:w="0" w:type="auto"/>
            <w:tcBorders>
              <w:bottom w:val="single" w:sz="4" w:space="0" w:color="auto"/>
            </w:tcBorders>
          </w:tcPr>
          <w:p w14:paraId="1489C518"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.773 [.749, .797]</w:t>
            </w:r>
          </w:p>
        </w:tc>
        <w:tc>
          <w:tcPr>
            <w:tcW w:w="0" w:type="auto"/>
            <w:tcBorders>
              <w:bottom w:val="single" w:sz="4" w:space="0" w:color="auto"/>
            </w:tcBorders>
          </w:tcPr>
          <w:p w14:paraId="045AE238" w14:textId="77777777" w:rsidR="007A6739" w:rsidRPr="00DD0A1C" w:rsidRDefault="007A6739" w:rsidP="00B070E9">
            <w:pPr>
              <w:spacing w:before="0" w:beforeAutospacing="0" w:after="0" w:afterAutospacing="0" w:line="360" w:lineRule="auto"/>
              <w:jc w:val="center"/>
              <w:rPr>
                <w:sz w:val="18"/>
                <w:szCs w:val="20"/>
                <w:lang w:val="en-US"/>
              </w:rPr>
            </w:pPr>
            <w:r w:rsidRPr="00DD0A1C">
              <w:rPr>
                <w:sz w:val="18"/>
                <w:szCs w:val="20"/>
                <w:lang w:val="en-US"/>
              </w:rPr>
              <w:t>.911 [.901, .920]</w:t>
            </w:r>
          </w:p>
        </w:tc>
      </w:tr>
    </w:tbl>
    <w:p w14:paraId="3535D9CF" w14:textId="1B5F5341" w:rsidR="007A6739" w:rsidRDefault="007A6739" w:rsidP="00B070E9">
      <w:pPr>
        <w:spacing w:line="240" w:lineRule="auto"/>
        <w:rPr>
          <w:lang w:val="en-US"/>
        </w:rPr>
      </w:pPr>
      <w:r>
        <w:rPr>
          <w:lang w:val="en-US"/>
        </w:rPr>
        <w:t xml:space="preserve">Note: </w:t>
      </w:r>
      <w:r w:rsidR="003A2809">
        <w:rPr>
          <w:lang w:val="en-US"/>
        </w:rPr>
        <w:t xml:space="preserve">The table entries are averages across the 14 countries, with 95 percent confidence intervals shown in brackets. </w:t>
      </w:r>
      <w:r>
        <w:rPr>
          <w:lang w:val="en-US"/>
        </w:rPr>
        <w:t xml:space="preserve">Average variances extracted are </w:t>
      </w:r>
      <w:r w:rsidR="003A2809">
        <w:rPr>
          <w:lang w:val="en-US"/>
        </w:rPr>
        <w:t xml:space="preserve">displayed </w:t>
      </w:r>
      <w:r>
        <w:rPr>
          <w:lang w:val="en-US"/>
        </w:rPr>
        <w:t>on the diagonal, shared variances between constructs (squared correlations) in the sub-diagonals. See Table 5 for details about models M1 and M10.</w:t>
      </w:r>
    </w:p>
    <w:p w14:paraId="6DF19B29" w14:textId="77777777" w:rsidR="007A6739" w:rsidRPr="00216F60" w:rsidRDefault="007A6739">
      <w:pPr>
        <w:spacing w:before="0" w:beforeAutospacing="0" w:after="160" w:afterAutospacing="0" w:line="259" w:lineRule="auto"/>
        <w:rPr>
          <w:lang w:val="en-US"/>
        </w:rPr>
      </w:pPr>
    </w:p>
    <w:p w14:paraId="68DA603D" w14:textId="77777777" w:rsidR="007A6739" w:rsidRDefault="007A6739">
      <w:pPr>
        <w:spacing w:before="0" w:beforeAutospacing="0" w:after="160" w:afterAutospacing="0" w:line="259" w:lineRule="auto"/>
        <w:rPr>
          <w:lang w:val="en-US"/>
        </w:rPr>
        <w:sectPr w:rsidR="007A6739" w:rsidSect="00B070E9">
          <w:pgSz w:w="16838" w:h="11906" w:orient="landscape"/>
          <w:pgMar w:top="1417" w:right="1417" w:bottom="1417" w:left="1417" w:header="708" w:footer="708" w:gutter="0"/>
          <w:cols w:space="708"/>
          <w:docGrid w:linePitch="360"/>
        </w:sectPr>
      </w:pPr>
    </w:p>
    <w:p w14:paraId="1CAAF72D" w14:textId="456E8945" w:rsidR="007A6739" w:rsidRPr="00AE684C" w:rsidRDefault="007A6739" w:rsidP="00AE684C">
      <w:pPr>
        <w:spacing w:before="0" w:beforeAutospacing="0" w:after="160" w:afterAutospacing="0" w:line="259" w:lineRule="auto"/>
        <w:jc w:val="center"/>
        <w:rPr>
          <w:caps/>
          <w:lang w:val="en-US"/>
        </w:rPr>
      </w:pPr>
      <w:r w:rsidRPr="00AE684C">
        <w:rPr>
          <w:caps/>
          <w:lang w:val="en-US"/>
        </w:rPr>
        <w:lastRenderedPageBreak/>
        <w:t>Figure 1</w:t>
      </w:r>
      <w:r w:rsidR="005D5128">
        <w:rPr>
          <w:caps/>
          <w:lang w:val="en-US"/>
        </w:rPr>
        <w:t>.</w:t>
      </w:r>
      <w:r w:rsidR="00AE684C">
        <w:rPr>
          <w:caps/>
          <w:lang w:val="en-US"/>
        </w:rPr>
        <w:t xml:space="preserve"> Method factor models</w:t>
      </w:r>
    </w:p>
    <w:tbl>
      <w:tblPr>
        <w:tblStyle w:val="TableGrid"/>
        <w:tblW w:w="0" w:type="auto"/>
        <w:tblLook w:val="04A0" w:firstRow="1" w:lastRow="0" w:firstColumn="1" w:lastColumn="0" w:noHBand="0" w:noVBand="1"/>
      </w:tblPr>
      <w:tblGrid>
        <w:gridCol w:w="6997"/>
        <w:gridCol w:w="6997"/>
      </w:tblGrid>
      <w:tr w:rsidR="007A6739" w14:paraId="4CCB4B91" w14:textId="77777777" w:rsidTr="005D5128">
        <w:trPr>
          <w:trHeight w:val="4927"/>
        </w:trPr>
        <w:tc>
          <w:tcPr>
            <w:tcW w:w="6997" w:type="dxa"/>
          </w:tcPr>
          <w:p w14:paraId="65D94C37" w14:textId="77777777" w:rsidR="007A6739" w:rsidRDefault="007A6739" w:rsidP="00B070E9">
            <w:pPr>
              <w:spacing w:before="120" w:beforeAutospacing="0" w:after="160" w:afterAutospacing="0" w:line="259" w:lineRule="auto"/>
              <w:rPr>
                <w:lang w:val="en-US"/>
              </w:rPr>
            </w:pPr>
            <w:r>
              <w:rPr>
                <w:lang w:val="en-US"/>
              </w:rPr>
              <w:t>Panel A: Partialing a measured method effect at the scale level</w:t>
            </w:r>
          </w:p>
          <w:p w14:paraId="5C4DD623" w14:textId="7E910311" w:rsidR="007A6739" w:rsidRDefault="007A6739" w:rsidP="00B070E9">
            <w:pPr>
              <w:spacing w:before="0" w:beforeAutospacing="0" w:after="0" w:afterAutospacing="0" w:line="240" w:lineRule="auto"/>
              <w:rPr>
                <w:lang w:val="en-US"/>
              </w:rPr>
            </w:pPr>
            <w:r>
              <w:rPr>
                <w:noProof/>
                <w:lang w:val="en-US"/>
              </w:rPr>
              <w:t xml:space="preserve">             </w:t>
            </w:r>
            <w:r w:rsidR="005D5128" w:rsidRPr="004A2EFF">
              <w:rPr>
                <w:noProof/>
                <w:lang w:val="en-US" w:eastAsia="nl-BE"/>
              </w:rPr>
              <w:t xml:space="preserve">       </w:t>
            </w:r>
            <w:r>
              <w:rPr>
                <w:noProof/>
                <w:lang w:eastAsia="nl-BE"/>
              </w:rPr>
              <w:drawing>
                <wp:inline distT="0" distB="0" distL="0" distR="0" wp14:anchorId="26A58DEB" wp14:editId="7A6DEDEE">
                  <wp:extent cx="2527300" cy="2628182"/>
                  <wp:effectExtent l="0" t="0" r="0" b="127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7069" cy="2638341"/>
                          </a:xfrm>
                          <a:prstGeom prst="rect">
                            <a:avLst/>
                          </a:prstGeom>
                          <a:noFill/>
                        </pic:spPr>
                      </pic:pic>
                    </a:graphicData>
                  </a:graphic>
                </wp:inline>
              </w:drawing>
            </w:r>
          </w:p>
        </w:tc>
        <w:tc>
          <w:tcPr>
            <w:tcW w:w="6997" w:type="dxa"/>
          </w:tcPr>
          <w:p w14:paraId="311CD5BB" w14:textId="77777777" w:rsidR="007A6739" w:rsidRDefault="007A6739" w:rsidP="00B070E9">
            <w:pPr>
              <w:spacing w:before="120" w:beforeAutospacing="0" w:after="160" w:afterAutospacing="0" w:line="259" w:lineRule="auto"/>
              <w:rPr>
                <w:lang w:val="en-US"/>
              </w:rPr>
            </w:pPr>
            <w:r>
              <w:rPr>
                <w:lang w:val="en-US"/>
              </w:rPr>
              <w:t>Panel B: Partialing a measured method effect at the item level</w:t>
            </w:r>
          </w:p>
          <w:p w14:paraId="3A4038AE" w14:textId="1C39C0B7" w:rsidR="007A6739" w:rsidRDefault="007A6739" w:rsidP="00B070E9">
            <w:pPr>
              <w:spacing w:before="0" w:beforeAutospacing="0" w:after="0" w:afterAutospacing="0" w:line="240" w:lineRule="auto"/>
              <w:rPr>
                <w:lang w:val="en-US"/>
              </w:rPr>
            </w:pPr>
            <w:r>
              <w:rPr>
                <w:noProof/>
                <w:lang w:val="en-US"/>
              </w:rPr>
              <w:t xml:space="preserve">                     </w:t>
            </w:r>
            <w:r w:rsidR="005D5128">
              <w:rPr>
                <w:noProof/>
                <w:lang w:val="en-US"/>
              </w:rPr>
              <w:t xml:space="preserve">        </w:t>
            </w:r>
            <w:r>
              <w:rPr>
                <w:noProof/>
                <w:lang w:eastAsia="nl-BE"/>
              </w:rPr>
              <w:drawing>
                <wp:inline distT="0" distB="0" distL="0" distR="0" wp14:anchorId="60B01C1A" wp14:editId="5645EC55">
                  <wp:extent cx="2032000" cy="2495205"/>
                  <wp:effectExtent l="0" t="0" r="6350" b="63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519" cy="2510578"/>
                          </a:xfrm>
                          <a:prstGeom prst="rect">
                            <a:avLst/>
                          </a:prstGeom>
                          <a:noFill/>
                        </pic:spPr>
                      </pic:pic>
                    </a:graphicData>
                  </a:graphic>
                </wp:inline>
              </w:drawing>
            </w:r>
          </w:p>
        </w:tc>
      </w:tr>
    </w:tbl>
    <w:p w14:paraId="559394E8" w14:textId="77777777" w:rsidR="005D5128" w:rsidRDefault="007A6739" w:rsidP="005D5128">
      <w:pPr>
        <w:spacing w:before="120" w:beforeAutospacing="0" w:after="160" w:afterAutospacing="0" w:line="259" w:lineRule="auto"/>
        <w:rPr>
          <w:lang w:val="en-US"/>
        </w:rPr>
      </w:pPr>
      <w:r>
        <w:rPr>
          <w:lang w:val="en-US"/>
        </w:rPr>
        <w:t xml:space="preserve">Note for Panel A: A and B are substantive constructs, a and b are the observed measures of these constructs (usually an average of multiple observed measures of a given construct). The covariance between A and B is the parameter of primary interest. ME is a hypothesized method effect, me the observed measure of the method effect. To correct for measurement error in the observed measures, the variances of </w:t>
      </w:r>
      <w:r>
        <w:rPr>
          <w:lang w:val="en-US"/>
        </w:rPr>
        <w:sym w:font="Symbol" w:char="F065"/>
      </w:r>
      <w:r w:rsidRPr="00DB57E8">
        <w:rPr>
          <w:vertAlign w:val="subscript"/>
          <w:lang w:val="en-US"/>
        </w:rPr>
        <w:t>1</w:t>
      </w:r>
      <w:r>
        <w:rPr>
          <w:lang w:val="en-US"/>
        </w:rPr>
        <w:t xml:space="preserve">, </w:t>
      </w:r>
      <w:r>
        <w:rPr>
          <w:lang w:val="en-US"/>
        </w:rPr>
        <w:sym w:font="Symbol" w:char="F065"/>
      </w:r>
      <w:r>
        <w:rPr>
          <w:vertAlign w:val="subscript"/>
          <w:lang w:val="en-US"/>
        </w:rPr>
        <w:t>2</w:t>
      </w:r>
      <w:r>
        <w:rPr>
          <w:lang w:val="en-US"/>
        </w:rPr>
        <w:t xml:space="preserve">, and </w:t>
      </w:r>
      <w:r>
        <w:rPr>
          <w:lang w:val="en-US"/>
        </w:rPr>
        <w:sym w:font="Symbol" w:char="F065"/>
      </w:r>
      <w:r>
        <w:rPr>
          <w:vertAlign w:val="subscript"/>
          <w:lang w:val="en-US"/>
        </w:rPr>
        <w:t>3</w:t>
      </w:r>
      <w:r>
        <w:rPr>
          <w:lang w:val="en-US"/>
        </w:rPr>
        <w:t xml:space="preserve"> are set to the variance of the observed measure minus the reliability of the observed measure. Alternatively, a factor model with multiple indicators could be specified for ME. If no correction for unreliability is applied, the variances of </w:t>
      </w:r>
      <w:r>
        <w:rPr>
          <w:lang w:val="en-US"/>
        </w:rPr>
        <w:sym w:font="Symbol" w:char="F065"/>
      </w:r>
      <w:r w:rsidRPr="00DB57E8">
        <w:rPr>
          <w:vertAlign w:val="subscript"/>
          <w:lang w:val="en-US"/>
        </w:rPr>
        <w:t>1</w:t>
      </w:r>
      <w:r>
        <w:rPr>
          <w:lang w:val="en-US"/>
        </w:rPr>
        <w:t xml:space="preserve">, </w:t>
      </w:r>
      <w:r>
        <w:rPr>
          <w:lang w:val="en-US"/>
        </w:rPr>
        <w:sym w:font="Symbol" w:char="F065"/>
      </w:r>
      <w:r>
        <w:rPr>
          <w:vertAlign w:val="subscript"/>
          <w:lang w:val="en-US"/>
        </w:rPr>
        <w:t>2</w:t>
      </w:r>
      <w:r>
        <w:rPr>
          <w:lang w:val="en-US"/>
        </w:rPr>
        <w:t xml:space="preserve">, and </w:t>
      </w:r>
      <w:r>
        <w:rPr>
          <w:lang w:val="en-US"/>
        </w:rPr>
        <w:sym w:font="Symbol" w:char="F065"/>
      </w:r>
      <w:r>
        <w:rPr>
          <w:vertAlign w:val="subscript"/>
          <w:lang w:val="en-US"/>
        </w:rPr>
        <w:t>3</w:t>
      </w:r>
      <w:r>
        <w:rPr>
          <w:lang w:val="en-US"/>
        </w:rPr>
        <w:t xml:space="preserve"> are set to zero and A = a, B = b, and ME = me. </w:t>
      </w:r>
    </w:p>
    <w:p w14:paraId="73095991" w14:textId="1798A235" w:rsidR="007A6739" w:rsidRDefault="007A6739" w:rsidP="005D5128">
      <w:pPr>
        <w:spacing w:before="120" w:beforeAutospacing="0" w:after="160" w:afterAutospacing="0" w:line="259" w:lineRule="auto"/>
        <w:rPr>
          <w:lang w:val="en-US"/>
        </w:rPr>
        <w:sectPr w:rsidR="007A6739" w:rsidSect="00B070E9">
          <w:pgSz w:w="16838" w:h="11906" w:orient="landscape"/>
          <w:pgMar w:top="1417" w:right="1417" w:bottom="1417" w:left="1417" w:header="708" w:footer="708" w:gutter="0"/>
          <w:cols w:space="708"/>
          <w:docGrid w:linePitch="360"/>
        </w:sectPr>
      </w:pPr>
      <w:r>
        <w:rPr>
          <w:lang w:val="en-US"/>
        </w:rPr>
        <w:t>Note for Panel B:  A and B are substantive constructs, a</w:t>
      </w:r>
      <w:r w:rsidRPr="002213DD">
        <w:rPr>
          <w:vertAlign w:val="subscript"/>
          <w:lang w:val="en-US"/>
        </w:rPr>
        <w:t>1</w:t>
      </w:r>
      <w:r>
        <w:rPr>
          <w:lang w:val="en-US"/>
        </w:rPr>
        <w:t xml:space="preserve"> to a</w:t>
      </w:r>
      <w:r w:rsidRPr="002213DD">
        <w:rPr>
          <w:vertAlign w:val="subscript"/>
          <w:lang w:val="en-US"/>
        </w:rPr>
        <w:t>3</w:t>
      </w:r>
      <w:r>
        <w:rPr>
          <w:lang w:val="en-US"/>
        </w:rPr>
        <w:t xml:space="preserve"> and b</w:t>
      </w:r>
      <w:r w:rsidRPr="002213DD">
        <w:rPr>
          <w:vertAlign w:val="subscript"/>
          <w:lang w:val="en-US"/>
        </w:rPr>
        <w:t>1</w:t>
      </w:r>
      <w:r>
        <w:rPr>
          <w:lang w:val="en-US"/>
        </w:rPr>
        <w:t xml:space="preserve"> to b</w:t>
      </w:r>
      <w:r w:rsidRPr="002213DD">
        <w:rPr>
          <w:vertAlign w:val="subscript"/>
          <w:lang w:val="en-US"/>
        </w:rPr>
        <w:t>3</w:t>
      </w:r>
      <w:r>
        <w:rPr>
          <w:lang w:val="en-US"/>
        </w:rPr>
        <w:t xml:space="preserve"> are the observed measures of constructs A and B, respectively. The effects of ME on the indicators of A and B are freely estimated but the parameters are not shown explicitly in the figure. Error terms associated with a</w:t>
      </w:r>
      <w:r w:rsidRPr="002213DD">
        <w:rPr>
          <w:vertAlign w:val="subscript"/>
          <w:lang w:val="en-US"/>
        </w:rPr>
        <w:t>1</w:t>
      </w:r>
      <w:r>
        <w:rPr>
          <w:lang w:val="en-US"/>
        </w:rPr>
        <w:t xml:space="preserve"> to a</w:t>
      </w:r>
      <w:r w:rsidRPr="002213DD">
        <w:rPr>
          <w:vertAlign w:val="subscript"/>
          <w:lang w:val="en-US"/>
        </w:rPr>
        <w:t>3</w:t>
      </w:r>
      <w:r>
        <w:rPr>
          <w:lang w:val="en-US"/>
        </w:rPr>
        <w:t xml:space="preserve"> and b</w:t>
      </w:r>
      <w:r w:rsidRPr="002213DD">
        <w:rPr>
          <w:vertAlign w:val="subscript"/>
          <w:lang w:val="en-US"/>
        </w:rPr>
        <w:t>1</w:t>
      </w:r>
      <w:r>
        <w:rPr>
          <w:lang w:val="en-US"/>
        </w:rPr>
        <w:t xml:space="preserve"> to b</w:t>
      </w:r>
      <w:r w:rsidRPr="002213DD">
        <w:rPr>
          <w:vertAlign w:val="subscript"/>
          <w:lang w:val="en-US"/>
        </w:rPr>
        <w:t>3</w:t>
      </w:r>
      <w:r>
        <w:rPr>
          <w:lang w:val="en-US"/>
        </w:rPr>
        <w:t xml:space="preserve"> are omitted for simplicity. See Panel A for additional details.</w:t>
      </w:r>
    </w:p>
    <w:tbl>
      <w:tblPr>
        <w:tblStyle w:val="TableGrid"/>
        <w:tblW w:w="0" w:type="auto"/>
        <w:tblLook w:val="04A0" w:firstRow="1" w:lastRow="0" w:firstColumn="1" w:lastColumn="0" w:noHBand="0" w:noVBand="1"/>
      </w:tblPr>
      <w:tblGrid>
        <w:gridCol w:w="6997"/>
        <w:gridCol w:w="6997"/>
      </w:tblGrid>
      <w:tr w:rsidR="007A6739" w14:paraId="1EDC1962" w14:textId="77777777" w:rsidTr="00FA1205">
        <w:trPr>
          <w:trHeight w:val="4216"/>
        </w:trPr>
        <w:tc>
          <w:tcPr>
            <w:tcW w:w="6997" w:type="dxa"/>
          </w:tcPr>
          <w:p w14:paraId="3BD91A7D" w14:textId="77777777" w:rsidR="007A6739" w:rsidRDefault="007A6739" w:rsidP="00B070E9">
            <w:pPr>
              <w:spacing w:before="120" w:beforeAutospacing="0" w:after="160" w:afterAutospacing="0" w:line="259" w:lineRule="auto"/>
              <w:rPr>
                <w:lang w:val="en-US"/>
              </w:rPr>
            </w:pPr>
            <w:r>
              <w:rPr>
                <w:lang w:val="en-US"/>
              </w:rPr>
              <w:lastRenderedPageBreak/>
              <w:t>Panel C: Correlational marker variable technique</w:t>
            </w:r>
          </w:p>
          <w:p w14:paraId="12DA0AC6" w14:textId="027DEED7" w:rsidR="007A6739" w:rsidRDefault="007A6739" w:rsidP="00B070E9">
            <w:pPr>
              <w:spacing w:before="0" w:beforeAutospacing="0" w:after="160" w:afterAutospacing="0" w:line="259" w:lineRule="auto"/>
              <w:rPr>
                <w:lang w:val="en-US"/>
              </w:rPr>
            </w:pPr>
            <w:r>
              <w:rPr>
                <w:noProof/>
                <w:lang w:val="en-US"/>
              </w:rPr>
              <w:t xml:space="preserve">   </w:t>
            </w:r>
            <w:r w:rsidR="00FA1205">
              <w:rPr>
                <w:noProof/>
                <w:lang w:val="en-US"/>
              </w:rPr>
              <w:t xml:space="preserve">     </w:t>
            </w:r>
            <w:r>
              <w:rPr>
                <w:noProof/>
                <w:lang w:eastAsia="nl-BE"/>
              </w:rPr>
              <w:drawing>
                <wp:inline distT="0" distB="0" distL="0" distR="0" wp14:anchorId="3F34244C" wp14:editId="5B62DA2D">
                  <wp:extent cx="3403600" cy="2243570"/>
                  <wp:effectExtent l="0" t="0" r="6350" b="444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138" cy="2251834"/>
                          </a:xfrm>
                          <a:prstGeom prst="rect">
                            <a:avLst/>
                          </a:prstGeom>
                          <a:noFill/>
                        </pic:spPr>
                      </pic:pic>
                    </a:graphicData>
                  </a:graphic>
                </wp:inline>
              </w:drawing>
            </w:r>
          </w:p>
        </w:tc>
        <w:tc>
          <w:tcPr>
            <w:tcW w:w="6997" w:type="dxa"/>
          </w:tcPr>
          <w:p w14:paraId="51DC0DD8" w14:textId="77777777" w:rsidR="007A6739" w:rsidRDefault="007A6739" w:rsidP="00B070E9">
            <w:pPr>
              <w:spacing w:before="120" w:beforeAutospacing="0" w:after="160" w:afterAutospacing="0" w:line="259" w:lineRule="auto"/>
              <w:rPr>
                <w:lang w:val="en-US"/>
              </w:rPr>
            </w:pPr>
            <w:r>
              <w:rPr>
                <w:lang w:val="en-US"/>
              </w:rPr>
              <w:t>Panel D: Comprehensive marker variable technique</w:t>
            </w:r>
          </w:p>
          <w:p w14:paraId="020BEEFD" w14:textId="083A5602" w:rsidR="007A6739" w:rsidRDefault="007A6739" w:rsidP="00B070E9">
            <w:pPr>
              <w:spacing w:before="0" w:beforeAutospacing="0" w:after="160" w:afterAutospacing="0" w:line="259" w:lineRule="auto"/>
              <w:rPr>
                <w:lang w:val="en-US"/>
              </w:rPr>
            </w:pPr>
            <w:r>
              <w:rPr>
                <w:noProof/>
                <w:lang w:val="en-US"/>
              </w:rPr>
              <w:t xml:space="preserve">                    </w:t>
            </w:r>
            <w:r w:rsidR="00FA1205">
              <w:rPr>
                <w:noProof/>
                <w:lang w:val="en-US"/>
              </w:rPr>
              <w:t xml:space="preserve">           </w:t>
            </w:r>
            <w:r>
              <w:rPr>
                <w:noProof/>
                <w:lang w:eastAsia="nl-BE"/>
              </w:rPr>
              <w:drawing>
                <wp:inline distT="0" distB="0" distL="0" distR="0" wp14:anchorId="0400572A" wp14:editId="728EAA6B">
                  <wp:extent cx="1765300" cy="2162471"/>
                  <wp:effectExtent l="0" t="0" r="635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9749" cy="2180170"/>
                          </a:xfrm>
                          <a:prstGeom prst="rect">
                            <a:avLst/>
                          </a:prstGeom>
                          <a:noFill/>
                        </pic:spPr>
                      </pic:pic>
                    </a:graphicData>
                  </a:graphic>
                </wp:inline>
              </w:drawing>
            </w:r>
          </w:p>
        </w:tc>
      </w:tr>
    </w:tbl>
    <w:p w14:paraId="2779841C" w14:textId="77777777" w:rsidR="00A03424" w:rsidRDefault="00A03424" w:rsidP="00B070E9">
      <w:pPr>
        <w:spacing w:before="120" w:beforeAutospacing="0" w:after="160" w:afterAutospacing="0" w:line="259" w:lineRule="auto"/>
        <w:rPr>
          <w:sz w:val="22"/>
          <w:lang w:val="en-US"/>
        </w:rPr>
      </w:pPr>
    </w:p>
    <w:p w14:paraId="7CC6844A" w14:textId="3E99A5C6" w:rsidR="007A6739" w:rsidRPr="00FA1205" w:rsidRDefault="007A6739" w:rsidP="00B070E9">
      <w:pPr>
        <w:spacing w:before="120" w:beforeAutospacing="0" w:after="160" w:afterAutospacing="0" w:line="259" w:lineRule="auto"/>
        <w:rPr>
          <w:sz w:val="22"/>
          <w:lang w:val="en-US"/>
        </w:rPr>
      </w:pPr>
      <w:r w:rsidRPr="00FA1205">
        <w:rPr>
          <w:sz w:val="22"/>
          <w:lang w:val="en-US"/>
        </w:rPr>
        <w:t xml:space="preserve">Note for Panel C: A and B are substantive constructs, a and b are the observed measures of these constructs (usually an average of multiple observed measures of a given construct). The covariance between A and B is the parameter of primary interest. MA is the marker construct, ma the indicator of the marker construct. MF is a latent method factor. For identification, the covariance between MA and B (or A) has to be fixed to zero. To correct for measurement error in the observed measures, the variances of </w:t>
      </w:r>
      <w:r w:rsidRPr="00FA1205">
        <w:rPr>
          <w:sz w:val="22"/>
          <w:lang w:val="en-US"/>
        </w:rPr>
        <w:sym w:font="Symbol" w:char="F065"/>
      </w:r>
      <w:r w:rsidRPr="00FA1205">
        <w:rPr>
          <w:sz w:val="22"/>
          <w:vertAlign w:val="subscript"/>
          <w:lang w:val="en-US"/>
        </w:rPr>
        <w:t>1</w:t>
      </w:r>
      <w:r w:rsidRPr="00FA1205">
        <w:rPr>
          <w:sz w:val="22"/>
          <w:lang w:val="en-US"/>
        </w:rPr>
        <w:t xml:space="preserve">, </w:t>
      </w:r>
      <w:r w:rsidRPr="00FA1205">
        <w:rPr>
          <w:sz w:val="22"/>
          <w:lang w:val="en-US"/>
        </w:rPr>
        <w:sym w:font="Symbol" w:char="F065"/>
      </w:r>
      <w:r w:rsidRPr="00FA1205">
        <w:rPr>
          <w:sz w:val="22"/>
          <w:vertAlign w:val="subscript"/>
          <w:lang w:val="en-US"/>
        </w:rPr>
        <w:t>2</w:t>
      </w:r>
      <w:r w:rsidRPr="00FA1205">
        <w:rPr>
          <w:sz w:val="22"/>
          <w:lang w:val="en-US"/>
        </w:rPr>
        <w:t xml:space="preserve">, and </w:t>
      </w:r>
      <w:r w:rsidRPr="00FA1205">
        <w:rPr>
          <w:sz w:val="22"/>
          <w:lang w:val="en-US"/>
        </w:rPr>
        <w:sym w:font="Symbol" w:char="F065"/>
      </w:r>
      <w:r w:rsidRPr="00FA1205">
        <w:rPr>
          <w:sz w:val="22"/>
          <w:vertAlign w:val="subscript"/>
          <w:lang w:val="en-US"/>
        </w:rPr>
        <w:t>3</w:t>
      </w:r>
      <w:r w:rsidRPr="00FA1205">
        <w:rPr>
          <w:sz w:val="22"/>
          <w:lang w:val="en-US"/>
        </w:rPr>
        <w:t xml:space="preserve"> are set to the variance of the observed measure minus the reliability of the observed measure. If no correction for unreliability is applied, the variances of </w:t>
      </w:r>
      <w:r w:rsidRPr="00FA1205">
        <w:rPr>
          <w:sz w:val="22"/>
          <w:lang w:val="en-US"/>
        </w:rPr>
        <w:sym w:font="Symbol" w:char="F065"/>
      </w:r>
      <w:r w:rsidRPr="00FA1205">
        <w:rPr>
          <w:sz w:val="22"/>
          <w:vertAlign w:val="subscript"/>
          <w:lang w:val="en-US"/>
        </w:rPr>
        <w:t>1</w:t>
      </w:r>
      <w:r w:rsidRPr="00FA1205">
        <w:rPr>
          <w:sz w:val="22"/>
          <w:lang w:val="en-US"/>
        </w:rPr>
        <w:t xml:space="preserve">, </w:t>
      </w:r>
      <w:r w:rsidRPr="00FA1205">
        <w:rPr>
          <w:sz w:val="22"/>
          <w:lang w:val="en-US"/>
        </w:rPr>
        <w:sym w:font="Symbol" w:char="F065"/>
      </w:r>
      <w:r w:rsidRPr="00FA1205">
        <w:rPr>
          <w:sz w:val="22"/>
          <w:vertAlign w:val="subscript"/>
          <w:lang w:val="en-US"/>
        </w:rPr>
        <w:t>2</w:t>
      </w:r>
      <w:r w:rsidRPr="00FA1205">
        <w:rPr>
          <w:sz w:val="22"/>
          <w:lang w:val="en-US"/>
        </w:rPr>
        <w:t xml:space="preserve">, and </w:t>
      </w:r>
      <w:r w:rsidRPr="00FA1205">
        <w:rPr>
          <w:sz w:val="22"/>
          <w:lang w:val="en-US"/>
        </w:rPr>
        <w:sym w:font="Symbol" w:char="F065"/>
      </w:r>
      <w:r w:rsidRPr="00FA1205">
        <w:rPr>
          <w:sz w:val="22"/>
          <w:vertAlign w:val="subscript"/>
          <w:lang w:val="en-US"/>
        </w:rPr>
        <w:t>3</w:t>
      </w:r>
      <w:r w:rsidRPr="00FA1205">
        <w:rPr>
          <w:sz w:val="22"/>
          <w:lang w:val="en-US"/>
        </w:rPr>
        <w:t xml:space="preserve"> are set to zero and A = a, B = b, and MA = ma. </w:t>
      </w:r>
    </w:p>
    <w:p w14:paraId="66CE0ADC" w14:textId="77777777" w:rsidR="007A6739" w:rsidRDefault="007A6739" w:rsidP="00B070E9">
      <w:pPr>
        <w:spacing w:before="0" w:beforeAutospacing="0" w:after="160" w:afterAutospacing="0" w:line="259" w:lineRule="auto"/>
        <w:rPr>
          <w:lang w:val="en-US"/>
        </w:rPr>
      </w:pPr>
      <w:r w:rsidRPr="00FA1205">
        <w:rPr>
          <w:sz w:val="22"/>
          <w:lang w:val="en-US"/>
        </w:rPr>
        <w:t>Note for Panel D: This model looks similar to the model in Panel B, but it is quite different. A and B are substantive constructs, a</w:t>
      </w:r>
      <w:r w:rsidRPr="00FA1205">
        <w:rPr>
          <w:sz w:val="22"/>
          <w:vertAlign w:val="subscript"/>
          <w:lang w:val="en-US"/>
        </w:rPr>
        <w:t>1</w:t>
      </w:r>
      <w:r w:rsidRPr="00FA1205">
        <w:rPr>
          <w:sz w:val="22"/>
          <w:lang w:val="en-US"/>
        </w:rPr>
        <w:t xml:space="preserve"> to a</w:t>
      </w:r>
      <w:r w:rsidRPr="00FA1205">
        <w:rPr>
          <w:sz w:val="22"/>
          <w:vertAlign w:val="subscript"/>
          <w:lang w:val="en-US"/>
        </w:rPr>
        <w:t>3</w:t>
      </w:r>
      <w:r w:rsidRPr="00FA1205">
        <w:rPr>
          <w:sz w:val="22"/>
          <w:lang w:val="en-US"/>
        </w:rPr>
        <w:t xml:space="preserve"> and b</w:t>
      </w:r>
      <w:r w:rsidRPr="00FA1205">
        <w:rPr>
          <w:sz w:val="22"/>
          <w:vertAlign w:val="subscript"/>
          <w:lang w:val="en-US"/>
        </w:rPr>
        <w:t>1</w:t>
      </w:r>
      <w:r w:rsidRPr="00FA1205">
        <w:rPr>
          <w:sz w:val="22"/>
          <w:lang w:val="en-US"/>
        </w:rPr>
        <w:t xml:space="preserve"> to b</w:t>
      </w:r>
      <w:r w:rsidRPr="00FA1205">
        <w:rPr>
          <w:sz w:val="22"/>
          <w:vertAlign w:val="subscript"/>
          <w:lang w:val="en-US"/>
        </w:rPr>
        <w:t>3</w:t>
      </w:r>
      <w:r w:rsidRPr="00FA1205">
        <w:rPr>
          <w:sz w:val="22"/>
          <w:lang w:val="en-US"/>
        </w:rPr>
        <w:t xml:space="preserve"> are the observed measures of constructs A and B, respectively. MA is a marker variable construct, ma</w:t>
      </w:r>
      <w:r w:rsidRPr="00FA1205">
        <w:rPr>
          <w:sz w:val="22"/>
          <w:vertAlign w:val="subscript"/>
          <w:lang w:val="en-US"/>
        </w:rPr>
        <w:t>1</w:t>
      </w:r>
      <w:r w:rsidRPr="00FA1205">
        <w:rPr>
          <w:sz w:val="22"/>
          <w:lang w:val="en-US"/>
        </w:rPr>
        <w:t xml:space="preserve"> to ma</w:t>
      </w:r>
      <w:r w:rsidRPr="00FA1205">
        <w:rPr>
          <w:sz w:val="22"/>
          <w:vertAlign w:val="subscript"/>
          <w:lang w:val="en-US"/>
        </w:rPr>
        <w:t>3</w:t>
      </w:r>
      <w:r w:rsidRPr="00FA1205">
        <w:rPr>
          <w:sz w:val="22"/>
          <w:lang w:val="en-US"/>
        </w:rPr>
        <w:t xml:space="preserve"> the indicators of the marker construct. The covariances of A and B with MA are constrained to zero, but the loadings of ma</w:t>
      </w:r>
      <w:r w:rsidRPr="00FA1205">
        <w:rPr>
          <w:sz w:val="22"/>
          <w:vertAlign w:val="subscript"/>
          <w:lang w:val="en-US"/>
        </w:rPr>
        <w:t>1</w:t>
      </w:r>
      <w:r w:rsidRPr="00FA1205">
        <w:rPr>
          <w:sz w:val="22"/>
          <w:lang w:val="en-US"/>
        </w:rPr>
        <w:t xml:space="preserve"> to ma</w:t>
      </w:r>
      <w:r w:rsidRPr="00FA1205">
        <w:rPr>
          <w:sz w:val="22"/>
          <w:vertAlign w:val="subscript"/>
          <w:lang w:val="en-US"/>
        </w:rPr>
        <w:t>3</w:t>
      </w:r>
      <w:r w:rsidRPr="00FA1205">
        <w:rPr>
          <w:sz w:val="22"/>
          <w:lang w:val="en-US"/>
        </w:rPr>
        <w:t xml:space="preserve"> on MA are constrained to be equal to the values of these loadings in a congeneric three-factor model in which the covariances between A, B, and MA are freely estimated. The effects of MA on the indicators of A and B are either constrained to be equal (in the so-called Method-C model) or freely estimated (in the so-called Method-U model). Model comparison tests are conducted to evaluate which model is preferable. The covariance between A and B in the model with method effects is also compared to the covariance between A and B in the model without method effects to evaluate whether the inclusion of method effects changes the substantive conclusions. Error terms associated with a</w:t>
      </w:r>
      <w:r w:rsidRPr="00FA1205">
        <w:rPr>
          <w:sz w:val="22"/>
          <w:vertAlign w:val="subscript"/>
          <w:lang w:val="en-US"/>
        </w:rPr>
        <w:t>1</w:t>
      </w:r>
      <w:r w:rsidRPr="00FA1205">
        <w:rPr>
          <w:sz w:val="22"/>
          <w:lang w:val="en-US"/>
        </w:rPr>
        <w:t xml:space="preserve"> to a</w:t>
      </w:r>
      <w:r w:rsidRPr="00FA1205">
        <w:rPr>
          <w:sz w:val="22"/>
          <w:vertAlign w:val="subscript"/>
          <w:lang w:val="en-US"/>
        </w:rPr>
        <w:t>3</w:t>
      </w:r>
      <w:r w:rsidRPr="00FA1205">
        <w:rPr>
          <w:sz w:val="22"/>
          <w:lang w:val="en-US"/>
        </w:rPr>
        <w:t>, b</w:t>
      </w:r>
      <w:r w:rsidRPr="00FA1205">
        <w:rPr>
          <w:sz w:val="22"/>
          <w:vertAlign w:val="subscript"/>
          <w:lang w:val="en-US"/>
        </w:rPr>
        <w:t>1</w:t>
      </w:r>
      <w:r w:rsidRPr="00FA1205">
        <w:rPr>
          <w:sz w:val="22"/>
          <w:lang w:val="en-US"/>
        </w:rPr>
        <w:t xml:space="preserve"> to b</w:t>
      </w:r>
      <w:r w:rsidRPr="00FA1205">
        <w:rPr>
          <w:sz w:val="22"/>
          <w:vertAlign w:val="subscript"/>
          <w:lang w:val="en-US"/>
        </w:rPr>
        <w:t>3</w:t>
      </w:r>
      <w:r w:rsidRPr="00FA1205">
        <w:rPr>
          <w:sz w:val="22"/>
          <w:lang w:val="en-US"/>
        </w:rPr>
        <w:t>, and ma</w:t>
      </w:r>
      <w:r w:rsidRPr="00FA1205">
        <w:rPr>
          <w:sz w:val="22"/>
          <w:vertAlign w:val="subscript"/>
          <w:lang w:val="en-US"/>
        </w:rPr>
        <w:t>1</w:t>
      </w:r>
      <w:r w:rsidRPr="00FA1205">
        <w:rPr>
          <w:sz w:val="22"/>
          <w:lang w:val="en-US"/>
        </w:rPr>
        <w:t xml:space="preserve"> to ma</w:t>
      </w:r>
      <w:r w:rsidRPr="00FA1205">
        <w:rPr>
          <w:sz w:val="22"/>
          <w:vertAlign w:val="subscript"/>
          <w:lang w:val="en-US"/>
        </w:rPr>
        <w:t>3</w:t>
      </w:r>
      <w:r w:rsidRPr="00FA1205">
        <w:rPr>
          <w:sz w:val="22"/>
          <w:lang w:val="en-US"/>
        </w:rPr>
        <w:t xml:space="preserve"> are omitted for simplicity.</w:t>
      </w:r>
      <w:r>
        <w:rPr>
          <w:lang w:val="en-US"/>
        </w:rPr>
        <w:t xml:space="preserve"> </w:t>
      </w:r>
    </w:p>
    <w:p w14:paraId="1461417A" w14:textId="77777777" w:rsidR="007A6739" w:rsidRDefault="007A6739">
      <w:pPr>
        <w:spacing w:before="0" w:beforeAutospacing="0" w:after="160" w:afterAutospacing="0" w:line="259" w:lineRule="auto"/>
        <w:rPr>
          <w:lang w:val="en-US"/>
        </w:rPr>
        <w:sectPr w:rsidR="007A6739" w:rsidSect="00B070E9">
          <w:pgSz w:w="16838" w:h="11906" w:orient="landscape"/>
          <w:pgMar w:top="1417" w:right="1417" w:bottom="1417" w:left="1417" w:header="708" w:footer="708" w:gutter="0"/>
          <w:cols w:space="708"/>
          <w:docGrid w:linePitch="360"/>
        </w:sectPr>
      </w:pPr>
    </w:p>
    <w:tbl>
      <w:tblPr>
        <w:tblStyle w:val="TableGrid"/>
        <w:tblW w:w="0" w:type="auto"/>
        <w:tblLook w:val="04A0" w:firstRow="1" w:lastRow="0" w:firstColumn="1" w:lastColumn="0" w:noHBand="0" w:noVBand="1"/>
      </w:tblPr>
      <w:tblGrid>
        <w:gridCol w:w="6997"/>
        <w:gridCol w:w="6997"/>
      </w:tblGrid>
      <w:tr w:rsidR="007A6739" w14:paraId="1B0A5CFB" w14:textId="77777777" w:rsidTr="00862111">
        <w:trPr>
          <w:trHeight w:val="4396"/>
        </w:trPr>
        <w:tc>
          <w:tcPr>
            <w:tcW w:w="6997" w:type="dxa"/>
          </w:tcPr>
          <w:p w14:paraId="200197A8" w14:textId="339E0AD9" w:rsidR="007A6739" w:rsidRDefault="007A6739" w:rsidP="00B070E9">
            <w:pPr>
              <w:spacing w:before="0" w:beforeAutospacing="0" w:after="160" w:afterAutospacing="0" w:line="259" w:lineRule="auto"/>
              <w:rPr>
                <w:lang w:val="en-US"/>
              </w:rPr>
            </w:pPr>
          </w:p>
          <w:p w14:paraId="7823BCED" w14:textId="77777777" w:rsidR="007A6739" w:rsidRDefault="007A6739" w:rsidP="00B070E9">
            <w:pPr>
              <w:spacing w:before="0" w:beforeAutospacing="0" w:after="160" w:afterAutospacing="0" w:line="259" w:lineRule="auto"/>
              <w:rPr>
                <w:lang w:val="en-US"/>
              </w:rPr>
            </w:pPr>
            <w:r>
              <w:rPr>
                <w:lang w:val="en-US"/>
              </w:rPr>
              <w:t>Panel E: Partialing an inferred method factor at the scale level</w:t>
            </w:r>
          </w:p>
          <w:p w14:paraId="2A899BF1" w14:textId="21DB34D6" w:rsidR="007A6739" w:rsidRDefault="007A6739" w:rsidP="00B070E9">
            <w:pPr>
              <w:spacing w:before="0" w:beforeAutospacing="0" w:after="160" w:afterAutospacing="0" w:line="259" w:lineRule="auto"/>
              <w:rPr>
                <w:lang w:val="en-US"/>
              </w:rPr>
            </w:pPr>
          </w:p>
          <w:p w14:paraId="636817BB" w14:textId="24C6EF7B" w:rsidR="007A6739" w:rsidRDefault="007A6739" w:rsidP="00B070E9">
            <w:pPr>
              <w:spacing w:before="0" w:beforeAutospacing="0" w:after="160" w:afterAutospacing="0" w:line="259" w:lineRule="auto"/>
              <w:rPr>
                <w:noProof/>
                <w:lang w:val="en-US"/>
              </w:rPr>
            </w:pPr>
            <w:r>
              <w:rPr>
                <w:noProof/>
                <w:lang w:val="en-US"/>
              </w:rPr>
              <w:t xml:space="preserve">     </w:t>
            </w:r>
            <w:r w:rsidR="00862111">
              <w:rPr>
                <w:noProof/>
                <w:lang w:val="en-US"/>
              </w:rPr>
              <w:t xml:space="preserve">                   </w:t>
            </w:r>
            <w:r w:rsidR="00862111">
              <w:rPr>
                <w:noProof/>
                <w:lang w:eastAsia="nl-BE"/>
              </w:rPr>
              <w:drawing>
                <wp:inline distT="0" distB="0" distL="0" distR="0" wp14:anchorId="4A3EB49B" wp14:editId="62A38B07">
                  <wp:extent cx="2238205" cy="1778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0668" cy="1795844"/>
                          </a:xfrm>
                          <a:prstGeom prst="rect">
                            <a:avLst/>
                          </a:prstGeom>
                          <a:noFill/>
                        </pic:spPr>
                      </pic:pic>
                    </a:graphicData>
                  </a:graphic>
                </wp:inline>
              </w:drawing>
            </w:r>
          </w:p>
        </w:tc>
        <w:tc>
          <w:tcPr>
            <w:tcW w:w="6997" w:type="dxa"/>
          </w:tcPr>
          <w:p w14:paraId="2B634BDC" w14:textId="77777777" w:rsidR="007A6739" w:rsidRDefault="007A6739" w:rsidP="00B070E9">
            <w:pPr>
              <w:spacing w:before="0" w:beforeAutospacing="0" w:after="160" w:afterAutospacing="0" w:line="259" w:lineRule="auto"/>
              <w:rPr>
                <w:lang w:val="en-US"/>
              </w:rPr>
            </w:pPr>
          </w:p>
          <w:p w14:paraId="17922F69" w14:textId="640A4E16" w:rsidR="007A6739" w:rsidRDefault="007A6739" w:rsidP="00B070E9">
            <w:pPr>
              <w:spacing w:before="0" w:beforeAutospacing="0" w:after="160" w:afterAutospacing="0" w:line="259" w:lineRule="auto"/>
              <w:rPr>
                <w:lang w:val="en-US"/>
              </w:rPr>
            </w:pPr>
            <w:r>
              <w:rPr>
                <w:lang w:val="en-US"/>
              </w:rPr>
              <w:t>Panel F: A factor model with correlated uniquenesses to model method effects</w:t>
            </w:r>
          </w:p>
          <w:p w14:paraId="2BFCC47B" w14:textId="3B34A3CE" w:rsidR="007A6739" w:rsidRDefault="007A6739" w:rsidP="00B070E9">
            <w:pPr>
              <w:spacing w:before="0" w:beforeAutospacing="0" w:after="160" w:afterAutospacing="0" w:line="259" w:lineRule="auto"/>
              <w:rPr>
                <w:lang w:val="en-US"/>
              </w:rPr>
            </w:pPr>
            <w:r>
              <w:rPr>
                <w:lang w:val="en-US"/>
              </w:rPr>
              <w:t xml:space="preserve">     </w:t>
            </w:r>
            <w:r w:rsidR="00862111">
              <w:rPr>
                <w:lang w:val="en-US"/>
              </w:rPr>
              <w:t xml:space="preserve">               </w:t>
            </w:r>
            <w:r>
              <w:rPr>
                <w:noProof/>
                <w:lang w:eastAsia="nl-BE"/>
              </w:rPr>
              <w:drawing>
                <wp:inline distT="0" distB="0" distL="0" distR="0" wp14:anchorId="2BC0CB3E" wp14:editId="06D7A323">
                  <wp:extent cx="2664766" cy="18796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5859" cy="1887425"/>
                          </a:xfrm>
                          <a:prstGeom prst="rect">
                            <a:avLst/>
                          </a:prstGeom>
                          <a:noFill/>
                        </pic:spPr>
                      </pic:pic>
                    </a:graphicData>
                  </a:graphic>
                </wp:inline>
              </w:drawing>
            </w:r>
            <w:r>
              <w:rPr>
                <w:noProof/>
                <w:lang w:val="en-US"/>
              </w:rPr>
              <w:t xml:space="preserve">            </w:t>
            </w:r>
          </w:p>
        </w:tc>
      </w:tr>
    </w:tbl>
    <w:p w14:paraId="6B0108AB" w14:textId="77777777" w:rsidR="00862111" w:rsidRDefault="00862111" w:rsidP="00B070E9">
      <w:pPr>
        <w:spacing w:before="0" w:beforeAutospacing="0" w:after="160" w:afterAutospacing="0" w:line="259" w:lineRule="auto"/>
        <w:rPr>
          <w:lang w:val="en-US"/>
        </w:rPr>
      </w:pPr>
    </w:p>
    <w:p w14:paraId="0C9C74DB" w14:textId="6D7CE243" w:rsidR="007A6739" w:rsidRDefault="007A6739" w:rsidP="00B070E9">
      <w:pPr>
        <w:spacing w:before="0" w:beforeAutospacing="0" w:after="160" w:afterAutospacing="0" w:line="259" w:lineRule="auto"/>
        <w:rPr>
          <w:lang w:val="en-US"/>
        </w:rPr>
      </w:pPr>
      <w:r>
        <w:rPr>
          <w:lang w:val="en-US"/>
        </w:rPr>
        <w:t>Note for Panel E: A and B are substantive constructs, a and b are the observed measures of these constructs (usually an average of multiple observed measures of a given construct). The covariance between A and B is the parameter of primary interest. MF is an inferred but measured method factor that is based on the factor scores estimated from a one-factor model based on all individual measures of A and B (e.g., a</w:t>
      </w:r>
      <w:r w:rsidRPr="002213DD">
        <w:rPr>
          <w:vertAlign w:val="subscript"/>
          <w:lang w:val="en-US"/>
        </w:rPr>
        <w:t>1</w:t>
      </w:r>
      <w:r>
        <w:rPr>
          <w:lang w:val="en-US"/>
        </w:rPr>
        <w:t xml:space="preserve"> to a</w:t>
      </w:r>
      <w:r w:rsidRPr="002213DD">
        <w:rPr>
          <w:vertAlign w:val="subscript"/>
          <w:lang w:val="en-US"/>
        </w:rPr>
        <w:t>3</w:t>
      </w:r>
      <w:r>
        <w:rPr>
          <w:lang w:val="en-US"/>
        </w:rPr>
        <w:t xml:space="preserve"> and b</w:t>
      </w:r>
      <w:r w:rsidRPr="002213DD">
        <w:rPr>
          <w:vertAlign w:val="subscript"/>
          <w:lang w:val="en-US"/>
        </w:rPr>
        <w:t>1</w:t>
      </w:r>
      <w:r>
        <w:rPr>
          <w:lang w:val="en-US"/>
        </w:rPr>
        <w:t xml:space="preserve"> to b</w:t>
      </w:r>
      <w:r w:rsidRPr="002213DD">
        <w:rPr>
          <w:vertAlign w:val="subscript"/>
          <w:lang w:val="en-US"/>
        </w:rPr>
        <w:t>3</w:t>
      </w:r>
      <w:r>
        <w:rPr>
          <w:lang w:val="en-US"/>
        </w:rPr>
        <w:t xml:space="preserve">). </w:t>
      </w:r>
    </w:p>
    <w:p w14:paraId="693BB3D2" w14:textId="77777777" w:rsidR="007A6739" w:rsidRDefault="007A6739" w:rsidP="00B070E9">
      <w:pPr>
        <w:spacing w:before="0" w:beforeAutospacing="0" w:after="160" w:afterAutospacing="0" w:line="259" w:lineRule="auto"/>
        <w:rPr>
          <w:lang w:val="en-US"/>
        </w:rPr>
      </w:pPr>
      <w:r>
        <w:rPr>
          <w:lang w:val="en-US"/>
        </w:rPr>
        <w:t>Note for Panel F: A, B, and C are substantive constructs, a</w:t>
      </w:r>
      <w:r w:rsidRPr="002213DD">
        <w:rPr>
          <w:vertAlign w:val="subscript"/>
          <w:lang w:val="en-US"/>
        </w:rPr>
        <w:t>1</w:t>
      </w:r>
      <w:r>
        <w:rPr>
          <w:lang w:val="en-US"/>
        </w:rPr>
        <w:t xml:space="preserve"> to a</w:t>
      </w:r>
      <w:r w:rsidRPr="002213DD">
        <w:rPr>
          <w:vertAlign w:val="subscript"/>
          <w:lang w:val="en-US"/>
        </w:rPr>
        <w:t>3</w:t>
      </w:r>
      <w:r>
        <w:rPr>
          <w:lang w:val="en-US"/>
        </w:rPr>
        <w:t>, b</w:t>
      </w:r>
      <w:r w:rsidRPr="002213DD">
        <w:rPr>
          <w:vertAlign w:val="subscript"/>
          <w:lang w:val="en-US"/>
        </w:rPr>
        <w:t>1</w:t>
      </w:r>
      <w:r>
        <w:rPr>
          <w:lang w:val="en-US"/>
        </w:rPr>
        <w:t xml:space="preserve"> to b</w:t>
      </w:r>
      <w:r w:rsidRPr="002213DD">
        <w:rPr>
          <w:vertAlign w:val="subscript"/>
          <w:lang w:val="en-US"/>
        </w:rPr>
        <w:t>3</w:t>
      </w:r>
      <w:r>
        <w:rPr>
          <w:lang w:val="en-US"/>
        </w:rPr>
        <w:t>, and c</w:t>
      </w:r>
      <w:r w:rsidRPr="002213DD">
        <w:rPr>
          <w:vertAlign w:val="subscript"/>
          <w:lang w:val="en-US"/>
        </w:rPr>
        <w:t>1</w:t>
      </w:r>
      <w:r>
        <w:rPr>
          <w:lang w:val="en-US"/>
        </w:rPr>
        <w:t xml:space="preserve"> to c</w:t>
      </w:r>
      <w:r w:rsidRPr="002213DD">
        <w:rPr>
          <w:vertAlign w:val="subscript"/>
          <w:lang w:val="en-US"/>
        </w:rPr>
        <w:t>3</w:t>
      </w:r>
      <w:r>
        <w:rPr>
          <w:lang w:val="en-US"/>
        </w:rPr>
        <w:t xml:space="preserve"> are the observed measures of constructs A, B, and C, respectively. MF</w:t>
      </w:r>
      <w:r w:rsidRPr="0070225D">
        <w:rPr>
          <w:vertAlign w:val="subscript"/>
          <w:lang w:val="en-US"/>
        </w:rPr>
        <w:t>1</w:t>
      </w:r>
      <w:r>
        <w:rPr>
          <w:lang w:val="en-US"/>
        </w:rPr>
        <w:t>, MF</w:t>
      </w:r>
      <w:r>
        <w:rPr>
          <w:vertAlign w:val="subscript"/>
          <w:lang w:val="en-US"/>
        </w:rPr>
        <w:t>2</w:t>
      </w:r>
      <w:r>
        <w:rPr>
          <w:lang w:val="en-US"/>
        </w:rPr>
        <w:t>, and MF</w:t>
      </w:r>
      <w:r>
        <w:rPr>
          <w:vertAlign w:val="subscript"/>
          <w:lang w:val="en-US"/>
        </w:rPr>
        <w:t>3</w:t>
      </w:r>
      <w:r>
        <w:rPr>
          <w:lang w:val="en-US"/>
        </w:rPr>
        <w:t xml:space="preserve"> are three inferred method factors corresponding to three types of items; other method factor specifications (including a model with a single inferred method factor) are possible. All loadings and the covariances between the method factors are freely estimated in the model shown, but simpler specifications (e.g., a model with uncorrelated method factors) may be considered. Error terms associated with the observed measures are omitted for simplicity.</w:t>
      </w:r>
    </w:p>
    <w:p w14:paraId="326E7D52" w14:textId="77777777" w:rsidR="007A6739" w:rsidRDefault="007A6739" w:rsidP="00B070E9">
      <w:pPr>
        <w:spacing w:before="0" w:beforeAutospacing="0" w:after="160" w:afterAutospacing="0" w:line="259" w:lineRule="auto"/>
        <w:rPr>
          <w:lang w:val="en-US"/>
        </w:rPr>
        <w:sectPr w:rsidR="007A6739" w:rsidSect="00B070E9">
          <w:pgSz w:w="16838" w:h="11906" w:orient="landscape"/>
          <w:pgMar w:top="1417" w:right="1417" w:bottom="1417" w:left="1417" w:header="708" w:footer="708" w:gutter="0"/>
          <w:cols w:space="708"/>
          <w:docGrid w:linePitch="360"/>
        </w:sectPr>
      </w:pPr>
    </w:p>
    <w:p w14:paraId="53CA7A32" w14:textId="16950338" w:rsidR="007A6739" w:rsidRDefault="007A6739" w:rsidP="00B070E9">
      <w:pPr>
        <w:spacing w:before="0" w:beforeAutospacing="0" w:after="160" w:afterAutospacing="0" w:line="259" w:lineRule="auto"/>
        <w:rPr>
          <w:lang w:val="en-US"/>
        </w:rPr>
      </w:pPr>
    </w:p>
    <w:tbl>
      <w:tblPr>
        <w:tblStyle w:val="TableGrid"/>
        <w:tblW w:w="0" w:type="auto"/>
        <w:tblLook w:val="04A0" w:firstRow="1" w:lastRow="0" w:firstColumn="1" w:lastColumn="0" w:noHBand="0" w:noVBand="1"/>
      </w:tblPr>
      <w:tblGrid>
        <w:gridCol w:w="6997"/>
        <w:gridCol w:w="6997"/>
      </w:tblGrid>
      <w:tr w:rsidR="007A6739" w14:paraId="358B21B3" w14:textId="77777777" w:rsidTr="00B070E9">
        <w:trPr>
          <w:trHeight w:val="5476"/>
        </w:trPr>
        <w:tc>
          <w:tcPr>
            <w:tcW w:w="6997" w:type="dxa"/>
          </w:tcPr>
          <w:p w14:paraId="19BEADFA" w14:textId="77777777" w:rsidR="007A6739" w:rsidRDefault="007A6739" w:rsidP="00B070E9">
            <w:pPr>
              <w:spacing w:before="0" w:beforeAutospacing="0" w:after="160" w:afterAutospacing="0" w:line="259" w:lineRule="auto"/>
              <w:rPr>
                <w:lang w:val="en-US"/>
              </w:rPr>
            </w:pPr>
          </w:p>
          <w:p w14:paraId="4325132E" w14:textId="77777777" w:rsidR="007A6739" w:rsidRDefault="007A6739" w:rsidP="00B070E9">
            <w:pPr>
              <w:spacing w:before="0" w:beforeAutospacing="0" w:after="160" w:afterAutospacing="0" w:line="259" w:lineRule="auto"/>
              <w:rPr>
                <w:lang w:val="en-US"/>
              </w:rPr>
            </w:pPr>
            <w:r>
              <w:rPr>
                <w:lang w:val="en-US"/>
              </w:rPr>
              <w:t>Panel G: A factor model with correlated uniquenesses to model method effects</w:t>
            </w:r>
          </w:p>
          <w:p w14:paraId="005DB0DE" w14:textId="77777777" w:rsidR="007A6739" w:rsidRDefault="007A6739" w:rsidP="00B070E9">
            <w:pPr>
              <w:spacing w:before="0" w:beforeAutospacing="0" w:after="160" w:afterAutospacing="0" w:line="259" w:lineRule="auto"/>
              <w:rPr>
                <w:lang w:val="en-US"/>
              </w:rPr>
            </w:pPr>
          </w:p>
          <w:p w14:paraId="2556F05E" w14:textId="77777777" w:rsidR="007A6739" w:rsidRDefault="007A6739" w:rsidP="00B070E9">
            <w:pPr>
              <w:spacing w:before="0" w:beforeAutospacing="0" w:after="160" w:afterAutospacing="0" w:line="259" w:lineRule="auto"/>
              <w:rPr>
                <w:noProof/>
                <w:lang w:val="en-US"/>
              </w:rPr>
            </w:pPr>
            <w:r>
              <w:rPr>
                <w:noProof/>
                <w:lang w:val="en-US"/>
              </w:rPr>
              <w:t xml:space="preserve">     </w:t>
            </w:r>
          </w:p>
          <w:p w14:paraId="13501713" w14:textId="77777777" w:rsidR="007A6739" w:rsidRDefault="007A6739" w:rsidP="00B070E9">
            <w:pPr>
              <w:spacing w:before="0" w:beforeAutospacing="0" w:after="160" w:afterAutospacing="0" w:line="259" w:lineRule="auto"/>
              <w:rPr>
                <w:lang w:val="en-US"/>
              </w:rPr>
            </w:pPr>
            <w:r>
              <w:rPr>
                <w:lang w:val="en-US"/>
              </w:rPr>
              <w:t xml:space="preserve">    </w:t>
            </w:r>
            <w:r>
              <w:rPr>
                <w:noProof/>
                <w:lang w:eastAsia="nl-BE"/>
              </w:rPr>
              <w:drawing>
                <wp:inline distT="0" distB="0" distL="0" distR="0" wp14:anchorId="5CF663E9" wp14:editId="7363BEA1">
                  <wp:extent cx="3950335" cy="1755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0335" cy="1755775"/>
                          </a:xfrm>
                          <a:prstGeom prst="rect">
                            <a:avLst/>
                          </a:prstGeom>
                          <a:noFill/>
                        </pic:spPr>
                      </pic:pic>
                    </a:graphicData>
                  </a:graphic>
                </wp:inline>
              </w:drawing>
            </w:r>
          </w:p>
        </w:tc>
        <w:tc>
          <w:tcPr>
            <w:tcW w:w="6997" w:type="dxa"/>
          </w:tcPr>
          <w:p w14:paraId="0291FC5D" w14:textId="77777777" w:rsidR="007A6739" w:rsidRDefault="007A6739" w:rsidP="00B070E9">
            <w:pPr>
              <w:spacing w:before="0" w:beforeAutospacing="0" w:after="160" w:afterAutospacing="0" w:line="259" w:lineRule="auto"/>
              <w:rPr>
                <w:lang w:val="en-US"/>
              </w:rPr>
            </w:pPr>
          </w:p>
        </w:tc>
      </w:tr>
    </w:tbl>
    <w:p w14:paraId="3598A66C" w14:textId="77777777" w:rsidR="007A6739" w:rsidRDefault="007A6739" w:rsidP="00B070E9">
      <w:pPr>
        <w:spacing w:before="0" w:beforeAutospacing="0" w:after="160" w:afterAutospacing="0" w:line="259" w:lineRule="auto"/>
        <w:rPr>
          <w:lang w:val="en-US"/>
        </w:rPr>
      </w:pPr>
    </w:p>
    <w:p w14:paraId="3C355846" w14:textId="77777777" w:rsidR="007A6739" w:rsidRDefault="007A6739" w:rsidP="00B070E9">
      <w:pPr>
        <w:spacing w:before="0" w:beforeAutospacing="0" w:after="160" w:afterAutospacing="0" w:line="259" w:lineRule="auto"/>
        <w:rPr>
          <w:lang w:val="en-US"/>
        </w:rPr>
      </w:pPr>
      <w:r>
        <w:rPr>
          <w:lang w:val="en-US"/>
        </w:rPr>
        <w:t>Note for Panel G: A, B, and C are substantive constructs, a</w:t>
      </w:r>
      <w:r w:rsidRPr="002213DD">
        <w:rPr>
          <w:vertAlign w:val="subscript"/>
          <w:lang w:val="en-US"/>
        </w:rPr>
        <w:t>1</w:t>
      </w:r>
      <w:r>
        <w:rPr>
          <w:lang w:val="en-US"/>
        </w:rPr>
        <w:t xml:space="preserve"> to a</w:t>
      </w:r>
      <w:r w:rsidRPr="002213DD">
        <w:rPr>
          <w:vertAlign w:val="subscript"/>
          <w:lang w:val="en-US"/>
        </w:rPr>
        <w:t>3</w:t>
      </w:r>
      <w:r>
        <w:rPr>
          <w:lang w:val="en-US"/>
        </w:rPr>
        <w:t>, b</w:t>
      </w:r>
      <w:r w:rsidRPr="002213DD">
        <w:rPr>
          <w:vertAlign w:val="subscript"/>
          <w:lang w:val="en-US"/>
        </w:rPr>
        <w:t>1</w:t>
      </w:r>
      <w:r>
        <w:rPr>
          <w:lang w:val="en-US"/>
        </w:rPr>
        <w:t xml:space="preserve"> to b</w:t>
      </w:r>
      <w:r w:rsidRPr="002213DD">
        <w:rPr>
          <w:vertAlign w:val="subscript"/>
          <w:lang w:val="en-US"/>
        </w:rPr>
        <w:t>3</w:t>
      </w:r>
      <w:r>
        <w:rPr>
          <w:lang w:val="en-US"/>
        </w:rPr>
        <w:t>, and c</w:t>
      </w:r>
      <w:r w:rsidRPr="002213DD">
        <w:rPr>
          <w:vertAlign w:val="subscript"/>
          <w:lang w:val="en-US"/>
        </w:rPr>
        <w:t>1</w:t>
      </w:r>
      <w:r>
        <w:rPr>
          <w:lang w:val="en-US"/>
        </w:rPr>
        <w:t xml:space="preserve"> to c</w:t>
      </w:r>
      <w:r w:rsidRPr="002213DD">
        <w:rPr>
          <w:vertAlign w:val="subscript"/>
          <w:lang w:val="en-US"/>
        </w:rPr>
        <w:t>3</w:t>
      </w:r>
      <w:r>
        <w:rPr>
          <w:lang w:val="en-US"/>
        </w:rPr>
        <w:t xml:space="preserve"> are the observed measures of constructs A, B, and C, respectively. Instead of method factors, correlated uniquenesses are specified to model the method effects corresponding to each type of item. With three indicators per substantive factor, the model in Panel G is identical to the model in Panel F with uncorrelated method factors. Error terms associated with the observed measures are omitted for simplicity.</w:t>
      </w:r>
    </w:p>
    <w:p w14:paraId="65884381" w14:textId="77777777" w:rsidR="007A6739" w:rsidRDefault="007A6739" w:rsidP="00B070E9">
      <w:pPr>
        <w:spacing w:before="0" w:beforeAutospacing="0" w:after="160" w:afterAutospacing="0" w:line="259" w:lineRule="auto"/>
        <w:rPr>
          <w:lang w:val="en-US"/>
        </w:rPr>
      </w:pPr>
    </w:p>
    <w:p w14:paraId="1669A3A8" w14:textId="77777777" w:rsidR="007A6739" w:rsidRDefault="007A6739" w:rsidP="00B070E9">
      <w:pPr>
        <w:spacing w:before="0" w:beforeAutospacing="0" w:after="160" w:afterAutospacing="0" w:line="259" w:lineRule="auto"/>
        <w:rPr>
          <w:lang w:val="en-US"/>
        </w:rPr>
      </w:pPr>
    </w:p>
    <w:p w14:paraId="4E9736F7" w14:textId="77777777" w:rsidR="0051578C" w:rsidRDefault="000925D0" w:rsidP="00AE684C">
      <w:pPr>
        <w:spacing w:before="0" w:beforeAutospacing="0" w:after="160" w:afterAutospacing="0" w:line="259" w:lineRule="auto"/>
        <w:jc w:val="center"/>
        <w:rPr>
          <w:caps/>
          <w:lang w:val="en-US"/>
        </w:rPr>
      </w:pPr>
      <w:r w:rsidRPr="00AE684C">
        <w:rPr>
          <w:caps/>
          <w:lang w:val="en-US"/>
        </w:rPr>
        <w:lastRenderedPageBreak/>
        <w:t xml:space="preserve">Figure 2. </w:t>
      </w:r>
    </w:p>
    <w:p w14:paraId="51486FCE" w14:textId="4F3D509B" w:rsidR="000925D0" w:rsidRPr="00216F60" w:rsidRDefault="000925D0" w:rsidP="0051578C">
      <w:pPr>
        <w:spacing w:before="0" w:beforeAutospacing="0" w:after="160" w:afterAutospacing="0" w:line="259" w:lineRule="auto"/>
        <w:jc w:val="center"/>
        <w:rPr>
          <w:lang w:val="en-US"/>
        </w:rPr>
      </w:pPr>
      <w:r w:rsidRPr="00AE684C">
        <w:rPr>
          <w:caps/>
          <w:lang w:val="en-US"/>
        </w:rPr>
        <w:t>Key results of the systematic review</w:t>
      </w:r>
      <w:r w:rsidR="007A6739">
        <w:rPr>
          <w:noProof/>
          <w:lang w:eastAsia="nl-BE"/>
        </w:rPr>
        <w:drawing>
          <wp:inline distT="0" distB="0" distL="0" distR="0" wp14:anchorId="54951049" wp14:editId="759EACA3">
            <wp:extent cx="7235370" cy="481099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40043" cy="4814098"/>
                    </a:xfrm>
                    <a:prstGeom prst="rect">
                      <a:avLst/>
                    </a:prstGeom>
                    <a:noFill/>
                  </pic:spPr>
                </pic:pic>
              </a:graphicData>
            </a:graphic>
          </wp:inline>
        </w:drawing>
      </w:r>
    </w:p>
    <w:p w14:paraId="2912BF30" w14:textId="77777777" w:rsidR="0051578C" w:rsidRDefault="0051578C" w:rsidP="0051578C">
      <w:pPr>
        <w:jc w:val="center"/>
        <w:rPr>
          <w:caps/>
          <w:lang w:val="en-US"/>
        </w:rPr>
        <w:sectPr w:rsidR="0051578C" w:rsidSect="00B070E9">
          <w:pgSz w:w="16838" w:h="11906" w:orient="landscape"/>
          <w:pgMar w:top="1417" w:right="1417" w:bottom="1417" w:left="1417" w:header="708" w:footer="708" w:gutter="0"/>
          <w:cols w:space="708"/>
          <w:docGrid w:linePitch="360"/>
        </w:sectPr>
      </w:pPr>
    </w:p>
    <w:p w14:paraId="052F5B82" w14:textId="04D63743" w:rsidR="0051578C" w:rsidRDefault="000925D0" w:rsidP="005B487D">
      <w:pPr>
        <w:spacing w:before="0" w:beforeAutospacing="0" w:after="0" w:afterAutospacing="0"/>
        <w:jc w:val="center"/>
        <w:rPr>
          <w:caps/>
          <w:lang w:val="en-US"/>
        </w:rPr>
      </w:pPr>
      <w:r w:rsidRPr="00AE684C">
        <w:rPr>
          <w:caps/>
          <w:lang w:val="en-US"/>
        </w:rPr>
        <w:lastRenderedPageBreak/>
        <w:t>Figure 3.</w:t>
      </w:r>
    </w:p>
    <w:p w14:paraId="3A78D506" w14:textId="1A247F2B" w:rsidR="000925D0" w:rsidRPr="00AE684C" w:rsidRDefault="000925D0" w:rsidP="005B487D">
      <w:pPr>
        <w:spacing w:before="0" w:beforeAutospacing="0" w:after="0" w:afterAutospacing="0"/>
        <w:jc w:val="center"/>
        <w:rPr>
          <w:caps/>
          <w:lang w:val="en-US"/>
        </w:rPr>
      </w:pPr>
      <w:r w:rsidRPr="00AE684C">
        <w:rPr>
          <w:caps/>
          <w:lang w:val="en-US"/>
        </w:rPr>
        <w:t xml:space="preserve"> Measurement model for the empirical application</w:t>
      </w:r>
    </w:p>
    <w:p w14:paraId="4EFDB419" w14:textId="77777777" w:rsidR="007A6739" w:rsidRDefault="007A6739" w:rsidP="005B487D">
      <w:pPr>
        <w:jc w:val="center"/>
        <w:rPr>
          <w:lang w:val="en-US"/>
        </w:rPr>
      </w:pPr>
      <w:r>
        <w:rPr>
          <w:noProof/>
          <w:lang w:eastAsia="nl-BE"/>
        </w:rPr>
        <w:drawing>
          <wp:inline distT="0" distB="0" distL="0" distR="0" wp14:anchorId="6351ED89" wp14:editId="59129894">
            <wp:extent cx="4328795" cy="442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8795" cy="4425950"/>
                    </a:xfrm>
                    <a:prstGeom prst="rect">
                      <a:avLst/>
                    </a:prstGeom>
                    <a:noFill/>
                  </pic:spPr>
                </pic:pic>
              </a:graphicData>
            </a:graphic>
          </wp:inline>
        </w:drawing>
      </w:r>
    </w:p>
    <w:p w14:paraId="05A9FDBD" w14:textId="369E179C" w:rsidR="003F3115" w:rsidRDefault="003F3115">
      <w:pPr>
        <w:spacing w:before="0" w:beforeAutospacing="0" w:after="160" w:afterAutospacing="0" w:line="259" w:lineRule="auto"/>
        <w:rPr>
          <w:lang w:val="en-US"/>
        </w:rPr>
      </w:pPr>
      <w:r>
        <w:rPr>
          <w:lang w:val="en-US"/>
        </w:rPr>
        <w:br w:type="page"/>
      </w:r>
    </w:p>
    <w:p w14:paraId="5CE38575" w14:textId="77777777" w:rsidR="003F3115" w:rsidRDefault="003F3115">
      <w:pPr>
        <w:spacing w:before="0" w:beforeAutospacing="0" w:after="160" w:afterAutospacing="0" w:line="259" w:lineRule="auto"/>
        <w:rPr>
          <w:lang w:val="en-US"/>
        </w:rPr>
        <w:sectPr w:rsidR="003F3115" w:rsidSect="0051578C">
          <w:headerReference w:type="default" r:id="rId19"/>
          <w:pgSz w:w="11906" w:h="16838"/>
          <w:pgMar w:top="1417" w:right="1417" w:bottom="1417" w:left="1417" w:header="708" w:footer="708" w:gutter="0"/>
          <w:cols w:space="708"/>
          <w:docGrid w:linePitch="360"/>
        </w:sectPr>
      </w:pPr>
    </w:p>
    <w:p w14:paraId="60A2FADB" w14:textId="22AEAA81" w:rsidR="003F3115" w:rsidRPr="00AE684C" w:rsidRDefault="003F3115" w:rsidP="00AE684C">
      <w:pPr>
        <w:spacing w:before="0" w:beforeAutospacing="0" w:after="160" w:afterAutospacing="0" w:line="259" w:lineRule="auto"/>
        <w:jc w:val="center"/>
        <w:rPr>
          <w:caps/>
          <w:lang w:val="en-US"/>
        </w:rPr>
      </w:pPr>
      <w:r w:rsidRPr="00AE684C">
        <w:rPr>
          <w:caps/>
          <w:lang w:val="en-US"/>
        </w:rPr>
        <w:lastRenderedPageBreak/>
        <w:t>Figure 4: Proposed procedure for dealing with method effects in international marketing research</w:t>
      </w:r>
    </w:p>
    <w:p w14:paraId="21CFE1CB" w14:textId="77777777" w:rsidR="003F3115" w:rsidRDefault="003F3115">
      <w:pPr>
        <w:spacing w:before="0" w:beforeAutospacing="0" w:after="160" w:afterAutospacing="0" w:line="259" w:lineRule="auto"/>
        <w:rPr>
          <w:lang w:val="en-US"/>
        </w:rPr>
      </w:pPr>
    </w:p>
    <w:p w14:paraId="59E646B0" w14:textId="643B2092" w:rsidR="003F3115" w:rsidRDefault="006E788C">
      <w:pPr>
        <w:spacing w:before="0" w:beforeAutospacing="0" w:after="160" w:afterAutospacing="0" w:line="259" w:lineRule="auto"/>
        <w:rPr>
          <w:lang w:val="en-US"/>
        </w:rPr>
      </w:pPr>
      <w:r>
        <w:rPr>
          <w:noProof/>
          <w:lang w:eastAsia="nl-BE"/>
        </w:rPr>
        <w:drawing>
          <wp:inline distT="0" distB="0" distL="0" distR="0" wp14:anchorId="16EEAA53" wp14:editId="5BE9318B">
            <wp:extent cx="5776740" cy="7493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8964" cy="7495911"/>
                    </a:xfrm>
                    <a:prstGeom prst="rect">
                      <a:avLst/>
                    </a:prstGeom>
                    <a:noFill/>
                  </pic:spPr>
                </pic:pic>
              </a:graphicData>
            </a:graphic>
          </wp:inline>
        </w:drawing>
      </w:r>
    </w:p>
    <w:p w14:paraId="1113F249" w14:textId="3F1CAE88" w:rsidR="007A6739" w:rsidRPr="00AE684C" w:rsidRDefault="003F3115" w:rsidP="003F3115">
      <w:pPr>
        <w:spacing w:before="0" w:beforeAutospacing="0" w:after="160" w:afterAutospacing="0" w:line="259" w:lineRule="auto"/>
        <w:rPr>
          <w:b/>
          <w:bCs/>
          <w:lang w:val="en-US"/>
        </w:rPr>
      </w:pPr>
      <w:r>
        <w:rPr>
          <w:lang w:val="en-US"/>
        </w:rPr>
        <w:br w:type="page"/>
      </w:r>
      <w:r w:rsidR="007A6739" w:rsidRPr="00AE684C">
        <w:rPr>
          <w:b/>
          <w:bCs/>
          <w:lang w:val="en-US"/>
        </w:rPr>
        <w:lastRenderedPageBreak/>
        <w:t>Appendix A</w:t>
      </w:r>
    </w:p>
    <w:p w14:paraId="45428F58" w14:textId="77777777" w:rsidR="007A6739" w:rsidRPr="005462C5" w:rsidRDefault="007A6739" w:rsidP="00770927">
      <w:pPr>
        <w:spacing w:before="0" w:beforeAutospacing="0" w:after="0" w:afterAutospacing="0"/>
        <w:rPr>
          <w:rFonts w:cs="Times New Roman"/>
          <w:lang w:val="en-US"/>
        </w:rPr>
      </w:pPr>
      <w:r w:rsidRPr="005462C5">
        <w:rPr>
          <w:rFonts w:cs="Times New Roman"/>
          <w:lang w:val="en-US"/>
        </w:rPr>
        <w:t>CRM scenarios used in the empirical study:</w:t>
      </w:r>
    </w:p>
    <w:p w14:paraId="2581FEFC" w14:textId="77777777" w:rsidR="007A6739" w:rsidRPr="005462C5" w:rsidRDefault="007A6739" w:rsidP="00B070E9">
      <w:pPr>
        <w:pStyle w:val="ListParagraph"/>
        <w:numPr>
          <w:ilvl w:val="0"/>
          <w:numId w:val="8"/>
        </w:numPr>
        <w:rPr>
          <w:rFonts w:ascii="Times New Roman" w:hAnsi="Times New Roman" w:cs="Times New Roman"/>
          <w:lang w:val="en-US"/>
        </w:rPr>
      </w:pPr>
      <w:r w:rsidRPr="005462C5">
        <w:rPr>
          <w:rFonts w:ascii="Times New Roman" w:hAnsi="Times New Roman" w:cs="Times New Roman"/>
          <w:lang w:val="en-US"/>
        </w:rPr>
        <w:t>During the month of November, people from different European countries will collect money from consumers and companies. Among others, they will call on [the brand] to support their initiative.</w:t>
      </w:r>
    </w:p>
    <w:p w14:paraId="071FBF20" w14:textId="77777777" w:rsidR="007A6739" w:rsidRPr="005462C5" w:rsidRDefault="007A6739" w:rsidP="00B070E9">
      <w:pPr>
        <w:pStyle w:val="ListParagraph"/>
        <w:numPr>
          <w:ilvl w:val="0"/>
          <w:numId w:val="8"/>
        </w:numPr>
        <w:rPr>
          <w:rFonts w:ascii="Times New Roman" w:hAnsi="Times New Roman" w:cs="Times New Roman"/>
          <w:lang w:val="en-US"/>
        </w:rPr>
      </w:pPr>
      <w:r w:rsidRPr="005462C5">
        <w:rPr>
          <w:rFonts w:ascii="Times New Roman" w:hAnsi="Times New Roman" w:cs="Times New Roman"/>
          <w:lang w:val="en-US"/>
        </w:rPr>
        <w:t>During the month of November all cans of [the brand] will carry a reference to an organization. Via the stated bank account number, consumers can transfer a contribution.</w:t>
      </w:r>
    </w:p>
    <w:p w14:paraId="67F3DD3A" w14:textId="77777777" w:rsidR="007A6739" w:rsidRPr="005462C5" w:rsidRDefault="007A6739" w:rsidP="00B070E9">
      <w:pPr>
        <w:pStyle w:val="ListParagraph"/>
        <w:numPr>
          <w:ilvl w:val="0"/>
          <w:numId w:val="8"/>
        </w:numPr>
        <w:rPr>
          <w:rFonts w:ascii="Times New Roman" w:hAnsi="Times New Roman" w:cs="Times New Roman"/>
          <w:lang w:val="en-US"/>
        </w:rPr>
      </w:pPr>
      <w:r w:rsidRPr="005462C5">
        <w:rPr>
          <w:rFonts w:ascii="Times New Roman" w:hAnsi="Times New Roman" w:cs="Times New Roman"/>
          <w:lang w:val="en-US"/>
        </w:rPr>
        <w:t>During the month of November, employees of [the brand] will get to work as volunteers in their time off.</w:t>
      </w:r>
    </w:p>
    <w:p w14:paraId="117AF987" w14:textId="77777777" w:rsidR="007A6739" w:rsidRPr="005462C5" w:rsidRDefault="007A6739" w:rsidP="00B070E9">
      <w:pPr>
        <w:pStyle w:val="ListParagraph"/>
        <w:numPr>
          <w:ilvl w:val="0"/>
          <w:numId w:val="8"/>
        </w:numPr>
        <w:rPr>
          <w:rFonts w:ascii="Times New Roman" w:hAnsi="Times New Roman" w:cs="Times New Roman"/>
          <w:lang w:val="en-US"/>
        </w:rPr>
      </w:pPr>
      <w:r w:rsidRPr="005462C5">
        <w:rPr>
          <w:rFonts w:ascii="Times New Roman" w:hAnsi="Times New Roman" w:cs="Times New Roman"/>
          <w:lang w:val="en-US"/>
        </w:rPr>
        <w:t>During the month of November, employees of [the brand] will get to work as volunteers in their time off. Moreover, consumers can give sponsoring for every hour of volunteered time that is provided that way.</w:t>
      </w:r>
    </w:p>
    <w:p w14:paraId="35C36265" w14:textId="77777777" w:rsidR="007A6739" w:rsidRPr="005462C5" w:rsidRDefault="007A6739" w:rsidP="00B070E9">
      <w:pPr>
        <w:pStyle w:val="ListParagraph"/>
        <w:numPr>
          <w:ilvl w:val="0"/>
          <w:numId w:val="8"/>
        </w:numPr>
        <w:rPr>
          <w:rFonts w:ascii="Times New Roman" w:hAnsi="Times New Roman" w:cs="Times New Roman"/>
          <w:lang w:val="en-US"/>
        </w:rPr>
      </w:pPr>
      <w:r w:rsidRPr="005462C5">
        <w:rPr>
          <w:rFonts w:ascii="Times New Roman" w:hAnsi="Times New Roman" w:cs="Times New Roman"/>
          <w:lang w:val="en-US"/>
        </w:rPr>
        <w:t>[the brand] will give away part of its profit in November.</w:t>
      </w:r>
    </w:p>
    <w:p w14:paraId="23A298EE" w14:textId="77777777" w:rsidR="007A6739" w:rsidRPr="005462C5" w:rsidRDefault="007A6739" w:rsidP="00B070E9">
      <w:pPr>
        <w:pStyle w:val="ListParagraph"/>
        <w:numPr>
          <w:ilvl w:val="0"/>
          <w:numId w:val="8"/>
        </w:numPr>
        <w:rPr>
          <w:rFonts w:ascii="Times New Roman" w:hAnsi="Times New Roman" w:cs="Times New Roman"/>
          <w:lang w:val="en-US"/>
        </w:rPr>
      </w:pPr>
      <w:r w:rsidRPr="005462C5">
        <w:rPr>
          <w:rFonts w:ascii="Times New Roman" w:hAnsi="Times New Roman" w:cs="Times New Roman"/>
          <w:lang w:val="en-US"/>
        </w:rPr>
        <w:t>In November [the brand] will give away a fixed amount of money for every can that consumers buy.</w:t>
      </w:r>
    </w:p>
    <w:p w14:paraId="2FD1ACF1" w14:textId="77777777" w:rsidR="007A6739" w:rsidRPr="005462C5" w:rsidRDefault="007A6739" w:rsidP="00B070E9">
      <w:pPr>
        <w:pStyle w:val="ListParagraph"/>
        <w:numPr>
          <w:ilvl w:val="0"/>
          <w:numId w:val="8"/>
        </w:numPr>
        <w:rPr>
          <w:rFonts w:ascii="Times New Roman" w:hAnsi="Times New Roman" w:cs="Times New Roman"/>
          <w:lang w:val="en-US"/>
        </w:rPr>
      </w:pPr>
      <w:r w:rsidRPr="005462C5">
        <w:rPr>
          <w:rFonts w:ascii="Times New Roman" w:hAnsi="Times New Roman" w:cs="Times New Roman"/>
          <w:lang w:val="en-US"/>
        </w:rPr>
        <w:t xml:space="preserve">In the month of November, employees of [the brand] will get to work as volunteers during their (paid) working hours. </w:t>
      </w:r>
    </w:p>
    <w:p w14:paraId="19E46229" w14:textId="77777777" w:rsidR="007A6739" w:rsidRPr="005462C5" w:rsidRDefault="007A6739" w:rsidP="00B070E9">
      <w:pPr>
        <w:pStyle w:val="ListParagraph"/>
        <w:numPr>
          <w:ilvl w:val="0"/>
          <w:numId w:val="8"/>
        </w:numPr>
        <w:rPr>
          <w:rFonts w:ascii="Times New Roman" w:hAnsi="Times New Roman" w:cs="Times New Roman"/>
          <w:lang w:val="en-US"/>
        </w:rPr>
      </w:pPr>
      <w:r w:rsidRPr="005462C5">
        <w:rPr>
          <w:rFonts w:ascii="Times New Roman" w:hAnsi="Times New Roman" w:cs="Times New Roman"/>
          <w:lang w:val="en-US"/>
        </w:rPr>
        <w:t>In the month of November, employees of [the brand] will get to work as volunteers during their (paid) working hours. Moreover, consumers can give sponsoring for every hour of volunteered time that is provided that way.</w:t>
      </w:r>
    </w:p>
    <w:p w14:paraId="699672BE" w14:textId="77777777" w:rsidR="007A6739" w:rsidRPr="00216F60" w:rsidRDefault="007A6739" w:rsidP="00B070E9">
      <w:pPr>
        <w:rPr>
          <w:lang w:val="en-US"/>
        </w:rPr>
      </w:pPr>
    </w:p>
    <w:p w14:paraId="4BBCD789" w14:textId="77777777" w:rsidR="005037B3" w:rsidRPr="007A6739" w:rsidRDefault="005037B3" w:rsidP="00CC051A">
      <w:pPr>
        <w:rPr>
          <w:lang w:val="en-US"/>
        </w:rPr>
      </w:pPr>
    </w:p>
    <w:sectPr w:rsidR="005037B3" w:rsidRPr="007A6739" w:rsidSect="00B070E9">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609EE" w14:textId="77777777" w:rsidR="00546BB2" w:rsidRDefault="00546BB2">
      <w:pPr>
        <w:spacing w:before="0" w:after="0" w:line="240" w:lineRule="auto"/>
      </w:pPr>
      <w:r>
        <w:separator/>
      </w:r>
    </w:p>
  </w:endnote>
  <w:endnote w:type="continuationSeparator" w:id="0">
    <w:p w14:paraId="0A64C424" w14:textId="77777777" w:rsidR="00546BB2" w:rsidRDefault="00546B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Book">
    <w:altName w:val="Times New Roman"/>
    <w:panose1 w:val="00000000000000000000"/>
    <w:charset w:val="00"/>
    <w:family w:val="roman"/>
    <w:notTrueType/>
    <w:pitch w:val="default"/>
  </w:font>
  <w:font w:name="MTSY">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9DE1" w14:textId="281B3403" w:rsidR="007E480B" w:rsidRDefault="007E480B">
    <w:pPr>
      <w:pStyle w:val="Footer"/>
      <w:jc w:val="right"/>
    </w:pPr>
    <w:r>
      <w:tab/>
    </w:r>
    <w:r>
      <w:tab/>
    </w:r>
  </w:p>
  <w:p w14:paraId="78AC9C39" w14:textId="77777777" w:rsidR="007E480B" w:rsidRDefault="007E4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56676" w14:textId="77777777" w:rsidR="00546BB2" w:rsidRDefault="00546BB2">
      <w:pPr>
        <w:spacing w:before="0" w:after="0" w:line="240" w:lineRule="auto"/>
      </w:pPr>
      <w:r>
        <w:separator/>
      </w:r>
    </w:p>
  </w:footnote>
  <w:footnote w:type="continuationSeparator" w:id="0">
    <w:p w14:paraId="6FB5CDCC" w14:textId="77777777" w:rsidR="00546BB2" w:rsidRDefault="00546B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576429"/>
      <w:docPartObj>
        <w:docPartGallery w:val="Page Numbers (Top of Page)"/>
        <w:docPartUnique/>
      </w:docPartObj>
    </w:sdtPr>
    <w:sdtEndPr>
      <w:rPr>
        <w:noProof/>
      </w:rPr>
    </w:sdtEndPr>
    <w:sdtContent>
      <w:p w14:paraId="5864AC9C" w14:textId="05C580E3" w:rsidR="007E480B" w:rsidRDefault="007E480B">
        <w:pPr>
          <w:pStyle w:val="Header"/>
          <w:jc w:val="right"/>
        </w:pPr>
        <w:r>
          <w:fldChar w:fldCharType="begin"/>
        </w:r>
        <w:r>
          <w:instrText xml:space="preserve"> PAGE   \* MERGEFORMAT </w:instrText>
        </w:r>
        <w:r>
          <w:fldChar w:fldCharType="separate"/>
        </w:r>
        <w:r w:rsidR="00105602">
          <w:rPr>
            <w:noProof/>
          </w:rPr>
          <w:t>34</w:t>
        </w:r>
        <w:r>
          <w:rPr>
            <w:noProof/>
          </w:rPr>
          <w:fldChar w:fldCharType="end"/>
        </w:r>
      </w:p>
    </w:sdtContent>
  </w:sdt>
  <w:p w14:paraId="2ADAC4F4" w14:textId="77777777" w:rsidR="007E480B" w:rsidRDefault="007E4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F3AE" w14:textId="58D0F443" w:rsidR="007E480B" w:rsidRDefault="007E480B" w:rsidP="00B070E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D3C8" w14:textId="77777777" w:rsidR="007E480B" w:rsidRDefault="007E480B" w:rsidP="00B070E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6C3E" w14:textId="77777777" w:rsidR="007E480B" w:rsidRDefault="007E480B" w:rsidP="00B070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65454"/>
    <w:multiLevelType w:val="hybridMultilevel"/>
    <w:tmpl w:val="DFD21FFC"/>
    <w:lvl w:ilvl="0" w:tplc="659C6E48">
      <w:start w:val="1"/>
      <w:numFmt w:val="bullet"/>
      <w:lvlText w:val="•"/>
      <w:lvlJc w:val="left"/>
      <w:pPr>
        <w:tabs>
          <w:tab w:val="num" w:pos="720"/>
        </w:tabs>
        <w:ind w:left="720" w:hanging="360"/>
      </w:pPr>
      <w:rPr>
        <w:rFonts w:ascii="Arial" w:hAnsi="Arial" w:hint="default"/>
      </w:rPr>
    </w:lvl>
    <w:lvl w:ilvl="1" w:tplc="37B46A86">
      <w:numFmt w:val="bullet"/>
      <w:lvlText w:val="•"/>
      <w:lvlJc w:val="left"/>
      <w:pPr>
        <w:tabs>
          <w:tab w:val="num" w:pos="1440"/>
        </w:tabs>
        <w:ind w:left="1440" w:hanging="360"/>
      </w:pPr>
      <w:rPr>
        <w:rFonts w:ascii="Arial" w:hAnsi="Arial" w:hint="default"/>
      </w:rPr>
    </w:lvl>
    <w:lvl w:ilvl="2" w:tplc="070E20B6" w:tentative="1">
      <w:start w:val="1"/>
      <w:numFmt w:val="bullet"/>
      <w:lvlText w:val="•"/>
      <w:lvlJc w:val="left"/>
      <w:pPr>
        <w:tabs>
          <w:tab w:val="num" w:pos="2160"/>
        </w:tabs>
        <w:ind w:left="2160" w:hanging="360"/>
      </w:pPr>
      <w:rPr>
        <w:rFonts w:ascii="Arial" w:hAnsi="Arial" w:hint="default"/>
      </w:rPr>
    </w:lvl>
    <w:lvl w:ilvl="3" w:tplc="5BAEB83E" w:tentative="1">
      <w:start w:val="1"/>
      <w:numFmt w:val="bullet"/>
      <w:lvlText w:val="•"/>
      <w:lvlJc w:val="left"/>
      <w:pPr>
        <w:tabs>
          <w:tab w:val="num" w:pos="2880"/>
        </w:tabs>
        <w:ind w:left="2880" w:hanging="360"/>
      </w:pPr>
      <w:rPr>
        <w:rFonts w:ascii="Arial" w:hAnsi="Arial" w:hint="default"/>
      </w:rPr>
    </w:lvl>
    <w:lvl w:ilvl="4" w:tplc="A11C274E" w:tentative="1">
      <w:start w:val="1"/>
      <w:numFmt w:val="bullet"/>
      <w:lvlText w:val="•"/>
      <w:lvlJc w:val="left"/>
      <w:pPr>
        <w:tabs>
          <w:tab w:val="num" w:pos="3600"/>
        </w:tabs>
        <w:ind w:left="3600" w:hanging="360"/>
      </w:pPr>
      <w:rPr>
        <w:rFonts w:ascii="Arial" w:hAnsi="Arial" w:hint="default"/>
      </w:rPr>
    </w:lvl>
    <w:lvl w:ilvl="5" w:tplc="5218F2A4" w:tentative="1">
      <w:start w:val="1"/>
      <w:numFmt w:val="bullet"/>
      <w:lvlText w:val="•"/>
      <w:lvlJc w:val="left"/>
      <w:pPr>
        <w:tabs>
          <w:tab w:val="num" w:pos="4320"/>
        </w:tabs>
        <w:ind w:left="4320" w:hanging="360"/>
      </w:pPr>
      <w:rPr>
        <w:rFonts w:ascii="Arial" w:hAnsi="Arial" w:hint="default"/>
      </w:rPr>
    </w:lvl>
    <w:lvl w:ilvl="6" w:tplc="2722CF90" w:tentative="1">
      <w:start w:val="1"/>
      <w:numFmt w:val="bullet"/>
      <w:lvlText w:val="•"/>
      <w:lvlJc w:val="left"/>
      <w:pPr>
        <w:tabs>
          <w:tab w:val="num" w:pos="5040"/>
        </w:tabs>
        <w:ind w:left="5040" w:hanging="360"/>
      </w:pPr>
      <w:rPr>
        <w:rFonts w:ascii="Arial" w:hAnsi="Arial" w:hint="default"/>
      </w:rPr>
    </w:lvl>
    <w:lvl w:ilvl="7" w:tplc="43C8B482" w:tentative="1">
      <w:start w:val="1"/>
      <w:numFmt w:val="bullet"/>
      <w:lvlText w:val="•"/>
      <w:lvlJc w:val="left"/>
      <w:pPr>
        <w:tabs>
          <w:tab w:val="num" w:pos="5760"/>
        </w:tabs>
        <w:ind w:left="5760" w:hanging="360"/>
      </w:pPr>
      <w:rPr>
        <w:rFonts w:ascii="Arial" w:hAnsi="Arial" w:hint="default"/>
      </w:rPr>
    </w:lvl>
    <w:lvl w:ilvl="8" w:tplc="93A0CA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BF2E78"/>
    <w:multiLevelType w:val="hybridMultilevel"/>
    <w:tmpl w:val="C0A63582"/>
    <w:lvl w:ilvl="0" w:tplc="2CB460BE">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157FC5"/>
    <w:multiLevelType w:val="hybridMultilevel"/>
    <w:tmpl w:val="275443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0AE17E1"/>
    <w:multiLevelType w:val="hybridMultilevel"/>
    <w:tmpl w:val="6DEEC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E362DB7"/>
    <w:multiLevelType w:val="hybridMultilevel"/>
    <w:tmpl w:val="1038903C"/>
    <w:lvl w:ilvl="0" w:tplc="0813000F">
      <w:start w:val="1"/>
      <w:numFmt w:val="decimal"/>
      <w:lvlText w:val="%1."/>
      <w:lvlJc w:val="left"/>
      <w:pPr>
        <w:ind w:left="868" w:hanging="360"/>
      </w:pPr>
    </w:lvl>
    <w:lvl w:ilvl="1" w:tplc="08130019">
      <w:start w:val="1"/>
      <w:numFmt w:val="lowerLetter"/>
      <w:lvlText w:val="%2."/>
      <w:lvlJc w:val="left"/>
      <w:pPr>
        <w:ind w:left="1588" w:hanging="360"/>
      </w:pPr>
    </w:lvl>
    <w:lvl w:ilvl="2" w:tplc="0813001B" w:tentative="1">
      <w:start w:val="1"/>
      <w:numFmt w:val="lowerRoman"/>
      <w:lvlText w:val="%3."/>
      <w:lvlJc w:val="right"/>
      <w:pPr>
        <w:ind w:left="2308" w:hanging="180"/>
      </w:pPr>
    </w:lvl>
    <w:lvl w:ilvl="3" w:tplc="0813000F" w:tentative="1">
      <w:start w:val="1"/>
      <w:numFmt w:val="decimal"/>
      <w:lvlText w:val="%4."/>
      <w:lvlJc w:val="left"/>
      <w:pPr>
        <w:ind w:left="3028" w:hanging="360"/>
      </w:pPr>
    </w:lvl>
    <w:lvl w:ilvl="4" w:tplc="08130019" w:tentative="1">
      <w:start w:val="1"/>
      <w:numFmt w:val="lowerLetter"/>
      <w:lvlText w:val="%5."/>
      <w:lvlJc w:val="left"/>
      <w:pPr>
        <w:ind w:left="3748" w:hanging="360"/>
      </w:pPr>
    </w:lvl>
    <w:lvl w:ilvl="5" w:tplc="0813001B" w:tentative="1">
      <w:start w:val="1"/>
      <w:numFmt w:val="lowerRoman"/>
      <w:lvlText w:val="%6."/>
      <w:lvlJc w:val="right"/>
      <w:pPr>
        <w:ind w:left="4468" w:hanging="180"/>
      </w:pPr>
    </w:lvl>
    <w:lvl w:ilvl="6" w:tplc="0813000F" w:tentative="1">
      <w:start w:val="1"/>
      <w:numFmt w:val="decimal"/>
      <w:lvlText w:val="%7."/>
      <w:lvlJc w:val="left"/>
      <w:pPr>
        <w:ind w:left="5188" w:hanging="360"/>
      </w:pPr>
    </w:lvl>
    <w:lvl w:ilvl="7" w:tplc="08130019" w:tentative="1">
      <w:start w:val="1"/>
      <w:numFmt w:val="lowerLetter"/>
      <w:lvlText w:val="%8."/>
      <w:lvlJc w:val="left"/>
      <w:pPr>
        <w:ind w:left="5908" w:hanging="360"/>
      </w:pPr>
    </w:lvl>
    <w:lvl w:ilvl="8" w:tplc="0813001B" w:tentative="1">
      <w:start w:val="1"/>
      <w:numFmt w:val="lowerRoman"/>
      <w:lvlText w:val="%9."/>
      <w:lvlJc w:val="right"/>
      <w:pPr>
        <w:ind w:left="6628" w:hanging="180"/>
      </w:pPr>
    </w:lvl>
  </w:abstractNum>
  <w:abstractNum w:abstractNumId="5" w15:restartNumberingAfterBreak="0">
    <w:nsid w:val="54797CA2"/>
    <w:multiLevelType w:val="hybridMultilevel"/>
    <w:tmpl w:val="5BD804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A6932B4"/>
    <w:multiLevelType w:val="hybridMultilevel"/>
    <w:tmpl w:val="C3A41B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55B1B10"/>
    <w:multiLevelType w:val="hybridMultilevel"/>
    <w:tmpl w:val="19A65CC4"/>
    <w:lvl w:ilvl="0" w:tplc="C7742F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8C7A05"/>
    <w:multiLevelType w:val="hybridMultilevel"/>
    <w:tmpl w:val="D3AE68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0360CF6"/>
    <w:multiLevelType w:val="hybridMultilevel"/>
    <w:tmpl w:val="B80071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6D23406"/>
    <w:multiLevelType w:val="hybridMultilevel"/>
    <w:tmpl w:val="14C055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80A65F1"/>
    <w:multiLevelType w:val="hybridMultilevel"/>
    <w:tmpl w:val="25A23A88"/>
    <w:lvl w:ilvl="0" w:tplc="02C6B106">
      <w:start w:val="1"/>
      <w:numFmt w:val="bullet"/>
      <w:lvlText w:val="•"/>
      <w:lvlJc w:val="left"/>
      <w:pPr>
        <w:tabs>
          <w:tab w:val="num" w:pos="720"/>
        </w:tabs>
        <w:ind w:left="720" w:hanging="360"/>
      </w:pPr>
      <w:rPr>
        <w:rFonts w:ascii="Arial" w:hAnsi="Arial" w:hint="default"/>
      </w:rPr>
    </w:lvl>
    <w:lvl w:ilvl="1" w:tplc="AFB65492" w:tentative="1">
      <w:start w:val="1"/>
      <w:numFmt w:val="bullet"/>
      <w:lvlText w:val="•"/>
      <w:lvlJc w:val="left"/>
      <w:pPr>
        <w:tabs>
          <w:tab w:val="num" w:pos="1440"/>
        </w:tabs>
        <w:ind w:left="1440" w:hanging="360"/>
      </w:pPr>
      <w:rPr>
        <w:rFonts w:ascii="Arial" w:hAnsi="Arial" w:hint="default"/>
      </w:rPr>
    </w:lvl>
    <w:lvl w:ilvl="2" w:tplc="E7D45772" w:tentative="1">
      <w:start w:val="1"/>
      <w:numFmt w:val="bullet"/>
      <w:lvlText w:val="•"/>
      <w:lvlJc w:val="left"/>
      <w:pPr>
        <w:tabs>
          <w:tab w:val="num" w:pos="2160"/>
        </w:tabs>
        <w:ind w:left="2160" w:hanging="360"/>
      </w:pPr>
      <w:rPr>
        <w:rFonts w:ascii="Arial" w:hAnsi="Arial" w:hint="default"/>
      </w:rPr>
    </w:lvl>
    <w:lvl w:ilvl="3" w:tplc="1220A61E" w:tentative="1">
      <w:start w:val="1"/>
      <w:numFmt w:val="bullet"/>
      <w:lvlText w:val="•"/>
      <w:lvlJc w:val="left"/>
      <w:pPr>
        <w:tabs>
          <w:tab w:val="num" w:pos="2880"/>
        </w:tabs>
        <w:ind w:left="2880" w:hanging="360"/>
      </w:pPr>
      <w:rPr>
        <w:rFonts w:ascii="Arial" w:hAnsi="Arial" w:hint="default"/>
      </w:rPr>
    </w:lvl>
    <w:lvl w:ilvl="4" w:tplc="50BC9EA8" w:tentative="1">
      <w:start w:val="1"/>
      <w:numFmt w:val="bullet"/>
      <w:lvlText w:val="•"/>
      <w:lvlJc w:val="left"/>
      <w:pPr>
        <w:tabs>
          <w:tab w:val="num" w:pos="3600"/>
        </w:tabs>
        <w:ind w:left="3600" w:hanging="360"/>
      </w:pPr>
      <w:rPr>
        <w:rFonts w:ascii="Arial" w:hAnsi="Arial" w:hint="default"/>
      </w:rPr>
    </w:lvl>
    <w:lvl w:ilvl="5" w:tplc="2640CBA6" w:tentative="1">
      <w:start w:val="1"/>
      <w:numFmt w:val="bullet"/>
      <w:lvlText w:val="•"/>
      <w:lvlJc w:val="left"/>
      <w:pPr>
        <w:tabs>
          <w:tab w:val="num" w:pos="4320"/>
        </w:tabs>
        <w:ind w:left="4320" w:hanging="360"/>
      </w:pPr>
      <w:rPr>
        <w:rFonts w:ascii="Arial" w:hAnsi="Arial" w:hint="default"/>
      </w:rPr>
    </w:lvl>
    <w:lvl w:ilvl="6" w:tplc="3FE6C95C" w:tentative="1">
      <w:start w:val="1"/>
      <w:numFmt w:val="bullet"/>
      <w:lvlText w:val="•"/>
      <w:lvlJc w:val="left"/>
      <w:pPr>
        <w:tabs>
          <w:tab w:val="num" w:pos="5040"/>
        </w:tabs>
        <w:ind w:left="5040" w:hanging="360"/>
      </w:pPr>
      <w:rPr>
        <w:rFonts w:ascii="Arial" w:hAnsi="Arial" w:hint="default"/>
      </w:rPr>
    </w:lvl>
    <w:lvl w:ilvl="7" w:tplc="54B2AC98" w:tentative="1">
      <w:start w:val="1"/>
      <w:numFmt w:val="bullet"/>
      <w:lvlText w:val="•"/>
      <w:lvlJc w:val="left"/>
      <w:pPr>
        <w:tabs>
          <w:tab w:val="num" w:pos="5760"/>
        </w:tabs>
        <w:ind w:left="5760" w:hanging="360"/>
      </w:pPr>
      <w:rPr>
        <w:rFonts w:ascii="Arial" w:hAnsi="Arial" w:hint="default"/>
      </w:rPr>
    </w:lvl>
    <w:lvl w:ilvl="8" w:tplc="E3084C7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4"/>
  </w:num>
  <w:num w:numId="4">
    <w:abstractNumId w:val="10"/>
  </w:num>
  <w:num w:numId="5">
    <w:abstractNumId w:val="2"/>
  </w:num>
  <w:num w:numId="6">
    <w:abstractNumId w:val="3"/>
  </w:num>
  <w:num w:numId="7">
    <w:abstractNumId w:val="9"/>
  </w:num>
  <w:num w:numId="8">
    <w:abstractNumId w:val="5"/>
  </w:num>
  <w:num w:numId="9">
    <w:abstractNumId w:val="7"/>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A6739"/>
    <w:rsid w:val="00050FA9"/>
    <w:rsid w:val="0008730A"/>
    <w:rsid w:val="000925D0"/>
    <w:rsid w:val="00096C28"/>
    <w:rsid w:val="000A1AE4"/>
    <w:rsid w:val="000B0D7E"/>
    <w:rsid w:val="000F6384"/>
    <w:rsid w:val="00105602"/>
    <w:rsid w:val="00167816"/>
    <w:rsid w:val="001A5608"/>
    <w:rsid w:val="001C79FD"/>
    <w:rsid w:val="001E0833"/>
    <w:rsid w:val="001E6348"/>
    <w:rsid w:val="00205253"/>
    <w:rsid w:val="00210502"/>
    <w:rsid w:val="00236623"/>
    <w:rsid w:val="00236A66"/>
    <w:rsid w:val="002373E2"/>
    <w:rsid w:val="002934EB"/>
    <w:rsid w:val="002B5D82"/>
    <w:rsid w:val="0035612E"/>
    <w:rsid w:val="003A2809"/>
    <w:rsid w:val="003D1A80"/>
    <w:rsid w:val="003D5FD9"/>
    <w:rsid w:val="003F3115"/>
    <w:rsid w:val="00424EAD"/>
    <w:rsid w:val="0048173A"/>
    <w:rsid w:val="004A0A13"/>
    <w:rsid w:val="004A2EFF"/>
    <w:rsid w:val="005037B3"/>
    <w:rsid w:val="0051578C"/>
    <w:rsid w:val="005462C5"/>
    <w:rsid w:val="00546BB2"/>
    <w:rsid w:val="0055063E"/>
    <w:rsid w:val="00574F47"/>
    <w:rsid w:val="005B487D"/>
    <w:rsid w:val="005C1D6E"/>
    <w:rsid w:val="005D5128"/>
    <w:rsid w:val="0060478C"/>
    <w:rsid w:val="006327A8"/>
    <w:rsid w:val="00682BFE"/>
    <w:rsid w:val="006E788C"/>
    <w:rsid w:val="006F0F47"/>
    <w:rsid w:val="007542DC"/>
    <w:rsid w:val="00770927"/>
    <w:rsid w:val="0078779F"/>
    <w:rsid w:val="007A6739"/>
    <w:rsid w:val="007C5494"/>
    <w:rsid w:val="007E480B"/>
    <w:rsid w:val="007E49DB"/>
    <w:rsid w:val="007F0DDB"/>
    <w:rsid w:val="00830EC2"/>
    <w:rsid w:val="0086060B"/>
    <w:rsid w:val="00862111"/>
    <w:rsid w:val="008B49BC"/>
    <w:rsid w:val="008E35D5"/>
    <w:rsid w:val="008F6403"/>
    <w:rsid w:val="009050BC"/>
    <w:rsid w:val="0093391E"/>
    <w:rsid w:val="0097223E"/>
    <w:rsid w:val="009A4CCD"/>
    <w:rsid w:val="009B37FB"/>
    <w:rsid w:val="009C5EC9"/>
    <w:rsid w:val="009E7816"/>
    <w:rsid w:val="009F65D7"/>
    <w:rsid w:val="00A03424"/>
    <w:rsid w:val="00A4275E"/>
    <w:rsid w:val="00A55CAD"/>
    <w:rsid w:val="00A80FB4"/>
    <w:rsid w:val="00AC268D"/>
    <w:rsid w:val="00AE058B"/>
    <w:rsid w:val="00AE684C"/>
    <w:rsid w:val="00B070E9"/>
    <w:rsid w:val="00B32221"/>
    <w:rsid w:val="00B671EB"/>
    <w:rsid w:val="00B83CF0"/>
    <w:rsid w:val="00BD4F7A"/>
    <w:rsid w:val="00C359F1"/>
    <w:rsid w:val="00C55598"/>
    <w:rsid w:val="00C710C3"/>
    <w:rsid w:val="00CC051A"/>
    <w:rsid w:val="00D04C58"/>
    <w:rsid w:val="00D266F5"/>
    <w:rsid w:val="00D43D7E"/>
    <w:rsid w:val="00D54070"/>
    <w:rsid w:val="00D56350"/>
    <w:rsid w:val="00D744A6"/>
    <w:rsid w:val="00D8387A"/>
    <w:rsid w:val="00D90CE7"/>
    <w:rsid w:val="00DA1E24"/>
    <w:rsid w:val="00DA3F55"/>
    <w:rsid w:val="00DC09DF"/>
    <w:rsid w:val="00DD1D9F"/>
    <w:rsid w:val="00DF658D"/>
    <w:rsid w:val="00E3025F"/>
    <w:rsid w:val="00E47F11"/>
    <w:rsid w:val="00E56737"/>
    <w:rsid w:val="00EA0910"/>
    <w:rsid w:val="00EB4CEE"/>
    <w:rsid w:val="00EF4391"/>
    <w:rsid w:val="00F2096E"/>
    <w:rsid w:val="00F92771"/>
    <w:rsid w:val="00FA1205"/>
    <w:rsid w:val="00FF5A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B39E"/>
  <w15:chartTrackingRefBased/>
  <w15:docId w15:val="{83D7B470-0D4D-4A03-9F33-4F57EF0B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739"/>
    <w:pPr>
      <w:spacing w:before="100" w:beforeAutospacing="1" w:after="100" w:afterAutospacing="1" w:line="480" w:lineRule="auto"/>
    </w:pPr>
    <w:rPr>
      <w:rFonts w:ascii="Times New Roman" w:hAnsi="Times New Roman"/>
      <w:sz w:val="24"/>
    </w:rPr>
  </w:style>
  <w:style w:type="paragraph" w:styleId="Heading1">
    <w:name w:val="heading 1"/>
    <w:basedOn w:val="Normal"/>
    <w:next w:val="Normal"/>
    <w:link w:val="Heading1Char"/>
    <w:uiPriority w:val="9"/>
    <w:qFormat/>
    <w:rsid w:val="007A6739"/>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A6739"/>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73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7A6739"/>
    <w:rPr>
      <w:rFonts w:ascii="Times New Roman" w:eastAsiaTheme="majorEastAsia" w:hAnsi="Times New Roman" w:cstheme="majorBidi"/>
      <w:sz w:val="26"/>
      <w:szCs w:val="26"/>
    </w:rPr>
  </w:style>
  <w:style w:type="paragraph" w:styleId="Header">
    <w:name w:val="header"/>
    <w:basedOn w:val="Normal"/>
    <w:link w:val="HeaderChar"/>
    <w:uiPriority w:val="99"/>
    <w:unhideWhenUsed/>
    <w:rsid w:val="007A67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6739"/>
    <w:rPr>
      <w:rFonts w:ascii="Times New Roman" w:hAnsi="Times New Roman"/>
      <w:sz w:val="24"/>
    </w:rPr>
  </w:style>
  <w:style w:type="paragraph" w:styleId="Footer">
    <w:name w:val="footer"/>
    <w:basedOn w:val="Normal"/>
    <w:link w:val="FooterChar"/>
    <w:uiPriority w:val="99"/>
    <w:unhideWhenUsed/>
    <w:rsid w:val="007A67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6739"/>
    <w:rPr>
      <w:rFonts w:ascii="Times New Roman" w:hAnsi="Times New Roman"/>
      <w:sz w:val="24"/>
    </w:rPr>
  </w:style>
  <w:style w:type="table" w:styleId="TableGrid">
    <w:name w:val="Table Grid"/>
    <w:basedOn w:val="TableNormal"/>
    <w:uiPriority w:val="39"/>
    <w:rsid w:val="007A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A6739"/>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7A673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7A6739"/>
    <w:pPr>
      <w:spacing w:line="240" w:lineRule="auto"/>
      <w:jc w:val="center"/>
    </w:pPr>
    <w:rPr>
      <w:rFonts w:cs="Times New Roman"/>
      <w:noProof/>
      <w:lang w:val="en-US"/>
    </w:rPr>
  </w:style>
  <w:style w:type="character" w:customStyle="1" w:styleId="EndNoteBibliographyChar">
    <w:name w:val="EndNote Bibliography Char"/>
    <w:basedOn w:val="DefaultParagraphFont"/>
    <w:link w:val="EndNoteBibliography"/>
    <w:rsid w:val="007A6739"/>
    <w:rPr>
      <w:rFonts w:ascii="Times New Roman" w:hAnsi="Times New Roman" w:cs="Times New Roman"/>
      <w:noProof/>
      <w:sz w:val="24"/>
      <w:lang w:val="en-US"/>
    </w:rPr>
  </w:style>
  <w:style w:type="paragraph" w:styleId="ListParagraph">
    <w:name w:val="List Paragraph"/>
    <w:basedOn w:val="Normal"/>
    <w:uiPriority w:val="34"/>
    <w:qFormat/>
    <w:rsid w:val="007A6739"/>
    <w:pPr>
      <w:spacing w:before="0" w:beforeAutospacing="0" w:after="160" w:afterAutospacing="0" w:line="259" w:lineRule="auto"/>
      <w:ind w:left="720"/>
      <w:contextualSpacing/>
    </w:pPr>
    <w:rPr>
      <w:rFonts w:asciiTheme="minorHAnsi" w:hAnsiTheme="minorHAnsi"/>
      <w:sz w:val="22"/>
    </w:rPr>
  </w:style>
  <w:style w:type="character" w:styleId="Hyperlink">
    <w:name w:val="Hyperlink"/>
    <w:basedOn w:val="DefaultParagraphFont"/>
    <w:unhideWhenUsed/>
    <w:rsid w:val="007A6739"/>
    <w:rPr>
      <w:color w:val="0000FF"/>
      <w:u w:val="single"/>
    </w:rPr>
  </w:style>
  <w:style w:type="character" w:styleId="CommentReference">
    <w:name w:val="annotation reference"/>
    <w:basedOn w:val="DefaultParagraphFont"/>
    <w:uiPriority w:val="99"/>
    <w:semiHidden/>
    <w:unhideWhenUsed/>
    <w:rsid w:val="007A6739"/>
    <w:rPr>
      <w:sz w:val="16"/>
      <w:szCs w:val="16"/>
    </w:rPr>
  </w:style>
  <w:style w:type="paragraph" w:styleId="CommentText">
    <w:name w:val="annotation text"/>
    <w:basedOn w:val="Normal"/>
    <w:link w:val="CommentTextChar"/>
    <w:uiPriority w:val="99"/>
    <w:semiHidden/>
    <w:unhideWhenUsed/>
    <w:rsid w:val="007A6739"/>
    <w:pPr>
      <w:spacing w:before="0" w:beforeAutospacing="0" w:after="160" w:afterAutospacing="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A6739"/>
    <w:rPr>
      <w:sz w:val="20"/>
      <w:szCs w:val="20"/>
    </w:rPr>
  </w:style>
  <w:style w:type="paragraph" w:styleId="Title">
    <w:name w:val="Title"/>
    <w:basedOn w:val="Heading1"/>
    <w:next w:val="Normal"/>
    <w:link w:val="TitleChar"/>
    <w:uiPriority w:val="10"/>
    <w:qFormat/>
    <w:rsid w:val="007A6739"/>
    <w:pPr>
      <w:spacing w:before="0" w:line="360" w:lineRule="auto"/>
      <w:contextualSpacing/>
      <w:jc w:val="center"/>
    </w:pPr>
    <w:rPr>
      <w:spacing w:val="-10"/>
      <w:kern w:val="28"/>
      <w:szCs w:val="56"/>
    </w:rPr>
  </w:style>
  <w:style w:type="character" w:customStyle="1" w:styleId="TitleChar">
    <w:name w:val="Title Char"/>
    <w:basedOn w:val="DefaultParagraphFont"/>
    <w:link w:val="Title"/>
    <w:uiPriority w:val="10"/>
    <w:rsid w:val="007A6739"/>
    <w:rPr>
      <w:rFonts w:ascii="Times New Roman" w:eastAsiaTheme="majorEastAsia" w:hAnsi="Times New Roman" w:cstheme="majorBidi"/>
      <w:b/>
      <w:spacing w:val="-10"/>
      <w:kern w:val="28"/>
      <w:sz w:val="28"/>
      <w:szCs w:val="56"/>
    </w:rPr>
  </w:style>
  <w:style w:type="paragraph" w:styleId="BalloonText">
    <w:name w:val="Balloon Text"/>
    <w:basedOn w:val="Normal"/>
    <w:link w:val="BalloonTextChar"/>
    <w:uiPriority w:val="99"/>
    <w:semiHidden/>
    <w:unhideWhenUsed/>
    <w:rsid w:val="007A673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39"/>
    <w:rPr>
      <w:rFonts w:ascii="Segoe UI" w:hAnsi="Segoe UI" w:cs="Segoe UI"/>
      <w:sz w:val="18"/>
      <w:szCs w:val="18"/>
    </w:rPr>
  </w:style>
  <w:style w:type="paragraph" w:styleId="NoSpacing">
    <w:name w:val="No Spacing"/>
    <w:uiPriority w:val="1"/>
    <w:qFormat/>
    <w:rsid w:val="007A6739"/>
    <w:pPr>
      <w:spacing w:beforeAutospacing="1" w:after="0" w:afterAutospacing="1"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4A2EFF"/>
    <w:pPr>
      <w:spacing w:before="100" w:beforeAutospacing="1" w:after="100" w:afterAutospacing="1"/>
    </w:pPr>
    <w:rPr>
      <w:rFonts w:ascii="Times New Roman" w:hAnsi="Times New Roman"/>
      <w:b/>
      <w:bCs/>
    </w:rPr>
  </w:style>
  <w:style w:type="character" w:customStyle="1" w:styleId="CommentSubjectChar">
    <w:name w:val="Comment Subject Char"/>
    <w:basedOn w:val="CommentTextChar"/>
    <w:link w:val="CommentSubject"/>
    <w:uiPriority w:val="99"/>
    <w:semiHidden/>
    <w:rsid w:val="004A2EF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1934</TotalTime>
  <Pages>49</Pages>
  <Words>12745</Words>
  <Characters>70101</Characters>
  <Application>Microsoft Office Word</Application>
  <DocSecurity>0</DocSecurity>
  <Lines>584</Lines>
  <Paragraphs>165</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82681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Weijters</dc:creator>
  <cp:keywords/>
  <dc:description/>
  <cp:lastModifiedBy>Bert Weijters</cp:lastModifiedBy>
  <cp:revision>31</cp:revision>
  <dcterms:created xsi:type="dcterms:W3CDTF">2021-01-18T12:58:00Z</dcterms:created>
  <dcterms:modified xsi:type="dcterms:W3CDTF">2021-01-22T21:32:00Z</dcterms:modified>
</cp:coreProperties>
</file>