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6D1D" w:rsidRPr="00385DF6" w:rsidRDefault="003E6D1D" w:rsidP="00BF5E45">
      <w:pPr>
        <w:spacing w:line="276" w:lineRule="auto"/>
        <w:rPr>
          <w:rFonts w:cstheme="minorHAnsi"/>
          <w:sz w:val="24"/>
          <w:szCs w:val="24"/>
        </w:rPr>
      </w:pPr>
      <w:bookmarkStart w:id="0" w:name="_GoBack"/>
      <w:bookmarkEnd w:id="0"/>
    </w:p>
    <w:p w:rsidR="00081F3D" w:rsidRPr="00385DF6" w:rsidRDefault="005E31CC" w:rsidP="00BF5E45">
      <w:pPr>
        <w:spacing w:after="0" w:line="276" w:lineRule="auto"/>
        <w:jc w:val="center"/>
        <w:rPr>
          <w:rFonts w:cstheme="minorHAnsi"/>
          <w:b/>
          <w:sz w:val="24"/>
          <w:szCs w:val="24"/>
        </w:rPr>
      </w:pPr>
      <w:r w:rsidRPr="00F80560">
        <w:rPr>
          <w:rFonts w:cstheme="minorHAnsi"/>
          <w:b/>
          <w:sz w:val="24"/>
          <w:szCs w:val="24"/>
        </w:rPr>
        <w:t xml:space="preserve">EEN TOPJE VAN DE IJSBERG? </w:t>
      </w:r>
      <w:r w:rsidR="007A7CF6" w:rsidRPr="00F80560">
        <w:rPr>
          <w:rFonts w:cstheme="minorHAnsi"/>
          <w:b/>
          <w:sz w:val="24"/>
          <w:szCs w:val="24"/>
        </w:rPr>
        <w:t xml:space="preserve">KINDERRECHTEN </w:t>
      </w:r>
      <w:r w:rsidR="007A4E5E">
        <w:rPr>
          <w:rFonts w:cstheme="minorHAnsi"/>
          <w:b/>
          <w:sz w:val="24"/>
          <w:szCs w:val="24"/>
        </w:rPr>
        <w:t>JURIDISCH EN MAATSCHAPPELIJK VORMGEVEN IN VLAANDEREN</w:t>
      </w:r>
    </w:p>
    <w:p w:rsidR="00081F3D" w:rsidRPr="00385DF6" w:rsidRDefault="00081F3D" w:rsidP="00BF5E45">
      <w:pPr>
        <w:spacing w:after="0" w:line="276" w:lineRule="auto"/>
        <w:jc w:val="center"/>
        <w:rPr>
          <w:rFonts w:cstheme="minorHAnsi"/>
          <w:b/>
          <w:sz w:val="24"/>
          <w:szCs w:val="24"/>
        </w:rPr>
      </w:pPr>
    </w:p>
    <w:p w:rsidR="003E6D1D" w:rsidRPr="00385DF6" w:rsidRDefault="003E6D1D" w:rsidP="00BF5E45">
      <w:pPr>
        <w:spacing w:after="0" w:line="276" w:lineRule="auto"/>
        <w:jc w:val="center"/>
        <w:rPr>
          <w:rFonts w:cstheme="minorHAnsi"/>
          <w:b/>
          <w:sz w:val="24"/>
          <w:szCs w:val="24"/>
        </w:rPr>
      </w:pPr>
      <w:r w:rsidRPr="00385DF6">
        <w:rPr>
          <w:rFonts w:cstheme="minorHAnsi"/>
          <w:b/>
          <w:sz w:val="24"/>
          <w:szCs w:val="24"/>
        </w:rPr>
        <w:t>Sara Lembrechts</w:t>
      </w:r>
    </w:p>
    <w:p w:rsidR="003E6D1D" w:rsidRPr="00385DF6" w:rsidRDefault="00690B63" w:rsidP="00BF5E45">
      <w:pPr>
        <w:spacing w:after="0" w:line="276" w:lineRule="auto"/>
        <w:jc w:val="center"/>
        <w:rPr>
          <w:rFonts w:cstheme="minorHAnsi"/>
          <w:sz w:val="24"/>
          <w:szCs w:val="24"/>
        </w:rPr>
      </w:pPr>
      <w:r w:rsidRPr="00385DF6">
        <w:rPr>
          <w:rFonts w:cstheme="minorHAnsi"/>
          <w:sz w:val="24"/>
          <w:szCs w:val="24"/>
        </w:rPr>
        <w:t xml:space="preserve">Beleidsmedewerker bij </w:t>
      </w:r>
      <w:r w:rsidR="003E6D1D" w:rsidRPr="00385DF6">
        <w:rPr>
          <w:rFonts w:cstheme="minorHAnsi"/>
          <w:sz w:val="24"/>
          <w:szCs w:val="24"/>
        </w:rPr>
        <w:t>Kenniscentrum Kinderrechten (KeKi vzw)</w:t>
      </w:r>
      <w:r w:rsidR="00081F3D" w:rsidRPr="00385DF6">
        <w:rPr>
          <w:rFonts w:cstheme="minorHAnsi"/>
          <w:sz w:val="24"/>
          <w:szCs w:val="24"/>
        </w:rPr>
        <w:t xml:space="preserve"> &amp; </w:t>
      </w:r>
      <w:r w:rsidRPr="00385DF6">
        <w:rPr>
          <w:rFonts w:cstheme="minorHAnsi"/>
          <w:sz w:val="24"/>
          <w:szCs w:val="24"/>
        </w:rPr>
        <w:t xml:space="preserve">Onderzoeker </w:t>
      </w:r>
      <w:r w:rsidR="005D7234" w:rsidRPr="00385DF6">
        <w:rPr>
          <w:rFonts w:cstheme="minorHAnsi"/>
          <w:sz w:val="24"/>
          <w:szCs w:val="24"/>
        </w:rPr>
        <w:t xml:space="preserve">Internationaal Recht </w:t>
      </w:r>
      <w:r w:rsidR="00C10702" w:rsidRPr="00385DF6">
        <w:rPr>
          <w:rFonts w:cstheme="minorHAnsi"/>
          <w:sz w:val="24"/>
          <w:szCs w:val="24"/>
        </w:rPr>
        <w:t>bij</w:t>
      </w:r>
      <w:r w:rsidRPr="00385DF6">
        <w:rPr>
          <w:rFonts w:cstheme="minorHAnsi"/>
          <w:sz w:val="24"/>
          <w:szCs w:val="24"/>
        </w:rPr>
        <w:t xml:space="preserve"> </w:t>
      </w:r>
      <w:r w:rsidR="003E6D1D" w:rsidRPr="00385DF6">
        <w:rPr>
          <w:rFonts w:cstheme="minorHAnsi"/>
          <w:sz w:val="24"/>
          <w:szCs w:val="24"/>
        </w:rPr>
        <w:t>Universiteit Antwerpen</w:t>
      </w:r>
    </w:p>
    <w:p w:rsidR="00081F3D" w:rsidRPr="00385DF6" w:rsidRDefault="00081F3D" w:rsidP="00BF5E45">
      <w:pPr>
        <w:spacing w:after="0" w:line="276" w:lineRule="auto"/>
        <w:jc w:val="center"/>
        <w:rPr>
          <w:rFonts w:cstheme="minorHAnsi"/>
          <w:sz w:val="24"/>
          <w:szCs w:val="24"/>
        </w:rPr>
      </w:pPr>
    </w:p>
    <w:p w:rsidR="003E6D1D" w:rsidRPr="00385DF6" w:rsidRDefault="003E6D1D" w:rsidP="00BF5E45">
      <w:pPr>
        <w:spacing w:line="276" w:lineRule="auto"/>
        <w:rPr>
          <w:rFonts w:cstheme="minorHAnsi"/>
          <w:sz w:val="24"/>
          <w:szCs w:val="24"/>
        </w:rPr>
      </w:pPr>
    </w:p>
    <w:p w:rsidR="00DD1EDC" w:rsidRPr="00385DF6" w:rsidRDefault="00C10702" w:rsidP="00BF5E45">
      <w:pPr>
        <w:spacing w:line="276" w:lineRule="auto"/>
        <w:rPr>
          <w:rFonts w:cstheme="minorHAnsi"/>
          <w:i/>
          <w:sz w:val="24"/>
          <w:szCs w:val="24"/>
          <w:lang w:val="nl-NL"/>
        </w:rPr>
      </w:pPr>
      <w:r w:rsidRPr="00385DF6">
        <w:rPr>
          <w:i/>
          <w:sz w:val="24"/>
          <w:szCs w:val="24"/>
        </w:rPr>
        <w:t xml:space="preserve">Het Kinderrechtenverdrag is een uitgangspunt van wereldwijde consensus waarin rechten </w:t>
      </w:r>
      <w:r w:rsidR="00AC6F07" w:rsidRPr="00385DF6">
        <w:rPr>
          <w:i/>
          <w:sz w:val="24"/>
          <w:szCs w:val="24"/>
        </w:rPr>
        <w:t xml:space="preserve">van kinderen en jongeren </w:t>
      </w:r>
      <w:r w:rsidRPr="00385DF6">
        <w:rPr>
          <w:i/>
          <w:sz w:val="24"/>
          <w:szCs w:val="24"/>
        </w:rPr>
        <w:t xml:space="preserve">op </w:t>
      </w:r>
      <w:r w:rsidR="001F2668" w:rsidRPr="00385DF6">
        <w:rPr>
          <w:i/>
          <w:sz w:val="24"/>
          <w:szCs w:val="24"/>
        </w:rPr>
        <w:t>bescherming</w:t>
      </w:r>
      <w:r w:rsidRPr="00385DF6">
        <w:rPr>
          <w:i/>
          <w:sz w:val="24"/>
          <w:szCs w:val="24"/>
        </w:rPr>
        <w:t xml:space="preserve">, provisie en participatie worden vastgelegd als juridische verplichtingen voor alle overheden die het Verdrag ondertekenen. </w:t>
      </w:r>
      <w:r w:rsidR="009021F0" w:rsidRPr="00385DF6">
        <w:rPr>
          <w:i/>
          <w:sz w:val="24"/>
          <w:szCs w:val="24"/>
        </w:rPr>
        <w:t>Dat geldt ook voor België, en bij uitbreiding voor Vlaanderen. Toch is het niet altijd duidelijk</w:t>
      </w:r>
      <w:r w:rsidRPr="00385DF6">
        <w:rPr>
          <w:i/>
          <w:sz w:val="24"/>
          <w:szCs w:val="24"/>
        </w:rPr>
        <w:t xml:space="preserve"> hoe kinderrechten vorm kunnen krijgen in de specifieke context waarin ze gerealiseerd moeten worden. </w:t>
      </w:r>
      <w:r w:rsidR="00DD1EDC" w:rsidRPr="00385DF6">
        <w:rPr>
          <w:rFonts w:cstheme="minorHAnsi"/>
          <w:i/>
          <w:sz w:val="24"/>
          <w:szCs w:val="24"/>
          <w:lang w:val="nl-NL"/>
        </w:rPr>
        <w:t xml:space="preserve">In deze bijdrage bekijken we </w:t>
      </w:r>
      <w:r w:rsidR="00AC6F07" w:rsidRPr="00385DF6">
        <w:rPr>
          <w:rFonts w:cstheme="minorHAnsi"/>
          <w:i/>
          <w:sz w:val="24"/>
          <w:szCs w:val="24"/>
          <w:lang w:val="nl-NL"/>
        </w:rPr>
        <w:t xml:space="preserve">wat </w:t>
      </w:r>
      <w:r w:rsidR="00DD1EDC" w:rsidRPr="00385DF6">
        <w:rPr>
          <w:rFonts w:cstheme="minorHAnsi"/>
          <w:i/>
          <w:sz w:val="24"/>
          <w:szCs w:val="24"/>
          <w:lang w:val="nl-NL"/>
        </w:rPr>
        <w:t xml:space="preserve">kinderrechten </w:t>
      </w:r>
      <w:r w:rsidR="00AC6F07" w:rsidRPr="00385DF6">
        <w:rPr>
          <w:rFonts w:cstheme="minorHAnsi"/>
          <w:i/>
          <w:sz w:val="24"/>
          <w:szCs w:val="24"/>
          <w:lang w:val="nl-NL"/>
        </w:rPr>
        <w:t>kunnen betekenen</w:t>
      </w:r>
      <w:r w:rsidR="00DD1EDC" w:rsidRPr="00385DF6">
        <w:rPr>
          <w:rFonts w:cstheme="minorHAnsi"/>
          <w:i/>
          <w:sz w:val="24"/>
          <w:szCs w:val="24"/>
          <w:lang w:val="nl-NL"/>
        </w:rPr>
        <w:t xml:space="preserve"> in Vlaanderen. Welke juridische status nemen kinderrechten in, </w:t>
      </w:r>
      <w:r w:rsidR="007A7CF6" w:rsidRPr="00385DF6">
        <w:rPr>
          <w:rFonts w:cstheme="minorHAnsi"/>
          <w:i/>
          <w:sz w:val="24"/>
          <w:szCs w:val="24"/>
          <w:lang w:val="nl-NL"/>
        </w:rPr>
        <w:t xml:space="preserve">hoe werken ze door in onze basishouding, </w:t>
      </w:r>
      <w:r w:rsidR="00DD1EDC" w:rsidRPr="00385DF6">
        <w:rPr>
          <w:rFonts w:cstheme="minorHAnsi"/>
          <w:i/>
          <w:sz w:val="24"/>
          <w:szCs w:val="24"/>
          <w:lang w:val="nl-NL"/>
        </w:rPr>
        <w:t>en welke specifieke uitdagingen brengt dit met zich mee voor beleid en praktijk?</w:t>
      </w:r>
    </w:p>
    <w:p w:rsidR="00EE5FBB" w:rsidRPr="00385DF6" w:rsidRDefault="00EE5FBB" w:rsidP="00BF5E45">
      <w:pPr>
        <w:spacing w:line="276" w:lineRule="auto"/>
        <w:rPr>
          <w:rFonts w:cstheme="minorHAnsi"/>
          <w:sz w:val="24"/>
          <w:szCs w:val="24"/>
          <w:lang w:val="nl-NL"/>
        </w:rPr>
      </w:pPr>
    </w:p>
    <w:p w:rsidR="00EE5FBB" w:rsidRPr="00385DF6" w:rsidRDefault="00EE5FBB" w:rsidP="00BF5E45">
      <w:pPr>
        <w:spacing w:line="276" w:lineRule="auto"/>
        <w:rPr>
          <w:rFonts w:cstheme="minorHAnsi"/>
          <w:b/>
          <w:sz w:val="24"/>
          <w:szCs w:val="24"/>
        </w:rPr>
      </w:pPr>
      <w:r w:rsidRPr="00385DF6">
        <w:rPr>
          <w:rFonts w:cstheme="minorHAnsi"/>
          <w:b/>
          <w:sz w:val="24"/>
          <w:szCs w:val="24"/>
        </w:rPr>
        <w:t>Wat zijn kinderrechten?</w:t>
      </w:r>
    </w:p>
    <w:p w:rsidR="005E31CC" w:rsidRPr="00385DF6" w:rsidRDefault="004300FE" w:rsidP="00BF5E45">
      <w:pPr>
        <w:spacing w:line="276" w:lineRule="auto"/>
        <w:rPr>
          <w:rFonts w:cstheme="minorHAnsi"/>
          <w:sz w:val="24"/>
          <w:szCs w:val="24"/>
        </w:rPr>
      </w:pPr>
      <w:r w:rsidRPr="00385DF6">
        <w:rPr>
          <w:rFonts w:cstheme="minorHAnsi"/>
          <w:sz w:val="24"/>
          <w:szCs w:val="24"/>
        </w:rPr>
        <w:t>Kinderrechten</w:t>
      </w:r>
      <w:r w:rsidR="00EE5FBB" w:rsidRPr="00385DF6">
        <w:rPr>
          <w:rFonts w:cstheme="minorHAnsi"/>
          <w:sz w:val="24"/>
          <w:szCs w:val="24"/>
        </w:rPr>
        <w:t xml:space="preserve"> zijn de mensenrechten van kinderen en jongeren.</w:t>
      </w:r>
      <w:r w:rsidRPr="00385DF6">
        <w:rPr>
          <w:rFonts w:cstheme="minorHAnsi"/>
          <w:sz w:val="24"/>
          <w:szCs w:val="24"/>
        </w:rPr>
        <w:t xml:space="preserve"> Het zijn </w:t>
      </w:r>
      <w:r w:rsidRPr="00385DF6">
        <w:rPr>
          <w:rFonts w:cstheme="minorHAnsi"/>
          <w:sz w:val="24"/>
          <w:szCs w:val="24"/>
          <w:lang w:val="nl-NL"/>
        </w:rPr>
        <w:t>fundamentele normen die duidelijk maken dat kinderen en jongeren als volwaardige burgers een eigen plaats hebben in onze maatschappij. Daarnaast zijn kinderrechten erop gericht sociale rechtvaardigheid en menselijke waardigheid voor kinderen en jongeren te realiseren.</w:t>
      </w:r>
      <w:r w:rsidR="00EE5FBB" w:rsidRPr="00385DF6">
        <w:rPr>
          <w:rFonts w:cstheme="minorHAnsi"/>
          <w:sz w:val="24"/>
          <w:szCs w:val="24"/>
          <w:lang w:val="nl-NL"/>
        </w:rPr>
        <w:t xml:space="preserve"> </w:t>
      </w:r>
      <w:r w:rsidR="00EE5FBB" w:rsidRPr="00385DF6">
        <w:rPr>
          <w:rFonts w:cstheme="minorHAnsi"/>
          <w:sz w:val="24"/>
          <w:szCs w:val="24"/>
        </w:rPr>
        <w:t xml:space="preserve">Zo kunnen kinderrechten een hefboom zijn om sociale verhoudingen te veranderen, en dit zowel op een </w:t>
      </w:r>
      <w:r w:rsidR="003417E0" w:rsidRPr="00385DF6">
        <w:rPr>
          <w:rFonts w:cstheme="minorHAnsi"/>
          <w:sz w:val="24"/>
          <w:szCs w:val="24"/>
        </w:rPr>
        <w:t>juridische als op een relationel</w:t>
      </w:r>
      <w:r w:rsidR="00EE5FBB" w:rsidRPr="00385DF6">
        <w:rPr>
          <w:rFonts w:cstheme="minorHAnsi"/>
          <w:sz w:val="24"/>
          <w:szCs w:val="24"/>
        </w:rPr>
        <w:t xml:space="preserve">e manier. </w:t>
      </w:r>
    </w:p>
    <w:p w:rsidR="006C6A1B" w:rsidRPr="00385DF6" w:rsidRDefault="006C6A1B" w:rsidP="00BF5E45">
      <w:pPr>
        <w:spacing w:line="276" w:lineRule="auto"/>
        <w:rPr>
          <w:rFonts w:cstheme="minorHAnsi"/>
          <w:sz w:val="24"/>
          <w:szCs w:val="24"/>
        </w:rPr>
      </w:pPr>
    </w:p>
    <w:p w:rsidR="006C6A1B" w:rsidRPr="00385DF6" w:rsidRDefault="00C24F95" w:rsidP="00BF5E45">
      <w:pPr>
        <w:spacing w:line="276" w:lineRule="auto"/>
        <w:rPr>
          <w:rFonts w:cstheme="minorHAnsi"/>
          <w:b/>
          <w:sz w:val="24"/>
          <w:szCs w:val="24"/>
        </w:rPr>
      </w:pPr>
      <w:r w:rsidRPr="00385DF6">
        <w:rPr>
          <w:rFonts w:cstheme="minorHAnsi"/>
          <w:b/>
          <w:sz w:val="24"/>
          <w:szCs w:val="24"/>
        </w:rPr>
        <w:t>Een juridische invulling van kinderrechten</w:t>
      </w:r>
    </w:p>
    <w:p w:rsidR="000844AF" w:rsidRDefault="00C653C1" w:rsidP="00BF5E45">
      <w:pPr>
        <w:spacing w:line="276" w:lineRule="auto"/>
        <w:rPr>
          <w:rFonts w:cstheme="minorHAnsi"/>
          <w:sz w:val="24"/>
          <w:szCs w:val="24"/>
        </w:rPr>
      </w:pPr>
      <w:r w:rsidRPr="00385DF6">
        <w:rPr>
          <w:rFonts w:cstheme="minorHAnsi"/>
          <w:sz w:val="24"/>
          <w:szCs w:val="24"/>
        </w:rPr>
        <w:t>Vanuit de vaststelling dat kinderen en jongeren</w:t>
      </w:r>
      <w:r w:rsidR="008B6F3E" w:rsidRPr="00385DF6">
        <w:rPr>
          <w:rFonts w:cstheme="minorHAnsi"/>
          <w:sz w:val="24"/>
          <w:szCs w:val="24"/>
        </w:rPr>
        <w:t xml:space="preserve"> als </w:t>
      </w:r>
      <w:r w:rsidR="003417E0" w:rsidRPr="00385DF6">
        <w:rPr>
          <w:rFonts w:cstheme="minorHAnsi"/>
          <w:sz w:val="24"/>
          <w:szCs w:val="24"/>
        </w:rPr>
        <w:t>volwaardige burgers</w:t>
      </w:r>
      <w:r w:rsidRPr="00385DF6">
        <w:rPr>
          <w:rFonts w:cstheme="minorHAnsi"/>
          <w:sz w:val="24"/>
          <w:szCs w:val="24"/>
        </w:rPr>
        <w:t xml:space="preserve"> aanspraak moeten kunnen maken op verschillende rechten, worden kinderrechten juridisch </w:t>
      </w:r>
      <w:r w:rsidR="009508B8">
        <w:rPr>
          <w:rFonts w:cstheme="minorHAnsi"/>
          <w:sz w:val="24"/>
          <w:szCs w:val="24"/>
          <w:lang w:val="nl-NL"/>
        </w:rPr>
        <w:t xml:space="preserve">vertaald in </w:t>
      </w:r>
      <w:r w:rsidR="005E31CC" w:rsidRPr="00385DF6">
        <w:rPr>
          <w:rFonts w:cstheme="minorHAnsi"/>
          <w:sz w:val="24"/>
          <w:szCs w:val="24"/>
          <w:lang w:val="nl-NL"/>
        </w:rPr>
        <w:t xml:space="preserve">verdragen, </w:t>
      </w:r>
      <w:r w:rsidR="004300FE" w:rsidRPr="00385DF6">
        <w:rPr>
          <w:rFonts w:cstheme="minorHAnsi"/>
          <w:sz w:val="24"/>
          <w:szCs w:val="24"/>
          <w:lang w:val="nl-NL"/>
        </w:rPr>
        <w:t>wetten, regulering en beleid</w:t>
      </w:r>
      <w:r w:rsidR="00AC6F07" w:rsidRPr="00385DF6">
        <w:rPr>
          <w:rFonts w:cstheme="minorHAnsi"/>
          <w:sz w:val="24"/>
          <w:szCs w:val="24"/>
          <w:lang w:val="nl-NL"/>
        </w:rPr>
        <w:t>.</w:t>
      </w:r>
      <w:r w:rsidR="00DB77A7" w:rsidRPr="00385DF6">
        <w:rPr>
          <w:rFonts w:cstheme="minorHAnsi"/>
          <w:sz w:val="24"/>
          <w:szCs w:val="24"/>
          <w:lang w:val="nl-NL"/>
        </w:rPr>
        <w:t xml:space="preserve"> </w:t>
      </w:r>
      <w:r w:rsidR="00DB77A7" w:rsidRPr="00385DF6">
        <w:rPr>
          <w:rFonts w:cstheme="minorHAnsi"/>
          <w:sz w:val="24"/>
          <w:szCs w:val="24"/>
        </w:rPr>
        <w:t xml:space="preserve">De meest bekende en meest gebruikte </w:t>
      </w:r>
      <w:r w:rsidR="003417E0" w:rsidRPr="00385DF6">
        <w:rPr>
          <w:rFonts w:cstheme="minorHAnsi"/>
          <w:sz w:val="24"/>
          <w:szCs w:val="24"/>
        </w:rPr>
        <w:t>interpretatie</w:t>
      </w:r>
      <w:r w:rsidR="00DB77A7" w:rsidRPr="00385DF6">
        <w:rPr>
          <w:rFonts w:cstheme="minorHAnsi"/>
          <w:sz w:val="24"/>
          <w:szCs w:val="24"/>
        </w:rPr>
        <w:t xml:space="preserve"> van kinderrechten zijn de rechten zoals ze zijn neergeschreven in het </w:t>
      </w:r>
      <w:r w:rsidR="00385DF6">
        <w:rPr>
          <w:rFonts w:cstheme="minorHAnsi"/>
          <w:sz w:val="24"/>
          <w:szCs w:val="24"/>
        </w:rPr>
        <w:t xml:space="preserve">Verdrag inzake de Rechten van het Kind </w:t>
      </w:r>
      <w:r w:rsidR="00DB77A7" w:rsidRPr="00385DF6">
        <w:rPr>
          <w:rFonts w:cstheme="minorHAnsi"/>
          <w:sz w:val="24"/>
          <w:szCs w:val="24"/>
        </w:rPr>
        <w:t xml:space="preserve">van de Verenigde Naties (hierna: </w:t>
      </w:r>
      <w:r w:rsidR="00385DF6">
        <w:rPr>
          <w:rFonts w:cstheme="minorHAnsi"/>
          <w:sz w:val="24"/>
          <w:szCs w:val="24"/>
        </w:rPr>
        <w:t xml:space="preserve">het Kinderrechtenverdrag, het Verdrag of het </w:t>
      </w:r>
      <w:r w:rsidR="00DB77A7" w:rsidRPr="00385DF6">
        <w:rPr>
          <w:rFonts w:cstheme="minorHAnsi"/>
          <w:sz w:val="24"/>
          <w:szCs w:val="24"/>
        </w:rPr>
        <w:t>VRK).</w:t>
      </w:r>
      <w:r w:rsidR="00DB77A7" w:rsidRPr="00385DF6">
        <w:rPr>
          <w:rStyle w:val="Voetnootmarkering"/>
          <w:rFonts w:cstheme="minorHAnsi"/>
          <w:sz w:val="24"/>
          <w:szCs w:val="24"/>
        </w:rPr>
        <w:footnoteReference w:id="1"/>
      </w:r>
      <w:r w:rsidR="00DB77A7" w:rsidRPr="00385DF6">
        <w:rPr>
          <w:rFonts w:cstheme="minorHAnsi"/>
          <w:sz w:val="24"/>
          <w:szCs w:val="24"/>
        </w:rPr>
        <w:t xml:space="preserve"> Er zijn echter nog een heleboel andere internationale, natio</w:t>
      </w:r>
      <w:r w:rsidR="00B24013">
        <w:rPr>
          <w:rFonts w:cstheme="minorHAnsi"/>
          <w:sz w:val="24"/>
          <w:szCs w:val="24"/>
        </w:rPr>
        <w:t>nale,</w:t>
      </w:r>
      <w:r w:rsidR="00DB77A7" w:rsidRPr="00385DF6">
        <w:rPr>
          <w:rFonts w:cstheme="minorHAnsi"/>
          <w:sz w:val="24"/>
          <w:szCs w:val="24"/>
        </w:rPr>
        <w:t xml:space="preserve"> Vlaamse </w:t>
      </w:r>
      <w:r w:rsidR="00B24013">
        <w:rPr>
          <w:rFonts w:cstheme="minorHAnsi"/>
          <w:sz w:val="24"/>
          <w:szCs w:val="24"/>
        </w:rPr>
        <w:t xml:space="preserve">en lokale </w:t>
      </w:r>
      <w:r w:rsidR="00DB77A7" w:rsidRPr="00385DF6">
        <w:rPr>
          <w:rFonts w:cstheme="minorHAnsi"/>
          <w:sz w:val="24"/>
          <w:szCs w:val="24"/>
        </w:rPr>
        <w:t xml:space="preserve">instrumenten die kinderrechten waarborgen. </w:t>
      </w:r>
    </w:p>
    <w:p w:rsidR="000844AF" w:rsidRDefault="000844AF" w:rsidP="00BF5E45">
      <w:pPr>
        <w:spacing w:line="276" w:lineRule="auto"/>
        <w:rPr>
          <w:rFonts w:cstheme="minorHAnsi"/>
          <w:sz w:val="24"/>
          <w:szCs w:val="24"/>
        </w:rPr>
      </w:pPr>
      <w:r>
        <w:rPr>
          <w:rFonts w:cstheme="minorHAnsi"/>
          <w:sz w:val="24"/>
          <w:szCs w:val="24"/>
        </w:rPr>
        <w:lastRenderedPageBreak/>
        <w:t>Internationale juridische instrumenten die bij ons van toepassing zijn, worden m</w:t>
      </w:r>
      <w:r w:rsidRPr="00385DF6">
        <w:rPr>
          <w:rFonts w:cstheme="minorHAnsi"/>
          <w:sz w:val="24"/>
          <w:szCs w:val="24"/>
        </w:rPr>
        <w:t xml:space="preserve">eestal gecreëerd door de Verenigde Naties (VN), de Raad van Europa (RvE) en de Europese Unie (EU). Deze instrumenten verschillen naargelang hun aard en bindingskracht. Enerzijds is er </w:t>
      </w:r>
      <w:r w:rsidRPr="00385DF6">
        <w:rPr>
          <w:rFonts w:cstheme="minorHAnsi"/>
          <w:i/>
          <w:sz w:val="24"/>
          <w:szCs w:val="24"/>
        </w:rPr>
        <w:t>hard law</w:t>
      </w:r>
      <w:r w:rsidRPr="00385DF6">
        <w:rPr>
          <w:rFonts w:cstheme="minorHAnsi"/>
          <w:sz w:val="24"/>
          <w:szCs w:val="24"/>
        </w:rPr>
        <w:t xml:space="preserve"> of juridisch bindende instrumenten, zoals bijvoorbeeld de VN-mensenrechtenverdrag</w:t>
      </w:r>
      <w:r>
        <w:rPr>
          <w:rFonts w:cstheme="minorHAnsi"/>
          <w:sz w:val="24"/>
          <w:szCs w:val="24"/>
        </w:rPr>
        <w:t>en (</w:t>
      </w:r>
      <w:r w:rsidR="001B5B4B">
        <w:rPr>
          <w:rFonts w:cstheme="minorHAnsi"/>
          <w:sz w:val="24"/>
          <w:szCs w:val="24"/>
        </w:rPr>
        <w:t xml:space="preserve">die allemaal ook voor kinderen en jongeren gelden en </w:t>
      </w:r>
      <w:r>
        <w:rPr>
          <w:rFonts w:cstheme="minorHAnsi"/>
          <w:sz w:val="24"/>
          <w:szCs w:val="24"/>
        </w:rPr>
        <w:t>waar het VRK er één van is). Ook</w:t>
      </w:r>
      <w:r w:rsidRPr="00385DF6">
        <w:rPr>
          <w:rFonts w:cstheme="minorHAnsi"/>
          <w:sz w:val="24"/>
          <w:szCs w:val="24"/>
        </w:rPr>
        <w:t xml:space="preserve"> </w:t>
      </w:r>
      <w:r w:rsidR="00DB77A7" w:rsidRPr="00385DF6">
        <w:rPr>
          <w:rFonts w:cstheme="minorHAnsi"/>
          <w:sz w:val="24"/>
          <w:szCs w:val="24"/>
        </w:rPr>
        <w:t xml:space="preserve">het Europees Verdrag voor </w:t>
      </w:r>
      <w:r>
        <w:rPr>
          <w:rFonts w:cstheme="minorHAnsi"/>
          <w:sz w:val="24"/>
          <w:szCs w:val="24"/>
        </w:rPr>
        <w:t>de Rechten van de Mens (EVRM),</w:t>
      </w:r>
      <w:r w:rsidR="00DB77A7" w:rsidRPr="00385DF6">
        <w:rPr>
          <w:rFonts w:cstheme="minorHAnsi"/>
          <w:sz w:val="24"/>
          <w:szCs w:val="24"/>
        </w:rPr>
        <w:t xml:space="preserve"> de bijbehorende rechtspraak van het Europees Hof (EHRM)</w:t>
      </w:r>
      <w:r w:rsidR="00B24013">
        <w:rPr>
          <w:rFonts w:cstheme="minorHAnsi"/>
          <w:sz w:val="24"/>
          <w:szCs w:val="24"/>
        </w:rPr>
        <w:t xml:space="preserve"> in Straatsburg</w:t>
      </w:r>
      <w:r>
        <w:rPr>
          <w:rFonts w:cstheme="minorHAnsi"/>
          <w:sz w:val="24"/>
          <w:szCs w:val="24"/>
        </w:rPr>
        <w:t xml:space="preserve"> en een deel van</w:t>
      </w:r>
      <w:r w:rsidR="00DB77A7" w:rsidRPr="00385DF6">
        <w:rPr>
          <w:rFonts w:cstheme="minorHAnsi"/>
          <w:sz w:val="24"/>
          <w:szCs w:val="24"/>
        </w:rPr>
        <w:t xml:space="preserve"> het kinderrechten-</w:t>
      </w:r>
      <w:r w:rsidR="00DB77A7" w:rsidRPr="00385DF6">
        <w:rPr>
          <w:rFonts w:cstheme="minorHAnsi"/>
          <w:i/>
          <w:sz w:val="24"/>
          <w:szCs w:val="24"/>
        </w:rPr>
        <w:t>acquis</w:t>
      </w:r>
      <w:r w:rsidR="00DB77A7" w:rsidRPr="00385DF6">
        <w:rPr>
          <w:rFonts w:cstheme="minorHAnsi"/>
          <w:sz w:val="24"/>
          <w:szCs w:val="24"/>
        </w:rPr>
        <w:t xml:space="preserve"> van de Europese Unie, </w:t>
      </w:r>
      <w:r>
        <w:rPr>
          <w:rFonts w:cstheme="minorHAnsi"/>
          <w:sz w:val="24"/>
          <w:szCs w:val="24"/>
        </w:rPr>
        <w:t xml:space="preserve">zijn juridisch bindend. </w:t>
      </w:r>
      <w:r w:rsidRPr="00385DF6">
        <w:rPr>
          <w:rFonts w:cstheme="minorHAnsi"/>
          <w:sz w:val="24"/>
          <w:szCs w:val="24"/>
        </w:rPr>
        <w:t xml:space="preserve">Anderzijds bestaat er ook louter richtinggevende </w:t>
      </w:r>
      <w:r>
        <w:rPr>
          <w:rFonts w:cstheme="minorHAnsi"/>
          <w:sz w:val="24"/>
          <w:szCs w:val="24"/>
        </w:rPr>
        <w:t xml:space="preserve">internationale </w:t>
      </w:r>
      <w:r w:rsidRPr="00385DF6">
        <w:rPr>
          <w:rFonts w:cstheme="minorHAnsi"/>
          <w:sz w:val="24"/>
          <w:szCs w:val="24"/>
        </w:rPr>
        <w:t xml:space="preserve">regelgeving of </w:t>
      </w:r>
      <w:r w:rsidRPr="00385DF6">
        <w:rPr>
          <w:rFonts w:cstheme="minorHAnsi"/>
          <w:i/>
          <w:sz w:val="24"/>
          <w:szCs w:val="24"/>
        </w:rPr>
        <w:t>soft law</w:t>
      </w:r>
      <w:r>
        <w:rPr>
          <w:rFonts w:cstheme="minorHAnsi"/>
          <w:sz w:val="24"/>
          <w:szCs w:val="24"/>
        </w:rPr>
        <w:t>. Daaronder vallen</w:t>
      </w:r>
      <w:r w:rsidRPr="00385DF6">
        <w:rPr>
          <w:rFonts w:cstheme="minorHAnsi"/>
          <w:sz w:val="24"/>
          <w:szCs w:val="24"/>
        </w:rPr>
        <w:t xml:space="preserve"> </w:t>
      </w:r>
      <w:r>
        <w:rPr>
          <w:rFonts w:cstheme="minorHAnsi"/>
          <w:sz w:val="24"/>
          <w:szCs w:val="24"/>
        </w:rPr>
        <w:t>bijvoorbeeld de</w:t>
      </w:r>
      <w:r w:rsidRPr="00385DF6">
        <w:rPr>
          <w:rFonts w:cstheme="minorHAnsi"/>
          <w:sz w:val="24"/>
          <w:szCs w:val="24"/>
        </w:rPr>
        <w:t xml:space="preserve"> algemene commentaren en slotbeschouwingen van het VN-Comité voor de Rechten van het Kind, aanbevelingen en resoluties van de Parlementaire Vergadering van de RvE of richtlijnen van de Europese Commissie.</w:t>
      </w:r>
      <w:r w:rsidRPr="00385DF6">
        <w:rPr>
          <w:rStyle w:val="Voetnootmarkering"/>
          <w:rFonts w:cstheme="minorHAnsi"/>
          <w:sz w:val="24"/>
          <w:szCs w:val="24"/>
        </w:rPr>
        <w:footnoteReference w:id="2"/>
      </w:r>
      <w:r>
        <w:rPr>
          <w:rFonts w:cstheme="minorHAnsi"/>
          <w:sz w:val="24"/>
          <w:szCs w:val="24"/>
        </w:rPr>
        <w:t xml:space="preserve"> </w:t>
      </w:r>
    </w:p>
    <w:p w:rsidR="00E3470D" w:rsidRPr="000844AF" w:rsidRDefault="000844AF" w:rsidP="00BF5E45">
      <w:pPr>
        <w:spacing w:line="276" w:lineRule="auto"/>
        <w:rPr>
          <w:rFonts w:cstheme="minorHAnsi"/>
          <w:sz w:val="24"/>
          <w:szCs w:val="24"/>
        </w:rPr>
      </w:pPr>
      <w:r>
        <w:rPr>
          <w:rFonts w:cstheme="minorHAnsi"/>
          <w:sz w:val="24"/>
          <w:szCs w:val="24"/>
        </w:rPr>
        <w:t xml:space="preserve">Ook in ons land zijn er heel wat juridische instrumenten opgesteld om de positie van kinderen en jongeren te versterken via regelgeving. Naast talloze andere voorbeelden zijn er zo </w:t>
      </w:r>
      <w:r w:rsidR="00DB77A7" w:rsidRPr="00385DF6">
        <w:rPr>
          <w:rFonts w:cstheme="minorHAnsi"/>
          <w:sz w:val="24"/>
          <w:szCs w:val="24"/>
        </w:rPr>
        <w:t>artikel 22</w:t>
      </w:r>
      <w:r w:rsidR="00DB77A7" w:rsidRPr="00385DF6">
        <w:rPr>
          <w:rFonts w:cstheme="minorHAnsi"/>
          <w:i/>
          <w:sz w:val="24"/>
          <w:szCs w:val="24"/>
        </w:rPr>
        <w:t xml:space="preserve">bis </w:t>
      </w:r>
      <w:r w:rsidR="00411CB5">
        <w:rPr>
          <w:rFonts w:cstheme="minorHAnsi"/>
          <w:sz w:val="24"/>
          <w:szCs w:val="24"/>
        </w:rPr>
        <w:t>van onze</w:t>
      </w:r>
      <w:r w:rsidR="00DB77A7" w:rsidRPr="00385DF6">
        <w:rPr>
          <w:rFonts w:cstheme="minorHAnsi"/>
          <w:sz w:val="24"/>
          <w:szCs w:val="24"/>
        </w:rPr>
        <w:t xml:space="preserve"> Bel</w:t>
      </w:r>
      <w:r>
        <w:rPr>
          <w:rFonts w:cstheme="minorHAnsi"/>
          <w:sz w:val="24"/>
          <w:szCs w:val="24"/>
        </w:rPr>
        <w:t>gische grondwet</w:t>
      </w:r>
      <w:r w:rsidR="00411CB5">
        <w:rPr>
          <w:rFonts w:cstheme="minorHAnsi"/>
          <w:sz w:val="24"/>
          <w:szCs w:val="24"/>
        </w:rPr>
        <w:t xml:space="preserve"> dat kinderrechten </w:t>
      </w:r>
      <w:r w:rsidR="00290375">
        <w:rPr>
          <w:rFonts w:cstheme="minorHAnsi"/>
          <w:sz w:val="24"/>
          <w:szCs w:val="24"/>
        </w:rPr>
        <w:t>grondwettelijk</w:t>
      </w:r>
      <w:r w:rsidR="00411CB5">
        <w:rPr>
          <w:rFonts w:cstheme="minorHAnsi"/>
          <w:sz w:val="24"/>
          <w:szCs w:val="24"/>
        </w:rPr>
        <w:t xml:space="preserve"> veranker</w:t>
      </w:r>
      <w:r w:rsidR="00290375">
        <w:rPr>
          <w:rFonts w:cstheme="minorHAnsi"/>
          <w:sz w:val="24"/>
          <w:szCs w:val="24"/>
        </w:rPr>
        <w:t>t</w:t>
      </w:r>
      <w:r w:rsidR="00411CB5">
        <w:rPr>
          <w:rFonts w:cstheme="minorHAnsi"/>
          <w:sz w:val="24"/>
          <w:szCs w:val="24"/>
        </w:rPr>
        <w:t xml:space="preserve"> in ons rechtssysteem</w:t>
      </w:r>
      <w:r>
        <w:rPr>
          <w:rFonts w:cstheme="minorHAnsi"/>
          <w:sz w:val="24"/>
          <w:szCs w:val="24"/>
        </w:rPr>
        <w:t xml:space="preserve">, </w:t>
      </w:r>
      <w:r w:rsidR="00411CB5">
        <w:rPr>
          <w:rFonts w:cstheme="minorHAnsi"/>
          <w:sz w:val="24"/>
          <w:szCs w:val="24"/>
        </w:rPr>
        <w:t xml:space="preserve">artikel 1004/1 van het Gerechtelijk Wetboek dat kinderen en jongeren </w:t>
      </w:r>
      <w:r w:rsidR="00290375">
        <w:rPr>
          <w:rFonts w:cstheme="minorHAnsi"/>
          <w:sz w:val="24"/>
          <w:szCs w:val="24"/>
        </w:rPr>
        <w:t xml:space="preserve">onder bepaalde voorwaarden </w:t>
      </w:r>
      <w:r w:rsidR="00411CB5">
        <w:rPr>
          <w:rFonts w:cstheme="minorHAnsi"/>
          <w:sz w:val="24"/>
          <w:szCs w:val="24"/>
        </w:rPr>
        <w:t xml:space="preserve">het recht garandeert om gehoord te worden tijdens de juridische procedure </w:t>
      </w:r>
      <w:r w:rsidR="00290375">
        <w:rPr>
          <w:rFonts w:cstheme="minorHAnsi"/>
          <w:sz w:val="24"/>
          <w:szCs w:val="24"/>
        </w:rPr>
        <w:t>bij</w:t>
      </w:r>
      <w:r w:rsidR="00411CB5">
        <w:rPr>
          <w:rFonts w:cstheme="minorHAnsi"/>
          <w:sz w:val="24"/>
          <w:szCs w:val="24"/>
        </w:rPr>
        <w:t xml:space="preserve"> de scheiding van hun ouders, </w:t>
      </w:r>
      <w:r w:rsidR="00DB77A7" w:rsidRPr="00385DF6">
        <w:rPr>
          <w:rFonts w:cstheme="minorHAnsi"/>
          <w:sz w:val="24"/>
          <w:szCs w:val="24"/>
        </w:rPr>
        <w:t>het Decreet Rechtspositie Minderjarige over de rechten van kinderen en jongeren in de jeugdhulp in Vlaanderen</w:t>
      </w:r>
      <w:r w:rsidR="003417E0" w:rsidRPr="00385DF6">
        <w:rPr>
          <w:rFonts w:cstheme="minorHAnsi"/>
          <w:sz w:val="24"/>
          <w:szCs w:val="24"/>
        </w:rPr>
        <w:t>,</w:t>
      </w:r>
      <w:r>
        <w:rPr>
          <w:rFonts w:cstheme="minorHAnsi"/>
          <w:sz w:val="24"/>
          <w:szCs w:val="24"/>
        </w:rPr>
        <w:t xml:space="preserve"> of het Vlaams decreet jeugd- en kinderrechtenbeleid, dat een aantal toetsingsmechanismen en participatiemogelijkheden van kinderen en jongeren vastlegt</w:t>
      </w:r>
      <w:r w:rsidR="00DB77A7" w:rsidRPr="00385DF6">
        <w:rPr>
          <w:rFonts w:cstheme="minorHAnsi"/>
          <w:sz w:val="24"/>
          <w:szCs w:val="24"/>
        </w:rPr>
        <w:t>.</w:t>
      </w:r>
      <w:r>
        <w:rPr>
          <w:rFonts w:cstheme="minorHAnsi"/>
          <w:sz w:val="24"/>
          <w:szCs w:val="24"/>
        </w:rPr>
        <w:t xml:space="preserve"> </w:t>
      </w:r>
    </w:p>
    <w:p w:rsidR="00AC6F07" w:rsidRPr="00290375" w:rsidRDefault="00AC6F07" w:rsidP="00BF5E45">
      <w:pPr>
        <w:spacing w:line="276" w:lineRule="auto"/>
        <w:rPr>
          <w:rFonts w:cstheme="minorHAnsi"/>
          <w:sz w:val="24"/>
          <w:szCs w:val="24"/>
        </w:rPr>
      </w:pPr>
    </w:p>
    <w:p w:rsidR="001F1A4F" w:rsidRPr="00385DF6" w:rsidRDefault="00B24013" w:rsidP="00BF5E45">
      <w:pPr>
        <w:spacing w:line="276" w:lineRule="auto"/>
        <w:rPr>
          <w:rFonts w:cstheme="minorHAnsi"/>
          <w:b/>
          <w:sz w:val="24"/>
          <w:szCs w:val="24"/>
        </w:rPr>
      </w:pPr>
      <w:r>
        <w:rPr>
          <w:rFonts w:cstheme="minorHAnsi"/>
          <w:b/>
          <w:sz w:val="24"/>
          <w:szCs w:val="24"/>
        </w:rPr>
        <w:t xml:space="preserve">Een internationaal </w:t>
      </w:r>
      <w:r w:rsidR="00697257">
        <w:rPr>
          <w:rFonts w:cstheme="minorHAnsi"/>
          <w:b/>
          <w:sz w:val="24"/>
          <w:szCs w:val="24"/>
        </w:rPr>
        <w:t>kader</w:t>
      </w:r>
      <w:r>
        <w:rPr>
          <w:rFonts w:cstheme="minorHAnsi"/>
          <w:b/>
          <w:sz w:val="24"/>
          <w:szCs w:val="24"/>
        </w:rPr>
        <w:t xml:space="preserve"> voor kinderrechten</w:t>
      </w:r>
    </w:p>
    <w:p w:rsidR="00A8772A" w:rsidRPr="00385DF6" w:rsidRDefault="009021F0" w:rsidP="00BF5E45">
      <w:pPr>
        <w:spacing w:line="276" w:lineRule="auto"/>
        <w:rPr>
          <w:rFonts w:cstheme="minorHAnsi"/>
          <w:sz w:val="24"/>
          <w:szCs w:val="24"/>
        </w:rPr>
      </w:pPr>
      <w:r w:rsidRPr="00385DF6">
        <w:rPr>
          <w:rFonts w:cstheme="minorHAnsi"/>
          <w:sz w:val="24"/>
          <w:szCs w:val="24"/>
        </w:rPr>
        <w:t xml:space="preserve">Het Kinderrechtenverdrag werd goedgekeurd door de Algemene Vergadering van de Verenigde Naties op 20 november 1989. </w:t>
      </w:r>
      <w:r w:rsidR="00385DF6">
        <w:rPr>
          <w:rFonts w:cstheme="minorHAnsi"/>
          <w:sz w:val="24"/>
          <w:szCs w:val="24"/>
        </w:rPr>
        <w:t xml:space="preserve">Het is een internationaal verdrag dat door lidstaten moet worden goedgekeurd alvorens het kan doorwerken in de nationale rechtsorde. België heeft op 26 januari 1990 </w:t>
      </w:r>
      <w:r w:rsidRPr="00385DF6">
        <w:rPr>
          <w:rFonts w:cstheme="minorHAnsi"/>
          <w:sz w:val="24"/>
          <w:szCs w:val="24"/>
        </w:rPr>
        <w:t>het Verdrag ondertekend, waarna de goedkeuring bij wet volgde op 25 november 1991 (</w:t>
      </w:r>
      <w:r w:rsidRPr="00385DF6">
        <w:rPr>
          <w:rFonts w:cstheme="minorHAnsi"/>
          <w:i/>
          <w:sz w:val="24"/>
          <w:szCs w:val="24"/>
        </w:rPr>
        <w:t>BS</w:t>
      </w:r>
      <w:r w:rsidRPr="00385DF6">
        <w:rPr>
          <w:rFonts w:cstheme="minorHAnsi"/>
          <w:sz w:val="24"/>
          <w:szCs w:val="24"/>
        </w:rPr>
        <w:t xml:space="preserve"> 17 januari 1992). Na de ratificatie op 16 december 1991 trad het Verdrag in ons land officieel in werking op 15 januari 1992. </w:t>
      </w:r>
    </w:p>
    <w:p w:rsidR="00B24013" w:rsidRDefault="009021F0" w:rsidP="00BF5E45">
      <w:pPr>
        <w:spacing w:line="276" w:lineRule="auto"/>
        <w:rPr>
          <w:rFonts w:cstheme="minorHAnsi"/>
          <w:sz w:val="24"/>
          <w:szCs w:val="24"/>
        </w:rPr>
      </w:pPr>
      <w:r w:rsidRPr="00385DF6">
        <w:rPr>
          <w:rFonts w:cstheme="minorHAnsi"/>
          <w:sz w:val="24"/>
          <w:szCs w:val="24"/>
        </w:rPr>
        <w:t xml:space="preserve">Daarnaast kent het Kinderrechtenverdrag drie Facultatieve Protocollen. OPAC over kinderen in gewapende conflicten en OPSC over de verkoop van kinderen, kinderprostitutie en kinderpornografie werden door België ondertekend op 6 september 2000. OPAC trad in werking op 6 mei 2002 en OPSC op 17 maart 2006. OPIC over de klachtenprocedure voor het Comité van de Rechten van het Kind werd ondertekend op 28 februari 2012, geratificeerd op 30 mei 2014 en trad in werking op 30 augustus 2014. </w:t>
      </w:r>
    </w:p>
    <w:p w:rsidR="00B24013" w:rsidRDefault="00B24013" w:rsidP="00BF5E45">
      <w:pPr>
        <w:spacing w:line="276" w:lineRule="auto"/>
        <w:rPr>
          <w:rFonts w:cstheme="minorHAnsi"/>
          <w:sz w:val="24"/>
          <w:szCs w:val="24"/>
        </w:rPr>
      </w:pPr>
      <w:r>
        <w:rPr>
          <w:rFonts w:cstheme="minorHAnsi"/>
          <w:sz w:val="24"/>
          <w:szCs w:val="24"/>
        </w:rPr>
        <w:t>Het orgaan dat toeziet op de interpretatie, implementatie en naleving van het Verdrag en de Protocollen is het Comité voor de Rechten va</w:t>
      </w:r>
      <w:r w:rsidRPr="00267DC4">
        <w:rPr>
          <w:rFonts w:cstheme="minorHAnsi"/>
          <w:sz w:val="24"/>
          <w:szCs w:val="24"/>
        </w:rPr>
        <w:t xml:space="preserve">n het Kind in Genève. </w:t>
      </w:r>
      <w:r w:rsidR="00290375" w:rsidRPr="00267DC4">
        <w:rPr>
          <w:rFonts w:cstheme="minorHAnsi"/>
          <w:sz w:val="24"/>
          <w:szCs w:val="24"/>
        </w:rPr>
        <w:t xml:space="preserve">Ieder land moet in principe om de vijf jaar rapporteren over de </w:t>
      </w:r>
      <w:r w:rsidR="00267DC4" w:rsidRPr="00267DC4">
        <w:rPr>
          <w:rFonts w:cstheme="minorHAnsi"/>
          <w:sz w:val="24"/>
          <w:szCs w:val="24"/>
        </w:rPr>
        <w:t xml:space="preserve">naleving van kinderrechten. In antwoord daarop formuleert het Comité slotbeschouwingen (de zogenaamde </w:t>
      </w:r>
      <w:r w:rsidR="00267DC4" w:rsidRPr="00267DC4">
        <w:rPr>
          <w:rFonts w:cstheme="minorHAnsi"/>
          <w:i/>
          <w:sz w:val="24"/>
          <w:szCs w:val="24"/>
        </w:rPr>
        <w:t>concluding observations</w:t>
      </w:r>
      <w:r w:rsidR="00267DC4" w:rsidRPr="00267DC4">
        <w:rPr>
          <w:rFonts w:cstheme="minorHAnsi"/>
          <w:sz w:val="24"/>
          <w:szCs w:val="24"/>
        </w:rPr>
        <w:t xml:space="preserve">). Voor België zijn intussen drie rapportage-cycli voltooid </w:t>
      </w:r>
      <w:r w:rsidR="00267DC4" w:rsidRPr="00267DC4">
        <w:rPr>
          <w:rFonts w:eastAsia="MS Mincho" w:cs="DIN-Regular"/>
          <w:color w:val="000000"/>
          <w:sz w:val="24"/>
          <w:szCs w:val="24"/>
          <w:lang w:eastAsia="nl-NL"/>
        </w:rPr>
        <w:t>(1995, 2002 en 2010)</w:t>
      </w:r>
      <w:r w:rsidR="00CC1BFF">
        <w:rPr>
          <w:rFonts w:eastAsia="MS Mincho" w:cs="DIN-Regular"/>
          <w:color w:val="000000"/>
          <w:sz w:val="24"/>
          <w:szCs w:val="24"/>
          <w:lang w:eastAsia="nl-NL"/>
        </w:rPr>
        <w:t>.</w:t>
      </w:r>
      <w:r w:rsidR="00267DC4" w:rsidRPr="00267DC4">
        <w:rPr>
          <w:rFonts w:eastAsia="MS Mincho" w:cs="DIN-RegularAlternate"/>
          <w:color w:val="000000"/>
          <w:sz w:val="24"/>
          <w:szCs w:val="24"/>
          <w:vertAlign w:val="superscript"/>
          <w:lang w:eastAsia="nl-NL"/>
        </w:rPr>
        <w:footnoteReference w:id="3"/>
      </w:r>
      <w:r w:rsidR="00267DC4">
        <w:rPr>
          <w:rFonts w:cstheme="minorHAnsi"/>
          <w:sz w:val="24"/>
          <w:szCs w:val="24"/>
        </w:rPr>
        <w:t xml:space="preserve"> Het vierde landenrapport is ingediend in 2017 en zal </w:t>
      </w:r>
      <w:r w:rsidR="00697257">
        <w:rPr>
          <w:rFonts w:cstheme="minorHAnsi"/>
          <w:sz w:val="24"/>
          <w:szCs w:val="24"/>
        </w:rPr>
        <w:t>in 2019 door het Comité besproken worden.</w:t>
      </w:r>
      <w:r w:rsidR="00697257">
        <w:rPr>
          <w:rStyle w:val="Voetnootmarkering"/>
          <w:rFonts w:cstheme="minorHAnsi"/>
          <w:sz w:val="24"/>
          <w:szCs w:val="24"/>
        </w:rPr>
        <w:footnoteReference w:id="4"/>
      </w:r>
      <w:r w:rsidR="00267DC4" w:rsidRPr="00267DC4">
        <w:rPr>
          <w:rFonts w:cstheme="minorHAnsi"/>
          <w:i/>
          <w:sz w:val="24"/>
          <w:szCs w:val="24"/>
        </w:rPr>
        <w:t xml:space="preserve"> </w:t>
      </w:r>
      <w:r w:rsidR="00267DC4" w:rsidRPr="00267DC4">
        <w:rPr>
          <w:rFonts w:cstheme="minorHAnsi"/>
          <w:sz w:val="24"/>
          <w:szCs w:val="24"/>
        </w:rPr>
        <w:t>Het Comité brengt ook regelmatig algemene commentaren (</w:t>
      </w:r>
      <w:r w:rsidR="00267DC4" w:rsidRPr="00267DC4">
        <w:rPr>
          <w:rFonts w:cstheme="minorHAnsi"/>
          <w:i/>
          <w:sz w:val="24"/>
          <w:szCs w:val="24"/>
        </w:rPr>
        <w:t>general comments</w:t>
      </w:r>
      <w:r w:rsidR="00267DC4" w:rsidRPr="00267DC4">
        <w:rPr>
          <w:rFonts w:cstheme="minorHAnsi"/>
          <w:sz w:val="24"/>
          <w:szCs w:val="24"/>
        </w:rPr>
        <w:t>) uit over specifieke verdragsbepalingen.</w:t>
      </w:r>
      <w:r w:rsidR="00267DC4" w:rsidRPr="00267DC4">
        <w:rPr>
          <w:rFonts w:cstheme="minorHAnsi"/>
          <w:i/>
          <w:sz w:val="24"/>
          <w:szCs w:val="24"/>
        </w:rPr>
        <w:t xml:space="preserve"> </w:t>
      </w:r>
      <w:r w:rsidRPr="00267DC4">
        <w:rPr>
          <w:rFonts w:cstheme="minorHAnsi"/>
          <w:sz w:val="24"/>
          <w:szCs w:val="24"/>
        </w:rPr>
        <w:t xml:space="preserve">Hoewel de uitspraken van het Comité </w:t>
      </w:r>
      <w:r w:rsidR="00290375" w:rsidRPr="00267DC4">
        <w:rPr>
          <w:rFonts w:cstheme="minorHAnsi"/>
          <w:sz w:val="24"/>
          <w:szCs w:val="24"/>
        </w:rPr>
        <w:t xml:space="preserve">tot de </w:t>
      </w:r>
      <w:r w:rsidR="00290375" w:rsidRPr="00267DC4">
        <w:rPr>
          <w:rFonts w:cstheme="minorHAnsi"/>
          <w:i/>
          <w:sz w:val="24"/>
          <w:szCs w:val="24"/>
        </w:rPr>
        <w:t>soft law-</w:t>
      </w:r>
      <w:r w:rsidR="00290375" w:rsidRPr="00267DC4">
        <w:rPr>
          <w:rFonts w:cstheme="minorHAnsi"/>
          <w:sz w:val="24"/>
          <w:szCs w:val="24"/>
        </w:rPr>
        <w:t xml:space="preserve">categorie behoren en dus </w:t>
      </w:r>
      <w:r w:rsidRPr="00267DC4">
        <w:rPr>
          <w:rFonts w:cstheme="minorHAnsi"/>
          <w:sz w:val="24"/>
          <w:szCs w:val="24"/>
        </w:rPr>
        <w:t xml:space="preserve">niet juridisch bindend zijn, </w:t>
      </w:r>
      <w:r w:rsidR="00290375" w:rsidRPr="00267DC4">
        <w:rPr>
          <w:rFonts w:eastAsia="MS Mincho" w:cs="DIN-Regular"/>
          <w:color w:val="000000"/>
          <w:sz w:val="24"/>
          <w:szCs w:val="24"/>
          <w:lang w:eastAsia="nl-NL"/>
        </w:rPr>
        <w:t xml:space="preserve">zijn </w:t>
      </w:r>
      <w:r w:rsidR="00267DC4" w:rsidRPr="00267DC4">
        <w:rPr>
          <w:rFonts w:eastAsia="MS Mincho" w:cs="DIN-Regular"/>
          <w:color w:val="000000"/>
          <w:sz w:val="24"/>
          <w:szCs w:val="24"/>
          <w:lang w:eastAsia="nl-NL"/>
        </w:rPr>
        <w:t xml:space="preserve">zowel de slotbeschouwingen als de algemene commentaren belangrijke </w:t>
      </w:r>
      <w:r w:rsidR="00290375" w:rsidRPr="00267DC4">
        <w:rPr>
          <w:rFonts w:eastAsia="MS Mincho" w:cs="DIN-Regular"/>
          <w:color w:val="000000"/>
          <w:sz w:val="24"/>
          <w:szCs w:val="24"/>
          <w:lang w:eastAsia="nl-NL"/>
        </w:rPr>
        <w:t xml:space="preserve">gezaghebbende interpretaties </w:t>
      </w:r>
      <w:r w:rsidR="00267DC4" w:rsidRPr="00267DC4">
        <w:rPr>
          <w:rFonts w:eastAsia="MS Mincho" w:cs="DIN-Regular"/>
          <w:color w:val="000000"/>
          <w:sz w:val="24"/>
          <w:szCs w:val="24"/>
          <w:lang w:eastAsia="nl-NL"/>
        </w:rPr>
        <w:t>van het</w:t>
      </w:r>
      <w:r w:rsidR="00290375" w:rsidRPr="00267DC4">
        <w:rPr>
          <w:rFonts w:eastAsia="MS Mincho" w:cs="DIN-Regular"/>
          <w:color w:val="000000"/>
          <w:sz w:val="24"/>
          <w:szCs w:val="24"/>
          <w:lang w:eastAsia="nl-NL"/>
        </w:rPr>
        <w:t xml:space="preserve"> Kinderrechtenverdrag </w:t>
      </w:r>
      <w:r w:rsidR="00267DC4" w:rsidRPr="00267DC4">
        <w:rPr>
          <w:rFonts w:eastAsia="MS Mincho" w:cs="DIN-Regular"/>
          <w:color w:val="000000"/>
          <w:sz w:val="24"/>
          <w:szCs w:val="24"/>
          <w:lang w:eastAsia="nl-NL"/>
        </w:rPr>
        <w:t>die tot een betere implementatie van kinderrechten moeten leiden.</w:t>
      </w:r>
      <w:r w:rsidR="009E147C">
        <w:rPr>
          <w:rFonts w:eastAsia="MS Mincho" w:cs="DIN-Regular"/>
          <w:color w:val="000000"/>
          <w:sz w:val="24"/>
          <w:szCs w:val="24"/>
          <w:lang w:eastAsia="nl-NL"/>
        </w:rPr>
        <w:t xml:space="preserve"> </w:t>
      </w:r>
      <w:r w:rsidR="009E147C" w:rsidRPr="00385DF6">
        <w:rPr>
          <w:rFonts w:cstheme="minorHAnsi"/>
          <w:sz w:val="24"/>
          <w:szCs w:val="24"/>
        </w:rPr>
        <w:t>Zelfs nu het Comité klachtenprocedures van kinderen en jo</w:t>
      </w:r>
      <w:r w:rsidR="009508B8">
        <w:rPr>
          <w:rFonts w:cstheme="minorHAnsi"/>
          <w:sz w:val="24"/>
          <w:szCs w:val="24"/>
        </w:rPr>
        <w:t xml:space="preserve">ngeren kan behandelen onder het </w:t>
      </w:r>
      <w:r w:rsidR="009E147C" w:rsidRPr="00385DF6">
        <w:rPr>
          <w:rFonts w:cstheme="minorHAnsi"/>
          <w:sz w:val="24"/>
          <w:szCs w:val="24"/>
        </w:rPr>
        <w:t>OPIC, kan het geen juridisch bindende uitspraken doen.</w:t>
      </w:r>
    </w:p>
    <w:p w:rsidR="006165C8" w:rsidRDefault="006165C8" w:rsidP="00BF5E45">
      <w:pPr>
        <w:spacing w:line="276" w:lineRule="auto"/>
        <w:rPr>
          <w:rFonts w:cstheme="minorHAnsi"/>
          <w:sz w:val="24"/>
          <w:szCs w:val="24"/>
          <w:lang w:eastAsia="nl-BE"/>
        </w:rPr>
      </w:pPr>
    </w:p>
    <w:p w:rsidR="006165C8" w:rsidRPr="006165C8" w:rsidRDefault="006165C8" w:rsidP="00BF5E45">
      <w:pPr>
        <w:spacing w:line="276" w:lineRule="auto"/>
        <w:rPr>
          <w:rFonts w:cstheme="minorHAnsi"/>
          <w:b/>
          <w:sz w:val="24"/>
          <w:szCs w:val="24"/>
          <w:lang w:eastAsia="nl-BE"/>
        </w:rPr>
      </w:pPr>
      <w:r>
        <w:rPr>
          <w:rFonts w:cstheme="minorHAnsi"/>
          <w:b/>
          <w:sz w:val="24"/>
          <w:szCs w:val="24"/>
          <w:lang w:eastAsia="nl-BE"/>
        </w:rPr>
        <w:t>Een evenwicht tussen bescherming, voorziening en participatie</w:t>
      </w:r>
    </w:p>
    <w:p w:rsidR="00697257" w:rsidRDefault="00697257" w:rsidP="00BF5E45">
      <w:pPr>
        <w:spacing w:line="276" w:lineRule="auto"/>
        <w:rPr>
          <w:rFonts w:cstheme="minorHAnsi"/>
          <w:sz w:val="24"/>
          <w:szCs w:val="24"/>
        </w:rPr>
      </w:pPr>
      <w:r w:rsidRPr="00385DF6">
        <w:rPr>
          <w:rFonts w:cstheme="minorHAnsi"/>
          <w:sz w:val="24"/>
          <w:szCs w:val="24"/>
        </w:rPr>
        <w:t xml:space="preserve">Het Kinderrechtenverdrag en de Protocollen waarborgen zowel burgerlijke en politieke als economische, sociale en culturele rechten van kinderen en jongeren tot de leeftijd van 18 jaar. </w:t>
      </w:r>
      <w:r>
        <w:rPr>
          <w:rFonts w:cstheme="minorHAnsi"/>
          <w:sz w:val="24"/>
          <w:szCs w:val="24"/>
          <w:lang w:eastAsia="nl-BE"/>
        </w:rPr>
        <w:t>Het Comité voor de rechten van het Kind identificeerde de algemene beginselen van non-discriminatie (art. 2), belang van het kind (art. 3), leven en ontwikkeling (art. 6) en stem van het kind (art. 12) als basisprincipes doorheen de interpretatie en uitvoering van alle andere rechten in het Verdrag. Inhoudelijk worden</w:t>
      </w:r>
      <w:r w:rsidRPr="00385DF6">
        <w:rPr>
          <w:rFonts w:cstheme="minorHAnsi"/>
          <w:sz w:val="24"/>
          <w:szCs w:val="24"/>
          <w:lang w:eastAsia="nl-BE"/>
        </w:rPr>
        <w:t xml:space="preserve"> de rechten in het VRK </w:t>
      </w:r>
      <w:r>
        <w:rPr>
          <w:rFonts w:cstheme="minorHAnsi"/>
          <w:sz w:val="24"/>
          <w:szCs w:val="24"/>
          <w:lang w:eastAsia="nl-BE"/>
        </w:rPr>
        <w:t xml:space="preserve">doorgaans </w:t>
      </w:r>
      <w:r w:rsidRPr="00385DF6">
        <w:rPr>
          <w:rFonts w:cstheme="minorHAnsi"/>
          <w:sz w:val="24"/>
          <w:szCs w:val="24"/>
          <w:lang w:eastAsia="nl-BE"/>
        </w:rPr>
        <w:t xml:space="preserve">gegroepeerd rondom de zogenaamde drie P’s, afgeleid van de Engelse termen </w:t>
      </w:r>
      <w:r w:rsidRPr="00385DF6">
        <w:rPr>
          <w:rFonts w:cstheme="minorHAnsi"/>
          <w:i/>
          <w:iCs/>
          <w:sz w:val="24"/>
          <w:szCs w:val="24"/>
          <w:lang w:eastAsia="nl-BE"/>
        </w:rPr>
        <w:t xml:space="preserve">protection </w:t>
      </w:r>
      <w:r w:rsidRPr="00385DF6">
        <w:rPr>
          <w:rFonts w:cstheme="minorHAnsi"/>
          <w:iCs/>
          <w:sz w:val="24"/>
          <w:szCs w:val="24"/>
          <w:lang w:eastAsia="nl-BE"/>
        </w:rPr>
        <w:t>(bescherming)</w:t>
      </w:r>
      <w:r w:rsidRPr="00385DF6">
        <w:rPr>
          <w:rFonts w:cstheme="minorHAnsi"/>
          <w:sz w:val="24"/>
          <w:szCs w:val="24"/>
          <w:lang w:eastAsia="nl-BE"/>
        </w:rPr>
        <w:t xml:space="preserve">, </w:t>
      </w:r>
      <w:r w:rsidRPr="00385DF6">
        <w:rPr>
          <w:rFonts w:cstheme="minorHAnsi"/>
          <w:i/>
          <w:iCs/>
          <w:sz w:val="24"/>
          <w:szCs w:val="24"/>
          <w:lang w:eastAsia="nl-BE"/>
        </w:rPr>
        <w:t xml:space="preserve">provision </w:t>
      </w:r>
      <w:r w:rsidRPr="00385DF6">
        <w:rPr>
          <w:rFonts w:cstheme="minorHAnsi"/>
          <w:iCs/>
          <w:sz w:val="24"/>
          <w:szCs w:val="24"/>
          <w:lang w:eastAsia="nl-BE"/>
        </w:rPr>
        <w:t>(provisie)</w:t>
      </w:r>
      <w:r w:rsidRPr="00385DF6">
        <w:rPr>
          <w:rFonts w:cstheme="minorHAnsi"/>
          <w:i/>
          <w:iCs/>
          <w:sz w:val="24"/>
          <w:szCs w:val="24"/>
          <w:lang w:eastAsia="nl-BE"/>
        </w:rPr>
        <w:t xml:space="preserve"> </w:t>
      </w:r>
      <w:r w:rsidRPr="00385DF6">
        <w:rPr>
          <w:rFonts w:cstheme="minorHAnsi"/>
          <w:sz w:val="24"/>
          <w:szCs w:val="24"/>
          <w:lang w:eastAsia="nl-BE"/>
        </w:rPr>
        <w:t xml:space="preserve">en </w:t>
      </w:r>
      <w:r w:rsidRPr="00385DF6">
        <w:rPr>
          <w:rFonts w:cstheme="minorHAnsi"/>
          <w:i/>
          <w:iCs/>
          <w:sz w:val="24"/>
          <w:szCs w:val="24"/>
          <w:lang w:eastAsia="nl-BE"/>
        </w:rPr>
        <w:t xml:space="preserve">participation </w:t>
      </w:r>
      <w:r w:rsidRPr="00385DF6">
        <w:rPr>
          <w:rFonts w:cstheme="minorHAnsi"/>
          <w:iCs/>
          <w:sz w:val="24"/>
          <w:szCs w:val="24"/>
          <w:lang w:eastAsia="nl-BE"/>
        </w:rPr>
        <w:t>(participatie)</w:t>
      </w:r>
      <w:r w:rsidRPr="00385DF6">
        <w:rPr>
          <w:rFonts w:cstheme="minorHAnsi"/>
          <w:sz w:val="24"/>
          <w:szCs w:val="24"/>
          <w:lang w:eastAsia="nl-BE"/>
        </w:rPr>
        <w:t xml:space="preserve">. </w:t>
      </w:r>
    </w:p>
    <w:p w:rsidR="009E147C" w:rsidRPr="00385DF6" w:rsidRDefault="009E147C" w:rsidP="00BF5E45">
      <w:pPr>
        <w:spacing w:line="276" w:lineRule="auto"/>
        <w:rPr>
          <w:rFonts w:cstheme="minorHAnsi"/>
          <w:sz w:val="24"/>
          <w:szCs w:val="24"/>
          <w:lang w:val="nl-NL"/>
        </w:rPr>
      </w:pPr>
      <w:r w:rsidRPr="00385DF6">
        <w:rPr>
          <w:rFonts w:cstheme="minorHAnsi"/>
          <w:sz w:val="24"/>
          <w:szCs w:val="24"/>
        </w:rPr>
        <w:t xml:space="preserve">De opdeling in drie P’s </w:t>
      </w:r>
      <w:r w:rsidRPr="00385DF6">
        <w:rPr>
          <w:rFonts w:cstheme="minorHAnsi"/>
          <w:sz w:val="24"/>
          <w:szCs w:val="24"/>
          <w:lang w:val="nl-NL"/>
        </w:rPr>
        <w:t xml:space="preserve">is een overzichtelijke manier om de verschillende soorten rechten uit het VRK tastbaar en concreet te maken. Er is geen hiërarchie tussen de verschillende categorieën. Alle rechten in het Verdrag zijn even belangrijk en onderling afhankelijk. De sterkte van kinderrechten is juist dat er oog is voor een samenspel van deze drie categorieën; de ene P is onlosmakelijk verbonden met </w:t>
      </w:r>
      <w:r w:rsidR="009508B8">
        <w:rPr>
          <w:rFonts w:cstheme="minorHAnsi"/>
          <w:sz w:val="24"/>
          <w:szCs w:val="24"/>
          <w:lang w:val="nl-NL"/>
        </w:rPr>
        <w:t>de</w:t>
      </w:r>
      <w:r w:rsidRPr="00385DF6">
        <w:rPr>
          <w:rFonts w:cstheme="minorHAnsi"/>
          <w:sz w:val="24"/>
          <w:szCs w:val="24"/>
          <w:lang w:val="nl-NL"/>
        </w:rPr>
        <w:t xml:space="preserve"> andere. Alle rechten zijn gelijkwaardig aan elkaar en houden elkaar in evenwicht.</w:t>
      </w:r>
    </w:p>
    <w:p w:rsidR="00165D8A" w:rsidRPr="00385DF6" w:rsidRDefault="003417E0" w:rsidP="00BF5E45">
      <w:pPr>
        <w:spacing w:line="276" w:lineRule="auto"/>
        <w:rPr>
          <w:rFonts w:cstheme="minorHAnsi"/>
          <w:sz w:val="24"/>
          <w:szCs w:val="24"/>
          <w:lang w:eastAsia="nl-BE"/>
        </w:rPr>
      </w:pPr>
      <w:r w:rsidRPr="00385DF6">
        <w:rPr>
          <w:rFonts w:cstheme="minorHAnsi"/>
          <w:sz w:val="24"/>
          <w:szCs w:val="24"/>
          <w:lang w:eastAsia="nl-BE"/>
        </w:rPr>
        <w:t xml:space="preserve">Beschermingsrechten komen voort uit de specifieke behoeften van kinderen die hen anders maken dan volwassenen. </w:t>
      </w:r>
      <w:r w:rsidR="009508B8">
        <w:rPr>
          <w:rFonts w:cstheme="minorHAnsi"/>
          <w:sz w:val="24"/>
          <w:szCs w:val="24"/>
          <w:lang w:eastAsia="nl-BE"/>
        </w:rPr>
        <w:t>Soms</w:t>
      </w:r>
      <w:r w:rsidRPr="00385DF6">
        <w:rPr>
          <w:rFonts w:cstheme="minorHAnsi"/>
          <w:sz w:val="24"/>
          <w:szCs w:val="24"/>
          <w:lang w:eastAsia="nl-BE"/>
        </w:rPr>
        <w:t xml:space="preserve"> </w:t>
      </w:r>
      <w:r w:rsidR="00697257">
        <w:rPr>
          <w:rFonts w:cstheme="minorHAnsi"/>
          <w:sz w:val="24"/>
          <w:szCs w:val="24"/>
          <w:lang w:eastAsia="nl-BE"/>
        </w:rPr>
        <w:t xml:space="preserve">kunnen </w:t>
      </w:r>
      <w:r w:rsidRPr="00385DF6">
        <w:rPr>
          <w:rFonts w:cstheme="minorHAnsi"/>
          <w:sz w:val="24"/>
          <w:szCs w:val="24"/>
          <w:lang w:eastAsia="nl-BE"/>
        </w:rPr>
        <w:t>kinderen en jongeren kwetsbaarder</w:t>
      </w:r>
      <w:r w:rsidR="00697257">
        <w:rPr>
          <w:rFonts w:cstheme="minorHAnsi"/>
          <w:sz w:val="24"/>
          <w:szCs w:val="24"/>
          <w:lang w:eastAsia="nl-BE"/>
        </w:rPr>
        <w:t xml:space="preserve"> zijn</w:t>
      </w:r>
      <w:r w:rsidRPr="00385DF6">
        <w:rPr>
          <w:rFonts w:cstheme="minorHAnsi"/>
          <w:sz w:val="24"/>
          <w:szCs w:val="24"/>
          <w:lang w:eastAsia="nl-BE"/>
        </w:rPr>
        <w:t xml:space="preserve">, bijvoorbeeld omdat beslissingen over hun leven vaak </w:t>
      </w:r>
      <w:r w:rsidR="009508B8">
        <w:rPr>
          <w:rFonts w:cstheme="minorHAnsi"/>
          <w:sz w:val="24"/>
          <w:szCs w:val="24"/>
          <w:lang w:eastAsia="nl-BE"/>
        </w:rPr>
        <w:t>genomen worden door personen die zich in een machtspositie ten opzichte van het kind bevinden</w:t>
      </w:r>
      <w:r w:rsidRPr="00385DF6">
        <w:rPr>
          <w:rFonts w:cstheme="minorHAnsi"/>
          <w:sz w:val="24"/>
          <w:szCs w:val="24"/>
          <w:lang w:eastAsia="nl-BE"/>
        </w:rPr>
        <w:t xml:space="preserve">. </w:t>
      </w:r>
      <w:r w:rsidR="00697257">
        <w:rPr>
          <w:rFonts w:cstheme="minorHAnsi"/>
          <w:sz w:val="24"/>
          <w:szCs w:val="24"/>
          <w:lang w:eastAsia="nl-BE"/>
        </w:rPr>
        <w:t>Zo</w:t>
      </w:r>
      <w:r w:rsidRPr="00385DF6">
        <w:rPr>
          <w:rFonts w:cstheme="minorHAnsi"/>
          <w:sz w:val="24"/>
          <w:szCs w:val="24"/>
          <w:lang w:eastAsia="nl-BE"/>
        </w:rPr>
        <w:t xml:space="preserve"> zijn er specifieke bepalingen die kinderen beschermen tegen</w:t>
      </w:r>
      <w:r w:rsidR="00697257">
        <w:rPr>
          <w:rFonts w:cstheme="minorHAnsi"/>
          <w:sz w:val="24"/>
          <w:szCs w:val="24"/>
          <w:lang w:eastAsia="nl-BE"/>
        </w:rPr>
        <w:t xml:space="preserve"> misbruik en</w:t>
      </w:r>
      <w:r w:rsidRPr="00385DF6">
        <w:rPr>
          <w:rFonts w:cstheme="minorHAnsi"/>
          <w:sz w:val="24"/>
          <w:szCs w:val="24"/>
          <w:lang w:eastAsia="nl-BE"/>
        </w:rPr>
        <w:t xml:space="preserve"> geweld (art. 19), kinderarbeid (art. 32), drugsmisbruik (art. 33), seksuele uitbuiting (art. 34), verkoop, handel en ontvoering (art. 35), andere vormen van exploitatie (art. 36), foltering en onmenselijke of onte</w:t>
      </w:r>
      <w:r w:rsidRPr="009E147C">
        <w:rPr>
          <w:rFonts w:cstheme="minorHAnsi"/>
          <w:sz w:val="24"/>
          <w:szCs w:val="24"/>
          <w:lang w:eastAsia="nl-BE"/>
        </w:rPr>
        <w:t>rende behandeling (art. 37), enz.</w:t>
      </w:r>
      <w:r w:rsidR="006165C8" w:rsidRPr="009E147C">
        <w:rPr>
          <w:rFonts w:cstheme="minorHAnsi"/>
          <w:sz w:val="24"/>
          <w:szCs w:val="24"/>
          <w:lang w:eastAsia="nl-BE"/>
        </w:rPr>
        <w:t xml:space="preserve"> Ook kinderen in kwetsbare situaties</w:t>
      </w:r>
      <w:r w:rsidR="009508B8">
        <w:rPr>
          <w:rFonts w:cstheme="minorHAnsi"/>
          <w:sz w:val="24"/>
          <w:szCs w:val="24"/>
          <w:lang w:eastAsia="nl-BE"/>
        </w:rPr>
        <w:t xml:space="preserve"> genieten extra bescherming onder het Verdrag, bijvoorbeeld bij</w:t>
      </w:r>
      <w:r w:rsidR="006165C8" w:rsidRPr="009E147C">
        <w:rPr>
          <w:rFonts w:cstheme="minorHAnsi"/>
          <w:sz w:val="24"/>
          <w:szCs w:val="24"/>
          <w:lang w:eastAsia="nl-BE"/>
        </w:rPr>
        <w:t xml:space="preserve"> </w:t>
      </w:r>
      <w:r w:rsidR="00697257" w:rsidRPr="009E147C">
        <w:rPr>
          <w:rFonts w:cstheme="minorHAnsi"/>
          <w:sz w:val="24"/>
          <w:szCs w:val="24"/>
          <w:lang w:eastAsia="nl-BE"/>
        </w:rPr>
        <w:t>alternatieve zorg</w:t>
      </w:r>
      <w:r w:rsidR="001B5B4B">
        <w:rPr>
          <w:rFonts w:cstheme="minorHAnsi"/>
          <w:sz w:val="24"/>
          <w:szCs w:val="24"/>
          <w:lang w:eastAsia="nl-BE"/>
        </w:rPr>
        <w:t xml:space="preserve"> (art. 20)</w:t>
      </w:r>
      <w:r w:rsidR="00697257" w:rsidRPr="009E147C">
        <w:rPr>
          <w:rFonts w:cstheme="minorHAnsi"/>
          <w:sz w:val="24"/>
          <w:szCs w:val="24"/>
          <w:lang w:eastAsia="nl-BE"/>
        </w:rPr>
        <w:t>, adoptie</w:t>
      </w:r>
      <w:r w:rsidR="001B5B4B">
        <w:rPr>
          <w:rFonts w:cstheme="minorHAnsi"/>
          <w:sz w:val="24"/>
          <w:szCs w:val="24"/>
          <w:lang w:eastAsia="nl-BE"/>
        </w:rPr>
        <w:t xml:space="preserve"> (art. 21)</w:t>
      </w:r>
      <w:r w:rsidR="00697257" w:rsidRPr="009E147C">
        <w:rPr>
          <w:rFonts w:cstheme="minorHAnsi"/>
          <w:sz w:val="24"/>
          <w:szCs w:val="24"/>
          <w:lang w:eastAsia="nl-BE"/>
        </w:rPr>
        <w:t xml:space="preserve">, </w:t>
      </w:r>
      <w:r w:rsidR="006165C8" w:rsidRPr="009E147C">
        <w:rPr>
          <w:rFonts w:cstheme="minorHAnsi"/>
          <w:sz w:val="24"/>
          <w:szCs w:val="24"/>
          <w:lang w:eastAsia="nl-BE"/>
        </w:rPr>
        <w:t>migratie</w:t>
      </w:r>
      <w:r w:rsidR="001B5B4B">
        <w:rPr>
          <w:rFonts w:cstheme="minorHAnsi"/>
          <w:sz w:val="24"/>
          <w:szCs w:val="24"/>
          <w:lang w:eastAsia="nl-BE"/>
        </w:rPr>
        <w:t xml:space="preserve"> (art. 22)</w:t>
      </w:r>
      <w:r w:rsidR="006165C8" w:rsidRPr="009E147C">
        <w:rPr>
          <w:rFonts w:cstheme="minorHAnsi"/>
          <w:sz w:val="24"/>
          <w:szCs w:val="24"/>
          <w:lang w:eastAsia="nl-BE"/>
        </w:rPr>
        <w:t xml:space="preserve">, </w:t>
      </w:r>
      <w:r w:rsidR="009E147C" w:rsidRPr="009E147C">
        <w:rPr>
          <w:rFonts w:cstheme="minorHAnsi"/>
          <w:sz w:val="24"/>
          <w:szCs w:val="24"/>
          <w:lang w:eastAsia="nl-BE"/>
        </w:rPr>
        <w:t>als lid van een minderheidsgroep</w:t>
      </w:r>
      <w:r w:rsidR="001B5B4B">
        <w:rPr>
          <w:rFonts w:cstheme="minorHAnsi"/>
          <w:sz w:val="24"/>
          <w:szCs w:val="24"/>
          <w:lang w:eastAsia="nl-BE"/>
        </w:rPr>
        <w:t xml:space="preserve"> (art. 30)</w:t>
      </w:r>
      <w:r w:rsidR="009E147C" w:rsidRPr="009E147C">
        <w:rPr>
          <w:rFonts w:cstheme="minorHAnsi"/>
          <w:sz w:val="24"/>
          <w:szCs w:val="24"/>
          <w:lang w:eastAsia="nl-BE"/>
        </w:rPr>
        <w:t xml:space="preserve">, wanneer </w:t>
      </w:r>
      <w:r w:rsidR="009508B8">
        <w:rPr>
          <w:rFonts w:cstheme="minorHAnsi"/>
          <w:sz w:val="24"/>
          <w:szCs w:val="24"/>
          <w:lang w:eastAsia="nl-BE"/>
        </w:rPr>
        <w:t>het kind een beperking heef</w:t>
      </w:r>
      <w:r w:rsidR="009E147C" w:rsidRPr="009E147C">
        <w:rPr>
          <w:rFonts w:cstheme="minorHAnsi"/>
          <w:sz w:val="24"/>
          <w:szCs w:val="24"/>
          <w:lang w:eastAsia="nl-BE"/>
        </w:rPr>
        <w:t>t</w:t>
      </w:r>
      <w:r w:rsidR="001B5B4B">
        <w:rPr>
          <w:rFonts w:cstheme="minorHAnsi"/>
          <w:sz w:val="24"/>
          <w:szCs w:val="24"/>
          <w:lang w:eastAsia="nl-BE"/>
        </w:rPr>
        <w:t xml:space="preserve"> (art. 23)</w:t>
      </w:r>
      <w:r w:rsidR="009E147C" w:rsidRPr="009E147C">
        <w:rPr>
          <w:rFonts w:cstheme="minorHAnsi"/>
          <w:sz w:val="24"/>
          <w:szCs w:val="24"/>
          <w:lang w:eastAsia="nl-BE"/>
        </w:rPr>
        <w:t xml:space="preserve"> of in </w:t>
      </w:r>
      <w:r w:rsidR="006165C8" w:rsidRPr="009E147C">
        <w:rPr>
          <w:rFonts w:cstheme="minorHAnsi"/>
          <w:sz w:val="24"/>
          <w:szCs w:val="24"/>
          <w:lang w:eastAsia="nl-BE"/>
        </w:rPr>
        <w:t>a</w:t>
      </w:r>
      <w:r w:rsidR="00697257" w:rsidRPr="009E147C">
        <w:rPr>
          <w:rFonts w:cstheme="minorHAnsi"/>
          <w:sz w:val="24"/>
          <w:szCs w:val="24"/>
          <w:lang w:eastAsia="nl-BE"/>
        </w:rPr>
        <w:t xml:space="preserve">anraking </w:t>
      </w:r>
      <w:r w:rsidR="009E147C" w:rsidRPr="009E147C">
        <w:rPr>
          <w:rFonts w:cstheme="minorHAnsi"/>
          <w:sz w:val="24"/>
          <w:szCs w:val="24"/>
          <w:lang w:eastAsia="nl-BE"/>
        </w:rPr>
        <w:t xml:space="preserve">komt </w:t>
      </w:r>
      <w:r w:rsidR="00697257" w:rsidRPr="009E147C">
        <w:rPr>
          <w:rFonts w:cstheme="minorHAnsi"/>
          <w:sz w:val="24"/>
          <w:szCs w:val="24"/>
          <w:lang w:eastAsia="nl-BE"/>
        </w:rPr>
        <w:t xml:space="preserve">met </w:t>
      </w:r>
      <w:r w:rsidR="009508B8">
        <w:rPr>
          <w:rFonts w:cstheme="minorHAnsi"/>
          <w:sz w:val="24"/>
          <w:szCs w:val="24"/>
          <w:lang w:eastAsia="nl-BE"/>
        </w:rPr>
        <w:t xml:space="preserve">het </w:t>
      </w:r>
      <w:r w:rsidR="00697257" w:rsidRPr="009E147C">
        <w:rPr>
          <w:rFonts w:cstheme="minorHAnsi"/>
          <w:sz w:val="24"/>
          <w:szCs w:val="24"/>
          <w:lang w:eastAsia="nl-BE"/>
        </w:rPr>
        <w:t>gerecht</w:t>
      </w:r>
      <w:r w:rsidR="001B5B4B">
        <w:rPr>
          <w:rFonts w:cstheme="minorHAnsi"/>
          <w:sz w:val="24"/>
          <w:szCs w:val="24"/>
          <w:lang w:eastAsia="nl-BE"/>
        </w:rPr>
        <w:t xml:space="preserve"> (art. 40</w:t>
      </w:r>
      <w:r w:rsidR="006165C8" w:rsidRPr="009E147C">
        <w:rPr>
          <w:rFonts w:cstheme="minorHAnsi"/>
          <w:sz w:val="24"/>
          <w:szCs w:val="24"/>
          <w:lang w:eastAsia="nl-BE"/>
        </w:rPr>
        <w:t>).</w:t>
      </w:r>
      <w:r w:rsidR="00165D8A" w:rsidRPr="00385DF6">
        <w:rPr>
          <w:rFonts w:cstheme="minorHAnsi"/>
          <w:sz w:val="24"/>
          <w:szCs w:val="24"/>
          <w:lang w:eastAsia="nl-BE"/>
        </w:rPr>
        <w:t xml:space="preserve"> </w:t>
      </w:r>
    </w:p>
    <w:p w:rsidR="00165D8A" w:rsidRPr="00385DF6" w:rsidRDefault="00165D8A" w:rsidP="00BF5E45">
      <w:pPr>
        <w:spacing w:line="276" w:lineRule="auto"/>
        <w:rPr>
          <w:rFonts w:cstheme="minorHAnsi"/>
          <w:sz w:val="24"/>
          <w:szCs w:val="24"/>
          <w:lang w:eastAsia="nl-BE"/>
        </w:rPr>
      </w:pPr>
      <w:r w:rsidRPr="00385DF6">
        <w:rPr>
          <w:rFonts w:cstheme="minorHAnsi"/>
          <w:sz w:val="24"/>
          <w:szCs w:val="24"/>
          <w:lang w:eastAsia="nl-BE"/>
        </w:rPr>
        <w:t>Provisierechten gaan over diensten en voorzieningen die voor kinderen en hun omgeving aanwezig moeten zijn, zoals gezondheidszorg (art. 24), sociale zekerheid (art. 26), mogelijkheden om een passende levensstandaard te behalen (art. 27), geschikte onderwijsvoorzieningen (art. 28 en art. 29) en voorzieningen voor rust, s</w:t>
      </w:r>
      <w:r w:rsidR="001B5B4B">
        <w:rPr>
          <w:rFonts w:cstheme="minorHAnsi"/>
          <w:sz w:val="24"/>
          <w:szCs w:val="24"/>
          <w:lang w:eastAsia="nl-BE"/>
        </w:rPr>
        <w:t>pel en vrije tijd (art. 31)</w:t>
      </w:r>
      <w:r w:rsidRPr="00385DF6">
        <w:rPr>
          <w:rFonts w:cstheme="minorHAnsi"/>
          <w:sz w:val="24"/>
          <w:szCs w:val="24"/>
          <w:lang w:eastAsia="nl-BE"/>
        </w:rPr>
        <w:t xml:space="preserve">. </w:t>
      </w:r>
    </w:p>
    <w:p w:rsidR="00165D8A" w:rsidRPr="00385DF6" w:rsidRDefault="00165D8A" w:rsidP="00BF5E45">
      <w:pPr>
        <w:spacing w:line="276" w:lineRule="auto"/>
        <w:rPr>
          <w:rFonts w:cstheme="minorHAnsi"/>
          <w:sz w:val="24"/>
          <w:szCs w:val="24"/>
          <w:lang w:eastAsia="nl-BE"/>
        </w:rPr>
      </w:pPr>
      <w:r w:rsidRPr="00385DF6">
        <w:rPr>
          <w:rFonts w:cstheme="minorHAnsi"/>
          <w:sz w:val="24"/>
          <w:szCs w:val="24"/>
          <w:lang w:eastAsia="nl-BE"/>
        </w:rPr>
        <w:t xml:space="preserve">Participatierechten geven kinderen een </w:t>
      </w:r>
      <w:r w:rsidR="001F2668" w:rsidRPr="00385DF6">
        <w:rPr>
          <w:rFonts w:cstheme="minorHAnsi"/>
          <w:sz w:val="24"/>
          <w:szCs w:val="24"/>
          <w:lang w:eastAsia="nl-BE"/>
        </w:rPr>
        <w:t xml:space="preserve">eigen </w:t>
      </w:r>
      <w:r w:rsidRPr="00385DF6">
        <w:rPr>
          <w:rFonts w:cstheme="minorHAnsi"/>
          <w:sz w:val="24"/>
          <w:szCs w:val="24"/>
          <w:lang w:eastAsia="nl-BE"/>
        </w:rPr>
        <w:t>stem. Het gaat hier bijvoorbeeld om vrijheid van meningsuiting (art. 13), vrijheid van gedachte, geweten en godsdienst (art. 14), vr</w:t>
      </w:r>
      <w:r w:rsidR="001B5B4B">
        <w:rPr>
          <w:rFonts w:cstheme="minorHAnsi"/>
          <w:sz w:val="24"/>
          <w:szCs w:val="24"/>
          <w:lang w:eastAsia="nl-BE"/>
        </w:rPr>
        <w:t>ijheid van vereniging (art. 15) en</w:t>
      </w:r>
      <w:r w:rsidRPr="00385DF6">
        <w:rPr>
          <w:rFonts w:cstheme="minorHAnsi"/>
          <w:sz w:val="24"/>
          <w:szCs w:val="24"/>
          <w:lang w:eastAsia="nl-BE"/>
        </w:rPr>
        <w:t xml:space="preserve"> </w:t>
      </w:r>
      <w:r w:rsidR="001B5B4B">
        <w:rPr>
          <w:rFonts w:cstheme="minorHAnsi"/>
          <w:sz w:val="24"/>
          <w:szCs w:val="24"/>
          <w:lang w:eastAsia="nl-BE"/>
        </w:rPr>
        <w:t>toegang tot passende informatie (art. 17)</w:t>
      </w:r>
      <w:r w:rsidRPr="00385DF6">
        <w:rPr>
          <w:rFonts w:cstheme="minorHAnsi"/>
          <w:sz w:val="24"/>
          <w:szCs w:val="24"/>
          <w:lang w:eastAsia="nl-BE"/>
        </w:rPr>
        <w:t xml:space="preserve">. De hoeksteen van de participatie-cluster is artikel 12, dat kinderen </w:t>
      </w:r>
      <w:r w:rsidR="001F2668" w:rsidRPr="00385DF6">
        <w:rPr>
          <w:rFonts w:cstheme="minorHAnsi"/>
          <w:sz w:val="24"/>
          <w:szCs w:val="24"/>
          <w:lang w:eastAsia="nl-BE"/>
        </w:rPr>
        <w:t xml:space="preserve">en jongeren </w:t>
      </w:r>
      <w:r w:rsidRPr="00385DF6">
        <w:rPr>
          <w:rFonts w:cstheme="minorHAnsi"/>
          <w:sz w:val="24"/>
          <w:szCs w:val="24"/>
          <w:lang w:eastAsia="nl-BE"/>
        </w:rPr>
        <w:t xml:space="preserve">het recht geeft hun mening kenbaar te maken in zaken en beslissingen die </w:t>
      </w:r>
      <w:r w:rsidR="001F2668" w:rsidRPr="00385DF6">
        <w:rPr>
          <w:rFonts w:cstheme="minorHAnsi"/>
          <w:sz w:val="24"/>
          <w:szCs w:val="24"/>
          <w:lang w:eastAsia="nl-BE"/>
        </w:rPr>
        <w:t>hen</w:t>
      </w:r>
      <w:r w:rsidRPr="00385DF6">
        <w:rPr>
          <w:rFonts w:cstheme="minorHAnsi"/>
          <w:sz w:val="24"/>
          <w:szCs w:val="24"/>
          <w:lang w:eastAsia="nl-BE"/>
        </w:rPr>
        <w:t xml:space="preserve"> aanbelangen. </w:t>
      </w:r>
      <w:r w:rsidR="001F2668" w:rsidRPr="00385DF6">
        <w:rPr>
          <w:rFonts w:cstheme="minorHAnsi"/>
          <w:sz w:val="24"/>
          <w:szCs w:val="24"/>
          <w:lang w:eastAsia="nl-BE"/>
        </w:rPr>
        <w:t xml:space="preserve">Dit artikel kent geen leeftijdsgrenzen. Het stelt ook geen limieten aan de zaken waarover of de manier waarop een kind zijn of haar mening wenst te uiten. </w:t>
      </w:r>
      <w:r w:rsidRPr="00385DF6">
        <w:rPr>
          <w:rFonts w:cstheme="minorHAnsi"/>
          <w:sz w:val="24"/>
          <w:szCs w:val="24"/>
          <w:lang w:eastAsia="nl-BE"/>
        </w:rPr>
        <w:t xml:space="preserve">Door de bewoording </w:t>
      </w:r>
      <w:r w:rsidR="001F2668" w:rsidRPr="00385DF6">
        <w:rPr>
          <w:rFonts w:cstheme="minorHAnsi"/>
          <w:sz w:val="24"/>
          <w:szCs w:val="24"/>
          <w:lang w:eastAsia="nl-BE"/>
        </w:rPr>
        <w:t xml:space="preserve">dat aan deze mening </w:t>
      </w:r>
      <w:r w:rsidRPr="00385DF6">
        <w:rPr>
          <w:rFonts w:cstheme="minorHAnsi"/>
          <w:sz w:val="24"/>
          <w:szCs w:val="24"/>
          <w:lang w:eastAsia="nl-BE"/>
        </w:rPr>
        <w:t>“</w:t>
      </w:r>
      <w:r w:rsidR="001F2668" w:rsidRPr="00385DF6">
        <w:rPr>
          <w:rFonts w:cstheme="minorHAnsi"/>
          <w:i/>
          <w:iCs/>
          <w:sz w:val="24"/>
          <w:szCs w:val="24"/>
          <w:lang w:eastAsia="nl-BE"/>
        </w:rPr>
        <w:t>passend belang wordt gehecht</w:t>
      </w:r>
      <w:r w:rsidRPr="00385DF6">
        <w:rPr>
          <w:rFonts w:cstheme="minorHAnsi"/>
          <w:iCs/>
          <w:sz w:val="24"/>
          <w:szCs w:val="24"/>
          <w:lang w:eastAsia="nl-BE"/>
        </w:rPr>
        <w:t>”</w:t>
      </w:r>
      <w:r w:rsidR="001F2668" w:rsidRPr="00385DF6">
        <w:rPr>
          <w:rFonts w:cstheme="minorHAnsi"/>
          <w:iCs/>
          <w:sz w:val="24"/>
          <w:szCs w:val="24"/>
          <w:lang w:eastAsia="nl-BE"/>
        </w:rPr>
        <w:t>,</w:t>
      </w:r>
      <w:r w:rsidRPr="00385DF6">
        <w:rPr>
          <w:rFonts w:cstheme="minorHAnsi"/>
          <w:i/>
          <w:iCs/>
          <w:sz w:val="24"/>
          <w:szCs w:val="24"/>
          <w:lang w:eastAsia="nl-BE"/>
        </w:rPr>
        <w:t xml:space="preserve"> </w:t>
      </w:r>
      <w:r w:rsidRPr="00385DF6">
        <w:rPr>
          <w:rFonts w:cstheme="minorHAnsi"/>
          <w:iCs/>
          <w:sz w:val="24"/>
          <w:szCs w:val="24"/>
          <w:lang w:eastAsia="nl-BE"/>
        </w:rPr>
        <w:t xml:space="preserve">houdt </w:t>
      </w:r>
      <w:r w:rsidRPr="00385DF6">
        <w:rPr>
          <w:rFonts w:cstheme="minorHAnsi"/>
          <w:sz w:val="24"/>
          <w:szCs w:val="24"/>
          <w:lang w:eastAsia="nl-BE"/>
        </w:rPr>
        <w:t xml:space="preserve">dit recht van het kind ook </w:t>
      </w:r>
      <w:r w:rsidRPr="00385DF6">
        <w:rPr>
          <w:rFonts w:cstheme="minorHAnsi"/>
          <w:iCs/>
          <w:sz w:val="24"/>
          <w:szCs w:val="24"/>
          <w:lang w:eastAsia="nl-BE"/>
        </w:rPr>
        <w:t>de plicht</w:t>
      </w:r>
      <w:r w:rsidRPr="00385DF6">
        <w:rPr>
          <w:rFonts w:cstheme="minorHAnsi"/>
          <w:i/>
          <w:iCs/>
          <w:sz w:val="24"/>
          <w:szCs w:val="24"/>
          <w:lang w:eastAsia="nl-BE"/>
        </w:rPr>
        <w:t xml:space="preserve"> </w:t>
      </w:r>
      <w:r w:rsidR="001F2668" w:rsidRPr="00385DF6">
        <w:rPr>
          <w:rFonts w:cstheme="minorHAnsi"/>
          <w:iCs/>
          <w:sz w:val="24"/>
          <w:szCs w:val="24"/>
          <w:lang w:eastAsia="nl-BE"/>
        </w:rPr>
        <w:t xml:space="preserve">van de andere partij </w:t>
      </w:r>
      <w:r w:rsidRPr="00385DF6">
        <w:rPr>
          <w:rFonts w:cstheme="minorHAnsi"/>
          <w:sz w:val="24"/>
          <w:szCs w:val="24"/>
          <w:lang w:eastAsia="nl-BE"/>
        </w:rPr>
        <w:t xml:space="preserve">in </w:t>
      </w:r>
      <w:r w:rsidR="001F2668" w:rsidRPr="00385DF6">
        <w:rPr>
          <w:rFonts w:cstheme="minorHAnsi"/>
          <w:sz w:val="24"/>
          <w:szCs w:val="24"/>
          <w:lang w:eastAsia="nl-BE"/>
        </w:rPr>
        <w:t xml:space="preserve">om </w:t>
      </w:r>
      <w:r w:rsidRPr="00385DF6">
        <w:rPr>
          <w:rFonts w:cstheme="minorHAnsi"/>
          <w:sz w:val="24"/>
          <w:szCs w:val="24"/>
          <w:lang w:eastAsia="nl-BE"/>
        </w:rPr>
        <w:t>deze mening op zijn minst te horen en er</w:t>
      </w:r>
      <w:r w:rsidR="001F2668" w:rsidRPr="00385DF6">
        <w:rPr>
          <w:rFonts w:cstheme="minorHAnsi"/>
          <w:sz w:val="24"/>
          <w:szCs w:val="24"/>
          <w:lang w:eastAsia="nl-BE"/>
        </w:rPr>
        <w:t xml:space="preserve"> in gepaste mate rekening </w:t>
      </w:r>
      <w:r w:rsidRPr="00385DF6">
        <w:rPr>
          <w:rFonts w:cstheme="minorHAnsi"/>
          <w:sz w:val="24"/>
          <w:szCs w:val="24"/>
          <w:lang w:eastAsia="nl-BE"/>
        </w:rPr>
        <w:t>mee te houden.</w:t>
      </w:r>
      <w:r w:rsidR="001F2668" w:rsidRPr="00385DF6">
        <w:rPr>
          <w:rStyle w:val="Voetnootmarkering"/>
          <w:rFonts w:cstheme="minorHAnsi"/>
          <w:sz w:val="24"/>
          <w:szCs w:val="24"/>
          <w:lang w:eastAsia="nl-BE"/>
        </w:rPr>
        <w:footnoteReference w:id="5"/>
      </w:r>
    </w:p>
    <w:p w:rsidR="003417E0" w:rsidRPr="00385DF6" w:rsidRDefault="003417E0" w:rsidP="00BF5E45">
      <w:pPr>
        <w:spacing w:line="276" w:lineRule="auto"/>
        <w:rPr>
          <w:rFonts w:cstheme="minorHAnsi"/>
          <w:sz w:val="24"/>
          <w:szCs w:val="24"/>
        </w:rPr>
      </w:pPr>
      <w:r w:rsidRPr="00385DF6">
        <w:rPr>
          <w:rFonts w:cstheme="minorHAnsi"/>
          <w:sz w:val="24"/>
          <w:szCs w:val="24"/>
          <w:lang w:eastAsia="nl-BE"/>
        </w:rPr>
        <w:t>Traditioneel lag de klemtoon binnen het kinderrechtenverhaal voornamelijk op rechten die met bescherming en voorziening te maken hadden</w:t>
      </w:r>
      <w:r w:rsidR="00165D8A" w:rsidRPr="00385DF6">
        <w:rPr>
          <w:rFonts w:cstheme="minorHAnsi"/>
          <w:sz w:val="24"/>
          <w:szCs w:val="24"/>
          <w:lang w:eastAsia="nl-BE"/>
        </w:rPr>
        <w:t>. Deze rechten komen overeen met een kindbeeld dat</w:t>
      </w:r>
      <w:r w:rsidRPr="00385DF6">
        <w:rPr>
          <w:rFonts w:cstheme="minorHAnsi"/>
          <w:sz w:val="24"/>
          <w:szCs w:val="24"/>
          <w:lang w:eastAsia="nl-BE"/>
        </w:rPr>
        <w:t xml:space="preserve"> kinderen </w:t>
      </w:r>
      <w:r w:rsidR="00165D8A" w:rsidRPr="00385DF6">
        <w:rPr>
          <w:rFonts w:cstheme="minorHAnsi"/>
          <w:sz w:val="24"/>
          <w:szCs w:val="24"/>
          <w:lang w:eastAsia="nl-BE"/>
        </w:rPr>
        <w:t xml:space="preserve">en jongeren in de eerste plaats </w:t>
      </w:r>
      <w:r w:rsidRPr="00385DF6">
        <w:rPr>
          <w:rFonts w:cstheme="minorHAnsi"/>
          <w:sz w:val="24"/>
          <w:szCs w:val="24"/>
          <w:lang w:eastAsia="nl-BE"/>
        </w:rPr>
        <w:t xml:space="preserve">als </w:t>
      </w:r>
      <w:r w:rsidR="00165D8A" w:rsidRPr="00385DF6">
        <w:rPr>
          <w:rFonts w:cstheme="minorHAnsi"/>
          <w:sz w:val="24"/>
          <w:szCs w:val="24"/>
          <w:lang w:eastAsia="nl-BE"/>
        </w:rPr>
        <w:t xml:space="preserve">passieve </w:t>
      </w:r>
      <w:r w:rsidRPr="00385DF6">
        <w:rPr>
          <w:rFonts w:cstheme="minorHAnsi"/>
          <w:sz w:val="24"/>
          <w:szCs w:val="24"/>
          <w:lang w:eastAsia="nl-BE"/>
        </w:rPr>
        <w:t>‘rechtsobjecten’</w:t>
      </w:r>
      <w:r w:rsidR="00165D8A" w:rsidRPr="00385DF6">
        <w:rPr>
          <w:rFonts w:cstheme="minorHAnsi"/>
          <w:sz w:val="24"/>
          <w:szCs w:val="24"/>
          <w:lang w:eastAsia="nl-BE"/>
        </w:rPr>
        <w:t xml:space="preserve"> ziet</w:t>
      </w:r>
      <w:r w:rsidRPr="00385DF6">
        <w:rPr>
          <w:rFonts w:cstheme="minorHAnsi"/>
          <w:sz w:val="24"/>
          <w:szCs w:val="24"/>
          <w:lang w:eastAsia="nl-BE"/>
        </w:rPr>
        <w:t xml:space="preserve">. Het revolutionaire van het Kinderrechtenverdrag zit in het erkennen van kinderen als </w:t>
      </w:r>
      <w:r w:rsidR="00165D8A" w:rsidRPr="00385DF6">
        <w:rPr>
          <w:rFonts w:cstheme="minorHAnsi"/>
          <w:sz w:val="24"/>
          <w:szCs w:val="24"/>
          <w:lang w:eastAsia="nl-BE"/>
        </w:rPr>
        <w:t xml:space="preserve">actieve </w:t>
      </w:r>
      <w:r w:rsidRPr="00385DF6">
        <w:rPr>
          <w:rFonts w:cstheme="minorHAnsi"/>
          <w:sz w:val="24"/>
          <w:szCs w:val="24"/>
          <w:lang w:eastAsia="nl-BE"/>
        </w:rPr>
        <w:t>‘rechtssubjecten’ met participatiemogelijkheden</w:t>
      </w:r>
      <w:r w:rsidR="00165D8A" w:rsidRPr="00385DF6">
        <w:rPr>
          <w:rFonts w:cstheme="minorHAnsi"/>
          <w:sz w:val="24"/>
          <w:szCs w:val="24"/>
          <w:lang w:eastAsia="nl-BE"/>
        </w:rPr>
        <w:t xml:space="preserve"> en competenties om hun eigen leven vorm te geven</w:t>
      </w:r>
      <w:r w:rsidR="00986501">
        <w:rPr>
          <w:rFonts w:cstheme="minorHAnsi"/>
          <w:sz w:val="24"/>
          <w:szCs w:val="24"/>
          <w:lang w:eastAsia="nl-BE"/>
        </w:rPr>
        <w:t xml:space="preserve"> (zie ook verderop in deze tekst bij ‘kindbeeld’)</w:t>
      </w:r>
      <w:r w:rsidRPr="00385DF6">
        <w:rPr>
          <w:rFonts w:cstheme="minorHAnsi"/>
          <w:sz w:val="24"/>
          <w:szCs w:val="24"/>
          <w:lang w:eastAsia="nl-BE"/>
        </w:rPr>
        <w:t>.</w:t>
      </w:r>
      <w:r w:rsidR="00165D8A" w:rsidRPr="00385DF6">
        <w:rPr>
          <w:rFonts w:cstheme="minorHAnsi"/>
          <w:sz w:val="24"/>
          <w:szCs w:val="24"/>
          <w:lang w:eastAsia="nl-BE"/>
        </w:rPr>
        <w:t xml:space="preserve"> </w:t>
      </w:r>
    </w:p>
    <w:p w:rsidR="00A8772A" w:rsidRPr="00385DF6" w:rsidRDefault="00A8772A" w:rsidP="00BF5E45">
      <w:pPr>
        <w:spacing w:line="276" w:lineRule="auto"/>
        <w:rPr>
          <w:rFonts w:cstheme="minorHAnsi"/>
          <w:sz w:val="24"/>
          <w:szCs w:val="24"/>
          <w:lang w:val="nl-NL"/>
        </w:rPr>
      </w:pPr>
    </w:p>
    <w:p w:rsidR="00CD1D06" w:rsidRPr="00385DF6" w:rsidRDefault="00DB77A7" w:rsidP="00BF5E45">
      <w:pPr>
        <w:spacing w:line="276" w:lineRule="auto"/>
        <w:rPr>
          <w:rFonts w:cstheme="minorHAnsi"/>
          <w:b/>
          <w:sz w:val="24"/>
          <w:szCs w:val="24"/>
          <w:lang w:val="nl-NL"/>
        </w:rPr>
      </w:pPr>
      <w:r w:rsidRPr="00385DF6">
        <w:rPr>
          <w:rFonts w:cstheme="minorHAnsi"/>
          <w:b/>
          <w:sz w:val="24"/>
          <w:szCs w:val="24"/>
          <w:lang w:val="nl-NL"/>
        </w:rPr>
        <w:t xml:space="preserve">De </w:t>
      </w:r>
      <w:r w:rsidR="00947809" w:rsidRPr="00385DF6">
        <w:rPr>
          <w:rFonts w:cstheme="minorHAnsi"/>
          <w:b/>
          <w:sz w:val="24"/>
          <w:szCs w:val="24"/>
          <w:lang w:val="nl-NL"/>
        </w:rPr>
        <w:t xml:space="preserve">juridische </w:t>
      </w:r>
      <w:r w:rsidRPr="00385DF6">
        <w:rPr>
          <w:rFonts w:cstheme="minorHAnsi"/>
          <w:b/>
          <w:sz w:val="24"/>
          <w:szCs w:val="24"/>
          <w:lang w:val="nl-NL"/>
        </w:rPr>
        <w:t xml:space="preserve">toepassing van </w:t>
      </w:r>
      <w:r w:rsidR="00947809" w:rsidRPr="00385DF6">
        <w:rPr>
          <w:rFonts w:cstheme="minorHAnsi"/>
          <w:b/>
          <w:sz w:val="24"/>
          <w:szCs w:val="24"/>
          <w:lang w:val="nl-NL"/>
        </w:rPr>
        <w:t>kinderrechten</w:t>
      </w:r>
      <w:r w:rsidRPr="00385DF6">
        <w:rPr>
          <w:rFonts w:cstheme="minorHAnsi"/>
          <w:b/>
          <w:sz w:val="24"/>
          <w:szCs w:val="24"/>
          <w:lang w:val="nl-NL"/>
        </w:rPr>
        <w:t xml:space="preserve"> in Vlaanderen</w:t>
      </w:r>
    </w:p>
    <w:p w:rsidR="00A00037" w:rsidRPr="00385DF6" w:rsidRDefault="006C7B93" w:rsidP="00BF5E45">
      <w:pPr>
        <w:spacing w:line="276" w:lineRule="auto"/>
        <w:rPr>
          <w:rFonts w:cstheme="minorHAnsi"/>
          <w:sz w:val="24"/>
          <w:szCs w:val="24"/>
        </w:rPr>
      </w:pPr>
      <w:r w:rsidRPr="00385DF6">
        <w:rPr>
          <w:rFonts w:cstheme="minorHAnsi"/>
          <w:sz w:val="24"/>
          <w:szCs w:val="24"/>
        </w:rPr>
        <w:t xml:space="preserve">Net als bij andere internationale verdragen is </w:t>
      </w:r>
      <w:r w:rsidR="00A00037" w:rsidRPr="00385DF6">
        <w:rPr>
          <w:rFonts w:cstheme="minorHAnsi"/>
          <w:sz w:val="24"/>
          <w:szCs w:val="24"/>
        </w:rPr>
        <w:t xml:space="preserve">België </w:t>
      </w:r>
      <w:r w:rsidRPr="00385DF6">
        <w:rPr>
          <w:rFonts w:cstheme="minorHAnsi"/>
          <w:sz w:val="24"/>
          <w:szCs w:val="24"/>
        </w:rPr>
        <w:t xml:space="preserve">na ratificatie </w:t>
      </w:r>
      <w:r w:rsidR="001249E6" w:rsidRPr="00385DF6">
        <w:rPr>
          <w:rFonts w:cstheme="minorHAnsi"/>
          <w:sz w:val="24"/>
          <w:szCs w:val="24"/>
        </w:rPr>
        <w:t xml:space="preserve">juridisch </w:t>
      </w:r>
      <w:r w:rsidR="00A00037" w:rsidRPr="00385DF6">
        <w:rPr>
          <w:rFonts w:cstheme="minorHAnsi"/>
          <w:sz w:val="24"/>
          <w:szCs w:val="24"/>
        </w:rPr>
        <w:t xml:space="preserve">verplicht </w:t>
      </w:r>
      <w:r w:rsidR="001249E6" w:rsidRPr="00385DF6">
        <w:rPr>
          <w:rFonts w:cstheme="minorHAnsi"/>
          <w:sz w:val="24"/>
          <w:szCs w:val="24"/>
        </w:rPr>
        <w:t>alle</w:t>
      </w:r>
      <w:r w:rsidR="00A00037" w:rsidRPr="00385DF6">
        <w:rPr>
          <w:rFonts w:cstheme="minorHAnsi"/>
          <w:sz w:val="24"/>
          <w:szCs w:val="24"/>
        </w:rPr>
        <w:t xml:space="preserve"> artikelen uit het </w:t>
      </w:r>
      <w:r w:rsidR="001F1A4F" w:rsidRPr="00385DF6">
        <w:rPr>
          <w:rFonts w:cstheme="minorHAnsi"/>
          <w:sz w:val="24"/>
          <w:szCs w:val="24"/>
        </w:rPr>
        <w:t>Kinderrechtenverdrag</w:t>
      </w:r>
      <w:r w:rsidR="00A00037" w:rsidRPr="00385DF6">
        <w:rPr>
          <w:rFonts w:cstheme="minorHAnsi"/>
          <w:sz w:val="24"/>
          <w:szCs w:val="24"/>
        </w:rPr>
        <w:t xml:space="preserve"> </w:t>
      </w:r>
      <w:r w:rsidR="001249E6" w:rsidRPr="00385DF6">
        <w:rPr>
          <w:rFonts w:cstheme="minorHAnsi"/>
          <w:sz w:val="24"/>
          <w:szCs w:val="24"/>
        </w:rPr>
        <w:t xml:space="preserve">en de bijbehorende protocollen </w:t>
      </w:r>
      <w:r w:rsidR="00A00037" w:rsidRPr="00385DF6">
        <w:rPr>
          <w:rFonts w:cstheme="minorHAnsi"/>
          <w:sz w:val="24"/>
          <w:szCs w:val="24"/>
        </w:rPr>
        <w:t>na te leven en uit te dragen. Deze verplichting geldt voor alle bestuursniveaus, dus ook voor Vlaamse en lokale overheden.</w:t>
      </w:r>
      <w:r w:rsidR="001249E6" w:rsidRPr="00385DF6">
        <w:rPr>
          <w:rFonts w:cstheme="minorHAnsi"/>
          <w:sz w:val="24"/>
          <w:szCs w:val="24"/>
        </w:rPr>
        <w:t xml:space="preserve"> </w:t>
      </w:r>
      <w:r w:rsidRPr="00385DF6">
        <w:rPr>
          <w:rFonts w:cstheme="minorHAnsi"/>
          <w:sz w:val="24"/>
          <w:szCs w:val="24"/>
        </w:rPr>
        <w:t>In tegenstelling tot landen die een dualistisch systeem kennen, hoeft België geen extra uitvoeringsmaatregelen te nemen</w:t>
      </w:r>
      <w:r w:rsidR="00CC1BFF">
        <w:rPr>
          <w:rFonts w:cstheme="minorHAnsi"/>
          <w:sz w:val="24"/>
          <w:szCs w:val="24"/>
        </w:rPr>
        <w:t xml:space="preserve"> om het VRK integraal deel te laten uitmaken van </w:t>
      </w:r>
      <w:r w:rsidR="001B5B4B">
        <w:rPr>
          <w:rFonts w:cstheme="minorHAnsi"/>
          <w:sz w:val="24"/>
          <w:szCs w:val="24"/>
        </w:rPr>
        <w:t>het</w:t>
      </w:r>
      <w:r w:rsidR="00CC1BFF">
        <w:rPr>
          <w:rFonts w:cstheme="minorHAnsi"/>
          <w:sz w:val="24"/>
          <w:szCs w:val="24"/>
        </w:rPr>
        <w:t xml:space="preserve"> rechtssysteem:</w:t>
      </w:r>
      <w:r w:rsidRPr="00385DF6">
        <w:rPr>
          <w:rFonts w:cstheme="minorHAnsi"/>
          <w:sz w:val="24"/>
          <w:szCs w:val="24"/>
        </w:rPr>
        <w:t xml:space="preserve"> het </w:t>
      </w:r>
      <w:r w:rsidR="001B5B4B">
        <w:rPr>
          <w:rFonts w:cstheme="minorHAnsi"/>
          <w:sz w:val="24"/>
          <w:szCs w:val="24"/>
        </w:rPr>
        <w:t>V</w:t>
      </w:r>
      <w:r w:rsidRPr="00385DF6">
        <w:rPr>
          <w:rFonts w:cstheme="minorHAnsi"/>
          <w:sz w:val="24"/>
          <w:szCs w:val="24"/>
        </w:rPr>
        <w:t xml:space="preserve">erdrag </w:t>
      </w:r>
      <w:r w:rsidR="00CC1BFF">
        <w:rPr>
          <w:rFonts w:cstheme="minorHAnsi"/>
          <w:sz w:val="24"/>
          <w:szCs w:val="24"/>
        </w:rPr>
        <w:t xml:space="preserve">is </w:t>
      </w:r>
      <w:r w:rsidRPr="00385DF6">
        <w:rPr>
          <w:rFonts w:cstheme="minorHAnsi"/>
          <w:sz w:val="24"/>
          <w:szCs w:val="24"/>
        </w:rPr>
        <w:t>rechtstreeks toepasselijk (in het Engels:</w:t>
      </w:r>
      <w:r w:rsidRPr="00385DF6">
        <w:rPr>
          <w:rFonts w:cstheme="minorHAnsi"/>
          <w:i/>
          <w:sz w:val="24"/>
          <w:szCs w:val="24"/>
        </w:rPr>
        <w:t xml:space="preserve"> directly applicable</w:t>
      </w:r>
      <w:r w:rsidR="00CC1BFF">
        <w:rPr>
          <w:rFonts w:cstheme="minorHAnsi"/>
          <w:sz w:val="24"/>
          <w:szCs w:val="24"/>
        </w:rPr>
        <w:t xml:space="preserve">) </w:t>
      </w:r>
      <w:r w:rsidRPr="00385DF6">
        <w:rPr>
          <w:rFonts w:cstheme="minorHAnsi"/>
          <w:sz w:val="24"/>
          <w:szCs w:val="24"/>
        </w:rPr>
        <w:t xml:space="preserve">in </w:t>
      </w:r>
      <w:r w:rsidR="00CC1BFF">
        <w:rPr>
          <w:rFonts w:cstheme="minorHAnsi"/>
          <w:sz w:val="24"/>
          <w:szCs w:val="24"/>
        </w:rPr>
        <w:t>de</w:t>
      </w:r>
      <w:r w:rsidRPr="00385DF6">
        <w:rPr>
          <w:rFonts w:cstheme="minorHAnsi"/>
          <w:sz w:val="24"/>
          <w:szCs w:val="24"/>
        </w:rPr>
        <w:t xml:space="preserve"> interne rechtsorde. </w:t>
      </w:r>
    </w:p>
    <w:p w:rsidR="00CC1BFF" w:rsidRDefault="00585879" w:rsidP="00BF5E45">
      <w:pPr>
        <w:spacing w:line="276" w:lineRule="auto"/>
        <w:rPr>
          <w:rFonts w:cstheme="minorHAnsi"/>
          <w:sz w:val="24"/>
          <w:szCs w:val="24"/>
        </w:rPr>
      </w:pPr>
      <w:r w:rsidRPr="00385DF6">
        <w:rPr>
          <w:rFonts w:cstheme="minorHAnsi"/>
          <w:sz w:val="24"/>
          <w:szCs w:val="24"/>
        </w:rPr>
        <w:t>Rechtstreekse toepassing wil echter nog niet zeggen dat je als individu ieder recht uit het Verdrag kan inroepen voor een</w:t>
      </w:r>
      <w:r w:rsidR="00697D13" w:rsidRPr="00385DF6">
        <w:rPr>
          <w:rFonts w:cstheme="minorHAnsi"/>
          <w:sz w:val="24"/>
          <w:szCs w:val="24"/>
        </w:rPr>
        <w:t xml:space="preserve"> Belgische</w:t>
      </w:r>
      <w:r w:rsidRPr="00385DF6">
        <w:rPr>
          <w:rFonts w:cstheme="minorHAnsi"/>
          <w:sz w:val="24"/>
          <w:szCs w:val="24"/>
        </w:rPr>
        <w:t xml:space="preserve"> rechtbank of gerechtelijke instantie. Dat kan enkel wanneer de bepaling ook directe werking heeft (in het Engels: </w:t>
      </w:r>
      <w:r w:rsidRPr="00385DF6">
        <w:rPr>
          <w:rFonts w:cstheme="minorHAnsi"/>
          <w:i/>
          <w:sz w:val="24"/>
          <w:szCs w:val="24"/>
        </w:rPr>
        <w:t>direct effect</w:t>
      </w:r>
      <w:r w:rsidRPr="00385DF6">
        <w:rPr>
          <w:rFonts w:cstheme="minorHAnsi"/>
          <w:sz w:val="24"/>
          <w:szCs w:val="24"/>
        </w:rPr>
        <w:t xml:space="preserve">). Of een artikel uit het Verdrag directe werking heeft, </w:t>
      </w:r>
      <w:r w:rsidR="006C7B93" w:rsidRPr="00385DF6">
        <w:rPr>
          <w:rFonts w:cstheme="minorHAnsi"/>
          <w:sz w:val="24"/>
          <w:szCs w:val="24"/>
        </w:rPr>
        <w:t>kan iedere</w:t>
      </w:r>
      <w:r w:rsidRPr="00385DF6">
        <w:rPr>
          <w:rFonts w:cstheme="minorHAnsi"/>
          <w:sz w:val="24"/>
          <w:szCs w:val="24"/>
        </w:rPr>
        <w:t xml:space="preserve"> rechter zelf bepalen</w:t>
      </w:r>
      <w:r w:rsidR="00697D13" w:rsidRPr="00385DF6">
        <w:rPr>
          <w:rFonts w:cstheme="minorHAnsi"/>
          <w:sz w:val="24"/>
          <w:szCs w:val="24"/>
        </w:rPr>
        <w:t xml:space="preserve"> en verschilt per artikel</w:t>
      </w:r>
      <w:r w:rsidRPr="00385DF6">
        <w:rPr>
          <w:rFonts w:cstheme="minorHAnsi"/>
          <w:sz w:val="24"/>
          <w:szCs w:val="24"/>
        </w:rPr>
        <w:t>.</w:t>
      </w:r>
      <w:r w:rsidR="00523DE8" w:rsidRPr="00385DF6">
        <w:rPr>
          <w:rFonts w:cstheme="minorHAnsi"/>
          <w:sz w:val="24"/>
          <w:szCs w:val="24"/>
        </w:rPr>
        <w:t xml:space="preserve"> </w:t>
      </w:r>
      <w:r w:rsidR="001F1A4F" w:rsidRPr="00385DF6">
        <w:rPr>
          <w:rFonts w:cstheme="minorHAnsi"/>
          <w:sz w:val="24"/>
          <w:szCs w:val="24"/>
        </w:rPr>
        <w:t>Om in aanmerking te komen voor directe werking, moet de bepaling aan bepaalde criteria voldoen. Zo kunnen bijvoorbeeld enkel bepalingen die een duidelijke en ondubbelzinnige betekenis hebben, directe werking hebben.</w:t>
      </w:r>
      <w:r w:rsidR="001F1A4F" w:rsidRPr="00385DF6">
        <w:rPr>
          <w:rStyle w:val="Voetnootmarkering"/>
          <w:rFonts w:cstheme="minorHAnsi"/>
          <w:sz w:val="24"/>
          <w:szCs w:val="24"/>
        </w:rPr>
        <w:footnoteReference w:id="6"/>
      </w:r>
      <w:r w:rsidR="00CC1BFF">
        <w:rPr>
          <w:rFonts w:cstheme="minorHAnsi"/>
          <w:sz w:val="24"/>
          <w:szCs w:val="24"/>
        </w:rPr>
        <w:t xml:space="preserve"> </w:t>
      </w:r>
      <w:r w:rsidR="00523DE8" w:rsidRPr="00385DF6">
        <w:rPr>
          <w:rFonts w:cstheme="minorHAnsi"/>
          <w:sz w:val="24"/>
          <w:szCs w:val="24"/>
        </w:rPr>
        <w:t xml:space="preserve">De hogere rechtbanken (Raad van State en Hof van Cassatie) zijn </w:t>
      </w:r>
      <w:r w:rsidR="00697D13" w:rsidRPr="00385DF6">
        <w:rPr>
          <w:rFonts w:cstheme="minorHAnsi"/>
          <w:sz w:val="24"/>
          <w:szCs w:val="24"/>
        </w:rPr>
        <w:t xml:space="preserve">over het algemeen </w:t>
      </w:r>
      <w:r w:rsidR="00523DE8" w:rsidRPr="00385DF6">
        <w:rPr>
          <w:rFonts w:cstheme="minorHAnsi"/>
          <w:sz w:val="24"/>
          <w:szCs w:val="24"/>
        </w:rPr>
        <w:t>eerder terughoudend</w:t>
      </w:r>
      <w:r w:rsidR="00697D13" w:rsidRPr="00385DF6">
        <w:rPr>
          <w:rFonts w:cstheme="minorHAnsi"/>
          <w:sz w:val="24"/>
          <w:szCs w:val="24"/>
        </w:rPr>
        <w:t xml:space="preserve"> om aan het VRK direct effect toe te kennen</w:t>
      </w:r>
      <w:r w:rsidR="00523DE8" w:rsidRPr="00385DF6">
        <w:rPr>
          <w:rFonts w:cstheme="minorHAnsi"/>
          <w:sz w:val="24"/>
          <w:szCs w:val="24"/>
        </w:rPr>
        <w:t>, terwijl lagere rechtbanken en tribunalen meer open</w:t>
      </w:r>
      <w:r w:rsidR="00697D13" w:rsidRPr="00385DF6">
        <w:rPr>
          <w:rFonts w:cstheme="minorHAnsi"/>
          <w:sz w:val="24"/>
          <w:szCs w:val="24"/>
        </w:rPr>
        <w:t>heid tonen</w:t>
      </w:r>
      <w:r w:rsidR="00523DE8" w:rsidRPr="00385DF6">
        <w:rPr>
          <w:rFonts w:cstheme="minorHAnsi"/>
          <w:sz w:val="24"/>
          <w:szCs w:val="24"/>
        </w:rPr>
        <w:t>.</w:t>
      </w:r>
      <w:r w:rsidR="00523DE8" w:rsidRPr="00385DF6">
        <w:rPr>
          <w:rStyle w:val="Voetnootmarkering"/>
          <w:rFonts w:cstheme="minorHAnsi"/>
          <w:sz w:val="24"/>
          <w:szCs w:val="24"/>
        </w:rPr>
        <w:footnoteReference w:id="7"/>
      </w:r>
      <w:r w:rsidR="00697D13" w:rsidRPr="00385DF6">
        <w:rPr>
          <w:rFonts w:cstheme="minorHAnsi"/>
          <w:sz w:val="24"/>
          <w:szCs w:val="24"/>
        </w:rPr>
        <w:t xml:space="preserve"> </w:t>
      </w:r>
    </w:p>
    <w:p w:rsidR="00947809" w:rsidRPr="00385DF6" w:rsidRDefault="00697D13" w:rsidP="00BF5E45">
      <w:pPr>
        <w:spacing w:line="276" w:lineRule="auto"/>
        <w:rPr>
          <w:rFonts w:cstheme="minorHAnsi"/>
          <w:sz w:val="24"/>
          <w:szCs w:val="24"/>
        </w:rPr>
      </w:pPr>
      <w:r w:rsidRPr="00385DF6">
        <w:rPr>
          <w:rFonts w:cstheme="minorHAnsi"/>
          <w:sz w:val="24"/>
          <w:szCs w:val="24"/>
        </w:rPr>
        <w:t>Een internationale bepaling met direct effect staat bovenaan de</w:t>
      </w:r>
      <w:r w:rsidR="00947809" w:rsidRPr="00385DF6">
        <w:rPr>
          <w:rFonts w:cstheme="minorHAnsi"/>
          <w:sz w:val="24"/>
          <w:szCs w:val="24"/>
        </w:rPr>
        <w:t xml:space="preserve"> normenhiërarchie en heeft dus</w:t>
      </w:r>
      <w:r w:rsidRPr="00385DF6">
        <w:rPr>
          <w:rFonts w:cstheme="minorHAnsi"/>
          <w:sz w:val="24"/>
          <w:szCs w:val="24"/>
        </w:rPr>
        <w:t xml:space="preserve"> voorrang op eventuele conflicterende interne normen. Dat een verdragsbepaling geen direct effect heeft, wil echter nog niet zeggen dat deze geen </w:t>
      </w:r>
      <w:r w:rsidR="00947809" w:rsidRPr="00385DF6">
        <w:rPr>
          <w:rFonts w:cstheme="minorHAnsi"/>
          <w:sz w:val="24"/>
          <w:szCs w:val="24"/>
        </w:rPr>
        <w:t xml:space="preserve">enkele </w:t>
      </w:r>
      <w:r w:rsidRPr="00385DF6">
        <w:rPr>
          <w:rFonts w:cstheme="minorHAnsi"/>
          <w:sz w:val="24"/>
          <w:szCs w:val="24"/>
        </w:rPr>
        <w:t>waarde heeft in het rechtssysteem.</w:t>
      </w:r>
      <w:r w:rsidR="00947809" w:rsidRPr="00385DF6">
        <w:rPr>
          <w:rFonts w:cstheme="minorHAnsi"/>
          <w:sz w:val="24"/>
          <w:szCs w:val="24"/>
        </w:rPr>
        <w:t xml:space="preserve"> Een verwijzing naar het VRK kan een juridische argumentatie onderbouwen of bijdragen tot de interpretatie van normen, ook zonder een rechterlijke beslissing rechtstreeks te onderbouwen.</w:t>
      </w:r>
      <w:r w:rsidR="00947809" w:rsidRPr="00385DF6">
        <w:rPr>
          <w:rStyle w:val="Voetnootmarkering"/>
          <w:rFonts w:cstheme="minorHAnsi"/>
          <w:sz w:val="24"/>
          <w:szCs w:val="24"/>
        </w:rPr>
        <w:footnoteReference w:id="8"/>
      </w:r>
      <w:r w:rsidR="00947809" w:rsidRPr="00385DF6">
        <w:rPr>
          <w:rFonts w:cstheme="minorHAnsi"/>
          <w:sz w:val="24"/>
          <w:szCs w:val="24"/>
        </w:rPr>
        <w:t xml:space="preserve"> </w:t>
      </w:r>
    </w:p>
    <w:p w:rsidR="00585879" w:rsidRPr="00385DF6" w:rsidRDefault="00947809" w:rsidP="00BF5E45">
      <w:pPr>
        <w:spacing w:line="276" w:lineRule="auto"/>
        <w:rPr>
          <w:rFonts w:cstheme="minorHAnsi"/>
          <w:sz w:val="24"/>
          <w:szCs w:val="24"/>
        </w:rPr>
      </w:pPr>
      <w:r w:rsidRPr="00385DF6">
        <w:rPr>
          <w:rFonts w:cstheme="minorHAnsi"/>
          <w:sz w:val="24"/>
          <w:szCs w:val="24"/>
        </w:rPr>
        <w:t>Artikel 22</w:t>
      </w:r>
      <w:r w:rsidRPr="00385DF6">
        <w:rPr>
          <w:rFonts w:cstheme="minorHAnsi"/>
          <w:i/>
          <w:sz w:val="24"/>
          <w:szCs w:val="24"/>
        </w:rPr>
        <w:t>bis</w:t>
      </w:r>
      <w:r w:rsidRPr="00385DF6">
        <w:rPr>
          <w:rFonts w:cstheme="minorHAnsi"/>
          <w:sz w:val="24"/>
          <w:szCs w:val="24"/>
        </w:rPr>
        <w:t xml:space="preserve"> van onze Grondwet heeft overigens ook ge</w:t>
      </w:r>
      <w:r w:rsidR="002A7451" w:rsidRPr="00385DF6">
        <w:rPr>
          <w:rFonts w:cstheme="minorHAnsi"/>
          <w:sz w:val="24"/>
          <w:szCs w:val="24"/>
        </w:rPr>
        <w:t>en directe werking</w:t>
      </w:r>
      <w:r w:rsidRPr="00385DF6">
        <w:rPr>
          <w:rFonts w:cstheme="minorHAnsi"/>
          <w:sz w:val="24"/>
          <w:szCs w:val="24"/>
        </w:rPr>
        <w:t xml:space="preserve">. Dat bevestigde de Raad van State in 2013 toen de Afghaanse Amir Jafari en zijn familie zich niet rechtstreeks op dit artikel konden beroepen </w:t>
      </w:r>
      <w:r w:rsidR="002A7451" w:rsidRPr="00385DF6">
        <w:rPr>
          <w:rFonts w:cstheme="minorHAnsi"/>
          <w:sz w:val="24"/>
          <w:szCs w:val="24"/>
        </w:rPr>
        <w:t>om de onwettigheid van een arrest in hun asielprocedure te bestrijden.</w:t>
      </w:r>
      <w:r w:rsidR="002A7451" w:rsidRPr="00385DF6">
        <w:rPr>
          <w:rStyle w:val="Voetnootmarkering"/>
          <w:rFonts w:cstheme="minorHAnsi"/>
          <w:sz w:val="24"/>
          <w:szCs w:val="24"/>
        </w:rPr>
        <w:footnoteReference w:id="9"/>
      </w:r>
      <w:r w:rsidRPr="00385DF6">
        <w:rPr>
          <w:rFonts w:cstheme="minorHAnsi"/>
          <w:sz w:val="24"/>
          <w:szCs w:val="24"/>
        </w:rPr>
        <w:t xml:space="preserve"> </w:t>
      </w:r>
      <w:r w:rsidR="001F1A4F" w:rsidRPr="00385DF6">
        <w:rPr>
          <w:sz w:val="24"/>
          <w:szCs w:val="24"/>
        </w:rPr>
        <w:t xml:space="preserve">Het Grondwettelijk Hof gebruikte dit artikel wel al om de bepalingen van het </w:t>
      </w:r>
      <w:r w:rsidR="00553B8E" w:rsidRPr="00385DF6">
        <w:rPr>
          <w:sz w:val="24"/>
          <w:szCs w:val="24"/>
        </w:rPr>
        <w:t xml:space="preserve">Kinderrechtenverdrag in de verf te zetten in haar rechtspraak. Zo </w:t>
      </w:r>
      <w:r w:rsidR="001B5B4B">
        <w:rPr>
          <w:sz w:val="24"/>
          <w:szCs w:val="24"/>
        </w:rPr>
        <w:t>stelt</w:t>
      </w:r>
      <w:r w:rsidR="00553B8E" w:rsidRPr="00385DF6">
        <w:rPr>
          <w:sz w:val="24"/>
          <w:szCs w:val="24"/>
        </w:rPr>
        <w:t xml:space="preserve"> het Hof </w:t>
      </w:r>
      <w:r w:rsidR="001B5B4B">
        <w:rPr>
          <w:sz w:val="24"/>
          <w:szCs w:val="24"/>
        </w:rPr>
        <w:t xml:space="preserve">dat </w:t>
      </w:r>
      <w:r w:rsidR="001F1A4F" w:rsidRPr="00385DF6">
        <w:rPr>
          <w:sz w:val="24"/>
          <w:szCs w:val="24"/>
        </w:rPr>
        <w:t xml:space="preserve">de regel dat een rechter het belang van het kind </w:t>
      </w:r>
      <w:r w:rsidR="00553B8E" w:rsidRPr="00385DF6">
        <w:rPr>
          <w:sz w:val="24"/>
          <w:szCs w:val="24"/>
        </w:rPr>
        <w:t xml:space="preserve">(artikel 3 VRK) </w:t>
      </w:r>
      <w:r w:rsidR="001F1A4F" w:rsidRPr="00385DF6">
        <w:rPr>
          <w:sz w:val="24"/>
          <w:szCs w:val="24"/>
        </w:rPr>
        <w:t xml:space="preserve">slechts marginaal </w:t>
      </w:r>
      <w:r w:rsidR="00553B8E" w:rsidRPr="00385DF6">
        <w:rPr>
          <w:sz w:val="24"/>
          <w:szCs w:val="24"/>
        </w:rPr>
        <w:t>moet</w:t>
      </w:r>
      <w:r w:rsidR="001F1A4F" w:rsidRPr="00385DF6">
        <w:rPr>
          <w:sz w:val="24"/>
          <w:szCs w:val="24"/>
        </w:rPr>
        <w:t xml:space="preserve"> te toetsen en alleen </w:t>
      </w:r>
      <w:r w:rsidR="00553B8E" w:rsidRPr="00385DF6">
        <w:rPr>
          <w:sz w:val="24"/>
          <w:szCs w:val="24"/>
        </w:rPr>
        <w:t>wanneer er</w:t>
      </w:r>
      <w:r w:rsidR="001F1A4F" w:rsidRPr="00385DF6">
        <w:rPr>
          <w:sz w:val="24"/>
          <w:szCs w:val="24"/>
        </w:rPr>
        <w:t xml:space="preserve"> sprake is van ernstige schade voor het kind</w:t>
      </w:r>
      <w:r w:rsidR="00553B8E" w:rsidRPr="00385DF6">
        <w:rPr>
          <w:sz w:val="24"/>
          <w:szCs w:val="24"/>
        </w:rPr>
        <w:t>,</w:t>
      </w:r>
      <w:r w:rsidR="001F1A4F" w:rsidRPr="00385DF6">
        <w:rPr>
          <w:sz w:val="24"/>
          <w:szCs w:val="24"/>
        </w:rPr>
        <w:t xml:space="preserve"> in strijd </w:t>
      </w:r>
      <w:r w:rsidR="001B5B4B">
        <w:rPr>
          <w:sz w:val="24"/>
          <w:szCs w:val="24"/>
        </w:rPr>
        <w:t xml:space="preserve">is </w:t>
      </w:r>
      <w:r w:rsidR="00553B8E" w:rsidRPr="00385DF6">
        <w:rPr>
          <w:sz w:val="24"/>
          <w:szCs w:val="24"/>
        </w:rPr>
        <w:t>met de</w:t>
      </w:r>
      <w:r w:rsidR="001F1A4F" w:rsidRPr="00385DF6">
        <w:rPr>
          <w:sz w:val="24"/>
          <w:szCs w:val="24"/>
        </w:rPr>
        <w:t xml:space="preserve"> Grondwet.</w:t>
      </w:r>
      <w:r w:rsidR="00553B8E" w:rsidRPr="00385DF6">
        <w:rPr>
          <w:rStyle w:val="Voetnootmarkering"/>
          <w:sz w:val="24"/>
          <w:szCs w:val="24"/>
        </w:rPr>
        <w:footnoteReference w:id="10"/>
      </w:r>
    </w:p>
    <w:p w:rsidR="00E258F9" w:rsidRPr="00BF5E45" w:rsidRDefault="00E258F9" w:rsidP="00BF5E45">
      <w:pPr>
        <w:spacing w:line="276" w:lineRule="auto"/>
        <w:rPr>
          <w:rFonts w:cstheme="minorHAnsi"/>
          <w:sz w:val="24"/>
          <w:szCs w:val="24"/>
        </w:rPr>
      </w:pPr>
    </w:p>
    <w:p w:rsidR="00BF5E45" w:rsidRPr="00BF5E45" w:rsidRDefault="00BF5E45" w:rsidP="00BF5E45">
      <w:pPr>
        <w:spacing w:line="276" w:lineRule="auto"/>
        <w:rPr>
          <w:rFonts w:cstheme="minorHAnsi"/>
          <w:b/>
          <w:sz w:val="24"/>
          <w:szCs w:val="24"/>
        </w:rPr>
      </w:pPr>
      <w:r w:rsidRPr="00BF5E45">
        <w:rPr>
          <w:rFonts w:cstheme="minorHAnsi"/>
          <w:b/>
          <w:sz w:val="24"/>
          <w:szCs w:val="24"/>
        </w:rPr>
        <w:t>Toegang tot de rechter</w:t>
      </w:r>
    </w:p>
    <w:p w:rsidR="00BF5E45" w:rsidRPr="00BF5E45" w:rsidRDefault="00BF5E45" w:rsidP="00BF5E45">
      <w:pPr>
        <w:spacing w:line="276" w:lineRule="auto"/>
        <w:rPr>
          <w:sz w:val="24"/>
          <w:szCs w:val="24"/>
        </w:rPr>
      </w:pPr>
      <w:r w:rsidRPr="00BF5E45">
        <w:rPr>
          <w:sz w:val="24"/>
          <w:szCs w:val="24"/>
        </w:rPr>
        <w:t xml:space="preserve">Kinderen en jongeren kunnen in België doorgaans geen zelfstandige toegang krijgen tot de rechter. Ze hebben geen wettelijke bekwaamheid of </w:t>
      </w:r>
      <w:r w:rsidRPr="00BF5E45">
        <w:rPr>
          <w:i/>
          <w:sz w:val="24"/>
          <w:szCs w:val="24"/>
        </w:rPr>
        <w:t xml:space="preserve">legal capacity. </w:t>
      </w:r>
      <w:r w:rsidRPr="00BF5E45">
        <w:rPr>
          <w:sz w:val="24"/>
          <w:szCs w:val="24"/>
        </w:rPr>
        <w:t>Procedures voor de rechtbank worden in naam van het kind gevoerd door zijn of haar wettelijke vertegenwoordiger. Er zijn uitzonderingen,</w:t>
      </w:r>
      <w:r w:rsidRPr="00BF5E45">
        <w:rPr>
          <w:rStyle w:val="Voetnootmarkering"/>
          <w:sz w:val="24"/>
          <w:szCs w:val="24"/>
        </w:rPr>
        <w:footnoteReference w:id="11"/>
      </w:r>
      <w:r w:rsidRPr="00BF5E45">
        <w:rPr>
          <w:sz w:val="24"/>
          <w:szCs w:val="24"/>
        </w:rPr>
        <w:t xml:space="preserve"> maar ook hier is het, net als bij directe werking, aan de rechter zelf om in iedere zaak te beslissen.</w:t>
      </w:r>
      <w:r w:rsidRPr="00BF5E45">
        <w:rPr>
          <w:rStyle w:val="Voetnootmarkering"/>
          <w:sz w:val="24"/>
          <w:szCs w:val="24"/>
        </w:rPr>
        <w:footnoteReference w:id="12"/>
      </w:r>
      <w:r w:rsidRPr="00BF5E45">
        <w:rPr>
          <w:sz w:val="24"/>
          <w:szCs w:val="24"/>
        </w:rPr>
        <w:t xml:space="preserve"> Het nieuwe klachtenrecht dat met OPIC tot stand kwam, kan op internationaal niveau een uitweg bieden. Om toegang te krijgen tot het Comité voor de Rechten van het Kind om een vermeende schending van een recht uit het Verdrag of één van de Protocollen aan te kaarten, moeten alle nationale rechtswegen uitgeput zijn. Wanneer deze rechtswegen niet bestaan</w:t>
      </w:r>
      <w:r w:rsidR="00986501">
        <w:rPr>
          <w:sz w:val="24"/>
          <w:szCs w:val="24"/>
        </w:rPr>
        <w:t xml:space="preserve"> of onvoldoende uitgewerkt zijn</w:t>
      </w:r>
      <w:r w:rsidRPr="00BF5E45">
        <w:rPr>
          <w:sz w:val="24"/>
          <w:szCs w:val="24"/>
        </w:rPr>
        <w:t>, kan dit aanleiding geven om het Comité rechtstreeks</w:t>
      </w:r>
      <w:r w:rsidR="00F80560">
        <w:rPr>
          <w:sz w:val="24"/>
          <w:szCs w:val="24"/>
        </w:rPr>
        <w:t xml:space="preserve"> te benaderen</w:t>
      </w:r>
      <w:r w:rsidRPr="00BF5E45">
        <w:rPr>
          <w:sz w:val="24"/>
          <w:szCs w:val="24"/>
        </w:rPr>
        <w:t>.</w:t>
      </w:r>
      <w:r>
        <w:rPr>
          <w:sz w:val="24"/>
          <w:szCs w:val="24"/>
        </w:rPr>
        <w:t xml:space="preserve"> Nu het Comité zich recent uitsprak over de eerste klacht die ze behandelde,</w:t>
      </w:r>
      <w:r>
        <w:rPr>
          <w:rStyle w:val="Voetnootmarkering"/>
          <w:sz w:val="24"/>
          <w:szCs w:val="24"/>
        </w:rPr>
        <w:footnoteReference w:id="13"/>
      </w:r>
      <w:r>
        <w:rPr>
          <w:sz w:val="24"/>
          <w:szCs w:val="24"/>
        </w:rPr>
        <w:t xml:space="preserve"> kan dit ook voor België aanleiding geven om het gebrek aan interne procedures te herbekijken.</w:t>
      </w:r>
    </w:p>
    <w:p w:rsidR="00BF5E45" w:rsidRPr="00BF5E45" w:rsidRDefault="00BF5E45" w:rsidP="00BF5E45">
      <w:pPr>
        <w:spacing w:line="276" w:lineRule="auto"/>
        <w:rPr>
          <w:rFonts w:cstheme="minorHAnsi"/>
          <w:b/>
          <w:sz w:val="24"/>
          <w:szCs w:val="24"/>
        </w:rPr>
      </w:pPr>
    </w:p>
    <w:p w:rsidR="005E31CC" w:rsidRPr="00385DF6" w:rsidRDefault="006C6A1B" w:rsidP="00BF5E45">
      <w:pPr>
        <w:spacing w:line="276" w:lineRule="auto"/>
        <w:rPr>
          <w:rFonts w:cstheme="minorHAnsi"/>
          <w:b/>
          <w:sz w:val="24"/>
          <w:szCs w:val="24"/>
        </w:rPr>
      </w:pPr>
      <w:r w:rsidRPr="00385DF6">
        <w:rPr>
          <w:rFonts w:cstheme="minorHAnsi"/>
          <w:b/>
          <w:sz w:val="24"/>
          <w:szCs w:val="24"/>
        </w:rPr>
        <w:t>Kinderrechten zijn meer dan een juridisch verhaal</w:t>
      </w:r>
    </w:p>
    <w:p w:rsidR="00AE7879" w:rsidRPr="00C81DDC" w:rsidRDefault="00620DBD" w:rsidP="00BF5E45">
      <w:pPr>
        <w:spacing w:line="276" w:lineRule="auto"/>
        <w:rPr>
          <w:rFonts w:cstheme="minorHAnsi"/>
          <w:sz w:val="24"/>
          <w:szCs w:val="24"/>
        </w:rPr>
      </w:pPr>
      <w:r w:rsidRPr="00385DF6">
        <w:rPr>
          <w:rFonts w:cstheme="minorHAnsi"/>
          <w:sz w:val="24"/>
          <w:szCs w:val="24"/>
          <w:lang w:val="nl-NL"/>
        </w:rPr>
        <w:t xml:space="preserve">Hoewel een </w:t>
      </w:r>
      <w:r w:rsidR="00AE7879">
        <w:rPr>
          <w:rFonts w:cstheme="minorHAnsi"/>
          <w:sz w:val="24"/>
          <w:szCs w:val="24"/>
          <w:lang w:val="nl-NL"/>
        </w:rPr>
        <w:t>wettelijk kader</w:t>
      </w:r>
      <w:r w:rsidRPr="00385DF6">
        <w:rPr>
          <w:rFonts w:cstheme="minorHAnsi"/>
          <w:sz w:val="24"/>
          <w:szCs w:val="24"/>
          <w:lang w:val="nl-NL"/>
        </w:rPr>
        <w:t xml:space="preserve"> heel belangrijk is voor de realisatie van kinderrechten in Vlaanderen, z</w:t>
      </w:r>
      <w:r w:rsidR="00FC166E" w:rsidRPr="00385DF6">
        <w:rPr>
          <w:rFonts w:cstheme="minorHAnsi"/>
          <w:sz w:val="24"/>
          <w:szCs w:val="24"/>
          <w:lang w:val="nl-NL"/>
        </w:rPr>
        <w:t xml:space="preserve">ijn </w:t>
      </w:r>
      <w:r w:rsidRPr="00385DF6">
        <w:rPr>
          <w:rFonts w:cstheme="minorHAnsi"/>
          <w:sz w:val="24"/>
          <w:szCs w:val="24"/>
          <w:lang w:val="nl-NL"/>
        </w:rPr>
        <w:t>kinderrechten</w:t>
      </w:r>
      <w:r w:rsidR="00FC166E" w:rsidRPr="00385DF6">
        <w:rPr>
          <w:rFonts w:cstheme="minorHAnsi"/>
          <w:sz w:val="24"/>
          <w:szCs w:val="24"/>
          <w:lang w:val="nl-NL"/>
        </w:rPr>
        <w:t xml:space="preserve"> meer dan </w:t>
      </w:r>
      <w:r w:rsidRPr="00385DF6">
        <w:rPr>
          <w:rFonts w:cstheme="minorHAnsi"/>
          <w:sz w:val="24"/>
          <w:szCs w:val="24"/>
          <w:lang w:val="nl-NL"/>
        </w:rPr>
        <w:t xml:space="preserve">enkel </w:t>
      </w:r>
      <w:r w:rsidR="00FC166E" w:rsidRPr="00385DF6">
        <w:rPr>
          <w:rFonts w:cstheme="minorHAnsi"/>
          <w:sz w:val="24"/>
          <w:szCs w:val="24"/>
          <w:lang w:val="nl-NL"/>
        </w:rPr>
        <w:t>een juridisch verhaal.</w:t>
      </w:r>
      <w:r w:rsidR="00C653C1" w:rsidRPr="00385DF6">
        <w:rPr>
          <w:rFonts w:cstheme="minorHAnsi"/>
          <w:sz w:val="24"/>
          <w:szCs w:val="24"/>
          <w:lang w:val="nl-NL"/>
        </w:rPr>
        <w:t xml:space="preserve"> Behalve in</w:t>
      </w:r>
      <w:r w:rsidR="00C653C1" w:rsidRPr="00C81DDC">
        <w:rPr>
          <w:rFonts w:cstheme="minorHAnsi"/>
          <w:sz w:val="24"/>
          <w:szCs w:val="24"/>
          <w:lang w:val="nl-NL"/>
        </w:rPr>
        <w:t xml:space="preserve"> instrumenten </w:t>
      </w:r>
      <w:r w:rsidR="00163FE7">
        <w:rPr>
          <w:rFonts w:cstheme="minorHAnsi"/>
          <w:sz w:val="24"/>
          <w:szCs w:val="24"/>
          <w:lang w:val="nl-NL"/>
        </w:rPr>
        <w:t xml:space="preserve">en juridische procedures </w:t>
      </w:r>
      <w:r w:rsidR="00C653C1" w:rsidRPr="00C81DDC">
        <w:rPr>
          <w:rFonts w:cstheme="minorHAnsi"/>
          <w:sz w:val="24"/>
          <w:szCs w:val="24"/>
          <w:lang w:val="nl-NL"/>
        </w:rPr>
        <w:t xml:space="preserve">krijgen kinderrechten ook vorm op in sociale relaties, i.e. in de manier waarop </w:t>
      </w:r>
      <w:r w:rsidR="006508A1" w:rsidRPr="00C81DDC">
        <w:rPr>
          <w:rFonts w:cstheme="minorHAnsi"/>
          <w:sz w:val="24"/>
          <w:szCs w:val="24"/>
          <w:lang w:val="nl-NL"/>
        </w:rPr>
        <w:t xml:space="preserve">volwassenen en structuren in onze samenleving </w:t>
      </w:r>
      <w:r w:rsidR="00C653C1" w:rsidRPr="00C81DDC">
        <w:rPr>
          <w:rFonts w:cstheme="minorHAnsi"/>
          <w:sz w:val="24"/>
          <w:szCs w:val="24"/>
          <w:lang w:val="nl-NL"/>
        </w:rPr>
        <w:t xml:space="preserve">met </w:t>
      </w:r>
      <w:r w:rsidR="006508A1" w:rsidRPr="00C81DDC">
        <w:rPr>
          <w:rFonts w:cstheme="minorHAnsi"/>
          <w:sz w:val="24"/>
          <w:szCs w:val="24"/>
          <w:lang w:val="nl-NL"/>
        </w:rPr>
        <w:t>kinderen en jongeren</w:t>
      </w:r>
      <w:r w:rsidR="00C653C1" w:rsidRPr="00C81DDC">
        <w:rPr>
          <w:rFonts w:cstheme="minorHAnsi"/>
          <w:sz w:val="24"/>
          <w:szCs w:val="24"/>
          <w:lang w:val="nl-NL"/>
        </w:rPr>
        <w:t xml:space="preserve"> omgaan</w:t>
      </w:r>
      <w:r w:rsidR="004300FE" w:rsidRPr="00C81DDC">
        <w:rPr>
          <w:rFonts w:cstheme="minorHAnsi"/>
          <w:sz w:val="24"/>
          <w:szCs w:val="24"/>
          <w:lang w:val="nl-NL"/>
        </w:rPr>
        <w:t xml:space="preserve">. </w:t>
      </w:r>
      <w:r w:rsidR="006508A1" w:rsidRPr="00C81DDC">
        <w:rPr>
          <w:rFonts w:cstheme="minorHAnsi"/>
          <w:sz w:val="24"/>
          <w:szCs w:val="24"/>
        </w:rPr>
        <w:t xml:space="preserve">Dat uit zich </w:t>
      </w:r>
      <w:r w:rsidR="00AE7879">
        <w:rPr>
          <w:rFonts w:cstheme="minorHAnsi"/>
          <w:sz w:val="24"/>
          <w:szCs w:val="24"/>
        </w:rPr>
        <w:t xml:space="preserve">in elke professionele of persoonlijke context </w:t>
      </w:r>
      <w:r w:rsidR="006508A1" w:rsidRPr="00C81DDC">
        <w:rPr>
          <w:rFonts w:cstheme="minorHAnsi"/>
          <w:sz w:val="24"/>
          <w:szCs w:val="24"/>
        </w:rPr>
        <w:t xml:space="preserve">via onze houding, onze waarden, ons gedrag, onze </w:t>
      </w:r>
      <w:r w:rsidR="00CC1BFF" w:rsidRPr="00C81DDC">
        <w:rPr>
          <w:rFonts w:cstheme="minorHAnsi"/>
          <w:sz w:val="24"/>
          <w:szCs w:val="24"/>
        </w:rPr>
        <w:t>cultuur, onze overtuigingen</w:t>
      </w:r>
      <w:r w:rsidR="007F01D4">
        <w:rPr>
          <w:rFonts w:cstheme="minorHAnsi"/>
          <w:sz w:val="24"/>
          <w:szCs w:val="24"/>
        </w:rPr>
        <w:t>… In tegenstelling tot tastbare wetten en regels, is deze invulling van kinderrechten vaak moeilijker te vatten.</w:t>
      </w:r>
      <w:r w:rsidR="00AE7879">
        <w:rPr>
          <w:rFonts w:cstheme="minorHAnsi"/>
          <w:sz w:val="24"/>
          <w:szCs w:val="24"/>
        </w:rPr>
        <w:t xml:space="preserve"> </w:t>
      </w:r>
    </w:p>
    <w:p w:rsidR="007F01D4" w:rsidRPr="00385DF6" w:rsidRDefault="007F01D4" w:rsidP="00BF5E45">
      <w:pPr>
        <w:spacing w:line="276" w:lineRule="auto"/>
        <w:jc w:val="center"/>
        <w:rPr>
          <w:rFonts w:cstheme="minorHAnsi"/>
          <w:sz w:val="24"/>
          <w:szCs w:val="24"/>
        </w:rPr>
      </w:pPr>
      <w:r w:rsidRPr="00385DF6">
        <w:rPr>
          <w:rFonts w:cstheme="minorHAnsi"/>
          <w:noProof/>
          <w:sz w:val="24"/>
          <w:szCs w:val="24"/>
          <w:lang w:eastAsia="nl-BE"/>
        </w:rPr>
        <w:drawing>
          <wp:inline distT="0" distB="0" distL="0" distR="0" wp14:anchorId="7442D89B" wp14:editId="437CABD8">
            <wp:extent cx="5760720" cy="3398520"/>
            <wp:effectExtent l="0" t="0" r="0" b="0"/>
            <wp:docPr id="20485"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85" name="Afbeelding 4"/>
                    <pic:cNvPicPr>
                      <a:picLocks noChangeAspect="1" noChangeArrowheads="1"/>
                    </pic:cNvPicPr>
                  </pic:nvPicPr>
                  <pic:blipFill>
                    <a:blip r:embed="rId10">
                      <a:extLst>
                        <a:ext uri="{28A0092B-C50C-407E-A947-70E740481C1C}">
                          <a14:useLocalDpi xmlns:a14="http://schemas.microsoft.com/office/drawing/2010/main" val="0"/>
                        </a:ext>
                      </a:extLst>
                    </a:blip>
                    <a:srcRect l="12302" t="18578" r="12170"/>
                    <a:stretch>
                      <a:fillRect/>
                    </a:stretch>
                  </pic:blipFill>
                  <pic:spPr bwMode="auto">
                    <a:xfrm>
                      <a:off x="0" y="0"/>
                      <a:ext cx="5760720" cy="3398520"/>
                    </a:xfrm>
                    <a:prstGeom prst="rect">
                      <a:avLst/>
                    </a:prstGeom>
                    <a:noFill/>
                    <a:ln>
                      <a:noFill/>
                    </a:ln>
                    <a:extLst/>
                  </pic:spPr>
                </pic:pic>
              </a:graphicData>
            </a:graphic>
          </wp:inline>
        </w:drawing>
      </w:r>
    </w:p>
    <w:p w:rsidR="007F01D4" w:rsidRDefault="007F01D4" w:rsidP="00BF5E45">
      <w:pPr>
        <w:spacing w:line="276" w:lineRule="auto"/>
        <w:rPr>
          <w:rFonts w:cstheme="minorHAnsi"/>
          <w:sz w:val="24"/>
          <w:szCs w:val="24"/>
        </w:rPr>
      </w:pPr>
      <w:r w:rsidRPr="00385DF6">
        <w:rPr>
          <w:rFonts w:cstheme="minorHAnsi"/>
          <w:sz w:val="24"/>
          <w:szCs w:val="24"/>
        </w:rPr>
        <w:t>De metafoor van een ijsberg kan helpen om deze tweedeling te illustreren. Een ijsberg bestaat uit een zichtbaar en een onzichtbaar gedeelte. Als we ons op zeeniveau bevinden, gaat onze aandacht vooral uit naar het (beperkte) zichtbare gedeelte: dat is wat tastbaar is, waar beleid doorgaans op beoordeeld wordt</w:t>
      </w:r>
      <w:r w:rsidR="001B5B4B">
        <w:rPr>
          <w:rFonts w:cstheme="minorHAnsi"/>
          <w:sz w:val="24"/>
          <w:szCs w:val="24"/>
        </w:rPr>
        <w:t xml:space="preserve"> en waar de regelgeving zit</w:t>
      </w:r>
      <w:r w:rsidRPr="00385DF6">
        <w:rPr>
          <w:rFonts w:cstheme="minorHAnsi"/>
          <w:sz w:val="24"/>
          <w:szCs w:val="24"/>
        </w:rPr>
        <w:t xml:space="preserve">. Het omvangrijke gedeelte dat zich onder de zeespiegel bevindt, is </w:t>
      </w:r>
      <w:r>
        <w:rPr>
          <w:rFonts w:cstheme="minorHAnsi"/>
          <w:sz w:val="24"/>
          <w:szCs w:val="24"/>
        </w:rPr>
        <w:t xml:space="preserve">echter </w:t>
      </w:r>
      <w:r w:rsidRPr="00385DF6">
        <w:rPr>
          <w:rFonts w:cstheme="minorHAnsi"/>
          <w:sz w:val="24"/>
          <w:szCs w:val="24"/>
        </w:rPr>
        <w:t xml:space="preserve">minstens even invloedrijk, maar blijft vaak verborgen of onbenoemd, zeker op politiek niveau. </w:t>
      </w:r>
      <w:r>
        <w:rPr>
          <w:rFonts w:cstheme="minorHAnsi"/>
          <w:sz w:val="24"/>
          <w:szCs w:val="24"/>
        </w:rPr>
        <w:t>Net als bij een ijsberg zijn b</w:t>
      </w:r>
      <w:r w:rsidRPr="00385DF6">
        <w:rPr>
          <w:rFonts w:cstheme="minorHAnsi"/>
          <w:sz w:val="24"/>
          <w:szCs w:val="24"/>
        </w:rPr>
        <w:t>eide delen onlosmakelijk verbonden en sterk verweven. Waar we ons in eerste instantie vaak blind staren op de bovenkant van de ijsberg, speelt de onderkant vaak minstens een even grote rol als we vastlopen op het realiseren van kinderrechten of het versterken van de positie van kinderen en jongeren in onze samenleving.</w:t>
      </w:r>
    </w:p>
    <w:p w:rsidR="007F01D4" w:rsidRDefault="007F01D4" w:rsidP="00BF5E45">
      <w:pPr>
        <w:spacing w:line="276" w:lineRule="auto"/>
        <w:rPr>
          <w:rFonts w:cstheme="minorHAnsi"/>
          <w:sz w:val="24"/>
          <w:szCs w:val="24"/>
        </w:rPr>
      </w:pPr>
    </w:p>
    <w:p w:rsidR="007F01D4" w:rsidRPr="007F01D4" w:rsidRDefault="00AE7879" w:rsidP="00BF5E45">
      <w:pPr>
        <w:spacing w:line="276" w:lineRule="auto"/>
        <w:rPr>
          <w:rFonts w:cstheme="minorHAnsi"/>
          <w:b/>
          <w:sz w:val="24"/>
          <w:szCs w:val="24"/>
        </w:rPr>
      </w:pPr>
      <w:r>
        <w:rPr>
          <w:rFonts w:cstheme="minorHAnsi"/>
          <w:b/>
          <w:sz w:val="24"/>
          <w:szCs w:val="24"/>
        </w:rPr>
        <w:t>Kinderrechten vormgeven door kritische reflectie</w:t>
      </w:r>
    </w:p>
    <w:p w:rsidR="0016283A" w:rsidRDefault="00AE7879" w:rsidP="00BF5E45">
      <w:pPr>
        <w:spacing w:line="276" w:lineRule="auto"/>
        <w:rPr>
          <w:rFonts w:cstheme="minorHAnsi"/>
          <w:sz w:val="24"/>
          <w:szCs w:val="24"/>
        </w:rPr>
      </w:pPr>
      <w:r>
        <w:rPr>
          <w:rFonts w:cstheme="minorHAnsi"/>
          <w:sz w:val="24"/>
          <w:szCs w:val="24"/>
        </w:rPr>
        <w:t>Waar implementatie van juridische instrumenten zich in een rechtssysteem bevindt</w:t>
      </w:r>
      <w:r w:rsidRPr="00C81DDC">
        <w:rPr>
          <w:rFonts w:cstheme="minorHAnsi"/>
          <w:sz w:val="24"/>
          <w:szCs w:val="24"/>
        </w:rPr>
        <w:t xml:space="preserve">, </w:t>
      </w:r>
      <w:r>
        <w:rPr>
          <w:rFonts w:cstheme="minorHAnsi"/>
          <w:sz w:val="24"/>
          <w:szCs w:val="24"/>
        </w:rPr>
        <w:t>krijgt de relationele invulling van kinderrechten vorm via</w:t>
      </w:r>
      <w:r w:rsidRPr="00C81DDC">
        <w:rPr>
          <w:rFonts w:cstheme="minorHAnsi"/>
          <w:sz w:val="24"/>
          <w:szCs w:val="24"/>
        </w:rPr>
        <w:t xml:space="preserve"> kritische reflectie</w:t>
      </w:r>
      <w:r>
        <w:rPr>
          <w:rFonts w:cstheme="minorHAnsi"/>
          <w:sz w:val="24"/>
          <w:szCs w:val="24"/>
        </w:rPr>
        <w:t xml:space="preserve">. Door kritisch stil te staan bij je eigen houding en de context waarin je met kinderen en jongeren aan de slag gaat, </w:t>
      </w:r>
      <w:r>
        <w:rPr>
          <w:sz w:val="24"/>
          <w:szCs w:val="24"/>
        </w:rPr>
        <w:t>kan je leren hoe het komt dat je vastloopt op de onderkant van de ijsberg, en wat je daaraan kan doen</w:t>
      </w:r>
      <w:r w:rsidRPr="00385DF6">
        <w:rPr>
          <w:sz w:val="24"/>
          <w:szCs w:val="24"/>
        </w:rPr>
        <w:t xml:space="preserve">. </w:t>
      </w:r>
      <w:r w:rsidRPr="00385DF6">
        <w:rPr>
          <w:rFonts w:cstheme="minorHAnsi"/>
          <w:sz w:val="24"/>
          <w:szCs w:val="24"/>
        </w:rPr>
        <w:t xml:space="preserve">Reflectie betekent dat je een staat van twijfel toelaat om kritisch na te denken over je handelen in bepaalde situaties. </w:t>
      </w:r>
      <w:r>
        <w:rPr>
          <w:rFonts w:cstheme="minorHAnsi"/>
          <w:sz w:val="24"/>
          <w:szCs w:val="24"/>
        </w:rPr>
        <w:t xml:space="preserve">Kinderrechten kunnen een referentiekader zijn om deze reflectie vorm te geven. </w:t>
      </w:r>
    </w:p>
    <w:p w:rsidR="007F01D4" w:rsidRDefault="00AE7879" w:rsidP="00BF5E45">
      <w:pPr>
        <w:spacing w:line="276" w:lineRule="auto"/>
        <w:rPr>
          <w:sz w:val="24"/>
          <w:szCs w:val="24"/>
        </w:rPr>
      </w:pPr>
      <w:r>
        <w:rPr>
          <w:rFonts w:cstheme="minorHAnsi"/>
          <w:sz w:val="24"/>
          <w:szCs w:val="24"/>
        </w:rPr>
        <w:t xml:space="preserve">Zo kan je bijvoorbeeld stilstaan bij je kindbeeld. </w:t>
      </w:r>
      <w:r w:rsidR="00C81DDC" w:rsidRPr="00C81DDC">
        <w:rPr>
          <w:rFonts w:cstheme="minorHAnsi"/>
          <w:sz w:val="24"/>
          <w:szCs w:val="24"/>
        </w:rPr>
        <w:t xml:space="preserve">Je kindbeeld staat voor je visie op kinderen en jongeren, hoe je naar kinderen en jongeren kijkt. </w:t>
      </w:r>
      <w:r w:rsidR="00CC1BFF" w:rsidRPr="00C81DDC">
        <w:rPr>
          <w:rFonts w:cstheme="minorHAnsi"/>
          <w:sz w:val="24"/>
          <w:szCs w:val="24"/>
        </w:rPr>
        <w:t>In onze westerse samenleving vinden we een kindbeeld terug dat zich doorgaans op een as bevindt tussen twee uitersten: welzijn (met een focus op bescherming en voorziening) en agency (met een focus op participatierechten). Moeten kinderen vooral beschermd worden, of willen we net hun competenties, hun mogelijkheden in de verf zetten? Dit gaat terug op de 3 P’s en geeft inzicht in welke van die P</w:t>
      </w:r>
      <w:r w:rsidR="00C81DDC" w:rsidRPr="00C81DDC">
        <w:rPr>
          <w:rFonts w:cstheme="minorHAnsi"/>
          <w:sz w:val="24"/>
          <w:szCs w:val="24"/>
        </w:rPr>
        <w:t>’</w:t>
      </w:r>
      <w:r w:rsidR="00CC1BFF" w:rsidRPr="00C81DDC">
        <w:rPr>
          <w:rFonts w:cstheme="minorHAnsi"/>
          <w:sz w:val="24"/>
          <w:szCs w:val="24"/>
        </w:rPr>
        <w:t>s we</w:t>
      </w:r>
      <w:r w:rsidR="00C81DDC" w:rsidRPr="00C81DDC">
        <w:rPr>
          <w:rFonts w:cstheme="minorHAnsi"/>
          <w:sz w:val="24"/>
          <w:szCs w:val="24"/>
        </w:rPr>
        <w:t xml:space="preserve"> in onze dagelijkse omgang met kinderen en jongeren</w:t>
      </w:r>
      <w:r w:rsidR="00CC1BFF" w:rsidRPr="00C81DDC">
        <w:rPr>
          <w:rFonts w:cstheme="minorHAnsi"/>
          <w:sz w:val="24"/>
          <w:szCs w:val="24"/>
        </w:rPr>
        <w:t xml:space="preserve"> doorgaans het zwaarst laten doorwegen.</w:t>
      </w:r>
      <w:r w:rsidR="007F01D4">
        <w:rPr>
          <w:rFonts w:cstheme="minorHAnsi"/>
          <w:sz w:val="24"/>
          <w:szCs w:val="24"/>
        </w:rPr>
        <w:t xml:space="preserve"> </w:t>
      </w:r>
      <w:r w:rsidR="007F01D4" w:rsidRPr="00385DF6">
        <w:rPr>
          <w:sz w:val="24"/>
          <w:szCs w:val="24"/>
        </w:rPr>
        <w:t>Kinderrechten nodigen uit om beide kanten in balans te brengen.</w:t>
      </w:r>
    </w:p>
    <w:p w:rsidR="00AE7879" w:rsidRPr="00385DF6" w:rsidRDefault="00AE7879" w:rsidP="00BF5E45">
      <w:pPr>
        <w:spacing w:line="276" w:lineRule="auto"/>
        <w:rPr>
          <w:sz w:val="24"/>
          <w:szCs w:val="24"/>
        </w:rPr>
      </w:pPr>
      <w:r w:rsidRPr="00385DF6">
        <w:rPr>
          <w:sz w:val="24"/>
          <w:szCs w:val="24"/>
        </w:rPr>
        <w:t xml:space="preserve">Wil je zicht krijgen op je kindbeeld en hoe het je werk beïnvloedt, </w:t>
      </w:r>
      <w:r w:rsidR="00986501">
        <w:rPr>
          <w:sz w:val="24"/>
          <w:szCs w:val="24"/>
        </w:rPr>
        <w:t>kan je je afvragen</w:t>
      </w:r>
      <w:r w:rsidRPr="00385DF6">
        <w:rPr>
          <w:sz w:val="24"/>
          <w:szCs w:val="24"/>
        </w:rPr>
        <w:t xml:space="preserve">: welk kindbeeld overheerst in mijn werkcontext? Hoe kijk ik zelf naar kinderen en jongeren? Welke taal gebruik ik om dit beeld te omschrijven? Verschilt mijn kindbeeld en dat van mijn collega’s en/of de mensen met wie ik samenwerk rond een project? Verandert mijn kindbeeld als ik de focus verleg naar kwetsbare groepen kinderen en </w:t>
      </w:r>
      <w:r w:rsidRPr="001B5B4B">
        <w:rPr>
          <w:sz w:val="24"/>
          <w:szCs w:val="24"/>
        </w:rPr>
        <w:t>jongeren?</w:t>
      </w:r>
      <w:r w:rsidR="00B67F97" w:rsidRPr="001B5B4B">
        <w:rPr>
          <w:sz w:val="24"/>
          <w:szCs w:val="24"/>
        </w:rPr>
        <w:t xml:space="preserve"> </w:t>
      </w:r>
      <w:r w:rsidR="00B67F97" w:rsidRPr="001B5B4B">
        <w:rPr>
          <w:rFonts w:cstheme="minorHAnsi"/>
          <w:sz w:val="24"/>
          <w:szCs w:val="24"/>
        </w:rPr>
        <w:t xml:space="preserve">Zo zou het </w:t>
      </w:r>
      <w:r w:rsidR="001B5B4B" w:rsidRPr="001B5B4B">
        <w:rPr>
          <w:rFonts w:cstheme="minorHAnsi"/>
          <w:sz w:val="24"/>
          <w:szCs w:val="24"/>
        </w:rPr>
        <w:t xml:space="preserve">lokaal </w:t>
      </w:r>
      <w:r w:rsidR="00B67F97" w:rsidRPr="001B5B4B">
        <w:rPr>
          <w:rFonts w:cstheme="minorHAnsi"/>
          <w:sz w:val="24"/>
          <w:szCs w:val="24"/>
        </w:rPr>
        <w:t>bijvoorbeeld kunnen dat de jeugddienst een heel ander kindbeeld hanteert dan de dienst bestuurszaken, milieu of mobiliteit, waardoor je maar moeilijk op één lijn komt met je collega’s. Dit kan grote gevolgen hebben voor een integraal kindvriendelijk beleid.</w:t>
      </w:r>
    </w:p>
    <w:p w:rsidR="004300FE" w:rsidRDefault="00986501" w:rsidP="00BF5E45">
      <w:pPr>
        <w:spacing w:line="276" w:lineRule="auto"/>
        <w:rPr>
          <w:rFonts w:cstheme="minorHAnsi"/>
          <w:sz w:val="24"/>
          <w:szCs w:val="24"/>
        </w:rPr>
      </w:pPr>
      <w:r>
        <w:rPr>
          <w:rFonts w:cstheme="minorHAnsi"/>
          <w:sz w:val="24"/>
          <w:szCs w:val="24"/>
        </w:rPr>
        <w:t xml:space="preserve">Je kan </w:t>
      </w:r>
      <w:r w:rsidR="00AE7879">
        <w:rPr>
          <w:rFonts w:cstheme="minorHAnsi"/>
          <w:sz w:val="24"/>
          <w:szCs w:val="24"/>
        </w:rPr>
        <w:t>reflectievragen ook specifiek</w:t>
      </w:r>
      <w:r>
        <w:rPr>
          <w:rFonts w:cstheme="minorHAnsi"/>
          <w:sz w:val="24"/>
          <w:szCs w:val="24"/>
        </w:rPr>
        <w:t>er</w:t>
      </w:r>
      <w:r w:rsidR="00AE7879">
        <w:rPr>
          <w:rFonts w:cstheme="minorHAnsi"/>
          <w:sz w:val="24"/>
          <w:szCs w:val="24"/>
        </w:rPr>
        <w:t xml:space="preserve"> t</w:t>
      </w:r>
      <w:r>
        <w:rPr>
          <w:rFonts w:cstheme="minorHAnsi"/>
          <w:sz w:val="24"/>
          <w:szCs w:val="24"/>
        </w:rPr>
        <w:t>oepassen</w:t>
      </w:r>
      <w:r w:rsidR="00AE7879">
        <w:rPr>
          <w:rFonts w:cstheme="minorHAnsi"/>
          <w:sz w:val="24"/>
          <w:szCs w:val="24"/>
        </w:rPr>
        <w:t>. A</w:t>
      </w:r>
      <w:r w:rsidR="006508A1" w:rsidRPr="00385DF6">
        <w:rPr>
          <w:rFonts w:cstheme="minorHAnsi"/>
          <w:sz w:val="24"/>
          <w:szCs w:val="24"/>
        </w:rPr>
        <w:t xml:space="preserve">ls de familierechter kinderen hoort tijdens de scheidingsprocedure, </w:t>
      </w:r>
      <w:r w:rsidR="00AE7879">
        <w:rPr>
          <w:rFonts w:cstheme="minorHAnsi"/>
          <w:sz w:val="24"/>
          <w:szCs w:val="24"/>
        </w:rPr>
        <w:t xml:space="preserve">bijvoorbeeld, </w:t>
      </w:r>
      <w:r w:rsidR="006508A1" w:rsidRPr="00385DF6">
        <w:rPr>
          <w:rFonts w:cstheme="minorHAnsi"/>
          <w:sz w:val="24"/>
          <w:szCs w:val="24"/>
        </w:rPr>
        <w:t xml:space="preserve">gaat hij of zij er dan van uit dat de kinderen iets wezenlijks kunnen bijdragen aan het eindresultaat? </w:t>
      </w:r>
      <w:r w:rsidR="00B67F97">
        <w:rPr>
          <w:rFonts w:cstheme="minorHAnsi"/>
          <w:sz w:val="24"/>
          <w:szCs w:val="24"/>
        </w:rPr>
        <w:t xml:space="preserve">Als de burgemeester </w:t>
      </w:r>
      <w:r w:rsidR="00AE7879">
        <w:rPr>
          <w:rFonts w:cstheme="minorHAnsi"/>
          <w:sz w:val="24"/>
          <w:szCs w:val="24"/>
        </w:rPr>
        <w:t xml:space="preserve">kinderen </w:t>
      </w:r>
      <w:r w:rsidR="00B67F97">
        <w:rPr>
          <w:rFonts w:cstheme="minorHAnsi"/>
          <w:sz w:val="24"/>
          <w:szCs w:val="24"/>
        </w:rPr>
        <w:t xml:space="preserve">en jongeren </w:t>
      </w:r>
      <w:r w:rsidR="00AE7879">
        <w:rPr>
          <w:rFonts w:cstheme="minorHAnsi"/>
          <w:sz w:val="24"/>
          <w:szCs w:val="24"/>
        </w:rPr>
        <w:t xml:space="preserve">de mogelijkheid </w:t>
      </w:r>
      <w:r w:rsidR="00B67F97">
        <w:rPr>
          <w:rFonts w:cstheme="minorHAnsi"/>
          <w:sz w:val="24"/>
          <w:szCs w:val="24"/>
        </w:rPr>
        <w:t xml:space="preserve">biedt </w:t>
      </w:r>
      <w:r w:rsidR="00AE7879">
        <w:rPr>
          <w:rFonts w:cstheme="minorHAnsi"/>
          <w:sz w:val="24"/>
          <w:szCs w:val="24"/>
        </w:rPr>
        <w:t>tot inspraak via een bevraging</w:t>
      </w:r>
      <w:r w:rsidR="00B67F97">
        <w:rPr>
          <w:rFonts w:cstheme="minorHAnsi"/>
          <w:sz w:val="24"/>
          <w:szCs w:val="24"/>
        </w:rPr>
        <w:t>, is er dan ook effectief ruimte binnen het beleid om met die mening rekening te houden en verandering toe te laten?</w:t>
      </w:r>
      <w:r w:rsidR="00AE7879" w:rsidRPr="00385DF6">
        <w:rPr>
          <w:rFonts w:cstheme="minorHAnsi"/>
          <w:sz w:val="24"/>
          <w:szCs w:val="24"/>
        </w:rPr>
        <w:t xml:space="preserve"> </w:t>
      </w:r>
      <w:r w:rsidR="006508A1" w:rsidRPr="00385DF6">
        <w:rPr>
          <w:rFonts w:cstheme="minorHAnsi"/>
          <w:sz w:val="24"/>
          <w:szCs w:val="24"/>
        </w:rPr>
        <w:t>Of, wanneer de Jeugdraad een advies geeft, wordt de expertise van kinderen en jongeren dan echt ernstig genomen? Geven we kinderen vooral ruimte als ze willen spelen (wat we associëren met onschuld, lief zijn, vrije tijd, leuke dingen doen…) of mogen jongeren de publieke ruimte ook gebruiken om te ‘hangen’ (wat we associëren met onveiligheid, belangenconflicten of zelfs sancties, denk maar aan GAS-boetes voor kinderen en jongeren</w:t>
      </w:r>
      <w:r w:rsidR="006C6A1B" w:rsidRPr="00385DF6">
        <w:rPr>
          <w:rFonts w:cstheme="minorHAnsi"/>
          <w:sz w:val="24"/>
          <w:szCs w:val="24"/>
        </w:rPr>
        <w:t>)? Houden we inspraak van kinderen en jongeren liever beperkt tot de ‘klassieke’ jeugd-domeinen zoals vrije tijd en onderwijs, of mag hun stem eveneens doorwegen in thema’s die hen sterk aanbelangen maar doorgaans vanuit het perspectief van volwassenen worden ingevuld, zoals mobiliteit, duurzaamheid of wonen?</w:t>
      </w:r>
    </w:p>
    <w:p w:rsidR="0016283A" w:rsidRPr="00AE7879" w:rsidRDefault="0016283A" w:rsidP="00BF5E45">
      <w:pPr>
        <w:spacing w:line="276" w:lineRule="auto"/>
        <w:rPr>
          <w:rFonts w:cstheme="minorHAnsi"/>
          <w:sz w:val="24"/>
          <w:szCs w:val="24"/>
        </w:rPr>
      </w:pPr>
      <w:r>
        <w:rPr>
          <w:rFonts w:cstheme="minorHAnsi"/>
          <w:sz w:val="24"/>
          <w:szCs w:val="24"/>
        </w:rPr>
        <w:t>Aan de hand van reflectievragen als deze,</w:t>
      </w:r>
      <w:r w:rsidRPr="00385DF6">
        <w:rPr>
          <w:rFonts w:cstheme="minorHAnsi"/>
          <w:sz w:val="24"/>
          <w:szCs w:val="24"/>
        </w:rPr>
        <w:t xml:space="preserve"> kan je impli</w:t>
      </w:r>
      <w:r>
        <w:rPr>
          <w:rFonts w:cstheme="minorHAnsi"/>
          <w:sz w:val="24"/>
          <w:szCs w:val="24"/>
        </w:rPr>
        <w:t xml:space="preserve">ciete veronderstellingen ten aanzien van </w:t>
      </w:r>
      <w:r w:rsidRPr="00385DF6">
        <w:rPr>
          <w:rFonts w:cstheme="minorHAnsi"/>
          <w:sz w:val="24"/>
          <w:szCs w:val="24"/>
        </w:rPr>
        <w:t xml:space="preserve">kinderen en jongeren expliciet maken en je eigen </w:t>
      </w:r>
      <w:r w:rsidR="007A4E5E">
        <w:rPr>
          <w:rFonts w:cstheme="minorHAnsi"/>
          <w:sz w:val="24"/>
          <w:szCs w:val="24"/>
        </w:rPr>
        <w:t>basishouding</w:t>
      </w:r>
      <w:r w:rsidRPr="00385DF6">
        <w:rPr>
          <w:rFonts w:cstheme="minorHAnsi"/>
          <w:sz w:val="24"/>
          <w:szCs w:val="24"/>
        </w:rPr>
        <w:t xml:space="preserve"> als volwassene of professional beter inschatten, begrijpen, en waar nodig bijsturen. Reflectie kan ook helpen om bepaalde grenzen waar je op botst binnen je bestuur of functie</w:t>
      </w:r>
      <w:r>
        <w:rPr>
          <w:rFonts w:cstheme="minorHAnsi"/>
          <w:sz w:val="24"/>
          <w:szCs w:val="24"/>
        </w:rPr>
        <w:t>,</w:t>
      </w:r>
      <w:r w:rsidRPr="00385DF6">
        <w:rPr>
          <w:rFonts w:cstheme="minorHAnsi"/>
          <w:sz w:val="24"/>
          <w:szCs w:val="24"/>
        </w:rPr>
        <w:t xml:space="preserve"> beter te situeren.</w:t>
      </w:r>
      <w:r>
        <w:rPr>
          <w:rFonts w:cstheme="minorHAnsi"/>
          <w:sz w:val="24"/>
          <w:szCs w:val="24"/>
        </w:rPr>
        <w:t xml:space="preserve"> </w:t>
      </w:r>
    </w:p>
    <w:p w:rsidR="002016BC" w:rsidRDefault="002016BC" w:rsidP="00BF5E45">
      <w:pPr>
        <w:spacing w:line="276" w:lineRule="auto"/>
        <w:rPr>
          <w:rFonts w:cstheme="minorHAnsi"/>
          <w:sz w:val="24"/>
          <w:szCs w:val="24"/>
        </w:rPr>
      </w:pPr>
    </w:p>
    <w:p w:rsidR="00B67F97" w:rsidRPr="00F80560" w:rsidRDefault="00A6669A" w:rsidP="00F80560">
      <w:pPr>
        <w:spacing w:line="276" w:lineRule="auto"/>
        <w:rPr>
          <w:rFonts w:cstheme="minorHAnsi"/>
          <w:b/>
          <w:sz w:val="24"/>
          <w:szCs w:val="24"/>
        </w:rPr>
      </w:pPr>
      <w:r>
        <w:rPr>
          <w:rFonts w:cstheme="minorHAnsi"/>
          <w:b/>
          <w:sz w:val="24"/>
          <w:szCs w:val="24"/>
        </w:rPr>
        <w:t>Aan de slag met e</w:t>
      </w:r>
      <w:r w:rsidR="00B67F97" w:rsidRPr="00F80560">
        <w:rPr>
          <w:rFonts w:cstheme="minorHAnsi"/>
          <w:b/>
          <w:sz w:val="24"/>
          <w:szCs w:val="24"/>
        </w:rPr>
        <w:t>nkele uitdagingen voor beleid en praktijk</w:t>
      </w:r>
    </w:p>
    <w:p w:rsidR="00F80560" w:rsidRDefault="00F80560" w:rsidP="00F80560">
      <w:pPr>
        <w:spacing w:line="276" w:lineRule="auto"/>
        <w:rPr>
          <w:sz w:val="24"/>
          <w:szCs w:val="24"/>
        </w:rPr>
      </w:pPr>
      <w:r w:rsidRPr="00F80560">
        <w:rPr>
          <w:sz w:val="24"/>
          <w:szCs w:val="24"/>
        </w:rPr>
        <w:t>Deze tekst vormt een pleidooi om de juridische implementatie van kinderrechten niet los te z</w:t>
      </w:r>
      <w:r>
        <w:rPr>
          <w:sz w:val="24"/>
          <w:szCs w:val="24"/>
        </w:rPr>
        <w:t xml:space="preserve">ien van onze dagelijkse rol en </w:t>
      </w:r>
      <w:r w:rsidRPr="00F80560">
        <w:rPr>
          <w:sz w:val="24"/>
          <w:szCs w:val="24"/>
        </w:rPr>
        <w:t xml:space="preserve">omgang met kinderen en jongeren. Juridische en maatschappelijke versterking van </w:t>
      </w:r>
      <w:r>
        <w:rPr>
          <w:sz w:val="24"/>
          <w:szCs w:val="24"/>
        </w:rPr>
        <w:t>kinder</w:t>
      </w:r>
      <w:r w:rsidRPr="00F80560">
        <w:rPr>
          <w:sz w:val="24"/>
          <w:szCs w:val="24"/>
        </w:rPr>
        <w:t xml:space="preserve">rechten gaan hand en hand. </w:t>
      </w:r>
    </w:p>
    <w:p w:rsidR="00F80560" w:rsidRPr="00F80560" w:rsidRDefault="00F80560" w:rsidP="00F80560">
      <w:pPr>
        <w:spacing w:line="276" w:lineRule="auto"/>
        <w:rPr>
          <w:sz w:val="24"/>
          <w:szCs w:val="24"/>
        </w:rPr>
      </w:pPr>
      <w:r>
        <w:rPr>
          <w:sz w:val="24"/>
          <w:szCs w:val="24"/>
        </w:rPr>
        <w:t xml:space="preserve">Op juridisch vlak staan beleid en praktijk voor concrete uitdagingen om de rechtspositie van kinderen en jongeren in onze samenleving verder uit te bouwen. </w:t>
      </w:r>
      <w:r w:rsidRPr="00F80560">
        <w:rPr>
          <w:sz w:val="24"/>
          <w:szCs w:val="24"/>
        </w:rPr>
        <w:t xml:space="preserve">Rechten toegekend krijgen via het Verdrag of andere juridische instrumenten betekent niet automatisch dat kinderen en jongeren hun rechten ook kunnen afdwingen of realiseren. Om </w:t>
      </w:r>
      <w:r>
        <w:rPr>
          <w:sz w:val="24"/>
          <w:szCs w:val="24"/>
        </w:rPr>
        <w:t>kinderrechten</w:t>
      </w:r>
      <w:r w:rsidRPr="00F80560">
        <w:rPr>
          <w:sz w:val="24"/>
          <w:szCs w:val="24"/>
        </w:rPr>
        <w:t xml:space="preserve"> juridisch te versterken, kan de rechtspraak meer gebruik maken van specifieke bepalingen uit het Kinderrechtenverdrag en deze directe werking toekennen. Zelfstandige toegang tot de rechter, al dan niet via directe werking van artikel 12 VRK, zou de positie van kinderen en jongeren in onze samenleving</w:t>
      </w:r>
      <w:r>
        <w:rPr>
          <w:sz w:val="24"/>
          <w:szCs w:val="24"/>
        </w:rPr>
        <w:t xml:space="preserve"> alvast</w:t>
      </w:r>
      <w:r w:rsidRPr="00F80560">
        <w:rPr>
          <w:sz w:val="24"/>
          <w:szCs w:val="24"/>
        </w:rPr>
        <w:t xml:space="preserve"> sterk ten goede komen. </w:t>
      </w:r>
    </w:p>
    <w:p w:rsidR="002016BC" w:rsidRDefault="00F80560" w:rsidP="00F80560">
      <w:pPr>
        <w:spacing w:line="276" w:lineRule="auto"/>
        <w:rPr>
          <w:sz w:val="24"/>
          <w:szCs w:val="24"/>
        </w:rPr>
      </w:pPr>
      <w:r>
        <w:rPr>
          <w:sz w:val="24"/>
          <w:szCs w:val="24"/>
        </w:rPr>
        <w:t>Op maatschappelijk en relationeel niveau kan kritische reflectie helpen</w:t>
      </w:r>
      <w:r w:rsidRPr="00F80560">
        <w:rPr>
          <w:sz w:val="24"/>
          <w:szCs w:val="24"/>
        </w:rPr>
        <w:t xml:space="preserve"> een zinvol leerproces in gang zetten</w:t>
      </w:r>
      <w:r>
        <w:rPr>
          <w:sz w:val="24"/>
          <w:szCs w:val="24"/>
        </w:rPr>
        <w:t xml:space="preserve"> voor elke volwassene, organisatie of structuur die met </w:t>
      </w:r>
      <w:r w:rsidR="00986501">
        <w:rPr>
          <w:sz w:val="24"/>
          <w:szCs w:val="24"/>
        </w:rPr>
        <w:t xml:space="preserve">of voor </w:t>
      </w:r>
      <w:r>
        <w:rPr>
          <w:sz w:val="24"/>
          <w:szCs w:val="24"/>
        </w:rPr>
        <w:t xml:space="preserve">kinderen en jongeren </w:t>
      </w:r>
      <w:r w:rsidR="00986501">
        <w:rPr>
          <w:sz w:val="24"/>
          <w:szCs w:val="24"/>
        </w:rPr>
        <w:t>werkt</w:t>
      </w:r>
      <w:r w:rsidRPr="00F80560">
        <w:rPr>
          <w:sz w:val="24"/>
          <w:szCs w:val="24"/>
        </w:rPr>
        <w:t>.</w:t>
      </w:r>
      <w:r>
        <w:rPr>
          <w:rFonts w:cstheme="minorHAnsi"/>
          <w:sz w:val="24"/>
          <w:szCs w:val="24"/>
        </w:rPr>
        <w:t xml:space="preserve"> O</w:t>
      </w:r>
      <w:r w:rsidR="002016BC" w:rsidRPr="00F80560">
        <w:rPr>
          <w:rFonts w:cstheme="minorHAnsi"/>
          <w:sz w:val="24"/>
          <w:szCs w:val="24"/>
        </w:rPr>
        <w:t xml:space="preserve">m beleidsmakers of organisaties te ondersteunen, ontwikkelt KeKi </w:t>
      </w:r>
      <w:r w:rsidR="00A6669A">
        <w:rPr>
          <w:rFonts w:cstheme="minorHAnsi"/>
          <w:sz w:val="24"/>
          <w:szCs w:val="24"/>
        </w:rPr>
        <w:t xml:space="preserve">op basis van wetenschappelijk onderzoek en interviews met experten </w:t>
      </w:r>
      <w:r w:rsidR="002016BC" w:rsidRPr="00F80560">
        <w:rPr>
          <w:rFonts w:cstheme="minorHAnsi"/>
          <w:sz w:val="24"/>
          <w:szCs w:val="24"/>
        </w:rPr>
        <w:t>een instrument om</w:t>
      </w:r>
      <w:r w:rsidR="00986501">
        <w:rPr>
          <w:rFonts w:cstheme="minorHAnsi"/>
          <w:sz w:val="24"/>
          <w:szCs w:val="24"/>
        </w:rPr>
        <w:t xml:space="preserve"> een</w:t>
      </w:r>
      <w:r w:rsidR="002016BC" w:rsidRPr="00F80560">
        <w:rPr>
          <w:rFonts w:cstheme="minorHAnsi"/>
          <w:sz w:val="24"/>
          <w:szCs w:val="24"/>
        </w:rPr>
        <w:t xml:space="preserve"> reflectie</w:t>
      </w:r>
      <w:r w:rsidR="00986501">
        <w:rPr>
          <w:rFonts w:cstheme="minorHAnsi"/>
          <w:sz w:val="24"/>
          <w:szCs w:val="24"/>
        </w:rPr>
        <w:t>ve dialoog</w:t>
      </w:r>
      <w:r w:rsidR="002016BC" w:rsidRPr="00F80560">
        <w:rPr>
          <w:rFonts w:cstheme="minorHAnsi"/>
          <w:sz w:val="24"/>
          <w:szCs w:val="24"/>
        </w:rPr>
        <w:t xml:space="preserve"> vanuit kinderrechten op gang te brengen.</w:t>
      </w:r>
      <w:r w:rsidR="002016BC" w:rsidRPr="00F80560">
        <w:rPr>
          <w:rStyle w:val="Voetnootmarkering"/>
          <w:rFonts w:cstheme="minorHAnsi"/>
          <w:sz w:val="24"/>
          <w:szCs w:val="24"/>
        </w:rPr>
        <w:footnoteReference w:id="14"/>
      </w:r>
      <w:r w:rsidR="002016BC" w:rsidRPr="00F80560">
        <w:rPr>
          <w:rFonts w:cstheme="minorHAnsi"/>
          <w:sz w:val="24"/>
          <w:szCs w:val="24"/>
        </w:rPr>
        <w:t xml:space="preserve"> </w:t>
      </w:r>
      <w:r w:rsidR="00986501">
        <w:rPr>
          <w:sz w:val="24"/>
          <w:szCs w:val="24"/>
        </w:rPr>
        <w:t>Daar bestaat gee</w:t>
      </w:r>
      <w:r w:rsidR="00986501" w:rsidRPr="00F80560">
        <w:rPr>
          <w:rFonts w:cstheme="minorHAnsi"/>
          <w:sz w:val="24"/>
          <w:szCs w:val="24"/>
        </w:rPr>
        <w:t xml:space="preserve">n recept </w:t>
      </w:r>
      <w:r w:rsidR="00986501">
        <w:rPr>
          <w:rFonts w:cstheme="minorHAnsi"/>
          <w:sz w:val="24"/>
          <w:szCs w:val="24"/>
        </w:rPr>
        <w:t xml:space="preserve">of blauwdruk voor </w:t>
      </w:r>
      <w:r w:rsidR="00986501" w:rsidRPr="00F80560">
        <w:rPr>
          <w:rFonts w:cstheme="minorHAnsi"/>
          <w:sz w:val="24"/>
          <w:szCs w:val="24"/>
        </w:rPr>
        <w:t>met</w:t>
      </w:r>
      <w:r w:rsidR="00986501">
        <w:rPr>
          <w:rFonts w:cstheme="minorHAnsi"/>
          <w:sz w:val="24"/>
          <w:szCs w:val="24"/>
        </w:rPr>
        <w:t xml:space="preserve"> één goede of juiste techniek. </w:t>
      </w:r>
      <w:r w:rsidR="002016BC" w:rsidRPr="00F80560">
        <w:rPr>
          <w:rFonts w:cstheme="minorHAnsi"/>
          <w:sz w:val="24"/>
          <w:szCs w:val="24"/>
        </w:rPr>
        <w:t xml:space="preserve">Het instrument kan </w:t>
      </w:r>
      <w:r w:rsidR="00986501">
        <w:rPr>
          <w:rFonts w:cstheme="minorHAnsi"/>
          <w:sz w:val="24"/>
          <w:szCs w:val="24"/>
        </w:rPr>
        <w:t xml:space="preserve">wel </w:t>
      </w:r>
      <w:r w:rsidR="002016BC" w:rsidRPr="00F80560">
        <w:rPr>
          <w:rFonts w:cstheme="minorHAnsi"/>
          <w:sz w:val="24"/>
          <w:szCs w:val="24"/>
        </w:rPr>
        <w:t>een gids zijn</w:t>
      </w:r>
      <w:r w:rsidR="002016BC" w:rsidRPr="00F80560">
        <w:rPr>
          <w:sz w:val="24"/>
          <w:szCs w:val="24"/>
        </w:rPr>
        <w:t xml:space="preserve"> doorheen het ontwerpen, doorlopen of</w:t>
      </w:r>
      <w:r>
        <w:rPr>
          <w:sz w:val="24"/>
          <w:szCs w:val="24"/>
        </w:rPr>
        <w:t xml:space="preserve"> evalueren van een</w:t>
      </w:r>
      <w:r w:rsidR="002016BC" w:rsidRPr="00F80560">
        <w:rPr>
          <w:sz w:val="24"/>
          <w:szCs w:val="24"/>
        </w:rPr>
        <w:t xml:space="preserve"> proces</w:t>
      </w:r>
      <w:r>
        <w:rPr>
          <w:sz w:val="24"/>
          <w:szCs w:val="24"/>
        </w:rPr>
        <w:t xml:space="preserve"> dat je met kinderen en jongeren wil aangaan</w:t>
      </w:r>
      <w:r w:rsidR="002016BC" w:rsidRPr="00F80560">
        <w:rPr>
          <w:sz w:val="24"/>
          <w:szCs w:val="24"/>
        </w:rPr>
        <w:t>. Wie theoretische input zoekt, kan terecht in de handleiding. Voor wie graag concreet aan de slag gaat, zijn er een aantal reflectie-vragen die je alleen of in je team kan doorlopen.</w:t>
      </w:r>
      <w:r w:rsidR="00B67F97" w:rsidRPr="00F80560">
        <w:rPr>
          <w:rStyle w:val="Voetnootmarkering"/>
          <w:sz w:val="24"/>
          <w:szCs w:val="24"/>
        </w:rPr>
        <w:footnoteReference w:id="15"/>
      </w:r>
      <w:r w:rsidR="00B67F97" w:rsidRPr="00F80560">
        <w:rPr>
          <w:sz w:val="24"/>
          <w:szCs w:val="24"/>
        </w:rPr>
        <w:t xml:space="preserve"> </w:t>
      </w:r>
    </w:p>
    <w:p w:rsidR="00F80560" w:rsidRPr="00F80560" w:rsidRDefault="00F80560" w:rsidP="00F80560">
      <w:pPr>
        <w:spacing w:line="276" w:lineRule="auto"/>
        <w:rPr>
          <w:sz w:val="24"/>
          <w:szCs w:val="24"/>
        </w:rPr>
      </w:pPr>
    </w:p>
    <w:p w:rsidR="00A806CB" w:rsidRPr="00553B8E" w:rsidRDefault="00F80560" w:rsidP="00BF5E45">
      <w:pPr>
        <w:spacing w:line="276" w:lineRule="auto"/>
        <w:rPr>
          <w:rFonts w:cstheme="minorHAnsi"/>
          <w:b/>
          <w:sz w:val="18"/>
          <w:szCs w:val="18"/>
        </w:rPr>
      </w:pPr>
      <w:r>
        <w:rPr>
          <w:rFonts w:cstheme="minorHAnsi"/>
          <w:b/>
          <w:sz w:val="18"/>
          <w:szCs w:val="18"/>
        </w:rPr>
        <w:t>Referenties</w:t>
      </w:r>
    </w:p>
    <w:p w:rsidR="00A806CB" w:rsidRPr="00553B8E" w:rsidRDefault="00A806CB" w:rsidP="00BF5E45">
      <w:pPr>
        <w:spacing w:line="276" w:lineRule="auto"/>
        <w:rPr>
          <w:rFonts w:cstheme="minorHAnsi"/>
          <w:sz w:val="18"/>
          <w:szCs w:val="18"/>
        </w:rPr>
      </w:pPr>
      <w:r w:rsidRPr="00553B8E">
        <w:rPr>
          <w:rFonts w:cstheme="minorHAnsi"/>
          <w:sz w:val="18"/>
          <w:szCs w:val="18"/>
        </w:rPr>
        <w:t xml:space="preserve">Herbots, K. &amp; Put, J. (2010), De Grondwettelijke Verankering van Kinderrechten, in </w:t>
      </w:r>
      <w:r w:rsidRPr="00553B8E">
        <w:rPr>
          <w:rFonts w:cstheme="minorHAnsi"/>
          <w:i/>
          <w:sz w:val="18"/>
          <w:szCs w:val="18"/>
        </w:rPr>
        <w:t>Tijdschrift voor Jeugd- en Kinderrechten 2010</w:t>
      </w:r>
      <w:r w:rsidRPr="00553B8E">
        <w:rPr>
          <w:rFonts w:cstheme="minorHAnsi"/>
          <w:sz w:val="18"/>
          <w:szCs w:val="18"/>
        </w:rPr>
        <w:t xml:space="preserve">(1), 9-19, online te raadplegen op </w:t>
      </w:r>
      <w:hyperlink r:id="rId11" w:history="1">
        <w:r w:rsidRPr="00553B8E">
          <w:rPr>
            <w:rStyle w:val="Hyperlink"/>
            <w:rFonts w:cstheme="minorHAnsi"/>
            <w:sz w:val="18"/>
            <w:szCs w:val="18"/>
          </w:rPr>
          <w:t>http://www.kekidatabank.be/docs/Publicaties/2010%20HERBOTS%20PUT%20De%20grondwettelijke%20verankering%20van%20kinderrechten.pdf</w:t>
        </w:r>
      </w:hyperlink>
      <w:r w:rsidR="002A7451" w:rsidRPr="00553B8E">
        <w:rPr>
          <w:rFonts w:cstheme="minorHAnsi"/>
          <w:sz w:val="18"/>
          <w:szCs w:val="18"/>
        </w:rPr>
        <w:t xml:space="preserve"> (23 februari 2018).</w:t>
      </w:r>
      <w:r w:rsidRPr="00553B8E">
        <w:rPr>
          <w:rFonts w:cstheme="minorHAnsi"/>
          <w:sz w:val="18"/>
          <w:szCs w:val="18"/>
        </w:rPr>
        <w:t xml:space="preserve"> </w:t>
      </w:r>
    </w:p>
    <w:p w:rsidR="002A7451" w:rsidRDefault="00A806CB" w:rsidP="00BF5E45">
      <w:pPr>
        <w:spacing w:line="276" w:lineRule="auto"/>
        <w:rPr>
          <w:rFonts w:ascii="Calibri" w:eastAsia="Times New Roman" w:hAnsi="Calibri" w:cs="Calibri"/>
          <w:color w:val="000000"/>
          <w:sz w:val="18"/>
          <w:szCs w:val="18"/>
        </w:rPr>
      </w:pPr>
      <w:r w:rsidRPr="00553B8E">
        <w:rPr>
          <w:rFonts w:cstheme="minorHAnsi"/>
          <w:sz w:val="18"/>
          <w:szCs w:val="18"/>
        </w:rPr>
        <w:t xml:space="preserve">Herbots, K., Asselman, H. en Put, J. (2015), </w:t>
      </w:r>
      <w:r w:rsidRPr="00553B8E">
        <w:rPr>
          <w:rFonts w:cstheme="minorHAnsi"/>
          <w:i/>
          <w:sz w:val="18"/>
          <w:szCs w:val="18"/>
        </w:rPr>
        <w:t>Deelrapport 4 – Kinderrechtelijk Kader</w:t>
      </w:r>
      <w:r w:rsidRPr="00553B8E">
        <w:rPr>
          <w:rFonts w:cstheme="minorHAnsi"/>
          <w:sz w:val="18"/>
          <w:szCs w:val="18"/>
        </w:rPr>
        <w:t xml:space="preserve">, Kenniscentrum Kinderrechten en Instituut voor Sociaal Recht KU Leuven. Dit rapport is een onderdeel van de studie </w:t>
      </w:r>
      <w:r w:rsidRPr="00553B8E">
        <w:rPr>
          <w:rFonts w:cstheme="minorHAnsi"/>
          <w:i/>
          <w:sz w:val="18"/>
          <w:szCs w:val="18"/>
        </w:rPr>
        <w:t>Omgevingsanalyse Jeugdrecht</w:t>
      </w:r>
      <w:r w:rsidRPr="00553B8E">
        <w:rPr>
          <w:rFonts w:cstheme="minorHAnsi"/>
          <w:sz w:val="18"/>
          <w:szCs w:val="18"/>
        </w:rPr>
        <w:t xml:space="preserve">, uitgevoerd door KU Leuven UGent, Vrije Universiteit Brussel en Kenniscentrum Kinderrechten, in opdracht van het Agentschap Jongerenwelzijn, online te raadplegen op </w:t>
      </w:r>
      <w:hyperlink r:id="rId12" w:history="1">
        <w:r w:rsidRPr="00553B8E">
          <w:rPr>
            <w:rStyle w:val="Hyperlink"/>
            <w:rFonts w:cstheme="minorHAnsi"/>
            <w:sz w:val="18"/>
            <w:szCs w:val="18"/>
          </w:rPr>
          <w:t>http://www.keki.be/sites/default/files/publications/Omgevingsanalyse%20-%20Rapport%204%20-%20Kinderrechtelijk%20kader%20-%20KeKi.pdf</w:t>
        </w:r>
      </w:hyperlink>
      <w:r w:rsidR="002A7451" w:rsidRPr="00553B8E">
        <w:rPr>
          <w:rStyle w:val="Hyperlink"/>
          <w:rFonts w:cstheme="minorHAnsi"/>
          <w:sz w:val="18"/>
          <w:szCs w:val="18"/>
        </w:rPr>
        <w:t xml:space="preserve"> </w:t>
      </w:r>
      <w:r w:rsidR="002A7451" w:rsidRPr="00553B8E">
        <w:rPr>
          <w:rFonts w:ascii="Calibri" w:eastAsia="Times New Roman" w:hAnsi="Calibri" w:cs="Calibri"/>
          <w:color w:val="000000"/>
          <w:sz w:val="18"/>
          <w:szCs w:val="18"/>
        </w:rPr>
        <w:t>(23 februari 2018).</w:t>
      </w:r>
    </w:p>
    <w:p w:rsidR="0053626A" w:rsidRPr="0053626A" w:rsidRDefault="0053626A" w:rsidP="00BF5E45">
      <w:pPr>
        <w:spacing w:line="276" w:lineRule="auto"/>
        <w:rPr>
          <w:rFonts w:ascii="Calibri" w:eastAsia="Times New Roman" w:hAnsi="Calibri" w:cs="Calibri"/>
          <w:color w:val="000000"/>
          <w:sz w:val="18"/>
          <w:szCs w:val="18"/>
        </w:rPr>
      </w:pPr>
      <w:r>
        <w:rPr>
          <w:rFonts w:ascii="Calibri" w:eastAsia="Times New Roman" w:hAnsi="Calibri" w:cs="Calibri"/>
          <w:color w:val="000000"/>
          <w:sz w:val="18"/>
          <w:szCs w:val="18"/>
        </w:rPr>
        <w:t xml:space="preserve">Kinderrechtencommissariaat (2008), </w:t>
      </w:r>
      <w:r>
        <w:rPr>
          <w:rFonts w:ascii="Calibri" w:eastAsia="Times New Roman" w:hAnsi="Calibri" w:cs="Calibri"/>
          <w:i/>
          <w:color w:val="000000"/>
          <w:sz w:val="18"/>
          <w:szCs w:val="18"/>
        </w:rPr>
        <w:t>Dossier Recht op Recht – Pleidooi voor een volwaardige rechtsbescherming voor minderjarigen</w:t>
      </w:r>
      <w:r>
        <w:rPr>
          <w:rFonts w:ascii="Calibri" w:eastAsia="Times New Roman" w:hAnsi="Calibri" w:cs="Calibri"/>
          <w:color w:val="000000"/>
          <w:sz w:val="18"/>
          <w:szCs w:val="18"/>
        </w:rPr>
        <w:t xml:space="preserve">, online te raadplegen op </w:t>
      </w:r>
      <w:hyperlink r:id="rId13" w:history="1">
        <w:r w:rsidRPr="00931CEF">
          <w:rPr>
            <w:rStyle w:val="Hyperlink"/>
            <w:rFonts w:ascii="Calibri" w:eastAsia="Times New Roman" w:hAnsi="Calibri" w:cs="Calibri"/>
            <w:sz w:val="18"/>
            <w:szCs w:val="18"/>
          </w:rPr>
          <w:t>https://www.kinderrechtencommissariaat.be/sites/default/files/bestanden/dossier_recht_op_recht_0.pdf</w:t>
        </w:r>
      </w:hyperlink>
      <w:r w:rsidR="0016283A">
        <w:rPr>
          <w:rFonts w:ascii="Calibri" w:eastAsia="Times New Roman" w:hAnsi="Calibri" w:cs="Calibri"/>
          <w:color w:val="000000"/>
          <w:sz w:val="18"/>
          <w:szCs w:val="18"/>
        </w:rPr>
        <w:t xml:space="preserve"> (23</w:t>
      </w:r>
      <w:r>
        <w:rPr>
          <w:rFonts w:ascii="Calibri" w:eastAsia="Times New Roman" w:hAnsi="Calibri" w:cs="Calibri"/>
          <w:color w:val="000000"/>
          <w:sz w:val="18"/>
          <w:szCs w:val="18"/>
        </w:rPr>
        <w:t xml:space="preserve"> februari 2018). </w:t>
      </w:r>
    </w:p>
    <w:p w:rsidR="00553B8E" w:rsidRDefault="00553B8E" w:rsidP="00BF5E45">
      <w:pPr>
        <w:spacing w:line="276" w:lineRule="auto"/>
        <w:rPr>
          <w:rFonts w:ascii="Calibri" w:eastAsia="Times New Roman" w:hAnsi="Calibri" w:cs="Calibri"/>
          <w:color w:val="000000"/>
          <w:sz w:val="18"/>
          <w:szCs w:val="18"/>
        </w:rPr>
      </w:pPr>
      <w:r>
        <w:rPr>
          <w:rFonts w:ascii="Calibri" w:eastAsia="Times New Roman" w:hAnsi="Calibri" w:cs="Calibri"/>
          <w:color w:val="000000"/>
          <w:sz w:val="18"/>
          <w:szCs w:val="18"/>
        </w:rPr>
        <w:t xml:space="preserve">Liefaard, T. &amp; Doek, J. E. (2015), Kinderrechten in de rechtspraak: een internationaal perspectief, in </w:t>
      </w:r>
      <w:r w:rsidR="00530A19">
        <w:rPr>
          <w:rFonts w:ascii="Calibri" w:eastAsia="Times New Roman" w:hAnsi="Calibri" w:cs="Calibri"/>
          <w:i/>
          <w:color w:val="000000"/>
          <w:sz w:val="18"/>
          <w:szCs w:val="18"/>
        </w:rPr>
        <w:t>FJR 2015/20</w:t>
      </w:r>
      <w:r w:rsidR="00530A19">
        <w:rPr>
          <w:rFonts w:ascii="Calibri" w:eastAsia="Times New Roman" w:hAnsi="Calibri" w:cs="Calibri"/>
          <w:color w:val="000000"/>
          <w:sz w:val="18"/>
          <w:szCs w:val="18"/>
        </w:rPr>
        <w:t xml:space="preserve">(4), 82-87, online te raadplegen op </w:t>
      </w:r>
      <w:hyperlink r:id="rId14" w:history="1">
        <w:r w:rsidR="00530A19" w:rsidRPr="00A636E8">
          <w:rPr>
            <w:rStyle w:val="Hyperlink"/>
            <w:rFonts w:ascii="Calibri" w:eastAsia="Times New Roman" w:hAnsi="Calibri" w:cs="Calibri"/>
            <w:sz w:val="18"/>
            <w:szCs w:val="18"/>
          </w:rPr>
          <w:t>https://openaccess.leidenuniv.nl/bitstream/handle/1887/38314/FJR_2015_20.pdf?sequence=1</w:t>
        </w:r>
      </w:hyperlink>
      <w:r w:rsidR="00530A19">
        <w:rPr>
          <w:rFonts w:ascii="Calibri" w:eastAsia="Times New Roman" w:hAnsi="Calibri" w:cs="Calibri"/>
          <w:color w:val="000000"/>
          <w:sz w:val="18"/>
          <w:szCs w:val="18"/>
        </w:rPr>
        <w:t xml:space="preserve"> (23 februari 2018).</w:t>
      </w:r>
    </w:p>
    <w:p w:rsidR="001F2668" w:rsidRPr="00A8772A" w:rsidRDefault="001F2668" w:rsidP="00BF5E45">
      <w:pPr>
        <w:spacing w:line="276" w:lineRule="auto"/>
        <w:rPr>
          <w:rFonts w:cstheme="minorHAnsi"/>
          <w:color w:val="0563C1" w:themeColor="hyperlink"/>
          <w:sz w:val="18"/>
          <w:szCs w:val="18"/>
          <w:u w:val="single"/>
          <w:lang w:val="en-US"/>
        </w:rPr>
      </w:pPr>
      <w:r w:rsidRPr="00A8772A">
        <w:rPr>
          <w:rFonts w:ascii="Calibri" w:eastAsia="Times New Roman" w:hAnsi="Calibri" w:cs="Calibri"/>
          <w:color w:val="000000"/>
          <w:sz w:val="18"/>
          <w:szCs w:val="18"/>
          <w:lang w:val="en-US"/>
        </w:rPr>
        <w:t xml:space="preserve">Lundy, L. </w:t>
      </w:r>
      <w:r w:rsidR="00A8772A" w:rsidRPr="00A8772A">
        <w:rPr>
          <w:rFonts w:ascii="Calibri" w:eastAsia="Times New Roman" w:hAnsi="Calibri" w:cs="Calibri"/>
          <w:color w:val="000000"/>
          <w:sz w:val="18"/>
          <w:szCs w:val="18"/>
          <w:lang w:val="en-US"/>
        </w:rPr>
        <w:t xml:space="preserve">(2007), Voice is not enough. </w:t>
      </w:r>
      <w:r w:rsidR="00A8772A">
        <w:rPr>
          <w:rFonts w:ascii="Calibri" w:eastAsia="Times New Roman" w:hAnsi="Calibri" w:cs="Calibri"/>
          <w:color w:val="000000"/>
          <w:sz w:val="18"/>
          <w:szCs w:val="18"/>
          <w:lang w:val="en-US"/>
        </w:rPr>
        <w:t xml:space="preserve">Conceptualising Article 12 of the United Nations Convention on the Rights of the Child, in </w:t>
      </w:r>
      <w:r w:rsidR="00A8772A">
        <w:rPr>
          <w:rFonts w:ascii="Calibri" w:eastAsia="Times New Roman" w:hAnsi="Calibri" w:cs="Calibri"/>
          <w:i/>
          <w:color w:val="000000"/>
          <w:sz w:val="18"/>
          <w:szCs w:val="18"/>
          <w:lang w:val="en-US"/>
        </w:rPr>
        <w:t>British Educational Research Journal, 33</w:t>
      </w:r>
      <w:r w:rsidR="00A8772A">
        <w:rPr>
          <w:rFonts w:ascii="Calibri" w:eastAsia="Times New Roman" w:hAnsi="Calibri" w:cs="Calibri"/>
          <w:color w:val="000000"/>
          <w:sz w:val="18"/>
          <w:szCs w:val="18"/>
          <w:lang w:val="en-US"/>
        </w:rPr>
        <w:t>(6), 927-942.</w:t>
      </w:r>
    </w:p>
    <w:p w:rsidR="002A7451" w:rsidRPr="00553B8E" w:rsidRDefault="002A7451" w:rsidP="00BF5E45">
      <w:pPr>
        <w:spacing w:line="276" w:lineRule="auto"/>
        <w:rPr>
          <w:rFonts w:ascii="Calibri" w:eastAsia="Times New Roman" w:hAnsi="Calibri" w:cs="Calibri"/>
          <w:color w:val="000000"/>
          <w:sz w:val="18"/>
          <w:szCs w:val="18"/>
        </w:rPr>
      </w:pPr>
      <w:r w:rsidRPr="00553B8E">
        <w:rPr>
          <w:rFonts w:ascii="Calibri" w:eastAsia="Times New Roman" w:hAnsi="Calibri" w:cs="Calibri"/>
          <w:color w:val="000000"/>
          <w:sz w:val="18"/>
          <w:szCs w:val="18"/>
        </w:rPr>
        <w:t>Melkebeek, C. (2013), Kinderrechten – art. 22</w:t>
      </w:r>
      <w:r w:rsidRPr="00553B8E">
        <w:rPr>
          <w:rFonts w:ascii="Calibri" w:eastAsia="Times New Roman" w:hAnsi="Calibri" w:cs="Calibri"/>
          <w:i/>
          <w:color w:val="000000"/>
          <w:sz w:val="18"/>
          <w:szCs w:val="18"/>
        </w:rPr>
        <w:t xml:space="preserve">bis </w:t>
      </w:r>
      <w:r w:rsidRPr="00553B8E">
        <w:rPr>
          <w:rFonts w:ascii="Calibri" w:eastAsia="Times New Roman" w:hAnsi="Calibri" w:cs="Calibri"/>
          <w:color w:val="000000"/>
          <w:sz w:val="18"/>
          <w:szCs w:val="18"/>
        </w:rPr>
        <w:t xml:space="preserve">Grondwet in asielprocedures zijn enkel symbolisch volgens de Raad van State, online te raadplegen op </w:t>
      </w:r>
      <w:hyperlink r:id="rId15" w:history="1">
        <w:r w:rsidRPr="00553B8E">
          <w:rPr>
            <w:rStyle w:val="Hyperlink"/>
            <w:rFonts w:ascii="Calibri" w:eastAsia="Times New Roman" w:hAnsi="Calibri" w:cs="Calibri"/>
            <w:sz w:val="18"/>
            <w:szCs w:val="18"/>
          </w:rPr>
          <w:t>https://www.kennisplein.be/sites/Jeugdrecht/Pages/KINDERRECHTEN---ART.-22BIS-GRONDWET--IN-ASIELPROCEDURES-ZIJN-ENKEL-SYMBOLISCH-VOLGENS-DE-RAAD-VAN-STATE.aspx</w:t>
        </w:r>
      </w:hyperlink>
      <w:r w:rsidRPr="00553B8E">
        <w:rPr>
          <w:rFonts w:ascii="Calibri" w:eastAsia="Times New Roman" w:hAnsi="Calibri" w:cs="Calibri"/>
          <w:color w:val="000000"/>
          <w:sz w:val="18"/>
          <w:szCs w:val="18"/>
        </w:rPr>
        <w:t xml:space="preserve"> (23 februari 2018). </w:t>
      </w:r>
    </w:p>
    <w:p w:rsidR="002A7451" w:rsidRPr="00553B8E" w:rsidRDefault="002A7451" w:rsidP="00BF5E45">
      <w:pPr>
        <w:spacing w:line="276" w:lineRule="auto"/>
        <w:rPr>
          <w:rFonts w:ascii="Calibri" w:eastAsia="Times New Roman" w:hAnsi="Calibri" w:cs="Calibri"/>
          <w:color w:val="000000"/>
          <w:sz w:val="18"/>
          <w:szCs w:val="18"/>
        </w:rPr>
      </w:pPr>
      <w:r w:rsidRPr="00553B8E">
        <w:rPr>
          <w:rFonts w:ascii="Calibri" w:eastAsia="Times New Roman" w:hAnsi="Calibri" w:cs="Calibri"/>
          <w:color w:val="000000"/>
          <w:sz w:val="18"/>
          <w:szCs w:val="18"/>
        </w:rPr>
        <w:t xml:space="preserve">Raad van State, Afdeling Bestuursrechtspraak, XIVe kamer, Arrest nr. 223.630 van 29 mei 2013 in de zaak A. 205.073/XIV-34.271, online te raadplegen op </w:t>
      </w:r>
      <w:hyperlink r:id="rId16" w:history="1">
        <w:r w:rsidRPr="00553B8E">
          <w:rPr>
            <w:rStyle w:val="Hyperlink"/>
            <w:rFonts w:ascii="Calibri" w:eastAsia="Times New Roman" w:hAnsi="Calibri" w:cs="Calibri"/>
            <w:sz w:val="18"/>
            <w:szCs w:val="18"/>
          </w:rPr>
          <w:t>http://www.raadvst-consetat.be/arr.php?nr=223630</w:t>
        </w:r>
      </w:hyperlink>
      <w:r w:rsidRPr="00553B8E">
        <w:rPr>
          <w:rFonts w:ascii="Calibri" w:eastAsia="Times New Roman" w:hAnsi="Calibri" w:cs="Calibri"/>
          <w:color w:val="000000"/>
          <w:sz w:val="18"/>
          <w:szCs w:val="18"/>
        </w:rPr>
        <w:t xml:space="preserve"> (23 februari 2018).</w:t>
      </w:r>
    </w:p>
    <w:p w:rsidR="005D7CDE" w:rsidRPr="00553B8E" w:rsidRDefault="005D7CDE" w:rsidP="00BF5E45">
      <w:pPr>
        <w:spacing w:line="276" w:lineRule="auto"/>
        <w:rPr>
          <w:rFonts w:ascii="Calibri" w:eastAsia="Times New Roman" w:hAnsi="Calibri" w:cs="Calibri"/>
          <w:color w:val="000000"/>
          <w:sz w:val="18"/>
          <w:szCs w:val="18"/>
        </w:rPr>
      </w:pPr>
      <w:r w:rsidRPr="00553B8E">
        <w:rPr>
          <w:rFonts w:ascii="Calibri" w:eastAsia="Times New Roman" w:hAnsi="Calibri" w:cs="Calibri"/>
          <w:color w:val="000000"/>
          <w:sz w:val="18"/>
          <w:szCs w:val="18"/>
        </w:rPr>
        <w:t xml:space="preserve">Senaeve, P. &amp; Arnoeyts, S. (2004), Tien jaar Belgische Rechtspraak inzake de aanwending van het IVRK, in P. Senaeve &amp; P. Lemmens (eds.), </w:t>
      </w:r>
      <w:r w:rsidRPr="00553B8E">
        <w:rPr>
          <w:rFonts w:ascii="Calibri" w:eastAsia="Times New Roman" w:hAnsi="Calibri" w:cs="Calibri"/>
          <w:i/>
          <w:color w:val="000000"/>
          <w:sz w:val="18"/>
          <w:szCs w:val="18"/>
        </w:rPr>
        <w:t>De betekenis van de mensenrechten voor het personen- en familierecht</w:t>
      </w:r>
      <w:r w:rsidRPr="00553B8E">
        <w:rPr>
          <w:rFonts w:ascii="Calibri" w:eastAsia="Times New Roman" w:hAnsi="Calibri" w:cs="Calibri"/>
          <w:color w:val="000000"/>
          <w:sz w:val="18"/>
          <w:szCs w:val="18"/>
        </w:rPr>
        <w:t>, Antwerpen: Intersentia, 133-136.</w:t>
      </w:r>
    </w:p>
    <w:p w:rsidR="00523DE8" w:rsidRPr="00553B8E" w:rsidRDefault="00523DE8" w:rsidP="00BF5E45">
      <w:pPr>
        <w:spacing w:line="276" w:lineRule="auto"/>
        <w:rPr>
          <w:rStyle w:val="Hyperlink"/>
          <w:rFonts w:cstheme="minorHAnsi"/>
          <w:sz w:val="18"/>
          <w:szCs w:val="18"/>
          <w:lang w:val="en-US"/>
        </w:rPr>
      </w:pPr>
      <w:r w:rsidRPr="00553B8E">
        <w:rPr>
          <w:rFonts w:ascii="Calibri" w:eastAsia="Times New Roman" w:hAnsi="Calibri" w:cs="Calibri"/>
          <w:color w:val="000000"/>
          <w:sz w:val="18"/>
          <w:szCs w:val="18"/>
          <w:lang w:val="en-US"/>
        </w:rPr>
        <w:t>Vandenhole, W. (201</w:t>
      </w:r>
      <w:r w:rsidR="00553B8E" w:rsidRPr="00553B8E">
        <w:rPr>
          <w:rFonts w:ascii="Calibri" w:eastAsia="Times New Roman" w:hAnsi="Calibri" w:cs="Calibri"/>
          <w:color w:val="000000"/>
          <w:sz w:val="18"/>
          <w:szCs w:val="18"/>
          <w:lang w:val="en-US"/>
        </w:rPr>
        <w:t>5a</w:t>
      </w:r>
      <w:r w:rsidRPr="00553B8E">
        <w:rPr>
          <w:rFonts w:ascii="Calibri" w:eastAsia="Times New Roman" w:hAnsi="Calibri" w:cs="Calibri"/>
          <w:color w:val="000000"/>
          <w:sz w:val="18"/>
          <w:szCs w:val="18"/>
          <w:lang w:val="en-US"/>
        </w:rPr>
        <w:t xml:space="preserve">), The Convention on the Rights of the Child in Belgian Case Law. In T. Liefaard &amp; J. Doek (eds.), </w:t>
      </w:r>
      <w:r w:rsidRPr="00553B8E">
        <w:rPr>
          <w:rFonts w:ascii="Calibri" w:eastAsia="Times New Roman" w:hAnsi="Calibri" w:cs="Calibri"/>
          <w:i/>
          <w:iCs/>
          <w:color w:val="000000"/>
          <w:sz w:val="18"/>
          <w:szCs w:val="18"/>
          <w:lang w:val="en-US"/>
        </w:rPr>
        <w:t>Litigating the Rights of the Child – The UN Convention on the Rights of the Child in Domestic and International Jurisprudence</w:t>
      </w:r>
      <w:r w:rsidRPr="00553B8E">
        <w:rPr>
          <w:rFonts w:ascii="Calibri" w:eastAsia="Times New Roman" w:hAnsi="Calibri" w:cs="Calibri"/>
          <w:color w:val="000000"/>
          <w:sz w:val="18"/>
          <w:szCs w:val="18"/>
          <w:lang w:val="en-US"/>
        </w:rPr>
        <w:t>, Dordrecht : Springer, 105-122.</w:t>
      </w:r>
    </w:p>
    <w:p w:rsidR="004300FE" w:rsidRPr="006165C8" w:rsidRDefault="00690B63" w:rsidP="00BF5E45">
      <w:pPr>
        <w:spacing w:line="276" w:lineRule="auto"/>
        <w:rPr>
          <w:rFonts w:cstheme="minorHAnsi"/>
          <w:sz w:val="18"/>
          <w:szCs w:val="18"/>
          <w:lang w:val="en-GB"/>
        </w:rPr>
      </w:pPr>
      <w:r w:rsidRPr="00553B8E">
        <w:rPr>
          <w:rFonts w:cstheme="minorHAnsi"/>
          <w:sz w:val="18"/>
          <w:szCs w:val="18"/>
          <w:lang w:val="en-GB"/>
        </w:rPr>
        <w:t>Vandenhole, W. (2015</w:t>
      </w:r>
      <w:r w:rsidR="00553B8E" w:rsidRPr="00553B8E">
        <w:rPr>
          <w:rFonts w:cstheme="minorHAnsi"/>
          <w:sz w:val="18"/>
          <w:szCs w:val="18"/>
          <w:lang w:val="en-GB"/>
        </w:rPr>
        <w:t>b</w:t>
      </w:r>
      <w:r w:rsidRPr="00553B8E">
        <w:rPr>
          <w:rFonts w:cstheme="minorHAnsi"/>
          <w:sz w:val="18"/>
          <w:szCs w:val="18"/>
          <w:lang w:val="en-GB"/>
        </w:rPr>
        <w:t>), Children’s Rights Law, in W. Vandenhole, E. Desmet, D. Reynaert &amp; S. Lembrechts (eds.), Routledge International Handbook of Children’s Rights Studies, London: Routledge, pp. 27-42.</w:t>
      </w:r>
    </w:p>
    <w:sectPr w:rsidR="004300FE" w:rsidRPr="006165C8">
      <w:head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3B6A" w:rsidRDefault="00AC3B6A" w:rsidP="00DD1EDC">
      <w:pPr>
        <w:spacing w:after="0" w:line="240" w:lineRule="auto"/>
      </w:pPr>
      <w:r>
        <w:separator/>
      </w:r>
    </w:p>
  </w:endnote>
  <w:endnote w:type="continuationSeparator" w:id="0">
    <w:p w:rsidR="00AC3B6A" w:rsidRDefault="00AC3B6A" w:rsidP="00DD1E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DIN-RegularAlternate">
    <w:charset w:val="00"/>
    <w:family w:val="auto"/>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DIN-Regular">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3B6A" w:rsidRDefault="00AC3B6A" w:rsidP="00DD1EDC">
      <w:pPr>
        <w:spacing w:after="0" w:line="240" w:lineRule="auto"/>
      </w:pPr>
      <w:r>
        <w:separator/>
      </w:r>
    </w:p>
  </w:footnote>
  <w:footnote w:type="continuationSeparator" w:id="0">
    <w:p w:rsidR="00AC3B6A" w:rsidRDefault="00AC3B6A" w:rsidP="00DD1EDC">
      <w:pPr>
        <w:spacing w:after="0" w:line="240" w:lineRule="auto"/>
      </w:pPr>
      <w:r>
        <w:continuationSeparator/>
      </w:r>
    </w:p>
  </w:footnote>
  <w:footnote w:id="1">
    <w:p w:rsidR="00DB77A7" w:rsidRPr="00F80560" w:rsidRDefault="00DB77A7" w:rsidP="00DB77A7">
      <w:pPr>
        <w:pStyle w:val="Voetnoottekst"/>
        <w:rPr>
          <w:rFonts w:cstheme="minorHAnsi"/>
          <w:sz w:val="18"/>
          <w:szCs w:val="18"/>
        </w:rPr>
      </w:pPr>
      <w:r w:rsidRPr="00F80560">
        <w:rPr>
          <w:rStyle w:val="Voetnootmarkering"/>
          <w:rFonts w:cstheme="minorHAnsi"/>
          <w:sz w:val="18"/>
          <w:szCs w:val="18"/>
        </w:rPr>
        <w:footnoteRef/>
      </w:r>
      <w:r w:rsidRPr="00F80560">
        <w:rPr>
          <w:rFonts w:cstheme="minorHAnsi"/>
          <w:sz w:val="18"/>
          <w:szCs w:val="18"/>
        </w:rPr>
        <w:t xml:space="preserve"> Lees de volledige tekst van het Verdrag na via de </w:t>
      </w:r>
      <w:hyperlink r:id="rId1" w:history="1">
        <w:r w:rsidRPr="00F80560">
          <w:rPr>
            <w:rStyle w:val="Hyperlink"/>
            <w:rFonts w:cstheme="minorHAnsi"/>
            <w:sz w:val="18"/>
            <w:szCs w:val="18"/>
          </w:rPr>
          <w:t xml:space="preserve">KeKi </w:t>
        </w:r>
        <w:r w:rsidR="000844AF" w:rsidRPr="00F80560">
          <w:rPr>
            <w:rStyle w:val="Hyperlink"/>
            <w:rFonts w:cstheme="minorHAnsi"/>
            <w:sz w:val="18"/>
            <w:szCs w:val="18"/>
          </w:rPr>
          <w:t>kinderrechten</w:t>
        </w:r>
        <w:r w:rsidRPr="00F80560">
          <w:rPr>
            <w:rStyle w:val="Hyperlink"/>
            <w:rFonts w:cstheme="minorHAnsi"/>
            <w:sz w:val="18"/>
            <w:szCs w:val="18"/>
          </w:rPr>
          <w:t>databank</w:t>
        </w:r>
      </w:hyperlink>
      <w:r w:rsidRPr="00F80560">
        <w:rPr>
          <w:rFonts w:cstheme="minorHAnsi"/>
          <w:sz w:val="18"/>
          <w:szCs w:val="18"/>
        </w:rPr>
        <w:t xml:space="preserve">. </w:t>
      </w:r>
    </w:p>
  </w:footnote>
  <w:footnote w:id="2">
    <w:p w:rsidR="000844AF" w:rsidRPr="00F80560" w:rsidRDefault="000844AF" w:rsidP="000844AF">
      <w:pPr>
        <w:pStyle w:val="Voetnoottekst"/>
        <w:rPr>
          <w:rFonts w:cstheme="minorHAnsi"/>
          <w:sz w:val="18"/>
          <w:szCs w:val="18"/>
        </w:rPr>
      </w:pPr>
      <w:r w:rsidRPr="00F80560">
        <w:rPr>
          <w:rStyle w:val="Voetnootmarkering"/>
          <w:rFonts w:cstheme="minorHAnsi"/>
          <w:sz w:val="18"/>
          <w:szCs w:val="18"/>
        </w:rPr>
        <w:footnoteRef/>
      </w:r>
      <w:r w:rsidRPr="00F80560">
        <w:rPr>
          <w:rFonts w:cstheme="minorHAnsi"/>
          <w:sz w:val="18"/>
          <w:szCs w:val="18"/>
        </w:rPr>
        <w:t xml:space="preserve"> Herbots, Asselman &amp; Put, 2015, p. IV-1. Voor een volledig overzicht van de internationale regelgeving over kinderrechten die in Vlaanderen van toepassing is, zie </w:t>
      </w:r>
      <w:hyperlink r:id="rId2" w:history="1">
        <w:r w:rsidRPr="00F80560">
          <w:rPr>
            <w:rStyle w:val="Hyperlink"/>
            <w:rFonts w:cstheme="minorHAnsi"/>
            <w:sz w:val="18"/>
            <w:szCs w:val="18"/>
          </w:rPr>
          <w:t>www.kekidatabank.be</w:t>
        </w:r>
      </w:hyperlink>
      <w:r w:rsidRPr="00F80560">
        <w:rPr>
          <w:rFonts w:cstheme="minorHAnsi"/>
          <w:sz w:val="18"/>
          <w:szCs w:val="18"/>
        </w:rPr>
        <w:t xml:space="preserve">. </w:t>
      </w:r>
    </w:p>
  </w:footnote>
  <w:footnote w:id="3">
    <w:p w:rsidR="00267DC4" w:rsidRPr="00F80560" w:rsidRDefault="00267DC4" w:rsidP="00267DC4">
      <w:pPr>
        <w:pStyle w:val="04Voetnoot"/>
        <w:spacing w:line="240" w:lineRule="auto"/>
        <w:rPr>
          <w:rFonts w:asciiTheme="minorHAnsi" w:hAnsiTheme="minorHAnsi" w:cstheme="minorHAnsi"/>
          <w:color w:val="auto"/>
          <w:sz w:val="18"/>
          <w:szCs w:val="18"/>
          <w:lang w:val="en-US"/>
        </w:rPr>
      </w:pPr>
      <w:r w:rsidRPr="00F80560">
        <w:rPr>
          <w:rFonts w:asciiTheme="minorHAnsi" w:hAnsiTheme="minorHAnsi" w:cstheme="minorHAnsi"/>
          <w:color w:val="auto"/>
          <w:sz w:val="18"/>
          <w:szCs w:val="18"/>
          <w:vertAlign w:val="superscript"/>
        </w:rPr>
        <w:footnoteRef/>
      </w:r>
      <w:r w:rsidRPr="00F80560">
        <w:rPr>
          <w:rFonts w:asciiTheme="minorHAnsi" w:hAnsiTheme="minorHAnsi" w:cstheme="minorHAnsi"/>
          <w:color w:val="auto"/>
          <w:sz w:val="18"/>
          <w:szCs w:val="18"/>
          <w:lang w:val="en-US"/>
        </w:rPr>
        <w:t xml:space="preserve"> Zie </w:t>
      </w:r>
      <w:r w:rsidRPr="00F80560">
        <w:rPr>
          <w:rStyle w:val="docreferentietitle1"/>
          <w:rFonts w:asciiTheme="minorHAnsi" w:hAnsiTheme="minorHAnsi" w:cstheme="minorHAnsi"/>
          <w:b w:val="0"/>
          <w:i/>
          <w:iCs/>
          <w:color w:val="auto"/>
          <w:sz w:val="18"/>
          <w:szCs w:val="18"/>
          <w:lang w:val="en-US"/>
        </w:rPr>
        <w:t>Concluding observations</w:t>
      </w:r>
      <w:r w:rsidRPr="00F80560">
        <w:rPr>
          <w:rStyle w:val="docreferentietitle1"/>
          <w:rFonts w:asciiTheme="minorHAnsi" w:hAnsiTheme="minorHAnsi" w:cstheme="minorHAnsi"/>
          <w:b w:val="0"/>
          <w:color w:val="auto"/>
          <w:sz w:val="18"/>
          <w:szCs w:val="18"/>
          <w:lang w:val="en-US"/>
        </w:rPr>
        <w:t xml:space="preserve"> België, 20 juni 1995, CRC/C/15/Add.38;</w:t>
      </w:r>
      <w:r w:rsidRPr="00F80560">
        <w:rPr>
          <w:rStyle w:val="docreferentietitle1"/>
          <w:rFonts w:asciiTheme="minorHAnsi" w:hAnsiTheme="minorHAnsi" w:cstheme="minorHAnsi"/>
          <w:color w:val="auto"/>
          <w:sz w:val="18"/>
          <w:szCs w:val="18"/>
          <w:lang w:val="en-US"/>
        </w:rPr>
        <w:t xml:space="preserve"> </w:t>
      </w:r>
      <w:r w:rsidRPr="00F80560">
        <w:rPr>
          <w:rFonts w:asciiTheme="minorHAnsi" w:hAnsiTheme="minorHAnsi" w:cstheme="minorHAnsi"/>
          <w:i/>
          <w:iCs/>
          <w:color w:val="auto"/>
          <w:sz w:val="18"/>
          <w:szCs w:val="18"/>
          <w:lang w:val="en-US"/>
        </w:rPr>
        <w:t>Concluding observations</w:t>
      </w:r>
      <w:r w:rsidRPr="00F80560">
        <w:rPr>
          <w:rFonts w:asciiTheme="minorHAnsi" w:hAnsiTheme="minorHAnsi" w:cstheme="minorHAnsi"/>
          <w:color w:val="auto"/>
          <w:sz w:val="18"/>
          <w:szCs w:val="18"/>
          <w:lang w:val="en-US"/>
        </w:rPr>
        <w:t xml:space="preserve"> België, 13 juni 2002, CRC/C/15/Add.178; </w:t>
      </w:r>
      <w:r w:rsidRPr="00F80560">
        <w:rPr>
          <w:rStyle w:val="docreferentietitle1"/>
          <w:rFonts w:asciiTheme="minorHAnsi" w:hAnsiTheme="minorHAnsi" w:cstheme="minorHAnsi"/>
          <w:b w:val="0"/>
          <w:i/>
          <w:iCs/>
          <w:color w:val="auto"/>
          <w:sz w:val="18"/>
          <w:szCs w:val="18"/>
          <w:lang w:val="en-US"/>
        </w:rPr>
        <w:t>Concluding observations</w:t>
      </w:r>
      <w:r w:rsidRPr="00F80560">
        <w:rPr>
          <w:rStyle w:val="docreferentietitle1"/>
          <w:rFonts w:asciiTheme="minorHAnsi" w:hAnsiTheme="minorHAnsi" w:cstheme="minorHAnsi"/>
          <w:b w:val="0"/>
          <w:color w:val="auto"/>
          <w:sz w:val="18"/>
          <w:szCs w:val="18"/>
          <w:lang w:val="en-US"/>
        </w:rPr>
        <w:t xml:space="preserve"> België, 18 juni 2010, CRC/C/BEL/CO/3-4.</w:t>
      </w:r>
      <w:r w:rsidRPr="00F80560">
        <w:rPr>
          <w:rStyle w:val="docreferentietitle1"/>
          <w:rFonts w:asciiTheme="minorHAnsi" w:hAnsiTheme="minorHAnsi" w:cstheme="minorHAnsi"/>
          <w:color w:val="auto"/>
          <w:sz w:val="18"/>
          <w:szCs w:val="18"/>
          <w:lang w:val="en-US"/>
        </w:rPr>
        <w:t xml:space="preserve"> </w:t>
      </w:r>
    </w:p>
  </w:footnote>
  <w:footnote w:id="4">
    <w:p w:rsidR="00697257" w:rsidRPr="00F80560" w:rsidRDefault="00697257">
      <w:pPr>
        <w:pStyle w:val="Voetnoottekst"/>
        <w:rPr>
          <w:sz w:val="18"/>
          <w:szCs w:val="18"/>
        </w:rPr>
      </w:pPr>
      <w:r w:rsidRPr="00F80560">
        <w:rPr>
          <w:rStyle w:val="Voetnootmarkering"/>
          <w:sz w:val="18"/>
          <w:szCs w:val="18"/>
        </w:rPr>
        <w:footnoteRef/>
      </w:r>
      <w:r w:rsidRPr="00F80560">
        <w:rPr>
          <w:sz w:val="18"/>
          <w:szCs w:val="18"/>
        </w:rPr>
        <w:t xml:space="preserve"> De reeds ingediende documenten zijn te raadplegen op de website van het Comité: </w:t>
      </w:r>
      <w:hyperlink r:id="rId3" w:history="1">
        <w:r w:rsidRPr="00F80560">
          <w:rPr>
            <w:rStyle w:val="Hyperlink"/>
            <w:sz w:val="18"/>
            <w:szCs w:val="18"/>
          </w:rPr>
          <w:t>http://tbinternet.ohchr.org/_layouts/treatybodyexternal/SessionDetails1.aspx?SessionID=1226&amp;Lang=en</w:t>
        </w:r>
      </w:hyperlink>
      <w:r w:rsidRPr="00F80560">
        <w:rPr>
          <w:sz w:val="18"/>
          <w:szCs w:val="18"/>
        </w:rPr>
        <w:t xml:space="preserve">. </w:t>
      </w:r>
    </w:p>
  </w:footnote>
  <w:footnote w:id="5">
    <w:p w:rsidR="001F2668" w:rsidRPr="00F80560" w:rsidRDefault="001F2668">
      <w:pPr>
        <w:pStyle w:val="Voetnoottekst"/>
        <w:rPr>
          <w:rFonts w:cstheme="minorHAnsi"/>
          <w:sz w:val="18"/>
          <w:szCs w:val="18"/>
          <w:lang w:val="en-US"/>
        </w:rPr>
      </w:pPr>
      <w:r w:rsidRPr="00F80560">
        <w:rPr>
          <w:rStyle w:val="Voetnootmarkering"/>
          <w:rFonts w:cstheme="minorHAnsi"/>
          <w:sz w:val="18"/>
          <w:szCs w:val="18"/>
        </w:rPr>
        <w:footnoteRef/>
      </w:r>
      <w:r w:rsidRPr="00F80560">
        <w:rPr>
          <w:rFonts w:cstheme="minorHAnsi"/>
          <w:sz w:val="18"/>
          <w:szCs w:val="18"/>
          <w:lang w:val="en-US"/>
        </w:rPr>
        <w:t xml:space="preserve"> Lundy, 2007.</w:t>
      </w:r>
    </w:p>
  </w:footnote>
  <w:footnote w:id="6">
    <w:p w:rsidR="001F1A4F" w:rsidRPr="00F80560" w:rsidRDefault="001F1A4F" w:rsidP="001F1A4F">
      <w:pPr>
        <w:pStyle w:val="Voetnoottekst"/>
        <w:rPr>
          <w:rFonts w:cstheme="minorHAnsi"/>
          <w:sz w:val="18"/>
          <w:szCs w:val="18"/>
        </w:rPr>
      </w:pPr>
      <w:r w:rsidRPr="00F80560">
        <w:rPr>
          <w:rStyle w:val="Voetnootmarkering"/>
          <w:rFonts w:cstheme="minorHAnsi"/>
          <w:sz w:val="18"/>
          <w:szCs w:val="18"/>
        </w:rPr>
        <w:footnoteRef/>
      </w:r>
      <w:r w:rsidRPr="00F80560">
        <w:rPr>
          <w:rFonts w:cstheme="minorHAnsi"/>
          <w:sz w:val="18"/>
          <w:szCs w:val="18"/>
        </w:rPr>
        <w:t xml:space="preserve"> Vandenhole, 2015, p. 30.</w:t>
      </w:r>
    </w:p>
  </w:footnote>
  <w:footnote w:id="7">
    <w:p w:rsidR="00523DE8" w:rsidRPr="00F80560" w:rsidRDefault="00523DE8">
      <w:pPr>
        <w:pStyle w:val="Voetnoottekst"/>
        <w:rPr>
          <w:rFonts w:cstheme="minorHAnsi"/>
          <w:sz w:val="18"/>
          <w:szCs w:val="18"/>
        </w:rPr>
      </w:pPr>
      <w:r w:rsidRPr="00F80560">
        <w:rPr>
          <w:rStyle w:val="Voetnootmarkering"/>
          <w:rFonts w:cstheme="minorHAnsi"/>
          <w:sz w:val="18"/>
          <w:szCs w:val="18"/>
        </w:rPr>
        <w:footnoteRef/>
      </w:r>
      <w:r w:rsidRPr="00F80560">
        <w:rPr>
          <w:rFonts w:cstheme="minorHAnsi"/>
          <w:sz w:val="18"/>
          <w:szCs w:val="18"/>
        </w:rPr>
        <w:t xml:space="preserve"> </w:t>
      </w:r>
      <w:r w:rsidR="00553B8E" w:rsidRPr="00F80560">
        <w:rPr>
          <w:rFonts w:cstheme="minorHAnsi"/>
          <w:sz w:val="18"/>
          <w:szCs w:val="18"/>
        </w:rPr>
        <w:t>Vandenhole, 2015a</w:t>
      </w:r>
      <w:r w:rsidR="005D7CDE" w:rsidRPr="00F80560">
        <w:rPr>
          <w:rFonts w:cstheme="minorHAnsi"/>
          <w:sz w:val="18"/>
          <w:szCs w:val="18"/>
        </w:rPr>
        <w:t>, p. 106. Voor een analyse van Belgische rechtspraak over de aanwending van verschillende bepalingen uit het Kinderrechtenverdrag</w:t>
      </w:r>
      <w:r w:rsidR="00697D13" w:rsidRPr="00F80560">
        <w:rPr>
          <w:rFonts w:cstheme="minorHAnsi"/>
          <w:sz w:val="18"/>
          <w:szCs w:val="18"/>
        </w:rPr>
        <w:t xml:space="preserve"> sinds 1992</w:t>
      </w:r>
      <w:r w:rsidR="005D7CDE" w:rsidRPr="00F80560">
        <w:rPr>
          <w:rFonts w:cstheme="minorHAnsi"/>
          <w:sz w:val="18"/>
          <w:szCs w:val="18"/>
        </w:rPr>
        <w:t xml:space="preserve">, zie </w:t>
      </w:r>
      <w:r w:rsidR="00553B8E" w:rsidRPr="00F80560">
        <w:rPr>
          <w:rFonts w:cstheme="minorHAnsi"/>
          <w:sz w:val="18"/>
          <w:szCs w:val="18"/>
        </w:rPr>
        <w:t>Vandenhole, 2015a</w:t>
      </w:r>
      <w:r w:rsidR="005D7CDE" w:rsidRPr="00F80560">
        <w:rPr>
          <w:rFonts w:cstheme="minorHAnsi"/>
          <w:sz w:val="18"/>
          <w:szCs w:val="18"/>
        </w:rPr>
        <w:t xml:space="preserve"> (periode 2003-2013) en Senaeve &amp; Arnoeyts, 2004 (periode 1992-2002)</w:t>
      </w:r>
      <w:r w:rsidRPr="00F80560">
        <w:rPr>
          <w:rFonts w:cstheme="minorHAnsi"/>
          <w:sz w:val="18"/>
          <w:szCs w:val="18"/>
        </w:rPr>
        <w:t>.</w:t>
      </w:r>
    </w:p>
  </w:footnote>
  <w:footnote w:id="8">
    <w:p w:rsidR="00947809" w:rsidRPr="00F80560" w:rsidRDefault="00947809">
      <w:pPr>
        <w:pStyle w:val="Voetnoottekst"/>
        <w:rPr>
          <w:rFonts w:cstheme="minorHAnsi"/>
          <w:sz w:val="18"/>
          <w:szCs w:val="18"/>
        </w:rPr>
      </w:pPr>
      <w:r w:rsidRPr="00F80560">
        <w:rPr>
          <w:rStyle w:val="Voetnootmarkering"/>
          <w:rFonts w:cstheme="minorHAnsi"/>
          <w:sz w:val="18"/>
          <w:szCs w:val="18"/>
        </w:rPr>
        <w:footnoteRef/>
      </w:r>
      <w:r w:rsidRPr="00F80560">
        <w:rPr>
          <w:rFonts w:cstheme="minorHAnsi"/>
          <w:sz w:val="18"/>
          <w:szCs w:val="18"/>
        </w:rPr>
        <w:t xml:space="preserve"> Vandenhole, 201</w:t>
      </w:r>
      <w:r w:rsidR="00553B8E" w:rsidRPr="00F80560">
        <w:rPr>
          <w:rFonts w:cstheme="minorHAnsi"/>
          <w:sz w:val="18"/>
          <w:szCs w:val="18"/>
        </w:rPr>
        <w:t>5a</w:t>
      </w:r>
      <w:r w:rsidRPr="00F80560">
        <w:rPr>
          <w:rFonts w:cstheme="minorHAnsi"/>
          <w:sz w:val="18"/>
          <w:szCs w:val="18"/>
        </w:rPr>
        <w:t>, p. 107.</w:t>
      </w:r>
    </w:p>
  </w:footnote>
  <w:footnote w:id="9">
    <w:p w:rsidR="002A7451" w:rsidRPr="00F80560" w:rsidRDefault="002A7451">
      <w:pPr>
        <w:pStyle w:val="Voetnoottekst"/>
        <w:rPr>
          <w:rFonts w:cstheme="minorHAnsi"/>
          <w:sz w:val="18"/>
          <w:szCs w:val="18"/>
        </w:rPr>
      </w:pPr>
      <w:r w:rsidRPr="00F80560">
        <w:rPr>
          <w:rStyle w:val="Voetnootmarkering"/>
          <w:rFonts w:cstheme="minorHAnsi"/>
          <w:sz w:val="18"/>
          <w:szCs w:val="18"/>
        </w:rPr>
        <w:footnoteRef/>
      </w:r>
      <w:r w:rsidRPr="00F80560">
        <w:rPr>
          <w:rFonts w:cstheme="minorHAnsi"/>
          <w:sz w:val="18"/>
          <w:szCs w:val="18"/>
        </w:rPr>
        <w:t xml:space="preserve"> </w:t>
      </w:r>
      <w:r w:rsidRPr="00F80560">
        <w:rPr>
          <w:rFonts w:cstheme="minorHAnsi"/>
          <w:sz w:val="18"/>
          <w:szCs w:val="18"/>
          <w:shd w:val="clear" w:color="auto" w:fill="FFFFFF"/>
        </w:rPr>
        <w:t xml:space="preserve">Raad van State 29 mei 2013, nr. 223.630; </w:t>
      </w:r>
      <w:r w:rsidRPr="00F80560">
        <w:rPr>
          <w:rFonts w:cstheme="minorHAnsi"/>
          <w:sz w:val="18"/>
          <w:szCs w:val="18"/>
        </w:rPr>
        <w:t>Melkebeek, 2013.</w:t>
      </w:r>
    </w:p>
  </w:footnote>
  <w:footnote w:id="10">
    <w:p w:rsidR="00553B8E" w:rsidRPr="00F80560" w:rsidRDefault="00553B8E">
      <w:pPr>
        <w:pStyle w:val="Voetnoottekst"/>
        <w:rPr>
          <w:rFonts w:cstheme="minorHAnsi"/>
          <w:sz w:val="18"/>
          <w:szCs w:val="18"/>
        </w:rPr>
      </w:pPr>
      <w:r w:rsidRPr="00F80560">
        <w:rPr>
          <w:rStyle w:val="Voetnootmarkering"/>
          <w:rFonts w:cstheme="minorHAnsi"/>
          <w:sz w:val="18"/>
          <w:szCs w:val="18"/>
        </w:rPr>
        <w:footnoteRef/>
      </w:r>
      <w:r w:rsidRPr="00F80560">
        <w:rPr>
          <w:rFonts w:cstheme="minorHAnsi"/>
          <w:sz w:val="18"/>
          <w:szCs w:val="18"/>
        </w:rPr>
        <w:t xml:space="preserve"> </w:t>
      </w:r>
      <w:r w:rsidR="004677AC" w:rsidRPr="00F80560">
        <w:rPr>
          <w:rFonts w:cstheme="minorHAnsi"/>
          <w:sz w:val="18"/>
          <w:szCs w:val="18"/>
        </w:rPr>
        <w:t>Liefaard &amp; Doek, 2015, p. 8</w:t>
      </w:r>
      <w:r w:rsidR="00381005" w:rsidRPr="00F80560">
        <w:rPr>
          <w:rFonts w:cstheme="minorHAnsi"/>
          <w:sz w:val="18"/>
          <w:szCs w:val="18"/>
        </w:rPr>
        <w:t>4.</w:t>
      </w:r>
    </w:p>
  </w:footnote>
  <w:footnote w:id="11">
    <w:p w:rsidR="00BF5E45" w:rsidRPr="00F80560" w:rsidRDefault="00BF5E45" w:rsidP="00BF5E45">
      <w:pPr>
        <w:pStyle w:val="Voetnoottekst"/>
        <w:rPr>
          <w:sz w:val="18"/>
          <w:szCs w:val="18"/>
        </w:rPr>
      </w:pPr>
      <w:r w:rsidRPr="00F80560">
        <w:rPr>
          <w:rStyle w:val="Voetnootmarkering"/>
          <w:sz w:val="18"/>
          <w:szCs w:val="18"/>
        </w:rPr>
        <w:footnoteRef/>
      </w:r>
      <w:r w:rsidRPr="00F80560">
        <w:rPr>
          <w:sz w:val="18"/>
          <w:szCs w:val="18"/>
        </w:rPr>
        <w:t xml:space="preserve"> Vandenhole, 2015a, p. 108; Liefaard &amp; Doek, 2015, pp. 85-86; Kinderrechtencommissariaat, 2008.</w:t>
      </w:r>
    </w:p>
  </w:footnote>
  <w:footnote w:id="12">
    <w:p w:rsidR="00BF5E45" w:rsidRPr="00F80560" w:rsidRDefault="00BF5E45" w:rsidP="00BF5E45">
      <w:pPr>
        <w:pStyle w:val="Voetnoottekst"/>
        <w:rPr>
          <w:sz w:val="18"/>
          <w:szCs w:val="18"/>
        </w:rPr>
      </w:pPr>
      <w:r w:rsidRPr="00F80560">
        <w:rPr>
          <w:rStyle w:val="Voetnootmarkering"/>
          <w:sz w:val="18"/>
          <w:szCs w:val="18"/>
        </w:rPr>
        <w:footnoteRef/>
      </w:r>
      <w:r w:rsidRPr="00F80560">
        <w:rPr>
          <w:sz w:val="18"/>
          <w:szCs w:val="18"/>
        </w:rPr>
        <w:t xml:space="preserve"> Vandenhole, 2015a, p. 108.</w:t>
      </w:r>
    </w:p>
  </w:footnote>
  <w:footnote w:id="13">
    <w:p w:rsidR="00BF5E45" w:rsidRPr="00F80560" w:rsidRDefault="00BF5E45">
      <w:pPr>
        <w:pStyle w:val="Voetnoottekst"/>
        <w:rPr>
          <w:sz w:val="18"/>
          <w:szCs w:val="18"/>
        </w:rPr>
      </w:pPr>
      <w:r w:rsidRPr="00F80560">
        <w:rPr>
          <w:rStyle w:val="Voetnootmarkering"/>
          <w:sz w:val="18"/>
          <w:szCs w:val="18"/>
        </w:rPr>
        <w:footnoteRef/>
      </w:r>
      <w:r w:rsidRPr="00F80560">
        <w:rPr>
          <w:sz w:val="18"/>
          <w:szCs w:val="18"/>
        </w:rPr>
        <w:t xml:space="preserve"> Zie </w:t>
      </w:r>
      <w:hyperlink r:id="rId4" w:history="1">
        <w:r w:rsidRPr="00F80560">
          <w:rPr>
            <w:rStyle w:val="Hyperlink"/>
            <w:sz w:val="18"/>
            <w:szCs w:val="18"/>
          </w:rPr>
          <w:t>https://www.crin.org/en/library/legal-database/iam-behalf-kym-v-denmark</w:t>
        </w:r>
      </w:hyperlink>
      <w:r w:rsidRPr="00F80560">
        <w:rPr>
          <w:sz w:val="18"/>
          <w:szCs w:val="18"/>
        </w:rPr>
        <w:t xml:space="preserve"> (in het Engels).</w:t>
      </w:r>
    </w:p>
  </w:footnote>
  <w:footnote w:id="14">
    <w:p w:rsidR="002016BC" w:rsidRPr="00F80560" w:rsidRDefault="002016BC" w:rsidP="002016BC">
      <w:pPr>
        <w:pStyle w:val="Voetnoottekst"/>
        <w:rPr>
          <w:rFonts w:cstheme="minorHAnsi"/>
          <w:sz w:val="18"/>
          <w:szCs w:val="18"/>
        </w:rPr>
      </w:pPr>
      <w:r w:rsidRPr="00F80560">
        <w:rPr>
          <w:rStyle w:val="Voetnootmarkering"/>
          <w:rFonts w:cstheme="minorHAnsi"/>
          <w:sz w:val="18"/>
          <w:szCs w:val="18"/>
        </w:rPr>
        <w:footnoteRef/>
      </w:r>
      <w:r w:rsidRPr="00F80560">
        <w:rPr>
          <w:rFonts w:cstheme="minorHAnsi"/>
          <w:sz w:val="18"/>
          <w:szCs w:val="18"/>
        </w:rPr>
        <w:t xml:space="preserve"> De voorlopige versie van dit instrument kan je hier terugvinden: </w:t>
      </w:r>
      <w:hyperlink r:id="rId5" w:history="1">
        <w:r w:rsidRPr="00F80560">
          <w:rPr>
            <w:rStyle w:val="Hyperlink"/>
            <w:rFonts w:cstheme="minorHAnsi"/>
            <w:sz w:val="18"/>
            <w:szCs w:val="18"/>
          </w:rPr>
          <w:t>http://www.keki.be/nl/reflectie_instrument_2016</w:t>
        </w:r>
      </w:hyperlink>
      <w:r w:rsidRPr="00F80560">
        <w:rPr>
          <w:rFonts w:cstheme="minorHAnsi"/>
          <w:sz w:val="18"/>
          <w:szCs w:val="18"/>
        </w:rPr>
        <w:t xml:space="preserve">. </w:t>
      </w:r>
    </w:p>
  </w:footnote>
  <w:footnote w:id="15">
    <w:p w:rsidR="00B67F97" w:rsidRPr="00F80560" w:rsidRDefault="00B67F97">
      <w:pPr>
        <w:pStyle w:val="Voetnoottekst"/>
        <w:rPr>
          <w:sz w:val="18"/>
          <w:szCs w:val="18"/>
        </w:rPr>
      </w:pPr>
      <w:r w:rsidRPr="00F80560">
        <w:rPr>
          <w:rStyle w:val="Voetnootmarkering"/>
          <w:sz w:val="18"/>
          <w:szCs w:val="18"/>
        </w:rPr>
        <w:footnoteRef/>
      </w:r>
      <w:r w:rsidRPr="00F80560">
        <w:rPr>
          <w:sz w:val="18"/>
          <w:szCs w:val="18"/>
        </w:rPr>
        <w:t xml:space="preserve"> Voor meer informatie of ondersteuning bij dit traject kan je steeds contact opnemen met KeKi via </w:t>
      </w:r>
      <w:hyperlink r:id="rId6" w:history="1">
        <w:r w:rsidRPr="00F80560">
          <w:rPr>
            <w:rStyle w:val="Hyperlink"/>
            <w:sz w:val="18"/>
            <w:szCs w:val="18"/>
          </w:rPr>
          <w:t>info@keki.be</w:t>
        </w:r>
      </w:hyperlink>
      <w:r w:rsidRPr="00F80560">
        <w:rPr>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1F3D" w:rsidRDefault="003E6D1D">
    <w:pPr>
      <w:pStyle w:val="Koptekst"/>
    </w:pPr>
    <w:r>
      <w:rPr>
        <w:noProof/>
        <w:lang w:eastAsia="nl-BE"/>
      </w:rPr>
      <w:drawing>
        <wp:inline distT="0" distB="0" distL="0" distR="0">
          <wp:extent cx="876300" cy="316620"/>
          <wp:effectExtent l="0" t="0" r="0" b="762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eki_logo_def_NL.jpg"/>
                  <pic:cNvPicPr/>
                </pic:nvPicPr>
                <pic:blipFill>
                  <a:blip r:embed="rId1">
                    <a:extLst>
                      <a:ext uri="{28A0092B-C50C-407E-A947-70E740481C1C}">
                        <a14:useLocalDpi xmlns:a14="http://schemas.microsoft.com/office/drawing/2010/main" val="0"/>
                      </a:ext>
                    </a:extLst>
                  </a:blip>
                  <a:stretch>
                    <a:fillRect/>
                  </a:stretch>
                </pic:blipFill>
                <pic:spPr>
                  <a:xfrm>
                    <a:off x="0" y="0"/>
                    <a:ext cx="970090" cy="350508"/>
                  </a:xfrm>
                  <a:prstGeom prst="rect">
                    <a:avLst/>
                  </a:prstGeom>
                </pic:spPr>
              </pic:pic>
            </a:graphicData>
          </a:graphic>
        </wp:inline>
      </w:drawing>
    </w:r>
    <w:r>
      <w:t xml:space="preserve">                                                                                        </w:t>
    </w:r>
    <w:r w:rsidR="00081F3D">
      <w:t xml:space="preserve">                            </w:t>
    </w:r>
    <w:r>
      <w:t xml:space="preserve">            </w:t>
    </w:r>
    <w:r>
      <w:rPr>
        <w:noProof/>
        <w:lang w:eastAsia="nl-BE"/>
      </w:rPr>
      <w:drawing>
        <wp:inline distT="0" distB="0" distL="0" distR="0">
          <wp:extent cx="838200" cy="253504"/>
          <wp:effectExtent l="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UA.png"/>
                  <pic:cNvPicPr/>
                </pic:nvPicPr>
                <pic:blipFill>
                  <a:blip r:embed="rId2">
                    <a:extLst>
                      <a:ext uri="{28A0092B-C50C-407E-A947-70E740481C1C}">
                        <a14:useLocalDpi xmlns:a14="http://schemas.microsoft.com/office/drawing/2010/main" val="0"/>
                      </a:ext>
                    </a:extLst>
                  </a:blip>
                  <a:stretch>
                    <a:fillRect/>
                  </a:stretch>
                </pic:blipFill>
                <pic:spPr>
                  <a:xfrm>
                    <a:off x="0" y="0"/>
                    <a:ext cx="962737" cy="291169"/>
                  </a:xfrm>
                  <a:prstGeom prst="rect">
                    <a:avLst/>
                  </a:prstGeom>
                </pic:spPr>
              </pic:pic>
            </a:graphicData>
          </a:graphic>
        </wp:inline>
      </w:drawing>
    </w:r>
  </w:p>
  <w:p w:rsidR="00620DBD" w:rsidRDefault="00620DB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305C3D"/>
    <w:multiLevelType w:val="hybridMultilevel"/>
    <w:tmpl w:val="C308A196"/>
    <w:lvl w:ilvl="0" w:tplc="A11C4B84">
      <w:start w:val="1"/>
      <w:numFmt w:val="bullet"/>
      <w:lvlText w:val=""/>
      <w:lvlJc w:val="left"/>
      <w:pPr>
        <w:tabs>
          <w:tab w:val="num" w:pos="720"/>
        </w:tabs>
        <w:ind w:left="720" w:hanging="360"/>
      </w:pPr>
      <w:rPr>
        <w:rFonts w:ascii="Wingdings" w:hAnsi="Wingdings" w:hint="default"/>
      </w:rPr>
    </w:lvl>
    <w:lvl w:ilvl="1" w:tplc="5986CF78" w:tentative="1">
      <w:start w:val="1"/>
      <w:numFmt w:val="bullet"/>
      <w:lvlText w:val=""/>
      <w:lvlJc w:val="left"/>
      <w:pPr>
        <w:tabs>
          <w:tab w:val="num" w:pos="1440"/>
        </w:tabs>
        <w:ind w:left="1440" w:hanging="360"/>
      </w:pPr>
      <w:rPr>
        <w:rFonts w:ascii="Wingdings" w:hAnsi="Wingdings" w:hint="default"/>
      </w:rPr>
    </w:lvl>
    <w:lvl w:ilvl="2" w:tplc="CF2EAD16" w:tentative="1">
      <w:start w:val="1"/>
      <w:numFmt w:val="bullet"/>
      <w:lvlText w:val=""/>
      <w:lvlJc w:val="left"/>
      <w:pPr>
        <w:tabs>
          <w:tab w:val="num" w:pos="2160"/>
        </w:tabs>
        <w:ind w:left="2160" w:hanging="360"/>
      </w:pPr>
      <w:rPr>
        <w:rFonts w:ascii="Wingdings" w:hAnsi="Wingdings" w:hint="default"/>
      </w:rPr>
    </w:lvl>
    <w:lvl w:ilvl="3" w:tplc="BD2A821A" w:tentative="1">
      <w:start w:val="1"/>
      <w:numFmt w:val="bullet"/>
      <w:lvlText w:val=""/>
      <w:lvlJc w:val="left"/>
      <w:pPr>
        <w:tabs>
          <w:tab w:val="num" w:pos="2880"/>
        </w:tabs>
        <w:ind w:left="2880" w:hanging="360"/>
      </w:pPr>
      <w:rPr>
        <w:rFonts w:ascii="Wingdings" w:hAnsi="Wingdings" w:hint="default"/>
      </w:rPr>
    </w:lvl>
    <w:lvl w:ilvl="4" w:tplc="A9884E9A" w:tentative="1">
      <w:start w:val="1"/>
      <w:numFmt w:val="bullet"/>
      <w:lvlText w:val=""/>
      <w:lvlJc w:val="left"/>
      <w:pPr>
        <w:tabs>
          <w:tab w:val="num" w:pos="3600"/>
        </w:tabs>
        <w:ind w:left="3600" w:hanging="360"/>
      </w:pPr>
      <w:rPr>
        <w:rFonts w:ascii="Wingdings" w:hAnsi="Wingdings" w:hint="default"/>
      </w:rPr>
    </w:lvl>
    <w:lvl w:ilvl="5" w:tplc="E844F9F0" w:tentative="1">
      <w:start w:val="1"/>
      <w:numFmt w:val="bullet"/>
      <w:lvlText w:val=""/>
      <w:lvlJc w:val="left"/>
      <w:pPr>
        <w:tabs>
          <w:tab w:val="num" w:pos="4320"/>
        </w:tabs>
        <w:ind w:left="4320" w:hanging="360"/>
      </w:pPr>
      <w:rPr>
        <w:rFonts w:ascii="Wingdings" w:hAnsi="Wingdings" w:hint="default"/>
      </w:rPr>
    </w:lvl>
    <w:lvl w:ilvl="6" w:tplc="FE1C068A" w:tentative="1">
      <w:start w:val="1"/>
      <w:numFmt w:val="bullet"/>
      <w:lvlText w:val=""/>
      <w:lvlJc w:val="left"/>
      <w:pPr>
        <w:tabs>
          <w:tab w:val="num" w:pos="5040"/>
        </w:tabs>
        <w:ind w:left="5040" w:hanging="360"/>
      </w:pPr>
      <w:rPr>
        <w:rFonts w:ascii="Wingdings" w:hAnsi="Wingdings" w:hint="default"/>
      </w:rPr>
    </w:lvl>
    <w:lvl w:ilvl="7" w:tplc="5F4C6FE8" w:tentative="1">
      <w:start w:val="1"/>
      <w:numFmt w:val="bullet"/>
      <w:lvlText w:val=""/>
      <w:lvlJc w:val="left"/>
      <w:pPr>
        <w:tabs>
          <w:tab w:val="num" w:pos="5760"/>
        </w:tabs>
        <w:ind w:left="5760" w:hanging="360"/>
      </w:pPr>
      <w:rPr>
        <w:rFonts w:ascii="Wingdings" w:hAnsi="Wingdings" w:hint="default"/>
      </w:rPr>
    </w:lvl>
    <w:lvl w:ilvl="8" w:tplc="758AC8F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AA0121C"/>
    <w:multiLevelType w:val="hybridMultilevel"/>
    <w:tmpl w:val="518E4046"/>
    <w:lvl w:ilvl="0" w:tplc="0EA8B2E4">
      <w:numFmt w:val="bullet"/>
      <w:lvlText w:val="-"/>
      <w:lvlJc w:val="left"/>
      <w:pPr>
        <w:ind w:left="720" w:hanging="360"/>
      </w:pPr>
      <w:rPr>
        <w:rFonts w:ascii="Georgia" w:eastAsiaTheme="minorHAnsi" w:hAnsi="Georgia" w:cs="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0FE"/>
    <w:rsid w:val="00025B4C"/>
    <w:rsid w:val="00081F3D"/>
    <w:rsid w:val="000844AF"/>
    <w:rsid w:val="001249E6"/>
    <w:rsid w:val="00136AC8"/>
    <w:rsid w:val="0016283A"/>
    <w:rsid w:val="00163AA9"/>
    <w:rsid w:val="00163FE7"/>
    <w:rsid w:val="00165D8A"/>
    <w:rsid w:val="00192777"/>
    <w:rsid w:val="001B5B4B"/>
    <w:rsid w:val="001F1A4F"/>
    <w:rsid w:val="001F2668"/>
    <w:rsid w:val="002016BC"/>
    <w:rsid w:val="00205FAE"/>
    <w:rsid w:val="00212735"/>
    <w:rsid w:val="00213503"/>
    <w:rsid w:val="00256F6C"/>
    <w:rsid w:val="00267DC4"/>
    <w:rsid w:val="00290375"/>
    <w:rsid w:val="002A7451"/>
    <w:rsid w:val="003054AA"/>
    <w:rsid w:val="00324B97"/>
    <w:rsid w:val="003417E0"/>
    <w:rsid w:val="00351624"/>
    <w:rsid w:val="00381005"/>
    <w:rsid w:val="00384BE5"/>
    <w:rsid w:val="00385DF6"/>
    <w:rsid w:val="003A511D"/>
    <w:rsid w:val="003B04F5"/>
    <w:rsid w:val="003E6D1D"/>
    <w:rsid w:val="00411CB5"/>
    <w:rsid w:val="00424D6C"/>
    <w:rsid w:val="004300FE"/>
    <w:rsid w:val="004677AC"/>
    <w:rsid w:val="00523DE8"/>
    <w:rsid w:val="00530A19"/>
    <w:rsid w:val="0053626A"/>
    <w:rsid w:val="00553B8E"/>
    <w:rsid w:val="00585879"/>
    <w:rsid w:val="005B2372"/>
    <w:rsid w:val="005D7234"/>
    <w:rsid w:val="005D7CDE"/>
    <w:rsid w:val="005E31CC"/>
    <w:rsid w:val="006165C8"/>
    <w:rsid w:val="00620DBD"/>
    <w:rsid w:val="00624A49"/>
    <w:rsid w:val="006508A1"/>
    <w:rsid w:val="00690B63"/>
    <w:rsid w:val="00697257"/>
    <w:rsid w:val="00697D13"/>
    <w:rsid w:val="006C6A1B"/>
    <w:rsid w:val="006C7B93"/>
    <w:rsid w:val="00740C6E"/>
    <w:rsid w:val="00747757"/>
    <w:rsid w:val="007A4E5E"/>
    <w:rsid w:val="007A7CF6"/>
    <w:rsid w:val="007F01D4"/>
    <w:rsid w:val="00872F5E"/>
    <w:rsid w:val="008B6F3E"/>
    <w:rsid w:val="008E4196"/>
    <w:rsid w:val="0090116F"/>
    <w:rsid w:val="009021F0"/>
    <w:rsid w:val="009222F3"/>
    <w:rsid w:val="00931033"/>
    <w:rsid w:val="00947809"/>
    <w:rsid w:val="009508B8"/>
    <w:rsid w:val="00986501"/>
    <w:rsid w:val="009E147C"/>
    <w:rsid w:val="009F55EE"/>
    <w:rsid w:val="00A00037"/>
    <w:rsid w:val="00A6669A"/>
    <w:rsid w:val="00A806CB"/>
    <w:rsid w:val="00A809AC"/>
    <w:rsid w:val="00A8772A"/>
    <w:rsid w:val="00AC3B6A"/>
    <w:rsid w:val="00AC6F07"/>
    <w:rsid w:val="00AE7879"/>
    <w:rsid w:val="00B12FED"/>
    <w:rsid w:val="00B24013"/>
    <w:rsid w:val="00B6325D"/>
    <w:rsid w:val="00B67F97"/>
    <w:rsid w:val="00BF5E45"/>
    <w:rsid w:val="00C10702"/>
    <w:rsid w:val="00C24F95"/>
    <w:rsid w:val="00C653C1"/>
    <w:rsid w:val="00C81DDC"/>
    <w:rsid w:val="00C90385"/>
    <w:rsid w:val="00CC1BFF"/>
    <w:rsid w:val="00CD1D06"/>
    <w:rsid w:val="00CE3F80"/>
    <w:rsid w:val="00D01F19"/>
    <w:rsid w:val="00D73781"/>
    <w:rsid w:val="00D846D4"/>
    <w:rsid w:val="00DA039F"/>
    <w:rsid w:val="00DA11CB"/>
    <w:rsid w:val="00DB77A7"/>
    <w:rsid w:val="00DC2828"/>
    <w:rsid w:val="00DD1EDC"/>
    <w:rsid w:val="00E258F9"/>
    <w:rsid w:val="00E3470D"/>
    <w:rsid w:val="00EE1FDF"/>
    <w:rsid w:val="00EE5FBB"/>
    <w:rsid w:val="00F0571D"/>
    <w:rsid w:val="00F61BFB"/>
    <w:rsid w:val="00F80560"/>
    <w:rsid w:val="00FB1F43"/>
    <w:rsid w:val="00FC166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88ABD71-88F9-418F-9B25-C25D75C43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autoRedefine/>
    <w:uiPriority w:val="34"/>
    <w:qFormat/>
    <w:rsid w:val="00FB1F43"/>
    <w:pPr>
      <w:spacing w:before="100" w:beforeAutospacing="1" w:after="100" w:afterAutospacing="1" w:line="240" w:lineRule="auto"/>
    </w:pPr>
    <w:rPr>
      <w:rFonts w:ascii="Calibri" w:eastAsia="Times New Roman" w:hAnsi="Calibri" w:cs="Times New Roman"/>
      <w:szCs w:val="24"/>
      <w:lang w:eastAsia="nl-BE"/>
    </w:rPr>
  </w:style>
  <w:style w:type="paragraph" w:styleId="Geenafstand">
    <w:name w:val="No Spacing"/>
    <w:uiPriority w:val="1"/>
    <w:qFormat/>
    <w:rsid w:val="004300FE"/>
    <w:pPr>
      <w:spacing w:after="0" w:line="240" w:lineRule="auto"/>
    </w:pPr>
  </w:style>
  <w:style w:type="paragraph" w:styleId="Voetnoottekst">
    <w:name w:val="footnote text"/>
    <w:basedOn w:val="Standaard"/>
    <w:link w:val="VoetnoottekstChar"/>
    <w:uiPriority w:val="99"/>
    <w:semiHidden/>
    <w:unhideWhenUsed/>
    <w:rsid w:val="00DD1EDC"/>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DD1EDC"/>
    <w:rPr>
      <w:sz w:val="20"/>
      <w:szCs w:val="20"/>
    </w:rPr>
  </w:style>
  <w:style w:type="character" w:styleId="Voetnootmarkering">
    <w:name w:val="footnote reference"/>
    <w:basedOn w:val="Standaardalinea-lettertype"/>
    <w:uiPriority w:val="99"/>
    <w:semiHidden/>
    <w:unhideWhenUsed/>
    <w:rsid w:val="00DD1EDC"/>
    <w:rPr>
      <w:vertAlign w:val="superscript"/>
    </w:rPr>
  </w:style>
  <w:style w:type="character" w:styleId="Hyperlink">
    <w:name w:val="Hyperlink"/>
    <w:basedOn w:val="Standaardalinea-lettertype"/>
    <w:uiPriority w:val="99"/>
    <w:unhideWhenUsed/>
    <w:rsid w:val="00424D6C"/>
    <w:rPr>
      <w:color w:val="0563C1" w:themeColor="hyperlink"/>
      <w:u w:val="single"/>
    </w:rPr>
  </w:style>
  <w:style w:type="paragraph" w:customStyle="1" w:styleId="Standaard11ptn">
    <w:name w:val="Standaard 11ptn"/>
    <w:basedOn w:val="Standaard"/>
    <w:rsid w:val="005B2372"/>
    <w:pPr>
      <w:spacing w:after="200" w:line="276" w:lineRule="auto"/>
      <w:jc w:val="both"/>
    </w:pPr>
    <w:rPr>
      <w:rFonts w:eastAsiaTheme="minorEastAsia"/>
      <w:szCs w:val="20"/>
    </w:rPr>
  </w:style>
  <w:style w:type="paragraph" w:styleId="Koptekst">
    <w:name w:val="header"/>
    <w:basedOn w:val="Standaard"/>
    <w:link w:val="KoptekstChar"/>
    <w:uiPriority w:val="99"/>
    <w:unhideWhenUsed/>
    <w:rsid w:val="003E6D1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E6D1D"/>
  </w:style>
  <w:style w:type="paragraph" w:styleId="Voettekst">
    <w:name w:val="footer"/>
    <w:basedOn w:val="Standaard"/>
    <w:link w:val="VoettekstChar"/>
    <w:uiPriority w:val="99"/>
    <w:unhideWhenUsed/>
    <w:rsid w:val="003E6D1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E6D1D"/>
  </w:style>
  <w:style w:type="paragraph" w:styleId="Ballontekst">
    <w:name w:val="Balloon Text"/>
    <w:basedOn w:val="Standaard"/>
    <w:link w:val="BallontekstChar"/>
    <w:uiPriority w:val="99"/>
    <w:semiHidden/>
    <w:unhideWhenUsed/>
    <w:rsid w:val="002016BC"/>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2016BC"/>
    <w:rPr>
      <w:rFonts w:ascii="Segoe UI" w:hAnsi="Segoe UI" w:cs="Segoe UI"/>
      <w:sz w:val="18"/>
      <w:szCs w:val="18"/>
    </w:rPr>
  </w:style>
  <w:style w:type="character" w:customStyle="1" w:styleId="docreferentietitle1">
    <w:name w:val="docreferentietitle1"/>
    <w:uiPriority w:val="99"/>
    <w:rsid w:val="00290375"/>
    <w:rPr>
      <w:rFonts w:ascii="Verdana" w:hAnsi="Verdana" w:hint="default"/>
      <w:b/>
      <w:bCs/>
      <w:color w:val="B80804"/>
      <w:sz w:val="24"/>
      <w:szCs w:val="24"/>
    </w:rPr>
  </w:style>
  <w:style w:type="paragraph" w:customStyle="1" w:styleId="04Voetnoot">
    <w:name w:val="04_Voetnoot"/>
    <w:basedOn w:val="Standaard"/>
    <w:uiPriority w:val="99"/>
    <w:rsid w:val="00290375"/>
    <w:pPr>
      <w:widowControl w:val="0"/>
      <w:tabs>
        <w:tab w:val="left" w:pos="397"/>
        <w:tab w:val="left" w:pos="4730"/>
      </w:tabs>
      <w:autoSpaceDE w:val="0"/>
      <w:autoSpaceDN w:val="0"/>
      <w:adjustRightInd w:val="0"/>
      <w:spacing w:after="0" w:line="180" w:lineRule="atLeast"/>
      <w:jc w:val="both"/>
      <w:textAlignment w:val="center"/>
    </w:pPr>
    <w:rPr>
      <w:rFonts w:ascii="DIN-RegularAlternate" w:eastAsia="MS Mincho" w:hAnsi="DIN-RegularAlternate" w:cs="DIN-RegularAlternate"/>
      <w:color w:val="000000"/>
      <w:sz w:val="14"/>
      <w:szCs w:val="1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347420">
      <w:bodyDiv w:val="1"/>
      <w:marLeft w:val="0"/>
      <w:marRight w:val="0"/>
      <w:marTop w:val="0"/>
      <w:marBottom w:val="0"/>
      <w:divBdr>
        <w:top w:val="none" w:sz="0" w:space="0" w:color="auto"/>
        <w:left w:val="none" w:sz="0" w:space="0" w:color="auto"/>
        <w:bottom w:val="none" w:sz="0" w:space="0" w:color="auto"/>
        <w:right w:val="none" w:sz="0" w:space="0" w:color="auto"/>
      </w:divBdr>
    </w:div>
    <w:div w:id="786510709">
      <w:bodyDiv w:val="1"/>
      <w:marLeft w:val="0"/>
      <w:marRight w:val="0"/>
      <w:marTop w:val="0"/>
      <w:marBottom w:val="0"/>
      <w:divBdr>
        <w:top w:val="none" w:sz="0" w:space="0" w:color="auto"/>
        <w:left w:val="none" w:sz="0" w:space="0" w:color="auto"/>
        <w:bottom w:val="none" w:sz="0" w:space="0" w:color="auto"/>
        <w:right w:val="none" w:sz="0" w:space="0" w:color="auto"/>
      </w:divBdr>
    </w:div>
    <w:div w:id="1370303049">
      <w:bodyDiv w:val="1"/>
      <w:marLeft w:val="0"/>
      <w:marRight w:val="0"/>
      <w:marTop w:val="0"/>
      <w:marBottom w:val="0"/>
      <w:divBdr>
        <w:top w:val="none" w:sz="0" w:space="0" w:color="auto"/>
        <w:left w:val="none" w:sz="0" w:space="0" w:color="auto"/>
        <w:bottom w:val="none" w:sz="0" w:space="0" w:color="auto"/>
        <w:right w:val="none" w:sz="0" w:space="0" w:color="auto"/>
      </w:divBdr>
    </w:div>
    <w:div w:id="1533110900">
      <w:bodyDiv w:val="1"/>
      <w:marLeft w:val="0"/>
      <w:marRight w:val="0"/>
      <w:marTop w:val="0"/>
      <w:marBottom w:val="0"/>
      <w:divBdr>
        <w:top w:val="none" w:sz="0" w:space="0" w:color="auto"/>
        <w:left w:val="none" w:sz="0" w:space="0" w:color="auto"/>
        <w:bottom w:val="none" w:sz="0" w:space="0" w:color="auto"/>
        <w:right w:val="none" w:sz="0" w:space="0" w:color="auto"/>
      </w:divBdr>
    </w:div>
    <w:div w:id="1539855467">
      <w:bodyDiv w:val="1"/>
      <w:marLeft w:val="0"/>
      <w:marRight w:val="0"/>
      <w:marTop w:val="0"/>
      <w:marBottom w:val="0"/>
      <w:divBdr>
        <w:top w:val="none" w:sz="0" w:space="0" w:color="auto"/>
        <w:left w:val="none" w:sz="0" w:space="0" w:color="auto"/>
        <w:bottom w:val="none" w:sz="0" w:space="0" w:color="auto"/>
        <w:right w:val="none" w:sz="0" w:space="0" w:color="auto"/>
      </w:divBdr>
    </w:div>
    <w:div w:id="1580750558">
      <w:bodyDiv w:val="1"/>
      <w:marLeft w:val="0"/>
      <w:marRight w:val="0"/>
      <w:marTop w:val="0"/>
      <w:marBottom w:val="0"/>
      <w:divBdr>
        <w:top w:val="none" w:sz="0" w:space="0" w:color="auto"/>
        <w:left w:val="none" w:sz="0" w:space="0" w:color="auto"/>
        <w:bottom w:val="none" w:sz="0" w:space="0" w:color="auto"/>
        <w:right w:val="none" w:sz="0" w:space="0" w:color="auto"/>
      </w:divBdr>
    </w:div>
    <w:div w:id="1904440345">
      <w:bodyDiv w:val="1"/>
      <w:marLeft w:val="0"/>
      <w:marRight w:val="0"/>
      <w:marTop w:val="0"/>
      <w:marBottom w:val="0"/>
      <w:divBdr>
        <w:top w:val="none" w:sz="0" w:space="0" w:color="auto"/>
        <w:left w:val="none" w:sz="0" w:space="0" w:color="auto"/>
        <w:bottom w:val="none" w:sz="0" w:space="0" w:color="auto"/>
        <w:right w:val="none" w:sz="0" w:space="0" w:color="auto"/>
      </w:divBdr>
      <w:divsChild>
        <w:div w:id="1129007688">
          <w:marLeft w:val="274"/>
          <w:marRight w:val="0"/>
          <w:marTop w:val="0"/>
          <w:marBottom w:val="0"/>
          <w:divBdr>
            <w:top w:val="none" w:sz="0" w:space="0" w:color="auto"/>
            <w:left w:val="none" w:sz="0" w:space="0" w:color="auto"/>
            <w:bottom w:val="none" w:sz="0" w:space="0" w:color="auto"/>
            <w:right w:val="none" w:sz="0" w:space="0" w:color="auto"/>
          </w:divBdr>
        </w:div>
        <w:div w:id="1653676931">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kinderrechtencommissariaat.be/sites/default/files/bestanden/dossier_recht_op_recht_0.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keki.be/sites/default/files/publications/Omgevingsanalyse%20-%20Rapport%204%20-%20Kinderrechtelijk%20kader%20-%20KeKi.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raadvst-consetat.be/arr.php?nr=223630"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kekidatabank.be/docs/Publicaties/2010%20HERBOTS%20PUT%20De%20grondwettelijke%20verankering%20van%20kinderrechten.pdf" TargetMode="External"/><Relationship Id="rId5" Type="http://schemas.openxmlformats.org/officeDocument/2006/relationships/styles" Target="styles.xml"/><Relationship Id="rId15" Type="http://schemas.openxmlformats.org/officeDocument/2006/relationships/hyperlink" Target="https://www.kennisplein.be/sites/Jeugdrecht/Pages/KINDERRECHTEN---ART.-22BIS-GRONDWET--IN-ASIELPROCEDURES-ZIJN-ENKEL-SYMBOLISCH-VOLGENS-DE-RAAD-VAN-STATE.aspx"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openaccess.leidenuniv.nl/bitstream/handle/1887/38314/FJR_2015_20.pdf?sequence=1"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tbinternet.ohchr.org/_layouts/treatybodyexternal/SessionDetails1.aspx?SessionID=1226&amp;Lang=en" TargetMode="External"/><Relationship Id="rId2" Type="http://schemas.openxmlformats.org/officeDocument/2006/relationships/hyperlink" Target="http://www.kekidatabank.be" TargetMode="External"/><Relationship Id="rId1" Type="http://schemas.openxmlformats.org/officeDocument/2006/relationships/hyperlink" Target="http://www.kekidatabank.be/opac/index.php?lvl=notice_display&amp;id=22" TargetMode="External"/><Relationship Id="rId6" Type="http://schemas.openxmlformats.org/officeDocument/2006/relationships/hyperlink" Target="mailto:info@keki.be" TargetMode="External"/><Relationship Id="rId5" Type="http://schemas.openxmlformats.org/officeDocument/2006/relationships/hyperlink" Target="http://www.keki.be/nl/reflectie_instrument_2016" TargetMode="External"/><Relationship Id="rId4" Type="http://schemas.openxmlformats.org/officeDocument/2006/relationships/hyperlink" Target="https://www.crin.org/en/library/legal-database/iam-behalf-kym-v-denmar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6D60F66DEAA1489443023982AD0B82" ma:contentTypeVersion="10" ma:contentTypeDescription="Een nieuw document maken." ma:contentTypeScope="" ma:versionID="a8f62e65f4a12643fa73c901501c134c">
  <xsd:schema xmlns:xsd="http://www.w3.org/2001/XMLSchema" xmlns:xs="http://www.w3.org/2001/XMLSchema" xmlns:p="http://schemas.microsoft.com/office/2006/metadata/properties" xmlns:ns2="aab950e2-51a5-4c46-9225-904eb683d3c0" xmlns:ns3="7314e8b7-211b-4a74-b9bb-2419510314d3" targetNamespace="http://schemas.microsoft.com/office/2006/metadata/properties" ma:root="true" ma:fieldsID="e30322e8be97cadfaebf2142f3d3fccc" ns2:_="" ns3:_="">
    <xsd:import namespace="aab950e2-51a5-4c46-9225-904eb683d3c0"/>
    <xsd:import namespace="7314e8b7-211b-4a74-b9bb-2419510314d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b950e2-51a5-4c46-9225-904eb683d3c0"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14e8b7-211b-4a74-b9bb-2419510314d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C49B2A-BFA5-4794-9E36-31DF5ADCD5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b950e2-51a5-4c46-9225-904eb683d3c0"/>
    <ds:schemaRef ds:uri="7314e8b7-211b-4a74-b9bb-2419510314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20B23A-EA3C-4B9B-9B98-DC9FD425DE1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2E97CED-62AC-482A-85C9-5E134C094D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3674</Words>
  <Characters>20210</Characters>
  <Application>Microsoft Office Word</Application>
  <DocSecurity>0</DocSecurity>
  <Lines>168</Lines>
  <Paragraphs>47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Review</dc:creator>
  <cp:keywords/>
  <dc:description/>
  <cp:lastModifiedBy>Sara Lembrechts</cp:lastModifiedBy>
  <cp:revision>2</cp:revision>
  <cp:lastPrinted>2018-02-23T16:55:00Z</cp:lastPrinted>
  <dcterms:created xsi:type="dcterms:W3CDTF">2020-05-06T19:02:00Z</dcterms:created>
  <dcterms:modified xsi:type="dcterms:W3CDTF">2020-05-06T19:02:00Z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0x0101002F6D60F66DEAA1489443023982AD0B82</vt:lpwstr>
  </property>
</Properties>
</file>