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3D16B" w14:textId="77777777" w:rsidR="00930958" w:rsidRPr="008D1DB9" w:rsidRDefault="001A6089" w:rsidP="000B11B7">
      <w:pPr>
        <w:jc w:val="center"/>
        <w:rPr>
          <w:sz w:val="32"/>
          <w:szCs w:val="32"/>
          <w:lang w:val="nl-NL"/>
        </w:rPr>
      </w:pPr>
      <w:r w:rsidRPr="008D1DB9">
        <w:rPr>
          <w:sz w:val="32"/>
          <w:szCs w:val="32"/>
          <w:lang w:val="nl-NL"/>
        </w:rPr>
        <w:t>Diagnostiek van leerstoornissen</w:t>
      </w:r>
    </w:p>
    <w:p w14:paraId="11B5CBBE" w14:textId="77777777" w:rsidR="000B11B7" w:rsidRDefault="008D1DB9">
      <w:pPr>
        <w:rPr>
          <w:lang w:val="nl-NL"/>
        </w:rPr>
      </w:pPr>
      <w:r w:rsidRPr="000B11B7">
        <w:rPr>
          <w:sz w:val="28"/>
          <w:szCs w:val="28"/>
          <w:lang w:val="nl-NL"/>
        </w:rPr>
        <w:t>Auteurs:</w:t>
      </w:r>
      <w:r>
        <w:rPr>
          <w:lang w:val="nl-NL"/>
        </w:rPr>
        <w:t xml:space="preserve"> </w:t>
      </w:r>
    </w:p>
    <w:p w14:paraId="0655F1A6" w14:textId="7026D7B5" w:rsidR="001A6089" w:rsidRDefault="008D1DB9" w:rsidP="00466E7D">
      <w:pPr>
        <w:rPr>
          <w:lang w:val="nl-NL"/>
        </w:rPr>
      </w:pPr>
      <w:r>
        <w:rPr>
          <w:lang w:val="nl-NL"/>
        </w:rPr>
        <w:t>Annemie Desoete (1,2)</w:t>
      </w:r>
      <w:r w:rsidR="00FA42F8">
        <w:rPr>
          <w:lang w:val="nl-NL"/>
        </w:rPr>
        <w:t>,</w:t>
      </w:r>
      <w:r>
        <w:rPr>
          <w:lang w:val="nl-NL"/>
        </w:rPr>
        <w:t xml:space="preserve"> </w:t>
      </w:r>
      <w:r w:rsidR="00FA42F8">
        <w:rPr>
          <w:lang w:val="nl-NL"/>
        </w:rPr>
        <w:t>Christel Van Vreckem (2)</w:t>
      </w:r>
      <w:r w:rsidR="00466E7D">
        <w:rPr>
          <w:lang w:val="nl-NL"/>
        </w:rPr>
        <w:t>,</w:t>
      </w:r>
      <w:r w:rsidR="003D5BFC">
        <w:rPr>
          <w:lang w:val="nl-NL"/>
        </w:rPr>
        <w:t xml:space="preserve"> Ruth Vanderswalmen (2)</w:t>
      </w:r>
      <w:r w:rsidR="00466E7D">
        <w:rPr>
          <w:lang w:val="nl-NL"/>
        </w:rPr>
        <w:t xml:space="preserve"> </w:t>
      </w:r>
    </w:p>
    <w:p w14:paraId="2A241492" w14:textId="77777777" w:rsidR="008D1DB9" w:rsidRDefault="008D1DB9">
      <w:pPr>
        <w:rPr>
          <w:lang w:val="nl-NL"/>
        </w:rPr>
      </w:pPr>
      <w:r>
        <w:rPr>
          <w:lang w:val="nl-NL"/>
        </w:rPr>
        <w:t>1 = UGent</w:t>
      </w:r>
      <w:r w:rsidR="000B11B7">
        <w:rPr>
          <w:lang w:val="nl-NL"/>
        </w:rPr>
        <w:t>, Vakgroep Experimenteel Klinische en Gezondheidspsychologie, H. Dunantlaan 2, 9000 Gent</w:t>
      </w:r>
    </w:p>
    <w:p w14:paraId="4535DF69" w14:textId="77777777" w:rsidR="008D1DB9" w:rsidRDefault="008D1DB9">
      <w:pPr>
        <w:rPr>
          <w:lang w:val="nl-NL"/>
        </w:rPr>
      </w:pPr>
      <w:r>
        <w:rPr>
          <w:lang w:val="nl-NL"/>
        </w:rPr>
        <w:t>2 = Arteveldehogeschool</w:t>
      </w:r>
      <w:r w:rsidR="000B11B7">
        <w:rPr>
          <w:lang w:val="nl-NL"/>
        </w:rPr>
        <w:t>, Logopedie</w:t>
      </w:r>
    </w:p>
    <w:p w14:paraId="3EC885BA" w14:textId="77777777" w:rsidR="000B11B7" w:rsidRDefault="000B11B7">
      <w:pPr>
        <w:rPr>
          <w:lang w:val="nl-NL"/>
        </w:rPr>
      </w:pPr>
    </w:p>
    <w:p w14:paraId="2DBF0E75" w14:textId="77777777" w:rsidR="000B11B7" w:rsidRDefault="000B11B7" w:rsidP="000B11B7">
      <w:pPr>
        <w:jc w:val="center"/>
        <w:rPr>
          <w:lang w:val="nl-NL"/>
        </w:rPr>
      </w:pPr>
      <w:r w:rsidRPr="000B11B7">
        <w:rPr>
          <w:sz w:val="28"/>
          <w:szCs w:val="28"/>
          <w:lang w:val="nl-NL"/>
        </w:rPr>
        <w:t>Abstract</w:t>
      </w:r>
      <w:r>
        <w:rPr>
          <w:lang w:val="nl-NL"/>
        </w:rPr>
        <w:t xml:space="preserve"> (200 woorden)</w:t>
      </w:r>
    </w:p>
    <w:p w14:paraId="159A68D6" w14:textId="694841B2" w:rsidR="000D3B54" w:rsidRDefault="00CE51F4" w:rsidP="00C230D4">
      <w:pPr>
        <w:spacing w:after="0" w:line="240" w:lineRule="auto"/>
        <w:rPr>
          <w:rFonts w:ascii="Arial" w:hAnsi="Arial" w:cs="Arial"/>
        </w:rPr>
      </w:pPr>
      <w:r>
        <w:rPr>
          <w:rFonts w:ascii="Arial" w:hAnsi="Arial" w:cs="Arial"/>
          <w:bCs/>
          <w:lang w:eastAsia="nl-BE"/>
        </w:rPr>
        <w:t>In deze bijdrage g</w:t>
      </w:r>
      <w:r w:rsidR="001563E1">
        <w:rPr>
          <w:rFonts w:ascii="Arial" w:hAnsi="Arial" w:cs="Arial"/>
          <w:bCs/>
          <w:lang w:eastAsia="nl-BE"/>
        </w:rPr>
        <w:t>aan</w:t>
      </w:r>
      <w:r>
        <w:rPr>
          <w:rFonts w:ascii="Arial" w:hAnsi="Arial" w:cs="Arial"/>
          <w:bCs/>
          <w:lang w:eastAsia="nl-BE"/>
        </w:rPr>
        <w:t xml:space="preserve"> we na </w:t>
      </w:r>
      <w:r w:rsidR="00B55C43">
        <w:rPr>
          <w:rFonts w:ascii="Arial" w:hAnsi="Arial" w:cs="Arial"/>
          <w:bCs/>
          <w:lang w:eastAsia="nl-BE"/>
        </w:rPr>
        <w:t>wat de</w:t>
      </w:r>
      <w:r w:rsidR="003D5BFC">
        <w:rPr>
          <w:rFonts w:ascii="Arial" w:hAnsi="Arial" w:cs="Arial"/>
          <w:bCs/>
          <w:lang w:eastAsia="nl-BE"/>
        </w:rPr>
        <w:t xml:space="preserve"> prevalentie</w:t>
      </w:r>
      <w:r w:rsidR="00041408">
        <w:rPr>
          <w:rFonts w:ascii="Arial" w:hAnsi="Arial" w:cs="Arial"/>
          <w:bCs/>
          <w:lang w:eastAsia="nl-BE"/>
        </w:rPr>
        <w:t xml:space="preserve">cijfers zijn voor leerstoornissen en wat bekend is rond etiologie en comorbiditeit. Verder staan we stil bij de </w:t>
      </w:r>
      <w:r w:rsidR="00DB4319">
        <w:rPr>
          <w:rFonts w:ascii="Arial" w:hAnsi="Arial" w:cs="Arial"/>
          <w:bCs/>
          <w:lang w:eastAsia="nl-BE"/>
        </w:rPr>
        <w:t xml:space="preserve">internationale criteria om van dyslexie, dysorthografie en/of dyscalculie te spreken, om </w:t>
      </w:r>
      <w:r w:rsidR="00450BF1">
        <w:rPr>
          <w:rFonts w:ascii="Arial" w:hAnsi="Arial" w:cs="Arial"/>
          <w:bCs/>
          <w:lang w:eastAsia="nl-BE"/>
        </w:rPr>
        <w:t xml:space="preserve">daarna de </w:t>
      </w:r>
      <w:r w:rsidR="00DB4319">
        <w:rPr>
          <w:rFonts w:ascii="Arial" w:hAnsi="Arial" w:cs="Arial"/>
          <w:bCs/>
          <w:lang w:eastAsia="nl-BE"/>
        </w:rPr>
        <w:t xml:space="preserve">beschrijvende criteria van het </w:t>
      </w:r>
      <w:r>
        <w:rPr>
          <w:rFonts w:ascii="Arial" w:hAnsi="Arial" w:cs="Arial"/>
          <w:bCs/>
          <w:lang w:eastAsia="nl-BE"/>
        </w:rPr>
        <w:t>Netwerk Leerproblemen Vlaanderen</w:t>
      </w:r>
      <w:r w:rsidR="00450BF1">
        <w:rPr>
          <w:rFonts w:ascii="Arial" w:hAnsi="Arial" w:cs="Arial"/>
          <w:bCs/>
          <w:lang w:eastAsia="nl-BE"/>
        </w:rPr>
        <w:t xml:space="preserve"> te overlopen</w:t>
      </w:r>
      <w:r w:rsidR="00DB4319">
        <w:rPr>
          <w:rFonts w:ascii="Arial" w:hAnsi="Arial" w:cs="Arial"/>
          <w:bCs/>
          <w:lang w:eastAsia="nl-BE"/>
        </w:rPr>
        <w:t xml:space="preserve">. </w:t>
      </w:r>
      <w:r w:rsidR="00450BF1">
        <w:rPr>
          <w:rFonts w:ascii="Arial" w:hAnsi="Arial" w:cs="Arial"/>
          <w:bCs/>
          <w:lang w:eastAsia="nl-BE"/>
        </w:rPr>
        <w:t xml:space="preserve">In navolging van dit Netwerk, spreken we </w:t>
      </w:r>
      <w:r w:rsidR="00DB4319">
        <w:rPr>
          <w:rFonts w:ascii="Arial" w:hAnsi="Arial" w:cs="Arial"/>
          <w:bCs/>
          <w:lang w:eastAsia="nl-BE"/>
        </w:rPr>
        <w:t>van d</w:t>
      </w:r>
      <w:r w:rsidR="000D3B54">
        <w:rPr>
          <w:rFonts w:ascii="Arial" w:hAnsi="Arial" w:cs="Arial"/>
        </w:rPr>
        <w:t xml:space="preserve">yslexie </w:t>
      </w:r>
      <w:r w:rsidR="00B55C43">
        <w:rPr>
          <w:rFonts w:ascii="Arial" w:hAnsi="Arial" w:cs="Arial"/>
        </w:rPr>
        <w:t xml:space="preserve">bij </w:t>
      </w:r>
      <w:r w:rsidR="000D3B54">
        <w:rPr>
          <w:rFonts w:ascii="Arial" w:hAnsi="Arial" w:cs="Arial"/>
        </w:rPr>
        <w:t>een hardnekkig probleem met lezen en</w:t>
      </w:r>
      <w:r w:rsidR="00030FC3">
        <w:rPr>
          <w:rFonts w:ascii="Arial" w:hAnsi="Arial" w:cs="Arial"/>
        </w:rPr>
        <w:t>/of</w:t>
      </w:r>
      <w:r w:rsidR="000D3B54">
        <w:rPr>
          <w:rFonts w:ascii="Arial" w:hAnsi="Arial" w:cs="Arial"/>
        </w:rPr>
        <w:t xml:space="preserve"> spellen op woordniveau. Bij dyscalculie gaat het om hardnekkige problemen met de automatisatie van rekenen (rekenfeiten, bewerkingen/hoofdrekenen).</w:t>
      </w:r>
      <w:r w:rsidR="000D3B54" w:rsidRPr="00DC3CD1">
        <w:rPr>
          <w:rFonts w:ascii="Arial" w:hAnsi="Arial" w:cs="Arial"/>
          <w:bCs/>
          <w:lang w:eastAsia="nl-BE"/>
        </w:rPr>
        <w:t xml:space="preserve"> </w:t>
      </w:r>
      <w:r w:rsidR="00450BF1">
        <w:rPr>
          <w:rFonts w:ascii="Arial" w:hAnsi="Arial" w:cs="Arial"/>
          <w:bCs/>
          <w:lang w:eastAsia="nl-BE"/>
        </w:rPr>
        <w:t>H</w:t>
      </w:r>
      <w:r>
        <w:rPr>
          <w:rFonts w:ascii="Arial" w:hAnsi="Arial" w:cs="Arial"/>
          <w:bCs/>
          <w:lang w:eastAsia="nl-BE"/>
        </w:rPr>
        <w:t xml:space="preserve">ardnekkigheid </w:t>
      </w:r>
      <w:r w:rsidR="00450BF1">
        <w:rPr>
          <w:rFonts w:ascii="Arial" w:hAnsi="Arial" w:cs="Arial"/>
          <w:bCs/>
          <w:lang w:eastAsia="nl-BE"/>
        </w:rPr>
        <w:t xml:space="preserve">blijft </w:t>
      </w:r>
      <w:r w:rsidR="00DB4319">
        <w:rPr>
          <w:rFonts w:ascii="Arial" w:hAnsi="Arial" w:cs="Arial"/>
          <w:bCs/>
          <w:lang w:eastAsia="nl-BE"/>
        </w:rPr>
        <w:t xml:space="preserve">één van de criteria waar internationaal </w:t>
      </w:r>
      <w:r w:rsidR="00450BF1">
        <w:rPr>
          <w:rFonts w:ascii="Arial" w:hAnsi="Arial" w:cs="Arial"/>
          <w:bCs/>
          <w:lang w:eastAsia="nl-BE"/>
        </w:rPr>
        <w:t xml:space="preserve">en in ons taalgebied </w:t>
      </w:r>
      <w:r w:rsidR="00DB4319">
        <w:rPr>
          <w:rFonts w:ascii="Arial" w:hAnsi="Arial" w:cs="Arial"/>
          <w:bCs/>
          <w:lang w:eastAsia="nl-BE"/>
        </w:rPr>
        <w:t xml:space="preserve">consensus over is. Vervolgens gaan </w:t>
      </w:r>
      <w:r>
        <w:rPr>
          <w:rFonts w:ascii="Arial" w:hAnsi="Arial" w:cs="Arial"/>
          <w:bCs/>
          <w:lang w:eastAsia="nl-BE"/>
        </w:rPr>
        <w:t xml:space="preserve">we na welke </w:t>
      </w:r>
      <w:r w:rsidR="00DB4319">
        <w:rPr>
          <w:rFonts w:ascii="Arial" w:hAnsi="Arial" w:cs="Arial"/>
          <w:bCs/>
          <w:lang w:eastAsia="nl-BE"/>
        </w:rPr>
        <w:t>instrumenten/tests er zijn om leerstoornissen vast te stellen</w:t>
      </w:r>
      <w:r w:rsidR="00450BF1">
        <w:rPr>
          <w:rFonts w:ascii="Arial" w:hAnsi="Arial" w:cs="Arial"/>
          <w:bCs/>
          <w:lang w:eastAsia="nl-BE"/>
        </w:rPr>
        <w:t xml:space="preserve">. Ook onderzoeken we of </w:t>
      </w:r>
      <w:r w:rsidR="00DB4319">
        <w:rPr>
          <w:rFonts w:ascii="Arial" w:hAnsi="Arial" w:cs="Arial"/>
          <w:bCs/>
          <w:lang w:eastAsia="nl-BE"/>
        </w:rPr>
        <w:t xml:space="preserve">men dezelfde instrumenten gebruikt bij de logopedist in een privépraktijk als in een centrum voor ambulante revalidatie of in een centrum voor leerlingbegeleiding. We illustreren dat dit niet het geval is en pleiten voor </w:t>
      </w:r>
      <w:r w:rsidR="00B55C43">
        <w:rPr>
          <w:rFonts w:ascii="Arial" w:hAnsi="Arial" w:cs="Arial"/>
          <w:bCs/>
          <w:lang w:eastAsia="nl-BE"/>
        </w:rPr>
        <w:t>e</w:t>
      </w:r>
      <w:r w:rsidR="000D3B54">
        <w:rPr>
          <w:rFonts w:ascii="Arial" w:hAnsi="Arial" w:cs="Arial"/>
        </w:rPr>
        <w:t xml:space="preserve">en goede </w:t>
      </w:r>
      <w:r w:rsidR="001563E1">
        <w:rPr>
          <w:rFonts w:ascii="Arial" w:hAnsi="Arial" w:cs="Arial"/>
        </w:rPr>
        <w:t>intake</w:t>
      </w:r>
      <w:r w:rsidR="000D3B54">
        <w:rPr>
          <w:rFonts w:ascii="Arial" w:hAnsi="Arial" w:cs="Arial"/>
        </w:rPr>
        <w:t xml:space="preserve"> (familiale antecedenten, </w:t>
      </w:r>
      <w:r w:rsidR="00D16193">
        <w:rPr>
          <w:rFonts w:ascii="Arial" w:hAnsi="Arial" w:cs="Arial"/>
        </w:rPr>
        <w:t>welke interventies voerde men uit</w:t>
      </w:r>
      <w:r w:rsidR="000D3B54">
        <w:rPr>
          <w:rFonts w:ascii="Arial" w:hAnsi="Arial" w:cs="Arial"/>
        </w:rPr>
        <w:t xml:space="preserve"> …) en een brede </w:t>
      </w:r>
      <w:r w:rsidR="0013037A">
        <w:rPr>
          <w:rFonts w:ascii="Arial" w:hAnsi="Arial" w:cs="Arial"/>
        </w:rPr>
        <w:t>(</w:t>
      </w:r>
      <w:r w:rsidR="000D3B54">
        <w:rPr>
          <w:rFonts w:ascii="Arial" w:hAnsi="Arial" w:cs="Arial"/>
        </w:rPr>
        <w:t xml:space="preserve">i.f.v. comorbiditeit)  </w:t>
      </w:r>
      <w:r w:rsidR="0013037A">
        <w:rPr>
          <w:rFonts w:ascii="Arial" w:hAnsi="Arial" w:cs="Arial"/>
        </w:rPr>
        <w:t xml:space="preserve">maar taakgerichte </w:t>
      </w:r>
      <w:r w:rsidR="00030FC3">
        <w:rPr>
          <w:rFonts w:ascii="Arial" w:hAnsi="Arial" w:cs="Arial"/>
        </w:rPr>
        <w:t xml:space="preserve">diagnostiek </w:t>
      </w:r>
      <w:r w:rsidR="000D3B54">
        <w:rPr>
          <w:rFonts w:ascii="Arial" w:hAnsi="Arial" w:cs="Arial"/>
        </w:rPr>
        <w:t xml:space="preserve">met </w:t>
      </w:r>
      <w:r w:rsidR="000D3B54" w:rsidRPr="00DC3CD1">
        <w:rPr>
          <w:rFonts w:ascii="Arial" w:hAnsi="Arial" w:cs="Arial"/>
        </w:rPr>
        <w:t xml:space="preserve">onderbouwde </w:t>
      </w:r>
      <w:r w:rsidR="0013037A">
        <w:rPr>
          <w:rFonts w:ascii="Arial" w:hAnsi="Arial" w:cs="Arial"/>
        </w:rPr>
        <w:t xml:space="preserve">en </w:t>
      </w:r>
      <w:r w:rsidR="000D3B54" w:rsidRPr="00DC3CD1">
        <w:rPr>
          <w:rFonts w:ascii="Arial" w:hAnsi="Arial" w:cs="Arial"/>
        </w:rPr>
        <w:t xml:space="preserve">voor Vlaanderen </w:t>
      </w:r>
      <w:r w:rsidR="0013037A">
        <w:rPr>
          <w:rFonts w:ascii="Arial" w:hAnsi="Arial" w:cs="Arial"/>
        </w:rPr>
        <w:t>gevalideerde</w:t>
      </w:r>
      <w:r w:rsidR="000D3B54" w:rsidRPr="00DC3CD1">
        <w:rPr>
          <w:rFonts w:ascii="Arial" w:hAnsi="Arial" w:cs="Arial"/>
        </w:rPr>
        <w:t xml:space="preserve"> instrumenten.</w:t>
      </w:r>
      <w:r w:rsidR="000D3B54" w:rsidRPr="00DC3CD1">
        <w:rPr>
          <w:rFonts w:ascii="Arial" w:hAnsi="Arial" w:cs="Arial"/>
          <w:bCs/>
          <w:lang w:eastAsia="nl-BE"/>
        </w:rPr>
        <w:t xml:space="preserve"> </w:t>
      </w:r>
    </w:p>
    <w:p w14:paraId="5FB49469" w14:textId="77777777" w:rsidR="00B55C43" w:rsidRPr="0013037A" w:rsidRDefault="00B55C43" w:rsidP="000B11B7">
      <w:pPr>
        <w:rPr>
          <w:rFonts w:ascii="Arial" w:hAnsi="Arial" w:cs="Arial"/>
          <w:sz w:val="28"/>
          <w:szCs w:val="28"/>
        </w:rPr>
      </w:pPr>
    </w:p>
    <w:p w14:paraId="2DAE629A" w14:textId="267A454E" w:rsidR="000B11B7" w:rsidRDefault="000D3B54" w:rsidP="000B11B7">
      <w:pPr>
        <w:rPr>
          <w:lang w:val="nl-NL"/>
        </w:rPr>
      </w:pPr>
      <w:r>
        <w:rPr>
          <w:rFonts w:ascii="Arial" w:hAnsi="Arial" w:cs="Arial"/>
          <w:sz w:val="28"/>
          <w:szCs w:val="28"/>
          <w:lang w:val="nl-NL"/>
        </w:rPr>
        <w:t>T</w:t>
      </w:r>
      <w:r w:rsidR="000B11B7" w:rsidRPr="000B11B7">
        <w:rPr>
          <w:sz w:val="28"/>
          <w:szCs w:val="28"/>
          <w:lang w:val="nl-NL"/>
        </w:rPr>
        <w:t>refwoorden:</w:t>
      </w:r>
      <w:r w:rsidR="000B11B7">
        <w:rPr>
          <w:lang w:val="nl-NL"/>
        </w:rPr>
        <w:t xml:space="preserve"> </w:t>
      </w:r>
      <w:r w:rsidR="00C230D4">
        <w:rPr>
          <w:lang w:val="nl-NL"/>
        </w:rPr>
        <w:t xml:space="preserve">leerstoornissen, </w:t>
      </w:r>
      <w:r w:rsidR="00FF1125">
        <w:rPr>
          <w:lang w:val="nl-NL"/>
        </w:rPr>
        <w:t xml:space="preserve">diagnostiek, </w:t>
      </w:r>
      <w:r w:rsidR="000B11B7">
        <w:rPr>
          <w:lang w:val="nl-NL"/>
        </w:rPr>
        <w:t xml:space="preserve">dyslexie, dyscalculie, </w:t>
      </w:r>
      <w:r w:rsidR="00FF1125">
        <w:rPr>
          <w:lang w:val="nl-NL"/>
        </w:rPr>
        <w:t xml:space="preserve">dysorthografie, </w:t>
      </w:r>
      <w:r w:rsidR="000B11B7">
        <w:rPr>
          <w:lang w:val="nl-NL"/>
        </w:rPr>
        <w:t>lezen, spellen, rekenen</w:t>
      </w:r>
      <w:r w:rsidR="00C230D4">
        <w:rPr>
          <w:lang w:val="nl-NL"/>
        </w:rPr>
        <w:t>, hardnekkigheid, comorbiditeit, DSM-5, Netwerk Leerproblemen Vlaanderen.</w:t>
      </w:r>
    </w:p>
    <w:p w14:paraId="16097B59" w14:textId="77777777" w:rsidR="00A31D68" w:rsidRDefault="00A31D68" w:rsidP="000B11B7">
      <w:pPr>
        <w:rPr>
          <w:lang w:val="nl-NL"/>
        </w:rPr>
      </w:pPr>
    </w:p>
    <w:p w14:paraId="04CDD12A" w14:textId="77777777" w:rsidR="009F5790" w:rsidRPr="009F5790" w:rsidRDefault="00205CCD" w:rsidP="009F5790">
      <w:pPr>
        <w:jc w:val="center"/>
        <w:rPr>
          <w:lang w:val="nl-NL"/>
        </w:rPr>
      </w:pPr>
      <w:r w:rsidRPr="00205CCD">
        <w:rPr>
          <w:rFonts w:ascii="Arial" w:hAnsi="Arial" w:cs="Arial"/>
          <w:sz w:val="28"/>
          <w:szCs w:val="28"/>
          <w:lang w:val="nl-NL"/>
        </w:rPr>
        <w:t>1. I</w:t>
      </w:r>
      <w:r w:rsidR="00363FB7" w:rsidRPr="00205CCD">
        <w:rPr>
          <w:rFonts w:ascii="Arial" w:hAnsi="Arial" w:cs="Arial"/>
          <w:sz w:val="28"/>
          <w:szCs w:val="28"/>
          <w:lang w:val="nl-NL"/>
        </w:rPr>
        <w:t>nleiding</w:t>
      </w:r>
    </w:p>
    <w:p w14:paraId="66DDE4D7" w14:textId="0C51597B" w:rsidR="00DE55D4" w:rsidRDefault="00DE55D4" w:rsidP="0040528A">
      <w:pPr>
        <w:spacing w:after="0" w:line="240" w:lineRule="auto"/>
        <w:rPr>
          <w:rFonts w:ascii="Arial" w:hAnsi="Arial" w:cs="Arial"/>
        </w:rPr>
      </w:pPr>
      <w:r>
        <w:rPr>
          <w:rFonts w:ascii="Arial" w:hAnsi="Arial" w:cs="Arial"/>
        </w:rPr>
        <w:t xml:space="preserve">Heel wat </w:t>
      </w:r>
      <w:r w:rsidR="00B60865" w:rsidRPr="000C4B4F">
        <w:rPr>
          <w:rFonts w:ascii="Arial" w:hAnsi="Arial" w:cs="Arial"/>
        </w:rPr>
        <w:t xml:space="preserve">kinderen ervaren problemen met </w:t>
      </w:r>
      <w:r>
        <w:rPr>
          <w:rFonts w:ascii="Arial" w:hAnsi="Arial" w:cs="Arial"/>
        </w:rPr>
        <w:t xml:space="preserve">het leren </w:t>
      </w:r>
      <w:r w:rsidR="00B60865" w:rsidRPr="000C4B4F">
        <w:rPr>
          <w:rFonts w:ascii="Arial" w:hAnsi="Arial" w:cs="Arial"/>
        </w:rPr>
        <w:t xml:space="preserve">lezen, schrijven of rekenen. Bij </w:t>
      </w:r>
      <w:r>
        <w:rPr>
          <w:rFonts w:ascii="Arial" w:hAnsi="Arial" w:cs="Arial"/>
        </w:rPr>
        <w:t xml:space="preserve">de meeste </w:t>
      </w:r>
      <w:r w:rsidR="00B60865" w:rsidRPr="000C4B4F">
        <w:rPr>
          <w:rFonts w:ascii="Arial" w:hAnsi="Arial" w:cs="Arial"/>
        </w:rPr>
        <w:t xml:space="preserve">onder hen gaat het om tijdelijke </w:t>
      </w:r>
      <w:r w:rsidR="008271A7">
        <w:rPr>
          <w:rFonts w:ascii="Arial" w:hAnsi="Arial" w:cs="Arial"/>
        </w:rPr>
        <w:t xml:space="preserve">of generieke </w:t>
      </w:r>
      <w:r w:rsidR="00B60865" w:rsidRPr="000C4B4F">
        <w:rPr>
          <w:rFonts w:ascii="Arial" w:hAnsi="Arial" w:cs="Arial"/>
        </w:rPr>
        <w:t xml:space="preserve">leerproblemen, te wijten aan een natuurlijk maturatieproces </w:t>
      </w:r>
      <w:r w:rsidR="00B60865" w:rsidRPr="000C4B4F">
        <w:rPr>
          <w:rFonts w:ascii="Arial" w:hAnsi="Arial" w:cs="Arial"/>
        </w:rPr>
        <w:fldChar w:fldCharType="begin" w:fldLock="1"/>
      </w:r>
      <w:r w:rsidR="00B60865" w:rsidRPr="000C4B4F">
        <w:rPr>
          <w:rFonts w:ascii="Arial" w:hAnsi="Arial" w:cs="Arial"/>
        </w:rPr>
        <w:instrText xml:space="preserve"> ADDIN ZOTERO_ITEM CSL_CITATION {"citationID":"Jwa4p0lf","properties":{"formattedCitation":"(Lagae, 2008)","plainCitation":"(Lagae, 2008)","noteIndex":0},"citationItems":[{"id":"WE0TCpjV/RpDeELO1","uris":["http://www.mendeley.com/documents/?uuid=53f932ba-22be-4dde-a675-de1660cce69c"],"uri":["http://www.mendeley.com/documents/?uuid=53f932ba-22be-4dde-a675-de1660cce69c"],"itemData":{"DOI":"10.1016/j.pcl.2008.08.001","ISBN":"0031-3955","ISSN":"00313955","PMID":"19041456","abstract":"Learning problems occur in about 5% of school-aged children. Learning disabilities are specific and life-long but present with different school problems at different ages, depending on such factors as age, medical history, family history, and intelligence quotient. Proper individualized diagnosis and treatment plans are necessary to remediate these problems and to offer adequate coping strategies. Many children who have learning problems can be classified into one of two major categories: the dyslexia group or the nonverbal learning disability group. The role of the medical professional is important to guide parents in the diagnostic and therapeutic process. © 2008 Elsevier Inc. All rights reserved.","author":[{"dropping-particle":"","family":"Lagae","given":"Lieven","non-dropping-particle":"","parse-names":false,"suffix":""}],"container-title":"Pediatric Clinics of North America","id":"ITEM-1","issue":"6","issued":{"date-parts":[["2008"]]},"page":"1259-1268","publisher":"Elsevier Ltd","title":"Learning Disabilities: Definitions, Epidemiology, Diagnosis, and Intervention Strategies","type":"article-journal","volume":"55"}}],"schema":"https://github.com/citation-style-language/schema/raw/master/csl-citation.json"} </w:instrText>
      </w:r>
      <w:r w:rsidR="00B60865" w:rsidRPr="000C4B4F">
        <w:rPr>
          <w:rFonts w:ascii="Arial" w:hAnsi="Arial" w:cs="Arial"/>
        </w:rPr>
        <w:fldChar w:fldCharType="separate"/>
      </w:r>
      <w:r w:rsidR="00B60865" w:rsidRPr="000C4B4F">
        <w:rPr>
          <w:rFonts w:ascii="Arial" w:hAnsi="Arial" w:cs="Arial"/>
          <w:noProof/>
        </w:rPr>
        <w:t>(Lagae, 2008)</w:t>
      </w:r>
      <w:r w:rsidR="00B60865" w:rsidRPr="000C4B4F">
        <w:rPr>
          <w:rFonts w:ascii="Arial" w:hAnsi="Arial" w:cs="Arial"/>
        </w:rPr>
        <w:fldChar w:fldCharType="end"/>
      </w:r>
      <w:r w:rsidR="00B60865" w:rsidRPr="000C4B4F">
        <w:rPr>
          <w:rFonts w:ascii="Arial" w:hAnsi="Arial" w:cs="Arial"/>
        </w:rPr>
        <w:t xml:space="preserve">. </w:t>
      </w:r>
    </w:p>
    <w:p w14:paraId="69A0E8DD" w14:textId="77777777" w:rsidR="00DE55D4" w:rsidRDefault="00DE55D4" w:rsidP="0040528A">
      <w:pPr>
        <w:spacing w:after="0" w:line="240" w:lineRule="auto"/>
        <w:rPr>
          <w:rFonts w:ascii="Arial" w:hAnsi="Arial" w:cs="Arial"/>
        </w:rPr>
      </w:pPr>
    </w:p>
    <w:p w14:paraId="4AA323FB" w14:textId="00E5C4E9" w:rsidR="00450BF1" w:rsidRDefault="00B60865" w:rsidP="0040528A">
      <w:pPr>
        <w:spacing w:after="0" w:line="240" w:lineRule="auto"/>
        <w:rPr>
          <w:rFonts w:ascii="Arial" w:hAnsi="Arial" w:cs="Arial"/>
        </w:rPr>
      </w:pPr>
      <w:r w:rsidRPr="000C4B4F">
        <w:rPr>
          <w:rFonts w:ascii="Arial" w:hAnsi="Arial" w:cs="Arial"/>
        </w:rPr>
        <w:t xml:space="preserve">Wanneer de problemen met leren lezen, spellen en/of rekenen langer blijven aanhouden ondanks </w:t>
      </w:r>
      <w:r w:rsidR="00E8795A">
        <w:rPr>
          <w:rFonts w:ascii="Arial" w:hAnsi="Arial" w:cs="Arial"/>
        </w:rPr>
        <w:t xml:space="preserve">taakspecifieke </w:t>
      </w:r>
      <w:r w:rsidRPr="000C4B4F">
        <w:rPr>
          <w:rFonts w:ascii="Arial" w:hAnsi="Arial" w:cs="Arial"/>
        </w:rPr>
        <w:t xml:space="preserve">interventies kan het gaan om </w:t>
      </w:r>
      <w:r w:rsidR="00450BF1">
        <w:rPr>
          <w:rFonts w:ascii="Arial" w:hAnsi="Arial" w:cs="Arial"/>
        </w:rPr>
        <w:t>‘</w:t>
      </w:r>
      <w:r w:rsidRPr="000C4B4F">
        <w:rPr>
          <w:rFonts w:ascii="Arial" w:hAnsi="Arial" w:cs="Arial"/>
        </w:rPr>
        <w:t>dyslexie</w:t>
      </w:r>
      <w:r w:rsidR="00450BF1">
        <w:rPr>
          <w:rFonts w:ascii="Arial" w:hAnsi="Arial" w:cs="Arial"/>
        </w:rPr>
        <w:t>’</w:t>
      </w:r>
      <w:r w:rsidR="00DE55D4">
        <w:rPr>
          <w:rFonts w:ascii="Arial" w:hAnsi="Arial" w:cs="Arial"/>
        </w:rPr>
        <w:t xml:space="preserve"> (al dan niet met inbegrip van dysorthografie)</w:t>
      </w:r>
      <w:r w:rsidRPr="000C4B4F">
        <w:rPr>
          <w:rFonts w:ascii="Arial" w:hAnsi="Arial" w:cs="Arial"/>
        </w:rPr>
        <w:t xml:space="preserve"> en/of </w:t>
      </w:r>
      <w:r w:rsidR="00DE55D4">
        <w:rPr>
          <w:rFonts w:ascii="Arial" w:hAnsi="Arial" w:cs="Arial"/>
        </w:rPr>
        <w:t xml:space="preserve">om </w:t>
      </w:r>
      <w:r w:rsidR="00450BF1">
        <w:rPr>
          <w:rFonts w:ascii="Arial" w:hAnsi="Arial" w:cs="Arial"/>
        </w:rPr>
        <w:t>‘</w:t>
      </w:r>
      <w:r w:rsidRPr="000C4B4F">
        <w:rPr>
          <w:rFonts w:ascii="Arial" w:hAnsi="Arial" w:cs="Arial"/>
        </w:rPr>
        <w:t>dyscalculie</w:t>
      </w:r>
      <w:r w:rsidR="00450BF1">
        <w:rPr>
          <w:rFonts w:ascii="Arial" w:hAnsi="Arial" w:cs="Arial"/>
        </w:rPr>
        <w:t>’</w:t>
      </w:r>
      <w:r w:rsidR="00DE55D4">
        <w:rPr>
          <w:rFonts w:ascii="Arial" w:hAnsi="Arial" w:cs="Arial"/>
        </w:rPr>
        <w:t xml:space="preserve">. </w:t>
      </w:r>
      <w:r w:rsidR="00AB0D4B">
        <w:rPr>
          <w:rFonts w:ascii="Arial" w:hAnsi="Arial" w:cs="Arial"/>
        </w:rPr>
        <w:t xml:space="preserve">Het Netwerk leerproblemen spreekt over 2 leerstoornissen nl. dyslexie en dyscalculie. In het RIZIV heeft men het ook nog eens afzonderlijk over dysorthografie. </w:t>
      </w:r>
    </w:p>
    <w:p w14:paraId="22EEC2DC" w14:textId="77777777" w:rsidR="00450BF1" w:rsidRDefault="00450BF1" w:rsidP="0040528A">
      <w:pPr>
        <w:spacing w:after="0" w:line="240" w:lineRule="auto"/>
        <w:rPr>
          <w:rFonts w:ascii="Arial" w:hAnsi="Arial" w:cs="Arial"/>
        </w:rPr>
      </w:pPr>
    </w:p>
    <w:p w14:paraId="5D12618A" w14:textId="4BBE6217" w:rsidR="00DE55D4" w:rsidRDefault="00A76EE0" w:rsidP="0040528A">
      <w:pPr>
        <w:spacing w:after="0" w:line="240" w:lineRule="auto"/>
        <w:rPr>
          <w:rFonts w:ascii="Arial" w:hAnsi="Arial" w:cs="Arial"/>
          <w:bCs/>
          <w:lang w:val="nl-NL" w:eastAsia="nl-BE"/>
        </w:rPr>
      </w:pPr>
      <w:r>
        <w:rPr>
          <w:rFonts w:ascii="Arial" w:hAnsi="Arial" w:cs="Arial"/>
        </w:rPr>
        <w:t>Een aantal van d</w:t>
      </w:r>
      <w:r w:rsidR="00DE55D4">
        <w:rPr>
          <w:rFonts w:ascii="Arial" w:hAnsi="Arial" w:cs="Arial"/>
        </w:rPr>
        <w:t>eze k</w:t>
      </w:r>
      <w:r w:rsidR="00FA42F8" w:rsidRPr="000C4B4F">
        <w:rPr>
          <w:rFonts w:ascii="Arial" w:hAnsi="Arial" w:cs="Arial"/>
          <w:bCs/>
          <w:lang w:val="nl-NL" w:eastAsia="nl-BE"/>
        </w:rPr>
        <w:t xml:space="preserve">inderen komen omwille van </w:t>
      </w:r>
      <w:r>
        <w:rPr>
          <w:rFonts w:ascii="Arial" w:hAnsi="Arial" w:cs="Arial"/>
          <w:bCs/>
          <w:lang w:val="nl-NL" w:eastAsia="nl-BE"/>
        </w:rPr>
        <w:t xml:space="preserve">hun </w:t>
      </w:r>
      <w:r w:rsidR="00FA42F8" w:rsidRPr="000C4B4F">
        <w:rPr>
          <w:rFonts w:ascii="Arial" w:hAnsi="Arial" w:cs="Arial"/>
          <w:bCs/>
          <w:lang w:val="nl-NL" w:eastAsia="nl-BE"/>
        </w:rPr>
        <w:t xml:space="preserve">ernstige </w:t>
      </w:r>
      <w:r w:rsidR="000C4B4F" w:rsidRPr="000C4B4F">
        <w:rPr>
          <w:rFonts w:ascii="Arial" w:hAnsi="Arial" w:cs="Arial"/>
          <w:bCs/>
          <w:lang w:val="nl-NL" w:eastAsia="nl-BE"/>
        </w:rPr>
        <w:t xml:space="preserve">en hardnekkige </w:t>
      </w:r>
      <w:r w:rsidR="00FA42F8" w:rsidRPr="000C4B4F">
        <w:rPr>
          <w:rFonts w:ascii="Arial" w:hAnsi="Arial" w:cs="Arial"/>
          <w:bCs/>
          <w:lang w:val="nl-NL" w:eastAsia="nl-BE"/>
        </w:rPr>
        <w:t>problemen op school terecht bij logopedisten</w:t>
      </w:r>
      <w:r w:rsidR="006A1F26">
        <w:rPr>
          <w:rFonts w:ascii="Arial" w:hAnsi="Arial" w:cs="Arial"/>
          <w:bCs/>
          <w:lang w:val="nl-NL" w:eastAsia="nl-BE"/>
        </w:rPr>
        <w:t>. Andere</w:t>
      </w:r>
      <w:r w:rsidR="008271A7">
        <w:rPr>
          <w:rFonts w:ascii="Arial" w:hAnsi="Arial" w:cs="Arial"/>
          <w:bCs/>
          <w:lang w:val="nl-NL" w:eastAsia="nl-BE"/>
        </w:rPr>
        <w:t>n</w:t>
      </w:r>
      <w:r w:rsidR="006A1F26">
        <w:rPr>
          <w:rFonts w:ascii="Arial" w:hAnsi="Arial" w:cs="Arial"/>
          <w:bCs/>
          <w:lang w:val="nl-NL" w:eastAsia="nl-BE"/>
        </w:rPr>
        <w:t xml:space="preserve"> komen </w:t>
      </w:r>
      <w:r w:rsidR="00D16193">
        <w:rPr>
          <w:rFonts w:ascii="Arial" w:hAnsi="Arial" w:cs="Arial"/>
          <w:bCs/>
          <w:lang w:val="nl-NL" w:eastAsia="nl-BE"/>
        </w:rPr>
        <w:t>o</w:t>
      </w:r>
      <w:r w:rsidR="00E8795A">
        <w:rPr>
          <w:rFonts w:ascii="Arial" w:hAnsi="Arial" w:cs="Arial"/>
          <w:bCs/>
          <w:lang w:val="nl-NL" w:eastAsia="nl-BE"/>
        </w:rPr>
        <w:t xml:space="preserve">mwille van </w:t>
      </w:r>
      <w:r w:rsidR="00DE55D4">
        <w:rPr>
          <w:rFonts w:ascii="Arial" w:hAnsi="Arial" w:cs="Arial"/>
          <w:bCs/>
          <w:lang w:val="nl-NL" w:eastAsia="nl-BE"/>
        </w:rPr>
        <w:t xml:space="preserve">ernstige comorbide stoornissen (ADHD, DCD, ernstige emotionele problemen) </w:t>
      </w:r>
      <w:r w:rsidR="006A1F26">
        <w:rPr>
          <w:rFonts w:ascii="Arial" w:hAnsi="Arial" w:cs="Arial"/>
          <w:bCs/>
          <w:lang w:val="nl-NL" w:eastAsia="nl-BE"/>
        </w:rPr>
        <w:t xml:space="preserve">terecht </w:t>
      </w:r>
      <w:r w:rsidR="00DE55D4">
        <w:rPr>
          <w:rFonts w:ascii="Arial" w:hAnsi="Arial" w:cs="Arial"/>
          <w:bCs/>
          <w:lang w:val="nl-NL" w:eastAsia="nl-BE"/>
        </w:rPr>
        <w:t xml:space="preserve">in een </w:t>
      </w:r>
      <w:r w:rsidR="00450BF1">
        <w:rPr>
          <w:rFonts w:ascii="Arial" w:hAnsi="Arial" w:cs="Arial"/>
          <w:bCs/>
          <w:lang w:val="nl-NL" w:eastAsia="nl-BE"/>
        </w:rPr>
        <w:t>C</w:t>
      </w:r>
      <w:r w:rsidR="00DE55D4">
        <w:rPr>
          <w:rFonts w:ascii="Arial" w:hAnsi="Arial" w:cs="Arial"/>
          <w:bCs/>
          <w:lang w:val="nl-NL" w:eastAsia="nl-BE"/>
        </w:rPr>
        <w:t xml:space="preserve">entrum voor </w:t>
      </w:r>
      <w:r w:rsidR="00450BF1">
        <w:rPr>
          <w:rFonts w:ascii="Arial" w:hAnsi="Arial" w:cs="Arial"/>
          <w:bCs/>
          <w:lang w:val="nl-NL" w:eastAsia="nl-BE"/>
        </w:rPr>
        <w:t>A</w:t>
      </w:r>
      <w:r w:rsidR="00DE55D4">
        <w:rPr>
          <w:rFonts w:ascii="Arial" w:hAnsi="Arial" w:cs="Arial"/>
          <w:bCs/>
          <w:lang w:val="nl-NL" w:eastAsia="nl-BE"/>
        </w:rPr>
        <w:t xml:space="preserve">mbulante </w:t>
      </w:r>
      <w:r w:rsidR="00450BF1">
        <w:rPr>
          <w:rFonts w:ascii="Arial" w:hAnsi="Arial" w:cs="Arial"/>
          <w:bCs/>
          <w:lang w:val="nl-NL" w:eastAsia="nl-BE"/>
        </w:rPr>
        <w:t>R</w:t>
      </w:r>
      <w:r w:rsidR="00DE55D4">
        <w:rPr>
          <w:rFonts w:ascii="Arial" w:hAnsi="Arial" w:cs="Arial"/>
          <w:bCs/>
          <w:lang w:val="nl-NL" w:eastAsia="nl-BE"/>
        </w:rPr>
        <w:t>evalidatie</w:t>
      </w:r>
      <w:r w:rsidR="00450BF1">
        <w:rPr>
          <w:rFonts w:ascii="Arial" w:hAnsi="Arial" w:cs="Arial"/>
          <w:bCs/>
          <w:lang w:val="nl-NL" w:eastAsia="nl-BE"/>
        </w:rPr>
        <w:t xml:space="preserve"> (CAR)</w:t>
      </w:r>
      <w:r w:rsidR="00DE55D4">
        <w:rPr>
          <w:rFonts w:ascii="Arial" w:hAnsi="Arial" w:cs="Arial"/>
          <w:bCs/>
          <w:lang w:val="nl-NL" w:eastAsia="nl-BE"/>
        </w:rPr>
        <w:t>.</w:t>
      </w:r>
      <w:r w:rsidR="00FA42F8" w:rsidRPr="000C4B4F">
        <w:rPr>
          <w:rFonts w:ascii="Arial" w:hAnsi="Arial" w:cs="Arial"/>
          <w:bCs/>
          <w:lang w:val="nl-NL" w:eastAsia="nl-BE"/>
        </w:rPr>
        <w:t xml:space="preserve"> </w:t>
      </w:r>
      <w:r w:rsidR="00E8795A">
        <w:rPr>
          <w:rFonts w:ascii="Arial" w:hAnsi="Arial" w:cs="Arial"/>
          <w:bCs/>
          <w:lang w:val="nl-NL" w:eastAsia="nl-BE"/>
        </w:rPr>
        <w:t xml:space="preserve">De meeste kinderen met leerstoornissen </w:t>
      </w:r>
      <w:r w:rsidR="006A1F26">
        <w:rPr>
          <w:rFonts w:ascii="Arial" w:hAnsi="Arial" w:cs="Arial"/>
          <w:bCs/>
          <w:lang w:val="nl-NL" w:eastAsia="nl-BE"/>
        </w:rPr>
        <w:t xml:space="preserve">hebben tijdens dit traject ook te maken met </w:t>
      </w:r>
      <w:r w:rsidR="00450BF1">
        <w:rPr>
          <w:rFonts w:ascii="Arial" w:hAnsi="Arial" w:cs="Arial"/>
          <w:bCs/>
          <w:lang w:val="nl-NL" w:eastAsia="nl-BE"/>
        </w:rPr>
        <w:t>C</w:t>
      </w:r>
      <w:r w:rsidR="006A1F26">
        <w:rPr>
          <w:rFonts w:ascii="Arial" w:hAnsi="Arial" w:cs="Arial"/>
          <w:bCs/>
          <w:lang w:val="nl-NL" w:eastAsia="nl-BE"/>
        </w:rPr>
        <w:t xml:space="preserve">entra voor </w:t>
      </w:r>
      <w:r w:rsidR="00450BF1">
        <w:rPr>
          <w:rFonts w:ascii="Arial" w:hAnsi="Arial" w:cs="Arial"/>
          <w:bCs/>
          <w:lang w:val="nl-NL" w:eastAsia="nl-BE"/>
        </w:rPr>
        <w:t>L</w:t>
      </w:r>
      <w:r w:rsidR="006A1F26">
        <w:rPr>
          <w:rFonts w:ascii="Arial" w:hAnsi="Arial" w:cs="Arial"/>
          <w:bCs/>
          <w:lang w:val="nl-NL" w:eastAsia="nl-BE"/>
        </w:rPr>
        <w:t>eerling</w:t>
      </w:r>
      <w:r w:rsidR="00450BF1">
        <w:rPr>
          <w:rFonts w:ascii="Arial" w:hAnsi="Arial" w:cs="Arial"/>
          <w:bCs/>
          <w:lang w:val="nl-NL" w:eastAsia="nl-BE"/>
        </w:rPr>
        <w:t xml:space="preserve"> B</w:t>
      </w:r>
      <w:r w:rsidR="006A1F26">
        <w:rPr>
          <w:rFonts w:ascii="Arial" w:hAnsi="Arial" w:cs="Arial"/>
          <w:bCs/>
          <w:lang w:val="nl-NL" w:eastAsia="nl-BE"/>
        </w:rPr>
        <w:t>egeleiding</w:t>
      </w:r>
      <w:r w:rsidR="00450BF1">
        <w:rPr>
          <w:rFonts w:ascii="Arial" w:hAnsi="Arial" w:cs="Arial"/>
          <w:bCs/>
          <w:lang w:val="nl-NL" w:eastAsia="nl-BE"/>
        </w:rPr>
        <w:t xml:space="preserve"> (CLB)</w:t>
      </w:r>
      <w:r w:rsidR="006A1F26">
        <w:rPr>
          <w:rFonts w:ascii="Arial" w:hAnsi="Arial" w:cs="Arial"/>
          <w:bCs/>
          <w:lang w:val="nl-NL" w:eastAsia="nl-BE"/>
        </w:rPr>
        <w:t>.</w:t>
      </w:r>
      <w:r w:rsidR="00E8795A">
        <w:rPr>
          <w:rFonts w:ascii="Arial" w:hAnsi="Arial" w:cs="Arial"/>
          <w:bCs/>
          <w:lang w:val="nl-NL" w:eastAsia="nl-BE"/>
        </w:rPr>
        <w:t xml:space="preserve"> </w:t>
      </w:r>
    </w:p>
    <w:p w14:paraId="2534E39F" w14:textId="77777777" w:rsidR="00B60865" w:rsidRDefault="00B60865" w:rsidP="0040528A">
      <w:pPr>
        <w:spacing w:after="0" w:line="240" w:lineRule="auto"/>
        <w:rPr>
          <w:rFonts w:ascii="Arial" w:hAnsi="Arial" w:cs="Arial"/>
          <w:bCs/>
          <w:lang w:val="nl-NL" w:eastAsia="nl-BE"/>
        </w:rPr>
      </w:pPr>
    </w:p>
    <w:p w14:paraId="790D013B" w14:textId="77777777" w:rsidR="00885D08" w:rsidRDefault="00B60865" w:rsidP="0040528A">
      <w:pPr>
        <w:spacing w:after="0" w:line="240" w:lineRule="auto"/>
        <w:rPr>
          <w:rFonts w:ascii="Arial" w:hAnsi="Arial" w:cs="Arial"/>
          <w:bCs/>
          <w:lang w:eastAsia="nl-BE"/>
        </w:rPr>
      </w:pPr>
      <w:r>
        <w:rPr>
          <w:rFonts w:ascii="Arial" w:hAnsi="Arial" w:cs="Arial"/>
          <w:bCs/>
          <w:lang w:eastAsia="nl-BE"/>
        </w:rPr>
        <w:t>In deze bijdrage staan we stil bij de volgende onderzoeksvragen</w:t>
      </w:r>
    </w:p>
    <w:p w14:paraId="02F536AA" w14:textId="77777777" w:rsidR="00B34652" w:rsidRDefault="00B34652" w:rsidP="00B34652">
      <w:pPr>
        <w:pStyle w:val="Lijstalinea"/>
        <w:numPr>
          <w:ilvl w:val="0"/>
          <w:numId w:val="24"/>
        </w:numPr>
        <w:spacing w:after="0" w:line="240" w:lineRule="auto"/>
        <w:rPr>
          <w:rFonts w:ascii="Arial" w:hAnsi="Arial" w:cs="Arial"/>
          <w:bCs/>
          <w:lang w:eastAsia="nl-BE"/>
        </w:rPr>
      </w:pPr>
      <w:r>
        <w:rPr>
          <w:rFonts w:ascii="Arial" w:hAnsi="Arial" w:cs="Arial"/>
          <w:bCs/>
          <w:lang w:eastAsia="nl-BE"/>
        </w:rPr>
        <w:lastRenderedPageBreak/>
        <w:t>Wat zijn internationale prevalentiecijfers voor dyslexie en dyscalculie? Wat is bekend rond de etiologie</w:t>
      </w:r>
      <w:r w:rsidR="0019548B">
        <w:rPr>
          <w:rFonts w:ascii="Arial" w:hAnsi="Arial" w:cs="Arial"/>
          <w:bCs/>
          <w:lang w:eastAsia="nl-BE"/>
        </w:rPr>
        <w:t xml:space="preserve"> en comorbiditeit</w:t>
      </w:r>
      <w:r>
        <w:rPr>
          <w:rFonts w:ascii="Arial" w:hAnsi="Arial" w:cs="Arial"/>
          <w:bCs/>
          <w:lang w:eastAsia="nl-BE"/>
        </w:rPr>
        <w:t>?</w:t>
      </w:r>
    </w:p>
    <w:p w14:paraId="143EBF8C" w14:textId="23E7C7E9" w:rsidR="00CE631D" w:rsidRDefault="00B60865" w:rsidP="00F86F95">
      <w:pPr>
        <w:pStyle w:val="Lijstalinea"/>
        <w:numPr>
          <w:ilvl w:val="0"/>
          <w:numId w:val="24"/>
        </w:numPr>
        <w:spacing w:after="0" w:line="240" w:lineRule="auto"/>
        <w:rPr>
          <w:rFonts w:ascii="Arial" w:hAnsi="Arial" w:cs="Arial"/>
          <w:bCs/>
          <w:lang w:eastAsia="nl-BE"/>
        </w:rPr>
      </w:pPr>
      <w:r>
        <w:rPr>
          <w:rFonts w:ascii="Arial" w:hAnsi="Arial" w:cs="Arial"/>
          <w:bCs/>
          <w:lang w:eastAsia="nl-BE"/>
        </w:rPr>
        <w:t xml:space="preserve">Wat zijn de </w:t>
      </w:r>
      <w:r w:rsidR="005C1402">
        <w:rPr>
          <w:rFonts w:ascii="Arial" w:hAnsi="Arial" w:cs="Arial"/>
          <w:bCs/>
          <w:lang w:eastAsia="nl-BE"/>
        </w:rPr>
        <w:t xml:space="preserve">internationale </w:t>
      </w:r>
      <w:r>
        <w:rPr>
          <w:rFonts w:ascii="Arial" w:hAnsi="Arial" w:cs="Arial"/>
          <w:bCs/>
          <w:lang w:eastAsia="nl-BE"/>
        </w:rPr>
        <w:t xml:space="preserve">criteria om van dyslexie (met inbegrip van dysorthografie) en/of van dyscalculie te spreken? Is het hardnekkigheidscriterium </w:t>
      </w:r>
      <w:r w:rsidR="00E8795A">
        <w:rPr>
          <w:rFonts w:ascii="Arial" w:hAnsi="Arial" w:cs="Arial"/>
          <w:bCs/>
          <w:lang w:eastAsia="nl-BE"/>
        </w:rPr>
        <w:t>essentieel als criterium</w:t>
      </w:r>
      <w:r>
        <w:rPr>
          <w:rFonts w:ascii="Arial" w:hAnsi="Arial" w:cs="Arial"/>
          <w:bCs/>
          <w:lang w:eastAsia="nl-BE"/>
        </w:rPr>
        <w:t>?</w:t>
      </w:r>
      <w:r w:rsidR="00F86F95" w:rsidRPr="00F86F95">
        <w:rPr>
          <w:rFonts w:ascii="Arial" w:hAnsi="Arial" w:cs="Arial"/>
          <w:bCs/>
          <w:lang w:eastAsia="nl-BE"/>
        </w:rPr>
        <w:t xml:space="preserve"> </w:t>
      </w:r>
      <w:r w:rsidR="00AE413F">
        <w:rPr>
          <w:rFonts w:ascii="Arial" w:hAnsi="Arial" w:cs="Arial"/>
          <w:bCs/>
          <w:lang w:eastAsia="nl-BE"/>
        </w:rPr>
        <w:t>Zijn er in de internationale literatuur inzichten van andere modellen om die criteria te bekijken?</w:t>
      </w:r>
    </w:p>
    <w:p w14:paraId="464722A5" w14:textId="77777777" w:rsidR="00B60865" w:rsidRDefault="00E8795A" w:rsidP="00F86F95">
      <w:pPr>
        <w:pStyle w:val="Lijstalinea"/>
        <w:numPr>
          <w:ilvl w:val="0"/>
          <w:numId w:val="24"/>
        </w:numPr>
        <w:spacing w:after="0" w:line="240" w:lineRule="auto"/>
        <w:rPr>
          <w:rFonts w:ascii="Arial" w:hAnsi="Arial" w:cs="Arial"/>
          <w:bCs/>
          <w:lang w:eastAsia="nl-BE"/>
        </w:rPr>
      </w:pPr>
      <w:r>
        <w:rPr>
          <w:rFonts w:ascii="Arial" w:hAnsi="Arial" w:cs="Arial"/>
          <w:bCs/>
          <w:lang w:eastAsia="nl-BE"/>
        </w:rPr>
        <w:t xml:space="preserve">Wat zijn de criteria om van een leerstoornis te spreken </w:t>
      </w:r>
      <w:r w:rsidR="00F86F95">
        <w:rPr>
          <w:rFonts w:ascii="Arial" w:hAnsi="Arial" w:cs="Arial"/>
          <w:bCs/>
          <w:lang w:eastAsia="nl-BE"/>
        </w:rPr>
        <w:t>in Vlaanderen</w:t>
      </w:r>
      <w:r w:rsidR="00D16193">
        <w:rPr>
          <w:rFonts w:ascii="Arial" w:hAnsi="Arial" w:cs="Arial"/>
          <w:bCs/>
          <w:lang w:eastAsia="nl-BE"/>
        </w:rPr>
        <w:t>?</w:t>
      </w:r>
      <w:r w:rsidR="00F86F95">
        <w:rPr>
          <w:rFonts w:ascii="Arial" w:hAnsi="Arial" w:cs="Arial"/>
          <w:bCs/>
          <w:lang w:eastAsia="nl-BE"/>
        </w:rPr>
        <w:t xml:space="preserve"> </w:t>
      </w:r>
    </w:p>
    <w:p w14:paraId="3208FB0B" w14:textId="77777777" w:rsidR="00773F31" w:rsidRDefault="00B60865" w:rsidP="00773F31">
      <w:pPr>
        <w:pStyle w:val="Lijstalinea"/>
        <w:numPr>
          <w:ilvl w:val="0"/>
          <w:numId w:val="24"/>
        </w:numPr>
        <w:spacing w:after="0" w:line="240" w:lineRule="auto"/>
        <w:rPr>
          <w:rFonts w:ascii="Arial" w:hAnsi="Arial" w:cs="Arial"/>
          <w:bCs/>
          <w:lang w:eastAsia="nl-BE"/>
        </w:rPr>
      </w:pPr>
      <w:r w:rsidRPr="00773F31">
        <w:rPr>
          <w:rFonts w:ascii="Arial" w:hAnsi="Arial" w:cs="Arial"/>
          <w:bCs/>
          <w:lang w:eastAsia="nl-BE"/>
        </w:rPr>
        <w:t>W</w:t>
      </w:r>
      <w:r w:rsidR="00E8795A" w:rsidRPr="00773F31">
        <w:rPr>
          <w:rFonts w:ascii="Arial" w:hAnsi="Arial" w:cs="Arial"/>
          <w:bCs/>
          <w:lang w:eastAsia="nl-BE"/>
        </w:rPr>
        <w:t>elke instrumenten</w:t>
      </w:r>
      <w:r w:rsidR="00773F31" w:rsidRPr="00773F31">
        <w:rPr>
          <w:rFonts w:ascii="Arial" w:hAnsi="Arial" w:cs="Arial"/>
          <w:bCs/>
          <w:lang w:eastAsia="nl-BE"/>
        </w:rPr>
        <w:t>/ tests zijn er om leerstoornissen vast te stellen</w:t>
      </w:r>
      <w:r w:rsidR="00D16193">
        <w:rPr>
          <w:rFonts w:ascii="Arial" w:hAnsi="Arial" w:cs="Arial"/>
          <w:bCs/>
          <w:lang w:eastAsia="nl-BE"/>
        </w:rPr>
        <w:t>?</w:t>
      </w:r>
    </w:p>
    <w:p w14:paraId="1D93AC71" w14:textId="212B5B38" w:rsidR="00B60865" w:rsidRPr="00773F31" w:rsidRDefault="00B60865" w:rsidP="00773F31">
      <w:pPr>
        <w:pStyle w:val="Lijstalinea"/>
        <w:numPr>
          <w:ilvl w:val="0"/>
          <w:numId w:val="24"/>
        </w:numPr>
        <w:spacing w:after="0" w:line="240" w:lineRule="auto"/>
        <w:rPr>
          <w:rFonts w:ascii="Arial" w:hAnsi="Arial" w:cs="Arial"/>
          <w:bCs/>
          <w:lang w:eastAsia="nl-BE"/>
        </w:rPr>
      </w:pPr>
      <w:r w:rsidRPr="00773F31">
        <w:rPr>
          <w:rFonts w:ascii="Arial" w:hAnsi="Arial" w:cs="Arial"/>
          <w:bCs/>
          <w:lang w:eastAsia="nl-BE"/>
        </w:rPr>
        <w:t>Gebruikt men dezelfde diagnostische instrumenten bij de logopedist</w:t>
      </w:r>
      <w:r w:rsidR="00DE04A7" w:rsidRPr="00773F31">
        <w:rPr>
          <w:rFonts w:ascii="Arial" w:hAnsi="Arial" w:cs="Arial"/>
          <w:bCs/>
          <w:lang w:eastAsia="nl-BE"/>
        </w:rPr>
        <w:t xml:space="preserve"> </w:t>
      </w:r>
      <w:r w:rsidR="00D16193">
        <w:rPr>
          <w:rFonts w:ascii="Arial" w:hAnsi="Arial" w:cs="Arial"/>
          <w:bCs/>
          <w:lang w:eastAsia="nl-BE"/>
        </w:rPr>
        <w:t xml:space="preserve">in een privépraktijk </w:t>
      </w:r>
      <w:r w:rsidR="00DE04A7" w:rsidRPr="00773F31">
        <w:rPr>
          <w:rFonts w:ascii="Arial" w:hAnsi="Arial" w:cs="Arial"/>
          <w:bCs/>
          <w:lang w:eastAsia="nl-BE"/>
        </w:rPr>
        <w:t xml:space="preserve">als </w:t>
      </w:r>
      <w:r w:rsidRPr="00773F31">
        <w:rPr>
          <w:rFonts w:ascii="Arial" w:hAnsi="Arial" w:cs="Arial"/>
          <w:bCs/>
          <w:lang w:eastAsia="nl-BE"/>
        </w:rPr>
        <w:t xml:space="preserve"> in een centrum voor ambulante revalidatie </w:t>
      </w:r>
      <w:r w:rsidR="00D16193">
        <w:rPr>
          <w:rFonts w:ascii="Arial" w:hAnsi="Arial" w:cs="Arial"/>
          <w:bCs/>
          <w:lang w:eastAsia="nl-BE"/>
        </w:rPr>
        <w:t>als</w:t>
      </w:r>
      <w:r w:rsidRPr="00773F31">
        <w:rPr>
          <w:rFonts w:ascii="Arial" w:hAnsi="Arial" w:cs="Arial"/>
          <w:bCs/>
          <w:lang w:eastAsia="nl-BE"/>
        </w:rPr>
        <w:t xml:space="preserve"> bij het centrum voor leerlingbegeleiding?</w:t>
      </w:r>
    </w:p>
    <w:p w14:paraId="454B1D8D" w14:textId="77777777" w:rsidR="00DE55D4" w:rsidRDefault="00DE55D4" w:rsidP="00DE55D4">
      <w:pPr>
        <w:spacing w:after="0" w:line="240" w:lineRule="auto"/>
        <w:rPr>
          <w:rFonts w:ascii="Arial" w:hAnsi="Arial" w:cs="Arial"/>
          <w:bCs/>
          <w:lang w:eastAsia="nl-BE"/>
        </w:rPr>
      </w:pPr>
    </w:p>
    <w:p w14:paraId="6DB99465" w14:textId="77777777" w:rsidR="00DE55D4" w:rsidRPr="00DE55D4" w:rsidRDefault="00DE55D4" w:rsidP="00DE55D4">
      <w:pPr>
        <w:spacing w:after="0" w:line="240" w:lineRule="auto"/>
        <w:rPr>
          <w:rFonts w:ascii="Arial" w:hAnsi="Arial" w:cs="Arial"/>
          <w:bCs/>
          <w:lang w:eastAsia="nl-BE"/>
        </w:rPr>
      </w:pPr>
    </w:p>
    <w:p w14:paraId="037ECF4C" w14:textId="77777777" w:rsidR="00B60865" w:rsidRPr="000C4B4F" w:rsidRDefault="00B60865" w:rsidP="0040528A">
      <w:pPr>
        <w:spacing w:after="0" w:line="240" w:lineRule="auto"/>
        <w:rPr>
          <w:rFonts w:ascii="Arial" w:hAnsi="Arial" w:cs="Arial"/>
          <w:bCs/>
          <w:lang w:eastAsia="nl-BE"/>
        </w:rPr>
      </w:pPr>
    </w:p>
    <w:p w14:paraId="32E3399A" w14:textId="77777777" w:rsidR="00DE55D4" w:rsidRDefault="00B34652" w:rsidP="00B34652">
      <w:pPr>
        <w:pStyle w:val="Lijstalinea"/>
        <w:numPr>
          <w:ilvl w:val="0"/>
          <w:numId w:val="27"/>
        </w:numPr>
        <w:jc w:val="center"/>
        <w:rPr>
          <w:rFonts w:ascii="Arial" w:hAnsi="Arial" w:cs="Arial"/>
          <w:sz w:val="28"/>
          <w:szCs w:val="28"/>
          <w:lang w:val="nl-NL"/>
        </w:rPr>
      </w:pPr>
      <w:r w:rsidRPr="00B34652">
        <w:rPr>
          <w:rFonts w:ascii="Arial" w:hAnsi="Arial" w:cs="Arial"/>
          <w:sz w:val="28"/>
          <w:szCs w:val="28"/>
          <w:lang w:val="nl-NL"/>
        </w:rPr>
        <w:t>M</w:t>
      </w:r>
      <w:r w:rsidR="00DE55D4" w:rsidRPr="00B34652">
        <w:rPr>
          <w:rFonts w:ascii="Arial" w:hAnsi="Arial" w:cs="Arial"/>
          <w:sz w:val="28"/>
          <w:szCs w:val="28"/>
          <w:lang w:val="nl-NL"/>
        </w:rPr>
        <w:t>ethode</w:t>
      </w:r>
    </w:p>
    <w:p w14:paraId="19FAE870" w14:textId="250E6619" w:rsidR="00FF1125" w:rsidRDefault="00B34652" w:rsidP="000D3B54">
      <w:pPr>
        <w:spacing w:after="0" w:line="240" w:lineRule="auto"/>
        <w:rPr>
          <w:rFonts w:ascii="Arial" w:hAnsi="Arial" w:cs="Arial"/>
          <w:bCs/>
          <w:lang w:eastAsia="nl-BE"/>
        </w:rPr>
      </w:pPr>
      <w:r w:rsidRPr="00B34652">
        <w:rPr>
          <w:rFonts w:ascii="Arial" w:hAnsi="Arial" w:cs="Arial"/>
          <w:bCs/>
          <w:lang w:eastAsia="nl-BE"/>
        </w:rPr>
        <w:t xml:space="preserve">We zullen deze onderzoeksvragen beantwoorden op </w:t>
      </w:r>
      <w:r w:rsidR="00D16193">
        <w:rPr>
          <w:rFonts w:ascii="Arial" w:hAnsi="Arial" w:cs="Arial"/>
          <w:bCs/>
          <w:lang w:eastAsia="nl-BE"/>
        </w:rPr>
        <w:t xml:space="preserve">basis van </w:t>
      </w:r>
      <w:r w:rsidR="006A1F26">
        <w:rPr>
          <w:rFonts w:ascii="Arial" w:hAnsi="Arial" w:cs="Arial"/>
          <w:bCs/>
          <w:lang w:eastAsia="nl-BE"/>
        </w:rPr>
        <w:t xml:space="preserve">een literatuurstudie </w:t>
      </w:r>
      <w:r w:rsidR="00964331">
        <w:rPr>
          <w:rFonts w:ascii="Arial" w:hAnsi="Arial" w:cs="Arial"/>
          <w:bCs/>
          <w:lang w:eastAsia="nl-BE"/>
        </w:rPr>
        <w:t>naar etiologie en preval</w:t>
      </w:r>
      <w:r w:rsidR="000D3B54">
        <w:rPr>
          <w:rFonts w:ascii="Arial" w:hAnsi="Arial" w:cs="Arial"/>
          <w:bCs/>
          <w:lang w:eastAsia="nl-BE"/>
        </w:rPr>
        <w:t>e</w:t>
      </w:r>
      <w:r w:rsidR="00964331">
        <w:rPr>
          <w:rFonts w:ascii="Arial" w:hAnsi="Arial" w:cs="Arial"/>
          <w:bCs/>
          <w:lang w:eastAsia="nl-BE"/>
        </w:rPr>
        <w:t>ntiecijfers. Verder inventariseren we de internationale classificatiemodellen voor leerstoornissen. Vervolgens bekijken we welke tests door de privaat werkende logopedist, in een centrum voor ambulante revalidatie (CAR) en in een centrum voor leerlingbegeleiding (CLB)</w:t>
      </w:r>
      <w:r w:rsidR="003A0B11" w:rsidRPr="003A0B11">
        <w:rPr>
          <w:rFonts w:ascii="Arial" w:hAnsi="Arial" w:cs="Arial"/>
          <w:bCs/>
          <w:lang w:eastAsia="nl-BE"/>
        </w:rPr>
        <w:t xml:space="preserve"> </w:t>
      </w:r>
      <w:r w:rsidR="003A0B11">
        <w:rPr>
          <w:rFonts w:ascii="Arial" w:hAnsi="Arial" w:cs="Arial"/>
          <w:bCs/>
          <w:lang w:eastAsia="nl-BE"/>
        </w:rPr>
        <w:t xml:space="preserve">in Vlaanderen </w:t>
      </w:r>
      <w:r w:rsidR="00964331">
        <w:rPr>
          <w:rFonts w:ascii="Arial" w:hAnsi="Arial" w:cs="Arial"/>
          <w:bCs/>
          <w:lang w:eastAsia="nl-BE"/>
        </w:rPr>
        <w:t xml:space="preserve"> gebruikt worden om de achterstand op vlak van lezen, spellen en rekenen te objectiveren. Ook belichten we </w:t>
      </w:r>
      <w:r w:rsidR="00FF1125">
        <w:rPr>
          <w:rFonts w:ascii="Arial" w:hAnsi="Arial" w:cs="Arial"/>
          <w:bCs/>
          <w:lang w:eastAsia="nl-BE"/>
        </w:rPr>
        <w:t xml:space="preserve">een aantal hieraan gerelateerde Vlaamse onderzoeksbevindingen (Burny et al., 2012; Pieters et al., 2015; Praet et al., 2013; Stock et al., 2010; </w:t>
      </w:r>
      <w:r w:rsidR="00964331">
        <w:rPr>
          <w:rFonts w:ascii="Arial" w:hAnsi="Arial" w:cs="Arial"/>
          <w:bCs/>
          <w:lang w:eastAsia="nl-BE"/>
        </w:rPr>
        <w:t>Van Vreckem, 2014)</w:t>
      </w:r>
      <w:r w:rsidR="00FF1125">
        <w:rPr>
          <w:rFonts w:ascii="Arial" w:hAnsi="Arial" w:cs="Arial"/>
          <w:bCs/>
          <w:lang w:eastAsia="nl-BE"/>
        </w:rPr>
        <w:t>.</w:t>
      </w:r>
      <w:r w:rsidR="00450BF1">
        <w:rPr>
          <w:rFonts w:ascii="Arial" w:hAnsi="Arial" w:cs="Arial"/>
          <w:bCs/>
          <w:lang w:eastAsia="nl-BE"/>
        </w:rPr>
        <w:t xml:space="preserve"> Al deze gegevens willen we bundelen om bovenstaande onderzoeksvragen te beantwoorden. </w:t>
      </w:r>
    </w:p>
    <w:p w14:paraId="07E2F635" w14:textId="77777777" w:rsidR="00B34652" w:rsidRPr="00B34652" w:rsidRDefault="00B34652" w:rsidP="00B34652">
      <w:pPr>
        <w:rPr>
          <w:rFonts w:ascii="Arial" w:hAnsi="Arial" w:cs="Arial"/>
          <w:sz w:val="28"/>
          <w:szCs w:val="28"/>
        </w:rPr>
      </w:pPr>
    </w:p>
    <w:p w14:paraId="290BF16C" w14:textId="77777777" w:rsidR="00B34652" w:rsidRPr="00B34652" w:rsidRDefault="00B34652" w:rsidP="00B34652">
      <w:pPr>
        <w:pStyle w:val="Lijstalinea"/>
        <w:numPr>
          <w:ilvl w:val="0"/>
          <w:numId w:val="27"/>
        </w:numPr>
        <w:jc w:val="center"/>
        <w:rPr>
          <w:rFonts w:ascii="Arial" w:hAnsi="Arial" w:cs="Arial"/>
          <w:sz w:val="28"/>
          <w:szCs w:val="28"/>
          <w:lang w:val="nl-NL"/>
        </w:rPr>
      </w:pPr>
      <w:r>
        <w:rPr>
          <w:rFonts w:ascii="Arial" w:hAnsi="Arial" w:cs="Arial"/>
          <w:sz w:val="28"/>
          <w:szCs w:val="28"/>
          <w:lang w:val="nl-NL"/>
        </w:rPr>
        <w:t>Resultaten</w:t>
      </w:r>
    </w:p>
    <w:p w14:paraId="4A398F7B" w14:textId="77777777" w:rsidR="00B34652" w:rsidRPr="00B34652" w:rsidRDefault="00B34652" w:rsidP="00B34652">
      <w:pPr>
        <w:pStyle w:val="Lijstalinea"/>
        <w:ind w:left="360"/>
        <w:rPr>
          <w:lang w:val="nl-NL"/>
        </w:rPr>
      </w:pPr>
    </w:p>
    <w:p w14:paraId="1D4233F5" w14:textId="77777777" w:rsidR="0040528A" w:rsidRPr="00B34652" w:rsidRDefault="005C1402" w:rsidP="00B34652">
      <w:pPr>
        <w:pStyle w:val="Lijstalinea"/>
        <w:numPr>
          <w:ilvl w:val="1"/>
          <w:numId w:val="27"/>
        </w:numPr>
        <w:spacing w:after="0" w:line="240" w:lineRule="auto"/>
        <w:rPr>
          <w:rFonts w:ascii="Arial" w:hAnsi="Arial" w:cs="Arial"/>
          <w:bCs/>
          <w:lang w:eastAsia="nl-BE"/>
        </w:rPr>
      </w:pPr>
      <w:r>
        <w:rPr>
          <w:rFonts w:ascii="Arial" w:hAnsi="Arial" w:cs="Arial"/>
          <w:bCs/>
          <w:lang w:eastAsia="nl-BE"/>
        </w:rPr>
        <w:t xml:space="preserve">Onderzoeksvraag 1: </w:t>
      </w:r>
      <w:r w:rsidR="00B34652">
        <w:rPr>
          <w:rFonts w:ascii="Arial" w:hAnsi="Arial" w:cs="Arial"/>
          <w:bCs/>
          <w:lang w:eastAsia="nl-BE"/>
        </w:rPr>
        <w:t>Etiologie en prevalentie</w:t>
      </w:r>
    </w:p>
    <w:p w14:paraId="0FD0026B" w14:textId="77777777" w:rsidR="005C34BF" w:rsidRPr="000C4B4F" w:rsidRDefault="005C34BF" w:rsidP="0040528A">
      <w:pPr>
        <w:spacing w:after="0" w:line="240" w:lineRule="auto"/>
        <w:rPr>
          <w:rFonts w:ascii="Arial" w:hAnsi="Arial" w:cs="Arial"/>
        </w:rPr>
      </w:pPr>
    </w:p>
    <w:p w14:paraId="39F97021" w14:textId="77777777" w:rsidR="003B4768" w:rsidRDefault="00B34652" w:rsidP="000D7343">
      <w:pPr>
        <w:rPr>
          <w:rFonts w:ascii="Arial" w:hAnsi="Arial" w:cs="Arial"/>
          <w:lang w:eastAsia="nl-BE"/>
        </w:rPr>
      </w:pPr>
      <w:r w:rsidRPr="006A1F26">
        <w:rPr>
          <w:rFonts w:ascii="Arial" w:hAnsi="Arial" w:cs="Arial"/>
          <w:bCs/>
          <w:lang w:eastAsia="nl-BE"/>
        </w:rPr>
        <w:t xml:space="preserve">Een </w:t>
      </w:r>
      <w:r w:rsidRPr="006A1F26">
        <w:rPr>
          <w:rFonts w:ascii="Arial" w:hAnsi="Arial" w:cs="Arial"/>
          <w:lang w:eastAsia="nl-BE"/>
        </w:rPr>
        <w:t xml:space="preserve">meta-analyse van 28 functionele </w:t>
      </w:r>
      <w:r w:rsidRPr="000D7343">
        <w:rPr>
          <w:rFonts w:ascii="Arial" w:hAnsi="Arial" w:cs="Arial"/>
          <w:lang w:eastAsia="nl-BE"/>
        </w:rPr>
        <w:t>neuro-imaging studies (Martin, Kronbichler, &amp; Richlan, 2016)</w:t>
      </w:r>
      <w:r w:rsidRPr="000D7343">
        <w:rPr>
          <w:rFonts w:ascii="Arial" w:hAnsi="Arial" w:cs="Arial"/>
          <w:bCs/>
          <w:lang w:eastAsia="nl-BE"/>
        </w:rPr>
        <w:t xml:space="preserve"> toonde de neurologische basis aan voor dyslexie</w:t>
      </w:r>
      <w:r w:rsidRPr="000D7343">
        <w:rPr>
          <w:rFonts w:ascii="Arial" w:hAnsi="Arial" w:cs="Arial"/>
          <w:lang w:eastAsia="nl-BE"/>
        </w:rPr>
        <w:t xml:space="preserve">.  </w:t>
      </w:r>
    </w:p>
    <w:p w14:paraId="314F70BD" w14:textId="2117F641" w:rsidR="003B4768" w:rsidRDefault="00B34652" w:rsidP="000D7343">
      <w:pPr>
        <w:rPr>
          <w:rFonts w:ascii="Arial" w:hAnsi="Arial" w:cs="Arial"/>
        </w:rPr>
      </w:pPr>
      <w:r w:rsidRPr="000D7343">
        <w:rPr>
          <w:rFonts w:ascii="Arial" w:hAnsi="Arial" w:cs="Arial"/>
          <w:lang w:eastAsia="nl-BE"/>
        </w:rPr>
        <w:t xml:space="preserve">Ook bij dyscalculie werden er significante verschillen vastgesteld die de neurologische basis aantoonden van de stoornis </w:t>
      </w:r>
      <w:r w:rsidRPr="000D7343">
        <w:rPr>
          <w:rFonts w:ascii="Arial" w:eastAsia="Perpetua" w:hAnsi="Arial" w:cs="Arial"/>
          <w:color w:val="181717"/>
          <w:lang w:eastAsia="nl-BE"/>
        </w:rPr>
        <w:t xml:space="preserve">(Ashkenazi, Black, Abrams, Hoeft, &amp; Menon, 2013). </w:t>
      </w:r>
      <w:r w:rsidR="000D7343" w:rsidRPr="000D7343">
        <w:rPr>
          <w:rFonts w:ascii="Arial" w:eastAsia="Perpetua" w:hAnsi="Arial" w:cs="Arial"/>
          <w:color w:val="181717"/>
          <w:lang w:eastAsia="nl-BE"/>
        </w:rPr>
        <w:t>Uit e</w:t>
      </w:r>
      <w:r w:rsidR="00642D1B" w:rsidRPr="000D7343">
        <w:rPr>
          <w:rFonts w:ascii="Arial" w:hAnsi="Arial" w:cs="Arial"/>
          <w:lang w:val="nl-NL"/>
        </w:rPr>
        <w:t xml:space="preserve">en genoombrede </w:t>
      </w:r>
      <w:r w:rsidR="00642D1B" w:rsidRPr="00B7053F">
        <w:rPr>
          <w:rFonts w:ascii="Arial" w:hAnsi="Arial" w:cs="Arial"/>
          <w:lang w:val="nl-NL"/>
        </w:rPr>
        <w:t xml:space="preserve">associatiestudie bij 5019 kinderen, geboren tussen 1994 en 1996, uit Engeland en Wales, </w:t>
      </w:r>
      <w:r w:rsidR="000D7343" w:rsidRPr="00B7053F">
        <w:rPr>
          <w:rFonts w:ascii="Arial" w:hAnsi="Arial" w:cs="Arial"/>
          <w:lang w:val="nl-NL"/>
        </w:rPr>
        <w:t xml:space="preserve">die de </w:t>
      </w:r>
      <w:r w:rsidR="00642D1B" w:rsidRPr="00B7053F">
        <w:rPr>
          <w:rFonts w:ascii="Arial" w:hAnsi="Arial" w:cs="Arial"/>
          <w:lang w:val="nl-NL"/>
        </w:rPr>
        <w:t>scans van gepoolde DNA</w:t>
      </w:r>
      <w:r w:rsidR="000D7343" w:rsidRPr="00B7053F">
        <w:rPr>
          <w:rFonts w:ascii="Arial" w:hAnsi="Arial" w:cs="Arial"/>
          <w:lang w:val="nl-NL"/>
        </w:rPr>
        <w:t xml:space="preserve"> analyseerde, bleek bovendien </w:t>
      </w:r>
      <w:r w:rsidR="00642D1B" w:rsidRPr="00B7053F">
        <w:rPr>
          <w:rFonts w:ascii="Arial" w:hAnsi="Arial" w:cs="Arial"/>
          <w:lang w:val="nl-NL"/>
        </w:rPr>
        <w:t xml:space="preserve">dat er 10 van de 43 </w:t>
      </w:r>
      <w:r w:rsidR="00642D1B" w:rsidRPr="00B7053F">
        <w:rPr>
          <w:rStyle w:val="Nadruk"/>
          <w:rFonts w:ascii="Arial" w:hAnsi="Arial" w:cs="Arial"/>
        </w:rPr>
        <w:t xml:space="preserve">Single Nucleotide Polymorphisms </w:t>
      </w:r>
      <w:r w:rsidR="00642D1B" w:rsidRPr="00B7053F">
        <w:rPr>
          <w:rFonts w:ascii="Arial" w:hAnsi="Arial" w:cs="Arial"/>
          <w:lang w:val="nl-NL"/>
        </w:rPr>
        <w:t xml:space="preserve">(SNP’s) in verband </w:t>
      </w:r>
      <w:r w:rsidR="000D7343" w:rsidRPr="00B7053F">
        <w:rPr>
          <w:rFonts w:ascii="Arial" w:hAnsi="Arial" w:cs="Arial"/>
          <w:lang w:val="nl-NL"/>
        </w:rPr>
        <w:t>kon</w:t>
      </w:r>
      <w:r w:rsidR="00D16193" w:rsidRPr="00B7053F">
        <w:rPr>
          <w:rFonts w:ascii="Arial" w:hAnsi="Arial" w:cs="Arial"/>
          <w:lang w:val="nl-NL"/>
        </w:rPr>
        <w:t>den</w:t>
      </w:r>
      <w:r w:rsidR="000D7343" w:rsidRPr="00B7053F">
        <w:rPr>
          <w:rFonts w:ascii="Arial" w:hAnsi="Arial" w:cs="Arial"/>
          <w:lang w:val="nl-NL"/>
        </w:rPr>
        <w:t xml:space="preserve"> </w:t>
      </w:r>
      <w:r w:rsidR="00642D1B" w:rsidRPr="00B7053F">
        <w:rPr>
          <w:rFonts w:ascii="Arial" w:hAnsi="Arial" w:cs="Arial"/>
          <w:lang w:val="nl-NL"/>
        </w:rPr>
        <w:t xml:space="preserve">gebracht worden met dyscalculie. </w:t>
      </w:r>
      <w:bookmarkStart w:id="0" w:name="_GoBack"/>
      <w:r w:rsidR="000D7343" w:rsidRPr="00B7053F">
        <w:rPr>
          <w:rFonts w:ascii="Arial" w:hAnsi="Arial" w:cs="Arial"/>
          <w:lang w:val="nl-NL"/>
        </w:rPr>
        <w:t>Voo</w:t>
      </w:r>
      <w:r w:rsidRPr="00B7053F">
        <w:rPr>
          <w:rFonts w:ascii="Arial" w:hAnsi="Arial" w:cs="Arial"/>
        </w:rPr>
        <w:t>ral</w:t>
      </w:r>
      <w:r w:rsidR="00B7053F" w:rsidRPr="00B7053F">
        <w:rPr>
          <w:rFonts w:ascii="Arial" w:hAnsi="Arial" w:cs="Arial"/>
        </w:rPr>
        <w:t xml:space="preserve">  het </w:t>
      </w:r>
      <w:r w:rsidR="00B7053F">
        <w:rPr>
          <w:rFonts w:ascii="Arial" w:hAnsi="Arial" w:cs="Arial"/>
        </w:rPr>
        <w:t>‘</w:t>
      </w:r>
      <w:r w:rsidR="00B7053F" w:rsidRPr="00B7053F">
        <w:rPr>
          <w:rFonts w:ascii="Arial" w:hAnsi="Arial" w:cs="Arial"/>
        </w:rPr>
        <w:t>Matrix M</w:t>
      </w:r>
      <w:r w:rsidR="00B7053F" w:rsidRPr="00B7053F">
        <w:rPr>
          <w:rFonts w:ascii="Arial" w:hAnsi="Arial" w:cs="Arial"/>
        </w:rPr>
        <w:t>etallo</w:t>
      </w:r>
      <w:r w:rsidR="00B7053F" w:rsidRPr="00B7053F">
        <w:rPr>
          <w:rFonts w:ascii="Arial" w:hAnsi="Arial" w:cs="Arial"/>
        </w:rPr>
        <w:t>P</w:t>
      </w:r>
      <w:r w:rsidR="00B7053F" w:rsidRPr="00B7053F">
        <w:rPr>
          <w:rFonts w:ascii="Arial" w:hAnsi="Arial" w:cs="Arial"/>
        </w:rPr>
        <w:t>roteinase 7</w:t>
      </w:r>
      <w:r w:rsidR="00B7053F">
        <w:rPr>
          <w:rFonts w:ascii="Arial" w:hAnsi="Arial" w:cs="Arial"/>
        </w:rPr>
        <w:t>’</w:t>
      </w:r>
      <w:r w:rsidR="00B7053F" w:rsidRPr="00B7053F">
        <w:rPr>
          <w:rFonts w:ascii="Arial" w:hAnsi="Arial" w:cs="Arial"/>
        </w:rPr>
        <w:t xml:space="preserve"> gen (MMP7), </w:t>
      </w:r>
      <w:r w:rsidR="00B7053F">
        <w:rPr>
          <w:rFonts w:ascii="Arial" w:hAnsi="Arial" w:cs="Arial"/>
        </w:rPr>
        <w:t xml:space="preserve"> het</w:t>
      </w:r>
      <w:r w:rsidR="00B7053F" w:rsidRPr="00B7053F">
        <w:rPr>
          <w:rFonts w:ascii="Arial" w:hAnsi="Arial" w:cs="Arial"/>
        </w:rPr>
        <w:t xml:space="preserve"> </w:t>
      </w:r>
      <w:r w:rsidR="00B7053F">
        <w:rPr>
          <w:rFonts w:ascii="Arial" w:hAnsi="Arial" w:cs="Arial"/>
        </w:rPr>
        <w:t>‘</w:t>
      </w:r>
      <w:r w:rsidR="00B7053F" w:rsidRPr="00B7053F">
        <w:rPr>
          <w:rFonts w:ascii="Arial" w:hAnsi="Arial" w:cs="Arial"/>
        </w:rPr>
        <w:t>G</w:t>
      </w:r>
      <w:r w:rsidR="00B7053F" w:rsidRPr="00B7053F">
        <w:rPr>
          <w:rFonts w:ascii="Arial" w:hAnsi="Arial" w:cs="Arial"/>
        </w:rPr>
        <w:t xml:space="preserve">lutamate </w:t>
      </w:r>
      <w:r w:rsidR="00B7053F" w:rsidRPr="00B7053F">
        <w:rPr>
          <w:rFonts w:ascii="Arial" w:hAnsi="Arial" w:cs="Arial"/>
        </w:rPr>
        <w:t>R</w:t>
      </w:r>
      <w:r w:rsidR="00B7053F" w:rsidRPr="00B7053F">
        <w:rPr>
          <w:rFonts w:ascii="Arial" w:hAnsi="Arial" w:cs="Arial"/>
        </w:rPr>
        <w:t xml:space="preserve">eceptor </w:t>
      </w:r>
      <w:r w:rsidR="00B7053F" w:rsidRPr="00B7053F">
        <w:rPr>
          <w:rFonts w:ascii="Arial" w:hAnsi="Arial" w:cs="Arial"/>
        </w:rPr>
        <w:t>I</w:t>
      </w:r>
      <w:r w:rsidR="00B7053F" w:rsidRPr="00B7053F">
        <w:rPr>
          <w:rFonts w:ascii="Arial" w:hAnsi="Arial" w:cs="Arial"/>
        </w:rPr>
        <w:t xml:space="preserve">onotropic </w:t>
      </w:r>
      <w:r w:rsidR="00B7053F" w:rsidRPr="00B7053F">
        <w:rPr>
          <w:rFonts w:ascii="Arial" w:hAnsi="Arial" w:cs="Arial"/>
        </w:rPr>
        <w:t>K</w:t>
      </w:r>
      <w:r w:rsidR="00B7053F" w:rsidRPr="00B7053F">
        <w:rPr>
          <w:rFonts w:ascii="Arial" w:hAnsi="Arial" w:cs="Arial"/>
        </w:rPr>
        <w:t>ainate 1</w:t>
      </w:r>
      <w:r w:rsidR="00B7053F">
        <w:rPr>
          <w:rFonts w:ascii="Arial" w:hAnsi="Arial" w:cs="Arial"/>
        </w:rPr>
        <w:t>’</w:t>
      </w:r>
      <w:r w:rsidR="00B7053F" w:rsidRPr="00B7053F">
        <w:rPr>
          <w:rFonts w:ascii="Arial" w:hAnsi="Arial" w:cs="Arial"/>
        </w:rPr>
        <w:t xml:space="preserve"> gen (GRIK1)</w:t>
      </w:r>
      <w:r w:rsidR="00B7053F" w:rsidRPr="00B7053F">
        <w:rPr>
          <w:rFonts w:ascii="Arial" w:hAnsi="Arial" w:cs="Arial"/>
        </w:rPr>
        <w:t xml:space="preserve"> en het </w:t>
      </w:r>
      <w:r w:rsidR="00B7053F">
        <w:rPr>
          <w:rFonts w:ascii="Arial" w:hAnsi="Arial" w:cs="Arial"/>
        </w:rPr>
        <w:t>‘</w:t>
      </w:r>
      <w:r w:rsidR="00B7053F" w:rsidRPr="00B7053F">
        <w:rPr>
          <w:rFonts w:ascii="Arial" w:hAnsi="Arial" w:cs="Arial"/>
        </w:rPr>
        <w:t>D</w:t>
      </w:r>
      <w:r w:rsidR="00B7053F" w:rsidRPr="00B7053F">
        <w:rPr>
          <w:rFonts w:ascii="Arial" w:hAnsi="Arial" w:cs="Arial"/>
        </w:rPr>
        <w:t>y</w:t>
      </w:r>
      <w:r w:rsidR="00B7053F" w:rsidRPr="00B7053F">
        <w:rPr>
          <w:rFonts w:ascii="Arial" w:hAnsi="Arial" w:cs="Arial"/>
        </w:rPr>
        <w:t>nein A</w:t>
      </w:r>
      <w:r w:rsidR="00B7053F" w:rsidRPr="00B7053F">
        <w:rPr>
          <w:rFonts w:ascii="Arial" w:hAnsi="Arial" w:cs="Arial"/>
        </w:rPr>
        <w:t xml:space="preserve">xonemal </w:t>
      </w:r>
      <w:r w:rsidR="00B7053F" w:rsidRPr="00B7053F">
        <w:rPr>
          <w:rFonts w:ascii="Arial" w:hAnsi="Arial" w:cs="Arial"/>
        </w:rPr>
        <w:t>H</w:t>
      </w:r>
      <w:r w:rsidR="00B7053F" w:rsidRPr="00B7053F">
        <w:rPr>
          <w:rFonts w:ascii="Arial" w:hAnsi="Arial" w:cs="Arial"/>
        </w:rPr>
        <w:t>eavy chain 5</w:t>
      </w:r>
      <w:r w:rsidR="00B7053F">
        <w:rPr>
          <w:rFonts w:ascii="Arial" w:hAnsi="Arial" w:cs="Arial"/>
        </w:rPr>
        <w:t>’</w:t>
      </w:r>
      <w:r w:rsidR="00B7053F" w:rsidRPr="00B7053F">
        <w:rPr>
          <w:rFonts w:ascii="Arial" w:hAnsi="Arial" w:cs="Arial"/>
        </w:rPr>
        <w:t xml:space="preserve"> gen (DNAH5) </w:t>
      </w:r>
      <w:r w:rsidRPr="00B7053F">
        <w:rPr>
          <w:rFonts w:ascii="Arial" w:hAnsi="Arial" w:cs="Arial"/>
        </w:rPr>
        <w:t>bleken van belang</w:t>
      </w:r>
      <w:r w:rsidR="000D7343" w:rsidRPr="00B7053F">
        <w:rPr>
          <w:rFonts w:ascii="Arial" w:hAnsi="Arial" w:cs="Arial"/>
        </w:rPr>
        <w:t xml:space="preserve">. </w:t>
      </w:r>
      <w:bookmarkEnd w:id="0"/>
      <w:r w:rsidR="000D7343" w:rsidRPr="00B7053F">
        <w:rPr>
          <w:rFonts w:ascii="Arial" w:hAnsi="Arial" w:cs="Arial"/>
        </w:rPr>
        <w:t>G</w:t>
      </w:r>
      <w:r w:rsidRPr="00B7053F">
        <w:rPr>
          <w:rFonts w:ascii="Arial" w:hAnsi="Arial" w:cs="Arial"/>
        </w:rPr>
        <w:t xml:space="preserve">eïsoleerd </w:t>
      </w:r>
      <w:r w:rsidR="000D7343" w:rsidRPr="00B7053F">
        <w:rPr>
          <w:rFonts w:ascii="Arial" w:hAnsi="Arial" w:cs="Arial"/>
        </w:rPr>
        <w:t xml:space="preserve">leverden de SNP’s maar </w:t>
      </w:r>
      <w:r w:rsidRPr="00B7053F">
        <w:rPr>
          <w:rFonts w:ascii="Arial" w:hAnsi="Arial" w:cs="Arial"/>
        </w:rPr>
        <w:t xml:space="preserve">een kleine bijdrage, maar gecombineerd </w:t>
      </w:r>
      <w:r w:rsidR="000D7343" w:rsidRPr="00B7053F">
        <w:rPr>
          <w:rFonts w:ascii="Arial" w:hAnsi="Arial" w:cs="Arial"/>
        </w:rPr>
        <w:t xml:space="preserve">konden ze </w:t>
      </w:r>
      <w:r w:rsidRPr="00B7053F">
        <w:rPr>
          <w:rFonts w:ascii="Arial" w:hAnsi="Arial" w:cs="Arial"/>
        </w:rPr>
        <w:t>2,9% van de variantie in rekenvaardigheden verkla</w:t>
      </w:r>
      <w:r w:rsidR="00D16193" w:rsidRPr="00B7053F">
        <w:rPr>
          <w:rFonts w:ascii="Arial" w:hAnsi="Arial" w:cs="Arial"/>
        </w:rPr>
        <w:t>r</w:t>
      </w:r>
      <w:r w:rsidRPr="00B7053F">
        <w:rPr>
          <w:rFonts w:ascii="Arial" w:hAnsi="Arial" w:cs="Arial"/>
        </w:rPr>
        <w:t>en</w:t>
      </w:r>
      <w:r w:rsidRPr="00FC78F7">
        <w:rPr>
          <w:rFonts w:ascii="Arial" w:hAnsi="Arial" w:cs="Arial"/>
        </w:rPr>
        <w:t xml:space="preserve"> </w:t>
      </w:r>
      <w:r w:rsidRPr="00FC78F7">
        <w:rPr>
          <w:rFonts w:ascii="Arial" w:hAnsi="Arial" w:cs="Arial"/>
        </w:rPr>
        <w:fldChar w:fldCharType="begin" w:fldLock="1"/>
      </w:r>
      <w:r w:rsidRPr="00FC78F7">
        <w:rPr>
          <w:rFonts w:ascii="Arial" w:hAnsi="Arial" w:cs="Arial"/>
        </w:rPr>
        <w:instrText xml:space="preserve"> ADDIN ZOTERO_ITEM CSL_CITATION {"citationID":"qhe9WXwS","properties":{"formattedCitation":"(Docherty et al., 2010)","plainCitation":"(Docherty et al., 2010)","noteIndex":0},"citationItems":[{"id":"WE0TCpjV/dJEiPvf8","uris":["http://www.mendeley.com/documents/?uuid=adafe321-d1fb-4d6f-ac98-1b005111b87f"],"uri":["http://www.mendeley.com/documents/?uuid=adafe321-d1fb-4d6f-ac98-1b005111b87f"],"itemData":{"DOI":"10.1111/j.1601-183X.2009.00553.x","ISBN":"1601-183X","ISSN":"16011848","PMID":"20039944","abstract":"Numeracy is as important as literacy and exhibits a similar frequency of disability. Although its etiology is relatively poorly understood, quantitative genetic research has demonstrated mathematical ability to be moderately heritable. In this first genome-wide association study (GWAS) of mathematical ability and disability, 10 out of 43 single nucleotide polymorphism (SNP) associations nominated from two high- vs. low-ability (n = 600 10-year-olds each) scans of pooled DNA were validated (P &lt; 0.05) in an individually genotyped sample of (*)2356 individuals spanning the entire distribution of mathematical ability, as assessed by teacher reports and online tests. Although the effects are of the modest sizes now expected for complex traits and require further replication, interesting candidate genes are implicated such as NRCAM which encodes a neuronal cell adhesion molecule. When combined into a set, the 10 SNPs account for 2.9% (F = 56.85; df = 1 and 1881; P = 7.277e-14) of the phenotypic variance. The association is linear across the distribution consistent with a quantitative trait locus (QTL) hypothesis; the third of children in our sample who harbour 10 or more of the 20 risk alleles identified are nearly twice as likely (OR = 1.96; df = 1; P = 3.696e-07) to be in the lowest performing 15% of the distribution. Our results correspond with those of quantitative genetic research in indicating that mathematical ability and disability are influenced by many genes generating small effects across the entire spectrum of ability, implying that more highly powered studies will be needed to detect and replicate these QTL associations.","author":[{"dropping-particle":"","family":"Docherty","given":"S. J.","non-dropping-particle":"","parse-names":false,"suffix":""},{"dropping-particle":"","family":"Davis","given":"O. S. P.","non-dropping-particle":"","parse-names":false,"suffix":""},{"dropping-particle":"","family":"Kovas","given":"Y.","non-dropping-particle":"","parse-names":false,"suffix":""},{"dropping-particle":"","family":"Meaburn","given":"E. L.","non-dropping-particle":"","parse-names":false,"suffix":""},{"dropping-particle":"","family":"Dale","given":"P. S.","non-dropping-particle":"","parse-names":false,"suffix":""},{"dropping-particle":"","family":"Petrill","given":"S. A.","non-dropping-particle":"","parse-names":false,"suffix":""},{"dropping-particle":"","family":"Schalkwyk","given":"L. C.","non-dropping-particle":"","parse-names":false,"suffix":""},{"dropping-particle":"","family":"Plomin","given":"R.","non-dropping-particle":"","parse-names":false,"suffix":""}],"container-title":"Genes, Brain and Behavior","id":"ITEM-1","issue":"2","issued":{"date-parts":[["2010"]]},"page":"234-247","title":"A genome-wide association study identifies multiple loci associated with mathematics ability and disability","type":"article-journal","volume":"9"}}],"schema":"https://github.com/citation-style-language/schema/raw/master/csl-citation.json"} </w:instrText>
      </w:r>
      <w:r w:rsidRPr="00FC78F7">
        <w:rPr>
          <w:rFonts w:ascii="Arial" w:hAnsi="Arial" w:cs="Arial"/>
        </w:rPr>
        <w:fldChar w:fldCharType="separate"/>
      </w:r>
      <w:r w:rsidRPr="00FC78F7">
        <w:rPr>
          <w:rFonts w:ascii="Arial" w:hAnsi="Arial" w:cs="Arial"/>
          <w:noProof/>
        </w:rPr>
        <w:t>(Docherty et al., 2010)</w:t>
      </w:r>
      <w:r w:rsidRPr="00FC78F7">
        <w:rPr>
          <w:rFonts w:ascii="Arial" w:hAnsi="Arial" w:cs="Arial"/>
        </w:rPr>
        <w:fldChar w:fldCharType="end"/>
      </w:r>
      <w:r w:rsidRPr="00FC78F7">
        <w:rPr>
          <w:rFonts w:ascii="Arial" w:hAnsi="Arial" w:cs="Arial"/>
        </w:rPr>
        <w:t>.</w:t>
      </w:r>
      <w:r w:rsidR="00236A56">
        <w:rPr>
          <w:rFonts w:ascii="Arial" w:hAnsi="Arial" w:cs="Arial"/>
        </w:rPr>
        <w:t xml:space="preserve"> </w:t>
      </w:r>
      <w:r w:rsidR="008A14CF">
        <w:rPr>
          <w:rFonts w:ascii="Arial" w:hAnsi="Arial" w:cs="Arial"/>
        </w:rPr>
        <w:t xml:space="preserve">We kunnen dus op basis van de combinatie ervan ongeveer 3% van de verschillen in rekenen voorspellen. </w:t>
      </w:r>
    </w:p>
    <w:p w14:paraId="4FA4D8D4" w14:textId="40B77A61" w:rsidR="000D7343" w:rsidRPr="00A12885" w:rsidRDefault="00236A56" w:rsidP="00A12885">
      <w:pPr>
        <w:spacing w:line="240" w:lineRule="auto"/>
        <w:rPr>
          <w:rFonts w:ascii="Arial" w:hAnsi="Arial" w:cs="Arial"/>
          <w:lang w:val="nl-NL"/>
        </w:rPr>
      </w:pPr>
      <w:r>
        <w:rPr>
          <w:rFonts w:ascii="Arial" w:hAnsi="Arial" w:cs="Arial"/>
          <w:lang w:val="nl-NL"/>
        </w:rPr>
        <w:t xml:space="preserve">Er is </w:t>
      </w:r>
      <w:r w:rsidR="00450BF1">
        <w:rPr>
          <w:rFonts w:ascii="Arial" w:hAnsi="Arial" w:cs="Arial"/>
          <w:lang w:val="nl-NL"/>
        </w:rPr>
        <w:t xml:space="preserve">ook </w:t>
      </w:r>
      <w:r w:rsidR="003B4768">
        <w:rPr>
          <w:rFonts w:ascii="Arial" w:hAnsi="Arial" w:cs="Arial"/>
          <w:lang w:val="nl-NL"/>
        </w:rPr>
        <w:t xml:space="preserve">reeds vrij lang </w:t>
      </w:r>
      <w:r w:rsidR="00773F31" w:rsidRPr="00FC78F7">
        <w:rPr>
          <w:rFonts w:ascii="Arial" w:hAnsi="Arial" w:cs="Arial"/>
          <w:lang w:val="nl-NL"/>
        </w:rPr>
        <w:t>(Kno</w:t>
      </w:r>
      <w:r w:rsidR="00773F31">
        <w:rPr>
          <w:rFonts w:ascii="Arial" w:hAnsi="Arial" w:cs="Arial"/>
          <w:lang w:val="nl-NL"/>
        </w:rPr>
        <w:t xml:space="preserve">pik, Alarcon, &amp; DeFries, 1997) </w:t>
      </w:r>
      <w:r w:rsidR="003B4768">
        <w:rPr>
          <w:rFonts w:ascii="Arial" w:hAnsi="Arial" w:cs="Arial"/>
          <w:lang w:val="nl-NL"/>
        </w:rPr>
        <w:t xml:space="preserve">evidentie voor </w:t>
      </w:r>
      <w:r>
        <w:rPr>
          <w:rFonts w:ascii="Arial" w:hAnsi="Arial" w:cs="Arial"/>
          <w:lang w:val="nl-NL"/>
        </w:rPr>
        <w:t xml:space="preserve">een </w:t>
      </w:r>
      <w:r w:rsidR="000D7343" w:rsidRPr="00FC78F7">
        <w:rPr>
          <w:rFonts w:ascii="Arial" w:hAnsi="Arial" w:cs="Arial"/>
          <w:lang w:val="nl-NL"/>
        </w:rPr>
        <w:t>genetische overlap tussen lees-</w:t>
      </w:r>
      <w:r w:rsidR="00D16193">
        <w:rPr>
          <w:rFonts w:ascii="Arial" w:hAnsi="Arial" w:cs="Arial"/>
          <w:lang w:val="nl-NL"/>
        </w:rPr>
        <w:t xml:space="preserve"> </w:t>
      </w:r>
      <w:r w:rsidR="000D7343" w:rsidRPr="00FC78F7">
        <w:rPr>
          <w:rFonts w:ascii="Arial" w:hAnsi="Arial" w:cs="Arial"/>
          <w:lang w:val="nl-NL"/>
        </w:rPr>
        <w:t>en rekenprestaties</w:t>
      </w:r>
      <w:r w:rsidR="00773F31">
        <w:rPr>
          <w:rFonts w:ascii="Arial" w:hAnsi="Arial" w:cs="Arial"/>
          <w:lang w:val="nl-NL"/>
        </w:rPr>
        <w:t>.</w:t>
      </w:r>
      <w:r w:rsidR="000D7343" w:rsidRPr="00FC78F7">
        <w:rPr>
          <w:rFonts w:ascii="Arial" w:hAnsi="Arial" w:cs="Arial"/>
          <w:lang w:val="nl-NL"/>
        </w:rPr>
        <w:t xml:space="preserve"> De </w:t>
      </w:r>
      <w:r w:rsidR="008A14CF">
        <w:rPr>
          <w:rFonts w:ascii="Arial" w:hAnsi="Arial" w:cs="Arial"/>
          <w:lang w:val="nl-NL"/>
        </w:rPr>
        <w:t xml:space="preserve">onderzoeken naar de erfelijke componenten en naar de </w:t>
      </w:r>
      <w:r w:rsidR="000D7343" w:rsidRPr="00FC78F7">
        <w:rPr>
          <w:rFonts w:ascii="Arial" w:hAnsi="Arial" w:cs="Arial"/>
          <w:lang w:val="nl-NL"/>
        </w:rPr>
        <w:t xml:space="preserve">genetische correlatie tussen de lees- en rekenprestaties </w:t>
      </w:r>
      <w:r w:rsidR="003B4768">
        <w:rPr>
          <w:rFonts w:ascii="Arial" w:hAnsi="Arial" w:cs="Arial"/>
          <w:lang w:val="nl-NL"/>
        </w:rPr>
        <w:t>tonen aan</w:t>
      </w:r>
      <w:r w:rsidR="000D7343" w:rsidRPr="00FC78F7">
        <w:rPr>
          <w:rFonts w:ascii="Arial" w:hAnsi="Arial" w:cs="Arial"/>
          <w:lang w:val="nl-NL"/>
        </w:rPr>
        <w:t xml:space="preserve"> dat de comorbiditeit tussen </w:t>
      </w:r>
      <w:r w:rsidR="00FC78F7">
        <w:rPr>
          <w:rFonts w:ascii="Arial" w:hAnsi="Arial" w:cs="Arial"/>
          <w:lang w:val="nl-NL"/>
        </w:rPr>
        <w:t xml:space="preserve">dyslexie en </w:t>
      </w:r>
      <w:r w:rsidR="00FC78F7" w:rsidRPr="00773F31">
        <w:rPr>
          <w:rFonts w:ascii="Arial" w:hAnsi="Arial" w:cs="Arial"/>
          <w:lang w:val="nl-NL"/>
        </w:rPr>
        <w:t>dyscalculie</w:t>
      </w:r>
      <w:r w:rsidR="000D7343" w:rsidRPr="00773F31">
        <w:rPr>
          <w:rFonts w:ascii="Arial" w:hAnsi="Arial" w:cs="Arial"/>
          <w:lang w:val="nl-NL"/>
        </w:rPr>
        <w:t xml:space="preserve"> deels te wijten is aan genetische invloeden. </w:t>
      </w:r>
    </w:p>
    <w:p w14:paraId="021F1283" w14:textId="62569E3B" w:rsidR="00C91285" w:rsidRDefault="002E61BB" w:rsidP="00C91285">
      <w:pPr>
        <w:spacing w:line="240" w:lineRule="auto"/>
        <w:jc w:val="both"/>
        <w:rPr>
          <w:rFonts w:ascii="Arial" w:hAnsi="Arial" w:cs="Arial"/>
        </w:rPr>
      </w:pPr>
      <w:r w:rsidRPr="00A12885">
        <w:rPr>
          <w:rFonts w:ascii="Arial" w:hAnsi="Arial" w:cs="Arial"/>
          <w:bCs/>
        </w:rPr>
        <w:t xml:space="preserve">Hoe vaak dyslexie </w:t>
      </w:r>
      <w:r w:rsidR="0040528A" w:rsidRPr="00A12885">
        <w:rPr>
          <w:rFonts w:ascii="Arial" w:hAnsi="Arial" w:cs="Arial"/>
          <w:bCs/>
        </w:rPr>
        <w:t xml:space="preserve">(met inbegrip van dysorthografie) </w:t>
      </w:r>
      <w:r w:rsidRPr="00A12885">
        <w:rPr>
          <w:rFonts w:ascii="Arial" w:hAnsi="Arial" w:cs="Arial"/>
          <w:bCs/>
        </w:rPr>
        <w:t>voorkomt is afhankelijk van de transparantie van de taal (Desoete &amp; Van Vreckem, 2018</w:t>
      </w:r>
      <w:r w:rsidR="00A12885" w:rsidRPr="00A12885">
        <w:rPr>
          <w:rFonts w:ascii="Arial" w:hAnsi="Arial" w:cs="Arial"/>
          <w:bCs/>
        </w:rPr>
        <w:t>;</w:t>
      </w:r>
      <w:r w:rsidR="00A12885" w:rsidRPr="00A12885">
        <w:rPr>
          <w:rFonts w:ascii="Arial" w:hAnsi="Arial" w:cs="Arial"/>
        </w:rPr>
        <w:t xml:space="preserve"> Duranovic, 2017</w:t>
      </w:r>
      <w:r w:rsidR="00A12885">
        <w:rPr>
          <w:rFonts w:ascii="Arial" w:hAnsi="Arial" w:cs="Arial"/>
        </w:rPr>
        <w:t>; Tops et al., 2014</w:t>
      </w:r>
      <w:r w:rsidR="00A12885" w:rsidRPr="00A12885">
        <w:rPr>
          <w:rFonts w:ascii="Arial" w:hAnsi="Arial" w:cs="Arial"/>
        </w:rPr>
        <w:t xml:space="preserve">). </w:t>
      </w:r>
      <w:r w:rsidR="00773F31" w:rsidRPr="00A12885">
        <w:rPr>
          <w:rFonts w:ascii="Arial" w:hAnsi="Arial" w:cs="Arial"/>
          <w:bCs/>
        </w:rPr>
        <w:t xml:space="preserve">In transparante talen en orthografische systemen is er een hoge mate van grafeem-foneem </w:t>
      </w:r>
      <w:r w:rsidR="00773F31" w:rsidRPr="00A12885">
        <w:rPr>
          <w:rFonts w:ascii="Arial" w:hAnsi="Arial" w:cs="Arial"/>
          <w:bCs/>
        </w:rPr>
        <w:lastRenderedPageBreak/>
        <w:t xml:space="preserve">en foneem-grafeem correspondentie (Defior, Jimnez-Fernandez, &amp; Serrano, 2009).  In weinig transparante talen zoals het Engels kunnen grafemen overeenkomen met verschillende fonemen en vice versa </w:t>
      </w:r>
      <w:r w:rsidR="00773F31" w:rsidRPr="00A12885">
        <w:rPr>
          <w:rFonts w:ascii="Arial" w:hAnsi="Arial" w:cs="Arial"/>
        </w:rPr>
        <w:t>(Vanderswalmen et al., 2010; Verhoeven et al., 2006). In Spanje en Italië is er een prevalentie van 1-3%. In Engelstalige gebieden loopt dit cijfer op tot 20%</w:t>
      </w:r>
      <w:r w:rsidR="00A12885" w:rsidRPr="00A12885">
        <w:rPr>
          <w:rFonts w:ascii="Arial" w:hAnsi="Arial" w:cs="Arial"/>
        </w:rPr>
        <w:t xml:space="preserve"> (Tops et al</w:t>
      </w:r>
      <w:r w:rsidR="00773F31" w:rsidRPr="00A12885">
        <w:rPr>
          <w:rFonts w:ascii="Arial" w:hAnsi="Arial" w:cs="Arial"/>
        </w:rPr>
        <w:t>.</w:t>
      </w:r>
      <w:r w:rsidR="00A12885" w:rsidRPr="00A12885">
        <w:rPr>
          <w:rFonts w:ascii="Arial" w:hAnsi="Arial" w:cs="Arial"/>
        </w:rPr>
        <w:t>, 2014).</w:t>
      </w:r>
      <w:r w:rsidR="00773F31" w:rsidRPr="00A12885">
        <w:rPr>
          <w:rFonts w:ascii="Arial" w:hAnsi="Arial" w:cs="Arial"/>
        </w:rPr>
        <w:t xml:space="preserve"> </w:t>
      </w:r>
      <w:r w:rsidR="00A12885" w:rsidRPr="00A12885">
        <w:rPr>
          <w:rFonts w:ascii="Arial" w:hAnsi="Arial" w:cs="Arial"/>
        </w:rPr>
        <w:t xml:space="preserve">Het Engels, in tegenstelling tot het </w:t>
      </w:r>
      <w:r w:rsidR="008271A7">
        <w:rPr>
          <w:rFonts w:ascii="Arial" w:hAnsi="Arial" w:cs="Arial"/>
        </w:rPr>
        <w:t>Spaans</w:t>
      </w:r>
      <w:r w:rsidR="00A12885" w:rsidRPr="00A12885">
        <w:rPr>
          <w:rFonts w:ascii="Arial" w:hAnsi="Arial" w:cs="Arial"/>
        </w:rPr>
        <w:t xml:space="preserve"> of het </w:t>
      </w:r>
      <w:r w:rsidR="008271A7">
        <w:rPr>
          <w:rFonts w:ascii="Arial" w:hAnsi="Arial" w:cs="Arial"/>
        </w:rPr>
        <w:t>Italiaans</w:t>
      </w:r>
      <w:r w:rsidR="00A12885" w:rsidRPr="00A12885">
        <w:rPr>
          <w:rFonts w:ascii="Arial" w:hAnsi="Arial" w:cs="Arial"/>
        </w:rPr>
        <w:t>, is een orthografisch inconsistente taal (</w:t>
      </w:r>
      <w:r w:rsidR="00A12885">
        <w:rPr>
          <w:rFonts w:ascii="Arial" w:hAnsi="Arial" w:cs="Arial"/>
        </w:rPr>
        <w:t xml:space="preserve">zie bijvoorbeeld </w:t>
      </w:r>
      <w:r w:rsidR="00A12885" w:rsidRPr="00A12885">
        <w:rPr>
          <w:rFonts w:ascii="Arial" w:hAnsi="Arial" w:cs="Arial"/>
        </w:rPr>
        <w:t xml:space="preserve">‘though’ vs. ‘tough’). Het Nederlands ligt tussen de twee extremen in (je zegt ‘s’ ‘a’ ‘p’ bij het woord ‘sap’, maar ‘b’ ‘a’ ‘t’ bij het woord ‘bad’, en je hebt woorden als ‘gevel’ en ‘geval’, ‘bedrag’ en ‘bedrand’,  ‘papier’ en ‘paren’). </w:t>
      </w:r>
    </w:p>
    <w:p w14:paraId="4C8E302B" w14:textId="4B8F0B64" w:rsidR="0040528A" w:rsidRPr="0028082E" w:rsidRDefault="00A12885" w:rsidP="00BD099E">
      <w:pPr>
        <w:spacing w:line="240" w:lineRule="auto"/>
        <w:jc w:val="both"/>
        <w:rPr>
          <w:rFonts w:ascii="Arial" w:hAnsi="Arial" w:cs="Arial"/>
          <w:bCs/>
          <w:lang w:eastAsia="nl-BE"/>
        </w:rPr>
      </w:pPr>
      <w:r w:rsidRPr="00A12885">
        <w:rPr>
          <w:rFonts w:ascii="Arial" w:hAnsi="Arial" w:cs="Arial"/>
        </w:rPr>
        <w:t xml:space="preserve">De Nederlandse prevalentiecijfers liggen lager dan die voor het Engels maar hoger dan die voor het </w:t>
      </w:r>
      <w:r w:rsidR="008271A7">
        <w:rPr>
          <w:rFonts w:ascii="Arial" w:hAnsi="Arial" w:cs="Arial"/>
        </w:rPr>
        <w:t>Spaans</w:t>
      </w:r>
      <w:r w:rsidR="00BE3F96">
        <w:rPr>
          <w:rFonts w:ascii="Arial" w:hAnsi="Arial" w:cs="Arial"/>
        </w:rPr>
        <w:t>, Italiaans</w:t>
      </w:r>
      <w:r w:rsidRPr="00A12885">
        <w:rPr>
          <w:rFonts w:ascii="Arial" w:hAnsi="Arial" w:cs="Arial"/>
        </w:rPr>
        <w:t xml:space="preserve"> of het </w:t>
      </w:r>
      <w:r w:rsidR="00BE3F96">
        <w:rPr>
          <w:rFonts w:ascii="Arial" w:hAnsi="Arial" w:cs="Arial"/>
        </w:rPr>
        <w:t>Fins</w:t>
      </w:r>
      <w:r w:rsidRPr="00A12885">
        <w:rPr>
          <w:rFonts w:ascii="Arial" w:hAnsi="Arial" w:cs="Arial"/>
        </w:rPr>
        <w:t xml:space="preserve"> </w:t>
      </w:r>
      <w:r w:rsidRPr="00A12885">
        <w:rPr>
          <w:rFonts w:ascii="Arial" w:hAnsi="Arial" w:cs="Arial"/>
          <w:lang w:val="nl-NL" w:eastAsia="nl-NL"/>
        </w:rPr>
        <w:t>(Ziegler &amp; Goswami, 2005)</w:t>
      </w:r>
      <w:r w:rsidR="00C91285">
        <w:rPr>
          <w:rFonts w:ascii="Arial" w:hAnsi="Arial" w:cs="Arial"/>
          <w:lang w:val="nl-NL" w:eastAsia="nl-NL"/>
        </w:rPr>
        <w:t xml:space="preserve">. </w:t>
      </w:r>
      <w:r w:rsidR="002E61BB" w:rsidRPr="00A12885">
        <w:rPr>
          <w:rFonts w:ascii="Arial" w:hAnsi="Arial" w:cs="Arial"/>
          <w:bCs/>
        </w:rPr>
        <w:t xml:space="preserve">Voor het Nederlands schat men dat er 5% </w:t>
      </w:r>
      <w:r w:rsidR="00041408">
        <w:rPr>
          <w:rFonts w:ascii="Arial" w:hAnsi="Arial" w:cs="Arial"/>
          <w:bCs/>
        </w:rPr>
        <w:t xml:space="preserve">tot 7% </w:t>
      </w:r>
      <w:r w:rsidR="002E61BB" w:rsidRPr="00A12885">
        <w:rPr>
          <w:rFonts w:ascii="Arial" w:hAnsi="Arial" w:cs="Arial"/>
          <w:bCs/>
        </w:rPr>
        <w:t>mensen met dyslexie zijn</w:t>
      </w:r>
      <w:r w:rsidR="00041408">
        <w:rPr>
          <w:rFonts w:ascii="Arial" w:hAnsi="Arial" w:cs="Arial"/>
          <w:bCs/>
        </w:rPr>
        <w:t xml:space="preserve"> (Ghesquière &amp; Hellinckx, 2018</w:t>
      </w:r>
      <w:r w:rsidR="00E54CBA">
        <w:rPr>
          <w:rFonts w:ascii="Arial" w:hAnsi="Arial" w:cs="Arial"/>
          <w:bCs/>
        </w:rPr>
        <w:t>; Van Der Leij, 2015</w:t>
      </w:r>
      <w:r w:rsidR="00041408">
        <w:rPr>
          <w:rFonts w:ascii="Arial" w:hAnsi="Arial" w:cs="Arial"/>
          <w:bCs/>
        </w:rPr>
        <w:t>)</w:t>
      </w:r>
      <w:r w:rsidR="00191B91" w:rsidRPr="00A12885">
        <w:rPr>
          <w:rFonts w:ascii="Arial" w:hAnsi="Arial" w:cs="Arial"/>
          <w:bCs/>
        </w:rPr>
        <w:t>, waarvan 60% mannen</w:t>
      </w:r>
      <w:r w:rsidR="002E61BB" w:rsidRPr="00A12885">
        <w:rPr>
          <w:rFonts w:ascii="Arial" w:hAnsi="Arial" w:cs="Arial"/>
          <w:bCs/>
        </w:rPr>
        <w:t>. Als dyslexie bij de ouders aanwezig is</w:t>
      </w:r>
      <w:r w:rsidR="00D57033" w:rsidRPr="00A12885">
        <w:rPr>
          <w:rFonts w:ascii="Arial" w:hAnsi="Arial" w:cs="Arial"/>
          <w:bCs/>
        </w:rPr>
        <w:t>,</w:t>
      </w:r>
      <w:r w:rsidR="002E61BB" w:rsidRPr="00A12885">
        <w:rPr>
          <w:rFonts w:ascii="Arial" w:hAnsi="Arial" w:cs="Arial"/>
          <w:bCs/>
        </w:rPr>
        <w:t xml:space="preserve"> verhoogt de kans om zelf dyslexie te hebben</w:t>
      </w:r>
      <w:r w:rsidR="002E61BB" w:rsidRPr="00773F31">
        <w:rPr>
          <w:rFonts w:ascii="Arial" w:hAnsi="Arial" w:cs="Arial"/>
          <w:bCs/>
        </w:rPr>
        <w:t xml:space="preserve"> tot 30 à 50%</w:t>
      </w:r>
      <w:r w:rsidR="005C1402" w:rsidRPr="00773F31">
        <w:rPr>
          <w:rFonts w:ascii="Arial" w:hAnsi="Arial" w:cs="Arial"/>
          <w:bCs/>
        </w:rPr>
        <w:t xml:space="preserve"> (Tops, Callens, &amp; Brysbaert, 2018)</w:t>
      </w:r>
      <w:r w:rsidR="002E61BB" w:rsidRPr="00773F31">
        <w:rPr>
          <w:rFonts w:ascii="Arial" w:hAnsi="Arial" w:cs="Arial"/>
          <w:bCs/>
        </w:rPr>
        <w:t xml:space="preserve">. </w:t>
      </w:r>
      <w:r w:rsidR="00F45C4B">
        <w:rPr>
          <w:rFonts w:ascii="Arial" w:hAnsi="Arial" w:cs="Arial"/>
          <w:bCs/>
        </w:rPr>
        <w:t>T</w:t>
      </w:r>
      <w:r w:rsidR="00BD099E" w:rsidRPr="00773F31">
        <w:rPr>
          <w:rFonts w:ascii="Arial" w:hAnsi="Arial" w:cs="Arial"/>
          <w:lang w:val="nl-NL"/>
        </w:rPr>
        <w:t xml:space="preserve">weelingenstudies </w:t>
      </w:r>
      <w:r w:rsidR="00F45C4B">
        <w:rPr>
          <w:rFonts w:ascii="Arial" w:hAnsi="Arial" w:cs="Arial"/>
          <w:lang w:val="nl-NL"/>
        </w:rPr>
        <w:t xml:space="preserve">toonden aan </w:t>
      </w:r>
      <w:r w:rsidR="00BD099E" w:rsidRPr="00773F31">
        <w:rPr>
          <w:rFonts w:ascii="Arial" w:hAnsi="Arial" w:cs="Arial"/>
          <w:lang w:val="nl-NL"/>
        </w:rPr>
        <w:t>dat ongeveer 25% van</w:t>
      </w:r>
      <w:r w:rsidR="00F45C4B">
        <w:rPr>
          <w:rFonts w:ascii="Arial" w:hAnsi="Arial" w:cs="Arial"/>
          <w:lang w:val="nl-NL"/>
        </w:rPr>
        <w:t xml:space="preserve"> </w:t>
      </w:r>
      <w:r w:rsidR="00BD099E" w:rsidRPr="00773F31">
        <w:rPr>
          <w:rFonts w:ascii="Arial" w:hAnsi="Arial" w:cs="Arial"/>
          <w:lang w:val="nl-NL"/>
        </w:rPr>
        <w:t>de dyslexie verklaard kon worden door genetische factoren, die tevens een invloed h</w:t>
      </w:r>
      <w:r w:rsidR="00F45C4B">
        <w:rPr>
          <w:rFonts w:ascii="Arial" w:hAnsi="Arial" w:cs="Arial"/>
          <w:lang w:val="nl-NL"/>
        </w:rPr>
        <w:t>ebbe</w:t>
      </w:r>
      <w:r w:rsidR="00BD099E" w:rsidRPr="00773F31">
        <w:rPr>
          <w:rFonts w:ascii="Arial" w:hAnsi="Arial" w:cs="Arial"/>
          <w:lang w:val="nl-NL"/>
        </w:rPr>
        <w:t xml:space="preserve">n op </w:t>
      </w:r>
      <w:r w:rsidR="00BD099E" w:rsidRPr="0028082E">
        <w:rPr>
          <w:rFonts w:ascii="Arial" w:hAnsi="Arial" w:cs="Arial"/>
          <w:lang w:val="nl-NL"/>
        </w:rPr>
        <w:t xml:space="preserve">rekenprestaties (Knopik et al., 1997). </w:t>
      </w:r>
    </w:p>
    <w:p w14:paraId="05BFF3CC" w14:textId="3FE1BEF3" w:rsidR="00450BF1" w:rsidRPr="0028082E" w:rsidRDefault="000C4B4F" w:rsidP="00642D1B">
      <w:pPr>
        <w:rPr>
          <w:rFonts w:ascii="Arial" w:hAnsi="Arial" w:cs="Arial"/>
          <w:lang w:eastAsia="nl-BE"/>
        </w:rPr>
      </w:pPr>
      <w:r w:rsidRPr="0028082E">
        <w:rPr>
          <w:rFonts w:ascii="Arial" w:hAnsi="Arial" w:cs="Arial"/>
          <w:bCs/>
          <w:lang w:eastAsia="nl-BE"/>
        </w:rPr>
        <w:t xml:space="preserve">De </w:t>
      </w:r>
      <w:r w:rsidR="005C1402" w:rsidRPr="0028082E">
        <w:rPr>
          <w:rFonts w:ascii="Arial" w:hAnsi="Arial" w:cs="Arial"/>
          <w:bCs/>
          <w:lang w:eastAsia="nl-BE"/>
        </w:rPr>
        <w:t xml:space="preserve">internationale </w:t>
      </w:r>
      <w:r w:rsidRPr="0028082E">
        <w:rPr>
          <w:rFonts w:ascii="Arial" w:hAnsi="Arial" w:cs="Arial"/>
          <w:bCs/>
          <w:lang w:eastAsia="nl-BE"/>
        </w:rPr>
        <w:t>prevalentie</w:t>
      </w:r>
      <w:r w:rsidR="00B34652" w:rsidRPr="0028082E">
        <w:rPr>
          <w:rFonts w:ascii="Arial" w:hAnsi="Arial" w:cs="Arial"/>
          <w:bCs/>
          <w:lang w:eastAsia="nl-BE"/>
        </w:rPr>
        <w:t>cijfers</w:t>
      </w:r>
      <w:r w:rsidRPr="0028082E">
        <w:rPr>
          <w:rFonts w:ascii="Arial" w:hAnsi="Arial" w:cs="Arial"/>
          <w:bCs/>
          <w:lang w:eastAsia="nl-BE"/>
        </w:rPr>
        <w:t xml:space="preserve"> van dyscalculie lig</w:t>
      </w:r>
      <w:r w:rsidR="00B34652" w:rsidRPr="0028082E">
        <w:rPr>
          <w:rFonts w:ascii="Arial" w:hAnsi="Arial" w:cs="Arial"/>
          <w:bCs/>
          <w:lang w:eastAsia="nl-BE"/>
        </w:rPr>
        <w:t>gen</w:t>
      </w:r>
      <w:r w:rsidRPr="0028082E">
        <w:rPr>
          <w:rFonts w:ascii="Arial" w:hAnsi="Arial" w:cs="Arial"/>
          <w:bCs/>
          <w:lang w:eastAsia="nl-BE"/>
        </w:rPr>
        <w:t xml:space="preserve"> t</w:t>
      </w:r>
      <w:r w:rsidR="002E61BB" w:rsidRPr="0028082E">
        <w:rPr>
          <w:rFonts w:ascii="Arial" w:hAnsi="Arial" w:cs="Arial"/>
          <w:bCs/>
          <w:lang w:eastAsia="nl-BE"/>
        </w:rPr>
        <w:t xml:space="preserve">ussen de </w:t>
      </w:r>
      <w:r w:rsidRPr="0028082E">
        <w:rPr>
          <w:rFonts w:ascii="Arial" w:hAnsi="Arial" w:cs="Arial"/>
          <w:bCs/>
          <w:lang w:eastAsia="nl-BE"/>
        </w:rPr>
        <w:t>2</w:t>
      </w:r>
      <w:r w:rsidR="002E61BB" w:rsidRPr="0028082E">
        <w:rPr>
          <w:rFonts w:ascii="Arial" w:hAnsi="Arial" w:cs="Arial"/>
          <w:bCs/>
          <w:lang w:eastAsia="nl-BE"/>
        </w:rPr>
        <w:t xml:space="preserve"> en de 7% </w:t>
      </w:r>
      <w:r w:rsidR="0012361E" w:rsidRPr="0028082E">
        <w:rPr>
          <w:rFonts w:ascii="Arial" w:hAnsi="Arial" w:cs="Arial"/>
          <w:bCs/>
          <w:lang w:eastAsia="nl-BE"/>
        </w:rPr>
        <w:t>(</w:t>
      </w:r>
      <w:r w:rsidRPr="0028082E">
        <w:rPr>
          <w:rFonts w:ascii="Arial" w:hAnsi="Arial" w:cs="Arial"/>
          <w:bCs/>
          <w:lang w:eastAsia="nl-BE"/>
        </w:rPr>
        <w:t xml:space="preserve">Butterworth, 2005; Desoete, Roeyers, &amp; De Clercq, 2004; </w:t>
      </w:r>
      <w:r w:rsidR="0012361E" w:rsidRPr="0028082E">
        <w:rPr>
          <w:rFonts w:ascii="Arial" w:hAnsi="Arial" w:cs="Arial"/>
          <w:noProof/>
        </w:rPr>
        <w:t>Pappas &amp; Drigas, 2015</w:t>
      </w:r>
      <w:r w:rsidRPr="0028082E">
        <w:rPr>
          <w:rFonts w:ascii="Arial" w:hAnsi="Arial" w:cs="Arial"/>
          <w:noProof/>
        </w:rPr>
        <w:t xml:space="preserve">; Ruijssenaars, Van Luit, &amp; Van Lieshout, 2006; </w:t>
      </w:r>
      <w:r w:rsidR="00E54CBA" w:rsidRPr="0028082E">
        <w:rPr>
          <w:rFonts w:ascii="Arial" w:hAnsi="Arial" w:cs="Arial"/>
          <w:noProof/>
        </w:rPr>
        <w:t xml:space="preserve">Van Luit, 2018; </w:t>
      </w:r>
      <w:r w:rsidRPr="0028082E">
        <w:rPr>
          <w:rFonts w:ascii="Arial" w:hAnsi="Arial" w:cs="Arial"/>
          <w:noProof/>
        </w:rPr>
        <w:t>Von Aster, 2000</w:t>
      </w:r>
      <w:r w:rsidR="0012361E" w:rsidRPr="0028082E">
        <w:rPr>
          <w:rFonts w:ascii="Arial" w:hAnsi="Arial" w:cs="Arial"/>
          <w:noProof/>
        </w:rPr>
        <w:t>)</w:t>
      </w:r>
      <w:r w:rsidR="00450BF1" w:rsidRPr="0028082E">
        <w:rPr>
          <w:rFonts w:ascii="Arial" w:hAnsi="Arial" w:cs="Arial"/>
          <w:noProof/>
        </w:rPr>
        <w:t>. In tegenstelling met dyslexie</w:t>
      </w:r>
      <w:r w:rsidR="002E61BB" w:rsidRPr="0028082E">
        <w:rPr>
          <w:rFonts w:ascii="Arial" w:hAnsi="Arial" w:cs="Arial"/>
          <w:bCs/>
          <w:lang w:eastAsia="nl-BE"/>
        </w:rPr>
        <w:t xml:space="preserve"> </w:t>
      </w:r>
      <w:r w:rsidR="00BD099E" w:rsidRPr="0028082E">
        <w:rPr>
          <w:rFonts w:ascii="Arial" w:hAnsi="Arial" w:cs="Arial"/>
          <w:bCs/>
          <w:lang w:eastAsia="nl-BE"/>
        </w:rPr>
        <w:t>komt deze</w:t>
      </w:r>
      <w:r w:rsidR="00450BF1" w:rsidRPr="0028082E">
        <w:rPr>
          <w:rFonts w:ascii="Arial" w:hAnsi="Arial" w:cs="Arial"/>
          <w:bCs/>
          <w:lang w:eastAsia="nl-BE"/>
        </w:rPr>
        <w:t xml:space="preserve"> leer</w:t>
      </w:r>
      <w:r w:rsidR="002E61BB" w:rsidRPr="0028082E">
        <w:rPr>
          <w:rFonts w:ascii="Arial" w:hAnsi="Arial" w:cs="Arial"/>
          <w:bCs/>
          <w:lang w:eastAsia="nl-BE"/>
        </w:rPr>
        <w:t xml:space="preserve">stoornis </w:t>
      </w:r>
      <w:r w:rsidR="00126B83" w:rsidRPr="0028082E">
        <w:rPr>
          <w:rFonts w:ascii="Arial" w:hAnsi="Arial" w:cs="Arial"/>
          <w:bCs/>
          <w:lang w:eastAsia="nl-BE"/>
        </w:rPr>
        <w:t xml:space="preserve">niet meer </w:t>
      </w:r>
      <w:r w:rsidR="00BD099E" w:rsidRPr="0028082E">
        <w:rPr>
          <w:rFonts w:ascii="Arial" w:hAnsi="Arial" w:cs="Arial"/>
          <w:bCs/>
          <w:lang w:eastAsia="nl-BE"/>
        </w:rPr>
        <w:t xml:space="preserve">voor </w:t>
      </w:r>
      <w:r w:rsidR="002E61BB" w:rsidRPr="0028082E">
        <w:rPr>
          <w:rFonts w:ascii="Arial" w:hAnsi="Arial" w:cs="Arial"/>
          <w:bCs/>
          <w:lang w:eastAsia="nl-BE"/>
        </w:rPr>
        <w:t xml:space="preserve">bij mannen </w:t>
      </w:r>
      <w:r w:rsidR="00126B83" w:rsidRPr="0028082E">
        <w:rPr>
          <w:rFonts w:ascii="Arial" w:hAnsi="Arial" w:cs="Arial"/>
          <w:bCs/>
          <w:lang w:eastAsia="nl-BE"/>
        </w:rPr>
        <w:t>dan</w:t>
      </w:r>
      <w:r w:rsidR="002E61BB" w:rsidRPr="0028082E">
        <w:rPr>
          <w:rFonts w:ascii="Arial" w:hAnsi="Arial" w:cs="Arial"/>
          <w:bCs/>
          <w:lang w:eastAsia="nl-BE"/>
        </w:rPr>
        <w:t xml:space="preserve"> bij vrouwen</w:t>
      </w:r>
      <w:r w:rsidR="000D33E2" w:rsidRPr="0028082E">
        <w:rPr>
          <w:rFonts w:ascii="Arial" w:hAnsi="Arial" w:cs="Arial"/>
          <w:bCs/>
          <w:lang w:eastAsia="nl-BE"/>
        </w:rPr>
        <w:t xml:space="preserve"> </w:t>
      </w:r>
      <w:r w:rsidR="0012361E" w:rsidRPr="0028082E">
        <w:rPr>
          <w:rFonts w:ascii="Arial" w:hAnsi="Arial" w:cs="Arial"/>
        </w:rPr>
        <w:fldChar w:fldCharType="begin" w:fldLock="1"/>
      </w:r>
      <w:r w:rsidR="0012361E" w:rsidRPr="0028082E">
        <w:rPr>
          <w:rFonts w:ascii="Arial" w:hAnsi="Arial" w:cs="Arial"/>
        </w:rPr>
        <w:instrText>ADDIN CSL_CITATION { "citationItems" : [ { "id" : "ITEM-1", "itemData" : { "DOI" : "10.1177/0022219408321128", "ISBN" : "0022-2194", "ISSN" : "00222194", "PMID" : "18768777", "abstract" : "This study assesses the prevalence of combined reading and arithmetic disabilities in 799 Dutch schoolchildren using st dardized school achievement tests. Scores of arithmetic, word recognition, reading comprehension, and spelling of child in fourth and fifth grade were used. The main interest involved the co-occurrence of word recognition and arithmetic d abilities because of their possible relationship. The authors find a percentage of 7.6 for combined reading and arithme disabilities. Reading disabilities and arithmetic disabilities co-occurred more often than expected based on rates of the s arate conditions. Children with combined reading and arithmetic disabilities seem to have more generalized achievem difficulties than single-deficit groups. Different operationalizations for reading disabilities (spelling and reading comp hension measures instead of word recognition) led, in part, to selection of other children. This might imply that differ processes underlie the relationship between arithmetic and word recognition disabilities compared to the relationship arithmetic disabilities with difficulties in spelling and reading comprehension.", "author" : [ { "dropping-particle" : "", "family" : "Dirks", "given" : "Evelien", "non-dropping-particle" : "", "parse-names" : false, "suffix" : "" }, { "dropping-particle" : "", "family" : "Spyer", "given" : "Ginny", "non-dropping-particle" : "", "parse-names" : false, "suffix" : "" }, { "dropping-particle" : "", "family" : "Lieshout", "given" : "Ernest C.D.M.", "non-dropping-particle" : "Van", "parse-names" : false, "suffix" : "" }, { "dropping-particle" : "", "family" : "Sonneville", "given" : "Leo", "non-dropping-particle" : "De", "parse-names" : false, "suffix" : "" } ], "container-title" : "Journal of Learning Disabilities", "id" : "ITEM-1", "issue" : "5", "issued" : { "date-parts" : [ [ "2008" ] ] }, "page" : "460-473", "title" : "Prevalence of combined reading and arithmetic disabilities", "type" : "article-journal", "volume" : "41" }, "uris" : [ "http://www.mendeley.com/documents/?uuid=5961d060-3a72-3db9-b471-ffaf06c612df" ] } ], "mendeley" : { "formattedCitation" : "(Dirks, Spyer, Van Lieshout, &amp; De Sonneville, 2008)", "manualFormatting" : "(Dirks, Spyer, Van Lieshout, &amp; De Sonneville, 2008", "plainTextFormattedCitation" : "(Dirks, Spyer, Van Lieshout, &amp; De Sonneville, 2008)", "previouslyFormattedCitation" : "(Dirks, Spyer, Van Lieshout, &amp; De Sonneville, 2008)" }, "properties" : { "noteIndex" : 0 }, "schema" : "https://github.com/citation-style-language/schema/raw/master/csl-citation.json" }</w:instrText>
      </w:r>
      <w:r w:rsidR="0012361E" w:rsidRPr="0028082E">
        <w:rPr>
          <w:rFonts w:ascii="Arial" w:hAnsi="Arial" w:cs="Arial"/>
        </w:rPr>
        <w:fldChar w:fldCharType="separate"/>
      </w:r>
      <w:r w:rsidR="0012361E" w:rsidRPr="0028082E">
        <w:rPr>
          <w:rFonts w:ascii="Arial" w:hAnsi="Arial" w:cs="Arial"/>
          <w:noProof/>
        </w:rPr>
        <w:t>(Dirks, Spyer, Van Lieshout, &amp; De Sonneville, 2008</w:t>
      </w:r>
      <w:r w:rsidR="0012361E" w:rsidRPr="0028082E">
        <w:rPr>
          <w:rFonts w:ascii="Arial" w:hAnsi="Arial" w:cs="Arial"/>
        </w:rPr>
        <w:fldChar w:fldCharType="end"/>
      </w:r>
      <w:r w:rsidR="0012361E" w:rsidRPr="0028082E">
        <w:rPr>
          <w:rFonts w:ascii="Arial" w:hAnsi="Arial" w:cs="Arial"/>
        </w:rPr>
        <w:t xml:space="preserve">; </w:t>
      </w:r>
      <w:r w:rsidR="00126B83" w:rsidRPr="0028082E">
        <w:rPr>
          <w:rFonts w:ascii="Arial" w:hAnsi="Arial" w:cs="Arial"/>
          <w:bCs/>
          <w:lang w:eastAsia="nl-BE"/>
        </w:rPr>
        <w:t xml:space="preserve">Ghesquière &amp; Hellinck, 2018; </w:t>
      </w:r>
      <w:r w:rsidR="00087C97" w:rsidRPr="0028082E">
        <w:rPr>
          <w:rFonts w:ascii="Arial" w:hAnsi="Arial" w:cs="Arial"/>
        </w:rPr>
        <w:t xml:space="preserve">Moll, Kunze, Neuhoff, Bruder, &amp; Schulte-Körne, 2014; </w:t>
      </w:r>
      <w:r w:rsidR="0012361E" w:rsidRPr="0028082E">
        <w:rPr>
          <w:rFonts w:ascii="Arial" w:hAnsi="Arial" w:cs="Arial"/>
        </w:rPr>
        <w:t xml:space="preserve">Shalev, 2004; </w:t>
      </w:r>
      <w:r w:rsidR="002E61BB" w:rsidRPr="0028082E">
        <w:rPr>
          <w:rFonts w:ascii="Arial" w:hAnsi="Arial" w:cs="Arial"/>
          <w:lang w:eastAsia="nl-BE"/>
        </w:rPr>
        <w:t xml:space="preserve">Soares, Evans, &amp; Patel, 2018). </w:t>
      </w:r>
    </w:p>
    <w:p w14:paraId="05DAB120" w14:textId="6E89748E" w:rsidR="00642D1B" w:rsidRPr="0028082E" w:rsidRDefault="00450BF1" w:rsidP="00BD099E">
      <w:pPr>
        <w:spacing w:line="240" w:lineRule="auto"/>
        <w:rPr>
          <w:rFonts w:ascii="Arial" w:hAnsi="Arial" w:cs="Arial"/>
          <w:bCs/>
          <w:lang w:eastAsia="nl-BE"/>
        </w:rPr>
      </w:pPr>
      <w:r w:rsidRPr="0028082E">
        <w:rPr>
          <w:rFonts w:ascii="Arial" w:hAnsi="Arial" w:cs="Arial"/>
          <w:lang w:eastAsia="nl-BE"/>
        </w:rPr>
        <w:t xml:space="preserve">Als dyscalculie bij </w:t>
      </w:r>
      <w:r w:rsidR="008A14CF" w:rsidRPr="0028082E">
        <w:rPr>
          <w:rFonts w:ascii="Arial" w:hAnsi="Arial" w:cs="Arial"/>
          <w:lang w:eastAsia="nl-BE"/>
        </w:rPr>
        <w:t xml:space="preserve">één van de </w:t>
      </w:r>
      <w:r w:rsidRPr="0028082E">
        <w:rPr>
          <w:rFonts w:ascii="Arial" w:hAnsi="Arial" w:cs="Arial"/>
          <w:lang w:eastAsia="nl-BE"/>
        </w:rPr>
        <w:t>ouders aanwezig is, verhoogt de kans om zelf dyscalculie te hebben</w:t>
      </w:r>
      <w:r w:rsidR="00191B91" w:rsidRPr="0028082E">
        <w:rPr>
          <w:rFonts w:ascii="Arial" w:hAnsi="Arial" w:cs="Arial"/>
          <w:bCs/>
          <w:lang w:eastAsia="nl-BE"/>
        </w:rPr>
        <w:t xml:space="preserve">. </w:t>
      </w:r>
      <w:r w:rsidR="0069529A" w:rsidRPr="0028082E">
        <w:rPr>
          <w:rFonts w:ascii="Arial" w:hAnsi="Arial" w:cs="Arial"/>
          <w:bCs/>
        </w:rPr>
        <w:t xml:space="preserve">Tot 50% van de kinderen waarbij één van de ouders of een oudere broer of zus dyscalculie heeft, heeft de stoornis ook (Desoete, Praet, Titeca, &amp; Ceulemans, 2013). </w:t>
      </w:r>
      <w:r w:rsidR="00F45C4B" w:rsidRPr="0028082E">
        <w:rPr>
          <w:rFonts w:ascii="Arial" w:hAnsi="Arial" w:cs="Arial"/>
          <w:bCs/>
          <w:lang w:eastAsia="nl-BE"/>
        </w:rPr>
        <w:t xml:space="preserve">Verder blijkt </w:t>
      </w:r>
      <w:r w:rsidR="00BD099E" w:rsidRPr="0028082E">
        <w:rPr>
          <w:rFonts w:ascii="Arial" w:hAnsi="Arial" w:cs="Arial"/>
          <w:lang w:val="nl-NL"/>
        </w:rPr>
        <w:t xml:space="preserve">dat ongeveer 20% van de dyscalculie het gevolg </w:t>
      </w:r>
      <w:r w:rsidR="00F45C4B" w:rsidRPr="0028082E">
        <w:rPr>
          <w:rFonts w:ascii="Arial" w:hAnsi="Arial" w:cs="Arial"/>
          <w:lang w:val="nl-NL"/>
        </w:rPr>
        <w:t xml:space="preserve">is </w:t>
      </w:r>
      <w:r w:rsidR="00BD099E" w:rsidRPr="0028082E">
        <w:rPr>
          <w:rFonts w:ascii="Arial" w:hAnsi="Arial" w:cs="Arial"/>
          <w:lang w:val="nl-NL"/>
        </w:rPr>
        <w:t xml:space="preserve">van genetische invloeden, die tevens leestekorten veroorzaken (Knopik et al., 1997).  </w:t>
      </w:r>
      <w:r w:rsidR="00191B91" w:rsidRPr="0028082E">
        <w:rPr>
          <w:rFonts w:ascii="Arial" w:hAnsi="Arial" w:cs="Arial"/>
          <w:bCs/>
          <w:lang w:eastAsia="nl-BE"/>
        </w:rPr>
        <w:t>Shalev en collega</w:t>
      </w:r>
      <w:r w:rsidR="00BD099E" w:rsidRPr="0028082E">
        <w:rPr>
          <w:rFonts w:ascii="Arial" w:hAnsi="Arial" w:cs="Arial"/>
          <w:bCs/>
          <w:lang w:eastAsia="nl-BE"/>
        </w:rPr>
        <w:t>’</w:t>
      </w:r>
      <w:r w:rsidR="00191B91" w:rsidRPr="0028082E">
        <w:rPr>
          <w:rFonts w:ascii="Arial" w:hAnsi="Arial" w:cs="Arial"/>
          <w:bCs/>
          <w:lang w:eastAsia="nl-BE"/>
        </w:rPr>
        <w:t xml:space="preserve">s </w:t>
      </w:r>
      <w:r w:rsidR="00BD099E" w:rsidRPr="0028082E">
        <w:rPr>
          <w:rFonts w:ascii="Arial" w:hAnsi="Arial" w:cs="Arial"/>
          <w:bCs/>
          <w:lang w:eastAsia="nl-BE"/>
        </w:rPr>
        <w:t xml:space="preserve">stelden vast </w:t>
      </w:r>
      <w:r w:rsidR="00191B91" w:rsidRPr="0028082E">
        <w:rPr>
          <w:rFonts w:ascii="Arial" w:hAnsi="Arial" w:cs="Arial"/>
          <w:bCs/>
          <w:lang w:eastAsia="nl-BE"/>
        </w:rPr>
        <w:t xml:space="preserve">dat </w:t>
      </w:r>
      <w:r w:rsidR="00191B91" w:rsidRPr="0028082E">
        <w:rPr>
          <w:rFonts w:ascii="Arial" w:hAnsi="Arial" w:cs="Arial"/>
        </w:rPr>
        <w:t xml:space="preserve"> 53% van de ouders, 53% van de broers en 52% van de zussen van kinderen met dyscalculie ook een diagnose dyscalculie hadden. </w:t>
      </w:r>
      <w:r w:rsidR="00BE3F96" w:rsidRPr="0028082E">
        <w:rPr>
          <w:rFonts w:ascii="Arial" w:hAnsi="Arial" w:cs="Arial"/>
        </w:rPr>
        <w:t>Ook</w:t>
      </w:r>
      <w:r w:rsidR="00191B91" w:rsidRPr="0028082E">
        <w:rPr>
          <w:rFonts w:ascii="Arial" w:hAnsi="Arial" w:cs="Arial"/>
        </w:rPr>
        <w:t xml:space="preserve"> had 33% van de tweedegraadsverwanten deze diagnose. </w:t>
      </w:r>
      <w:r w:rsidR="00BD099E" w:rsidRPr="0028082E">
        <w:rPr>
          <w:rFonts w:ascii="Arial" w:hAnsi="Arial" w:cs="Arial"/>
        </w:rPr>
        <w:t>Onder</w:t>
      </w:r>
      <w:r w:rsidR="00191B91" w:rsidRPr="0028082E">
        <w:rPr>
          <w:rFonts w:ascii="Arial" w:hAnsi="Arial" w:cs="Arial"/>
        </w:rPr>
        <w:t>zoek bevestigde de</w:t>
      </w:r>
      <w:r w:rsidR="00BD099E" w:rsidRPr="0028082E">
        <w:rPr>
          <w:rFonts w:ascii="Arial" w:hAnsi="Arial" w:cs="Arial"/>
        </w:rPr>
        <w:t>ze</w:t>
      </w:r>
      <w:r w:rsidR="00191B91" w:rsidRPr="0028082E">
        <w:rPr>
          <w:rFonts w:ascii="Arial" w:hAnsi="Arial" w:cs="Arial"/>
        </w:rPr>
        <w:t xml:space="preserve"> familiale predispositie voor dyscalculie</w:t>
      </w:r>
      <w:r w:rsidR="00BD099E" w:rsidRPr="0028082E">
        <w:rPr>
          <w:rFonts w:ascii="Arial" w:hAnsi="Arial" w:cs="Arial"/>
        </w:rPr>
        <w:t xml:space="preserve"> in Vlaanderen</w:t>
      </w:r>
      <w:r w:rsidR="00191B91" w:rsidRPr="0028082E">
        <w:rPr>
          <w:rFonts w:ascii="Arial" w:hAnsi="Arial" w:cs="Arial"/>
        </w:rPr>
        <w:t xml:space="preserve"> </w:t>
      </w:r>
      <w:r w:rsidR="002E61BB" w:rsidRPr="0028082E">
        <w:rPr>
          <w:rFonts w:ascii="Arial" w:hAnsi="Arial" w:cs="Arial"/>
          <w:bCs/>
          <w:lang w:eastAsia="nl-BE"/>
        </w:rPr>
        <w:t xml:space="preserve">(Desoete et al., 2013). </w:t>
      </w:r>
      <w:r w:rsidR="005C1402" w:rsidRPr="0028082E">
        <w:rPr>
          <w:rFonts w:ascii="Arial" w:hAnsi="Arial" w:cs="Arial"/>
          <w:bCs/>
          <w:lang w:eastAsia="nl-BE"/>
        </w:rPr>
        <w:t xml:space="preserve"> </w:t>
      </w:r>
    </w:p>
    <w:p w14:paraId="260B5E4D" w14:textId="6F4EEB0E" w:rsidR="00897754" w:rsidRDefault="00FC78F7" w:rsidP="0019548B">
      <w:pPr>
        <w:pStyle w:val="Body1"/>
        <w:spacing w:line="240" w:lineRule="auto"/>
        <w:rPr>
          <w:rFonts w:ascii="Arial" w:hAnsi="Arial" w:cs="Arial"/>
          <w:sz w:val="22"/>
          <w:szCs w:val="22"/>
        </w:rPr>
      </w:pPr>
      <w:r w:rsidRPr="00F45C4B">
        <w:rPr>
          <w:rFonts w:ascii="Arial" w:hAnsi="Arial" w:cs="Arial"/>
          <w:sz w:val="22"/>
          <w:szCs w:val="22"/>
          <w:lang w:val="nl-NL"/>
        </w:rPr>
        <w:t xml:space="preserve">Daarnaast </w:t>
      </w:r>
      <w:r w:rsidR="00404F31" w:rsidRPr="00F45C4B">
        <w:rPr>
          <w:rFonts w:ascii="Arial" w:hAnsi="Arial" w:cs="Arial"/>
          <w:sz w:val="22"/>
          <w:szCs w:val="22"/>
          <w:lang w:val="nl-NL"/>
        </w:rPr>
        <w:t xml:space="preserve">is er evidentie voor </w:t>
      </w:r>
      <w:r w:rsidR="00AC24B7" w:rsidRPr="00F45C4B">
        <w:rPr>
          <w:rFonts w:ascii="Arial" w:hAnsi="Arial" w:cs="Arial"/>
          <w:sz w:val="22"/>
          <w:szCs w:val="22"/>
          <w:lang w:val="nl-NL"/>
        </w:rPr>
        <w:t>het feit dat comorbiditeit meer regel dan uitzondering is (</w:t>
      </w:r>
      <w:r w:rsidR="00001524" w:rsidRPr="00F45C4B">
        <w:rPr>
          <w:rFonts w:ascii="Arial" w:hAnsi="Arial" w:cs="Arial"/>
          <w:sz w:val="22"/>
          <w:szCs w:val="22"/>
          <w:lang w:val="nl-NL"/>
        </w:rPr>
        <w:t xml:space="preserve">Desoete, 2017; </w:t>
      </w:r>
      <w:r w:rsidR="00AC24B7" w:rsidRPr="00F45C4B">
        <w:rPr>
          <w:rFonts w:ascii="Arial" w:hAnsi="Arial" w:cs="Arial"/>
          <w:sz w:val="22"/>
          <w:szCs w:val="22"/>
          <w:lang w:val="nl-NL"/>
        </w:rPr>
        <w:t xml:space="preserve">Scheiris &amp; Desoete, 2008; </w:t>
      </w:r>
      <w:r w:rsidR="00AC24B7" w:rsidRPr="00F45C4B">
        <w:rPr>
          <w:rFonts w:ascii="Arial" w:hAnsi="Arial" w:cs="Arial"/>
          <w:bCs/>
          <w:color w:val="000000"/>
          <w:sz w:val="22"/>
          <w:szCs w:val="22"/>
        </w:rPr>
        <w:t>V</w:t>
      </w:r>
      <w:r w:rsidR="00AC24B7" w:rsidRPr="00F45C4B">
        <w:rPr>
          <w:rFonts w:ascii="Arial" w:hAnsi="Arial" w:cs="Arial"/>
          <w:sz w:val="22"/>
          <w:szCs w:val="22"/>
        </w:rPr>
        <w:t>anderswalmen, Van Borsel, &amp; Desoete,  2010)</w:t>
      </w:r>
      <w:r w:rsidR="00AC24B7" w:rsidRPr="00F45C4B">
        <w:rPr>
          <w:rFonts w:ascii="Arial" w:hAnsi="Arial" w:cs="Arial"/>
          <w:sz w:val="22"/>
          <w:szCs w:val="22"/>
          <w:lang w:val="nl-NL"/>
        </w:rPr>
        <w:t xml:space="preserve">. Men </w:t>
      </w:r>
      <w:r w:rsidR="00AC24B7" w:rsidRPr="00897754">
        <w:rPr>
          <w:rFonts w:ascii="Arial" w:hAnsi="Arial" w:cs="Arial"/>
          <w:sz w:val="22"/>
          <w:szCs w:val="22"/>
          <w:lang w:val="nl-NL"/>
        </w:rPr>
        <w:t xml:space="preserve">vond </w:t>
      </w:r>
      <w:r w:rsidR="00D27EC6" w:rsidRPr="00897754">
        <w:rPr>
          <w:rFonts w:ascii="Arial" w:hAnsi="Arial" w:cs="Arial"/>
          <w:sz w:val="22"/>
          <w:szCs w:val="22"/>
          <w:lang w:val="nl-NL"/>
        </w:rPr>
        <w:t>leerstoornissen</w:t>
      </w:r>
      <w:r w:rsidR="00AC24B7" w:rsidRPr="00897754">
        <w:rPr>
          <w:rFonts w:ascii="Arial" w:hAnsi="Arial" w:cs="Arial"/>
          <w:sz w:val="22"/>
          <w:szCs w:val="22"/>
          <w:lang w:val="nl-NL"/>
        </w:rPr>
        <w:t xml:space="preserve"> bij </w:t>
      </w:r>
      <w:r w:rsidR="0028082E">
        <w:rPr>
          <w:rFonts w:ascii="Arial" w:hAnsi="Arial" w:cs="Arial"/>
          <w:sz w:val="22"/>
          <w:szCs w:val="22"/>
          <w:lang w:val="nl-NL"/>
        </w:rPr>
        <w:t xml:space="preserve">20 tot 45% van de </w:t>
      </w:r>
      <w:r w:rsidR="00AC24B7" w:rsidRPr="00897754">
        <w:rPr>
          <w:rFonts w:ascii="Arial" w:hAnsi="Arial" w:cs="Arial"/>
          <w:sz w:val="22"/>
          <w:szCs w:val="22"/>
          <w:lang w:val="nl-NL"/>
        </w:rPr>
        <w:t xml:space="preserve">kinderen met </w:t>
      </w:r>
      <w:r w:rsidRPr="00897754">
        <w:rPr>
          <w:rFonts w:ascii="Arial" w:hAnsi="Arial" w:cs="Arial"/>
          <w:sz w:val="22"/>
          <w:szCs w:val="22"/>
        </w:rPr>
        <w:t>ADHD van het inattentieve subtype (</w:t>
      </w:r>
      <w:r w:rsidR="0028082E" w:rsidRPr="0028082E">
        <w:rPr>
          <w:rFonts w:asciiTheme="minorHAnsi" w:hAnsiTheme="minorHAnsi" w:cstheme="minorHAnsi"/>
        </w:rPr>
        <w:t>DuPaul, Gormley, &amp; Laracy,</w:t>
      </w:r>
      <w:r w:rsidR="0028082E">
        <w:rPr>
          <w:rFonts w:asciiTheme="minorHAnsi" w:hAnsiTheme="minorHAnsi" w:cstheme="minorHAnsi"/>
        </w:rPr>
        <w:t xml:space="preserve"> 2013; </w:t>
      </w:r>
      <w:r w:rsidRPr="00897754">
        <w:rPr>
          <w:rFonts w:ascii="Arial" w:hAnsi="Arial" w:cs="Arial"/>
          <w:sz w:val="22"/>
          <w:szCs w:val="22"/>
        </w:rPr>
        <w:t xml:space="preserve">Hendren et al., 2018; Pennington, 2006). Omgekeerd </w:t>
      </w:r>
      <w:r w:rsidR="00D27EC6" w:rsidRPr="00897754">
        <w:rPr>
          <w:rFonts w:ascii="Arial" w:hAnsi="Arial" w:cs="Arial"/>
          <w:sz w:val="22"/>
          <w:szCs w:val="22"/>
        </w:rPr>
        <w:t>is er evidentie voor het feit dat</w:t>
      </w:r>
      <w:r w:rsidRPr="00897754">
        <w:rPr>
          <w:rFonts w:ascii="Arial" w:hAnsi="Arial" w:cs="Arial"/>
          <w:sz w:val="22"/>
          <w:szCs w:val="22"/>
        </w:rPr>
        <w:t xml:space="preserve"> minstens 20 tot 40% van de kinderen met een leerstoornis </w:t>
      </w:r>
      <w:r w:rsidR="00D27EC6" w:rsidRPr="00897754">
        <w:rPr>
          <w:rFonts w:ascii="Arial" w:hAnsi="Arial" w:cs="Arial"/>
          <w:sz w:val="22"/>
          <w:szCs w:val="22"/>
        </w:rPr>
        <w:t xml:space="preserve">ook </w:t>
      </w:r>
      <w:r w:rsidRPr="00897754">
        <w:rPr>
          <w:rFonts w:ascii="Arial" w:hAnsi="Arial" w:cs="Arial"/>
          <w:sz w:val="22"/>
          <w:szCs w:val="22"/>
        </w:rPr>
        <w:t>aan de criteria voor ADHD (Hendren et al.2018; Tops et al., 2018)</w:t>
      </w:r>
      <w:r w:rsidR="00D27EC6" w:rsidRPr="00897754">
        <w:rPr>
          <w:rFonts w:ascii="Arial" w:hAnsi="Arial" w:cs="Arial"/>
          <w:sz w:val="22"/>
          <w:szCs w:val="22"/>
        </w:rPr>
        <w:t xml:space="preserve"> voldoen</w:t>
      </w:r>
      <w:r w:rsidRPr="00897754">
        <w:rPr>
          <w:rFonts w:ascii="Arial" w:hAnsi="Arial" w:cs="Arial"/>
          <w:sz w:val="22"/>
          <w:szCs w:val="22"/>
        </w:rPr>
        <w:t xml:space="preserve">. </w:t>
      </w:r>
    </w:p>
    <w:p w14:paraId="73F0860E" w14:textId="77777777" w:rsidR="00897754" w:rsidRDefault="00897754" w:rsidP="0019548B">
      <w:pPr>
        <w:pStyle w:val="Body1"/>
        <w:spacing w:line="240" w:lineRule="auto"/>
        <w:rPr>
          <w:rFonts w:ascii="Arial" w:hAnsi="Arial" w:cs="Arial"/>
          <w:sz w:val="22"/>
          <w:szCs w:val="22"/>
        </w:rPr>
      </w:pPr>
    </w:p>
    <w:p w14:paraId="3AEB7860" w14:textId="77777777" w:rsidR="00897754" w:rsidRPr="00897754" w:rsidRDefault="0019548B" w:rsidP="0019548B">
      <w:pPr>
        <w:pStyle w:val="Body1"/>
        <w:spacing w:line="240" w:lineRule="auto"/>
        <w:rPr>
          <w:rFonts w:ascii="Arial" w:hAnsi="Arial" w:cs="Arial"/>
          <w:sz w:val="22"/>
          <w:szCs w:val="22"/>
        </w:rPr>
      </w:pPr>
      <w:r w:rsidRPr="00897754">
        <w:rPr>
          <w:rFonts w:ascii="Arial" w:hAnsi="Arial" w:cs="Arial"/>
          <w:sz w:val="22"/>
          <w:szCs w:val="22"/>
        </w:rPr>
        <w:t xml:space="preserve">Ook </w:t>
      </w:r>
      <w:r w:rsidR="00F45C4B" w:rsidRPr="00897754">
        <w:rPr>
          <w:rFonts w:ascii="Arial" w:hAnsi="Arial" w:cs="Arial"/>
          <w:sz w:val="22"/>
          <w:szCs w:val="22"/>
        </w:rPr>
        <w:t xml:space="preserve">tonen onderzoeksbevindingen aan dat er veel </w:t>
      </w:r>
      <w:r w:rsidR="00D27EC6" w:rsidRPr="00897754">
        <w:rPr>
          <w:rFonts w:ascii="Arial" w:hAnsi="Arial" w:cs="Arial"/>
          <w:sz w:val="22"/>
          <w:szCs w:val="22"/>
        </w:rPr>
        <w:t xml:space="preserve">comorbiditeit </w:t>
      </w:r>
      <w:r w:rsidR="00F45C4B" w:rsidRPr="00897754">
        <w:rPr>
          <w:rFonts w:ascii="Arial" w:hAnsi="Arial" w:cs="Arial"/>
          <w:sz w:val="22"/>
          <w:szCs w:val="22"/>
        </w:rPr>
        <w:t xml:space="preserve">is </w:t>
      </w:r>
      <w:r w:rsidR="00D27EC6" w:rsidRPr="00897754">
        <w:rPr>
          <w:rFonts w:ascii="Arial" w:hAnsi="Arial" w:cs="Arial"/>
          <w:sz w:val="22"/>
          <w:szCs w:val="22"/>
        </w:rPr>
        <w:t xml:space="preserve">van leerstoornissen en </w:t>
      </w:r>
      <w:r w:rsidRPr="00897754">
        <w:rPr>
          <w:rFonts w:ascii="Arial" w:hAnsi="Arial" w:cs="Arial"/>
          <w:sz w:val="22"/>
          <w:szCs w:val="22"/>
        </w:rPr>
        <w:t xml:space="preserve">ernstige tekorten qua motorische coördinatie. </w:t>
      </w:r>
      <w:r w:rsidR="000C147F" w:rsidRPr="00897754">
        <w:rPr>
          <w:rFonts w:ascii="Arial" w:hAnsi="Arial" w:cs="Arial"/>
          <w:sz w:val="22"/>
          <w:szCs w:val="22"/>
          <w:lang w:eastAsia="nl-NL"/>
        </w:rPr>
        <w:t xml:space="preserve">De comorbiditeit van dyslexie en DCD zou variëren van 19 tot 54% </w:t>
      </w:r>
      <w:r w:rsidR="000C147F" w:rsidRPr="00897754">
        <w:rPr>
          <w:rFonts w:ascii="Arial" w:hAnsi="Arial" w:cs="Arial"/>
          <w:spacing w:val="-3"/>
          <w:sz w:val="22"/>
          <w:szCs w:val="22"/>
          <w:lang w:eastAsia="nl-NL"/>
        </w:rPr>
        <w:t>(Suk-Han Ho e.a., 2005; Van Waelvelde &amp; De Mey, 2007).</w:t>
      </w:r>
      <w:r w:rsidR="003778BB" w:rsidRPr="00897754">
        <w:rPr>
          <w:rFonts w:ascii="Arial" w:hAnsi="Arial" w:cs="Arial"/>
          <w:spacing w:val="-3"/>
          <w:sz w:val="22"/>
          <w:szCs w:val="22"/>
          <w:lang w:eastAsia="nl-NL"/>
        </w:rPr>
        <w:t xml:space="preserve"> </w:t>
      </w:r>
      <w:r w:rsidRPr="00897754">
        <w:rPr>
          <w:rFonts w:ascii="Arial" w:hAnsi="Arial" w:cs="Arial"/>
          <w:sz w:val="22"/>
          <w:szCs w:val="22"/>
        </w:rPr>
        <w:t xml:space="preserve">Bij </w:t>
      </w:r>
      <w:r w:rsidR="00FC78F7" w:rsidRPr="00897754">
        <w:rPr>
          <w:rFonts w:ascii="Arial" w:hAnsi="Arial" w:cs="Arial"/>
          <w:sz w:val="22"/>
          <w:szCs w:val="22"/>
        </w:rPr>
        <w:t xml:space="preserve">25% van de kinderen met dyscalculie </w:t>
      </w:r>
      <w:r w:rsidR="00D27EC6" w:rsidRPr="00897754">
        <w:rPr>
          <w:rFonts w:ascii="Arial" w:hAnsi="Arial" w:cs="Arial"/>
          <w:sz w:val="22"/>
          <w:szCs w:val="22"/>
        </w:rPr>
        <w:t xml:space="preserve">in Vlaanderen </w:t>
      </w:r>
      <w:r w:rsidR="00FC78F7" w:rsidRPr="00897754">
        <w:rPr>
          <w:rFonts w:ascii="Arial" w:hAnsi="Arial" w:cs="Arial"/>
          <w:sz w:val="22"/>
          <w:szCs w:val="22"/>
        </w:rPr>
        <w:t>w</w:t>
      </w:r>
      <w:r w:rsidRPr="00897754">
        <w:rPr>
          <w:rFonts w:ascii="Arial" w:hAnsi="Arial" w:cs="Arial"/>
          <w:sz w:val="22"/>
          <w:szCs w:val="22"/>
        </w:rPr>
        <w:t xml:space="preserve">erd een </w:t>
      </w:r>
      <w:r w:rsidR="00FC78F7" w:rsidRPr="00897754">
        <w:rPr>
          <w:rFonts w:ascii="Arial" w:hAnsi="Arial" w:cs="Arial"/>
          <w:sz w:val="22"/>
          <w:szCs w:val="22"/>
        </w:rPr>
        <w:t>Developmental Coördination Disorder</w:t>
      </w:r>
      <w:r w:rsidRPr="00897754">
        <w:rPr>
          <w:rFonts w:ascii="Arial" w:hAnsi="Arial" w:cs="Arial"/>
          <w:sz w:val="22"/>
          <w:szCs w:val="22"/>
        </w:rPr>
        <w:t xml:space="preserve"> (</w:t>
      </w:r>
      <w:r w:rsidR="00FC78F7" w:rsidRPr="00897754">
        <w:rPr>
          <w:rFonts w:ascii="Arial" w:hAnsi="Arial" w:cs="Arial"/>
          <w:sz w:val="22"/>
          <w:szCs w:val="22"/>
        </w:rPr>
        <w:t xml:space="preserve">DCD) </w:t>
      </w:r>
      <w:r w:rsidRPr="00897754">
        <w:rPr>
          <w:rFonts w:ascii="Arial" w:hAnsi="Arial" w:cs="Arial"/>
          <w:sz w:val="22"/>
          <w:szCs w:val="22"/>
        </w:rPr>
        <w:t xml:space="preserve">vastgesteld </w:t>
      </w:r>
      <w:r w:rsidR="00FC78F7" w:rsidRPr="00897754">
        <w:rPr>
          <w:rFonts w:ascii="Arial" w:hAnsi="Arial" w:cs="Arial"/>
          <w:sz w:val="22"/>
          <w:szCs w:val="22"/>
        </w:rPr>
        <w:t xml:space="preserve">(Pieters, Desoete, Roeyers, Vanderswalmen, &amp; Van Waelvelde, 2012). </w:t>
      </w:r>
    </w:p>
    <w:p w14:paraId="1F20FCAB" w14:textId="77777777" w:rsidR="00897754" w:rsidRPr="00897754" w:rsidRDefault="00897754" w:rsidP="0019548B">
      <w:pPr>
        <w:pStyle w:val="Body1"/>
        <w:spacing w:line="240" w:lineRule="auto"/>
        <w:rPr>
          <w:rFonts w:ascii="Arial" w:hAnsi="Arial" w:cs="Arial"/>
          <w:sz w:val="22"/>
          <w:szCs w:val="22"/>
        </w:rPr>
      </w:pPr>
    </w:p>
    <w:p w14:paraId="31C9C163" w14:textId="37990A71" w:rsidR="00FC78F7" w:rsidRPr="00897754" w:rsidRDefault="00F45C4B" w:rsidP="0019548B">
      <w:pPr>
        <w:pStyle w:val="Body1"/>
        <w:spacing w:line="240" w:lineRule="auto"/>
        <w:rPr>
          <w:rFonts w:ascii="Arial" w:hAnsi="Arial" w:cs="Arial"/>
          <w:sz w:val="22"/>
          <w:szCs w:val="22"/>
        </w:rPr>
      </w:pPr>
      <w:r w:rsidRPr="00897754">
        <w:rPr>
          <w:rFonts w:ascii="Arial" w:hAnsi="Arial" w:cs="Arial"/>
          <w:sz w:val="22"/>
          <w:szCs w:val="22"/>
        </w:rPr>
        <w:t xml:space="preserve">Toch moeten we </w:t>
      </w:r>
      <w:r w:rsidR="00EB7748">
        <w:rPr>
          <w:rFonts w:ascii="Arial" w:hAnsi="Arial" w:cs="Arial"/>
          <w:sz w:val="22"/>
          <w:szCs w:val="22"/>
        </w:rPr>
        <w:t xml:space="preserve">meteen ook </w:t>
      </w:r>
      <w:r w:rsidRPr="00897754">
        <w:rPr>
          <w:rFonts w:ascii="Arial" w:hAnsi="Arial" w:cs="Arial"/>
          <w:sz w:val="22"/>
          <w:szCs w:val="22"/>
        </w:rPr>
        <w:t xml:space="preserve">waarschuwen voor de dwaalweg </w:t>
      </w:r>
      <w:r w:rsidR="00897754" w:rsidRPr="00897754">
        <w:rPr>
          <w:rFonts w:ascii="Arial" w:hAnsi="Arial" w:cs="Arial"/>
          <w:sz w:val="22"/>
          <w:szCs w:val="22"/>
        </w:rPr>
        <w:t xml:space="preserve">(van </w:t>
      </w:r>
      <w:r w:rsidR="00897754" w:rsidRPr="00897754">
        <w:rPr>
          <w:rFonts w:ascii="Arial" w:hAnsi="Arial" w:cs="Arial"/>
          <w:color w:val="000000"/>
          <w:sz w:val="22"/>
          <w:szCs w:val="22"/>
        </w:rPr>
        <w:t xml:space="preserve">reflexintegratie, braingym, KOB, bodymap…) </w:t>
      </w:r>
      <w:r w:rsidRPr="00897754">
        <w:rPr>
          <w:rFonts w:ascii="Arial" w:hAnsi="Arial" w:cs="Arial"/>
          <w:sz w:val="22"/>
          <w:szCs w:val="22"/>
        </w:rPr>
        <w:t>om motorische</w:t>
      </w:r>
      <w:r w:rsidR="0069433E">
        <w:rPr>
          <w:rFonts w:ascii="Arial" w:hAnsi="Arial" w:cs="Arial"/>
          <w:sz w:val="22"/>
          <w:szCs w:val="22"/>
        </w:rPr>
        <w:t xml:space="preserve"> of lateralisatie</w:t>
      </w:r>
      <w:r w:rsidRPr="00897754">
        <w:rPr>
          <w:rFonts w:ascii="Arial" w:hAnsi="Arial" w:cs="Arial"/>
          <w:sz w:val="22"/>
          <w:szCs w:val="22"/>
        </w:rPr>
        <w:t xml:space="preserve"> oefeningen te geven om leerstoornissen te behandelen.  </w:t>
      </w:r>
      <w:r w:rsidR="00897754" w:rsidRPr="00897754">
        <w:rPr>
          <w:rFonts w:ascii="Arial" w:hAnsi="Arial" w:cs="Arial"/>
          <w:sz w:val="22"/>
          <w:szCs w:val="22"/>
        </w:rPr>
        <w:t xml:space="preserve">Ghesquière en Hellinckx (2018) </w:t>
      </w:r>
      <w:r w:rsidRPr="00897754">
        <w:rPr>
          <w:rFonts w:ascii="Arial" w:hAnsi="Arial" w:cs="Arial"/>
          <w:sz w:val="22"/>
          <w:szCs w:val="22"/>
        </w:rPr>
        <w:t xml:space="preserve">stellen dat ‘… er werd aangetoond dat al die methodes als behandelmethoden voor lees-, spelling- en rekenproblemen weinig of geen effect hebben… (blz 152)’. Ze stellen verder dat  … “Alleen wanneer kinderen naast de leerstoornis ook nog last hebben van motorische problemen (zoals dysgrafie) kunnen (psycho)motorische oefeningen aangewezen zijn, weliswaar niet </w:t>
      </w:r>
      <w:r w:rsidRPr="00897754">
        <w:rPr>
          <w:rFonts w:ascii="Arial" w:hAnsi="Arial" w:cs="Arial"/>
          <w:sz w:val="22"/>
          <w:szCs w:val="22"/>
        </w:rPr>
        <w:lastRenderedPageBreak/>
        <w:t>om de leerproblemen te behandelen, maar om de motorische problemen te verhelpen’</w:t>
      </w:r>
      <w:r w:rsidR="0069433E">
        <w:rPr>
          <w:rFonts w:ascii="Arial" w:hAnsi="Arial" w:cs="Arial"/>
          <w:sz w:val="22"/>
          <w:szCs w:val="22"/>
        </w:rPr>
        <w:t xml:space="preserve"> (blz 1</w:t>
      </w:r>
      <w:r w:rsidRPr="00897754">
        <w:rPr>
          <w:rFonts w:ascii="Arial" w:hAnsi="Arial" w:cs="Arial"/>
          <w:sz w:val="22"/>
          <w:szCs w:val="22"/>
        </w:rPr>
        <w:t>53).</w:t>
      </w:r>
    </w:p>
    <w:p w14:paraId="240CC59D" w14:textId="77777777" w:rsidR="00FC78F7" w:rsidRPr="00897754" w:rsidRDefault="00FC78F7" w:rsidP="00642D1B">
      <w:pPr>
        <w:rPr>
          <w:rFonts w:ascii="Arial" w:hAnsi="Arial" w:cs="Arial"/>
        </w:rPr>
      </w:pPr>
    </w:p>
    <w:p w14:paraId="1905D8ED" w14:textId="7059FD40" w:rsidR="0040528A" w:rsidRPr="005C1402" w:rsidRDefault="005C1402" w:rsidP="005C1402">
      <w:pPr>
        <w:pStyle w:val="Lijstalinea"/>
        <w:numPr>
          <w:ilvl w:val="1"/>
          <w:numId w:val="27"/>
        </w:numPr>
        <w:rPr>
          <w:rFonts w:ascii="Arial" w:hAnsi="Arial" w:cs="Arial"/>
          <w:bCs/>
          <w:lang w:val="nl-NL" w:eastAsia="nl-BE"/>
        </w:rPr>
      </w:pPr>
      <w:r>
        <w:rPr>
          <w:rFonts w:ascii="Arial" w:hAnsi="Arial" w:cs="Arial"/>
          <w:bCs/>
          <w:lang w:val="nl-NL" w:eastAsia="nl-BE"/>
        </w:rPr>
        <w:t>Onderzoeksvraag</w:t>
      </w:r>
      <w:r w:rsidR="00AB0D4B">
        <w:rPr>
          <w:rFonts w:ascii="Arial" w:hAnsi="Arial" w:cs="Arial"/>
          <w:bCs/>
          <w:lang w:val="nl-NL" w:eastAsia="nl-BE"/>
        </w:rPr>
        <w:t xml:space="preserve"> 2:  Internationale criteria voor leerstoornissen en positie van de ‘hardnekkigheid’ als criterium</w:t>
      </w:r>
      <w:r>
        <w:rPr>
          <w:rFonts w:ascii="Arial" w:hAnsi="Arial" w:cs="Arial"/>
          <w:bCs/>
          <w:lang w:val="nl-NL" w:eastAsia="nl-BE"/>
        </w:rPr>
        <w:t xml:space="preserve"> </w:t>
      </w:r>
      <w:r w:rsidR="00AB0D4B">
        <w:rPr>
          <w:rFonts w:ascii="Arial" w:hAnsi="Arial" w:cs="Arial"/>
          <w:bCs/>
          <w:lang w:val="nl-NL" w:eastAsia="nl-BE"/>
        </w:rPr>
        <w:t xml:space="preserve"> hierin </w:t>
      </w:r>
      <w:r w:rsidR="00AE413F">
        <w:rPr>
          <w:rFonts w:ascii="Arial" w:hAnsi="Arial" w:cs="Arial"/>
          <w:bCs/>
          <w:lang w:val="nl-NL" w:eastAsia="nl-BE"/>
        </w:rPr>
        <w:t xml:space="preserve"> en reflectie op andere modellen om het functioneren van kinderen/jongeren in kaart te brengen.</w:t>
      </w:r>
    </w:p>
    <w:p w14:paraId="105FBB1E" w14:textId="4A14FA05" w:rsidR="00885D08" w:rsidRPr="0040528A" w:rsidRDefault="001468C3" w:rsidP="00F86F95">
      <w:pPr>
        <w:rPr>
          <w:rFonts w:ascii="Arial" w:hAnsi="Arial" w:cs="Arial"/>
          <w:bCs/>
          <w:lang w:val="nl-NL" w:eastAsia="nl-BE"/>
        </w:rPr>
      </w:pPr>
      <w:r>
        <w:rPr>
          <w:rFonts w:ascii="Arial" w:hAnsi="Arial" w:cs="Arial"/>
          <w:bCs/>
          <w:lang w:val="nl-NL" w:eastAsia="nl-BE"/>
        </w:rPr>
        <w:t xml:space="preserve">Om dyslexie en dyscalculie te definiëren </w:t>
      </w:r>
      <w:r w:rsidR="00A10E3F" w:rsidRPr="0040528A">
        <w:rPr>
          <w:rFonts w:ascii="Arial" w:hAnsi="Arial" w:cs="Arial"/>
          <w:bCs/>
          <w:lang w:val="nl-NL" w:eastAsia="nl-BE"/>
        </w:rPr>
        <w:t xml:space="preserve">verwijst </w:t>
      </w:r>
      <w:r w:rsidR="00206280">
        <w:rPr>
          <w:rFonts w:ascii="Arial" w:hAnsi="Arial" w:cs="Arial"/>
          <w:bCs/>
          <w:lang w:val="nl-NL" w:eastAsia="nl-BE"/>
        </w:rPr>
        <w:t xml:space="preserve">men </w:t>
      </w:r>
      <w:r w:rsidR="00A10E3F" w:rsidRPr="0040528A">
        <w:rPr>
          <w:rFonts w:ascii="Arial" w:hAnsi="Arial" w:cs="Arial"/>
          <w:bCs/>
          <w:lang w:val="nl-NL" w:eastAsia="nl-BE"/>
        </w:rPr>
        <w:t>soms naar</w:t>
      </w:r>
      <w:r w:rsidR="000D33E2" w:rsidRPr="0040528A">
        <w:rPr>
          <w:rFonts w:ascii="Arial" w:hAnsi="Arial" w:cs="Arial"/>
          <w:bCs/>
          <w:lang w:val="nl-NL" w:eastAsia="nl-BE"/>
        </w:rPr>
        <w:t xml:space="preserve"> </w:t>
      </w:r>
      <w:r w:rsidR="005C1402">
        <w:rPr>
          <w:rFonts w:ascii="Arial" w:hAnsi="Arial" w:cs="Arial"/>
          <w:bCs/>
          <w:lang w:val="nl-NL" w:eastAsia="nl-BE"/>
        </w:rPr>
        <w:t xml:space="preserve">de </w:t>
      </w:r>
      <w:r w:rsidR="005C1402" w:rsidRPr="0040528A">
        <w:rPr>
          <w:rFonts w:ascii="Arial" w:hAnsi="Arial" w:cs="Arial"/>
        </w:rPr>
        <w:t>Diagnostic and Statistical Manual of Mental Disorders, Fifth Edition (DSM-5)</w:t>
      </w:r>
      <w:r w:rsidR="001419DB">
        <w:rPr>
          <w:rFonts w:ascii="Arial" w:hAnsi="Arial" w:cs="Arial"/>
        </w:rPr>
        <w:t xml:space="preserve"> </w:t>
      </w:r>
      <w:r w:rsidR="00F86F95">
        <w:rPr>
          <w:rFonts w:ascii="Arial" w:hAnsi="Arial" w:cs="Arial"/>
        </w:rPr>
        <w:t xml:space="preserve">en de </w:t>
      </w:r>
      <w:r w:rsidR="00F86F95" w:rsidRPr="00D661F5">
        <w:rPr>
          <w:rFonts w:ascii="Arial" w:hAnsi="Arial" w:cs="Arial"/>
        </w:rPr>
        <w:t>Stichting Dyslexie Nederland (</w:t>
      </w:r>
      <w:r w:rsidR="00F86F95">
        <w:rPr>
          <w:rFonts w:ascii="Arial" w:hAnsi="Arial" w:cs="Arial"/>
        </w:rPr>
        <w:t xml:space="preserve">SDN, </w:t>
      </w:r>
      <w:r w:rsidR="00F86F95" w:rsidRPr="00D661F5">
        <w:rPr>
          <w:rFonts w:ascii="Arial" w:hAnsi="Arial" w:cs="Arial"/>
        </w:rPr>
        <w:t>2016</w:t>
      </w:r>
      <w:r w:rsidR="00F86F95">
        <w:rPr>
          <w:rFonts w:ascii="Arial" w:hAnsi="Arial" w:cs="Arial"/>
        </w:rPr>
        <w:t xml:space="preserve">). </w:t>
      </w:r>
      <w:r w:rsidR="001419DB">
        <w:rPr>
          <w:rFonts w:ascii="Arial" w:hAnsi="Arial" w:cs="Arial"/>
        </w:rPr>
        <w:t xml:space="preserve">Daarnaast staan we </w:t>
      </w:r>
      <w:r w:rsidR="0043643B">
        <w:rPr>
          <w:rFonts w:ascii="Arial" w:hAnsi="Arial" w:cs="Arial"/>
        </w:rPr>
        <w:t xml:space="preserve">volledigheidshalve ook </w:t>
      </w:r>
      <w:r w:rsidR="001419DB">
        <w:rPr>
          <w:rFonts w:ascii="Arial" w:hAnsi="Arial" w:cs="Arial"/>
        </w:rPr>
        <w:t xml:space="preserve">stil bij de </w:t>
      </w:r>
      <w:r w:rsidR="001419DB" w:rsidRPr="00EF742C">
        <w:rPr>
          <w:rFonts w:ascii="Arial" w:hAnsi="Arial" w:cs="Arial"/>
        </w:rPr>
        <w:t>International Classification of Functioning, Disability and Health (ICF)</w:t>
      </w:r>
      <w:r w:rsidR="001419DB">
        <w:rPr>
          <w:rFonts w:ascii="Arial" w:hAnsi="Arial" w:cs="Arial"/>
        </w:rPr>
        <w:t xml:space="preserve"> en bij het Opportunity Propensity model waar ook internationaal onderzoek rond is en die naast de criteria een meerwaarde kunnen bieden om het functioneren van de zorgvragen in </w:t>
      </w:r>
      <w:r w:rsidR="0043643B">
        <w:rPr>
          <w:rFonts w:ascii="Arial" w:hAnsi="Arial" w:cs="Arial"/>
        </w:rPr>
        <w:t>beeld</w:t>
      </w:r>
      <w:r w:rsidR="001419DB">
        <w:rPr>
          <w:rFonts w:ascii="Arial" w:hAnsi="Arial" w:cs="Arial"/>
        </w:rPr>
        <w:t xml:space="preserve"> te brengen</w:t>
      </w:r>
      <w:r w:rsidR="0043643B">
        <w:rPr>
          <w:rFonts w:ascii="Arial" w:hAnsi="Arial" w:cs="Arial"/>
        </w:rPr>
        <w:t>.</w:t>
      </w:r>
    </w:p>
    <w:p w14:paraId="439A1828" w14:textId="4375787F" w:rsidR="005C34BF" w:rsidRPr="007B1305" w:rsidRDefault="00770541" w:rsidP="005C34BF">
      <w:pPr>
        <w:spacing w:after="240"/>
        <w:rPr>
          <w:rFonts w:ascii="Arial" w:hAnsi="Arial" w:cs="Arial"/>
        </w:rPr>
      </w:pPr>
      <w:r w:rsidRPr="0040528A">
        <w:rPr>
          <w:rFonts w:ascii="Arial" w:hAnsi="Arial" w:cs="Arial"/>
        </w:rPr>
        <w:t>De Diagnostic and Statistical Manual of Mental Disorders, Fifth Edition (DSM-5) (</w:t>
      </w:r>
      <w:r w:rsidRPr="0040528A">
        <w:rPr>
          <w:rFonts w:ascii="Arial" w:hAnsi="Arial" w:cs="Arial"/>
          <w:color w:val="000000"/>
        </w:rPr>
        <w:t>American Psychiatric Association</w:t>
      </w:r>
      <w:r w:rsidRPr="0040528A">
        <w:rPr>
          <w:rFonts w:ascii="Arial" w:hAnsi="Arial" w:cs="Arial"/>
        </w:rPr>
        <w:t>, 2013) sp</w:t>
      </w:r>
      <w:r w:rsidRPr="00770541">
        <w:rPr>
          <w:rFonts w:ascii="Arial" w:hAnsi="Arial" w:cs="Arial"/>
        </w:rPr>
        <w:t xml:space="preserve">reekt </w:t>
      </w:r>
      <w:r w:rsidRPr="005C34BF">
        <w:rPr>
          <w:rFonts w:ascii="Arial" w:hAnsi="Arial" w:cs="Arial"/>
        </w:rPr>
        <w:t xml:space="preserve">over </w:t>
      </w:r>
      <w:r w:rsidR="00206280">
        <w:rPr>
          <w:rFonts w:ascii="Arial" w:hAnsi="Arial" w:cs="Arial"/>
        </w:rPr>
        <w:t>‘</w:t>
      </w:r>
      <w:r w:rsidRPr="005C34BF">
        <w:rPr>
          <w:rFonts w:ascii="Arial" w:hAnsi="Arial" w:cs="Arial"/>
        </w:rPr>
        <w:t>specifieke leerstoornissen</w:t>
      </w:r>
      <w:r w:rsidR="00206280">
        <w:rPr>
          <w:rFonts w:ascii="Arial" w:hAnsi="Arial" w:cs="Arial"/>
        </w:rPr>
        <w:t>’</w:t>
      </w:r>
      <w:r w:rsidR="00A10E3F" w:rsidRPr="005C34BF">
        <w:rPr>
          <w:rFonts w:ascii="Arial" w:hAnsi="Arial" w:cs="Arial"/>
        </w:rPr>
        <w:t xml:space="preserve"> indien </w:t>
      </w:r>
      <w:r w:rsidRPr="005C34BF">
        <w:rPr>
          <w:rFonts w:ascii="Arial" w:hAnsi="Arial" w:cs="Arial"/>
        </w:rPr>
        <w:t xml:space="preserve">de problemen (&lt; pc 7) </w:t>
      </w:r>
      <w:r w:rsidR="00C91285" w:rsidRPr="00C91285">
        <w:rPr>
          <w:rFonts w:ascii="Arial" w:hAnsi="Arial" w:cs="Arial"/>
          <w:b/>
        </w:rPr>
        <w:t>hardnekkig</w:t>
      </w:r>
      <w:r w:rsidR="00C91285">
        <w:rPr>
          <w:rFonts w:ascii="Arial" w:hAnsi="Arial" w:cs="Arial"/>
        </w:rPr>
        <w:t xml:space="preserve"> zijn (wat men omschrijft als </w:t>
      </w:r>
      <w:r w:rsidRPr="005C34BF">
        <w:rPr>
          <w:rFonts w:ascii="Arial" w:hAnsi="Arial" w:cs="Arial"/>
        </w:rPr>
        <w:t xml:space="preserve">minstens zes maanden aanwezig </w:t>
      </w:r>
      <w:r w:rsidRPr="00EF742C">
        <w:rPr>
          <w:rFonts w:ascii="Arial" w:hAnsi="Arial" w:cs="Arial"/>
        </w:rPr>
        <w:t>zijn, ondanks interventies die specifiek op de problemen gericht zijn</w:t>
      </w:r>
      <w:r w:rsidR="00C91285">
        <w:rPr>
          <w:rFonts w:ascii="Arial" w:hAnsi="Arial" w:cs="Arial"/>
        </w:rPr>
        <w:t>)</w:t>
      </w:r>
      <w:r w:rsidRPr="00EF742C">
        <w:rPr>
          <w:rFonts w:ascii="Arial" w:hAnsi="Arial" w:cs="Arial"/>
        </w:rPr>
        <w:t xml:space="preserve">. </w:t>
      </w:r>
      <w:r w:rsidRPr="00EF742C">
        <w:rPr>
          <w:rFonts w:ascii="Arial" w:hAnsi="Arial" w:cs="Arial"/>
          <w:lang w:val="en-US"/>
        </w:rPr>
        <w:t xml:space="preserve">De DSM-5 </w:t>
      </w:r>
      <w:r w:rsidR="006A1F26">
        <w:rPr>
          <w:rFonts w:ascii="Arial" w:hAnsi="Arial" w:cs="Arial"/>
          <w:lang w:val="en-US"/>
        </w:rPr>
        <w:t>heeft het over een</w:t>
      </w:r>
      <w:r w:rsidR="005C34BF" w:rsidRPr="00EF742C">
        <w:rPr>
          <w:rFonts w:ascii="Arial" w:hAnsi="Arial" w:cs="Arial"/>
          <w:lang w:val="en-US"/>
        </w:rPr>
        <w:t xml:space="preserve"> </w:t>
      </w:r>
      <w:r w:rsidRPr="00EF742C">
        <w:rPr>
          <w:rFonts w:ascii="Arial" w:hAnsi="Arial" w:cs="Arial"/>
          <w:lang w:val="en-US"/>
        </w:rPr>
        <w:t>‘specific learning disorder with impairment in reading’</w:t>
      </w:r>
      <w:r w:rsidR="00FC10C7" w:rsidRPr="00EF742C">
        <w:rPr>
          <w:rFonts w:ascii="Arial" w:hAnsi="Arial" w:cs="Arial"/>
          <w:lang w:val="en-US"/>
        </w:rPr>
        <w:t>,</w:t>
      </w:r>
      <w:r w:rsidRPr="00EF742C">
        <w:rPr>
          <w:rFonts w:ascii="Arial" w:hAnsi="Arial" w:cs="Arial"/>
          <w:lang w:val="en-US"/>
        </w:rPr>
        <w:t xml:space="preserve"> </w:t>
      </w:r>
      <w:r w:rsidR="006A1F26">
        <w:rPr>
          <w:rFonts w:ascii="Arial" w:hAnsi="Arial" w:cs="Arial"/>
          <w:lang w:val="en-US"/>
        </w:rPr>
        <w:t xml:space="preserve">een </w:t>
      </w:r>
      <w:r w:rsidR="00FC10C7" w:rsidRPr="00EF742C">
        <w:rPr>
          <w:rFonts w:ascii="Arial" w:hAnsi="Arial" w:cs="Arial"/>
          <w:lang w:val="en-US"/>
        </w:rPr>
        <w:t xml:space="preserve">‘specific learning disorder with impairment in writing’ </w:t>
      </w:r>
      <w:r w:rsidRPr="00EF742C">
        <w:rPr>
          <w:rFonts w:ascii="Arial" w:hAnsi="Arial" w:cs="Arial"/>
          <w:lang w:val="en-US"/>
        </w:rPr>
        <w:t>en</w:t>
      </w:r>
      <w:r w:rsidR="006A1F26">
        <w:rPr>
          <w:rFonts w:ascii="Arial" w:hAnsi="Arial" w:cs="Arial"/>
          <w:lang w:val="en-US"/>
        </w:rPr>
        <w:t xml:space="preserve"> een</w:t>
      </w:r>
      <w:r w:rsidRPr="00EF742C">
        <w:rPr>
          <w:rFonts w:ascii="Arial" w:hAnsi="Arial" w:cs="Arial"/>
          <w:lang w:val="en-US"/>
        </w:rPr>
        <w:t xml:space="preserve"> ‘specific learning disorder with impairment in mathematics’. </w:t>
      </w:r>
      <w:r w:rsidR="006A1F26" w:rsidRPr="006A1F26">
        <w:rPr>
          <w:rFonts w:ascii="Arial" w:hAnsi="Arial" w:cs="Arial"/>
        </w:rPr>
        <w:t>De DSM-5</w:t>
      </w:r>
      <w:r w:rsidR="00FC10C7" w:rsidRPr="00EF742C">
        <w:rPr>
          <w:rFonts w:ascii="Arial" w:hAnsi="Arial" w:cs="Arial"/>
        </w:rPr>
        <w:t xml:space="preserve"> stelt verder dat het bij de ‘impairment in reading’ gaat om </w:t>
      </w:r>
      <w:r w:rsidR="005C34BF" w:rsidRPr="00EF742C">
        <w:rPr>
          <w:rFonts w:ascii="Arial" w:hAnsi="Arial" w:cs="Arial"/>
        </w:rPr>
        <w:t xml:space="preserve">onnauwkeurig of langzaam lezen van </w:t>
      </w:r>
      <w:r w:rsidR="005C34BF" w:rsidRPr="007B1305">
        <w:rPr>
          <w:rFonts w:ascii="Arial" w:hAnsi="Arial" w:cs="Arial"/>
        </w:rPr>
        <w:t>woorden</w:t>
      </w:r>
      <w:r w:rsidR="00FC10C7" w:rsidRPr="007B1305">
        <w:rPr>
          <w:rFonts w:ascii="Arial" w:hAnsi="Arial" w:cs="Arial"/>
        </w:rPr>
        <w:t xml:space="preserve">, maar ook om moeite met </w:t>
      </w:r>
      <w:r w:rsidR="001468C3" w:rsidRPr="007B1305">
        <w:rPr>
          <w:rFonts w:ascii="Arial" w:hAnsi="Arial" w:cs="Arial"/>
        </w:rPr>
        <w:t>begrijpend lezen</w:t>
      </w:r>
      <w:r w:rsidR="00FC10C7" w:rsidRPr="007B1305">
        <w:rPr>
          <w:rFonts w:ascii="Arial" w:hAnsi="Arial" w:cs="Arial"/>
        </w:rPr>
        <w:t xml:space="preserve">. Bij de ‘impairment in writing’ </w:t>
      </w:r>
      <w:r w:rsidR="006A1F26">
        <w:rPr>
          <w:rFonts w:ascii="Arial" w:hAnsi="Arial" w:cs="Arial"/>
        </w:rPr>
        <w:t xml:space="preserve">zou het gaan </w:t>
      </w:r>
      <w:r w:rsidR="00FC10C7" w:rsidRPr="007B1305">
        <w:rPr>
          <w:rFonts w:ascii="Arial" w:hAnsi="Arial" w:cs="Arial"/>
        </w:rPr>
        <w:t>om moeite met spelling en zich schriftelijk uitdrukken</w:t>
      </w:r>
      <w:r w:rsidR="00686911">
        <w:rPr>
          <w:rFonts w:ascii="Arial" w:hAnsi="Arial" w:cs="Arial"/>
        </w:rPr>
        <w:t xml:space="preserve">. </w:t>
      </w:r>
      <w:r w:rsidR="00FC10C7" w:rsidRPr="007B1305">
        <w:rPr>
          <w:rFonts w:ascii="Arial" w:hAnsi="Arial" w:cs="Arial"/>
        </w:rPr>
        <w:t xml:space="preserve">Bij de ‘impairment in mathematics’ stelt men dat het </w:t>
      </w:r>
      <w:r w:rsidR="006A1F26">
        <w:rPr>
          <w:rFonts w:ascii="Arial" w:hAnsi="Arial" w:cs="Arial"/>
        </w:rPr>
        <w:t xml:space="preserve">moet gaan </w:t>
      </w:r>
      <w:r w:rsidR="00FC10C7" w:rsidRPr="007B1305">
        <w:rPr>
          <w:rFonts w:ascii="Arial" w:hAnsi="Arial" w:cs="Arial"/>
        </w:rPr>
        <w:t>om mo</w:t>
      </w:r>
      <w:r w:rsidR="005C34BF" w:rsidRPr="007B1305">
        <w:rPr>
          <w:rFonts w:ascii="Arial" w:hAnsi="Arial" w:cs="Arial"/>
        </w:rPr>
        <w:t>eite met getallenk</w:t>
      </w:r>
      <w:r w:rsidR="00FC10C7" w:rsidRPr="007B1305">
        <w:rPr>
          <w:rFonts w:ascii="Arial" w:hAnsi="Arial" w:cs="Arial"/>
        </w:rPr>
        <w:t>ennis of cijfermatige redeneren</w:t>
      </w:r>
      <w:r w:rsidR="001468C3" w:rsidRPr="007B1305">
        <w:rPr>
          <w:rFonts w:ascii="Arial" w:hAnsi="Arial" w:cs="Arial"/>
        </w:rPr>
        <w:t xml:space="preserve"> </w:t>
      </w:r>
      <w:r w:rsidR="005C34BF" w:rsidRPr="007B1305">
        <w:rPr>
          <w:rFonts w:ascii="Arial" w:hAnsi="Arial" w:cs="Arial"/>
        </w:rPr>
        <w:fldChar w:fldCharType="begin" w:fldLock="1"/>
      </w:r>
      <w:r w:rsidR="005C34BF" w:rsidRPr="007B1305">
        <w:rPr>
          <w:rFonts w:ascii="Arial" w:hAnsi="Arial" w:cs="Arial"/>
        </w:rPr>
        <w:instrText xml:space="preserve"> ADDIN ZOTERO_ITEM CSL_CITATION {"citationID":"4hAorWI1","properties":{"formattedCitation":"(American Psychiatric Association, 2013)","plainCitation":"(American Psychiatric Association, 2013)","noteIndex":0},"citationItems":[{"id":"WE0TCpjV/xh3rA2bV","uris":["http://www.mendeley.com/documents/?uuid=4dc1f41d-e029-4afc-97f2-efbf0df2bc8e"],"uri":["http://www.mendeley.com/documents/?uuid=4dc1f41d-e029-4afc-97f2-efbf0df2bc8e"],"itemData":{"author":[{"dropping-particle":"","family":"American Psychiatric Association","given":"","non-dropping-particle":"","parse-names":false,"suffix":""}],"id":"ITEM-1","issued":{"date-parts":[["2013"]]},"publisher":"American Psychiatric Pub","title":"Diagnostic and statistical manual of mental disorders (DSM-5®)","type":"book"}}],"schema":"https://github.com/citation-style-language/schema/raw/master/csl-citation.json"} </w:instrText>
      </w:r>
      <w:r w:rsidR="005C34BF" w:rsidRPr="007B1305">
        <w:rPr>
          <w:rFonts w:ascii="Arial" w:hAnsi="Arial" w:cs="Arial"/>
        </w:rPr>
        <w:fldChar w:fldCharType="separate"/>
      </w:r>
      <w:r w:rsidR="005C34BF" w:rsidRPr="007B1305">
        <w:rPr>
          <w:rFonts w:ascii="Arial" w:hAnsi="Arial" w:cs="Arial"/>
          <w:noProof/>
        </w:rPr>
        <w:t>(American Psychiatric Association, 2013)</w:t>
      </w:r>
      <w:r w:rsidR="005C34BF" w:rsidRPr="007B1305">
        <w:rPr>
          <w:rFonts w:ascii="Arial" w:hAnsi="Arial" w:cs="Arial"/>
        </w:rPr>
        <w:fldChar w:fldCharType="end"/>
      </w:r>
      <w:r w:rsidR="005C34BF" w:rsidRPr="007B1305">
        <w:rPr>
          <w:rFonts w:ascii="Arial" w:hAnsi="Arial" w:cs="Arial"/>
        </w:rPr>
        <w:t xml:space="preserve">. </w:t>
      </w:r>
    </w:p>
    <w:p w14:paraId="099DA175" w14:textId="6E9E9064" w:rsidR="00F86F95" w:rsidRPr="007B1305" w:rsidRDefault="00F86F95" w:rsidP="00F86F95">
      <w:pPr>
        <w:rPr>
          <w:rFonts w:ascii="Arial" w:hAnsi="Arial" w:cs="Arial"/>
        </w:rPr>
      </w:pPr>
      <w:r w:rsidRPr="007B1305">
        <w:rPr>
          <w:rFonts w:ascii="Arial" w:hAnsi="Arial" w:cs="Arial"/>
        </w:rPr>
        <w:t>In de Centra voor Ambulante Revalidatie en in de Centra voor Leerlingbegeleiding (zeker die van het Gemeenschapsonderwijs) kijkt men vaak vanuit de International Classification of Functioning, Disability and Health (ICF) naar problemen met leren</w:t>
      </w:r>
      <w:r w:rsidR="0043643B">
        <w:rPr>
          <w:rFonts w:ascii="Arial" w:hAnsi="Arial" w:cs="Arial"/>
        </w:rPr>
        <w:t xml:space="preserve"> bij het in kaart brengen van het functioneren van een zorgvrager</w:t>
      </w:r>
      <w:r w:rsidRPr="007B1305">
        <w:rPr>
          <w:rFonts w:ascii="Arial" w:hAnsi="Arial" w:cs="Arial"/>
        </w:rPr>
        <w:t>. Hier is ‘participatie’ (</w:t>
      </w:r>
      <w:r w:rsidRPr="00C91285">
        <w:rPr>
          <w:rFonts w:ascii="Arial" w:hAnsi="Arial" w:cs="Arial"/>
        </w:rPr>
        <w:t xml:space="preserve">hardnekkige </w:t>
      </w:r>
      <w:r w:rsidRPr="007B1305">
        <w:rPr>
          <w:rFonts w:ascii="Arial" w:hAnsi="Arial" w:cs="Arial"/>
        </w:rPr>
        <w:t>problemen met het deelnemen aan het maatschappelijke leven) het centrale construct (zie ICF-browser: http://apps.who.int/classifications/icfbrowser/).</w:t>
      </w:r>
    </w:p>
    <w:p w14:paraId="103CAB27" w14:textId="77777777" w:rsidR="00EB7748" w:rsidRDefault="00E477AD" w:rsidP="00E477AD">
      <w:pPr>
        <w:pStyle w:val="Geenafstand"/>
        <w:jc w:val="both"/>
        <w:rPr>
          <w:rFonts w:ascii="Arial" w:hAnsi="Arial" w:cs="Arial"/>
          <w:i/>
        </w:rPr>
      </w:pPr>
      <w:r w:rsidRPr="007B1305">
        <w:rPr>
          <w:rFonts w:ascii="Arial" w:hAnsi="Arial" w:cs="Arial"/>
        </w:rPr>
        <w:t>De Stichting Dyslexie Nederland (</w:t>
      </w:r>
      <w:r w:rsidR="001468C3" w:rsidRPr="007B1305">
        <w:rPr>
          <w:rFonts w:ascii="Arial" w:hAnsi="Arial" w:cs="Arial"/>
        </w:rPr>
        <w:t xml:space="preserve">SDN, </w:t>
      </w:r>
      <w:r w:rsidRPr="007B1305">
        <w:rPr>
          <w:rFonts w:ascii="Arial" w:hAnsi="Arial" w:cs="Arial"/>
        </w:rPr>
        <w:t xml:space="preserve">2016) omschrijft dyslexie, in overeenstemming met de DSM-5 als een specifieke leerstoornis die zich kenmerkt door een </w:t>
      </w:r>
      <w:r w:rsidRPr="00C91285">
        <w:rPr>
          <w:rFonts w:ascii="Arial" w:hAnsi="Arial" w:cs="Arial"/>
        </w:rPr>
        <w:t>hardnekkig</w:t>
      </w:r>
      <w:r w:rsidRPr="007B1305">
        <w:rPr>
          <w:rFonts w:ascii="Arial" w:hAnsi="Arial" w:cs="Arial"/>
          <w:b/>
        </w:rPr>
        <w:t xml:space="preserve"> </w:t>
      </w:r>
      <w:r w:rsidRPr="007B1305">
        <w:rPr>
          <w:rFonts w:ascii="Arial" w:hAnsi="Arial" w:cs="Arial"/>
        </w:rPr>
        <w:t>probleem in het aanleren van accuraat en vlot lezen en/of spellen op</w:t>
      </w:r>
      <w:r w:rsidRPr="007B1305">
        <w:rPr>
          <w:rFonts w:ascii="Arial" w:hAnsi="Arial" w:cs="Arial"/>
          <w:b/>
        </w:rPr>
        <w:t xml:space="preserve"> woordniveau</w:t>
      </w:r>
      <w:r w:rsidRPr="007B1305">
        <w:rPr>
          <w:rFonts w:ascii="Arial" w:hAnsi="Arial" w:cs="Arial"/>
        </w:rPr>
        <w:t>, dat niet het gevolg is van omgevingsfactoren en/of een lichamelijke, neurologische of algemene verstandelijke beperking</w:t>
      </w:r>
      <w:r w:rsidR="001468C3" w:rsidRPr="007B1305">
        <w:rPr>
          <w:rFonts w:ascii="Arial" w:hAnsi="Arial" w:cs="Arial"/>
          <w:i/>
        </w:rPr>
        <w:t xml:space="preserve">. </w:t>
      </w:r>
    </w:p>
    <w:p w14:paraId="4F8517B3" w14:textId="77777777" w:rsidR="00EB7748" w:rsidRDefault="00EB7748" w:rsidP="00E477AD">
      <w:pPr>
        <w:pStyle w:val="Geenafstand"/>
        <w:jc w:val="both"/>
        <w:rPr>
          <w:rFonts w:ascii="Arial" w:hAnsi="Arial" w:cs="Arial"/>
          <w:i/>
        </w:rPr>
      </w:pPr>
    </w:p>
    <w:p w14:paraId="7F47C0B2" w14:textId="4B580402" w:rsidR="00E477AD" w:rsidRPr="007B1305" w:rsidRDefault="001468C3" w:rsidP="00E477AD">
      <w:pPr>
        <w:pStyle w:val="Geenafstand"/>
        <w:jc w:val="both"/>
        <w:rPr>
          <w:rFonts w:ascii="Arial" w:hAnsi="Arial" w:cs="Arial"/>
        </w:rPr>
      </w:pPr>
      <w:r w:rsidRPr="007B1305">
        <w:rPr>
          <w:rFonts w:ascii="Arial" w:hAnsi="Arial" w:cs="Arial"/>
        </w:rPr>
        <w:t xml:space="preserve">Problemen met ‘begrijpend lezen’ en zich ‘schriftelijk uitdrukken’ (op zinsniveau) vallen </w:t>
      </w:r>
      <w:r w:rsidR="00EB7748">
        <w:rPr>
          <w:rFonts w:ascii="Arial" w:hAnsi="Arial" w:cs="Arial"/>
        </w:rPr>
        <w:t xml:space="preserve">volgens de SDN (2016) </w:t>
      </w:r>
      <w:r w:rsidR="00686911">
        <w:rPr>
          <w:rFonts w:ascii="Arial" w:hAnsi="Arial" w:cs="Arial"/>
        </w:rPr>
        <w:t>in tegenstelling met de DSM-5</w:t>
      </w:r>
      <w:r w:rsidR="001563E1">
        <w:rPr>
          <w:rFonts w:ascii="Arial" w:hAnsi="Arial" w:cs="Arial"/>
        </w:rPr>
        <w:t xml:space="preserve"> en ondanks het feit dat </w:t>
      </w:r>
      <w:r w:rsidR="00BD5A18">
        <w:rPr>
          <w:rFonts w:ascii="Arial" w:hAnsi="Arial" w:cs="Arial"/>
        </w:rPr>
        <w:t xml:space="preserve">sommige </w:t>
      </w:r>
      <w:r w:rsidR="001563E1">
        <w:rPr>
          <w:rFonts w:ascii="Arial" w:hAnsi="Arial" w:cs="Arial"/>
        </w:rPr>
        <w:t>studies aantonen dat er sign</w:t>
      </w:r>
      <w:r w:rsidR="00EB7748">
        <w:rPr>
          <w:rFonts w:ascii="Arial" w:hAnsi="Arial" w:cs="Arial"/>
        </w:rPr>
        <w:t>i</w:t>
      </w:r>
      <w:r w:rsidR="001563E1">
        <w:rPr>
          <w:rFonts w:ascii="Arial" w:hAnsi="Arial" w:cs="Arial"/>
        </w:rPr>
        <w:t>ficante verschillen zijn tussen kinderen met en zonder dyslexie op begrijpend lezen (Van Vreckem &amp; Desoete, 2015</w:t>
      </w:r>
      <w:r w:rsidR="00686911">
        <w:rPr>
          <w:rFonts w:ascii="Arial" w:hAnsi="Arial" w:cs="Arial"/>
        </w:rPr>
        <w:t xml:space="preserve">) </w:t>
      </w:r>
      <w:r w:rsidRPr="007B1305">
        <w:rPr>
          <w:rFonts w:ascii="Arial" w:hAnsi="Arial" w:cs="Arial"/>
        </w:rPr>
        <w:t>niet onder de noemer dyslexie.</w:t>
      </w:r>
    </w:p>
    <w:p w14:paraId="7EB85988" w14:textId="77777777" w:rsidR="00E477AD" w:rsidRPr="007B1305" w:rsidRDefault="00E477AD" w:rsidP="00E477AD">
      <w:pPr>
        <w:pStyle w:val="Geenafstand"/>
        <w:jc w:val="both"/>
        <w:rPr>
          <w:rFonts w:ascii="Arial" w:hAnsi="Arial" w:cs="Arial"/>
          <w:i/>
        </w:rPr>
      </w:pPr>
    </w:p>
    <w:p w14:paraId="40DD2029" w14:textId="27875757" w:rsidR="00EB7748" w:rsidRDefault="00F86F95" w:rsidP="00CE631D">
      <w:pPr>
        <w:spacing w:after="0" w:line="240" w:lineRule="auto"/>
        <w:rPr>
          <w:rFonts w:ascii="Arial" w:hAnsi="Arial" w:cs="Arial"/>
          <w:bCs/>
          <w:lang w:eastAsia="nl-BE"/>
        </w:rPr>
      </w:pPr>
      <w:r w:rsidRPr="007B1305">
        <w:rPr>
          <w:rFonts w:ascii="Arial" w:hAnsi="Arial" w:cs="Arial"/>
          <w:bCs/>
          <w:lang w:eastAsia="nl-BE"/>
        </w:rPr>
        <w:t xml:space="preserve">We kunnen dus besluiten dat ‘hardnekkigheid’ één van de criteria </w:t>
      </w:r>
      <w:r w:rsidR="0069433E">
        <w:rPr>
          <w:rFonts w:ascii="Arial" w:hAnsi="Arial" w:cs="Arial"/>
          <w:bCs/>
          <w:lang w:eastAsia="nl-BE"/>
        </w:rPr>
        <w:t>blijft</w:t>
      </w:r>
      <w:r w:rsidR="00E7486F">
        <w:rPr>
          <w:rFonts w:ascii="Arial" w:hAnsi="Arial" w:cs="Arial"/>
          <w:bCs/>
          <w:lang w:eastAsia="nl-BE"/>
        </w:rPr>
        <w:t xml:space="preserve"> </w:t>
      </w:r>
      <w:r w:rsidRPr="007B1305">
        <w:rPr>
          <w:rFonts w:ascii="Arial" w:hAnsi="Arial" w:cs="Arial"/>
          <w:bCs/>
          <w:lang w:eastAsia="nl-BE"/>
        </w:rPr>
        <w:t>waar</w:t>
      </w:r>
      <w:r w:rsidR="000C2884">
        <w:rPr>
          <w:rFonts w:ascii="Arial" w:hAnsi="Arial" w:cs="Arial"/>
          <w:bCs/>
          <w:lang w:eastAsia="nl-BE"/>
        </w:rPr>
        <w:t xml:space="preserve"> internationaal</w:t>
      </w:r>
      <w:r w:rsidR="0069433E">
        <w:rPr>
          <w:rFonts w:ascii="Arial" w:hAnsi="Arial" w:cs="Arial"/>
          <w:bCs/>
          <w:lang w:eastAsia="nl-BE"/>
        </w:rPr>
        <w:t xml:space="preserve"> (APA, 2013; SDN, 2016</w:t>
      </w:r>
      <w:r w:rsidR="00BD5A18">
        <w:rPr>
          <w:rFonts w:ascii="Arial" w:hAnsi="Arial" w:cs="Arial"/>
          <w:bCs/>
          <w:lang w:eastAsia="nl-BE"/>
        </w:rPr>
        <w:t>; Van Der Leij, 2015; Van Luit, 2018</w:t>
      </w:r>
      <w:r w:rsidR="0069433E">
        <w:rPr>
          <w:rFonts w:ascii="Arial" w:hAnsi="Arial" w:cs="Arial"/>
          <w:bCs/>
          <w:lang w:eastAsia="nl-BE"/>
        </w:rPr>
        <w:t xml:space="preserve">) </w:t>
      </w:r>
      <w:r w:rsidR="008A14CF">
        <w:rPr>
          <w:rFonts w:ascii="Arial" w:hAnsi="Arial" w:cs="Arial"/>
          <w:bCs/>
          <w:lang w:eastAsia="nl-BE"/>
        </w:rPr>
        <w:t>en binnen het Netwer</w:t>
      </w:r>
      <w:r w:rsidR="00626F6C">
        <w:rPr>
          <w:rFonts w:ascii="Arial" w:hAnsi="Arial" w:cs="Arial"/>
          <w:bCs/>
          <w:lang w:eastAsia="nl-BE"/>
        </w:rPr>
        <w:t>k L</w:t>
      </w:r>
      <w:r w:rsidR="008A14CF">
        <w:rPr>
          <w:rFonts w:ascii="Arial" w:hAnsi="Arial" w:cs="Arial"/>
          <w:bCs/>
          <w:lang w:eastAsia="nl-BE"/>
        </w:rPr>
        <w:t xml:space="preserve">eerproblemen Vlaanderen </w:t>
      </w:r>
      <w:r w:rsidR="0069433E">
        <w:rPr>
          <w:rFonts w:ascii="Arial" w:hAnsi="Arial" w:cs="Arial"/>
          <w:bCs/>
          <w:lang w:eastAsia="nl-BE"/>
        </w:rPr>
        <w:t>(Ghesquière &amp; Hellinck, 2018)</w:t>
      </w:r>
      <w:r w:rsidR="000C2884">
        <w:rPr>
          <w:rFonts w:ascii="Arial" w:hAnsi="Arial" w:cs="Arial"/>
          <w:bCs/>
          <w:lang w:eastAsia="nl-BE"/>
        </w:rPr>
        <w:t xml:space="preserve"> consensus over blijft</w:t>
      </w:r>
      <w:r w:rsidRPr="007B1305">
        <w:rPr>
          <w:rFonts w:ascii="Arial" w:hAnsi="Arial" w:cs="Arial"/>
          <w:bCs/>
          <w:lang w:eastAsia="nl-BE"/>
        </w:rPr>
        <w:t xml:space="preserve">. Men spreekt pas van een leerstoornis als </w:t>
      </w:r>
      <w:r w:rsidR="00EB7748">
        <w:rPr>
          <w:rFonts w:ascii="Arial" w:hAnsi="Arial" w:cs="Arial"/>
          <w:bCs/>
          <w:lang w:eastAsia="nl-BE"/>
        </w:rPr>
        <w:t>de</w:t>
      </w:r>
      <w:r w:rsidRPr="007B1305">
        <w:rPr>
          <w:rFonts w:ascii="Arial" w:hAnsi="Arial" w:cs="Arial"/>
          <w:bCs/>
          <w:lang w:eastAsia="nl-BE"/>
        </w:rPr>
        <w:t xml:space="preserve"> achterstand </w:t>
      </w:r>
      <w:r w:rsidR="00EB7748">
        <w:rPr>
          <w:rFonts w:ascii="Arial" w:hAnsi="Arial" w:cs="Arial"/>
          <w:bCs/>
          <w:lang w:eastAsia="nl-BE"/>
        </w:rPr>
        <w:t xml:space="preserve">wat betreft lezen, spellen of rekenen </w:t>
      </w:r>
      <w:r w:rsidRPr="007B1305">
        <w:rPr>
          <w:rFonts w:ascii="Arial" w:hAnsi="Arial" w:cs="Arial"/>
          <w:bCs/>
          <w:lang w:eastAsia="nl-BE"/>
        </w:rPr>
        <w:t>blij</w:t>
      </w:r>
      <w:r w:rsidR="00686911">
        <w:rPr>
          <w:rFonts w:ascii="Arial" w:hAnsi="Arial" w:cs="Arial"/>
          <w:bCs/>
          <w:lang w:eastAsia="nl-BE"/>
        </w:rPr>
        <w:t>f</w:t>
      </w:r>
      <w:r w:rsidRPr="007B1305">
        <w:rPr>
          <w:rFonts w:ascii="Arial" w:hAnsi="Arial" w:cs="Arial"/>
          <w:bCs/>
          <w:lang w:eastAsia="nl-BE"/>
        </w:rPr>
        <w:t xml:space="preserve">t aanhouden ondanks goede instructie gedurende zes maanden </w:t>
      </w:r>
      <w:r w:rsidRPr="007B1305">
        <w:rPr>
          <w:rFonts w:ascii="Arial" w:hAnsi="Arial" w:cs="Arial"/>
        </w:rPr>
        <w:fldChar w:fldCharType="begin" w:fldLock="1"/>
      </w:r>
      <w:r w:rsidRPr="007B1305">
        <w:rPr>
          <w:rFonts w:ascii="Arial" w:hAnsi="Arial" w:cs="Arial"/>
        </w:rPr>
        <w:instrText>ADDIN CSL_CITATION { "citationItems" : [ { "id" : "ITEM-1", "itemData" : { "DOI" : "10.1177/001440290707300303", "ISSN" : "0014-4029", "abstract" : "The predictive utility of screening measures for forecasting math disability (MD) at the end of 2nd grade and the predictive and discriminant validity of math progress-monitoring tools were assessed. Participants were 225 students who entered the study in 1st grade and completed data collection at the end of 2nd grade. Screening measures were Number Identification/Counting, Fact Retrieval, Curriculum-Based Measurement (CBM) Computation, and CBM Concepts/Applications. For Number Identification/Counting and CBM Computation, 27 weekly assessments were also collected. MD was defined as below the 10th percentile at the end of 2nd grade on calculations and word problems. Logistic regression showed that the 4-variable screening model produced good and similar fits in accounting for MD\u2014calculation and MD\u2014word problems. Classification accuracy was driven primarily by CBM Concepts/Applications and CBM Computation; CBM Concepts/Applications was the better of these predictors. CBM Computation, but not Number Identifi...", "author" : [ { "dropping-particle" : "", "family" : "Fuchs", "given" : "Lynn S.", "non-dropping-particle" : "", "parse-names" : false, "suffix" : "" }, { "dropping-particle" : "", "family" : "Fuchs", "given" : "Douglas", "non-dropping-particle" : "", "parse-names" : false, "suffix" : "" }, { "dropping-particle" : "", "family" : "Compton", "given" : "Donald L.", "non-dropping-particle" : "", "parse-names" : false, "suffix" : "" }, { "dropping-particle" : "", "family" : "Bryant", "given" : "Joan D.", "non-dropping-particle" : "", "parse-names" : false, "suffix" : "" }, { "dropping-particle" : "", "family" : "Hamlett", "given" : "Carol L.", "non-dropping-particle" : "", "parse-names" : false, "suffix" : "" }, { "dropping-particle" : "", "family" : "Seethaler", "given" : "Pamela M.", "non-dropping-particle" : "", "parse-names" : false, "suffix" : "" } ], "container-title" : "Exceptional Children", "id" : "ITEM-1", "issue" : "3", "issued" : { "date-parts" : [ [ "2007", "4", "24" ] ] }, "page" : "311-330", "publisher" : "SAGE PublicationsSage CA: Los Angeles, CA", "title" : "Mathematics Screening and Progress Monitoring at First Grade: Implications for Responsiveness to Intervention", "type" : "article-journal", "volume" : "73" }, "uris" : [ "http://www.mendeley.com/documents/?uuid=55a19159-b737-347b-8276-d5c54fe7e84c" ] } ], "mendeley" : { "formattedCitation" : "(Fuchs et al., 2007)", "plainTextFormattedCitation" : "(Fuchs et al., 2007)", "previouslyFormattedCitation" : "(Fuchs et al., 2007)" }, "properties" : { "noteIndex" : 0 }, "schema" : "https://github.com/citation-style-language/schema/raw/master/csl-citation.json" }</w:instrText>
      </w:r>
      <w:r w:rsidRPr="007B1305">
        <w:rPr>
          <w:rFonts w:ascii="Arial" w:hAnsi="Arial" w:cs="Arial"/>
        </w:rPr>
        <w:fldChar w:fldCharType="separate"/>
      </w:r>
      <w:r w:rsidRPr="007B1305">
        <w:rPr>
          <w:rFonts w:ascii="Arial" w:hAnsi="Arial" w:cs="Arial"/>
          <w:noProof/>
        </w:rPr>
        <w:t>(zie ook RTI-principe bij Fuchs et al., 2007)</w:t>
      </w:r>
      <w:r w:rsidRPr="007B1305">
        <w:rPr>
          <w:rFonts w:ascii="Arial" w:hAnsi="Arial" w:cs="Arial"/>
        </w:rPr>
        <w:fldChar w:fldCharType="end"/>
      </w:r>
      <w:r w:rsidRPr="007B1305">
        <w:rPr>
          <w:rFonts w:ascii="Arial" w:hAnsi="Arial" w:cs="Arial"/>
          <w:bCs/>
          <w:lang w:eastAsia="nl-BE"/>
        </w:rPr>
        <w:t xml:space="preserve">. </w:t>
      </w:r>
    </w:p>
    <w:p w14:paraId="4F85F50A" w14:textId="77777777" w:rsidR="00EB7748" w:rsidRDefault="00EB7748" w:rsidP="00CE631D">
      <w:pPr>
        <w:spacing w:after="0" w:line="240" w:lineRule="auto"/>
        <w:rPr>
          <w:rFonts w:ascii="Arial" w:hAnsi="Arial" w:cs="Arial"/>
          <w:bCs/>
          <w:lang w:eastAsia="nl-BE"/>
        </w:rPr>
      </w:pPr>
    </w:p>
    <w:p w14:paraId="014FB3C4" w14:textId="058B9567" w:rsidR="00CE631D" w:rsidRDefault="00F86F95" w:rsidP="00CE631D">
      <w:pPr>
        <w:spacing w:after="0" w:line="240" w:lineRule="auto"/>
        <w:rPr>
          <w:rFonts w:ascii="Arial" w:eastAsia="Cambria" w:hAnsi="Arial" w:cs="Arial"/>
        </w:rPr>
      </w:pPr>
      <w:r w:rsidRPr="007B1305">
        <w:rPr>
          <w:rFonts w:ascii="Arial" w:hAnsi="Arial" w:cs="Arial"/>
          <w:bCs/>
          <w:lang w:eastAsia="nl-BE"/>
        </w:rPr>
        <w:t>Het hardnekkigheid</w:t>
      </w:r>
      <w:r w:rsidR="0095500A">
        <w:rPr>
          <w:rFonts w:ascii="Arial" w:hAnsi="Arial" w:cs="Arial"/>
          <w:bCs/>
          <w:lang w:eastAsia="nl-BE"/>
        </w:rPr>
        <w:t>s</w:t>
      </w:r>
      <w:r w:rsidRPr="007B1305">
        <w:rPr>
          <w:rFonts w:ascii="Arial" w:hAnsi="Arial" w:cs="Arial"/>
          <w:bCs/>
          <w:lang w:eastAsia="nl-BE"/>
        </w:rPr>
        <w:t>criterium</w:t>
      </w:r>
      <w:r w:rsidR="006760AC">
        <w:rPr>
          <w:rFonts w:ascii="Arial" w:hAnsi="Arial" w:cs="Arial"/>
          <w:bCs/>
          <w:lang w:eastAsia="nl-BE"/>
        </w:rPr>
        <w:t xml:space="preserve"> </w:t>
      </w:r>
      <w:r w:rsidRPr="007B1305">
        <w:rPr>
          <w:rFonts w:ascii="Arial" w:hAnsi="Arial" w:cs="Arial"/>
          <w:bCs/>
          <w:lang w:eastAsia="nl-BE"/>
        </w:rPr>
        <w:t xml:space="preserve">is </w:t>
      </w:r>
      <w:r w:rsidR="007B1305">
        <w:rPr>
          <w:rFonts w:ascii="Arial" w:hAnsi="Arial" w:cs="Arial"/>
          <w:bCs/>
          <w:lang w:eastAsia="nl-BE"/>
        </w:rPr>
        <w:t>bovendien</w:t>
      </w:r>
      <w:r w:rsidRPr="007B1305">
        <w:rPr>
          <w:rFonts w:ascii="Arial" w:hAnsi="Arial" w:cs="Arial"/>
          <w:bCs/>
          <w:lang w:eastAsia="nl-BE"/>
        </w:rPr>
        <w:t xml:space="preserve"> in </w:t>
      </w:r>
      <w:r w:rsidRPr="006760AC">
        <w:rPr>
          <w:rFonts w:ascii="Arial" w:hAnsi="Arial" w:cs="Arial"/>
          <w:bCs/>
          <w:lang w:eastAsia="nl-BE"/>
        </w:rPr>
        <w:t xml:space="preserve">overeenstemming met </w:t>
      </w:r>
      <w:r w:rsidR="0069433E">
        <w:rPr>
          <w:rFonts w:ascii="Arial" w:hAnsi="Arial" w:cs="Arial"/>
          <w:bCs/>
          <w:lang w:eastAsia="nl-BE"/>
        </w:rPr>
        <w:t xml:space="preserve">hoe men vanuit </w:t>
      </w:r>
      <w:r w:rsidRPr="006760AC">
        <w:rPr>
          <w:rFonts w:ascii="Arial" w:hAnsi="Arial" w:cs="Arial"/>
          <w:bCs/>
          <w:lang w:eastAsia="nl-BE"/>
        </w:rPr>
        <w:t xml:space="preserve">het </w:t>
      </w:r>
      <w:r w:rsidR="00BD5A18">
        <w:rPr>
          <w:rFonts w:ascii="Arial" w:hAnsi="Arial" w:cs="Arial"/>
          <w:bCs/>
          <w:lang w:eastAsia="nl-BE"/>
        </w:rPr>
        <w:t>O</w:t>
      </w:r>
      <w:r w:rsidRPr="006760AC">
        <w:rPr>
          <w:rFonts w:ascii="Arial" w:hAnsi="Arial" w:cs="Arial"/>
          <w:bCs/>
          <w:lang w:eastAsia="nl-BE"/>
        </w:rPr>
        <w:t>pportunity-</w:t>
      </w:r>
      <w:r w:rsidR="00CE631D">
        <w:rPr>
          <w:rFonts w:ascii="Arial" w:hAnsi="Arial" w:cs="Arial"/>
          <w:bCs/>
          <w:lang w:eastAsia="nl-BE"/>
        </w:rPr>
        <w:t>P</w:t>
      </w:r>
      <w:r w:rsidRPr="006760AC">
        <w:rPr>
          <w:rFonts w:ascii="Arial" w:hAnsi="Arial" w:cs="Arial"/>
          <w:bCs/>
          <w:lang w:eastAsia="nl-BE"/>
        </w:rPr>
        <w:t xml:space="preserve">ropensity </w:t>
      </w:r>
      <w:r w:rsidR="00CE631D">
        <w:rPr>
          <w:rFonts w:ascii="Arial" w:hAnsi="Arial" w:cs="Arial"/>
          <w:bCs/>
          <w:lang w:eastAsia="nl-BE"/>
        </w:rPr>
        <w:t>(</w:t>
      </w:r>
      <w:r w:rsidR="00C91285">
        <w:rPr>
          <w:rFonts w:ascii="Arial" w:hAnsi="Arial" w:cs="Arial"/>
          <w:bCs/>
          <w:lang w:eastAsia="nl-BE"/>
        </w:rPr>
        <w:t>O</w:t>
      </w:r>
      <w:r w:rsidR="00CE631D">
        <w:rPr>
          <w:rFonts w:ascii="Arial" w:hAnsi="Arial" w:cs="Arial"/>
          <w:bCs/>
          <w:lang w:eastAsia="nl-BE"/>
        </w:rPr>
        <w:t xml:space="preserve">-P) </w:t>
      </w:r>
      <w:r w:rsidRPr="006760AC">
        <w:rPr>
          <w:rFonts w:ascii="Arial" w:hAnsi="Arial" w:cs="Arial"/>
          <w:bCs/>
          <w:lang w:eastAsia="nl-BE"/>
        </w:rPr>
        <w:t>model</w:t>
      </w:r>
      <w:r w:rsidR="0069433E">
        <w:rPr>
          <w:rFonts w:ascii="Arial" w:hAnsi="Arial" w:cs="Arial"/>
          <w:bCs/>
          <w:lang w:eastAsia="nl-BE"/>
        </w:rPr>
        <w:t xml:space="preserve"> </w:t>
      </w:r>
      <w:r w:rsidR="00EB7748">
        <w:rPr>
          <w:rFonts w:ascii="Arial" w:hAnsi="Arial" w:cs="Arial"/>
          <w:bCs/>
          <w:lang w:eastAsia="nl-BE"/>
        </w:rPr>
        <w:t xml:space="preserve">(zie Figuur 1) </w:t>
      </w:r>
      <w:r w:rsidR="0069433E">
        <w:rPr>
          <w:rFonts w:ascii="Arial" w:hAnsi="Arial" w:cs="Arial"/>
          <w:bCs/>
          <w:lang w:eastAsia="nl-BE"/>
        </w:rPr>
        <w:t>naar ‘leerprestaties’ kijkt</w:t>
      </w:r>
      <w:r w:rsidRPr="006760AC">
        <w:rPr>
          <w:rFonts w:ascii="Arial" w:hAnsi="Arial" w:cs="Arial"/>
          <w:bCs/>
          <w:lang w:eastAsia="nl-BE"/>
        </w:rPr>
        <w:t xml:space="preserve">  (Baten &amp; </w:t>
      </w:r>
      <w:r w:rsidRPr="006760AC">
        <w:rPr>
          <w:rFonts w:ascii="Arial" w:hAnsi="Arial" w:cs="Arial"/>
          <w:bCs/>
          <w:lang w:eastAsia="nl-BE"/>
        </w:rPr>
        <w:lastRenderedPageBreak/>
        <w:t>Desoete, 2017</w:t>
      </w:r>
      <w:r w:rsidR="00EB7748">
        <w:rPr>
          <w:rFonts w:ascii="Arial" w:hAnsi="Arial" w:cs="Arial"/>
          <w:bCs/>
          <w:lang w:eastAsia="nl-BE"/>
        </w:rPr>
        <w:t>; Byrnes &amp; Miller, 2007; Byrnes &amp; Wasik, 2009; 2016; Wang, Shen, &amp; Byrnes, 2013</w:t>
      </w:r>
      <w:r w:rsidR="007B1305" w:rsidRPr="006760AC">
        <w:rPr>
          <w:rFonts w:ascii="Arial" w:eastAsia="Cambria" w:hAnsi="Arial" w:cs="Arial"/>
        </w:rPr>
        <w:t xml:space="preserve">). </w:t>
      </w:r>
    </w:p>
    <w:p w14:paraId="56EF5354" w14:textId="1051F42D" w:rsidR="00AE413F" w:rsidRDefault="00AE413F" w:rsidP="00CE631D">
      <w:pPr>
        <w:spacing w:after="0" w:line="240" w:lineRule="auto"/>
        <w:rPr>
          <w:rFonts w:ascii="Arial" w:eastAsia="Cambria" w:hAnsi="Arial" w:cs="Arial"/>
        </w:rPr>
      </w:pPr>
    </w:p>
    <w:p w14:paraId="3311275C" w14:textId="52A52BF3" w:rsidR="00AE413F" w:rsidRDefault="00AE413F" w:rsidP="00CE631D">
      <w:pPr>
        <w:spacing w:after="0" w:line="240" w:lineRule="auto"/>
        <w:rPr>
          <w:rFonts w:ascii="Arial" w:eastAsia="Cambria" w:hAnsi="Arial" w:cs="Arial"/>
        </w:rPr>
      </w:pPr>
    </w:p>
    <w:p w14:paraId="5FBA6C78" w14:textId="04A9140A" w:rsidR="00AE413F" w:rsidRDefault="00AE413F" w:rsidP="00CE631D">
      <w:pPr>
        <w:spacing w:after="0" w:line="240" w:lineRule="auto"/>
        <w:rPr>
          <w:rFonts w:ascii="Arial" w:eastAsia="Cambria" w:hAnsi="Arial" w:cs="Arial"/>
        </w:rPr>
      </w:pPr>
    </w:p>
    <w:p w14:paraId="19D0E52C" w14:textId="71BFC8CE" w:rsidR="00AE413F" w:rsidRDefault="00AE413F" w:rsidP="00CE631D">
      <w:pPr>
        <w:spacing w:after="0" w:line="240" w:lineRule="auto"/>
        <w:rPr>
          <w:rFonts w:ascii="Arial" w:eastAsia="Cambria" w:hAnsi="Arial" w:cs="Arial"/>
        </w:rPr>
      </w:pPr>
      <w:r w:rsidRPr="00347EE7">
        <w:rPr>
          <w:noProof/>
          <w:lang w:eastAsia="nl-BE"/>
        </w:rPr>
        <mc:AlternateContent>
          <mc:Choice Requires="wps">
            <w:drawing>
              <wp:anchor distT="0" distB="0" distL="114300" distR="114300" simplePos="0" relativeHeight="251667456" behindDoc="0" locked="0" layoutInCell="1" allowOverlap="1" wp14:anchorId="1AC2AA09" wp14:editId="62F72AD6">
                <wp:simplePos x="0" y="0"/>
                <wp:positionH relativeFrom="column">
                  <wp:posOffset>2157095</wp:posOffset>
                </wp:positionH>
                <wp:positionV relativeFrom="paragraph">
                  <wp:posOffset>1256030</wp:posOffset>
                </wp:positionV>
                <wp:extent cx="1478280" cy="133350"/>
                <wp:effectExtent l="0" t="19050" r="45720" b="38100"/>
                <wp:wrapNone/>
                <wp:docPr id="6" name="Pijl: rechts 22"/>
                <wp:cNvGraphicFramePr/>
                <a:graphic xmlns:a="http://schemas.openxmlformats.org/drawingml/2006/main">
                  <a:graphicData uri="http://schemas.microsoft.com/office/word/2010/wordprocessingShape">
                    <wps:wsp>
                      <wps:cNvSpPr/>
                      <wps:spPr>
                        <a:xfrm>
                          <a:off x="0" y="0"/>
                          <a:ext cx="1478280" cy="13335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88C02E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jl: rechts 22" o:spid="_x0000_s1026" type="#_x0000_t13" style="position:absolute;margin-left:169.85pt;margin-top:98.9pt;width:116.4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" adj="20626" fillcolor="#5b9bd5" strokecolor="#41719c" strokeweight="1pt"/>
            </w:pict>
          </mc:Fallback>
        </mc:AlternateContent>
      </w:r>
      <w:r w:rsidRPr="00347EE7">
        <w:rPr>
          <w:noProof/>
          <w:lang w:eastAsia="nl-BE"/>
        </w:rPr>
        <mc:AlternateContent>
          <mc:Choice Requires="wps">
            <w:drawing>
              <wp:anchor distT="0" distB="0" distL="114300" distR="114300" simplePos="0" relativeHeight="251673600" behindDoc="0" locked="0" layoutInCell="1" allowOverlap="1" wp14:anchorId="4F432DEF" wp14:editId="2195C5F8">
                <wp:simplePos x="0" y="0"/>
                <wp:positionH relativeFrom="column">
                  <wp:posOffset>2159000</wp:posOffset>
                </wp:positionH>
                <wp:positionV relativeFrom="paragraph">
                  <wp:posOffset>1026795</wp:posOffset>
                </wp:positionV>
                <wp:extent cx="1428750" cy="137795"/>
                <wp:effectExtent l="19050" t="19050" r="19050" b="33655"/>
                <wp:wrapNone/>
                <wp:docPr id="4" name="Pijl: rechts 22"/>
                <wp:cNvGraphicFramePr/>
                <a:graphic xmlns:a="http://schemas.openxmlformats.org/drawingml/2006/main">
                  <a:graphicData uri="http://schemas.microsoft.com/office/word/2010/wordprocessingShape">
                    <wps:wsp>
                      <wps:cNvSpPr/>
                      <wps:spPr>
                        <a:xfrm rot="10800000">
                          <a:off x="0" y="0"/>
                          <a:ext cx="1428750" cy="13779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734BC5" id="Pijl: rechts 22" o:spid="_x0000_s1026" type="#_x0000_t13" style="position:absolute;margin-left:170pt;margin-top:80.85pt;width:112.5pt;height:10.85pt;rotation:180;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" adj="20558" fillcolor="#5b9bd5" strokecolor="#41719c" strokeweight="1pt"/>
            </w:pict>
          </mc:Fallback>
        </mc:AlternateContent>
      </w:r>
      <w:r w:rsidRPr="00347EE7">
        <w:rPr>
          <w:noProof/>
          <w:lang w:eastAsia="nl-BE"/>
        </w:rPr>
        <mc:AlternateContent>
          <mc:Choice Requires="wps">
            <w:drawing>
              <wp:anchor distT="0" distB="0" distL="114300" distR="114300" simplePos="0" relativeHeight="251671552" behindDoc="0" locked="0" layoutInCell="1" allowOverlap="1" wp14:anchorId="1A0A9953" wp14:editId="3FB21C9C">
                <wp:simplePos x="0" y="0"/>
                <wp:positionH relativeFrom="column">
                  <wp:posOffset>2405698</wp:posOffset>
                </wp:positionH>
                <wp:positionV relativeFrom="paragraph">
                  <wp:posOffset>1059498</wp:posOffset>
                </wp:positionV>
                <wp:extent cx="1046480" cy="137795"/>
                <wp:effectExtent l="16192" t="2858" r="36513" b="36512"/>
                <wp:wrapNone/>
                <wp:docPr id="2" name="Pijl: rechts 22"/>
                <wp:cNvGraphicFramePr/>
                <a:graphic xmlns:a="http://schemas.openxmlformats.org/drawingml/2006/main">
                  <a:graphicData uri="http://schemas.microsoft.com/office/word/2010/wordprocessingShape">
                    <wps:wsp>
                      <wps:cNvSpPr/>
                      <wps:spPr>
                        <a:xfrm rot="5400000">
                          <a:off x="0" y="0"/>
                          <a:ext cx="1046480" cy="13779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F8A2C5" id="Pijl: rechts 22" o:spid="_x0000_s1026" type="#_x0000_t13" style="position:absolute;margin-left:189.45pt;margin-top:83.45pt;width:82.4pt;height:10.85pt;rotation:90;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" adj="20178" fillcolor="#5b9bd5" strokecolor="#41719c" strokeweight="1pt"/>
            </w:pict>
          </mc:Fallback>
        </mc:AlternateContent>
      </w:r>
    </w:p>
    <w:p w14:paraId="232F4163" w14:textId="333ACC63" w:rsidR="00CE631D" w:rsidRPr="00347EE7" w:rsidRDefault="00CE631D" w:rsidP="00CE631D">
      <w:pPr>
        <w:spacing w:line="360" w:lineRule="auto"/>
        <w:rPr>
          <w:rFonts w:ascii="Cambria" w:hAnsi="Cambria"/>
        </w:rPr>
      </w:pPr>
      <w:r w:rsidRPr="00347EE7">
        <w:rPr>
          <w:noProof/>
          <w:lang w:eastAsia="nl-BE"/>
        </w:rPr>
        <mc:AlternateContent>
          <mc:Choice Requires="wps">
            <w:drawing>
              <wp:anchor distT="0" distB="0" distL="114300" distR="114300" simplePos="0" relativeHeight="251665408" behindDoc="0" locked="0" layoutInCell="1" allowOverlap="1" wp14:anchorId="14B5EEF3" wp14:editId="229CA883">
                <wp:simplePos x="0" y="0"/>
                <wp:positionH relativeFrom="column">
                  <wp:posOffset>-295437</wp:posOffset>
                </wp:positionH>
                <wp:positionV relativeFrom="paragraph">
                  <wp:posOffset>2035810</wp:posOffset>
                </wp:positionV>
                <wp:extent cx="6487160" cy="635"/>
                <wp:effectExtent l="0" t="0" r="8890" b="5715"/>
                <wp:wrapTopAndBottom/>
                <wp:docPr id="8" name="Tekstvak 8"/>
                <wp:cNvGraphicFramePr/>
                <a:graphic xmlns:a="http://schemas.openxmlformats.org/drawingml/2006/main">
                  <a:graphicData uri="http://schemas.microsoft.com/office/word/2010/wordprocessingShape">
                    <wps:wsp>
                      <wps:cNvSpPr txBox="1"/>
                      <wps:spPr>
                        <a:xfrm>
                          <a:off x="0" y="0"/>
                          <a:ext cx="6487160" cy="635"/>
                        </a:xfrm>
                        <a:prstGeom prst="rect">
                          <a:avLst/>
                        </a:prstGeom>
                        <a:solidFill>
                          <a:prstClr val="white"/>
                        </a:solidFill>
                        <a:ln>
                          <a:noFill/>
                        </a:ln>
                      </wps:spPr>
                      <wps:txbx>
                        <w:txbxContent>
                          <w:p w14:paraId="3A99CB77" w14:textId="77777777" w:rsidR="00626F6C" w:rsidRPr="001E6E17" w:rsidRDefault="00626F6C" w:rsidP="00CE631D">
                            <w:pPr>
                              <w:pStyle w:val="Bijschrift"/>
                              <w:rPr>
                                <w:rFonts w:ascii="Cambria" w:hAnsi="Cambria"/>
                                <w:noProof/>
                              </w:rPr>
                            </w:pPr>
                            <w:r w:rsidRPr="001E6E17">
                              <w:rPr>
                                <w:rFonts w:ascii="Cambria" w:hAnsi="Cambria"/>
                              </w:rPr>
                              <w:t>Figuur</w:t>
                            </w:r>
                            <w:r>
                              <w:rPr>
                                <w:rFonts w:ascii="Cambria" w:hAnsi="Cambria"/>
                              </w:rPr>
                              <w:t xml:space="preserve"> 1</w:t>
                            </w:r>
                            <w:r w:rsidRPr="001E6E17">
                              <w:rPr>
                                <w:rFonts w:ascii="Cambria" w:hAnsi="Cambria"/>
                              </w:rPr>
                              <w:t>. Het Opportunity-Propensity Model (vrij naar Byrnes &amp; Miller, 2007).</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4B5EEF3" id="_x0000_t202" coordsize="21600,21600" o:spt="202" path="m,l,21600r21600,l21600,xe">
                <v:stroke joinstyle="miter"/>
                <v:path gradientshapeok="t" o:connecttype="rect"/>
              </v:shapetype>
              <v:shape id="Tekstvak 8" o:spid="_x0000_s1026" type="#_x0000_t202" style="position:absolute;margin-left:-23.25pt;margin-top:160.3pt;width:510.8pt;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" stroked="f">
                <v:textbox style="mso-fit-shape-to-text:t" inset="0,0,0,0">
                  <w:txbxContent>
                    <w:p w14:paraId="3A99CB77" w14:textId="77777777" w:rsidR="00626F6C" w:rsidRPr="001E6E17" w:rsidRDefault="00626F6C" w:rsidP="00CE631D">
                      <w:pPr>
                        <w:pStyle w:val="Bijschrift"/>
                        <w:rPr>
                          <w:rFonts w:ascii="Cambria" w:hAnsi="Cambria"/>
                          <w:noProof/>
                        </w:rPr>
                      </w:pPr>
                      <w:r w:rsidRPr="001E6E17">
                        <w:rPr>
                          <w:rFonts w:ascii="Cambria" w:hAnsi="Cambria"/>
                        </w:rPr>
                        <w:t>Figuur</w:t>
                      </w:r>
                      <w:r>
                        <w:rPr>
                          <w:rFonts w:ascii="Cambria" w:hAnsi="Cambria"/>
                        </w:rPr>
                        <w:t xml:space="preserve"> 1</w:t>
                      </w:r>
                      <w:r w:rsidRPr="001E6E17">
                        <w:rPr>
                          <w:rFonts w:ascii="Cambria" w:hAnsi="Cambria"/>
                        </w:rPr>
                        <w:t>. Het Opportunity-Propensity Model (vrij naar Byrnes &amp; Miller, 2007).</w:t>
                      </w:r>
                    </w:p>
                  </w:txbxContent>
                </v:textbox>
                <w10:wrap type="topAndBottom"/>
              </v:shape>
            </w:pict>
          </mc:Fallback>
        </mc:AlternateContent>
      </w:r>
      <w:r w:rsidRPr="00347EE7">
        <w:rPr>
          <w:rFonts w:ascii="Cambria" w:hAnsi="Cambria"/>
          <w:noProof/>
          <w:lang w:eastAsia="nl-BE"/>
        </w:rPr>
        <w:drawing>
          <wp:anchor distT="0" distB="0" distL="114300" distR="114300" simplePos="0" relativeHeight="251666432" behindDoc="0" locked="0" layoutInCell="1" allowOverlap="1" wp14:anchorId="6EF960F6" wp14:editId="7009A01F">
            <wp:simplePos x="0" y="0"/>
            <wp:positionH relativeFrom="column">
              <wp:posOffset>-314635</wp:posOffset>
            </wp:positionH>
            <wp:positionV relativeFrom="paragraph">
              <wp:posOffset>45085</wp:posOffset>
            </wp:positionV>
            <wp:extent cx="6487160" cy="1871980"/>
            <wp:effectExtent l="0" t="0" r="0" b="13970"/>
            <wp:wrapTopAndBottom/>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p w14:paraId="66EC3A4B" w14:textId="2BA88F2D" w:rsidR="006760AC" w:rsidRPr="006760AC" w:rsidRDefault="006760AC" w:rsidP="00CE631D">
      <w:pPr>
        <w:spacing w:after="0" w:line="240" w:lineRule="auto"/>
        <w:rPr>
          <w:rFonts w:ascii="Arial" w:hAnsi="Arial" w:cs="Arial"/>
        </w:rPr>
      </w:pPr>
      <w:r>
        <w:rPr>
          <w:rFonts w:ascii="Arial" w:eastAsia="Cambria" w:hAnsi="Arial" w:cs="Arial"/>
        </w:rPr>
        <w:t xml:space="preserve">In </w:t>
      </w:r>
      <w:r w:rsidR="00CE631D">
        <w:rPr>
          <w:rFonts w:ascii="Arial" w:eastAsia="Cambria" w:hAnsi="Arial" w:cs="Arial"/>
        </w:rPr>
        <w:t xml:space="preserve">het O-P model </w:t>
      </w:r>
      <w:r>
        <w:rPr>
          <w:rFonts w:ascii="Arial" w:eastAsia="Cambria" w:hAnsi="Arial" w:cs="Arial"/>
        </w:rPr>
        <w:t xml:space="preserve">zijn </w:t>
      </w:r>
      <w:r w:rsidR="00EB7748">
        <w:rPr>
          <w:rFonts w:ascii="Arial" w:eastAsia="Cambria" w:hAnsi="Arial" w:cs="Arial"/>
        </w:rPr>
        <w:t>‘</w:t>
      </w:r>
      <w:r w:rsidRPr="006760AC">
        <w:rPr>
          <w:rFonts w:ascii="Arial" w:hAnsi="Arial" w:cs="Arial"/>
        </w:rPr>
        <w:t xml:space="preserve">Opportunity </w:t>
      </w:r>
      <w:r>
        <w:rPr>
          <w:rFonts w:ascii="Arial" w:hAnsi="Arial" w:cs="Arial"/>
        </w:rPr>
        <w:t xml:space="preserve">(O) </w:t>
      </w:r>
      <w:r w:rsidRPr="006760AC">
        <w:rPr>
          <w:rFonts w:ascii="Arial" w:hAnsi="Arial" w:cs="Arial"/>
        </w:rPr>
        <w:t>factoren’ alle factoren die kansen aanbieden aan het kind om tot ‘</w:t>
      </w:r>
      <w:r w:rsidR="00EB7748">
        <w:rPr>
          <w:rFonts w:ascii="Arial" w:hAnsi="Arial" w:cs="Arial"/>
        </w:rPr>
        <w:t>lezen, spellen of rekenen (leerprestaties)</w:t>
      </w:r>
      <w:r w:rsidRPr="006760AC">
        <w:rPr>
          <w:rFonts w:ascii="Arial" w:hAnsi="Arial" w:cs="Arial"/>
        </w:rPr>
        <w:t xml:space="preserve"> te komen. Zo kan goede instructie</w:t>
      </w:r>
      <w:r>
        <w:rPr>
          <w:rFonts w:ascii="Arial" w:hAnsi="Arial" w:cs="Arial"/>
        </w:rPr>
        <w:t xml:space="preserve"> op school</w:t>
      </w:r>
      <w:r w:rsidRPr="006760AC">
        <w:rPr>
          <w:rFonts w:ascii="Arial" w:hAnsi="Arial" w:cs="Arial"/>
        </w:rPr>
        <w:t xml:space="preserve">, maar ook ouders die betrokken zijn na de schooluren en het leren verder helpen als voorbeeld worden gezien van </w:t>
      </w:r>
      <w:r>
        <w:rPr>
          <w:rFonts w:ascii="Arial" w:hAnsi="Arial" w:cs="Arial"/>
        </w:rPr>
        <w:t xml:space="preserve">‘opportunities’. </w:t>
      </w:r>
      <w:r w:rsidRPr="006760AC">
        <w:rPr>
          <w:rFonts w:ascii="Arial" w:hAnsi="Arial" w:cs="Arial"/>
        </w:rPr>
        <w:t xml:space="preserve"> ‘Propensity </w:t>
      </w:r>
      <w:r>
        <w:rPr>
          <w:rFonts w:ascii="Arial" w:hAnsi="Arial" w:cs="Arial"/>
        </w:rPr>
        <w:t xml:space="preserve">(P) </w:t>
      </w:r>
      <w:r w:rsidRPr="006760AC">
        <w:rPr>
          <w:rFonts w:ascii="Arial" w:hAnsi="Arial" w:cs="Arial"/>
        </w:rPr>
        <w:t xml:space="preserve">factoren’ zijn alle factoren eigen aan het kind die ervoor zorgen dat het kind in staat is gebruik te maken van de kansen maar ook de wil heeft om de kansen te benutten of op te nemen. Zo kunnen </w:t>
      </w:r>
      <w:r>
        <w:rPr>
          <w:rFonts w:ascii="Arial" w:hAnsi="Arial" w:cs="Arial"/>
        </w:rPr>
        <w:t>i</w:t>
      </w:r>
      <w:r w:rsidRPr="006760AC">
        <w:rPr>
          <w:rFonts w:ascii="Arial" w:hAnsi="Arial" w:cs="Arial"/>
        </w:rPr>
        <w:t xml:space="preserve">ntelligentie en werkgeheugen maar ook motivatie gezien worden als ‘propensity’ factoren. Propensities kun je vergelijken met een ‘spons’ die de aangeboden </w:t>
      </w:r>
      <w:r w:rsidR="00EB7748">
        <w:rPr>
          <w:rFonts w:ascii="Arial" w:hAnsi="Arial" w:cs="Arial"/>
        </w:rPr>
        <w:t>opportuniteiten</w:t>
      </w:r>
      <w:r>
        <w:rPr>
          <w:rFonts w:ascii="Arial" w:hAnsi="Arial" w:cs="Arial"/>
        </w:rPr>
        <w:t xml:space="preserve"> </w:t>
      </w:r>
      <w:r w:rsidRPr="006760AC">
        <w:rPr>
          <w:rFonts w:ascii="Arial" w:hAnsi="Arial" w:cs="Arial"/>
        </w:rPr>
        <w:t>‘absorberen’ en zo resulteren in leerprestaties. Bovendien stel</w:t>
      </w:r>
      <w:r>
        <w:rPr>
          <w:rFonts w:ascii="Arial" w:hAnsi="Arial" w:cs="Arial"/>
        </w:rPr>
        <w:t xml:space="preserve">t het </w:t>
      </w:r>
      <w:r w:rsidR="00EB7748">
        <w:rPr>
          <w:rFonts w:ascii="Arial" w:hAnsi="Arial" w:cs="Arial"/>
        </w:rPr>
        <w:t xml:space="preserve">O-P </w:t>
      </w:r>
      <w:r>
        <w:rPr>
          <w:rFonts w:ascii="Arial" w:hAnsi="Arial" w:cs="Arial"/>
        </w:rPr>
        <w:t xml:space="preserve">model </w:t>
      </w:r>
      <w:r w:rsidRPr="006760AC">
        <w:rPr>
          <w:rFonts w:ascii="Arial" w:hAnsi="Arial" w:cs="Arial"/>
        </w:rPr>
        <w:t xml:space="preserve">dat </w:t>
      </w:r>
      <w:r>
        <w:rPr>
          <w:rFonts w:ascii="Arial" w:hAnsi="Arial" w:cs="Arial"/>
        </w:rPr>
        <w:t xml:space="preserve">er ook </w:t>
      </w:r>
      <w:r w:rsidRPr="006760AC">
        <w:rPr>
          <w:rFonts w:ascii="Arial" w:hAnsi="Arial" w:cs="Arial"/>
        </w:rPr>
        <w:t xml:space="preserve">distale factoren </w:t>
      </w:r>
      <w:r>
        <w:rPr>
          <w:rFonts w:ascii="Arial" w:hAnsi="Arial" w:cs="Arial"/>
        </w:rPr>
        <w:t>zijn,</w:t>
      </w:r>
      <w:r w:rsidRPr="006760AC">
        <w:rPr>
          <w:rFonts w:ascii="Arial" w:hAnsi="Arial" w:cs="Arial"/>
        </w:rPr>
        <w:t xml:space="preserve"> zoals bijvoorbeeld </w:t>
      </w:r>
      <w:r w:rsidR="00CE631D">
        <w:rPr>
          <w:rFonts w:ascii="Arial" w:hAnsi="Arial" w:cs="Arial"/>
        </w:rPr>
        <w:t>sociaal-economische status (</w:t>
      </w:r>
      <w:r w:rsidRPr="006760AC">
        <w:rPr>
          <w:rFonts w:ascii="Arial" w:hAnsi="Arial" w:cs="Arial"/>
        </w:rPr>
        <w:t>SES</w:t>
      </w:r>
      <w:r w:rsidR="00CE631D">
        <w:rPr>
          <w:rFonts w:ascii="Arial" w:hAnsi="Arial" w:cs="Arial"/>
        </w:rPr>
        <w:t>)</w:t>
      </w:r>
      <w:r w:rsidRPr="006760AC">
        <w:rPr>
          <w:rFonts w:ascii="Arial" w:hAnsi="Arial" w:cs="Arial"/>
        </w:rPr>
        <w:t xml:space="preserve">, </w:t>
      </w:r>
      <w:r>
        <w:rPr>
          <w:rFonts w:ascii="Arial" w:hAnsi="Arial" w:cs="Arial"/>
        </w:rPr>
        <w:t xml:space="preserve">die </w:t>
      </w:r>
      <w:r w:rsidRPr="006760AC">
        <w:rPr>
          <w:rFonts w:ascii="Arial" w:hAnsi="Arial" w:cs="Arial"/>
        </w:rPr>
        <w:t xml:space="preserve">verklaren waarom sommige mensen blootgesteld worden aan meer O-factoren en beschikken over meer P-factoren. </w:t>
      </w:r>
    </w:p>
    <w:p w14:paraId="0F854C74" w14:textId="24F7DDB8" w:rsidR="006760AC" w:rsidRDefault="006760AC" w:rsidP="006760AC">
      <w:pPr>
        <w:spacing w:before="240" w:after="0" w:line="240" w:lineRule="auto"/>
        <w:jc w:val="both"/>
        <w:rPr>
          <w:rFonts w:ascii="Arial" w:hAnsi="Arial" w:cs="Arial"/>
          <w:lang w:eastAsia="nl-BE"/>
        </w:rPr>
      </w:pPr>
      <w:r w:rsidRPr="006760AC">
        <w:rPr>
          <w:rFonts w:ascii="Arial" w:hAnsi="Arial" w:cs="Arial"/>
        </w:rPr>
        <w:t>Om de validiteit van h</w:t>
      </w:r>
      <w:r w:rsidR="00CE631D">
        <w:rPr>
          <w:rFonts w:ascii="Arial" w:hAnsi="Arial" w:cs="Arial"/>
        </w:rPr>
        <w:t>et O-P</w:t>
      </w:r>
      <w:r w:rsidRPr="006760AC">
        <w:rPr>
          <w:rFonts w:ascii="Arial" w:hAnsi="Arial" w:cs="Arial"/>
        </w:rPr>
        <w:t xml:space="preserve"> model te onderzoeken gebruikten Brynes en Miller data afkomstig van 2,8 miljoen </w:t>
      </w:r>
      <w:r w:rsidR="00BD5A18">
        <w:rPr>
          <w:rFonts w:ascii="Arial" w:hAnsi="Arial" w:cs="Arial"/>
        </w:rPr>
        <w:t xml:space="preserve">Amerikaanse </w:t>
      </w:r>
      <w:r w:rsidRPr="006760AC">
        <w:rPr>
          <w:rFonts w:ascii="Arial" w:hAnsi="Arial" w:cs="Arial"/>
        </w:rPr>
        <w:t>kinderen die in het jaar 1988 in het 6</w:t>
      </w:r>
      <w:r w:rsidRPr="006760AC">
        <w:rPr>
          <w:rFonts w:ascii="Arial" w:hAnsi="Arial" w:cs="Arial"/>
          <w:vertAlign w:val="superscript"/>
        </w:rPr>
        <w:t>de</w:t>
      </w:r>
      <w:r w:rsidRPr="006760AC">
        <w:rPr>
          <w:rFonts w:ascii="Arial" w:hAnsi="Arial" w:cs="Arial"/>
        </w:rPr>
        <w:t xml:space="preserve"> leerjaar zaten. In het tweede en vierde middelbaar werd een follow-up uitgevoerd</w:t>
      </w:r>
      <w:r w:rsidR="00CE631D">
        <w:rPr>
          <w:rFonts w:ascii="Arial" w:hAnsi="Arial" w:cs="Arial"/>
        </w:rPr>
        <w:t xml:space="preserve"> </w:t>
      </w:r>
      <w:r w:rsidR="00CE631D" w:rsidRPr="006760AC">
        <w:rPr>
          <w:rFonts w:ascii="Arial" w:hAnsi="Arial" w:cs="Arial"/>
          <w:noProof/>
        </w:rPr>
        <w:t>(Byrnes &amp; Miller, 2007</w:t>
      </w:r>
      <w:r w:rsidR="00CE631D">
        <w:rPr>
          <w:rFonts w:ascii="Arial" w:hAnsi="Arial" w:cs="Arial"/>
          <w:noProof/>
        </w:rPr>
        <w:t>)</w:t>
      </w:r>
      <w:r w:rsidRPr="006760AC">
        <w:rPr>
          <w:rFonts w:ascii="Arial" w:hAnsi="Arial" w:cs="Arial"/>
        </w:rPr>
        <w:t xml:space="preserve">. </w:t>
      </w:r>
      <w:r w:rsidRPr="006760AC">
        <w:rPr>
          <w:rFonts w:ascii="Arial" w:hAnsi="Arial" w:cs="Arial"/>
          <w:lang w:eastAsia="nl-BE"/>
        </w:rPr>
        <w:t xml:space="preserve">Ook in het kleuteronderwijs en de eerste helft van het lager onderwijs werd </w:t>
      </w:r>
      <w:r w:rsidR="00686911">
        <w:rPr>
          <w:rFonts w:ascii="Arial" w:hAnsi="Arial" w:cs="Arial"/>
          <w:lang w:eastAsia="nl-BE"/>
        </w:rPr>
        <w:t>b</w:t>
      </w:r>
      <w:r>
        <w:rPr>
          <w:rFonts w:ascii="Arial" w:hAnsi="Arial" w:cs="Arial"/>
          <w:lang w:eastAsia="nl-BE"/>
        </w:rPr>
        <w:t xml:space="preserve">ij 17 401 kinderen </w:t>
      </w:r>
      <w:r w:rsidRPr="006760AC">
        <w:rPr>
          <w:rFonts w:ascii="Arial" w:hAnsi="Arial" w:cs="Arial"/>
          <w:lang w:eastAsia="nl-BE"/>
        </w:rPr>
        <w:t xml:space="preserve">onderzocht welke factoren het sterkst geassocieerd </w:t>
      </w:r>
      <w:r w:rsidR="003A0B11">
        <w:rPr>
          <w:rFonts w:ascii="Arial" w:hAnsi="Arial" w:cs="Arial"/>
          <w:lang w:eastAsia="nl-BE"/>
        </w:rPr>
        <w:t xml:space="preserve">waren </w:t>
      </w:r>
      <w:r w:rsidRPr="006760AC">
        <w:rPr>
          <w:rFonts w:ascii="Arial" w:hAnsi="Arial" w:cs="Arial"/>
          <w:lang w:eastAsia="nl-BE"/>
        </w:rPr>
        <w:t xml:space="preserve">met rekenprestaties </w:t>
      </w:r>
      <w:r w:rsidR="003A0B11">
        <w:rPr>
          <w:rFonts w:ascii="Arial" w:hAnsi="Arial" w:cs="Arial"/>
          <w:lang w:eastAsia="nl-BE"/>
        </w:rPr>
        <w:t xml:space="preserve">( </w:t>
      </w:r>
      <w:r w:rsidRPr="006760AC">
        <w:rPr>
          <w:rFonts w:ascii="Arial" w:hAnsi="Arial" w:cs="Arial"/>
          <w:lang w:eastAsia="nl-BE"/>
        </w:rPr>
        <w:t xml:space="preserve">Byrnes &amp; Wasik, 2009). </w:t>
      </w:r>
      <w:r>
        <w:rPr>
          <w:rFonts w:ascii="Arial" w:hAnsi="Arial" w:cs="Arial"/>
          <w:lang w:eastAsia="nl-BE"/>
        </w:rPr>
        <w:t>T</w:t>
      </w:r>
      <w:r w:rsidRPr="006760AC">
        <w:rPr>
          <w:rFonts w:ascii="Arial" w:hAnsi="Arial" w:cs="Arial"/>
          <w:lang w:eastAsia="nl-BE"/>
        </w:rPr>
        <w:t xml:space="preserve">enslotte werd ook onderzocht hoe de </w:t>
      </w:r>
      <w:r w:rsidR="00CE631D">
        <w:rPr>
          <w:rFonts w:ascii="Arial" w:hAnsi="Arial" w:cs="Arial"/>
          <w:lang w:eastAsia="nl-BE"/>
        </w:rPr>
        <w:t>SES</w:t>
      </w:r>
      <w:r w:rsidRPr="006760AC">
        <w:rPr>
          <w:rFonts w:ascii="Arial" w:hAnsi="Arial" w:cs="Arial"/>
          <w:lang w:eastAsia="nl-BE"/>
        </w:rPr>
        <w:t xml:space="preserve"> in relatie stond tot de rekenprestaties bij 14 000 kleuters geboren in 2001, </w:t>
      </w:r>
      <w:r w:rsidR="00CE631D">
        <w:rPr>
          <w:rFonts w:ascii="Arial" w:hAnsi="Arial" w:cs="Arial"/>
          <w:lang w:eastAsia="nl-BE"/>
        </w:rPr>
        <w:t xml:space="preserve">in gezinnen </w:t>
      </w:r>
      <w:r w:rsidRPr="006760AC">
        <w:rPr>
          <w:rFonts w:ascii="Arial" w:hAnsi="Arial" w:cs="Arial"/>
          <w:lang w:eastAsia="nl-BE"/>
        </w:rPr>
        <w:t>met een la</w:t>
      </w:r>
      <w:r w:rsidR="00CE631D">
        <w:rPr>
          <w:rFonts w:ascii="Arial" w:hAnsi="Arial" w:cs="Arial"/>
          <w:lang w:eastAsia="nl-BE"/>
        </w:rPr>
        <w:t xml:space="preserve">ge SES </w:t>
      </w:r>
      <w:r w:rsidR="00CE631D" w:rsidRPr="006760AC">
        <w:rPr>
          <w:rFonts w:ascii="Arial" w:hAnsi="Arial" w:cs="Arial"/>
          <w:lang w:eastAsia="nl-BE"/>
        </w:rPr>
        <w:t xml:space="preserve">(Wang, Shen, &amp; Byrnes, 2013) </w:t>
      </w:r>
      <w:r w:rsidR="00CE631D">
        <w:rPr>
          <w:rFonts w:ascii="Arial" w:hAnsi="Arial" w:cs="Arial"/>
          <w:lang w:eastAsia="nl-BE"/>
        </w:rPr>
        <w:t xml:space="preserve"> </w:t>
      </w:r>
      <w:r w:rsidRPr="006760AC">
        <w:rPr>
          <w:rFonts w:ascii="Arial" w:hAnsi="Arial" w:cs="Arial"/>
          <w:lang w:eastAsia="nl-BE"/>
        </w:rPr>
        <w:t>.</w:t>
      </w:r>
    </w:p>
    <w:p w14:paraId="07D2C5A0" w14:textId="42BC23FA" w:rsidR="00C91285" w:rsidRDefault="007B1305" w:rsidP="00F86F95">
      <w:pPr>
        <w:spacing w:before="240" w:after="0" w:line="240" w:lineRule="auto"/>
        <w:jc w:val="both"/>
        <w:rPr>
          <w:rFonts w:ascii="Arial" w:hAnsi="Arial" w:cs="Arial"/>
          <w:sz w:val="24"/>
        </w:rPr>
      </w:pPr>
      <w:r w:rsidRPr="006760AC">
        <w:rPr>
          <w:rFonts w:ascii="Arial" w:hAnsi="Arial" w:cs="Arial"/>
        </w:rPr>
        <w:t xml:space="preserve">Zowel in het secundair onderwijs </w:t>
      </w:r>
      <w:r w:rsidRPr="006760AC">
        <w:rPr>
          <w:rFonts w:ascii="Arial" w:hAnsi="Arial" w:cs="Arial"/>
        </w:rPr>
        <w:fldChar w:fldCharType="begin" w:fldLock="1"/>
      </w:r>
      <w:r w:rsidRPr="006760AC">
        <w:rPr>
          <w:rFonts w:ascii="Arial" w:hAnsi="Arial" w:cs="Arial"/>
        </w:rPr>
        <w:instrText>ADDIN CSL_CITATION { "citationItems" : [ { "id" : "ITEM-1", "itemData" : { "DOI" : "10.1016/j.cedpsych.2006.09.002", "author" : [ { "dropping-particle" : "", "family" : "Byrnes", "given" : "James P", "non-dropping-particle" : "", "parse-names" : false, "suffix" : "" }, { "dropping-particle" : "", "family" : "Miller", "given" : "David C", "non-dropping-particle" : "", "parse-names" : false, "suffix" : "" } ], "id" : "ITEM-1", "issued" : { "date-parts" : [ [ "2007" ] ] }, "page" : "599-629", "title" : "The relative importance of predictors of math and science achievement : An opportunity \u2013 propensity analysis", "type" : "article-journal", "volume" : "32" }, "uris" : [ "http://www.mendeley.com/documents/?uuid=17c2903a-050f-497b-b349-6b1d184c5f49" ] } ], "mendeley" : { "formattedCitation" : "(Byrnes &amp; Miller, 2007)", "plainTextFormattedCitation" : "(Byrnes &amp; Miller, 2007)", "previouslyFormattedCitation" : "(Byrnes &amp; Miller, 2007)" }, "properties" : { "noteIndex" : 0 }, "schema" : "https://github.com/citation-style-language/schema/raw/master/csl-citation.json" }</w:instrText>
      </w:r>
      <w:r w:rsidRPr="006760AC">
        <w:rPr>
          <w:rFonts w:ascii="Arial" w:hAnsi="Arial" w:cs="Arial"/>
        </w:rPr>
        <w:fldChar w:fldCharType="separate"/>
      </w:r>
      <w:r w:rsidRPr="006760AC">
        <w:rPr>
          <w:rFonts w:ascii="Arial" w:hAnsi="Arial" w:cs="Arial"/>
          <w:noProof/>
        </w:rPr>
        <w:t>(Byrnes &amp; Miller, 2007)</w:t>
      </w:r>
      <w:r w:rsidRPr="006760AC">
        <w:rPr>
          <w:rFonts w:ascii="Arial" w:hAnsi="Arial" w:cs="Arial"/>
        </w:rPr>
        <w:fldChar w:fldCharType="end"/>
      </w:r>
      <w:r w:rsidRPr="006760AC">
        <w:rPr>
          <w:rFonts w:ascii="Arial" w:hAnsi="Arial" w:cs="Arial"/>
        </w:rPr>
        <w:t xml:space="preserve">, </w:t>
      </w:r>
      <w:r w:rsidR="00206280">
        <w:rPr>
          <w:rFonts w:ascii="Arial" w:hAnsi="Arial" w:cs="Arial"/>
        </w:rPr>
        <w:t xml:space="preserve">als </w:t>
      </w:r>
      <w:r w:rsidRPr="006760AC">
        <w:rPr>
          <w:rFonts w:ascii="Arial" w:hAnsi="Arial" w:cs="Arial"/>
        </w:rPr>
        <w:t>in het kleuteronderwijs</w:t>
      </w:r>
      <w:r w:rsidR="00206280">
        <w:rPr>
          <w:rFonts w:ascii="Arial" w:hAnsi="Arial" w:cs="Arial"/>
        </w:rPr>
        <w:t xml:space="preserve">, als in </w:t>
      </w:r>
      <w:r w:rsidRPr="006760AC">
        <w:rPr>
          <w:rFonts w:ascii="Arial" w:hAnsi="Arial" w:cs="Arial"/>
        </w:rPr>
        <w:t xml:space="preserve"> de 1</w:t>
      </w:r>
      <w:r w:rsidRPr="006760AC">
        <w:rPr>
          <w:rFonts w:ascii="Arial" w:hAnsi="Arial" w:cs="Arial"/>
          <w:vertAlign w:val="superscript"/>
        </w:rPr>
        <w:t>ste</w:t>
      </w:r>
      <w:r w:rsidRPr="006760AC">
        <w:rPr>
          <w:rFonts w:ascii="Arial" w:hAnsi="Arial" w:cs="Arial"/>
        </w:rPr>
        <w:t xml:space="preserve"> helft van de lagere school </w:t>
      </w:r>
      <w:r w:rsidRPr="006760AC">
        <w:rPr>
          <w:rFonts w:ascii="Arial" w:hAnsi="Arial" w:cs="Arial"/>
        </w:rPr>
        <w:fldChar w:fldCharType="begin" w:fldLock="1"/>
      </w:r>
      <w:r w:rsidRPr="006760AC">
        <w:rPr>
          <w:rFonts w:ascii="Arial" w:hAnsi="Arial" w:cs="Arial"/>
        </w:rPr>
        <w:instrText>ADDIN CSL_CITATION { "citationItems" : [ { "id" : "ITEM-1", "itemData" : { "DOI" : "10.1016/j.cedpsych.2009.01.002", "ISSN" : "0361-476X", "author" : [ { "dropping-particle" : "", "family" : "Byrnes", "given" : "James P", "non-dropping-particle" : "", "parse-names" : false, "suffix" : "" }, { "dropping-particle" : "", "family" : "Wasik", "given" : "Barbara A", "non-dropping-particle" : "", "parse-names" : false, "suffix" : "" } ], "container-title" : "Contemporary Educational Psychology", "id" : "ITEM-1", "issue" : "2", "issued" : { "date-parts" : [ [ "2009" ] ] }, "page" : "167-183", "publisher" : "Elsevier Inc.", "title" : "Factors predictive of mathematics achievement in kindergarten , first and third grades : An opportunity \u2013 propensity analysis", "type" : "article-journal", "volume" : "34" }, "uris" : [ "http://www.mendeley.com/documents/?uuid=652c0001-0a45-40a2-91cd-7a62e325e8e8" ] } ], "mendeley" : { "formattedCitation" : "(Byrnes &amp; Wasik, 2009)", "plainTextFormattedCitation" : "(Byrnes &amp; Wasik, 2009)", "previouslyFormattedCitation" : "(Byrnes &amp; Wasik, 2009)" }, "properties" : { "noteIndex" : 0 }, "schema" : "https://github.com/citation-style-language/schema/raw/master/csl-citation.json" }</w:instrText>
      </w:r>
      <w:r w:rsidRPr="006760AC">
        <w:rPr>
          <w:rFonts w:ascii="Arial" w:hAnsi="Arial" w:cs="Arial"/>
        </w:rPr>
        <w:fldChar w:fldCharType="separate"/>
      </w:r>
      <w:r w:rsidRPr="006760AC">
        <w:rPr>
          <w:rFonts w:ascii="Arial" w:hAnsi="Arial" w:cs="Arial"/>
          <w:noProof/>
        </w:rPr>
        <w:t>(Byrnes &amp; Wasik, 2009)</w:t>
      </w:r>
      <w:r w:rsidRPr="006760AC">
        <w:rPr>
          <w:rFonts w:ascii="Arial" w:hAnsi="Arial" w:cs="Arial"/>
        </w:rPr>
        <w:fldChar w:fldCharType="end"/>
      </w:r>
      <w:r w:rsidR="00206280">
        <w:rPr>
          <w:rFonts w:ascii="Arial" w:hAnsi="Arial" w:cs="Arial"/>
        </w:rPr>
        <w:t xml:space="preserve">, </w:t>
      </w:r>
      <w:r w:rsidR="00686911">
        <w:rPr>
          <w:rFonts w:ascii="Arial" w:hAnsi="Arial" w:cs="Arial"/>
        </w:rPr>
        <w:t>als</w:t>
      </w:r>
      <w:r w:rsidRPr="006760AC">
        <w:rPr>
          <w:rFonts w:ascii="Arial" w:hAnsi="Arial" w:cs="Arial"/>
        </w:rPr>
        <w:t xml:space="preserve"> in een specifieke doelgroep in het kleuteronderwijs met een lage sociaaleconomische status </w:t>
      </w:r>
      <w:r w:rsidRPr="006760AC">
        <w:rPr>
          <w:rFonts w:ascii="Arial" w:hAnsi="Arial" w:cs="Arial"/>
        </w:rPr>
        <w:fldChar w:fldCharType="begin" w:fldLock="1"/>
      </w:r>
      <w:r w:rsidRPr="006760AC">
        <w:rPr>
          <w:rFonts w:ascii="Arial" w:hAnsi="Arial" w:cs="Arial"/>
        </w:rPr>
        <w:instrText>ADDIN CSL_CITATION { "citationItems" : [ { "id" : "ITEM-1", "itemData" : { "DOI" : "10.1016/j.cedpsych.2013.04.004", "ISSN" : "0361476X", "author" : [ { "dropping-particle" : "", "family" : "Wang", "given" : "Aubrey H.", "non-dropping-particle" : "", "parse-names" : false, "suffix" : "" }, { "dropping-particle" : "", "family" : "Shen", "given" : "Feng", "non-dropping-particle" : "", "parse-names" : false, "suffix" : "" }, { "dropping-particle" : "", "family" : "Byrnes", "given" : "James P.", "non-dropping-particle" : "", "parse-names" : false, "suffix" : "" } ], "container-title" : "Contemporary Educational Psychology", "id" : "ITEM-1", "issue" : "3", "issued" : { "date-parts" : [ [ "2013", "7" ] ] }, "page" : "259-270", "title" : "Does the Opportunity\u2013Propensity Framework predict the early mathematics skills of low-income pre-kindergarten children?", "type" : "article-journal", "volume" : "38" }, "uris" : [ "http://www.mendeley.com/documents/?uuid=de8806bd-a92f-3b7d-88ab-2c4d376522a7" ] } ], "mendeley" : { "formattedCitation" : "(Wang et al., 2013)", "plainTextFormattedCitation" : "(Wang et al., 2013)", "previouslyFormattedCitation" : "(Wang et al., 2013)" }, "properties" : { "noteIndex" : 0 }, "schema" : "https://github.com/citation-style-language/schema/raw/master/csl-citation.json" }</w:instrText>
      </w:r>
      <w:r w:rsidRPr="006760AC">
        <w:rPr>
          <w:rFonts w:ascii="Arial" w:hAnsi="Arial" w:cs="Arial"/>
        </w:rPr>
        <w:fldChar w:fldCharType="separate"/>
      </w:r>
      <w:r w:rsidRPr="006760AC">
        <w:rPr>
          <w:rFonts w:ascii="Arial" w:hAnsi="Arial" w:cs="Arial"/>
          <w:noProof/>
        </w:rPr>
        <w:t>(Wang et al., 2013)</w:t>
      </w:r>
      <w:r w:rsidRPr="006760AC">
        <w:rPr>
          <w:rFonts w:ascii="Arial" w:hAnsi="Arial" w:cs="Arial"/>
        </w:rPr>
        <w:fldChar w:fldCharType="end"/>
      </w:r>
      <w:r w:rsidR="00775273" w:rsidRPr="006760AC">
        <w:rPr>
          <w:rFonts w:ascii="Arial" w:hAnsi="Arial" w:cs="Arial"/>
        </w:rPr>
        <w:t xml:space="preserve"> </w:t>
      </w:r>
      <w:r w:rsidRPr="006760AC">
        <w:rPr>
          <w:rFonts w:ascii="Arial" w:hAnsi="Arial" w:cs="Arial"/>
        </w:rPr>
        <w:t xml:space="preserve"> kon </w:t>
      </w:r>
      <w:r w:rsidR="006760AC" w:rsidRPr="006760AC">
        <w:rPr>
          <w:rFonts w:ascii="Arial" w:hAnsi="Arial" w:cs="Arial"/>
        </w:rPr>
        <w:t xml:space="preserve">men  </w:t>
      </w:r>
      <w:r w:rsidR="00C91285">
        <w:rPr>
          <w:rFonts w:ascii="Arial" w:hAnsi="Arial" w:cs="Arial"/>
        </w:rPr>
        <w:t>tussen 58 en 81% v</w:t>
      </w:r>
      <w:r w:rsidRPr="006760AC">
        <w:rPr>
          <w:rFonts w:ascii="Arial" w:hAnsi="Arial" w:cs="Arial"/>
        </w:rPr>
        <w:t xml:space="preserve">an de variantie in </w:t>
      </w:r>
      <w:r w:rsidR="00CE631D">
        <w:rPr>
          <w:rFonts w:ascii="Arial" w:hAnsi="Arial" w:cs="Arial"/>
        </w:rPr>
        <w:t>leer</w:t>
      </w:r>
      <w:r w:rsidRPr="006760AC">
        <w:rPr>
          <w:rFonts w:ascii="Arial" w:hAnsi="Arial" w:cs="Arial"/>
        </w:rPr>
        <w:t xml:space="preserve">vaardigheden </w:t>
      </w:r>
      <w:r w:rsidR="00C91285">
        <w:rPr>
          <w:rFonts w:ascii="Arial" w:hAnsi="Arial" w:cs="Arial"/>
        </w:rPr>
        <w:t xml:space="preserve">(als ‘outcome’) </w:t>
      </w:r>
      <w:r w:rsidRPr="006760AC">
        <w:rPr>
          <w:rFonts w:ascii="Arial" w:hAnsi="Arial" w:cs="Arial"/>
        </w:rPr>
        <w:t>verklaren aan de hand van distale, opportunity- en propensity factoren.</w:t>
      </w:r>
      <w:r w:rsidR="00775273" w:rsidRPr="006760AC">
        <w:rPr>
          <w:rFonts w:ascii="Arial" w:hAnsi="Arial" w:cs="Arial"/>
          <w:sz w:val="24"/>
        </w:rPr>
        <w:t xml:space="preserve"> </w:t>
      </w:r>
    </w:p>
    <w:p w14:paraId="3BF4498A" w14:textId="409D9D34" w:rsidR="00F86F95" w:rsidRPr="00E778A5" w:rsidRDefault="004C2CFC" w:rsidP="00F86F95">
      <w:pPr>
        <w:spacing w:before="240" w:after="0" w:line="240" w:lineRule="auto"/>
        <w:jc w:val="both"/>
        <w:rPr>
          <w:rFonts w:ascii="Arial" w:hAnsi="Arial" w:cs="Arial"/>
        </w:rPr>
      </w:pPr>
      <w:r w:rsidRPr="006760AC">
        <w:rPr>
          <w:rFonts w:ascii="Arial" w:hAnsi="Arial" w:cs="Arial"/>
        </w:rPr>
        <w:t xml:space="preserve">Kinderen die heel zwak lezen, spellen of rekenen kunnen dit </w:t>
      </w:r>
      <w:r w:rsidR="00CE631D">
        <w:rPr>
          <w:rFonts w:ascii="Arial" w:hAnsi="Arial" w:cs="Arial"/>
        </w:rPr>
        <w:t xml:space="preserve">dus </w:t>
      </w:r>
      <w:r w:rsidRPr="006760AC">
        <w:rPr>
          <w:rFonts w:ascii="Arial" w:hAnsi="Arial" w:cs="Arial"/>
        </w:rPr>
        <w:t>doen vanuit propensity factoren, maar ook vanuit onvoldoende opportunities. Enkel door</w:t>
      </w:r>
      <w:r>
        <w:rPr>
          <w:rFonts w:ascii="Arial" w:hAnsi="Arial" w:cs="Arial"/>
        </w:rPr>
        <w:t xml:space="preserve"> ‘hardnekkigheid’ mee te nemen en na te gaan of ‘opportunities’ </w:t>
      </w:r>
      <w:r w:rsidR="00E27EC6">
        <w:rPr>
          <w:rFonts w:ascii="Arial" w:hAnsi="Arial" w:cs="Arial"/>
        </w:rPr>
        <w:t xml:space="preserve">(goede hulp, optimale instructie) </w:t>
      </w:r>
      <w:r>
        <w:rPr>
          <w:rFonts w:ascii="Arial" w:hAnsi="Arial" w:cs="Arial"/>
        </w:rPr>
        <w:t>aanbieden helpt om het leren te verbeteren kan men met zekerheid stellen dat kinderen een leerstoornis hebben</w:t>
      </w:r>
      <w:r w:rsidR="00D96BAB">
        <w:rPr>
          <w:rFonts w:ascii="Arial" w:hAnsi="Arial" w:cs="Arial"/>
        </w:rPr>
        <w:t xml:space="preserve"> en het niet om een gebrek aan ‘kansen’ ging</w:t>
      </w:r>
      <w:r>
        <w:rPr>
          <w:rFonts w:ascii="Arial" w:hAnsi="Arial" w:cs="Arial"/>
        </w:rPr>
        <w:t xml:space="preserve">. </w:t>
      </w:r>
      <w:r w:rsidR="00E27EC6">
        <w:rPr>
          <w:rFonts w:ascii="Arial" w:hAnsi="Arial" w:cs="Arial"/>
        </w:rPr>
        <w:t xml:space="preserve">Hardnekkigheid mee in rekening nemen blijft dus van belang. </w:t>
      </w:r>
    </w:p>
    <w:p w14:paraId="25B618BD" w14:textId="77777777" w:rsidR="00F86F95" w:rsidRDefault="00F86F95" w:rsidP="00F86F95">
      <w:pPr>
        <w:spacing w:after="0" w:line="240" w:lineRule="auto"/>
        <w:rPr>
          <w:rFonts w:ascii="Arial" w:hAnsi="Arial" w:cs="Arial"/>
        </w:rPr>
      </w:pPr>
    </w:p>
    <w:p w14:paraId="55DFC9D3" w14:textId="7A8EA9A2" w:rsidR="00F86F95" w:rsidRDefault="00CE631D" w:rsidP="00CE631D">
      <w:pPr>
        <w:pStyle w:val="Geenafstand"/>
        <w:numPr>
          <w:ilvl w:val="1"/>
          <w:numId w:val="27"/>
        </w:numPr>
        <w:jc w:val="both"/>
        <w:rPr>
          <w:rFonts w:ascii="Arial" w:hAnsi="Arial" w:cs="Arial"/>
          <w:bCs/>
          <w:lang w:eastAsia="nl-BE"/>
        </w:rPr>
      </w:pPr>
      <w:r>
        <w:rPr>
          <w:rFonts w:ascii="Arial" w:hAnsi="Arial" w:cs="Arial"/>
          <w:bCs/>
          <w:lang w:eastAsia="nl-BE"/>
        </w:rPr>
        <w:t>Onderzoeksvraag 3</w:t>
      </w:r>
      <w:r w:rsidR="00AB0D4B">
        <w:rPr>
          <w:rFonts w:ascii="Arial" w:hAnsi="Arial" w:cs="Arial"/>
          <w:bCs/>
          <w:lang w:eastAsia="nl-BE"/>
        </w:rPr>
        <w:t>: Vlaamse criteria voor leerstoornissen</w:t>
      </w:r>
      <w:r>
        <w:rPr>
          <w:rFonts w:ascii="Arial" w:hAnsi="Arial" w:cs="Arial"/>
          <w:bCs/>
          <w:lang w:eastAsia="nl-BE"/>
        </w:rPr>
        <w:t>.</w:t>
      </w:r>
    </w:p>
    <w:p w14:paraId="0E974067" w14:textId="1CD39A11" w:rsidR="00C65C7E" w:rsidRDefault="00CE631D" w:rsidP="00C65C7E">
      <w:pPr>
        <w:pStyle w:val="Geenafstand"/>
        <w:jc w:val="both"/>
        <w:rPr>
          <w:rFonts w:ascii="Arial" w:hAnsi="Arial" w:cs="Arial"/>
          <w:lang w:val="nl-NL"/>
        </w:rPr>
      </w:pPr>
      <w:r>
        <w:rPr>
          <w:rFonts w:ascii="Arial" w:hAnsi="Arial" w:cs="Arial"/>
          <w:bCs/>
          <w:lang w:val="nl-NL" w:eastAsia="nl-BE"/>
        </w:rPr>
        <w:t xml:space="preserve">Om dyslexie en dyscalculie in Vlaanderen te definiëren </w:t>
      </w:r>
      <w:r w:rsidRPr="0040528A">
        <w:rPr>
          <w:rFonts w:ascii="Arial" w:hAnsi="Arial" w:cs="Arial"/>
          <w:bCs/>
          <w:lang w:val="nl-NL" w:eastAsia="nl-BE"/>
        </w:rPr>
        <w:t xml:space="preserve">verwijst </w:t>
      </w:r>
      <w:r w:rsidR="009D7140">
        <w:rPr>
          <w:rFonts w:ascii="Arial" w:hAnsi="Arial" w:cs="Arial"/>
          <w:bCs/>
          <w:lang w:val="nl-NL" w:eastAsia="nl-BE"/>
        </w:rPr>
        <w:t xml:space="preserve">men in overeenstemming met </w:t>
      </w:r>
      <w:r w:rsidR="001468C3">
        <w:rPr>
          <w:rFonts w:ascii="Arial" w:hAnsi="Arial" w:cs="Arial"/>
          <w:color w:val="000000"/>
        </w:rPr>
        <w:t>de Nederlandse definitie</w:t>
      </w:r>
      <w:r w:rsidR="009D7140">
        <w:rPr>
          <w:rFonts w:ascii="Arial" w:hAnsi="Arial" w:cs="Arial"/>
          <w:color w:val="000000"/>
        </w:rPr>
        <w:t xml:space="preserve"> (SDN, 2016) en </w:t>
      </w:r>
      <w:r w:rsidR="00716CD8" w:rsidRPr="00D661F5">
        <w:rPr>
          <w:rFonts w:ascii="Arial" w:hAnsi="Arial" w:cs="Arial"/>
          <w:bCs/>
          <w:lang w:eastAsia="nl-BE"/>
        </w:rPr>
        <w:t xml:space="preserve">conform </w:t>
      </w:r>
      <w:r w:rsidR="00A10E3F" w:rsidRPr="00D661F5">
        <w:rPr>
          <w:rFonts w:ascii="Arial" w:hAnsi="Arial" w:cs="Arial"/>
          <w:bCs/>
          <w:lang w:eastAsia="nl-BE"/>
        </w:rPr>
        <w:t>internation</w:t>
      </w:r>
      <w:r w:rsidR="00E477AD" w:rsidRPr="00D661F5">
        <w:rPr>
          <w:rFonts w:ascii="Arial" w:hAnsi="Arial" w:cs="Arial"/>
          <w:bCs/>
          <w:lang w:eastAsia="nl-BE"/>
        </w:rPr>
        <w:t>aa</w:t>
      </w:r>
      <w:r w:rsidR="00A10E3F" w:rsidRPr="00D661F5">
        <w:rPr>
          <w:rFonts w:ascii="Arial" w:hAnsi="Arial" w:cs="Arial"/>
          <w:bCs/>
          <w:lang w:eastAsia="nl-BE"/>
        </w:rPr>
        <w:t>l onderzoek (</w:t>
      </w:r>
      <w:r w:rsidR="00885D08" w:rsidRPr="00D661F5">
        <w:rPr>
          <w:rFonts w:ascii="Arial" w:hAnsi="Arial" w:cs="Arial"/>
          <w:bCs/>
          <w:lang w:eastAsia="nl-BE"/>
        </w:rPr>
        <w:t xml:space="preserve">o.m. </w:t>
      </w:r>
      <w:r w:rsidR="00A10E3F" w:rsidRPr="00D661F5">
        <w:rPr>
          <w:rFonts w:ascii="Arial" w:hAnsi="Arial" w:cs="Arial"/>
          <w:bCs/>
          <w:lang w:eastAsia="nl-BE"/>
        </w:rPr>
        <w:t>Siegel, 201</w:t>
      </w:r>
      <w:r w:rsidR="00F86AB6">
        <w:rPr>
          <w:rFonts w:ascii="Arial" w:hAnsi="Arial" w:cs="Arial"/>
          <w:bCs/>
          <w:lang w:eastAsia="nl-BE"/>
        </w:rPr>
        <w:t>8</w:t>
      </w:r>
      <w:r w:rsidR="00A10E3F" w:rsidRPr="00D661F5">
        <w:rPr>
          <w:rFonts w:ascii="Arial" w:hAnsi="Arial" w:cs="Arial"/>
          <w:bCs/>
          <w:lang w:eastAsia="nl-BE"/>
        </w:rPr>
        <w:t>)</w:t>
      </w:r>
      <w:r w:rsidR="00E477AD" w:rsidRPr="00D661F5">
        <w:rPr>
          <w:rFonts w:ascii="Arial" w:hAnsi="Arial" w:cs="Arial"/>
          <w:bCs/>
          <w:lang w:eastAsia="nl-BE"/>
        </w:rPr>
        <w:t xml:space="preserve"> </w:t>
      </w:r>
      <w:r w:rsidR="00C65C7E">
        <w:rPr>
          <w:rFonts w:ascii="Arial" w:hAnsi="Arial" w:cs="Arial"/>
          <w:bCs/>
          <w:lang w:eastAsia="nl-BE"/>
        </w:rPr>
        <w:t xml:space="preserve">vanuit het Netwerk Leerproblemen Vlaanderen (Ghesquière, 2014) </w:t>
      </w:r>
      <w:r w:rsidR="009D7140">
        <w:rPr>
          <w:rFonts w:ascii="Arial" w:hAnsi="Arial" w:cs="Arial"/>
          <w:bCs/>
          <w:lang w:eastAsia="nl-BE"/>
        </w:rPr>
        <w:t>naar drie beschrijvend</w:t>
      </w:r>
      <w:r w:rsidR="00206280">
        <w:rPr>
          <w:rFonts w:ascii="Arial" w:hAnsi="Arial" w:cs="Arial"/>
          <w:bCs/>
          <w:lang w:eastAsia="nl-BE"/>
        </w:rPr>
        <w:t>e</w:t>
      </w:r>
      <w:r w:rsidR="009D7140">
        <w:rPr>
          <w:rFonts w:ascii="Arial" w:hAnsi="Arial" w:cs="Arial"/>
          <w:bCs/>
          <w:lang w:eastAsia="nl-BE"/>
        </w:rPr>
        <w:t xml:space="preserve"> criteria. Die criteria worden </w:t>
      </w:r>
      <w:r w:rsidR="00E477AD" w:rsidRPr="00D661F5">
        <w:rPr>
          <w:rFonts w:ascii="Arial" w:hAnsi="Arial" w:cs="Arial"/>
          <w:bCs/>
          <w:lang w:eastAsia="nl-BE"/>
        </w:rPr>
        <w:t xml:space="preserve">ook </w:t>
      </w:r>
      <w:r>
        <w:rPr>
          <w:rFonts w:ascii="Arial" w:hAnsi="Arial" w:cs="Arial"/>
          <w:bCs/>
          <w:lang w:eastAsia="nl-BE"/>
        </w:rPr>
        <w:t xml:space="preserve">de centra voor ambulante revalidatie (CAR) en </w:t>
      </w:r>
      <w:r w:rsidR="007E321F" w:rsidRPr="00D661F5">
        <w:rPr>
          <w:rFonts w:ascii="Arial" w:hAnsi="Arial" w:cs="Arial"/>
          <w:bCs/>
          <w:lang w:eastAsia="nl-BE"/>
        </w:rPr>
        <w:t>in de centra voor leerlingbegeleiding (CLB) gehanteerd</w:t>
      </w:r>
      <w:r w:rsidR="00885D08" w:rsidRPr="00D661F5">
        <w:rPr>
          <w:rFonts w:ascii="Arial" w:hAnsi="Arial" w:cs="Arial"/>
          <w:bCs/>
          <w:lang w:eastAsia="nl-BE"/>
        </w:rPr>
        <w:t xml:space="preserve"> (zie www.prodiagnostiek.be)</w:t>
      </w:r>
      <w:r w:rsidR="001468C3">
        <w:rPr>
          <w:rFonts w:ascii="Arial" w:hAnsi="Arial" w:cs="Arial"/>
          <w:bCs/>
          <w:lang w:eastAsia="nl-BE"/>
        </w:rPr>
        <w:t>.</w:t>
      </w:r>
      <w:r w:rsidR="001468C3">
        <w:rPr>
          <w:rFonts w:ascii="Arial" w:hAnsi="Arial" w:cs="Arial"/>
          <w:lang w:val="nl-NL"/>
        </w:rPr>
        <w:t xml:space="preserve"> </w:t>
      </w:r>
    </w:p>
    <w:p w14:paraId="01E4AC50" w14:textId="77777777" w:rsidR="00C65C7E" w:rsidRDefault="00C65C7E" w:rsidP="00C65C7E">
      <w:pPr>
        <w:pStyle w:val="Geenafstand"/>
        <w:jc w:val="both"/>
        <w:rPr>
          <w:rFonts w:ascii="Arial" w:hAnsi="Arial" w:cs="Arial"/>
          <w:lang w:val="nl-NL"/>
        </w:rPr>
      </w:pPr>
    </w:p>
    <w:p w14:paraId="6961DBD5" w14:textId="6681CE48" w:rsidR="009C049C" w:rsidRPr="008D1DB9" w:rsidRDefault="00EF742C" w:rsidP="00C65C7E">
      <w:pPr>
        <w:pStyle w:val="Geenafstand"/>
        <w:jc w:val="both"/>
        <w:rPr>
          <w:rFonts w:ascii="Arial" w:hAnsi="Arial" w:cs="Arial"/>
          <w:bCs/>
          <w:lang w:eastAsia="nl-BE"/>
        </w:rPr>
      </w:pPr>
      <w:r>
        <w:rPr>
          <w:rFonts w:ascii="Arial" w:hAnsi="Arial" w:cs="Arial"/>
          <w:bCs/>
          <w:lang w:eastAsia="nl-BE"/>
        </w:rPr>
        <w:t xml:space="preserve">Het gaat </w:t>
      </w:r>
      <w:r w:rsidR="003A0B11">
        <w:rPr>
          <w:rFonts w:ascii="Arial" w:hAnsi="Arial" w:cs="Arial"/>
          <w:bCs/>
          <w:lang w:eastAsia="nl-BE"/>
        </w:rPr>
        <w:t>o</w:t>
      </w:r>
      <w:r>
        <w:rPr>
          <w:rFonts w:ascii="Arial" w:hAnsi="Arial" w:cs="Arial"/>
          <w:bCs/>
          <w:lang w:eastAsia="nl-BE"/>
        </w:rPr>
        <w:t xml:space="preserve">m </w:t>
      </w:r>
      <w:r w:rsidR="003A0B11">
        <w:rPr>
          <w:rFonts w:ascii="Arial" w:hAnsi="Arial" w:cs="Arial"/>
          <w:bCs/>
          <w:lang w:eastAsia="nl-BE"/>
        </w:rPr>
        <w:t xml:space="preserve">het </w:t>
      </w:r>
      <w:r>
        <w:rPr>
          <w:rFonts w:ascii="Arial" w:hAnsi="Arial" w:cs="Arial"/>
          <w:bCs/>
          <w:lang w:eastAsia="nl-BE"/>
        </w:rPr>
        <w:t>ernstcriterium, het (mild) exclusiecriterium en het criterium van de hardnekkigheid. In wat volgt belichten we deze criteria.</w:t>
      </w:r>
    </w:p>
    <w:p w14:paraId="6A3B74CF" w14:textId="77777777" w:rsidR="009C049C" w:rsidRDefault="009C049C" w:rsidP="009C049C">
      <w:pPr>
        <w:spacing w:after="0" w:line="240" w:lineRule="auto"/>
        <w:rPr>
          <w:rFonts w:ascii="Arial" w:hAnsi="Arial" w:cs="Arial"/>
          <w:bCs/>
          <w:lang w:eastAsia="nl-BE"/>
        </w:rPr>
      </w:pPr>
    </w:p>
    <w:p w14:paraId="05FD21C3" w14:textId="77777777" w:rsidR="00CC5929" w:rsidRDefault="00CC5929" w:rsidP="00CC5929">
      <w:pPr>
        <w:pStyle w:val="Lijstalinea"/>
        <w:numPr>
          <w:ilvl w:val="2"/>
          <w:numId w:val="27"/>
        </w:numPr>
        <w:spacing w:after="0" w:line="240" w:lineRule="auto"/>
        <w:rPr>
          <w:rFonts w:ascii="Arial" w:hAnsi="Arial" w:cs="Arial"/>
          <w:bCs/>
          <w:lang w:eastAsia="nl-BE"/>
        </w:rPr>
      </w:pPr>
      <w:r>
        <w:rPr>
          <w:rFonts w:ascii="Arial" w:hAnsi="Arial" w:cs="Arial"/>
          <w:bCs/>
          <w:lang w:eastAsia="nl-BE"/>
        </w:rPr>
        <w:t>Ernstcriterium</w:t>
      </w:r>
    </w:p>
    <w:p w14:paraId="517D85F2" w14:textId="77777777" w:rsidR="00B86785" w:rsidRDefault="009C049C" w:rsidP="00C65C7E">
      <w:pPr>
        <w:spacing w:after="0" w:line="240" w:lineRule="auto"/>
        <w:rPr>
          <w:rFonts w:ascii="Arial" w:hAnsi="Arial" w:cs="Arial"/>
          <w:bCs/>
          <w:lang w:eastAsia="nl-BE"/>
        </w:rPr>
      </w:pPr>
      <w:r w:rsidRPr="00CC5929">
        <w:rPr>
          <w:rFonts w:ascii="Arial" w:hAnsi="Arial" w:cs="Arial"/>
          <w:bCs/>
          <w:lang w:eastAsia="nl-BE"/>
        </w:rPr>
        <w:t xml:space="preserve">Het eerste </w:t>
      </w:r>
      <w:r w:rsidR="00D15DF7">
        <w:rPr>
          <w:rFonts w:ascii="Arial" w:hAnsi="Arial" w:cs="Arial"/>
          <w:bCs/>
          <w:lang w:eastAsia="nl-BE"/>
        </w:rPr>
        <w:t xml:space="preserve">voorwaardelijke </w:t>
      </w:r>
      <w:r w:rsidRPr="00CC5929">
        <w:rPr>
          <w:rFonts w:ascii="Arial" w:hAnsi="Arial" w:cs="Arial"/>
          <w:bCs/>
          <w:lang w:eastAsia="nl-BE"/>
        </w:rPr>
        <w:t xml:space="preserve">criterium </w:t>
      </w:r>
      <w:r w:rsidR="00D15DF7">
        <w:rPr>
          <w:rFonts w:ascii="Arial" w:hAnsi="Arial" w:cs="Arial"/>
          <w:bCs/>
          <w:lang w:eastAsia="nl-BE"/>
        </w:rPr>
        <w:t>om van een leerstoornis te spreken</w:t>
      </w:r>
      <w:r w:rsidR="00C65C7E">
        <w:rPr>
          <w:rFonts w:ascii="Arial" w:hAnsi="Arial" w:cs="Arial"/>
          <w:bCs/>
          <w:lang w:eastAsia="nl-BE"/>
        </w:rPr>
        <w:t xml:space="preserve"> aldus het Netwerk Leerproblemen Vlaanderen (Ghesquière, 2014)</w:t>
      </w:r>
      <w:r w:rsidR="00D15DF7">
        <w:rPr>
          <w:rFonts w:ascii="Arial" w:hAnsi="Arial" w:cs="Arial"/>
          <w:bCs/>
          <w:lang w:eastAsia="nl-BE"/>
        </w:rPr>
        <w:t xml:space="preserve"> </w:t>
      </w:r>
      <w:r w:rsidRPr="00CC5929">
        <w:rPr>
          <w:rFonts w:ascii="Arial" w:hAnsi="Arial" w:cs="Arial"/>
          <w:bCs/>
          <w:lang w:eastAsia="nl-BE"/>
        </w:rPr>
        <w:t xml:space="preserve">is het </w:t>
      </w:r>
      <w:r w:rsidR="00205CCD" w:rsidRPr="00CC5929">
        <w:rPr>
          <w:rFonts w:ascii="Arial" w:hAnsi="Arial" w:cs="Arial"/>
          <w:bCs/>
          <w:lang w:eastAsia="nl-BE"/>
        </w:rPr>
        <w:t>ernst</w:t>
      </w:r>
      <w:r w:rsidRPr="00CC5929">
        <w:rPr>
          <w:rFonts w:ascii="Arial" w:hAnsi="Arial" w:cs="Arial"/>
          <w:bCs/>
          <w:lang w:eastAsia="nl-BE"/>
        </w:rPr>
        <w:t xml:space="preserve">criterium. </w:t>
      </w:r>
      <w:r w:rsidR="00C65C7E">
        <w:rPr>
          <w:rFonts w:ascii="Arial" w:hAnsi="Arial" w:cs="Arial"/>
          <w:bCs/>
          <w:lang w:eastAsia="nl-BE"/>
        </w:rPr>
        <w:t xml:space="preserve">Dit criterium betekent dat er een </w:t>
      </w:r>
      <w:r w:rsidRPr="00424E03">
        <w:rPr>
          <w:rFonts w:ascii="Arial" w:hAnsi="Arial" w:cs="Arial"/>
          <w:b/>
          <w:bCs/>
          <w:lang w:eastAsia="nl-BE"/>
        </w:rPr>
        <w:t>ernstige achterstand</w:t>
      </w:r>
      <w:r w:rsidR="00C65C7E">
        <w:rPr>
          <w:rFonts w:ascii="Arial" w:hAnsi="Arial" w:cs="Arial"/>
          <w:bCs/>
          <w:lang w:eastAsia="nl-BE"/>
        </w:rPr>
        <w:t xml:space="preserve"> moet </w:t>
      </w:r>
      <w:r w:rsidRPr="007723C8">
        <w:rPr>
          <w:rFonts w:ascii="Arial" w:hAnsi="Arial" w:cs="Arial"/>
          <w:bCs/>
          <w:lang w:eastAsia="nl-BE"/>
        </w:rPr>
        <w:t>zijn</w:t>
      </w:r>
      <w:r w:rsidRPr="00CC5929">
        <w:rPr>
          <w:rFonts w:ascii="Arial" w:hAnsi="Arial" w:cs="Arial"/>
          <w:bCs/>
          <w:lang w:eastAsia="nl-BE"/>
        </w:rPr>
        <w:t xml:space="preserve"> op vlak van lezen en/of spellen (bij dyslexie) of op vlak van rekenen (bij dyscalculie)</w:t>
      </w:r>
      <w:r w:rsidR="009D7140" w:rsidRPr="00CC5929">
        <w:rPr>
          <w:rFonts w:ascii="Arial" w:hAnsi="Arial" w:cs="Arial"/>
          <w:bCs/>
          <w:lang w:eastAsia="nl-BE"/>
        </w:rPr>
        <w:t xml:space="preserve"> op een vo</w:t>
      </w:r>
      <w:r w:rsidR="00424E03">
        <w:rPr>
          <w:rFonts w:ascii="Arial" w:hAnsi="Arial" w:cs="Arial"/>
          <w:bCs/>
          <w:lang w:eastAsia="nl-BE"/>
        </w:rPr>
        <w:t xml:space="preserve">or Vlaanderen gevalideerde lees-, </w:t>
      </w:r>
      <w:r w:rsidR="009D7140" w:rsidRPr="00CC5929">
        <w:rPr>
          <w:rFonts w:ascii="Arial" w:hAnsi="Arial" w:cs="Arial"/>
          <w:bCs/>
          <w:lang w:eastAsia="nl-BE"/>
        </w:rPr>
        <w:t>spelling</w:t>
      </w:r>
      <w:r w:rsidR="00206280">
        <w:rPr>
          <w:rFonts w:ascii="Arial" w:hAnsi="Arial" w:cs="Arial"/>
          <w:bCs/>
          <w:lang w:eastAsia="nl-BE"/>
        </w:rPr>
        <w:t>-</w:t>
      </w:r>
      <w:r w:rsidR="009D7140" w:rsidRPr="00CC5929">
        <w:rPr>
          <w:rFonts w:ascii="Arial" w:hAnsi="Arial" w:cs="Arial"/>
          <w:bCs/>
          <w:lang w:eastAsia="nl-BE"/>
        </w:rPr>
        <w:t xml:space="preserve"> of rekentest</w:t>
      </w:r>
      <w:r w:rsidRPr="00CC5929">
        <w:rPr>
          <w:rFonts w:ascii="Arial" w:hAnsi="Arial" w:cs="Arial"/>
          <w:bCs/>
          <w:lang w:eastAsia="nl-BE"/>
        </w:rPr>
        <w:t xml:space="preserve">. </w:t>
      </w:r>
    </w:p>
    <w:p w14:paraId="2B8BAB91" w14:textId="77777777" w:rsidR="00B86785" w:rsidRDefault="00B86785" w:rsidP="00C65C7E">
      <w:pPr>
        <w:spacing w:after="0" w:line="240" w:lineRule="auto"/>
        <w:rPr>
          <w:rFonts w:ascii="Arial" w:hAnsi="Arial" w:cs="Arial"/>
          <w:bCs/>
          <w:lang w:eastAsia="nl-BE"/>
        </w:rPr>
      </w:pPr>
    </w:p>
    <w:p w14:paraId="46BAEB9F" w14:textId="4320DF5C" w:rsidR="00C65C7E" w:rsidRDefault="00C65C7E" w:rsidP="00C65C7E">
      <w:pPr>
        <w:spacing w:after="0" w:line="240" w:lineRule="auto"/>
        <w:rPr>
          <w:rFonts w:ascii="Arial" w:hAnsi="Arial" w:cs="Arial"/>
          <w:bCs/>
          <w:lang w:eastAsia="nl-BE"/>
        </w:rPr>
      </w:pPr>
      <w:r>
        <w:rPr>
          <w:rFonts w:ascii="Arial" w:hAnsi="Arial" w:cs="Arial"/>
          <w:bCs/>
          <w:lang w:eastAsia="nl-BE"/>
        </w:rPr>
        <w:t>Het Netwerk Leerproblemen Vlaanderen s</w:t>
      </w:r>
      <w:r w:rsidR="007723C8">
        <w:rPr>
          <w:rFonts w:ascii="Arial" w:hAnsi="Arial" w:cs="Arial"/>
          <w:bCs/>
          <w:lang w:eastAsia="nl-BE"/>
        </w:rPr>
        <w:t>pre</w:t>
      </w:r>
      <w:r>
        <w:rPr>
          <w:rFonts w:ascii="Arial" w:hAnsi="Arial" w:cs="Arial"/>
          <w:bCs/>
          <w:lang w:eastAsia="nl-BE"/>
        </w:rPr>
        <w:t>e</w:t>
      </w:r>
      <w:r w:rsidR="007723C8">
        <w:rPr>
          <w:rFonts w:ascii="Arial" w:hAnsi="Arial" w:cs="Arial"/>
          <w:bCs/>
          <w:lang w:eastAsia="nl-BE"/>
        </w:rPr>
        <w:t>k</w:t>
      </w:r>
      <w:r>
        <w:rPr>
          <w:rFonts w:ascii="Arial" w:hAnsi="Arial" w:cs="Arial"/>
          <w:bCs/>
          <w:lang w:eastAsia="nl-BE"/>
        </w:rPr>
        <w:t>t</w:t>
      </w:r>
      <w:r w:rsidR="007723C8">
        <w:rPr>
          <w:rFonts w:ascii="Arial" w:hAnsi="Arial" w:cs="Arial"/>
          <w:bCs/>
          <w:lang w:eastAsia="nl-BE"/>
        </w:rPr>
        <w:t xml:space="preserve"> van </w:t>
      </w:r>
      <w:r>
        <w:rPr>
          <w:rFonts w:ascii="Arial" w:hAnsi="Arial" w:cs="Arial"/>
          <w:bCs/>
          <w:lang w:eastAsia="nl-BE"/>
        </w:rPr>
        <w:t xml:space="preserve">een </w:t>
      </w:r>
      <w:r w:rsidR="00B86785">
        <w:rPr>
          <w:rFonts w:ascii="Arial" w:hAnsi="Arial" w:cs="Arial"/>
          <w:bCs/>
          <w:lang w:eastAsia="nl-BE"/>
        </w:rPr>
        <w:t>‘ernstige’ achterstand</w:t>
      </w:r>
      <w:r>
        <w:rPr>
          <w:rFonts w:ascii="Arial" w:hAnsi="Arial" w:cs="Arial"/>
          <w:bCs/>
          <w:lang w:eastAsia="nl-BE"/>
        </w:rPr>
        <w:t xml:space="preserve"> bij </w:t>
      </w:r>
      <w:r w:rsidR="007723C8">
        <w:rPr>
          <w:rFonts w:ascii="Arial" w:hAnsi="Arial" w:cs="Arial"/>
          <w:bCs/>
          <w:lang w:eastAsia="nl-BE"/>
        </w:rPr>
        <w:t xml:space="preserve">een </w:t>
      </w:r>
      <w:r w:rsidR="007723C8" w:rsidRPr="007723C8">
        <w:rPr>
          <w:rFonts w:ascii="Arial" w:hAnsi="Arial" w:cs="Arial"/>
          <w:b/>
          <w:bCs/>
          <w:lang w:eastAsia="nl-BE"/>
        </w:rPr>
        <w:t>klinische score</w:t>
      </w:r>
      <w:r w:rsidR="00424E03">
        <w:rPr>
          <w:rFonts w:ascii="Arial" w:hAnsi="Arial" w:cs="Arial"/>
          <w:b/>
          <w:bCs/>
          <w:lang w:eastAsia="nl-BE"/>
        </w:rPr>
        <w:t xml:space="preserve"> </w:t>
      </w:r>
      <w:r w:rsidRPr="00C65C7E">
        <w:rPr>
          <w:rFonts w:ascii="Arial" w:hAnsi="Arial" w:cs="Arial"/>
          <w:bCs/>
          <w:lang w:eastAsia="nl-BE"/>
        </w:rPr>
        <w:t>(</w:t>
      </w:r>
      <w:r w:rsidR="00424E03">
        <w:rPr>
          <w:rFonts w:ascii="Arial" w:hAnsi="Arial" w:cs="Arial"/>
          <w:bCs/>
          <w:lang w:eastAsia="nl-BE"/>
        </w:rPr>
        <w:t>&lt; percentiel 10</w:t>
      </w:r>
      <w:r w:rsidRPr="00C65C7E">
        <w:rPr>
          <w:rFonts w:ascii="Arial" w:hAnsi="Arial" w:cs="Arial"/>
          <w:bCs/>
          <w:lang w:eastAsia="nl-BE"/>
        </w:rPr>
        <w:t>)</w:t>
      </w:r>
      <w:r w:rsidR="007723C8" w:rsidRPr="00C65C7E">
        <w:rPr>
          <w:rFonts w:ascii="Arial" w:hAnsi="Arial" w:cs="Arial"/>
          <w:bCs/>
          <w:lang w:eastAsia="nl-BE"/>
        </w:rPr>
        <w:t xml:space="preserve">. </w:t>
      </w:r>
      <w:r>
        <w:rPr>
          <w:rFonts w:ascii="Arial" w:hAnsi="Arial" w:cs="Arial"/>
          <w:bCs/>
          <w:lang w:eastAsia="nl-BE"/>
        </w:rPr>
        <w:t xml:space="preserve"> </w:t>
      </w:r>
      <w:r w:rsidR="00B86785">
        <w:rPr>
          <w:rFonts w:ascii="Arial" w:hAnsi="Arial" w:cs="Arial"/>
          <w:bCs/>
          <w:lang w:eastAsia="nl-BE"/>
        </w:rPr>
        <w:t>H</w:t>
      </w:r>
      <w:r>
        <w:rPr>
          <w:rFonts w:ascii="Arial" w:hAnsi="Arial" w:cs="Arial"/>
          <w:bCs/>
          <w:lang w:eastAsia="nl-BE"/>
        </w:rPr>
        <w:t>e</w:t>
      </w:r>
      <w:r w:rsidR="00B86785">
        <w:rPr>
          <w:rFonts w:ascii="Arial" w:hAnsi="Arial" w:cs="Arial"/>
          <w:bCs/>
          <w:lang w:eastAsia="nl-BE"/>
        </w:rPr>
        <w:t>t</w:t>
      </w:r>
      <w:r>
        <w:rPr>
          <w:rFonts w:ascii="Arial" w:hAnsi="Arial" w:cs="Arial"/>
          <w:bCs/>
          <w:lang w:eastAsia="nl-BE"/>
        </w:rPr>
        <w:t xml:space="preserve"> </w:t>
      </w:r>
      <w:r w:rsidR="00B86785">
        <w:rPr>
          <w:rFonts w:ascii="Arial" w:hAnsi="Arial" w:cs="Arial"/>
          <w:bCs/>
          <w:lang w:eastAsia="nl-BE"/>
        </w:rPr>
        <w:t xml:space="preserve">gebruik maken van </w:t>
      </w:r>
      <w:r>
        <w:rPr>
          <w:rFonts w:ascii="Arial" w:hAnsi="Arial" w:cs="Arial"/>
          <w:bCs/>
          <w:lang w:eastAsia="nl-BE"/>
        </w:rPr>
        <w:t>percentiel 10</w:t>
      </w:r>
      <w:r w:rsidR="00B86785">
        <w:rPr>
          <w:rFonts w:ascii="Arial" w:hAnsi="Arial" w:cs="Arial"/>
          <w:bCs/>
          <w:lang w:eastAsia="nl-BE"/>
        </w:rPr>
        <w:t xml:space="preserve"> als cut off </w:t>
      </w:r>
      <w:r>
        <w:rPr>
          <w:rFonts w:ascii="Arial" w:hAnsi="Arial" w:cs="Arial"/>
          <w:bCs/>
          <w:lang w:eastAsia="nl-BE"/>
        </w:rPr>
        <w:t>is enigszins arbitrair, maar het is duidelijk dat w</w:t>
      </w:r>
      <w:r w:rsidR="00205CCD" w:rsidRPr="00CC5929">
        <w:rPr>
          <w:rFonts w:ascii="Arial" w:hAnsi="Arial" w:cs="Arial"/>
          <w:bCs/>
          <w:lang w:eastAsia="nl-BE"/>
        </w:rPr>
        <w:t xml:space="preserve">ie iets minder vlot leest, spelt of rekent </w:t>
      </w:r>
      <w:r w:rsidR="009D7140" w:rsidRPr="00CC5929">
        <w:rPr>
          <w:rFonts w:ascii="Arial" w:hAnsi="Arial" w:cs="Arial"/>
          <w:bCs/>
          <w:lang w:eastAsia="nl-BE"/>
        </w:rPr>
        <w:t xml:space="preserve">(bijvoorbeeld </w:t>
      </w:r>
      <w:r w:rsidR="001563E1">
        <w:rPr>
          <w:rFonts w:ascii="Arial" w:hAnsi="Arial" w:cs="Arial"/>
          <w:bCs/>
          <w:lang w:eastAsia="nl-BE"/>
        </w:rPr>
        <w:t xml:space="preserve"> een score haalt tussen p</w:t>
      </w:r>
      <w:r w:rsidR="009D7140" w:rsidRPr="00CC5929">
        <w:rPr>
          <w:rFonts w:ascii="Arial" w:hAnsi="Arial" w:cs="Arial"/>
          <w:bCs/>
          <w:lang w:eastAsia="nl-BE"/>
        </w:rPr>
        <w:t xml:space="preserve">ercentiel </w:t>
      </w:r>
      <w:r w:rsidR="001563E1">
        <w:rPr>
          <w:rFonts w:ascii="Arial" w:hAnsi="Arial" w:cs="Arial"/>
          <w:bCs/>
          <w:lang w:eastAsia="nl-BE"/>
        </w:rPr>
        <w:t>17-</w:t>
      </w:r>
      <w:r w:rsidR="009D7140" w:rsidRPr="00CC5929">
        <w:rPr>
          <w:rFonts w:ascii="Arial" w:hAnsi="Arial" w:cs="Arial"/>
          <w:bCs/>
          <w:lang w:eastAsia="nl-BE"/>
        </w:rPr>
        <w:t xml:space="preserve">25) </w:t>
      </w:r>
      <w:r w:rsidR="00D45C7C">
        <w:rPr>
          <w:rFonts w:ascii="Arial" w:hAnsi="Arial" w:cs="Arial"/>
          <w:bCs/>
          <w:lang w:eastAsia="nl-BE"/>
        </w:rPr>
        <w:t xml:space="preserve">bij de </w:t>
      </w:r>
      <w:r>
        <w:rPr>
          <w:rFonts w:ascii="Arial" w:hAnsi="Arial" w:cs="Arial"/>
          <w:bCs/>
          <w:lang w:eastAsia="nl-BE"/>
        </w:rPr>
        <w:t>‘</w:t>
      </w:r>
      <w:r w:rsidR="00D45C7C">
        <w:rPr>
          <w:rFonts w:ascii="Arial" w:hAnsi="Arial" w:cs="Arial"/>
          <w:bCs/>
          <w:lang w:eastAsia="nl-BE"/>
        </w:rPr>
        <w:t>normale variatie</w:t>
      </w:r>
      <w:r w:rsidR="007723C8">
        <w:rPr>
          <w:rFonts w:ascii="Arial" w:hAnsi="Arial" w:cs="Arial"/>
          <w:bCs/>
          <w:lang w:eastAsia="nl-BE"/>
        </w:rPr>
        <w:t>’ (-1SD</w:t>
      </w:r>
      <w:r w:rsidR="00D45C7C">
        <w:rPr>
          <w:rFonts w:ascii="Arial" w:hAnsi="Arial" w:cs="Arial"/>
          <w:bCs/>
          <w:lang w:eastAsia="nl-BE"/>
        </w:rPr>
        <w:t>)</w:t>
      </w:r>
      <w:r>
        <w:rPr>
          <w:rFonts w:ascii="Arial" w:hAnsi="Arial" w:cs="Arial"/>
          <w:bCs/>
          <w:lang w:eastAsia="nl-BE"/>
        </w:rPr>
        <w:t xml:space="preserve"> hoort </w:t>
      </w:r>
      <w:r w:rsidR="00424E03">
        <w:rPr>
          <w:rFonts w:ascii="Arial" w:hAnsi="Arial" w:cs="Arial"/>
          <w:bCs/>
          <w:lang w:eastAsia="nl-BE"/>
        </w:rPr>
        <w:t>(zie Figuur 2)</w:t>
      </w:r>
      <w:r w:rsidR="00205CCD" w:rsidRPr="00CC5929">
        <w:rPr>
          <w:rFonts w:ascii="Arial" w:hAnsi="Arial" w:cs="Arial"/>
          <w:bCs/>
          <w:lang w:eastAsia="nl-BE"/>
        </w:rPr>
        <w:t xml:space="preserve">. </w:t>
      </w:r>
    </w:p>
    <w:p w14:paraId="5D0A188C" w14:textId="77777777" w:rsidR="00C65C7E" w:rsidRDefault="00C65C7E" w:rsidP="00C65C7E">
      <w:pPr>
        <w:spacing w:after="0" w:line="240" w:lineRule="auto"/>
        <w:rPr>
          <w:rFonts w:ascii="Arial" w:hAnsi="Arial" w:cs="Arial"/>
          <w:bCs/>
          <w:lang w:eastAsia="nl-BE"/>
        </w:rPr>
      </w:pPr>
    </w:p>
    <w:p w14:paraId="563E1842" w14:textId="77777777" w:rsidR="00424E03" w:rsidRDefault="00424E03" w:rsidP="00C65C7E">
      <w:pPr>
        <w:spacing w:after="0" w:line="240" w:lineRule="auto"/>
        <w:rPr>
          <w:rFonts w:ascii="Arial" w:hAnsi="Arial" w:cs="Arial"/>
          <w:bCs/>
          <w:lang w:eastAsia="nl-BE"/>
        </w:rPr>
      </w:pPr>
    </w:p>
    <w:p w14:paraId="43F5BD26" w14:textId="77777777" w:rsidR="00D45C7C" w:rsidRPr="00CC5929" w:rsidRDefault="00D45C7C" w:rsidP="00CC5929">
      <w:pPr>
        <w:spacing w:after="0" w:line="240" w:lineRule="auto"/>
        <w:rPr>
          <w:rFonts w:ascii="Arial" w:hAnsi="Arial" w:cs="Arial"/>
          <w:bCs/>
          <w:lang w:eastAsia="nl-BE"/>
        </w:rPr>
      </w:pPr>
    </w:p>
    <w:p w14:paraId="456644E7" w14:textId="77777777" w:rsidR="00FD372C" w:rsidRDefault="009C30AE" w:rsidP="00FD372C">
      <w:pPr>
        <w:spacing w:after="0" w:line="240" w:lineRule="auto"/>
        <w:jc w:val="center"/>
        <w:rPr>
          <w:rFonts w:ascii="Arial" w:hAnsi="Arial" w:cs="Arial"/>
          <w:bCs/>
          <w:lang w:eastAsia="nl-BE"/>
        </w:rPr>
      </w:pPr>
      <w:r w:rsidRPr="008D1DB9">
        <w:rPr>
          <w:rFonts w:ascii="Arial" w:hAnsi="Arial" w:cs="Arial"/>
          <w:noProof/>
          <w:lang w:eastAsia="nl-BE"/>
        </w:rPr>
        <w:drawing>
          <wp:inline distT="0" distB="0" distL="0" distR="0" wp14:anchorId="3C50AEB0" wp14:editId="7E4A5F4A">
            <wp:extent cx="4119519" cy="2771775"/>
            <wp:effectExtent l="0" t="0" r="0" b="0"/>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21207" cy="2772911"/>
                    </a:xfrm>
                    <a:prstGeom prst="rect">
                      <a:avLst/>
                    </a:prstGeom>
                  </pic:spPr>
                </pic:pic>
              </a:graphicData>
            </a:graphic>
          </wp:inline>
        </w:drawing>
      </w:r>
    </w:p>
    <w:p w14:paraId="7F6E338C" w14:textId="77777777" w:rsidR="00CC5929" w:rsidRDefault="009D7140" w:rsidP="00AC2A22">
      <w:pPr>
        <w:spacing w:after="0" w:line="240" w:lineRule="auto"/>
        <w:rPr>
          <w:rFonts w:ascii="Arial" w:hAnsi="Arial" w:cs="Arial"/>
          <w:bCs/>
          <w:lang w:eastAsia="nl-BE"/>
        </w:rPr>
      </w:pPr>
      <w:r w:rsidRPr="009D7140">
        <w:rPr>
          <w:noProof/>
          <w:lang w:eastAsia="nl-BE"/>
        </w:rPr>
        <mc:AlternateContent>
          <mc:Choice Requires="wps">
            <w:drawing>
              <wp:anchor distT="0" distB="0" distL="114300" distR="114300" simplePos="0" relativeHeight="251669504" behindDoc="0" locked="0" layoutInCell="1" allowOverlap="1" wp14:anchorId="0636936C" wp14:editId="76C23B52">
                <wp:simplePos x="0" y="0"/>
                <wp:positionH relativeFrom="column">
                  <wp:posOffset>0</wp:posOffset>
                </wp:positionH>
                <wp:positionV relativeFrom="paragraph">
                  <wp:posOffset>161290</wp:posOffset>
                </wp:positionV>
                <wp:extent cx="6487160" cy="635"/>
                <wp:effectExtent l="0" t="0" r="8890" b="5715"/>
                <wp:wrapTopAndBottom/>
                <wp:docPr id="10" name="Tekstvak 10"/>
                <wp:cNvGraphicFramePr/>
                <a:graphic xmlns:a="http://schemas.openxmlformats.org/drawingml/2006/main">
                  <a:graphicData uri="http://schemas.microsoft.com/office/word/2010/wordprocessingShape">
                    <wps:wsp>
                      <wps:cNvSpPr txBox="1"/>
                      <wps:spPr>
                        <a:xfrm>
                          <a:off x="0" y="0"/>
                          <a:ext cx="6487160" cy="635"/>
                        </a:xfrm>
                        <a:prstGeom prst="rect">
                          <a:avLst/>
                        </a:prstGeom>
                        <a:solidFill>
                          <a:prstClr val="white"/>
                        </a:solidFill>
                        <a:ln>
                          <a:noFill/>
                        </a:ln>
                      </wps:spPr>
                      <wps:txbx>
                        <w:txbxContent>
                          <w:p w14:paraId="04DA2535" w14:textId="77777777" w:rsidR="00626F6C" w:rsidRPr="001E6E17" w:rsidRDefault="00626F6C" w:rsidP="009D7140">
                            <w:pPr>
                              <w:pStyle w:val="Bijschrift"/>
                              <w:rPr>
                                <w:rFonts w:ascii="Cambria" w:hAnsi="Cambria"/>
                                <w:noProof/>
                              </w:rPr>
                            </w:pPr>
                            <w:r w:rsidRPr="001E6E17">
                              <w:rPr>
                                <w:rFonts w:ascii="Cambria" w:hAnsi="Cambria"/>
                              </w:rPr>
                              <w:t>Figuur</w:t>
                            </w:r>
                            <w:r>
                              <w:rPr>
                                <w:rFonts w:ascii="Cambria" w:hAnsi="Cambria"/>
                              </w:rPr>
                              <w:t xml:space="preserve"> 2. Visualisatie van ‘klinische’ score</w:t>
                            </w:r>
                            <w:r w:rsidRPr="001E6E17">
                              <w:rPr>
                                <w:rFonts w:ascii="Cambria" w:hAnsi="Cambria"/>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36936C" id="Tekstvak 10" o:spid="_x0000_s1027" type="#_x0000_t202" style="position:absolute;margin-left:0;margin-top:12.7pt;width:510.8pt;height:.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" stroked="f">
                <v:textbox style="mso-fit-shape-to-text:t" inset="0,0,0,0">
                  <w:txbxContent>
                    <w:p w14:paraId="04DA2535" w14:textId="77777777" w:rsidR="00626F6C" w:rsidRPr="001E6E17" w:rsidRDefault="00626F6C" w:rsidP="009D7140">
                      <w:pPr>
                        <w:pStyle w:val="Bijschrift"/>
                        <w:rPr>
                          <w:rFonts w:ascii="Cambria" w:hAnsi="Cambria"/>
                          <w:noProof/>
                        </w:rPr>
                      </w:pPr>
                      <w:r w:rsidRPr="001E6E17">
                        <w:rPr>
                          <w:rFonts w:ascii="Cambria" w:hAnsi="Cambria"/>
                        </w:rPr>
                        <w:t>Figuur</w:t>
                      </w:r>
                      <w:r>
                        <w:rPr>
                          <w:rFonts w:ascii="Cambria" w:hAnsi="Cambria"/>
                        </w:rPr>
                        <w:t xml:space="preserve"> 2. Visualisatie van ‘klinische’ score</w:t>
                      </w:r>
                      <w:r w:rsidRPr="001E6E17">
                        <w:rPr>
                          <w:rFonts w:ascii="Cambria" w:hAnsi="Cambria"/>
                        </w:rPr>
                        <w:t>.</w:t>
                      </w:r>
                    </w:p>
                  </w:txbxContent>
                </v:textbox>
                <w10:wrap type="topAndBottom"/>
              </v:shape>
            </w:pict>
          </mc:Fallback>
        </mc:AlternateContent>
      </w:r>
    </w:p>
    <w:p w14:paraId="41BC75B3" w14:textId="77777777" w:rsidR="00CC5929" w:rsidRDefault="00CC5929" w:rsidP="00AC2A22">
      <w:pPr>
        <w:spacing w:after="0" w:line="240" w:lineRule="auto"/>
        <w:rPr>
          <w:rFonts w:ascii="Arial" w:hAnsi="Arial" w:cs="Arial"/>
          <w:bCs/>
          <w:lang w:eastAsia="nl-BE"/>
        </w:rPr>
      </w:pPr>
    </w:p>
    <w:p w14:paraId="3506CD0D" w14:textId="002DF70B" w:rsidR="00B86785" w:rsidRDefault="00B86785" w:rsidP="00B86785">
      <w:pPr>
        <w:spacing w:after="0" w:line="240" w:lineRule="auto"/>
        <w:rPr>
          <w:rFonts w:ascii="Arial" w:hAnsi="Arial" w:cs="Arial"/>
          <w:bCs/>
          <w:lang w:eastAsia="nl-BE"/>
        </w:rPr>
      </w:pPr>
      <w:r>
        <w:rPr>
          <w:rFonts w:ascii="Arial" w:hAnsi="Arial" w:cs="Arial"/>
          <w:bCs/>
          <w:lang w:eastAsia="nl-BE"/>
        </w:rPr>
        <w:t xml:space="preserve">Het RIZIV spreekt van terugbetaalbare </w:t>
      </w:r>
      <w:r w:rsidR="00BD5A18">
        <w:rPr>
          <w:rFonts w:ascii="Arial" w:hAnsi="Arial" w:cs="Arial"/>
          <w:bCs/>
          <w:lang w:eastAsia="nl-BE"/>
        </w:rPr>
        <w:t xml:space="preserve">(monodisciplinaire – logopedische) </w:t>
      </w:r>
      <w:r>
        <w:rPr>
          <w:rFonts w:ascii="Arial" w:hAnsi="Arial" w:cs="Arial"/>
          <w:bCs/>
          <w:lang w:eastAsia="nl-BE"/>
        </w:rPr>
        <w:t xml:space="preserve">verstrekkingen omwille van dyslexie, dysorthografie en dyscalculie vanaf </w:t>
      </w:r>
      <w:r w:rsidRPr="00B86785">
        <w:rPr>
          <w:rFonts w:ascii="Arial" w:hAnsi="Arial" w:cs="Arial"/>
          <w:b/>
          <w:bCs/>
          <w:lang w:eastAsia="nl-BE"/>
        </w:rPr>
        <w:t>subklinische scores</w:t>
      </w:r>
      <w:r>
        <w:rPr>
          <w:rFonts w:ascii="Arial" w:hAnsi="Arial" w:cs="Arial"/>
          <w:bCs/>
          <w:lang w:eastAsia="nl-BE"/>
        </w:rPr>
        <w:t xml:space="preserve"> (&lt; percentiel 17) die blijven aanhouden ondanks goede hulp bij privaat werkende logopedisten, terwijl ze</w:t>
      </w:r>
      <w:r w:rsidR="00BD5A18">
        <w:rPr>
          <w:rFonts w:ascii="Arial" w:hAnsi="Arial" w:cs="Arial"/>
          <w:bCs/>
          <w:lang w:eastAsia="nl-BE"/>
        </w:rPr>
        <w:t xml:space="preserve"> een</w:t>
      </w:r>
      <w:r>
        <w:rPr>
          <w:rFonts w:ascii="Arial" w:hAnsi="Arial" w:cs="Arial"/>
          <w:bCs/>
          <w:lang w:eastAsia="nl-BE"/>
        </w:rPr>
        <w:t xml:space="preserve"> </w:t>
      </w:r>
      <w:r w:rsidRPr="00B86785">
        <w:rPr>
          <w:rFonts w:ascii="Arial" w:hAnsi="Arial" w:cs="Arial"/>
          <w:b/>
          <w:bCs/>
          <w:lang w:eastAsia="nl-BE"/>
        </w:rPr>
        <w:t>percentiel 3-norm</w:t>
      </w:r>
      <w:r>
        <w:rPr>
          <w:rFonts w:ascii="Arial" w:hAnsi="Arial" w:cs="Arial"/>
          <w:bCs/>
          <w:lang w:eastAsia="nl-BE"/>
        </w:rPr>
        <w:t xml:space="preserve"> hanteren in de centra voor ambulante revalidatie</w:t>
      </w:r>
      <w:r w:rsidR="00BD5A18">
        <w:rPr>
          <w:rFonts w:ascii="Arial" w:hAnsi="Arial" w:cs="Arial"/>
          <w:bCs/>
          <w:lang w:eastAsia="nl-BE"/>
        </w:rPr>
        <w:t xml:space="preserve"> voor het terugbetalen van multidisciplinaire verstrekkingen</w:t>
      </w:r>
      <w:r>
        <w:rPr>
          <w:rFonts w:ascii="Arial" w:hAnsi="Arial" w:cs="Arial"/>
          <w:bCs/>
          <w:lang w:eastAsia="nl-BE"/>
        </w:rPr>
        <w:t xml:space="preserve">.  </w:t>
      </w:r>
    </w:p>
    <w:p w14:paraId="3A4FAFF2" w14:textId="77777777" w:rsidR="00B86785" w:rsidRDefault="00B86785" w:rsidP="00B86785">
      <w:pPr>
        <w:spacing w:after="0" w:line="240" w:lineRule="auto"/>
        <w:rPr>
          <w:rFonts w:ascii="Arial" w:hAnsi="Arial" w:cs="Arial"/>
          <w:bCs/>
          <w:lang w:eastAsia="nl-BE"/>
        </w:rPr>
      </w:pPr>
    </w:p>
    <w:p w14:paraId="3D3232F6" w14:textId="652F3F11" w:rsidR="00B86785" w:rsidRPr="00F17525" w:rsidRDefault="00B86785" w:rsidP="00B86785">
      <w:pPr>
        <w:spacing w:after="0" w:line="240" w:lineRule="auto"/>
        <w:rPr>
          <w:rFonts w:ascii="Arial" w:hAnsi="Arial" w:cs="Arial"/>
          <w:bCs/>
          <w:lang w:eastAsia="nl-BE"/>
        </w:rPr>
      </w:pPr>
      <w:r>
        <w:rPr>
          <w:rFonts w:ascii="Arial" w:hAnsi="Arial" w:cs="Arial"/>
          <w:bCs/>
          <w:lang w:eastAsia="nl-BE"/>
        </w:rPr>
        <w:t xml:space="preserve">De Centra voor Leerlingbegeleiding (CLB), spreken in navolging van het Netwerk Leerproblemen Vlaanderen (Ghesquière, 2014) van dyslexie of dyscalculie bij een ‘klinische’ score  (&lt; </w:t>
      </w:r>
      <w:r w:rsidRPr="00B86785">
        <w:rPr>
          <w:rFonts w:ascii="Arial" w:hAnsi="Arial" w:cs="Arial"/>
          <w:b/>
          <w:bCs/>
          <w:lang w:eastAsia="nl-BE"/>
        </w:rPr>
        <w:t>percentiel 10</w:t>
      </w:r>
      <w:r>
        <w:rPr>
          <w:rFonts w:ascii="Arial" w:hAnsi="Arial" w:cs="Arial"/>
          <w:bCs/>
          <w:lang w:eastAsia="nl-BE"/>
        </w:rPr>
        <w:t xml:space="preserve">) die blijft aanhouden ondanks goede hulp (zie verder 3.3.3).  Het is </w:t>
      </w:r>
      <w:r>
        <w:rPr>
          <w:rFonts w:ascii="Arial" w:hAnsi="Arial" w:cs="Arial"/>
          <w:bCs/>
          <w:lang w:eastAsia="nl-BE"/>
        </w:rPr>
        <w:lastRenderedPageBreak/>
        <w:t>echter van belang om ook an</w:t>
      </w:r>
      <w:r w:rsidRPr="00F17525">
        <w:rPr>
          <w:rFonts w:ascii="Arial" w:hAnsi="Arial" w:cs="Arial"/>
          <w:bCs/>
          <w:lang w:eastAsia="nl-BE"/>
        </w:rPr>
        <w:t xml:space="preserve">dere informatie </w:t>
      </w:r>
      <w:r>
        <w:rPr>
          <w:rFonts w:ascii="Arial" w:hAnsi="Arial" w:cs="Arial"/>
          <w:bCs/>
          <w:lang w:eastAsia="nl-BE"/>
        </w:rPr>
        <w:t>op  te nemen</w:t>
      </w:r>
      <w:r w:rsidRPr="00F17525">
        <w:rPr>
          <w:rFonts w:ascii="Arial" w:hAnsi="Arial" w:cs="Arial"/>
          <w:bCs/>
          <w:lang w:eastAsia="nl-BE"/>
        </w:rPr>
        <w:t xml:space="preserve"> </w:t>
      </w:r>
      <w:r>
        <w:rPr>
          <w:rFonts w:ascii="Arial" w:hAnsi="Arial" w:cs="Arial"/>
          <w:bCs/>
          <w:lang w:eastAsia="nl-BE"/>
        </w:rPr>
        <w:t xml:space="preserve">in de diagnostische besluitvorming </w:t>
      </w:r>
      <w:r w:rsidRPr="00F17525">
        <w:rPr>
          <w:rFonts w:ascii="Arial" w:hAnsi="Arial" w:cs="Arial"/>
          <w:bCs/>
          <w:lang w:eastAsia="nl-BE"/>
        </w:rPr>
        <w:t xml:space="preserve">en </w:t>
      </w:r>
      <w:r>
        <w:rPr>
          <w:rFonts w:ascii="Arial" w:hAnsi="Arial" w:cs="Arial"/>
          <w:bCs/>
          <w:lang w:eastAsia="nl-BE"/>
        </w:rPr>
        <w:t xml:space="preserve">zich niet enkel te baseren </w:t>
      </w:r>
      <w:r w:rsidRPr="00F17525">
        <w:rPr>
          <w:rFonts w:ascii="Arial" w:hAnsi="Arial" w:cs="Arial"/>
          <w:bCs/>
          <w:lang w:eastAsia="nl-BE"/>
        </w:rPr>
        <w:t>op slechts één testresultaat</w:t>
      </w:r>
      <w:r>
        <w:rPr>
          <w:rFonts w:ascii="Arial" w:hAnsi="Arial" w:cs="Arial"/>
          <w:bCs/>
          <w:lang w:eastAsia="nl-BE"/>
        </w:rPr>
        <w:t>, aldus het CLB</w:t>
      </w:r>
      <w:r w:rsidRPr="00F17525">
        <w:rPr>
          <w:rFonts w:ascii="Arial" w:hAnsi="Arial" w:cs="Arial"/>
          <w:bCs/>
          <w:lang w:eastAsia="nl-BE"/>
        </w:rPr>
        <w:t xml:space="preserve">. </w:t>
      </w:r>
    </w:p>
    <w:p w14:paraId="3A6B3E84" w14:textId="1B83C83F" w:rsidR="00B86785" w:rsidRPr="00F17525" w:rsidRDefault="00B86785" w:rsidP="00B86785">
      <w:pPr>
        <w:spacing w:after="0" w:line="240" w:lineRule="auto"/>
        <w:rPr>
          <w:rFonts w:ascii="Arial" w:hAnsi="Arial" w:cs="Arial"/>
          <w:bCs/>
          <w:lang w:eastAsia="nl-BE"/>
        </w:rPr>
      </w:pPr>
      <w:r>
        <w:rPr>
          <w:rFonts w:ascii="Arial" w:hAnsi="Arial" w:cs="Arial"/>
          <w:bCs/>
          <w:lang w:eastAsia="nl-BE"/>
        </w:rPr>
        <w:t xml:space="preserve">Bij </w:t>
      </w:r>
      <w:r w:rsidRPr="00F17525">
        <w:rPr>
          <w:rFonts w:ascii="Arial" w:hAnsi="Arial" w:cs="Arial"/>
          <w:bCs/>
          <w:lang w:eastAsia="nl-BE"/>
        </w:rPr>
        <w:t>kinderen</w:t>
      </w:r>
      <w:r>
        <w:rPr>
          <w:rFonts w:ascii="Arial" w:hAnsi="Arial" w:cs="Arial"/>
          <w:bCs/>
          <w:lang w:eastAsia="nl-BE"/>
        </w:rPr>
        <w:t xml:space="preserve"> </w:t>
      </w:r>
      <w:r w:rsidRPr="00F17525">
        <w:rPr>
          <w:rFonts w:ascii="Arial" w:hAnsi="Arial" w:cs="Arial"/>
          <w:bCs/>
          <w:lang w:eastAsia="nl-BE"/>
        </w:rPr>
        <w:t xml:space="preserve">die </w:t>
      </w:r>
      <w:r>
        <w:rPr>
          <w:rFonts w:ascii="Arial" w:hAnsi="Arial" w:cs="Arial"/>
          <w:bCs/>
          <w:lang w:eastAsia="nl-BE"/>
        </w:rPr>
        <w:t xml:space="preserve">een percentiel tussen </w:t>
      </w:r>
      <w:r w:rsidRPr="00AC2A22">
        <w:rPr>
          <w:rFonts w:ascii="Arial" w:hAnsi="Arial" w:cs="Arial"/>
          <w:bCs/>
          <w:lang w:eastAsia="nl-BE"/>
        </w:rPr>
        <w:t>10-15</w:t>
      </w:r>
      <w:r>
        <w:rPr>
          <w:rFonts w:ascii="Arial" w:hAnsi="Arial" w:cs="Arial"/>
          <w:bCs/>
          <w:lang w:eastAsia="nl-BE"/>
        </w:rPr>
        <w:t xml:space="preserve"> halen, </w:t>
      </w:r>
      <w:r w:rsidRPr="00F17525">
        <w:rPr>
          <w:rFonts w:ascii="Arial" w:hAnsi="Arial" w:cs="Arial"/>
          <w:bCs/>
          <w:lang w:eastAsia="nl-BE"/>
        </w:rPr>
        <w:t xml:space="preserve">kan bijkomende evidentie (bijvoorbeeld zeer sterke cognitieve vaardigheden) een CLB-team </w:t>
      </w:r>
      <w:r>
        <w:rPr>
          <w:rFonts w:ascii="Arial" w:hAnsi="Arial" w:cs="Arial"/>
          <w:bCs/>
          <w:lang w:eastAsia="nl-BE"/>
        </w:rPr>
        <w:t xml:space="preserve">daarom toch </w:t>
      </w:r>
      <w:r w:rsidRPr="00F17525">
        <w:rPr>
          <w:rFonts w:ascii="Arial" w:hAnsi="Arial" w:cs="Arial"/>
          <w:bCs/>
          <w:lang w:eastAsia="nl-BE"/>
        </w:rPr>
        <w:t xml:space="preserve">doen beslissen om </w:t>
      </w:r>
      <w:r>
        <w:rPr>
          <w:rFonts w:ascii="Arial" w:hAnsi="Arial" w:cs="Arial"/>
          <w:bCs/>
          <w:lang w:eastAsia="nl-BE"/>
        </w:rPr>
        <w:t xml:space="preserve">te stellen dat er voldaan is aan de beschrijvende criteria om te spreken van de </w:t>
      </w:r>
      <w:r w:rsidRPr="00F17525">
        <w:rPr>
          <w:rFonts w:ascii="Arial" w:hAnsi="Arial" w:cs="Arial"/>
          <w:bCs/>
          <w:lang w:eastAsia="nl-BE"/>
        </w:rPr>
        <w:t>diagnose leerstoornis</w:t>
      </w:r>
      <w:r>
        <w:rPr>
          <w:rFonts w:ascii="Arial" w:hAnsi="Arial" w:cs="Arial"/>
          <w:bCs/>
          <w:lang w:eastAsia="nl-BE"/>
        </w:rPr>
        <w:t xml:space="preserve">, ondanks het feit dat niet in de strikte zin van het woord voldaan is aan het ernstcriterium. </w:t>
      </w:r>
      <w:r w:rsidRPr="00F17525">
        <w:rPr>
          <w:rFonts w:ascii="Arial" w:hAnsi="Arial" w:cs="Arial"/>
          <w:bCs/>
          <w:lang w:eastAsia="nl-BE"/>
        </w:rPr>
        <w:t xml:space="preserve"> </w:t>
      </w:r>
    </w:p>
    <w:p w14:paraId="18B201C5" w14:textId="77777777" w:rsidR="00B86785" w:rsidRDefault="00B86785" w:rsidP="00AC2A22">
      <w:pPr>
        <w:spacing w:after="0" w:line="240" w:lineRule="auto"/>
        <w:rPr>
          <w:rFonts w:ascii="Arial" w:hAnsi="Arial" w:cs="Arial"/>
          <w:bCs/>
          <w:lang w:eastAsia="nl-BE"/>
        </w:rPr>
      </w:pPr>
    </w:p>
    <w:p w14:paraId="5C99D6DD" w14:textId="1A5419E1" w:rsidR="00E27EC6" w:rsidRPr="00F17525" w:rsidRDefault="00B86785" w:rsidP="00E27EC6">
      <w:pPr>
        <w:rPr>
          <w:rFonts w:ascii="Arial" w:hAnsi="Arial" w:cs="Arial"/>
          <w:bCs/>
          <w:lang w:eastAsia="nl-BE"/>
        </w:rPr>
      </w:pPr>
      <w:r>
        <w:rPr>
          <w:rFonts w:ascii="Arial" w:hAnsi="Arial" w:cs="Arial"/>
        </w:rPr>
        <w:t xml:space="preserve">Het ernstcriterium (&lt; percentiel 17) objectiveren moet in functie van terugbetaalbare </w:t>
      </w:r>
      <w:r w:rsidR="00CC5929">
        <w:rPr>
          <w:rFonts w:ascii="Arial" w:hAnsi="Arial" w:cs="Arial"/>
        </w:rPr>
        <w:t xml:space="preserve">logopedische </w:t>
      </w:r>
      <w:r w:rsidR="00CC5929" w:rsidRPr="008D1DB9">
        <w:rPr>
          <w:rFonts w:ascii="Arial" w:hAnsi="Arial" w:cs="Arial"/>
        </w:rPr>
        <w:t xml:space="preserve">verstrekkingen </w:t>
      </w:r>
      <w:r w:rsidR="00CC5929">
        <w:rPr>
          <w:rFonts w:ascii="Arial" w:hAnsi="Arial" w:cs="Arial"/>
        </w:rPr>
        <w:t xml:space="preserve">gebeuren </w:t>
      </w:r>
      <w:r>
        <w:rPr>
          <w:rFonts w:ascii="Arial" w:hAnsi="Arial" w:cs="Arial"/>
        </w:rPr>
        <w:t>met behulp van</w:t>
      </w:r>
      <w:r w:rsidR="00CC5929">
        <w:rPr>
          <w:rFonts w:ascii="Arial" w:hAnsi="Arial" w:cs="Arial"/>
        </w:rPr>
        <w:t xml:space="preserve"> </w:t>
      </w:r>
      <w:r w:rsidR="009B6EFA">
        <w:rPr>
          <w:rFonts w:ascii="Arial" w:hAnsi="Arial" w:cs="Arial"/>
        </w:rPr>
        <w:t>gestandaardiseerde test</w:t>
      </w:r>
      <w:r w:rsidR="00BD5A18">
        <w:rPr>
          <w:rFonts w:ascii="Arial" w:hAnsi="Arial" w:cs="Arial"/>
        </w:rPr>
        <w:t xml:space="preserve">s die op een </w:t>
      </w:r>
      <w:r w:rsidR="00CC5929" w:rsidRPr="00E20D60">
        <w:rPr>
          <w:rFonts w:ascii="Arial" w:hAnsi="Arial" w:cs="Arial"/>
          <w:b/>
        </w:rPr>
        <w:t>limitatieve lijst</w:t>
      </w:r>
      <w:r w:rsidR="00BD5A18">
        <w:rPr>
          <w:rFonts w:ascii="Arial" w:hAnsi="Arial" w:cs="Arial"/>
          <w:b/>
        </w:rPr>
        <w:t xml:space="preserve"> </w:t>
      </w:r>
      <w:r w:rsidR="00BD5A18" w:rsidRPr="00BD5A18">
        <w:rPr>
          <w:rFonts w:ascii="Arial" w:hAnsi="Arial" w:cs="Arial"/>
        </w:rPr>
        <w:t>staan</w:t>
      </w:r>
      <w:r w:rsidR="00D45C7C" w:rsidRPr="00BD5A18">
        <w:rPr>
          <w:rFonts w:ascii="Arial" w:hAnsi="Arial" w:cs="Arial"/>
        </w:rPr>
        <w:t>.</w:t>
      </w:r>
      <w:r w:rsidR="00CC5929" w:rsidRPr="008D1DB9">
        <w:rPr>
          <w:rFonts w:ascii="Arial" w:hAnsi="Arial" w:cs="Arial"/>
        </w:rPr>
        <w:t xml:space="preserve"> </w:t>
      </w:r>
      <w:r w:rsidR="00E27EC6">
        <w:rPr>
          <w:rFonts w:ascii="Arial" w:hAnsi="Arial" w:cs="Arial"/>
        </w:rPr>
        <w:t>De</w:t>
      </w:r>
      <w:r w:rsidR="00BD5A18">
        <w:rPr>
          <w:rFonts w:ascii="Arial" w:hAnsi="Arial" w:cs="Arial"/>
        </w:rPr>
        <w:t>ze</w:t>
      </w:r>
      <w:r w:rsidR="00E27EC6">
        <w:rPr>
          <w:rFonts w:ascii="Arial" w:hAnsi="Arial" w:cs="Arial"/>
        </w:rPr>
        <w:t xml:space="preserve"> l</w:t>
      </w:r>
      <w:r w:rsidR="00E20D60">
        <w:rPr>
          <w:rFonts w:ascii="Arial" w:hAnsi="Arial" w:cs="Arial"/>
        </w:rPr>
        <w:t>imitatieve l</w:t>
      </w:r>
      <w:r w:rsidR="00E27EC6">
        <w:rPr>
          <w:rFonts w:ascii="Arial" w:hAnsi="Arial" w:cs="Arial"/>
        </w:rPr>
        <w:t xml:space="preserve">ijst is bedoeld om de kwaliteit van de gekozen tests </w:t>
      </w:r>
      <w:r w:rsidR="00E20D60">
        <w:rPr>
          <w:rFonts w:ascii="Arial" w:hAnsi="Arial" w:cs="Arial"/>
        </w:rPr>
        <w:t xml:space="preserve">in aanvangsbilans </w:t>
      </w:r>
      <w:r w:rsidR="00E27EC6">
        <w:rPr>
          <w:rFonts w:ascii="Arial" w:hAnsi="Arial" w:cs="Arial"/>
        </w:rPr>
        <w:t xml:space="preserve">te bewaken. </w:t>
      </w:r>
      <w:r w:rsidR="00E20D60">
        <w:rPr>
          <w:rStyle w:val="Zwaar"/>
          <w:rFonts w:ascii="Arial" w:hAnsi="Arial" w:cs="Arial"/>
          <w:b w:val="0"/>
          <w:shd w:val="clear" w:color="auto" w:fill="FFFFFF"/>
        </w:rPr>
        <w:t xml:space="preserve">Voor informatie over de psychometrische waarde van tests in Vlaanderen kunnen we ons echter best niet alleen baseren op het feit dat </w:t>
      </w:r>
      <w:r>
        <w:rPr>
          <w:rStyle w:val="Zwaar"/>
          <w:rFonts w:ascii="Arial" w:hAnsi="Arial" w:cs="Arial"/>
          <w:b w:val="0"/>
          <w:shd w:val="clear" w:color="auto" w:fill="FFFFFF"/>
        </w:rPr>
        <w:t>tests</w:t>
      </w:r>
      <w:r w:rsidR="00E20D60">
        <w:rPr>
          <w:rStyle w:val="Zwaar"/>
          <w:rFonts w:ascii="Arial" w:hAnsi="Arial" w:cs="Arial"/>
          <w:b w:val="0"/>
          <w:shd w:val="clear" w:color="auto" w:fill="FFFFFF"/>
        </w:rPr>
        <w:t xml:space="preserve"> al dan niet op de limitatieve lijst staan</w:t>
      </w:r>
      <w:r w:rsidR="005C1B18">
        <w:rPr>
          <w:rStyle w:val="Zwaar"/>
          <w:rFonts w:ascii="Arial" w:hAnsi="Arial" w:cs="Arial"/>
          <w:b w:val="0"/>
          <w:shd w:val="clear" w:color="auto" w:fill="FFFFFF"/>
        </w:rPr>
        <w:t xml:space="preserve">. </w:t>
      </w:r>
      <w:r w:rsidR="00E27EC6">
        <w:rPr>
          <w:rFonts w:ascii="Arial" w:hAnsi="Arial" w:cs="Arial"/>
          <w:bCs/>
          <w:lang w:eastAsia="nl-BE"/>
        </w:rPr>
        <w:t>Voor de p</w:t>
      </w:r>
      <w:r w:rsidR="00E27EC6" w:rsidRPr="00F17525">
        <w:rPr>
          <w:rFonts w:ascii="Arial" w:hAnsi="Arial" w:cs="Arial"/>
          <w:bCs/>
          <w:lang w:eastAsia="nl-BE"/>
        </w:rPr>
        <w:t xml:space="preserve">sychometrische waarde van tests </w:t>
      </w:r>
      <w:r w:rsidR="00E20D60">
        <w:rPr>
          <w:rFonts w:ascii="Arial" w:hAnsi="Arial" w:cs="Arial"/>
          <w:bCs/>
          <w:lang w:eastAsia="nl-BE"/>
        </w:rPr>
        <w:t xml:space="preserve">verwijzen </w:t>
      </w:r>
      <w:r w:rsidR="00E27EC6">
        <w:rPr>
          <w:rFonts w:ascii="Arial" w:hAnsi="Arial" w:cs="Arial"/>
          <w:bCs/>
          <w:lang w:eastAsia="nl-BE"/>
        </w:rPr>
        <w:t>onze noorderburen</w:t>
      </w:r>
      <w:r w:rsidR="00E20D60">
        <w:rPr>
          <w:rFonts w:ascii="Arial" w:hAnsi="Arial" w:cs="Arial"/>
          <w:bCs/>
          <w:lang w:eastAsia="nl-BE"/>
        </w:rPr>
        <w:t xml:space="preserve"> </w:t>
      </w:r>
      <w:r w:rsidR="00E27EC6">
        <w:rPr>
          <w:rFonts w:ascii="Arial" w:hAnsi="Arial" w:cs="Arial"/>
          <w:bCs/>
          <w:lang w:eastAsia="nl-BE"/>
        </w:rPr>
        <w:t xml:space="preserve">naar </w:t>
      </w:r>
      <w:r w:rsidR="00E27EC6" w:rsidRPr="00F17525">
        <w:rPr>
          <w:rFonts w:ascii="Arial" w:hAnsi="Arial" w:cs="Arial"/>
          <w:bCs/>
          <w:lang w:eastAsia="nl-BE"/>
        </w:rPr>
        <w:t xml:space="preserve">de </w:t>
      </w:r>
      <w:r w:rsidR="00E27EC6" w:rsidRPr="00F17525">
        <w:rPr>
          <w:rFonts w:ascii="Arial" w:hAnsi="Arial" w:cs="Arial"/>
          <w:shd w:val="clear" w:color="auto" w:fill="FFFFFF"/>
        </w:rPr>
        <w:t xml:space="preserve">Commissie Testaangelegenheden (COTAN) van </w:t>
      </w:r>
      <w:r w:rsidR="00E27EC6">
        <w:rPr>
          <w:rFonts w:ascii="Arial" w:hAnsi="Arial" w:cs="Arial"/>
          <w:shd w:val="clear" w:color="auto" w:fill="FFFFFF"/>
        </w:rPr>
        <w:t xml:space="preserve">het </w:t>
      </w:r>
      <w:r w:rsidR="00E27EC6" w:rsidRPr="00F17525">
        <w:rPr>
          <w:rFonts w:ascii="Arial" w:hAnsi="Arial" w:cs="Arial"/>
          <w:shd w:val="clear" w:color="auto" w:fill="FFFFFF"/>
        </w:rPr>
        <w:t>Nederlands Instituut voor Psychologen (NI</w:t>
      </w:r>
      <w:r w:rsidR="00E27EC6">
        <w:rPr>
          <w:rFonts w:ascii="Arial" w:hAnsi="Arial" w:cs="Arial"/>
          <w:shd w:val="clear" w:color="auto" w:fill="FFFFFF"/>
        </w:rPr>
        <w:t>p</w:t>
      </w:r>
      <w:r w:rsidR="00E27EC6" w:rsidRPr="00F17525">
        <w:rPr>
          <w:rFonts w:ascii="Arial" w:hAnsi="Arial" w:cs="Arial"/>
          <w:shd w:val="clear" w:color="auto" w:fill="FFFFFF"/>
        </w:rPr>
        <w:t>P)</w:t>
      </w:r>
      <w:r w:rsidR="00E20D60">
        <w:rPr>
          <w:rStyle w:val="Zwaar"/>
          <w:rFonts w:ascii="Arial" w:hAnsi="Arial" w:cs="Arial"/>
          <w:b w:val="0"/>
          <w:shd w:val="clear" w:color="auto" w:fill="FFFFFF"/>
        </w:rPr>
        <w:t xml:space="preserve">. In Vlaanderen kunnen we ons </w:t>
      </w:r>
      <w:r>
        <w:rPr>
          <w:rStyle w:val="Zwaar"/>
          <w:rFonts w:ascii="Arial" w:hAnsi="Arial" w:cs="Arial"/>
          <w:b w:val="0"/>
          <w:shd w:val="clear" w:color="auto" w:fill="FFFFFF"/>
        </w:rPr>
        <w:t xml:space="preserve">oordeel over de validiteit en betrouwbaarheid van een test best </w:t>
      </w:r>
      <w:r w:rsidR="00E20D60">
        <w:rPr>
          <w:rStyle w:val="Zwaar"/>
          <w:rFonts w:ascii="Arial" w:hAnsi="Arial" w:cs="Arial"/>
          <w:b w:val="0"/>
          <w:shd w:val="clear" w:color="auto" w:fill="FFFFFF"/>
        </w:rPr>
        <w:t xml:space="preserve">baseren op </w:t>
      </w:r>
      <w:r w:rsidR="00E27EC6" w:rsidRPr="00F17525">
        <w:rPr>
          <w:rFonts w:ascii="Arial" w:hAnsi="Arial" w:cs="Arial"/>
          <w:bCs/>
          <w:lang w:eastAsia="nl-BE"/>
        </w:rPr>
        <w:t xml:space="preserve">het </w:t>
      </w:r>
      <w:r w:rsidR="00E27EC6" w:rsidRPr="00E20D60">
        <w:rPr>
          <w:rFonts w:ascii="Arial" w:hAnsi="Arial" w:cs="Arial"/>
          <w:b/>
          <w:bCs/>
          <w:lang w:eastAsia="nl-BE"/>
        </w:rPr>
        <w:t>CAP-vademecum</w:t>
      </w:r>
      <w:r w:rsidR="00E27EC6">
        <w:rPr>
          <w:rFonts w:ascii="Arial" w:hAnsi="Arial" w:cs="Arial"/>
          <w:bCs/>
          <w:lang w:eastAsia="nl-BE"/>
        </w:rPr>
        <w:t>,</w:t>
      </w:r>
      <w:r w:rsidR="00E27EC6" w:rsidRPr="00F17525">
        <w:rPr>
          <w:rFonts w:ascii="Arial" w:hAnsi="Arial" w:cs="Arial"/>
          <w:bCs/>
          <w:lang w:eastAsia="nl-BE"/>
        </w:rPr>
        <w:t xml:space="preserve"> het </w:t>
      </w:r>
      <w:r w:rsidR="00E27EC6" w:rsidRPr="00F17525">
        <w:rPr>
          <w:rFonts w:ascii="Arial" w:hAnsi="Arial" w:cs="Arial"/>
          <w:shd w:val="clear" w:color="auto" w:fill="FFFFFF"/>
        </w:rPr>
        <w:t>Vlaams Forum voor Diagnostiek</w:t>
      </w:r>
      <w:r w:rsidR="00E27EC6">
        <w:rPr>
          <w:rFonts w:ascii="Arial" w:hAnsi="Arial" w:cs="Arial"/>
          <w:shd w:val="clear" w:color="auto" w:fill="FFFFFF"/>
        </w:rPr>
        <w:t xml:space="preserve"> </w:t>
      </w:r>
      <w:r w:rsidR="00E27EC6" w:rsidRPr="00F17525">
        <w:rPr>
          <w:rFonts w:ascii="Arial" w:hAnsi="Arial" w:cs="Arial"/>
          <w:shd w:val="clear" w:color="auto" w:fill="FFFFFF"/>
        </w:rPr>
        <w:t>(VFD)</w:t>
      </w:r>
      <w:r w:rsidR="00E27EC6">
        <w:rPr>
          <w:rFonts w:ascii="Arial" w:hAnsi="Arial" w:cs="Arial"/>
          <w:shd w:val="clear" w:color="auto" w:fill="FFFFFF"/>
        </w:rPr>
        <w:t xml:space="preserve"> en het Kwaltiteitscentrum voor Diagnostiek. </w:t>
      </w:r>
    </w:p>
    <w:p w14:paraId="4D36DAB9" w14:textId="1E012B1A" w:rsidR="00107AEB" w:rsidRDefault="00CC5929" w:rsidP="00107AEB">
      <w:pPr>
        <w:rPr>
          <w:rFonts w:ascii="Arial" w:hAnsi="Arial" w:cs="Arial"/>
          <w:bCs/>
          <w:lang w:eastAsia="nl-BE"/>
        </w:rPr>
      </w:pPr>
      <w:r w:rsidRPr="008D1DB9">
        <w:rPr>
          <w:rFonts w:ascii="Arial" w:hAnsi="Arial" w:cs="Arial"/>
          <w:bCs/>
          <w:lang w:eastAsia="nl-BE"/>
        </w:rPr>
        <w:t xml:space="preserve">Kinderen </w:t>
      </w:r>
      <w:r w:rsidR="00D15DF7">
        <w:rPr>
          <w:rFonts w:ascii="Arial" w:hAnsi="Arial" w:cs="Arial"/>
          <w:bCs/>
          <w:lang w:eastAsia="nl-BE"/>
        </w:rPr>
        <w:t xml:space="preserve">(tot en met 14 jaar) </w:t>
      </w:r>
      <w:r>
        <w:rPr>
          <w:rFonts w:ascii="Arial" w:hAnsi="Arial" w:cs="Arial"/>
          <w:bCs/>
          <w:lang w:eastAsia="nl-BE"/>
        </w:rPr>
        <w:t>komen</w:t>
      </w:r>
      <w:r w:rsidRPr="008D1DB9">
        <w:rPr>
          <w:rFonts w:ascii="Arial" w:hAnsi="Arial" w:cs="Arial"/>
          <w:bCs/>
          <w:lang w:eastAsia="nl-BE"/>
        </w:rPr>
        <w:t xml:space="preserve"> </w:t>
      </w:r>
      <w:r>
        <w:rPr>
          <w:rFonts w:ascii="Arial" w:hAnsi="Arial" w:cs="Arial"/>
          <w:bCs/>
          <w:lang w:eastAsia="nl-BE"/>
        </w:rPr>
        <w:t xml:space="preserve">in aanmerking voor terugbetaalbare logopedie </w:t>
      </w:r>
      <w:r w:rsidR="00E20D60">
        <w:rPr>
          <w:rFonts w:ascii="Arial" w:hAnsi="Arial" w:cs="Arial"/>
          <w:bCs/>
          <w:lang w:eastAsia="nl-BE"/>
        </w:rPr>
        <w:t xml:space="preserve">voor ‘dyslexie’, ‘dysorthografie’ of ‘dyscalculie’ </w:t>
      </w:r>
      <w:r>
        <w:rPr>
          <w:rFonts w:ascii="Arial" w:hAnsi="Arial" w:cs="Arial"/>
          <w:bCs/>
          <w:lang w:eastAsia="nl-BE"/>
        </w:rPr>
        <w:t xml:space="preserve">indien </w:t>
      </w:r>
      <w:r w:rsidR="00107AEB">
        <w:rPr>
          <w:rFonts w:ascii="Arial" w:hAnsi="Arial" w:cs="Arial"/>
          <w:bCs/>
          <w:lang w:eastAsia="nl-BE"/>
        </w:rPr>
        <w:t xml:space="preserve">ze </w:t>
      </w:r>
      <w:r w:rsidR="00E27EC6" w:rsidRPr="00E20D60">
        <w:rPr>
          <w:rFonts w:ascii="Arial" w:hAnsi="Arial" w:cs="Arial"/>
          <w:b/>
          <w:bCs/>
          <w:lang w:eastAsia="nl-BE"/>
        </w:rPr>
        <w:t>‘subklinisch’ of ‘klinisch’ scoren</w:t>
      </w:r>
      <w:r w:rsidR="00E27EC6">
        <w:rPr>
          <w:rFonts w:ascii="Arial" w:hAnsi="Arial" w:cs="Arial"/>
          <w:bCs/>
          <w:lang w:eastAsia="nl-BE"/>
        </w:rPr>
        <w:t xml:space="preserve"> en dus </w:t>
      </w:r>
      <w:r w:rsidR="00107AEB">
        <w:rPr>
          <w:rFonts w:ascii="Arial" w:hAnsi="Arial" w:cs="Arial"/>
          <w:bCs/>
          <w:lang w:eastAsia="nl-BE"/>
        </w:rPr>
        <w:t xml:space="preserve">een achterstand vertonen geobjectiveerd in twee scores </w:t>
      </w:r>
      <w:r w:rsidRPr="00B448D3">
        <w:rPr>
          <w:rFonts w:ascii="Arial" w:hAnsi="Arial" w:cs="Arial"/>
          <w:bCs/>
          <w:lang w:eastAsia="nl-BE"/>
        </w:rPr>
        <w:t xml:space="preserve">&lt; percentiel 17 </w:t>
      </w:r>
      <w:r w:rsidR="00107AEB">
        <w:rPr>
          <w:rFonts w:ascii="Arial" w:hAnsi="Arial" w:cs="Arial"/>
          <w:bCs/>
          <w:lang w:eastAsia="nl-BE"/>
        </w:rPr>
        <w:t>of minstens 1 SD aangetoond met één of meer test</w:t>
      </w:r>
      <w:r w:rsidR="00424E03">
        <w:rPr>
          <w:rFonts w:ascii="Arial" w:hAnsi="Arial" w:cs="Arial"/>
          <w:bCs/>
          <w:lang w:eastAsia="nl-BE"/>
        </w:rPr>
        <w:t>s</w:t>
      </w:r>
      <w:r w:rsidR="00107AEB">
        <w:rPr>
          <w:rFonts w:ascii="Arial" w:hAnsi="Arial" w:cs="Arial"/>
          <w:bCs/>
          <w:lang w:eastAsia="nl-BE"/>
        </w:rPr>
        <w:t xml:space="preserve"> uit de limitatieve lijst. Daarnaast moet men </w:t>
      </w:r>
      <w:r w:rsidR="00E20D60">
        <w:rPr>
          <w:rFonts w:ascii="Arial" w:hAnsi="Arial" w:cs="Arial"/>
          <w:bCs/>
          <w:lang w:eastAsia="nl-BE"/>
        </w:rPr>
        <w:t xml:space="preserve">in een aanvangsbilan voor terugbetaalbare logopedische verstrekkingen </w:t>
      </w:r>
      <w:r w:rsidR="00107AEB">
        <w:rPr>
          <w:rFonts w:ascii="Arial" w:hAnsi="Arial" w:cs="Arial"/>
          <w:bCs/>
          <w:lang w:eastAsia="nl-BE"/>
        </w:rPr>
        <w:t>ook de hardnekkigheid van de stoornis aantonen</w:t>
      </w:r>
      <w:r w:rsidR="00E20D60">
        <w:rPr>
          <w:rFonts w:ascii="Arial" w:hAnsi="Arial" w:cs="Arial"/>
          <w:bCs/>
          <w:lang w:eastAsia="nl-BE"/>
        </w:rPr>
        <w:t xml:space="preserve"> en </w:t>
      </w:r>
      <w:r w:rsidR="00107AEB">
        <w:rPr>
          <w:rFonts w:ascii="Arial" w:hAnsi="Arial" w:cs="Arial"/>
          <w:bCs/>
          <w:lang w:eastAsia="nl-BE"/>
        </w:rPr>
        <w:t xml:space="preserve">moet er </w:t>
      </w:r>
      <w:r w:rsidR="00E20D60">
        <w:rPr>
          <w:rFonts w:ascii="Arial" w:hAnsi="Arial" w:cs="Arial"/>
          <w:bCs/>
          <w:lang w:eastAsia="nl-BE"/>
        </w:rPr>
        <w:t>g</w:t>
      </w:r>
      <w:r w:rsidR="00107AEB">
        <w:rPr>
          <w:rFonts w:ascii="Arial" w:hAnsi="Arial" w:cs="Arial"/>
          <w:bCs/>
          <w:lang w:eastAsia="nl-BE"/>
        </w:rPr>
        <w:t>erapporteerd worden over het niveau va</w:t>
      </w:r>
      <w:r w:rsidR="00E20D60">
        <w:rPr>
          <w:rFonts w:ascii="Arial" w:hAnsi="Arial" w:cs="Arial"/>
          <w:bCs/>
          <w:lang w:eastAsia="nl-BE"/>
        </w:rPr>
        <w:t xml:space="preserve">n nauwkeurigheid en/of snelheid en </w:t>
      </w:r>
      <w:r w:rsidR="00107AEB">
        <w:rPr>
          <w:rFonts w:ascii="Arial" w:hAnsi="Arial" w:cs="Arial"/>
          <w:bCs/>
          <w:lang w:eastAsia="nl-BE"/>
        </w:rPr>
        <w:t>over de fonologische ontwikkeling (bij dyslexie en dysorthografie) en over de impact (compensatiegedragingen, negatieve attitude, verhoogde inspanning</w:t>
      </w:r>
      <w:r w:rsidR="00E20D60">
        <w:rPr>
          <w:rFonts w:ascii="Arial" w:hAnsi="Arial" w:cs="Arial"/>
          <w:bCs/>
          <w:lang w:eastAsia="nl-BE"/>
        </w:rPr>
        <w:t xml:space="preserve"> (bij dyslexie, dysorthografie en dyscalculie</w:t>
      </w:r>
      <w:r w:rsidR="00107AEB">
        <w:rPr>
          <w:rFonts w:ascii="Arial" w:hAnsi="Arial" w:cs="Arial"/>
          <w:bCs/>
          <w:lang w:eastAsia="nl-BE"/>
        </w:rPr>
        <w:t>)</w:t>
      </w:r>
      <w:r w:rsidR="00E27EC6">
        <w:rPr>
          <w:rFonts w:ascii="Arial" w:hAnsi="Arial" w:cs="Arial"/>
          <w:bCs/>
          <w:lang w:eastAsia="nl-BE"/>
        </w:rPr>
        <w:t xml:space="preserve">. </w:t>
      </w:r>
    </w:p>
    <w:p w14:paraId="6DF1D380" w14:textId="0D377D9D" w:rsidR="00CC5929" w:rsidRDefault="005702B5" w:rsidP="00AC2A22">
      <w:pPr>
        <w:spacing w:after="0" w:line="240" w:lineRule="auto"/>
        <w:rPr>
          <w:rStyle w:val="Zwaar"/>
          <w:rFonts w:ascii="Arial" w:hAnsi="Arial" w:cs="Arial"/>
          <w:b w:val="0"/>
          <w:shd w:val="clear" w:color="auto" w:fill="FFFFFF"/>
        </w:rPr>
      </w:pPr>
      <w:r>
        <w:rPr>
          <w:rStyle w:val="Zwaar"/>
          <w:rFonts w:ascii="Arial" w:hAnsi="Arial" w:cs="Arial"/>
          <w:b w:val="0"/>
          <w:shd w:val="clear" w:color="auto" w:fill="FFFFFF"/>
        </w:rPr>
        <w:t xml:space="preserve">Het </w:t>
      </w:r>
      <w:r w:rsidR="00803614">
        <w:rPr>
          <w:rStyle w:val="Zwaar"/>
          <w:rFonts w:ascii="Arial" w:hAnsi="Arial" w:cs="Arial"/>
          <w:b w:val="0"/>
          <w:shd w:val="clear" w:color="auto" w:fill="FFFFFF"/>
        </w:rPr>
        <w:t>lijkt ons</w:t>
      </w:r>
      <w:r w:rsidR="00AC2A22">
        <w:rPr>
          <w:rStyle w:val="Zwaar"/>
          <w:rFonts w:ascii="Arial" w:hAnsi="Arial" w:cs="Arial"/>
          <w:b w:val="0"/>
          <w:shd w:val="clear" w:color="auto" w:fill="FFFFFF"/>
        </w:rPr>
        <w:t xml:space="preserve"> </w:t>
      </w:r>
      <w:r>
        <w:rPr>
          <w:rStyle w:val="Zwaar"/>
          <w:rFonts w:ascii="Arial" w:hAnsi="Arial" w:cs="Arial"/>
          <w:b w:val="0"/>
          <w:shd w:val="clear" w:color="auto" w:fill="FFFFFF"/>
        </w:rPr>
        <w:t xml:space="preserve">bovendien </w:t>
      </w:r>
      <w:r w:rsidR="00AC2A22">
        <w:rPr>
          <w:rStyle w:val="Zwaar"/>
          <w:rFonts w:ascii="Arial" w:hAnsi="Arial" w:cs="Arial"/>
          <w:b w:val="0"/>
          <w:shd w:val="clear" w:color="auto" w:fill="FFFFFF"/>
        </w:rPr>
        <w:t xml:space="preserve">essentieel om </w:t>
      </w:r>
      <w:r w:rsidR="00AD6046">
        <w:rPr>
          <w:rStyle w:val="Zwaar"/>
          <w:rFonts w:ascii="Arial" w:hAnsi="Arial" w:cs="Arial"/>
          <w:b w:val="0"/>
          <w:shd w:val="clear" w:color="auto" w:fill="FFFFFF"/>
        </w:rPr>
        <w:t xml:space="preserve">als men een test afneemt waarbij </w:t>
      </w:r>
      <w:r w:rsidR="00AC2A22">
        <w:rPr>
          <w:rStyle w:val="Zwaar"/>
          <w:rFonts w:ascii="Arial" w:hAnsi="Arial" w:cs="Arial"/>
          <w:b w:val="0"/>
          <w:shd w:val="clear" w:color="auto" w:fill="FFFFFF"/>
        </w:rPr>
        <w:t xml:space="preserve">de testperiode buiten de normperiode valt, de prestaties </w:t>
      </w:r>
      <w:r w:rsidR="00686911">
        <w:rPr>
          <w:rStyle w:val="Zwaar"/>
          <w:rFonts w:ascii="Arial" w:hAnsi="Arial" w:cs="Arial"/>
          <w:b w:val="0"/>
          <w:shd w:val="clear" w:color="auto" w:fill="FFFFFF"/>
        </w:rPr>
        <w:t xml:space="preserve">van kinderen </w:t>
      </w:r>
      <w:r w:rsidR="00AC2A22">
        <w:rPr>
          <w:rStyle w:val="Zwaar"/>
          <w:rFonts w:ascii="Arial" w:hAnsi="Arial" w:cs="Arial"/>
          <w:b w:val="0"/>
          <w:shd w:val="clear" w:color="auto" w:fill="FFFFFF"/>
        </w:rPr>
        <w:t>te vergelijken met twee normperiodes</w:t>
      </w:r>
      <w:r w:rsidR="009B6EFA">
        <w:rPr>
          <w:rStyle w:val="Zwaar"/>
          <w:rFonts w:ascii="Arial" w:hAnsi="Arial" w:cs="Arial"/>
          <w:b w:val="0"/>
          <w:shd w:val="clear" w:color="auto" w:fill="FFFFFF"/>
        </w:rPr>
        <w:t>,</w:t>
      </w:r>
      <w:r w:rsidR="00107AEB">
        <w:rPr>
          <w:rStyle w:val="Zwaar"/>
          <w:rFonts w:ascii="Arial" w:hAnsi="Arial" w:cs="Arial"/>
          <w:b w:val="0"/>
          <w:shd w:val="clear" w:color="auto" w:fill="FFFFFF"/>
        </w:rPr>
        <w:t xml:space="preserve"> </w:t>
      </w:r>
      <w:r w:rsidR="00AC2A22">
        <w:rPr>
          <w:rStyle w:val="Zwaar"/>
          <w:rFonts w:ascii="Arial" w:hAnsi="Arial" w:cs="Arial"/>
          <w:b w:val="0"/>
          <w:shd w:val="clear" w:color="auto" w:fill="FFFFFF"/>
        </w:rPr>
        <w:t xml:space="preserve">dus met de periode voor het testmoment en met de periode na het testmoment. Deze </w:t>
      </w:r>
      <w:r w:rsidR="009B6EFA">
        <w:rPr>
          <w:rStyle w:val="Zwaar"/>
          <w:rFonts w:ascii="Arial" w:hAnsi="Arial" w:cs="Arial"/>
          <w:b w:val="0"/>
          <w:shd w:val="clear" w:color="auto" w:fill="FFFFFF"/>
        </w:rPr>
        <w:t>‘</w:t>
      </w:r>
      <w:r w:rsidR="00AC2A22">
        <w:rPr>
          <w:rStyle w:val="Zwaar"/>
          <w:rFonts w:ascii="Arial" w:hAnsi="Arial" w:cs="Arial"/>
          <w:b w:val="0"/>
          <w:shd w:val="clear" w:color="auto" w:fill="FFFFFF"/>
        </w:rPr>
        <w:t>regel</w:t>
      </w:r>
      <w:r w:rsidR="009B6EFA">
        <w:rPr>
          <w:rStyle w:val="Zwaar"/>
          <w:rFonts w:ascii="Arial" w:hAnsi="Arial" w:cs="Arial"/>
          <w:b w:val="0"/>
          <w:shd w:val="clear" w:color="auto" w:fill="FFFFFF"/>
        </w:rPr>
        <w:t>’</w:t>
      </w:r>
      <w:r w:rsidR="00AC2A22">
        <w:rPr>
          <w:rStyle w:val="Zwaar"/>
          <w:rFonts w:ascii="Arial" w:hAnsi="Arial" w:cs="Arial"/>
          <w:b w:val="0"/>
          <w:shd w:val="clear" w:color="auto" w:fill="FFFFFF"/>
        </w:rPr>
        <w:t xml:space="preserve"> valt weg als een kind een klinische score behaalt op de normperiode voor het testmoment</w:t>
      </w:r>
      <w:r w:rsidR="009B6EFA">
        <w:rPr>
          <w:rStyle w:val="Zwaar"/>
          <w:rFonts w:ascii="Arial" w:hAnsi="Arial" w:cs="Arial"/>
          <w:b w:val="0"/>
          <w:shd w:val="clear" w:color="auto" w:fill="FFFFFF"/>
        </w:rPr>
        <w:t>. D</w:t>
      </w:r>
      <w:r w:rsidR="00AC2A22">
        <w:rPr>
          <w:rStyle w:val="Zwaar"/>
          <w:rFonts w:ascii="Arial" w:hAnsi="Arial" w:cs="Arial"/>
          <w:b w:val="0"/>
          <w:shd w:val="clear" w:color="auto" w:fill="FFFFFF"/>
        </w:rPr>
        <w:t xml:space="preserve">an volstaat deze normperiode. Wanneer men de ruwe scores niet in de normtabel terugvindt, </w:t>
      </w:r>
      <w:r w:rsidR="00686911">
        <w:rPr>
          <w:rStyle w:val="Zwaar"/>
          <w:rFonts w:ascii="Arial" w:hAnsi="Arial" w:cs="Arial"/>
          <w:b w:val="0"/>
          <w:shd w:val="clear" w:color="auto" w:fill="FFFFFF"/>
        </w:rPr>
        <w:t>m</w:t>
      </w:r>
      <w:r w:rsidR="00AC2A22">
        <w:rPr>
          <w:rStyle w:val="Zwaar"/>
          <w:rFonts w:ascii="Arial" w:hAnsi="Arial" w:cs="Arial"/>
          <w:b w:val="0"/>
          <w:shd w:val="clear" w:color="auto" w:fill="FFFFFF"/>
        </w:rPr>
        <w:t>oet men kijken naar de (lagere) ruwe score die het kind wel haal</w:t>
      </w:r>
      <w:r w:rsidR="00686911">
        <w:rPr>
          <w:rStyle w:val="Zwaar"/>
          <w:rFonts w:ascii="Arial" w:hAnsi="Arial" w:cs="Arial"/>
          <w:b w:val="0"/>
          <w:shd w:val="clear" w:color="auto" w:fill="FFFFFF"/>
        </w:rPr>
        <w:t>t</w:t>
      </w:r>
      <w:r w:rsidR="00AC2A22">
        <w:rPr>
          <w:rStyle w:val="Zwaar"/>
          <w:rFonts w:ascii="Arial" w:hAnsi="Arial" w:cs="Arial"/>
          <w:b w:val="0"/>
          <w:shd w:val="clear" w:color="auto" w:fill="FFFFFF"/>
        </w:rPr>
        <w:t xml:space="preserve">. Wanneer  er </w:t>
      </w:r>
      <w:r w:rsidR="009B6EFA">
        <w:rPr>
          <w:rStyle w:val="Zwaar"/>
          <w:rFonts w:ascii="Arial" w:hAnsi="Arial" w:cs="Arial"/>
          <w:b w:val="0"/>
          <w:shd w:val="clear" w:color="auto" w:fill="FFFFFF"/>
        </w:rPr>
        <w:t xml:space="preserve">voor </w:t>
      </w:r>
      <w:r w:rsidR="00AC2A22">
        <w:rPr>
          <w:rStyle w:val="Zwaar"/>
          <w:rFonts w:ascii="Arial" w:hAnsi="Arial" w:cs="Arial"/>
          <w:b w:val="0"/>
          <w:shd w:val="clear" w:color="auto" w:fill="FFFFFF"/>
        </w:rPr>
        <w:t xml:space="preserve">dezelfde ruwe score, 2 of meer verwerkte scores zijn, dan neemt men het interval van deze scores. </w:t>
      </w:r>
    </w:p>
    <w:p w14:paraId="714BD7F3" w14:textId="77777777" w:rsidR="00CC5929" w:rsidRDefault="00CC5929" w:rsidP="00AC2A22">
      <w:pPr>
        <w:spacing w:after="0" w:line="240" w:lineRule="auto"/>
        <w:rPr>
          <w:rStyle w:val="Zwaar"/>
          <w:rFonts w:ascii="Arial" w:hAnsi="Arial" w:cs="Arial"/>
          <w:b w:val="0"/>
          <w:shd w:val="clear" w:color="auto" w:fill="FFFFFF"/>
        </w:rPr>
      </w:pPr>
    </w:p>
    <w:p w14:paraId="28B483DF" w14:textId="77777777" w:rsidR="00AC2A22" w:rsidRPr="00AC2A22" w:rsidRDefault="00AC2A22" w:rsidP="00F17525">
      <w:pPr>
        <w:spacing w:after="0" w:line="240" w:lineRule="auto"/>
        <w:rPr>
          <w:rFonts w:ascii="Arial" w:hAnsi="Arial" w:cs="Arial"/>
        </w:rPr>
      </w:pPr>
    </w:p>
    <w:p w14:paraId="3033B7F6" w14:textId="77777777" w:rsidR="00205CCD" w:rsidRPr="00CC5929" w:rsidRDefault="00CC5929" w:rsidP="00CC5929">
      <w:pPr>
        <w:pStyle w:val="Lijstalinea"/>
        <w:numPr>
          <w:ilvl w:val="2"/>
          <w:numId w:val="27"/>
        </w:numPr>
        <w:spacing w:after="0" w:line="240" w:lineRule="auto"/>
        <w:rPr>
          <w:rFonts w:ascii="Arial" w:hAnsi="Arial" w:cs="Arial"/>
          <w:lang w:val="nl-NL"/>
        </w:rPr>
      </w:pPr>
      <w:r>
        <w:rPr>
          <w:rFonts w:ascii="Arial" w:hAnsi="Arial" w:cs="Arial"/>
          <w:lang w:val="nl-NL"/>
        </w:rPr>
        <w:t>Exclusiecriterium</w:t>
      </w:r>
    </w:p>
    <w:p w14:paraId="7F3F26E4" w14:textId="410DDEE0" w:rsidR="00AD6046" w:rsidRDefault="009C049C" w:rsidP="00CC5929">
      <w:pPr>
        <w:spacing w:after="0" w:line="240" w:lineRule="auto"/>
        <w:rPr>
          <w:rFonts w:ascii="Arial" w:hAnsi="Arial" w:cs="Arial"/>
          <w:bCs/>
          <w:lang w:eastAsia="nl-BE"/>
        </w:rPr>
      </w:pPr>
      <w:r w:rsidRPr="008D1DB9">
        <w:rPr>
          <w:rFonts w:ascii="Arial" w:hAnsi="Arial" w:cs="Arial"/>
          <w:bCs/>
          <w:lang w:eastAsia="nl-BE"/>
        </w:rPr>
        <w:t xml:space="preserve">Het tweede </w:t>
      </w:r>
      <w:r w:rsidR="00D15DF7">
        <w:rPr>
          <w:rFonts w:ascii="Arial" w:hAnsi="Arial" w:cs="Arial"/>
          <w:bCs/>
          <w:lang w:eastAsia="nl-BE"/>
        </w:rPr>
        <w:t xml:space="preserve">voorwaardelijke </w:t>
      </w:r>
      <w:r w:rsidRPr="008D1DB9">
        <w:rPr>
          <w:rFonts w:ascii="Arial" w:hAnsi="Arial" w:cs="Arial"/>
          <w:bCs/>
          <w:lang w:eastAsia="nl-BE"/>
        </w:rPr>
        <w:t xml:space="preserve">criterium </w:t>
      </w:r>
      <w:r w:rsidR="000855DB">
        <w:rPr>
          <w:rFonts w:ascii="Arial" w:hAnsi="Arial" w:cs="Arial"/>
          <w:bCs/>
          <w:lang w:eastAsia="nl-BE"/>
        </w:rPr>
        <w:t xml:space="preserve">om te spreken van een leerstoornis </w:t>
      </w:r>
      <w:r w:rsidRPr="008D1DB9">
        <w:rPr>
          <w:rFonts w:ascii="Arial" w:hAnsi="Arial" w:cs="Arial"/>
          <w:bCs/>
          <w:lang w:eastAsia="nl-BE"/>
        </w:rPr>
        <w:t xml:space="preserve">verwijst naar het mild </w:t>
      </w:r>
      <w:r w:rsidR="005702B5">
        <w:rPr>
          <w:rFonts w:ascii="Arial" w:hAnsi="Arial" w:cs="Arial"/>
          <w:bCs/>
          <w:lang w:eastAsia="nl-BE"/>
        </w:rPr>
        <w:t xml:space="preserve">exclusiecriterium. </w:t>
      </w:r>
      <w:r w:rsidR="00AD6046">
        <w:rPr>
          <w:rFonts w:ascii="Arial" w:hAnsi="Arial" w:cs="Arial"/>
          <w:bCs/>
          <w:lang w:eastAsia="nl-BE"/>
        </w:rPr>
        <w:t>L</w:t>
      </w:r>
      <w:r w:rsidR="000855DB">
        <w:rPr>
          <w:rFonts w:ascii="Arial" w:hAnsi="Arial" w:cs="Arial"/>
          <w:bCs/>
          <w:lang w:eastAsia="nl-BE"/>
        </w:rPr>
        <w:t xml:space="preserve">eerstoornissen </w:t>
      </w:r>
      <w:r w:rsidR="00AD6046">
        <w:rPr>
          <w:rFonts w:ascii="Arial" w:hAnsi="Arial" w:cs="Arial"/>
          <w:bCs/>
          <w:lang w:eastAsia="nl-BE"/>
        </w:rPr>
        <w:t xml:space="preserve">zijn </w:t>
      </w:r>
      <w:r w:rsidR="00AD6046" w:rsidRPr="007723C8">
        <w:rPr>
          <w:rFonts w:ascii="Arial" w:hAnsi="Arial" w:cs="Arial"/>
          <w:b/>
          <w:bCs/>
          <w:lang w:eastAsia="nl-BE"/>
        </w:rPr>
        <w:t xml:space="preserve">‘specifieke’ </w:t>
      </w:r>
      <w:r w:rsidR="00AD6046" w:rsidRPr="007723C8">
        <w:rPr>
          <w:rFonts w:ascii="Arial" w:hAnsi="Arial" w:cs="Arial"/>
          <w:bCs/>
          <w:lang w:eastAsia="nl-BE"/>
        </w:rPr>
        <w:t>of primaire leerproblemen</w:t>
      </w:r>
      <w:r w:rsidR="00AD6046">
        <w:rPr>
          <w:rFonts w:ascii="Arial" w:hAnsi="Arial" w:cs="Arial"/>
          <w:bCs/>
          <w:lang w:eastAsia="nl-BE"/>
        </w:rPr>
        <w:t xml:space="preserve">  en geen secundaire </w:t>
      </w:r>
      <w:r w:rsidR="000855DB">
        <w:rPr>
          <w:rFonts w:ascii="Arial" w:hAnsi="Arial" w:cs="Arial"/>
          <w:bCs/>
          <w:lang w:eastAsia="nl-BE"/>
        </w:rPr>
        <w:t>leermoeilijkheden.</w:t>
      </w:r>
      <w:r w:rsidR="00AD6046">
        <w:rPr>
          <w:rFonts w:ascii="Arial" w:hAnsi="Arial" w:cs="Arial"/>
          <w:bCs/>
          <w:lang w:eastAsia="nl-BE"/>
        </w:rPr>
        <w:t xml:space="preserve"> </w:t>
      </w:r>
    </w:p>
    <w:p w14:paraId="4C2C0D64" w14:textId="77777777" w:rsidR="00B86785" w:rsidRDefault="00B86785" w:rsidP="00CC5929">
      <w:pPr>
        <w:spacing w:after="0" w:line="240" w:lineRule="auto"/>
        <w:rPr>
          <w:rFonts w:ascii="Arial" w:hAnsi="Arial" w:cs="Arial"/>
          <w:bCs/>
          <w:lang w:eastAsia="nl-BE"/>
        </w:rPr>
      </w:pPr>
    </w:p>
    <w:p w14:paraId="4B2529D0" w14:textId="5BAA4FC1" w:rsidR="00440348" w:rsidRPr="008D1DB9" w:rsidRDefault="00AD6046" w:rsidP="00CC5929">
      <w:pPr>
        <w:spacing w:after="0" w:line="240" w:lineRule="auto"/>
        <w:rPr>
          <w:rFonts w:ascii="Arial" w:hAnsi="Arial" w:cs="Arial"/>
          <w:bCs/>
          <w:lang w:eastAsia="nl-BE"/>
        </w:rPr>
      </w:pPr>
      <w:r>
        <w:rPr>
          <w:rFonts w:ascii="Arial" w:hAnsi="Arial" w:cs="Arial"/>
          <w:bCs/>
          <w:lang w:eastAsia="nl-BE"/>
        </w:rPr>
        <w:t xml:space="preserve">Met dit criterium </w:t>
      </w:r>
      <w:r w:rsidR="009C049C" w:rsidRPr="008D1DB9">
        <w:rPr>
          <w:rFonts w:ascii="Arial" w:hAnsi="Arial" w:cs="Arial"/>
          <w:bCs/>
          <w:lang w:eastAsia="nl-BE"/>
        </w:rPr>
        <w:t xml:space="preserve">bedoelen we dat er </w:t>
      </w:r>
      <w:r w:rsidR="009C049C" w:rsidRPr="007723C8">
        <w:rPr>
          <w:rFonts w:ascii="Arial" w:hAnsi="Arial" w:cs="Arial"/>
          <w:b/>
          <w:bCs/>
          <w:lang w:eastAsia="nl-BE"/>
        </w:rPr>
        <w:t>geen andere verklaringen</w:t>
      </w:r>
      <w:r w:rsidR="009C049C" w:rsidRPr="008D1DB9">
        <w:rPr>
          <w:rFonts w:ascii="Arial" w:hAnsi="Arial" w:cs="Arial"/>
          <w:bCs/>
          <w:lang w:eastAsia="nl-BE"/>
        </w:rPr>
        <w:t xml:space="preserve"> mogen zijn die </w:t>
      </w:r>
      <w:r w:rsidR="00456AF9" w:rsidRPr="008D1DB9">
        <w:rPr>
          <w:rFonts w:ascii="Arial" w:hAnsi="Arial" w:cs="Arial"/>
          <w:bCs/>
          <w:lang w:eastAsia="nl-BE"/>
        </w:rPr>
        <w:t>‘</w:t>
      </w:r>
      <w:r w:rsidR="009C049C" w:rsidRPr="008D1DB9">
        <w:rPr>
          <w:rFonts w:ascii="Arial" w:hAnsi="Arial" w:cs="Arial"/>
          <w:bCs/>
          <w:lang w:eastAsia="nl-BE"/>
        </w:rPr>
        <w:t>alles</w:t>
      </w:r>
      <w:r w:rsidR="00456AF9" w:rsidRPr="008D1DB9">
        <w:rPr>
          <w:rFonts w:ascii="Arial" w:hAnsi="Arial" w:cs="Arial"/>
          <w:bCs/>
          <w:lang w:eastAsia="nl-BE"/>
        </w:rPr>
        <w:t>’</w:t>
      </w:r>
      <w:r w:rsidR="009C049C" w:rsidRPr="008D1DB9">
        <w:rPr>
          <w:rFonts w:ascii="Arial" w:hAnsi="Arial" w:cs="Arial"/>
          <w:bCs/>
          <w:lang w:eastAsia="nl-BE"/>
        </w:rPr>
        <w:t xml:space="preserve"> van het zwak lezen, spellen of rekenen verklaren</w:t>
      </w:r>
      <w:r w:rsidR="005702B5">
        <w:rPr>
          <w:rFonts w:ascii="Arial" w:hAnsi="Arial" w:cs="Arial"/>
          <w:bCs/>
          <w:lang w:eastAsia="nl-BE"/>
        </w:rPr>
        <w:t xml:space="preserve"> om van dyslexie of dyscalculie te kunnen spreken</w:t>
      </w:r>
      <w:r w:rsidR="009C049C" w:rsidRPr="008D1DB9">
        <w:rPr>
          <w:rFonts w:ascii="Arial" w:hAnsi="Arial" w:cs="Arial"/>
          <w:bCs/>
          <w:lang w:eastAsia="nl-BE"/>
        </w:rPr>
        <w:t xml:space="preserve">. Als iemand </w:t>
      </w:r>
      <w:r w:rsidR="00E24047">
        <w:rPr>
          <w:rFonts w:ascii="Arial" w:hAnsi="Arial" w:cs="Arial"/>
          <w:bCs/>
          <w:lang w:eastAsia="nl-BE"/>
        </w:rPr>
        <w:t xml:space="preserve">bijvoorbeeld </w:t>
      </w:r>
      <w:r w:rsidR="009C049C" w:rsidRPr="008D1DB9">
        <w:rPr>
          <w:rFonts w:ascii="Arial" w:hAnsi="Arial" w:cs="Arial"/>
          <w:bCs/>
          <w:lang w:eastAsia="nl-BE"/>
        </w:rPr>
        <w:t xml:space="preserve">globaal zwakker begaafd is en als er sprake is van een algemeen onderpresteren </w:t>
      </w:r>
      <w:r w:rsidR="00AB75C2" w:rsidRPr="008D1DB9">
        <w:rPr>
          <w:rFonts w:ascii="Arial" w:hAnsi="Arial" w:cs="Arial"/>
          <w:bCs/>
          <w:lang w:eastAsia="nl-BE"/>
        </w:rPr>
        <w:t>d</w:t>
      </w:r>
      <w:r w:rsidR="00672EED">
        <w:rPr>
          <w:rFonts w:ascii="Arial" w:hAnsi="Arial" w:cs="Arial"/>
          <w:bCs/>
          <w:lang w:eastAsia="nl-BE"/>
        </w:rPr>
        <w:t>at</w:t>
      </w:r>
      <w:r w:rsidR="009C049C" w:rsidRPr="008D1DB9">
        <w:rPr>
          <w:rFonts w:ascii="Arial" w:hAnsi="Arial" w:cs="Arial"/>
          <w:bCs/>
          <w:lang w:eastAsia="nl-BE"/>
        </w:rPr>
        <w:t xml:space="preserve"> alles verklaart, dan spreken we niet over een leerstoornis</w:t>
      </w:r>
      <w:r w:rsidR="00AB75C2" w:rsidRPr="008D1DB9">
        <w:rPr>
          <w:rFonts w:ascii="Arial" w:hAnsi="Arial" w:cs="Arial"/>
          <w:bCs/>
          <w:lang w:eastAsia="nl-BE"/>
        </w:rPr>
        <w:t>, maar wel over een leermoeilijkheid</w:t>
      </w:r>
      <w:r w:rsidR="009C049C" w:rsidRPr="008D1DB9">
        <w:rPr>
          <w:rFonts w:ascii="Arial" w:hAnsi="Arial" w:cs="Arial"/>
          <w:bCs/>
          <w:lang w:eastAsia="nl-BE"/>
        </w:rPr>
        <w:t xml:space="preserve">. </w:t>
      </w:r>
    </w:p>
    <w:p w14:paraId="6BC1FB68" w14:textId="77777777" w:rsidR="00440348" w:rsidRPr="008D1DB9" w:rsidRDefault="00440348" w:rsidP="00440348">
      <w:pPr>
        <w:spacing w:after="0" w:line="240" w:lineRule="auto"/>
        <w:rPr>
          <w:rFonts w:ascii="Arial" w:hAnsi="Arial" w:cs="Arial"/>
          <w:bCs/>
          <w:lang w:eastAsia="nl-BE"/>
        </w:rPr>
      </w:pPr>
    </w:p>
    <w:p w14:paraId="0BD6C5BD" w14:textId="77777777" w:rsidR="00565742" w:rsidRPr="008D1DB9" w:rsidRDefault="00565742" w:rsidP="00A91D0D">
      <w:pPr>
        <w:spacing w:after="0" w:line="240" w:lineRule="auto"/>
        <w:ind w:firstLine="708"/>
        <w:rPr>
          <w:rFonts w:ascii="Arial" w:hAnsi="Arial" w:cs="Arial"/>
          <w:lang w:val="nl-NL"/>
        </w:rPr>
      </w:pPr>
    </w:p>
    <w:p w14:paraId="496C8800" w14:textId="77777777" w:rsidR="00565742" w:rsidRPr="008D1DB9" w:rsidRDefault="00440348" w:rsidP="007B558A">
      <w:pPr>
        <w:spacing w:after="0" w:line="240" w:lineRule="auto"/>
        <w:ind w:firstLine="708"/>
        <w:jc w:val="center"/>
        <w:rPr>
          <w:rFonts w:ascii="Arial" w:hAnsi="Arial" w:cs="Arial"/>
          <w:lang w:val="nl-NL"/>
        </w:rPr>
      </w:pPr>
      <w:r w:rsidRPr="008D1DB9">
        <w:rPr>
          <w:rFonts w:ascii="Arial" w:hAnsi="Arial" w:cs="Arial"/>
          <w:noProof/>
          <w:lang w:eastAsia="nl-BE"/>
        </w:rPr>
        <w:lastRenderedPageBreak/>
        <w:drawing>
          <wp:inline distT="0" distB="0" distL="0" distR="0" wp14:anchorId="146AB59F" wp14:editId="5CC65FEA">
            <wp:extent cx="3438525" cy="1805398"/>
            <wp:effectExtent l="0" t="0" r="0" b="444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52583" cy="1812779"/>
                    </a:xfrm>
                    <a:prstGeom prst="rect">
                      <a:avLst/>
                    </a:prstGeom>
                    <a:noFill/>
                    <a:ln>
                      <a:noFill/>
                    </a:ln>
                  </pic:spPr>
                </pic:pic>
              </a:graphicData>
            </a:graphic>
          </wp:inline>
        </w:drawing>
      </w:r>
    </w:p>
    <w:p w14:paraId="63AA4582" w14:textId="77777777" w:rsidR="007B558A" w:rsidRDefault="007B558A" w:rsidP="00565742">
      <w:pPr>
        <w:spacing w:after="0" w:line="240" w:lineRule="auto"/>
        <w:rPr>
          <w:rFonts w:ascii="Arial" w:hAnsi="Arial" w:cs="Arial"/>
          <w:bCs/>
          <w:i/>
          <w:lang w:eastAsia="nl-BE"/>
        </w:rPr>
      </w:pPr>
    </w:p>
    <w:p w14:paraId="16398071" w14:textId="77777777" w:rsidR="00CC5929" w:rsidRPr="001E6E17" w:rsidRDefault="00CC5929" w:rsidP="00CC5929">
      <w:pPr>
        <w:pStyle w:val="Bijschrift"/>
        <w:rPr>
          <w:rFonts w:ascii="Cambria" w:hAnsi="Cambria"/>
          <w:noProof/>
        </w:rPr>
      </w:pPr>
      <w:r w:rsidRPr="001E6E17">
        <w:rPr>
          <w:rFonts w:ascii="Cambria" w:hAnsi="Cambria"/>
        </w:rPr>
        <w:t>Figuur</w:t>
      </w:r>
      <w:r>
        <w:rPr>
          <w:rFonts w:ascii="Cambria" w:hAnsi="Cambria"/>
        </w:rPr>
        <w:t xml:space="preserve"> 3. Probleem versus stoornis en moeilijkheid.</w:t>
      </w:r>
      <w:r w:rsidRPr="001E6E17">
        <w:rPr>
          <w:rFonts w:ascii="Cambria" w:hAnsi="Cambria"/>
        </w:rPr>
        <w:t>.</w:t>
      </w:r>
    </w:p>
    <w:p w14:paraId="37013E53" w14:textId="77777777" w:rsidR="00CC5929" w:rsidRDefault="00CC5929" w:rsidP="001A3FBD">
      <w:pPr>
        <w:spacing w:after="0" w:line="240" w:lineRule="auto"/>
        <w:rPr>
          <w:rFonts w:ascii="Arial" w:hAnsi="Arial" w:cs="Arial"/>
          <w:bCs/>
          <w:lang w:eastAsia="nl-BE"/>
        </w:rPr>
      </w:pPr>
    </w:p>
    <w:p w14:paraId="45C0D6BC" w14:textId="10B6280C" w:rsidR="00D15DF7" w:rsidRDefault="005702B5" w:rsidP="005702B5">
      <w:pPr>
        <w:spacing w:after="0" w:line="240" w:lineRule="auto"/>
        <w:rPr>
          <w:rFonts w:ascii="Arial" w:hAnsi="Arial" w:cs="Arial"/>
          <w:lang w:val="nl-NL"/>
        </w:rPr>
      </w:pPr>
      <w:r w:rsidRPr="008D1DB9">
        <w:rPr>
          <w:rFonts w:ascii="Arial" w:hAnsi="Arial" w:cs="Arial"/>
          <w:bCs/>
          <w:lang w:eastAsia="nl-BE"/>
        </w:rPr>
        <w:t xml:space="preserve">Bij onze </w:t>
      </w:r>
      <w:r w:rsidR="00672EED">
        <w:rPr>
          <w:rFonts w:ascii="Arial" w:hAnsi="Arial" w:cs="Arial"/>
          <w:bCs/>
          <w:lang w:eastAsia="nl-BE"/>
        </w:rPr>
        <w:t>n</w:t>
      </w:r>
      <w:r w:rsidRPr="008D1DB9">
        <w:rPr>
          <w:rFonts w:ascii="Arial" w:hAnsi="Arial" w:cs="Arial"/>
          <w:bCs/>
          <w:lang w:eastAsia="nl-BE"/>
        </w:rPr>
        <w:t xml:space="preserve">oorderburen stelt </w:t>
      </w:r>
      <w:r w:rsidRPr="008D1DB9">
        <w:rPr>
          <w:rFonts w:ascii="Arial" w:hAnsi="Arial" w:cs="Arial"/>
          <w:lang w:val="nl-NL"/>
        </w:rPr>
        <w:t>Van Luit (2018) dat er geen dyscalculie kan vastgesteld worden bij een IQ lager dan of gelijk aan 70. Hij stelt verder dat als het IQ tussen 71-85 ligt er voorzichtigheid geboden is bij de diagnostiek en dat de achterstand dan 3 i.p.v. 2 jaar moet zijn op het einde van het 6</w:t>
      </w:r>
      <w:r w:rsidRPr="008D1DB9">
        <w:rPr>
          <w:rFonts w:ascii="Arial" w:hAnsi="Arial" w:cs="Arial"/>
          <w:vertAlign w:val="superscript"/>
          <w:lang w:val="nl-NL"/>
        </w:rPr>
        <w:t>de</w:t>
      </w:r>
      <w:r w:rsidRPr="008D1DB9">
        <w:rPr>
          <w:rFonts w:ascii="Arial" w:hAnsi="Arial" w:cs="Arial"/>
          <w:lang w:val="nl-NL"/>
        </w:rPr>
        <w:t xml:space="preserve"> leerjaar. </w:t>
      </w:r>
    </w:p>
    <w:p w14:paraId="11FAC94F" w14:textId="77777777" w:rsidR="00D15DF7" w:rsidRDefault="00D15DF7" w:rsidP="005702B5">
      <w:pPr>
        <w:spacing w:after="0" w:line="240" w:lineRule="auto"/>
        <w:rPr>
          <w:rFonts w:ascii="Arial" w:hAnsi="Arial" w:cs="Arial"/>
          <w:lang w:val="nl-NL"/>
        </w:rPr>
      </w:pPr>
    </w:p>
    <w:p w14:paraId="5D099B76" w14:textId="32994140" w:rsidR="005702B5" w:rsidRDefault="005702B5" w:rsidP="005702B5">
      <w:pPr>
        <w:spacing w:after="0" w:line="240" w:lineRule="auto"/>
        <w:rPr>
          <w:rFonts w:ascii="Arial" w:hAnsi="Arial" w:cs="Arial"/>
          <w:lang w:val="nl-NL"/>
        </w:rPr>
      </w:pPr>
      <w:r w:rsidRPr="008D1DB9">
        <w:rPr>
          <w:rFonts w:ascii="Arial" w:hAnsi="Arial" w:cs="Arial"/>
          <w:lang w:val="nl-NL"/>
        </w:rPr>
        <w:t xml:space="preserve">In Vlaanderen zijn hier </w:t>
      </w:r>
      <w:r w:rsidR="00672EED">
        <w:rPr>
          <w:rFonts w:ascii="Arial" w:hAnsi="Arial" w:cs="Arial"/>
          <w:lang w:val="nl-NL"/>
        </w:rPr>
        <w:t xml:space="preserve">niet </w:t>
      </w:r>
      <w:r w:rsidRPr="008D1DB9">
        <w:rPr>
          <w:rFonts w:ascii="Arial" w:hAnsi="Arial" w:cs="Arial"/>
          <w:lang w:val="nl-NL"/>
        </w:rPr>
        <w:t>zo’n specifieke richtlijnen voor, maar we moeten toch steeds zoeken of er geen andere verklaringen zijn die het onderpresteren van kinderen volledig k</w:t>
      </w:r>
      <w:r w:rsidR="00672EED">
        <w:rPr>
          <w:rFonts w:ascii="Arial" w:hAnsi="Arial" w:cs="Arial"/>
          <w:lang w:val="nl-NL"/>
        </w:rPr>
        <w:t>unnen</w:t>
      </w:r>
      <w:r w:rsidRPr="008D1DB9">
        <w:rPr>
          <w:rFonts w:ascii="Arial" w:hAnsi="Arial" w:cs="Arial"/>
          <w:lang w:val="nl-NL"/>
        </w:rPr>
        <w:t xml:space="preserve"> verklaren. In dat geval spreken we over een ‘leermoeilijkheid’ en niet over een ‘leerstoornis’ (zie Figuur </w:t>
      </w:r>
      <w:r w:rsidR="008A7AB4">
        <w:rPr>
          <w:rFonts w:ascii="Arial" w:hAnsi="Arial" w:cs="Arial"/>
          <w:lang w:val="nl-NL"/>
        </w:rPr>
        <w:t>3</w:t>
      </w:r>
      <w:r w:rsidRPr="008D1DB9">
        <w:rPr>
          <w:rFonts w:ascii="Arial" w:hAnsi="Arial" w:cs="Arial"/>
          <w:lang w:val="nl-NL"/>
        </w:rPr>
        <w:t xml:space="preserve">). </w:t>
      </w:r>
    </w:p>
    <w:p w14:paraId="549DEDCF" w14:textId="77777777" w:rsidR="00D15DF7" w:rsidRPr="008D1DB9" w:rsidRDefault="00D15DF7" w:rsidP="005702B5">
      <w:pPr>
        <w:spacing w:after="0" w:line="240" w:lineRule="auto"/>
        <w:rPr>
          <w:rFonts w:ascii="Arial" w:hAnsi="Arial" w:cs="Arial"/>
          <w:lang w:val="nl-NL"/>
        </w:rPr>
      </w:pPr>
    </w:p>
    <w:p w14:paraId="2365B004" w14:textId="77777777" w:rsidR="008A7AB4" w:rsidRDefault="009C049C" w:rsidP="001A3FBD">
      <w:pPr>
        <w:spacing w:after="0" w:line="240" w:lineRule="auto"/>
        <w:rPr>
          <w:rFonts w:ascii="Arial" w:hAnsi="Arial" w:cs="Arial"/>
          <w:bCs/>
          <w:lang w:eastAsia="nl-BE"/>
        </w:rPr>
      </w:pPr>
      <w:r w:rsidRPr="008D1DB9">
        <w:rPr>
          <w:rFonts w:ascii="Arial" w:hAnsi="Arial" w:cs="Arial"/>
          <w:bCs/>
          <w:lang w:eastAsia="nl-BE"/>
        </w:rPr>
        <w:t xml:space="preserve">Anderzijds is het </w:t>
      </w:r>
      <w:r w:rsidR="00D15DF7">
        <w:rPr>
          <w:rFonts w:ascii="Arial" w:hAnsi="Arial" w:cs="Arial"/>
          <w:bCs/>
          <w:lang w:eastAsia="nl-BE"/>
        </w:rPr>
        <w:t>toch</w:t>
      </w:r>
      <w:r w:rsidRPr="008D1DB9">
        <w:rPr>
          <w:rFonts w:ascii="Arial" w:hAnsi="Arial" w:cs="Arial"/>
          <w:bCs/>
          <w:lang w:eastAsia="nl-BE"/>
        </w:rPr>
        <w:t xml:space="preserve"> mogelijk dat iemand zwakkere reken-, lees- of </w:t>
      </w:r>
      <w:r w:rsidR="00440348" w:rsidRPr="008D1DB9">
        <w:rPr>
          <w:rFonts w:ascii="Arial" w:hAnsi="Arial" w:cs="Arial"/>
          <w:bCs/>
          <w:lang w:eastAsia="nl-BE"/>
        </w:rPr>
        <w:t xml:space="preserve"> s</w:t>
      </w:r>
      <w:r w:rsidRPr="008D1DB9">
        <w:rPr>
          <w:rFonts w:ascii="Arial" w:hAnsi="Arial" w:cs="Arial"/>
          <w:bCs/>
          <w:lang w:eastAsia="nl-BE"/>
        </w:rPr>
        <w:t>pellingsvaardigheden heeft dan je zou verwachten op basis van zijn of haar algemeen ontwikkelingsniveau, of dat een kind met ADHD een specifieke uitval vertoont voor een bepaalde schoolse vaardigheid. In dat geval kan er wel sprake zijn van een</w:t>
      </w:r>
      <w:r w:rsidR="00AB75C2" w:rsidRPr="008D1DB9">
        <w:rPr>
          <w:rFonts w:ascii="Arial" w:hAnsi="Arial" w:cs="Arial"/>
          <w:bCs/>
          <w:lang w:eastAsia="nl-BE"/>
        </w:rPr>
        <w:t xml:space="preserve"> leerstoornis bovenop een andere</w:t>
      </w:r>
      <w:r w:rsidRPr="008D1DB9">
        <w:rPr>
          <w:rFonts w:ascii="Arial" w:hAnsi="Arial" w:cs="Arial"/>
          <w:bCs/>
          <w:lang w:eastAsia="nl-BE"/>
        </w:rPr>
        <w:t xml:space="preserve"> stoornis, en dus van comorbiditeit. </w:t>
      </w:r>
    </w:p>
    <w:p w14:paraId="17843795" w14:textId="77777777" w:rsidR="008A7AB4" w:rsidRDefault="008A7AB4" w:rsidP="001A3FBD">
      <w:pPr>
        <w:spacing w:after="0" w:line="240" w:lineRule="auto"/>
        <w:rPr>
          <w:rFonts w:ascii="Arial" w:hAnsi="Arial" w:cs="Arial"/>
          <w:bCs/>
          <w:lang w:eastAsia="nl-BE"/>
        </w:rPr>
      </w:pPr>
    </w:p>
    <w:p w14:paraId="49B90646" w14:textId="506E683A" w:rsidR="00CC5929" w:rsidRDefault="00A52DBB" w:rsidP="001A3FBD">
      <w:pPr>
        <w:spacing w:after="0" w:line="240" w:lineRule="auto"/>
        <w:rPr>
          <w:rFonts w:ascii="Arial" w:hAnsi="Arial" w:cs="Arial"/>
        </w:rPr>
      </w:pPr>
      <w:r w:rsidRPr="008D1DB9">
        <w:rPr>
          <w:rFonts w:ascii="Arial" w:hAnsi="Arial" w:cs="Arial"/>
          <w:bCs/>
          <w:lang w:eastAsia="nl-BE"/>
        </w:rPr>
        <w:t xml:space="preserve">Comorbiditeit </w:t>
      </w:r>
      <w:r w:rsidR="00AD6046">
        <w:rPr>
          <w:rFonts w:ascii="Arial" w:hAnsi="Arial" w:cs="Arial"/>
          <w:bCs/>
          <w:lang w:eastAsia="nl-BE"/>
        </w:rPr>
        <w:t>komt vaak voor</w:t>
      </w:r>
      <w:r w:rsidRPr="008D1DB9">
        <w:rPr>
          <w:rFonts w:ascii="Arial" w:hAnsi="Arial" w:cs="Arial"/>
          <w:bCs/>
          <w:lang w:eastAsia="nl-BE"/>
        </w:rPr>
        <w:t xml:space="preserve"> </w:t>
      </w:r>
      <w:r w:rsidR="005702B5">
        <w:rPr>
          <w:rFonts w:ascii="Arial" w:hAnsi="Arial" w:cs="Arial"/>
          <w:bCs/>
          <w:lang w:eastAsia="nl-BE"/>
        </w:rPr>
        <w:t xml:space="preserve">(zie ook onderzoeksvraag 1; </w:t>
      </w:r>
      <w:r w:rsidRPr="008D1DB9">
        <w:rPr>
          <w:rFonts w:ascii="Arial" w:hAnsi="Arial" w:cs="Arial"/>
          <w:bCs/>
          <w:lang w:eastAsia="nl-BE"/>
        </w:rPr>
        <w:t xml:space="preserve">Scheiris &amp; Desoete, 2008; </w:t>
      </w:r>
      <w:r w:rsidR="00565742" w:rsidRPr="008D1DB9">
        <w:rPr>
          <w:rFonts w:ascii="Arial" w:hAnsi="Arial" w:cs="Arial"/>
        </w:rPr>
        <w:t>Vanderswalmen, Van Borsel, &amp; Desoete, 2010</w:t>
      </w:r>
      <w:r w:rsidRPr="008D1DB9">
        <w:rPr>
          <w:rFonts w:ascii="Arial" w:hAnsi="Arial" w:cs="Arial"/>
        </w:rPr>
        <w:t>).</w:t>
      </w:r>
      <w:r w:rsidR="00AB75C2" w:rsidRPr="008D1DB9">
        <w:rPr>
          <w:rFonts w:ascii="Arial" w:hAnsi="Arial" w:cs="Arial"/>
        </w:rPr>
        <w:t xml:space="preserve"> Er zijn kinderen met geïsoleerde dyslexie of geïsoleerde dyscalculie, maar er zijn veel meer kinderen met </w:t>
      </w:r>
      <w:r w:rsidR="00AE413F">
        <w:rPr>
          <w:rFonts w:ascii="Arial" w:hAnsi="Arial" w:cs="Arial"/>
        </w:rPr>
        <w:t xml:space="preserve">een combinatie van leerstoornissen (dyslexie en dyscalculie) of met </w:t>
      </w:r>
      <w:r w:rsidR="00AB75C2" w:rsidRPr="008D1DB9">
        <w:rPr>
          <w:rFonts w:ascii="Arial" w:hAnsi="Arial" w:cs="Arial"/>
        </w:rPr>
        <w:t xml:space="preserve">leerstoornissen en daarnaast ook DCD (Pieters, Desoete, Roeyers, Vanderswalmen, &amp; Van Waelvelde, 2012) of ADHD (Van de Voorde, Roeyers, &amp; Desoete, 2013). </w:t>
      </w:r>
    </w:p>
    <w:p w14:paraId="5A3290BB" w14:textId="77777777" w:rsidR="005702B5" w:rsidRDefault="005702B5" w:rsidP="001A3FBD">
      <w:pPr>
        <w:spacing w:after="0" w:line="240" w:lineRule="auto"/>
        <w:rPr>
          <w:rFonts w:ascii="Arial" w:hAnsi="Arial" w:cs="Arial"/>
        </w:rPr>
      </w:pPr>
    </w:p>
    <w:p w14:paraId="60E745F3" w14:textId="77777777" w:rsidR="00CC5929" w:rsidRPr="008D1DB9" w:rsidRDefault="00CC5929" w:rsidP="001A3FBD">
      <w:pPr>
        <w:spacing w:after="0" w:line="240" w:lineRule="auto"/>
        <w:rPr>
          <w:rFonts w:ascii="Arial" w:hAnsi="Arial" w:cs="Arial"/>
        </w:rPr>
      </w:pPr>
      <w:r>
        <w:rPr>
          <w:rFonts w:ascii="Arial" w:hAnsi="Arial" w:cs="Arial"/>
        </w:rPr>
        <w:t>3.3.3 Hardnekkigheid</w:t>
      </w:r>
    </w:p>
    <w:p w14:paraId="23736A53" w14:textId="77777777" w:rsidR="00553D63" w:rsidRDefault="009C049C" w:rsidP="00CC5929">
      <w:pPr>
        <w:spacing w:after="0" w:line="240" w:lineRule="auto"/>
        <w:rPr>
          <w:rFonts w:ascii="Arial" w:hAnsi="Arial" w:cs="Arial"/>
          <w:b/>
          <w:bCs/>
          <w:lang w:eastAsia="nl-BE"/>
        </w:rPr>
      </w:pPr>
      <w:r w:rsidRPr="008D1DB9">
        <w:rPr>
          <w:rFonts w:ascii="Arial" w:hAnsi="Arial" w:cs="Arial"/>
          <w:bCs/>
          <w:lang w:eastAsia="nl-BE"/>
        </w:rPr>
        <w:t xml:space="preserve">Het derde </w:t>
      </w:r>
      <w:r w:rsidR="00D15DF7">
        <w:rPr>
          <w:rFonts w:ascii="Arial" w:hAnsi="Arial" w:cs="Arial"/>
          <w:bCs/>
          <w:lang w:eastAsia="nl-BE"/>
        </w:rPr>
        <w:t xml:space="preserve">voorwaardelijke </w:t>
      </w:r>
      <w:r w:rsidRPr="008D1DB9">
        <w:rPr>
          <w:rFonts w:ascii="Arial" w:hAnsi="Arial" w:cs="Arial"/>
          <w:bCs/>
          <w:lang w:eastAsia="nl-BE"/>
        </w:rPr>
        <w:t xml:space="preserve">criterium </w:t>
      </w:r>
      <w:r w:rsidR="008F0D56">
        <w:rPr>
          <w:rFonts w:ascii="Arial" w:hAnsi="Arial" w:cs="Arial"/>
          <w:bCs/>
          <w:lang w:eastAsia="nl-BE"/>
        </w:rPr>
        <w:t xml:space="preserve">om van een leerstoornis te kunnen spreken </w:t>
      </w:r>
      <w:r w:rsidRPr="008D1DB9">
        <w:rPr>
          <w:rFonts w:ascii="Arial" w:hAnsi="Arial" w:cs="Arial"/>
          <w:bCs/>
          <w:lang w:eastAsia="nl-BE"/>
        </w:rPr>
        <w:t xml:space="preserve">is </w:t>
      </w:r>
      <w:r w:rsidR="008F0D56">
        <w:rPr>
          <w:rFonts w:ascii="Arial" w:hAnsi="Arial" w:cs="Arial"/>
          <w:bCs/>
          <w:lang w:eastAsia="nl-BE"/>
        </w:rPr>
        <w:t xml:space="preserve">de ‘didactische resistentie’ </w:t>
      </w:r>
      <w:r w:rsidR="005702B5">
        <w:rPr>
          <w:rFonts w:ascii="Arial" w:hAnsi="Arial" w:cs="Arial"/>
          <w:bCs/>
          <w:lang w:eastAsia="nl-BE"/>
        </w:rPr>
        <w:t xml:space="preserve">(lack of ‘Responsivity to Instruction’, RTI) </w:t>
      </w:r>
      <w:r w:rsidR="008F0D56">
        <w:rPr>
          <w:rFonts w:ascii="Arial" w:hAnsi="Arial" w:cs="Arial"/>
          <w:bCs/>
          <w:lang w:eastAsia="nl-BE"/>
        </w:rPr>
        <w:t xml:space="preserve">of </w:t>
      </w:r>
      <w:r w:rsidRPr="008D1DB9">
        <w:rPr>
          <w:rFonts w:ascii="Arial" w:hAnsi="Arial" w:cs="Arial"/>
          <w:bCs/>
          <w:lang w:eastAsia="nl-BE"/>
        </w:rPr>
        <w:t xml:space="preserve">het </w:t>
      </w:r>
      <w:r w:rsidRPr="008F0D56">
        <w:rPr>
          <w:rFonts w:ascii="Arial" w:hAnsi="Arial" w:cs="Arial"/>
          <w:bCs/>
          <w:lang w:eastAsia="nl-BE"/>
        </w:rPr>
        <w:t>hardnekkigheidscriterium.</w:t>
      </w:r>
      <w:r w:rsidRPr="008D1DB9">
        <w:rPr>
          <w:rFonts w:ascii="Arial" w:hAnsi="Arial" w:cs="Arial"/>
          <w:b/>
          <w:bCs/>
          <w:lang w:eastAsia="nl-BE"/>
        </w:rPr>
        <w:t xml:space="preserve"> </w:t>
      </w:r>
    </w:p>
    <w:p w14:paraId="1DC2ACF9" w14:textId="77777777" w:rsidR="00553D63" w:rsidRDefault="00553D63" w:rsidP="008F0D56">
      <w:pPr>
        <w:spacing w:after="0" w:line="240" w:lineRule="auto"/>
        <w:rPr>
          <w:rFonts w:ascii="Arial" w:hAnsi="Arial" w:cs="Arial"/>
          <w:b/>
          <w:bCs/>
          <w:lang w:eastAsia="nl-BE"/>
        </w:rPr>
      </w:pPr>
    </w:p>
    <w:p w14:paraId="5072967C" w14:textId="533D40B2" w:rsidR="008F0D56" w:rsidRPr="00803614" w:rsidRDefault="008F0D56" w:rsidP="008F0D56">
      <w:pPr>
        <w:spacing w:after="0" w:line="240" w:lineRule="auto"/>
        <w:rPr>
          <w:rFonts w:ascii="Arial" w:hAnsi="Arial" w:cs="Arial"/>
          <w:bCs/>
          <w:lang w:eastAsia="nl-BE"/>
        </w:rPr>
      </w:pPr>
      <w:r w:rsidRPr="001A3FBD">
        <w:rPr>
          <w:rFonts w:ascii="Arial" w:hAnsi="Arial" w:cs="Arial"/>
          <w:bCs/>
          <w:lang w:eastAsia="nl-BE"/>
        </w:rPr>
        <w:t xml:space="preserve">Dit criterium houdt in dat er </w:t>
      </w:r>
      <w:r w:rsidR="001A3FBD">
        <w:rPr>
          <w:rFonts w:ascii="Arial" w:hAnsi="Arial" w:cs="Arial"/>
          <w:bCs/>
          <w:lang w:eastAsia="nl-BE"/>
        </w:rPr>
        <w:t xml:space="preserve">(1) </w:t>
      </w:r>
      <w:r w:rsidR="009C049C" w:rsidRPr="001A3FBD">
        <w:rPr>
          <w:rFonts w:ascii="Arial" w:hAnsi="Arial" w:cs="Arial"/>
          <w:bCs/>
          <w:lang w:eastAsia="nl-BE"/>
        </w:rPr>
        <w:t xml:space="preserve">na de eerste klinische score </w:t>
      </w:r>
      <w:r w:rsidR="00AD6046">
        <w:rPr>
          <w:rFonts w:ascii="Arial" w:hAnsi="Arial" w:cs="Arial"/>
          <w:bCs/>
          <w:lang w:eastAsia="nl-BE"/>
        </w:rPr>
        <w:t>‘</w:t>
      </w:r>
      <w:r w:rsidR="00AD6046" w:rsidRPr="008A7AB4">
        <w:rPr>
          <w:rFonts w:ascii="Arial" w:hAnsi="Arial" w:cs="Arial"/>
          <w:b/>
          <w:bCs/>
          <w:lang w:eastAsia="nl-BE"/>
        </w:rPr>
        <w:t>goede hulp’</w:t>
      </w:r>
      <w:r w:rsidR="009C049C" w:rsidRPr="008A7AB4">
        <w:rPr>
          <w:rFonts w:ascii="Arial" w:hAnsi="Arial" w:cs="Arial"/>
          <w:b/>
          <w:bCs/>
          <w:lang w:eastAsia="nl-BE"/>
        </w:rPr>
        <w:t xml:space="preserve"> </w:t>
      </w:r>
      <w:r w:rsidR="007723C8" w:rsidRPr="008A7AB4">
        <w:rPr>
          <w:rFonts w:ascii="Arial" w:hAnsi="Arial" w:cs="Arial"/>
          <w:b/>
          <w:bCs/>
          <w:lang w:eastAsia="nl-BE"/>
        </w:rPr>
        <w:t>/’optimale instructie’</w:t>
      </w:r>
      <w:r w:rsidR="007723C8">
        <w:rPr>
          <w:rFonts w:ascii="Arial" w:hAnsi="Arial" w:cs="Arial"/>
          <w:bCs/>
          <w:lang w:eastAsia="nl-BE"/>
        </w:rPr>
        <w:t xml:space="preserve"> </w:t>
      </w:r>
      <w:r w:rsidR="009C049C" w:rsidRPr="008D1DB9">
        <w:rPr>
          <w:rFonts w:ascii="Arial" w:hAnsi="Arial" w:cs="Arial"/>
          <w:bCs/>
          <w:lang w:eastAsia="nl-BE"/>
        </w:rPr>
        <w:t xml:space="preserve">opgestart </w:t>
      </w:r>
      <w:r>
        <w:rPr>
          <w:rFonts w:ascii="Arial" w:hAnsi="Arial" w:cs="Arial"/>
          <w:bCs/>
          <w:lang w:eastAsia="nl-BE"/>
        </w:rPr>
        <w:t>werd</w:t>
      </w:r>
      <w:r w:rsidR="009C049C" w:rsidRPr="008D1DB9">
        <w:rPr>
          <w:rFonts w:ascii="Arial" w:hAnsi="Arial" w:cs="Arial"/>
          <w:bCs/>
          <w:lang w:eastAsia="nl-BE"/>
        </w:rPr>
        <w:t xml:space="preserve"> waarbij men </w:t>
      </w:r>
      <w:r w:rsidR="00494645">
        <w:rPr>
          <w:rFonts w:ascii="Arial" w:hAnsi="Arial" w:cs="Arial"/>
          <w:bCs/>
          <w:lang w:eastAsia="nl-BE"/>
        </w:rPr>
        <w:t>intensief met begeleiding op maat (bv. 2 keer in de week gedurende een halfuur</w:t>
      </w:r>
      <w:r w:rsidR="00D15DF7">
        <w:rPr>
          <w:rFonts w:ascii="Arial" w:hAnsi="Arial" w:cs="Arial"/>
          <w:bCs/>
          <w:lang w:eastAsia="nl-BE"/>
        </w:rPr>
        <w:t xml:space="preserve"> gedurende zes maanden</w:t>
      </w:r>
      <w:r w:rsidR="00494645">
        <w:rPr>
          <w:rFonts w:ascii="Arial" w:hAnsi="Arial" w:cs="Arial"/>
          <w:bCs/>
          <w:lang w:eastAsia="nl-BE"/>
        </w:rPr>
        <w:t xml:space="preserve">) </w:t>
      </w:r>
      <w:r w:rsidR="009C049C" w:rsidRPr="008D1DB9">
        <w:rPr>
          <w:rFonts w:ascii="Arial" w:hAnsi="Arial" w:cs="Arial"/>
          <w:bCs/>
          <w:lang w:eastAsia="nl-BE"/>
        </w:rPr>
        <w:t xml:space="preserve">probeerde om dit onderpresteren </w:t>
      </w:r>
      <w:r>
        <w:rPr>
          <w:rFonts w:ascii="Arial" w:hAnsi="Arial" w:cs="Arial"/>
          <w:bCs/>
          <w:lang w:eastAsia="nl-BE"/>
        </w:rPr>
        <w:t xml:space="preserve">te </w:t>
      </w:r>
      <w:r w:rsidRPr="00803614">
        <w:rPr>
          <w:rFonts w:ascii="Arial" w:hAnsi="Arial" w:cs="Arial"/>
          <w:bCs/>
          <w:lang w:eastAsia="nl-BE"/>
        </w:rPr>
        <w:t xml:space="preserve">remediëren of </w:t>
      </w:r>
      <w:r w:rsidR="009C049C" w:rsidRPr="00803614">
        <w:rPr>
          <w:rFonts w:ascii="Arial" w:hAnsi="Arial" w:cs="Arial"/>
          <w:bCs/>
          <w:lang w:eastAsia="nl-BE"/>
        </w:rPr>
        <w:t xml:space="preserve">op te lossen. </w:t>
      </w:r>
      <w:r w:rsidRPr="00803614">
        <w:rPr>
          <w:rFonts w:ascii="Arial" w:hAnsi="Arial" w:cs="Arial"/>
          <w:bCs/>
          <w:lang w:eastAsia="nl-BE"/>
        </w:rPr>
        <w:t xml:space="preserve">Bovendien </w:t>
      </w:r>
      <w:r w:rsidR="001A3FBD" w:rsidRPr="00803614">
        <w:rPr>
          <w:rFonts w:ascii="Arial" w:hAnsi="Arial" w:cs="Arial"/>
          <w:bCs/>
          <w:lang w:eastAsia="nl-BE"/>
        </w:rPr>
        <w:t xml:space="preserve">(2) </w:t>
      </w:r>
      <w:r w:rsidRPr="00803614">
        <w:rPr>
          <w:rFonts w:ascii="Arial" w:hAnsi="Arial" w:cs="Arial"/>
          <w:bCs/>
          <w:lang w:eastAsia="nl-BE"/>
        </w:rPr>
        <w:t xml:space="preserve">spreekt men maar van een leerstoornis als die </w:t>
      </w:r>
      <w:r w:rsidR="007723C8" w:rsidRPr="00803614">
        <w:rPr>
          <w:rFonts w:ascii="Arial" w:hAnsi="Arial" w:cs="Arial"/>
          <w:bCs/>
          <w:lang w:eastAsia="nl-BE"/>
        </w:rPr>
        <w:t>hulp</w:t>
      </w:r>
      <w:r w:rsidRPr="00803614">
        <w:rPr>
          <w:rFonts w:ascii="Arial" w:hAnsi="Arial" w:cs="Arial"/>
          <w:bCs/>
          <w:lang w:eastAsia="nl-BE"/>
        </w:rPr>
        <w:t xml:space="preserve"> niet tot een ‘inhaalbeweging’ geleid heeft, maar er nog steeds klinische scores zijn (zie eerste criterium)</w:t>
      </w:r>
      <w:r w:rsidR="00D15DF7" w:rsidRPr="00803614">
        <w:rPr>
          <w:rFonts w:ascii="Arial" w:hAnsi="Arial" w:cs="Arial"/>
          <w:bCs/>
          <w:lang w:eastAsia="nl-BE"/>
        </w:rPr>
        <w:t xml:space="preserve"> bij de hertesting na de interventie</w:t>
      </w:r>
      <w:r w:rsidRPr="00803614">
        <w:rPr>
          <w:rFonts w:ascii="Arial" w:hAnsi="Arial" w:cs="Arial"/>
          <w:bCs/>
          <w:lang w:eastAsia="nl-BE"/>
        </w:rPr>
        <w:t>. In dat geval is er voldaan aan het criterium van de hardnekkigheid.</w:t>
      </w:r>
    </w:p>
    <w:p w14:paraId="5703FE91" w14:textId="77777777" w:rsidR="004F4772" w:rsidRPr="008D1DB9" w:rsidRDefault="004F4772" w:rsidP="008F0D56">
      <w:pPr>
        <w:spacing w:after="0" w:line="240" w:lineRule="auto"/>
        <w:rPr>
          <w:rFonts w:ascii="Arial" w:hAnsi="Arial" w:cs="Arial"/>
          <w:bCs/>
          <w:lang w:eastAsia="nl-BE"/>
        </w:rPr>
      </w:pPr>
    </w:p>
    <w:p w14:paraId="6C6105BD" w14:textId="2E2D1236" w:rsidR="000C2884" w:rsidRPr="008D1DB9" w:rsidRDefault="000C2884" w:rsidP="004F4772">
      <w:pPr>
        <w:spacing w:after="0" w:line="240" w:lineRule="auto"/>
        <w:rPr>
          <w:rFonts w:ascii="Arial" w:hAnsi="Arial" w:cs="Arial"/>
          <w:bCs/>
          <w:lang w:eastAsia="nl-BE"/>
        </w:rPr>
      </w:pPr>
      <w:r>
        <w:rPr>
          <w:rFonts w:ascii="Arial" w:hAnsi="Arial" w:cs="Arial"/>
          <w:lang w:val="nl-NL"/>
        </w:rPr>
        <w:t xml:space="preserve">Ghesquière en Hellinckx (2018) spreken van </w:t>
      </w:r>
      <w:r w:rsidR="007723C8">
        <w:rPr>
          <w:rFonts w:ascii="Arial" w:hAnsi="Arial" w:cs="Arial"/>
          <w:lang w:val="nl-NL"/>
        </w:rPr>
        <w:t>‘</w:t>
      </w:r>
      <w:r w:rsidRPr="007723C8">
        <w:rPr>
          <w:rFonts w:ascii="Arial" w:hAnsi="Arial" w:cs="Arial"/>
          <w:b/>
          <w:lang w:val="nl-NL"/>
        </w:rPr>
        <w:t>goede hulp</w:t>
      </w:r>
      <w:r w:rsidR="007723C8">
        <w:rPr>
          <w:rFonts w:ascii="Arial" w:hAnsi="Arial" w:cs="Arial"/>
          <w:lang w:val="nl-NL"/>
        </w:rPr>
        <w:t>’</w:t>
      </w:r>
      <w:r>
        <w:rPr>
          <w:rFonts w:ascii="Arial" w:hAnsi="Arial" w:cs="Arial"/>
          <w:lang w:val="nl-NL"/>
        </w:rPr>
        <w:t xml:space="preserve"> als die taakgericht is (gericht op lezen, spellen of rekenen), </w:t>
      </w:r>
      <w:r w:rsidR="00A10D7A">
        <w:rPr>
          <w:rFonts w:ascii="Arial" w:hAnsi="Arial" w:cs="Arial"/>
          <w:lang w:val="nl-NL"/>
        </w:rPr>
        <w:t xml:space="preserve">op maat en planmatig wordt opgezet, </w:t>
      </w:r>
      <w:r>
        <w:rPr>
          <w:rFonts w:ascii="Arial" w:hAnsi="Arial" w:cs="Arial"/>
          <w:lang w:val="nl-NL"/>
        </w:rPr>
        <w:t>in nauwe samenwerking</w:t>
      </w:r>
      <w:r w:rsidR="00A10D7A">
        <w:rPr>
          <w:rFonts w:ascii="Arial" w:hAnsi="Arial" w:cs="Arial"/>
          <w:lang w:val="nl-NL"/>
        </w:rPr>
        <w:t xml:space="preserve"> met de school wordt verstrekt en aandacht heeft voor het klasgebeuren, waarbij hulpverlener didactisch goed geschoold is ,doorzichtige hulp biedt, taakgericht evalueert en aandacht heeft voor het hele gezin</w:t>
      </w:r>
      <w:r w:rsidR="008A14CF">
        <w:rPr>
          <w:rFonts w:ascii="Arial" w:hAnsi="Arial" w:cs="Arial"/>
          <w:lang w:val="nl-NL"/>
        </w:rPr>
        <w:t>,</w:t>
      </w:r>
      <w:r w:rsidR="00A10D7A">
        <w:rPr>
          <w:rFonts w:ascii="Arial" w:hAnsi="Arial" w:cs="Arial"/>
          <w:lang w:val="nl-NL"/>
        </w:rPr>
        <w:t xml:space="preserve"> aldus Ghesquière en Hellinckx (2018)</w:t>
      </w:r>
      <w:r w:rsidR="00E06B6A">
        <w:rPr>
          <w:rFonts w:ascii="Arial" w:hAnsi="Arial" w:cs="Arial"/>
          <w:lang w:val="nl-NL"/>
        </w:rPr>
        <w:t>.</w:t>
      </w:r>
    </w:p>
    <w:p w14:paraId="6313C04D" w14:textId="77777777" w:rsidR="008F0D56" w:rsidRDefault="008F0D56" w:rsidP="004F4772">
      <w:pPr>
        <w:spacing w:after="0" w:line="240" w:lineRule="auto"/>
        <w:rPr>
          <w:rFonts w:ascii="Arial" w:hAnsi="Arial" w:cs="Arial"/>
          <w:bCs/>
          <w:lang w:eastAsia="nl-BE"/>
        </w:rPr>
      </w:pPr>
    </w:p>
    <w:p w14:paraId="6B5B59C1" w14:textId="0C5EE227" w:rsidR="00A10D7A" w:rsidRDefault="00A10D7A" w:rsidP="00A10D7A">
      <w:pPr>
        <w:spacing w:after="0" w:line="240" w:lineRule="auto"/>
        <w:rPr>
          <w:rFonts w:ascii="Arial" w:hAnsi="Arial" w:cs="Arial"/>
          <w:lang w:val="nl-NL"/>
        </w:rPr>
      </w:pPr>
      <w:r w:rsidRPr="008D1DB9">
        <w:rPr>
          <w:rFonts w:ascii="Arial" w:hAnsi="Arial" w:cs="Arial"/>
          <w:lang w:val="nl-NL"/>
        </w:rPr>
        <w:t xml:space="preserve">Van Luit (2018) </w:t>
      </w:r>
      <w:r w:rsidR="007723C8">
        <w:rPr>
          <w:rFonts w:ascii="Arial" w:hAnsi="Arial" w:cs="Arial"/>
          <w:lang w:val="nl-NL"/>
        </w:rPr>
        <w:t xml:space="preserve">spreekt van </w:t>
      </w:r>
      <w:r w:rsidRPr="008D1DB9">
        <w:rPr>
          <w:rFonts w:ascii="Arial" w:hAnsi="Arial" w:cs="Arial"/>
          <w:lang w:val="nl-NL"/>
        </w:rPr>
        <w:t xml:space="preserve"> ‘</w:t>
      </w:r>
      <w:r w:rsidRPr="007723C8">
        <w:rPr>
          <w:rFonts w:ascii="Arial" w:hAnsi="Arial" w:cs="Arial"/>
          <w:b/>
          <w:lang w:val="nl-NL"/>
        </w:rPr>
        <w:t>optimale instructie’</w:t>
      </w:r>
      <w:r w:rsidRPr="008D1DB9">
        <w:rPr>
          <w:rFonts w:ascii="Arial" w:hAnsi="Arial" w:cs="Arial"/>
          <w:lang w:val="nl-NL"/>
        </w:rPr>
        <w:t xml:space="preserve"> </w:t>
      </w:r>
      <w:r w:rsidR="007723C8">
        <w:rPr>
          <w:rFonts w:ascii="Arial" w:hAnsi="Arial" w:cs="Arial"/>
          <w:lang w:val="nl-NL"/>
        </w:rPr>
        <w:t xml:space="preserve">als </w:t>
      </w:r>
      <w:r w:rsidRPr="008D1DB9">
        <w:rPr>
          <w:rFonts w:ascii="Arial" w:hAnsi="Arial" w:cs="Arial"/>
          <w:lang w:val="nl-NL"/>
        </w:rPr>
        <w:t xml:space="preserve">kinderen op dezelfde toets na </w:t>
      </w:r>
      <w:r>
        <w:rPr>
          <w:rFonts w:ascii="Arial" w:hAnsi="Arial" w:cs="Arial"/>
          <w:lang w:val="nl-NL"/>
        </w:rPr>
        <w:t xml:space="preserve">een interventie gedurende </w:t>
      </w:r>
      <w:r w:rsidRPr="008D1DB9">
        <w:rPr>
          <w:rFonts w:ascii="Arial" w:hAnsi="Arial" w:cs="Arial"/>
          <w:lang w:val="nl-NL"/>
        </w:rPr>
        <w:t xml:space="preserve">5 maanden </w:t>
      </w:r>
      <w:r>
        <w:rPr>
          <w:rFonts w:ascii="Arial" w:hAnsi="Arial" w:cs="Arial"/>
          <w:lang w:val="nl-NL"/>
        </w:rPr>
        <w:t xml:space="preserve">(1 uur per week) </w:t>
      </w:r>
      <w:r w:rsidRPr="008D1DB9">
        <w:rPr>
          <w:rFonts w:ascii="Arial" w:hAnsi="Arial" w:cs="Arial"/>
          <w:lang w:val="nl-NL"/>
        </w:rPr>
        <w:t>een vooruitgang van ruim 3 maanden of meer boeken. Indien die vooruitgang minder dan 3 maanden was, s</w:t>
      </w:r>
      <w:r w:rsidR="007723C8">
        <w:rPr>
          <w:rFonts w:ascii="Arial" w:hAnsi="Arial" w:cs="Arial"/>
          <w:lang w:val="nl-NL"/>
        </w:rPr>
        <w:t xml:space="preserve">telt </w:t>
      </w:r>
      <w:r w:rsidRPr="008D1DB9">
        <w:rPr>
          <w:rFonts w:ascii="Arial" w:hAnsi="Arial" w:cs="Arial"/>
          <w:lang w:val="nl-NL"/>
        </w:rPr>
        <w:t xml:space="preserve">Van Luit </w:t>
      </w:r>
      <w:r w:rsidR="007723C8">
        <w:rPr>
          <w:rFonts w:ascii="Arial" w:hAnsi="Arial" w:cs="Arial"/>
          <w:lang w:val="nl-NL"/>
        </w:rPr>
        <w:t xml:space="preserve">dat er sprake was </w:t>
      </w:r>
      <w:r w:rsidRPr="008D1DB9">
        <w:rPr>
          <w:rFonts w:ascii="Arial" w:hAnsi="Arial" w:cs="Arial"/>
          <w:lang w:val="nl-NL"/>
        </w:rPr>
        <w:t xml:space="preserve">van ‘niet-optimale’ </w:t>
      </w:r>
      <w:r w:rsidR="007723C8">
        <w:rPr>
          <w:rFonts w:ascii="Arial" w:hAnsi="Arial" w:cs="Arial"/>
          <w:lang w:val="nl-NL"/>
        </w:rPr>
        <w:t>instructie</w:t>
      </w:r>
      <w:r w:rsidRPr="008D1DB9">
        <w:rPr>
          <w:rFonts w:ascii="Arial" w:hAnsi="Arial" w:cs="Arial"/>
          <w:lang w:val="nl-NL"/>
        </w:rPr>
        <w:t xml:space="preserve">. </w:t>
      </w:r>
    </w:p>
    <w:p w14:paraId="2A8F3D7F" w14:textId="77777777" w:rsidR="00A10D7A" w:rsidRDefault="00A10D7A" w:rsidP="00A10D7A">
      <w:pPr>
        <w:spacing w:after="0" w:line="240" w:lineRule="auto"/>
        <w:rPr>
          <w:rFonts w:ascii="Arial" w:hAnsi="Arial" w:cs="Arial"/>
          <w:lang w:val="nl-NL"/>
        </w:rPr>
      </w:pPr>
    </w:p>
    <w:p w14:paraId="07C523E4" w14:textId="45E55C0B" w:rsidR="00CD77EB" w:rsidRPr="008D1DB9" w:rsidRDefault="008F0D56" w:rsidP="00CD77EB">
      <w:pPr>
        <w:spacing w:after="0" w:line="240" w:lineRule="auto"/>
        <w:rPr>
          <w:rFonts w:ascii="Arial" w:hAnsi="Arial" w:cs="Arial"/>
          <w:bCs/>
          <w:lang w:eastAsia="nl-BE"/>
        </w:rPr>
      </w:pPr>
      <w:r>
        <w:rPr>
          <w:rFonts w:ascii="Arial" w:hAnsi="Arial" w:cs="Arial"/>
          <w:bCs/>
          <w:lang w:eastAsia="nl-BE"/>
        </w:rPr>
        <w:t>In Vlaanderen wordt doorgaans v</w:t>
      </w:r>
      <w:r w:rsidR="00CD77EB" w:rsidRPr="008D1DB9">
        <w:rPr>
          <w:rFonts w:ascii="Arial" w:hAnsi="Arial" w:cs="Arial"/>
          <w:bCs/>
          <w:lang w:eastAsia="nl-BE"/>
        </w:rPr>
        <w:t>anaf de 2</w:t>
      </w:r>
      <w:r w:rsidR="00CD77EB" w:rsidRPr="008D1DB9">
        <w:rPr>
          <w:rFonts w:ascii="Arial" w:hAnsi="Arial" w:cs="Arial"/>
          <w:bCs/>
          <w:vertAlign w:val="superscript"/>
          <w:lang w:eastAsia="nl-BE"/>
        </w:rPr>
        <w:t>de</w:t>
      </w:r>
      <w:r w:rsidR="00CD77EB" w:rsidRPr="008D1DB9">
        <w:rPr>
          <w:rFonts w:ascii="Arial" w:hAnsi="Arial" w:cs="Arial"/>
          <w:bCs/>
          <w:lang w:eastAsia="nl-BE"/>
        </w:rPr>
        <w:t xml:space="preserve"> gr</w:t>
      </w:r>
      <w:r>
        <w:rPr>
          <w:rFonts w:ascii="Arial" w:hAnsi="Arial" w:cs="Arial"/>
          <w:bCs/>
          <w:lang w:eastAsia="nl-BE"/>
        </w:rPr>
        <w:t>aad van het secundair onderwijs</w:t>
      </w:r>
      <w:r w:rsidR="00803614">
        <w:rPr>
          <w:rFonts w:ascii="Arial" w:hAnsi="Arial" w:cs="Arial"/>
          <w:bCs/>
          <w:lang w:eastAsia="nl-BE"/>
        </w:rPr>
        <w:t xml:space="preserve"> de ‘hardnekkigheid’ of </w:t>
      </w:r>
      <w:r w:rsidR="00CD77EB" w:rsidRPr="008D1DB9">
        <w:rPr>
          <w:rFonts w:ascii="Arial" w:hAnsi="Arial" w:cs="Arial"/>
          <w:bCs/>
          <w:lang w:eastAsia="nl-BE"/>
        </w:rPr>
        <w:t xml:space="preserve">het resistentiecriterium door het CLB </w:t>
      </w:r>
      <w:r w:rsidR="00803614">
        <w:rPr>
          <w:rFonts w:ascii="Arial" w:hAnsi="Arial" w:cs="Arial"/>
          <w:bCs/>
          <w:lang w:eastAsia="nl-BE"/>
        </w:rPr>
        <w:t xml:space="preserve">iets </w:t>
      </w:r>
      <w:r w:rsidR="00CD77EB" w:rsidRPr="008D1DB9">
        <w:rPr>
          <w:rFonts w:ascii="Arial" w:hAnsi="Arial" w:cs="Arial"/>
          <w:bCs/>
          <w:lang w:eastAsia="nl-BE"/>
        </w:rPr>
        <w:t>milder gehanteerd</w:t>
      </w:r>
      <w:r>
        <w:rPr>
          <w:rFonts w:ascii="Arial" w:hAnsi="Arial" w:cs="Arial"/>
          <w:bCs/>
          <w:lang w:eastAsia="nl-BE"/>
        </w:rPr>
        <w:t xml:space="preserve">. De </w:t>
      </w:r>
      <w:r w:rsidR="00803614">
        <w:rPr>
          <w:rFonts w:ascii="Arial" w:hAnsi="Arial" w:cs="Arial"/>
          <w:bCs/>
          <w:lang w:eastAsia="nl-BE"/>
        </w:rPr>
        <w:t>zes</w:t>
      </w:r>
      <w:r w:rsidR="00CD77EB" w:rsidRPr="008D1DB9">
        <w:rPr>
          <w:rFonts w:ascii="Arial" w:hAnsi="Arial" w:cs="Arial"/>
          <w:bCs/>
          <w:lang w:eastAsia="nl-BE"/>
        </w:rPr>
        <w:t xml:space="preserve"> maanden intensieve remediëring is </w:t>
      </w:r>
      <w:r>
        <w:rPr>
          <w:rFonts w:ascii="Arial" w:hAnsi="Arial" w:cs="Arial"/>
          <w:bCs/>
          <w:lang w:eastAsia="nl-BE"/>
        </w:rPr>
        <w:t xml:space="preserve">dan </w:t>
      </w:r>
      <w:r w:rsidR="00CD77EB" w:rsidRPr="008D1DB9">
        <w:rPr>
          <w:rFonts w:ascii="Arial" w:hAnsi="Arial" w:cs="Arial"/>
          <w:bCs/>
          <w:lang w:eastAsia="nl-BE"/>
        </w:rPr>
        <w:t xml:space="preserve">geen </w:t>
      </w:r>
      <w:r w:rsidR="00686911">
        <w:rPr>
          <w:rFonts w:ascii="Arial" w:hAnsi="Arial" w:cs="Arial"/>
          <w:bCs/>
          <w:lang w:eastAsia="nl-BE"/>
        </w:rPr>
        <w:t xml:space="preserve">strikte </w:t>
      </w:r>
      <w:r w:rsidR="00CD77EB" w:rsidRPr="008D1DB9">
        <w:rPr>
          <w:rFonts w:ascii="Arial" w:hAnsi="Arial" w:cs="Arial"/>
          <w:bCs/>
          <w:lang w:eastAsia="nl-BE"/>
        </w:rPr>
        <w:t>voorwaarde meer. Men beoordeelt meer op basis van het dossier, verdiepende gesprekken en observaties</w:t>
      </w:r>
      <w:r w:rsidR="00803614">
        <w:rPr>
          <w:rFonts w:ascii="Arial" w:hAnsi="Arial" w:cs="Arial"/>
          <w:bCs/>
          <w:lang w:eastAsia="nl-BE"/>
        </w:rPr>
        <w:t>, zonder extra remediëring op te zetten</w:t>
      </w:r>
      <w:r w:rsidR="00CD77EB" w:rsidRPr="008D1DB9">
        <w:rPr>
          <w:rFonts w:ascii="Arial" w:hAnsi="Arial" w:cs="Arial"/>
          <w:bCs/>
          <w:lang w:eastAsia="nl-BE"/>
        </w:rPr>
        <w:t xml:space="preserve">  (http://www.prodiagnostiek.be/?q=faq-page/5#t5n122). </w:t>
      </w:r>
    </w:p>
    <w:p w14:paraId="30FE941B" w14:textId="77777777" w:rsidR="00936788" w:rsidRPr="008D1DB9" w:rsidRDefault="00936788" w:rsidP="00936788">
      <w:pPr>
        <w:spacing w:after="0" w:line="240" w:lineRule="auto"/>
        <w:rPr>
          <w:rFonts w:ascii="Arial" w:hAnsi="Arial" w:cs="Arial"/>
          <w:bCs/>
          <w:lang w:eastAsia="nl-BE"/>
        </w:rPr>
      </w:pPr>
    </w:p>
    <w:p w14:paraId="3184A514" w14:textId="1B3CD7E6" w:rsidR="00BF4E31" w:rsidRDefault="009C049C" w:rsidP="00CC5929">
      <w:pPr>
        <w:spacing w:after="0" w:line="240" w:lineRule="auto"/>
        <w:rPr>
          <w:rFonts w:ascii="Arial" w:hAnsi="Arial" w:cs="Arial"/>
          <w:bCs/>
          <w:lang w:eastAsia="nl-BE"/>
        </w:rPr>
      </w:pPr>
      <w:r w:rsidRPr="008D1DB9">
        <w:rPr>
          <w:rFonts w:ascii="Arial" w:hAnsi="Arial" w:cs="Arial"/>
          <w:bCs/>
          <w:lang w:eastAsia="nl-BE"/>
        </w:rPr>
        <w:t xml:space="preserve">Kinderen met leerstoornissen voldoen aan </w:t>
      </w:r>
      <w:r w:rsidRPr="00CC5929">
        <w:rPr>
          <w:rFonts w:ascii="Arial" w:hAnsi="Arial" w:cs="Arial"/>
          <w:bCs/>
          <w:lang w:eastAsia="nl-BE"/>
        </w:rPr>
        <w:t xml:space="preserve">alle drie deze </w:t>
      </w:r>
      <w:r w:rsidR="00803614">
        <w:rPr>
          <w:rFonts w:ascii="Arial" w:hAnsi="Arial" w:cs="Arial"/>
          <w:bCs/>
          <w:lang w:eastAsia="nl-BE"/>
        </w:rPr>
        <w:t xml:space="preserve">voorwaardelijke </w:t>
      </w:r>
      <w:r w:rsidRPr="00CC5929">
        <w:rPr>
          <w:rFonts w:ascii="Arial" w:hAnsi="Arial" w:cs="Arial"/>
          <w:bCs/>
          <w:lang w:eastAsia="nl-BE"/>
        </w:rPr>
        <w:t>criteria</w:t>
      </w:r>
      <w:r w:rsidRPr="008D1DB9">
        <w:rPr>
          <w:rFonts w:ascii="Arial" w:hAnsi="Arial" w:cs="Arial"/>
          <w:bCs/>
          <w:lang w:eastAsia="nl-BE"/>
        </w:rPr>
        <w:t xml:space="preserve"> </w:t>
      </w:r>
      <w:r w:rsidR="00686911">
        <w:rPr>
          <w:rFonts w:ascii="Arial" w:hAnsi="Arial" w:cs="Arial"/>
          <w:bCs/>
          <w:lang w:eastAsia="nl-BE"/>
        </w:rPr>
        <w:t xml:space="preserve">(3.3.1., 3.3.2. en 3.3.3.) </w:t>
      </w:r>
    </w:p>
    <w:p w14:paraId="48BDBEDD" w14:textId="77777777" w:rsidR="00D661F5" w:rsidRPr="008D1DB9" w:rsidRDefault="00D661F5" w:rsidP="004F4772">
      <w:pPr>
        <w:spacing w:after="0" w:line="240" w:lineRule="auto"/>
        <w:ind w:firstLine="708"/>
        <w:rPr>
          <w:rFonts w:ascii="Arial" w:hAnsi="Arial" w:cs="Arial"/>
          <w:bCs/>
          <w:lang w:eastAsia="nl-BE"/>
        </w:rPr>
      </w:pPr>
    </w:p>
    <w:p w14:paraId="325012E1" w14:textId="1CD784FD" w:rsidR="00D661F5" w:rsidRDefault="00CC5929" w:rsidP="00CC5929">
      <w:pPr>
        <w:spacing w:after="0" w:line="240" w:lineRule="auto"/>
        <w:rPr>
          <w:rFonts w:ascii="Arial" w:hAnsi="Arial" w:cs="Arial"/>
          <w:bCs/>
          <w:lang w:eastAsia="nl-BE"/>
        </w:rPr>
      </w:pPr>
      <w:r>
        <w:rPr>
          <w:rFonts w:ascii="Arial" w:hAnsi="Arial" w:cs="Arial"/>
          <w:bCs/>
          <w:lang w:eastAsia="nl-BE"/>
        </w:rPr>
        <w:t>3.4. Onderzoeksvraag 4</w:t>
      </w:r>
      <w:r w:rsidR="00AB0D4B">
        <w:rPr>
          <w:rFonts w:ascii="Arial" w:hAnsi="Arial" w:cs="Arial"/>
          <w:bCs/>
          <w:lang w:eastAsia="nl-BE"/>
        </w:rPr>
        <w:t>: instrumenten/ tests i.f.v. een diagnose leerstoornissen</w:t>
      </w:r>
    </w:p>
    <w:p w14:paraId="44F11F79" w14:textId="7FA605DC" w:rsidR="00A4567D" w:rsidRDefault="00553D63" w:rsidP="008E2A43">
      <w:pPr>
        <w:spacing w:after="0" w:line="240" w:lineRule="auto"/>
        <w:rPr>
          <w:rFonts w:ascii="Arial" w:hAnsi="Arial" w:cs="Arial"/>
        </w:rPr>
      </w:pPr>
      <w:r>
        <w:rPr>
          <w:rFonts w:ascii="Arial" w:hAnsi="Arial" w:cs="Arial"/>
          <w:bCs/>
          <w:lang w:eastAsia="nl-BE"/>
        </w:rPr>
        <w:t xml:space="preserve">Het zal van belang zijn om </w:t>
      </w:r>
      <w:r w:rsidR="00672EED">
        <w:rPr>
          <w:rFonts w:ascii="Arial" w:hAnsi="Arial" w:cs="Arial"/>
          <w:bCs/>
          <w:lang w:eastAsia="nl-BE"/>
        </w:rPr>
        <w:t xml:space="preserve">bij </w:t>
      </w:r>
      <w:r>
        <w:rPr>
          <w:rFonts w:ascii="Arial" w:hAnsi="Arial" w:cs="Arial"/>
          <w:bCs/>
          <w:lang w:eastAsia="nl-BE"/>
        </w:rPr>
        <w:t xml:space="preserve">de diagnostiek van leerstoornissen rekening te houden met de drie beschrijvende criteria voor dyslexie en dyscalculie. </w:t>
      </w:r>
      <w:r w:rsidR="00A4567D">
        <w:rPr>
          <w:rFonts w:ascii="Arial" w:hAnsi="Arial" w:cs="Arial"/>
        </w:rPr>
        <w:t>H</w:t>
      </w:r>
      <w:r w:rsidR="005702B5">
        <w:rPr>
          <w:rFonts w:ascii="Arial" w:hAnsi="Arial" w:cs="Arial"/>
        </w:rPr>
        <w:t xml:space="preserve">ierbij is het </w:t>
      </w:r>
      <w:r w:rsidR="005D6A90">
        <w:rPr>
          <w:rFonts w:ascii="Arial" w:hAnsi="Arial" w:cs="Arial"/>
        </w:rPr>
        <w:t xml:space="preserve">van belang om </w:t>
      </w:r>
      <w:r w:rsidR="00B448D3">
        <w:rPr>
          <w:rFonts w:ascii="Arial" w:hAnsi="Arial" w:cs="Arial"/>
        </w:rPr>
        <w:t>doordacht tests te ki</w:t>
      </w:r>
      <w:r w:rsidR="00CB602B">
        <w:rPr>
          <w:rFonts w:ascii="Arial" w:hAnsi="Arial" w:cs="Arial"/>
        </w:rPr>
        <w:t>e</w:t>
      </w:r>
      <w:r w:rsidR="00B448D3">
        <w:rPr>
          <w:rFonts w:ascii="Arial" w:hAnsi="Arial" w:cs="Arial"/>
        </w:rPr>
        <w:t>zen</w:t>
      </w:r>
      <w:r w:rsidR="00803614">
        <w:rPr>
          <w:rFonts w:ascii="Arial" w:hAnsi="Arial" w:cs="Arial"/>
        </w:rPr>
        <w:t xml:space="preserve"> om de achterstand te objectiveren</w:t>
      </w:r>
      <w:r w:rsidR="00B448D3">
        <w:rPr>
          <w:rFonts w:ascii="Arial" w:hAnsi="Arial" w:cs="Arial"/>
        </w:rPr>
        <w:t>.</w:t>
      </w:r>
      <w:r w:rsidR="00CB602B">
        <w:rPr>
          <w:rFonts w:ascii="Arial" w:hAnsi="Arial" w:cs="Arial"/>
        </w:rPr>
        <w:t xml:space="preserve"> In wat volgt geven we een overzicht van de diagnosti</w:t>
      </w:r>
      <w:r w:rsidR="005702B5">
        <w:rPr>
          <w:rFonts w:ascii="Arial" w:hAnsi="Arial" w:cs="Arial"/>
        </w:rPr>
        <w:t>sche instrumenten</w:t>
      </w:r>
      <w:r w:rsidR="00D15DF7">
        <w:rPr>
          <w:rFonts w:ascii="Arial" w:hAnsi="Arial" w:cs="Arial"/>
        </w:rPr>
        <w:t>/tests</w:t>
      </w:r>
      <w:r w:rsidR="005702B5">
        <w:rPr>
          <w:rFonts w:ascii="Arial" w:hAnsi="Arial" w:cs="Arial"/>
        </w:rPr>
        <w:t xml:space="preserve"> voor </w:t>
      </w:r>
      <w:r w:rsidR="00CB602B">
        <w:rPr>
          <w:rFonts w:ascii="Arial" w:hAnsi="Arial" w:cs="Arial"/>
        </w:rPr>
        <w:t>lezen, spellen en rekenen.</w:t>
      </w:r>
    </w:p>
    <w:p w14:paraId="715147B6" w14:textId="77777777" w:rsidR="00A4567D" w:rsidRDefault="00A4567D" w:rsidP="008E2A43">
      <w:pPr>
        <w:spacing w:after="0" w:line="240" w:lineRule="auto"/>
        <w:rPr>
          <w:rFonts w:ascii="Arial" w:hAnsi="Arial" w:cs="Arial"/>
        </w:rPr>
      </w:pPr>
    </w:p>
    <w:p w14:paraId="5638FA64" w14:textId="77777777" w:rsidR="00CC5929" w:rsidRDefault="00CC5929" w:rsidP="00E778A5">
      <w:pPr>
        <w:spacing w:after="0" w:line="240" w:lineRule="auto"/>
        <w:rPr>
          <w:rFonts w:ascii="Arial" w:hAnsi="Arial" w:cs="Arial"/>
        </w:rPr>
      </w:pPr>
      <w:r>
        <w:rPr>
          <w:rFonts w:ascii="Arial" w:hAnsi="Arial" w:cs="Arial"/>
        </w:rPr>
        <w:t xml:space="preserve">3.4.1. Diagnostiek van </w:t>
      </w:r>
      <w:r w:rsidR="00E274E4">
        <w:rPr>
          <w:rFonts w:ascii="Arial" w:hAnsi="Arial" w:cs="Arial"/>
        </w:rPr>
        <w:t>het lezen</w:t>
      </w:r>
    </w:p>
    <w:p w14:paraId="62EAB01C" w14:textId="0B854D2E" w:rsidR="00BE6744" w:rsidRDefault="001A4359" w:rsidP="00BE6744">
      <w:pPr>
        <w:spacing w:after="0" w:line="240" w:lineRule="auto"/>
        <w:rPr>
          <w:rFonts w:ascii="Arial" w:hAnsi="Arial" w:cs="Arial"/>
        </w:rPr>
      </w:pPr>
      <w:r>
        <w:rPr>
          <w:rFonts w:ascii="Arial" w:hAnsi="Arial" w:cs="Arial"/>
        </w:rPr>
        <w:t>Om te weten of er sprake is van dyslexie moeten we kinderen laten</w:t>
      </w:r>
      <w:r w:rsidR="00C3439E">
        <w:rPr>
          <w:rFonts w:ascii="Arial" w:hAnsi="Arial" w:cs="Arial"/>
        </w:rPr>
        <w:t xml:space="preserve"> </w:t>
      </w:r>
      <w:r>
        <w:rPr>
          <w:rFonts w:ascii="Arial" w:hAnsi="Arial" w:cs="Arial"/>
        </w:rPr>
        <w:t xml:space="preserve">lezen (en spellen, zie 3.2.). </w:t>
      </w:r>
      <w:r w:rsidR="00C12225">
        <w:rPr>
          <w:rFonts w:ascii="Arial" w:hAnsi="Arial" w:cs="Arial"/>
        </w:rPr>
        <w:t xml:space="preserve"> </w:t>
      </w:r>
      <w:r w:rsidR="00BE6744">
        <w:rPr>
          <w:rFonts w:ascii="Arial" w:hAnsi="Arial" w:cs="Arial"/>
        </w:rPr>
        <w:t xml:space="preserve">Bij volwassenen bleek trouwens ook dat het lezen van woorden, het spellen van woorden en de fonologische verwerking </w:t>
      </w:r>
      <w:r w:rsidR="00624468">
        <w:rPr>
          <w:rFonts w:ascii="Arial" w:hAnsi="Arial" w:cs="Arial"/>
        </w:rPr>
        <w:t xml:space="preserve">toeliet </w:t>
      </w:r>
      <w:r w:rsidR="00BE6744">
        <w:rPr>
          <w:rFonts w:ascii="Arial" w:hAnsi="Arial" w:cs="Arial"/>
        </w:rPr>
        <w:t xml:space="preserve"> om voor 91% te voorspellen wie dyslexie had of niet (Tops et al., 2018). </w:t>
      </w:r>
    </w:p>
    <w:p w14:paraId="6072FD95" w14:textId="77777777" w:rsidR="005702B5" w:rsidRDefault="005702B5" w:rsidP="00E778A5">
      <w:pPr>
        <w:spacing w:after="0" w:line="240" w:lineRule="auto"/>
        <w:rPr>
          <w:rFonts w:ascii="Arial" w:hAnsi="Arial" w:cs="Arial"/>
        </w:rPr>
      </w:pPr>
    </w:p>
    <w:p w14:paraId="2D0A13EB" w14:textId="0DF42DE4" w:rsidR="00156B37" w:rsidRDefault="00A4567D" w:rsidP="00057568">
      <w:pPr>
        <w:spacing w:after="0" w:line="240" w:lineRule="auto"/>
        <w:rPr>
          <w:rFonts w:ascii="Arial" w:hAnsi="Arial" w:cs="Arial"/>
        </w:rPr>
      </w:pPr>
      <w:r>
        <w:rPr>
          <w:rFonts w:ascii="Arial" w:hAnsi="Arial" w:cs="Arial"/>
        </w:rPr>
        <w:t xml:space="preserve">Het </w:t>
      </w:r>
      <w:r w:rsidR="00686911">
        <w:rPr>
          <w:rFonts w:ascii="Arial" w:hAnsi="Arial" w:cs="Arial"/>
        </w:rPr>
        <w:t xml:space="preserve">is </w:t>
      </w:r>
      <w:r w:rsidR="00BE6744">
        <w:rPr>
          <w:rFonts w:ascii="Arial" w:hAnsi="Arial" w:cs="Arial"/>
        </w:rPr>
        <w:t>m.a.</w:t>
      </w:r>
      <w:r w:rsidR="00C12225">
        <w:rPr>
          <w:rFonts w:ascii="Arial" w:hAnsi="Arial" w:cs="Arial"/>
        </w:rPr>
        <w:t>w</w:t>
      </w:r>
      <w:r w:rsidR="00BE6744">
        <w:rPr>
          <w:rFonts w:ascii="Arial" w:hAnsi="Arial" w:cs="Arial"/>
        </w:rPr>
        <w:t xml:space="preserve">. </w:t>
      </w:r>
      <w:r>
        <w:rPr>
          <w:rFonts w:ascii="Arial" w:hAnsi="Arial" w:cs="Arial"/>
        </w:rPr>
        <w:t xml:space="preserve">van belang om na te gaan hoe accuraat en snel </w:t>
      </w:r>
      <w:r w:rsidR="00C12225">
        <w:rPr>
          <w:rFonts w:ascii="Arial" w:hAnsi="Arial" w:cs="Arial"/>
        </w:rPr>
        <w:t xml:space="preserve">men </w:t>
      </w:r>
      <w:r w:rsidRPr="00ED6D88">
        <w:rPr>
          <w:rFonts w:ascii="Arial" w:hAnsi="Arial" w:cs="Arial"/>
          <w:b/>
        </w:rPr>
        <w:t>bestaande woorden</w:t>
      </w:r>
      <w:r w:rsidRPr="00E778A5">
        <w:rPr>
          <w:rFonts w:ascii="Arial" w:hAnsi="Arial" w:cs="Arial"/>
        </w:rPr>
        <w:t xml:space="preserve"> k</w:t>
      </w:r>
      <w:r w:rsidR="00C12225">
        <w:rPr>
          <w:rFonts w:ascii="Arial" w:hAnsi="Arial" w:cs="Arial"/>
        </w:rPr>
        <w:t>an</w:t>
      </w:r>
      <w:r w:rsidRPr="00E778A5">
        <w:rPr>
          <w:rFonts w:ascii="Arial" w:hAnsi="Arial" w:cs="Arial"/>
        </w:rPr>
        <w:t xml:space="preserve"> lezen.</w:t>
      </w:r>
      <w:r w:rsidR="00CB602B" w:rsidRPr="00E778A5">
        <w:rPr>
          <w:rFonts w:ascii="Arial" w:hAnsi="Arial" w:cs="Arial"/>
        </w:rPr>
        <w:t xml:space="preserve"> </w:t>
      </w:r>
      <w:r w:rsidR="008308A7">
        <w:rPr>
          <w:rFonts w:ascii="Arial" w:hAnsi="Arial" w:cs="Arial"/>
        </w:rPr>
        <w:t xml:space="preserve">Voor dyslexie in het lager onderwijs </w:t>
      </w:r>
      <w:r w:rsidR="00C3439E">
        <w:rPr>
          <w:rFonts w:ascii="Arial" w:hAnsi="Arial" w:cs="Arial"/>
        </w:rPr>
        <w:t xml:space="preserve">kan </w:t>
      </w:r>
      <w:r w:rsidR="00D952D5">
        <w:rPr>
          <w:rFonts w:ascii="Arial" w:hAnsi="Arial" w:cs="Arial"/>
        </w:rPr>
        <w:t xml:space="preserve">de logopedist </w:t>
      </w:r>
      <w:r w:rsidR="00C12225">
        <w:rPr>
          <w:rFonts w:ascii="Arial" w:hAnsi="Arial" w:cs="Arial"/>
        </w:rPr>
        <w:t xml:space="preserve">hiervoor </w:t>
      </w:r>
      <w:r w:rsidR="00686911">
        <w:rPr>
          <w:rFonts w:ascii="Arial" w:hAnsi="Arial" w:cs="Arial"/>
        </w:rPr>
        <w:t>gebruik maken van d</w:t>
      </w:r>
      <w:r w:rsidR="00C3439E">
        <w:rPr>
          <w:rFonts w:ascii="Arial" w:hAnsi="Arial" w:cs="Arial"/>
        </w:rPr>
        <w:t xml:space="preserve">e </w:t>
      </w:r>
      <w:r w:rsidR="008308A7" w:rsidRPr="00E778A5">
        <w:rPr>
          <w:rFonts w:ascii="Arial" w:hAnsi="Arial" w:cs="Arial"/>
        </w:rPr>
        <w:t>Eén Minuut Test (</w:t>
      </w:r>
      <w:r w:rsidR="00057568">
        <w:rPr>
          <w:rFonts w:ascii="Arial" w:hAnsi="Arial" w:cs="Arial"/>
        </w:rPr>
        <w:t xml:space="preserve">EMT, </w:t>
      </w:r>
      <w:r w:rsidR="008308A7" w:rsidRPr="00E778A5">
        <w:rPr>
          <w:rFonts w:ascii="Arial" w:hAnsi="Arial" w:cs="Arial"/>
        </w:rPr>
        <w:t>Brus &amp; Voeten, 1999)</w:t>
      </w:r>
      <w:r w:rsidR="00D952D5">
        <w:rPr>
          <w:rFonts w:ascii="Arial" w:hAnsi="Arial" w:cs="Arial"/>
        </w:rPr>
        <w:t>, de Drie Minuten Test (</w:t>
      </w:r>
      <w:r w:rsidR="00057568">
        <w:rPr>
          <w:rFonts w:ascii="Arial" w:hAnsi="Arial" w:cs="Arial"/>
        </w:rPr>
        <w:t xml:space="preserve">DMT, </w:t>
      </w:r>
      <w:r w:rsidR="00D952D5">
        <w:rPr>
          <w:rFonts w:ascii="Arial" w:hAnsi="Arial" w:cs="Arial"/>
        </w:rPr>
        <w:t>CITO, 2009)</w:t>
      </w:r>
      <w:r w:rsidR="008308A7" w:rsidRPr="00E778A5">
        <w:rPr>
          <w:rFonts w:ascii="Arial" w:hAnsi="Arial" w:cs="Arial"/>
        </w:rPr>
        <w:t xml:space="preserve"> of Leesvaardigheidstest (</w:t>
      </w:r>
      <w:r w:rsidR="00885081">
        <w:rPr>
          <w:rFonts w:ascii="Arial" w:hAnsi="Arial" w:cs="Arial"/>
        </w:rPr>
        <w:t xml:space="preserve">LVT, </w:t>
      </w:r>
      <w:r w:rsidR="008308A7" w:rsidRPr="00E778A5">
        <w:rPr>
          <w:rFonts w:ascii="Arial" w:hAnsi="Arial" w:cs="Arial"/>
        </w:rPr>
        <w:t>Niessen &amp; Boey, 2015)</w:t>
      </w:r>
      <w:r w:rsidR="00D952D5">
        <w:rPr>
          <w:rFonts w:ascii="Arial" w:hAnsi="Arial" w:cs="Arial"/>
        </w:rPr>
        <w:t xml:space="preserve"> uit de limitatieve lijst</w:t>
      </w:r>
      <w:r w:rsidR="008308A7" w:rsidRPr="00E778A5">
        <w:rPr>
          <w:rFonts w:ascii="Arial" w:hAnsi="Arial" w:cs="Arial"/>
        </w:rPr>
        <w:t>.</w:t>
      </w:r>
      <w:r w:rsidR="00D952D5">
        <w:rPr>
          <w:rFonts w:ascii="Arial" w:hAnsi="Arial" w:cs="Arial"/>
        </w:rPr>
        <w:t xml:space="preserve"> </w:t>
      </w:r>
      <w:r w:rsidR="008A7AB4">
        <w:rPr>
          <w:rFonts w:ascii="Arial" w:hAnsi="Arial" w:cs="Arial"/>
        </w:rPr>
        <w:t>Test</w:t>
      </w:r>
      <w:r w:rsidR="00803614">
        <w:rPr>
          <w:rFonts w:ascii="Arial" w:hAnsi="Arial" w:cs="Arial"/>
        </w:rPr>
        <w:t>s</w:t>
      </w:r>
      <w:r w:rsidR="008A7AB4">
        <w:rPr>
          <w:rFonts w:ascii="Arial" w:hAnsi="Arial" w:cs="Arial"/>
        </w:rPr>
        <w:t xml:space="preserve"> krijgen echter ook een A, B, C of F-beoordeling. F-tests mogen niet afgenomen worden om terugbetaling bij logopedisten in een privépraktijk te vragen. De EMT, KLEPEL en de DMT zijn B-tests en ook deze tests mogen niet alleen of gecombineerd met andere B-tests gebruikt worden om een achterstand aan te tonen. De combinatie met de</w:t>
      </w:r>
      <w:r w:rsidR="008A14CF">
        <w:rPr>
          <w:rFonts w:ascii="Arial" w:hAnsi="Arial" w:cs="Arial"/>
        </w:rPr>
        <w:t xml:space="preserve"> Lees Motivatie Test (LMT)</w:t>
      </w:r>
      <w:r w:rsidR="008A7AB4">
        <w:rPr>
          <w:rFonts w:ascii="Arial" w:hAnsi="Arial" w:cs="Arial"/>
        </w:rPr>
        <w:t xml:space="preserve"> of het opvragen van scores </w:t>
      </w:r>
      <w:r w:rsidR="00D952D5">
        <w:rPr>
          <w:rFonts w:ascii="Arial" w:hAnsi="Arial" w:cs="Arial"/>
        </w:rPr>
        <w:t xml:space="preserve">van het LVS-VCLB Lezen (Van Rompaey &amp; Vandenberghe, </w:t>
      </w:r>
      <w:r w:rsidR="00057568">
        <w:rPr>
          <w:rFonts w:ascii="Arial" w:hAnsi="Arial" w:cs="Arial"/>
        </w:rPr>
        <w:t>2</w:t>
      </w:r>
      <w:r w:rsidR="00D952D5">
        <w:rPr>
          <w:rFonts w:ascii="Arial" w:hAnsi="Arial" w:cs="Arial"/>
        </w:rPr>
        <w:t>011) op school</w:t>
      </w:r>
      <w:r w:rsidR="008A7AB4">
        <w:rPr>
          <w:rFonts w:ascii="Arial" w:hAnsi="Arial" w:cs="Arial"/>
        </w:rPr>
        <w:t xml:space="preserve">, is dan aangewezen. </w:t>
      </w:r>
      <w:r w:rsidR="00D952D5">
        <w:rPr>
          <w:rFonts w:ascii="Arial" w:hAnsi="Arial" w:cs="Arial"/>
        </w:rPr>
        <w:t xml:space="preserve"> </w:t>
      </w:r>
      <w:r w:rsidR="00C12225">
        <w:rPr>
          <w:rFonts w:ascii="Arial" w:hAnsi="Arial" w:cs="Arial"/>
        </w:rPr>
        <w:t xml:space="preserve">Omwille van </w:t>
      </w:r>
      <w:r w:rsidR="006242A6">
        <w:rPr>
          <w:rFonts w:ascii="Arial" w:hAnsi="Arial" w:cs="Arial"/>
        </w:rPr>
        <w:t>h</w:t>
      </w:r>
      <w:r w:rsidR="0096381F">
        <w:rPr>
          <w:rFonts w:ascii="Arial" w:hAnsi="Arial" w:cs="Arial"/>
        </w:rPr>
        <w:t xml:space="preserve">et risico op een hertesteffect </w:t>
      </w:r>
      <w:r w:rsidR="00C12225">
        <w:rPr>
          <w:rFonts w:ascii="Arial" w:hAnsi="Arial" w:cs="Arial"/>
        </w:rPr>
        <w:t xml:space="preserve">nemen logopedisten in een privépraktijk beter zelf geen LVS-VCLB tests af. </w:t>
      </w:r>
    </w:p>
    <w:p w14:paraId="76AAECE5" w14:textId="77777777" w:rsidR="00156B37" w:rsidRDefault="00156B37" w:rsidP="00057568">
      <w:pPr>
        <w:spacing w:after="0" w:line="240" w:lineRule="auto"/>
        <w:rPr>
          <w:rFonts w:ascii="Arial" w:hAnsi="Arial" w:cs="Arial"/>
        </w:rPr>
      </w:pPr>
    </w:p>
    <w:p w14:paraId="164EF4D2" w14:textId="605F6BD8" w:rsidR="00CC5929" w:rsidRDefault="00D952D5" w:rsidP="00CC5929">
      <w:pPr>
        <w:spacing w:after="0" w:line="240" w:lineRule="auto"/>
        <w:rPr>
          <w:rFonts w:ascii="Arial" w:hAnsi="Arial" w:cs="Arial"/>
        </w:rPr>
      </w:pPr>
      <w:r>
        <w:rPr>
          <w:rFonts w:ascii="Arial" w:hAnsi="Arial" w:cs="Arial"/>
        </w:rPr>
        <w:t>Voor dyslexie in het secundair onderwijs (tot 14 jaar)</w:t>
      </w:r>
      <w:r w:rsidR="00057568">
        <w:rPr>
          <w:rFonts w:ascii="Arial" w:hAnsi="Arial" w:cs="Arial"/>
        </w:rPr>
        <w:t xml:space="preserve"> staan </w:t>
      </w:r>
      <w:r w:rsidR="00686911">
        <w:rPr>
          <w:rFonts w:ascii="Arial" w:hAnsi="Arial" w:cs="Arial"/>
        </w:rPr>
        <w:t xml:space="preserve"> geen specifieke </w:t>
      </w:r>
      <w:r w:rsidR="00057568">
        <w:rPr>
          <w:rFonts w:ascii="Arial" w:hAnsi="Arial" w:cs="Arial"/>
        </w:rPr>
        <w:t xml:space="preserve">tests op de limitatieve lijst. De </w:t>
      </w:r>
      <w:r>
        <w:rPr>
          <w:rFonts w:ascii="Arial" w:hAnsi="Arial" w:cs="Arial"/>
        </w:rPr>
        <w:t xml:space="preserve"> </w:t>
      </w:r>
      <w:r w:rsidR="00057568">
        <w:rPr>
          <w:rFonts w:ascii="Arial" w:hAnsi="Arial" w:cs="Arial"/>
        </w:rPr>
        <w:t>Toets Diagnostisch Onderzoek Lezen (</w:t>
      </w:r>
      <w:r w:rsidR="008A14CF">
        <w:rPr>
          <w:rFonts w:ascii="Arial" w:hAnsi="Arial" w:cs="Arial"/>
        </w:rPr>
        <w:t xml:space="preserve">TODIO-L, </w:t>
      </w:r>
      <w:r w:rsidR="00057568">
        <w:rPr>
          <w:rFonts w:ascii="Arial" w:hAnsi="Arial" w:cs="Arial"/>
        </w:rPr>
        <w:t>Van Rompaey &amp; Vandenberghe, 2014) waar PRODIA naar verwijst, lijkt hier aangewezen. Ook zou het zinvol zijn om normen te maken voor de DMT voor deze doelgroep.</w:t>
      </w:r>
      <w:r w:rsidR="008A7AB4">
        <w:rPr>
          <w:rFonts w:ascii="Arial" w:hAnsi="Arial" w:cs="Arial"/>
        </w:rPr>
        <w:t xml:space="preserve"> </w:t>
      </w:r>
      <w:r w:rsidR="00156B37">
        <w:rPr>
          <w:rFonts w:ascii="Arial" w:hAnsi="Arial" w:cs="Arial"/>
        </w:rPr>
        <w:t xml:space="preserve"> </w:t>
      </w:r>
    </w:p>
    <w:p w14:paraId="6E12D7DB" w14:textId="77777777" w:rsidR="00CC5929" w:rsidRDefault="00CC5929" w:rsidP="008308A7">
      <w:pPr>
        <w:spacing w:after="0" w:line="240" w:lineRule="auto"/>
        <w:rPr>
          <w:rFonts w:ascii="Arial" w:hAnsi="Arial" w:cs="Arial"/>
        </w:rPr>
      </w:pPr>
    </w:p>
    <w:p w14:paraId="657E647B" w14:textId="22D0E72D" w:rsidR="00627A3B" w:rsidRDefault="008308A7" w:rsidP="008308A7">
      <w:pPr>
        <w:spacing w:after="0" w:line="240" w:lineRule="auto"/>
        <w:rPr>
          <w:rFonts w:ascii="Arial" w:hAnsi="Arial" w:cs="Arial"/>
        </w:rPr>
      </w:pPr>
      <w:r>
        <w:rPr>
          <w:rFonts w:ascii="Arial" w:hAnsi="Arial" w:cs="Arial"/>
        </w:rPr>
        <w:t xml:space="preserve">Uiteraard willen we niet alleen kwantificeren. </w:t>
      </w:r>
      <w:r w:rsidR="00ED6D88">
        <w:rPr>
          <w:rFonts w:ascii="Arial" w:hAnsi="Arial" w:cs="Arial"/>
        </w:rPr>
        <w:t xml:space="preserve">We willen vooral </w:t>
      </w:r>
      <w:r>
        <w:rPr>
          <w:rFonts w:ascii="Arial" w:hAnsi="Arial" w:cs="Arial"/>
        </w:rPr>
        <w:t>aanknopingspunten vinden naar de remediëring / ondersteuning van het leren lezen</w:t>
      </w:r>
      <w:r w:rsidR="00ED6D88">
        <w:rPr>
          <w:rFonts w:ascii="Arial" w:hAnsi="Arial" w:cs="Arial"/>
        </w:rPr>
        <w:t xml:space="preserve"> en spellen</w:t>
      </w:r>
      <w:r>
        <w:rPr>
          <w:rFonts w:ascii="Arial" w:hAnsi="Arial" w:cs="Arial"/>
        </w:rPr>
        <w:t xml:space="preserve">. </w:t>
      </w:r>
      <w:r w:rsidR="00FD3801">
        <w:rPr>
          <w:rFonts w:ascii="Arial" w:hAnsi="Arial" w:cs="Arial"/>
        </w:rPr>
        <w:t xml:space="preserve">Zo kan het lezen </w:t>
      </w:r>
      <w:r w:rsidR="00627A3B">
        <w:rPr>
          <w:rFonts w:ascii="Arial" w:hAnsi="Arial" w:cs="Arial"/>
        </w:rPr>
        <w:t xml:space="preserve">van </w:t>
      </w:r>
      <w:r w:rsidR="00ED6D88" w:rsidRPr="00ED6D88">
        <w:rPr>
          <w:rFonts w:ascii="Arial" w:hAnsi="Arial" w:cs="Arial"/>
          <w:b/>
        </w:rPr>
        <w:t>pseudowoorden</w:t>
      </w:r>
      <w:r w:rsidR="00627A3B">
        <w:rPr>
          <w:rFonts w:ascii="Arial" w:hAnsi="Arial" w:cs="Arial"/>
          <w:b/>
        </w:rPr>
        <w:t xml:space="preserve"> </w:t>
      </w:r>
      <w:r w:rsidR="00627A3B" w:rsidRPr="00627A3B">
        <w:rPr>
          <w:rFonts w:ascii="Arial" w:hAnsi="Arial" w:cs="Arial"/>
        </w:rPr>
        <w:t>(</w:t>
      </w:r>
      <w:r w:rsidR="00ED6D88" w:rsidRPr="00627A3B">
        <w:rPr>
          <w:rFonts w:ascii="Arial" w:hAnsi="Arial" w:cs="Arial"/>
        </w:rPr>
        <w:t>uitspreekbare</w:t>
      </w:r>
      <w:r w:rsidR="00ED6D88">
        <w:rPr>
          <w:rFonts w:ascii="Arial" w:hAnsi="Arial" w:cs="Arial"/>
        </w:rPr>
        <w:t>, niet-bestaande woorden die gevormd worden op basis van fonologische regels van het Nederlands</w:t>
      </w:r>
      <w:r w:rsidR="00627A3B">
        <w:rPr>
          <w:rFonts w:ascii="Arial" w:hAnsi="Arial" w:cs="Arial"/>
        </w:rPr>
        <w:t xml:space="preserve">) </w:t>
      </w:r>
      <w:r w:rsidR="00FD3801">
        <w:rPr>
          <w:rFonts w:ascii="Arial" w:hAnsi="Arial" w:cs="Arial"/>
        </w:rPr>
        <w:t>handelingsgericht interessante informatie opleveren</w:t>
      </w:r>
      <w:r w:rsidR="000A3E08">
        <w:rPr>
          <w:rFonts w:ascii="Arial" w:hAnsi="Arial" w:cs="Arial"/>
        </w:rPr>
        <w:t xml:space="preserve">. Pseudowoorden kunnen </w:t>
      </w:r>
      <w:r w:rsidR="00FD3801">
        <w:rPr>
          <w:rFonts w:ascii="Arial" w:hAnsi="Arial" w:cs="Arial"/>
        </w:rPr>
        <w:t xml:space="preserve">nl. </w:t>
      </w:r>
      <w:r w:rsidR="000A3E08">
        <w:rPr>
          <w:rFonts w:ascii="Arial" w:hAnsi="Arial" w:cs="Arial"/>
        </w:rPr>
        <w:t xml:space="preserve">enkel met </w:t>
      </w:r>
      <w:r w:rsidR="002C3D05">
        <w:rPr>
          <w:rFonts w:ascii="Arial" w:hAnsi="Arial" w:cs="Arial"/>
        </w:rPr>
        <w:t xml:space="preserve">de </w:t>
      </w:r>
      <w:r w:rsidR="00FD3801">
        <w:rPr>
          <w:rFonts w:ascii="Arial" w:hAnsi="Arial" w:cs="Arial"/>
        </w:rPr>
        <w:t>‘</w:t>
      </w:r>
      <w:r w:rsidR="000A3E08">
        <w:rPr>
          <w:rFonts w:ascii="Arial" w:hAnsi="Arial" w:cs="Arial"/>
        </w:rPr>
        <w:t>dorsale stroom</w:t>
      </w:r>
      <w:r w:rsidR="00FD3801">
        <w:rPr>
          <w:rFonts w:ascii="Arial" w:hAnsi="Arial" w:cs="Arial"/>
        </w:rPr>
        <w:t>’</w:t>
      </w:r>
      <w:r w:rsidR="000A3E08">
        <w:rPr>
          <w:rFonts w:ascii="Arial" w:hAnsi="Arial" w:cs="Arial"/>
        </w:rPr>
        <w:t xml:space="preserve"> van het achterste leescircuit gelezen worden, terwijl bestaande woorden zowel met de ventrale (onderste) als met de dorsale (bovenste) stroom vlot en snel kunnen gelezen worden (Tops et al., 2018).</w:t>
      </w:r>
      <w:r w:rsidR="00FD3801">
        <w:rPr>
          <w:rFonts w:ascii="Arial" w:hAnsi="Arial" w:cs="Arial"/>
        </w:rPr>
        <w:t xml:space="preserve"> Het lijkt daarom zinvol om het lezen van pseudowoorden te vergelijken met het lezen van hoogfrequente woorden.</w:t>
      </w:r>
      <w:r w:rsidR="00EC55BD" w:rsidRPr="00EC55BD">
        <w:rPr>
          <w:rFonts w:ascii="Arial" w:hAnsi="Arial" w:cs="Arial"/>
        </w:rPr>
        <w:t xml:space="preserve"> </w:t>
      </w:r>
      <w:r w:rsidR="00EC55BD">
        <w:rPr>
          <w:rFonts w:ascii="Arial" w:hAnsi="Arial" w:cs="Arial"/>
        </w:rPr>
        <w:t xml:space="preserve">Het </w:t>
      </w:r>
      <w:r w:rsidR="00EC55BD" w:rsidRPr="00DF21D4">
        <w:rPr>
          <w:rFonts w:ascii="Arial" w:hAnsi="Arial" w:cs="Arial"/>
        </w:rPr>
        <w:t>testen van het lezen</w:t>
      </w:r>
      <w:r w:rsidR="00EC55BD">
        <w:rPr>
          <w:rFonts w:ascii="Arial" w:hAnsi="Arial" w:cs="Arial"/>
        </w:rPr>
        <w:t xml:space="preserve"> en spellen</w:t>
      </w:r>
      <w:r w:rsidR="00EC55BD" w:rsidRPr="00DF21D4">
        <w:rPr>
          <w:rFonts w:ascii="Arial" w:hAnsi="Arial" w:cs="Arial"/>
        </w:rPr>
        <w:t xml:space="preserve"> van pseudowoorden kan een additieve informatieve waarde hebben (Van Vreckem, 2</w:t>
      </w:r>
      <w:r w:rsidR="00EC55BD">
        <w:rPr>
          <w:rFonts w:ascii="Arial" w:hAnsi="Arial" w:cs="Arial"/>
        </w:rPr>
        <w:t xml:space="preserve">014; Van Vreckem &amp; Desoete, 2018a). </w:t>
      </w:r>
      <w:r w:rsidR="00FD3801">
        <w:rPr>
          <w:rFonts w:ascii="Arial" w:hAnsi="Arial" w:cs="Arial"/>
        </w:rPr>
        <w:t xml:space="preserve"> Recent vonden Kohnen en collega’s (2018) ook dat hun onderzoeksbevindingen bij </w:t>
      </w:r>
      <w:r w:rsidR="00FD3801">
        <w:rPr>
          <w:rFonts w:ascii="Arial" w:hAnsi="Arial" w:cs="Arial"/>
        </w:rPr>
        <w:lastRenderedPageBreak/>
        <w:t xml:space="preserve">dyslexie in overeenstemming waren met het ‘dual route’ model, waardoor het vergelijken van taken die een beroep doen op beide leescircuits interessant kan zijn. </w:t>
      </w:r>
    </w:p>
    <w:p w14:paraId="224F2EC2" w14:textId="0E2E6F63" w:rsidR="00C12225" w:rsidRDefault="00C12225" w:rsidP="00C12225">
      <w:pPr>
        <w:spacing w:after="0" w:line="240" w:lineRule="auto"/>
        <w:rPr>
          <w:rFonts w:ascii="Arial" w:hAnsi="Arial" w:cs="Arial"/>
        </w:rPr>
      </w:pPr>
      <w:r w:rsidRPr="00A4567D">
        <w:rPr>
          <w:rFonts w:ascii="Arial" w:hAnsi="Arial" w:cs="Arial"/>
        </w:rPr>
        <w:t xml:space="preserve">Ook bij dyscalculie is onderzoek van </w:t>
      </w:r>
      <w:r>
        <w:rPr>
          <w:rFonts w:ascii="Arial" w:hAnsi="Arial" w:cs="Arial"/>
        </w:rPr>
        <w:t>het lezen v</w:t>
      </w:r>
      <w:r w:rsidR="00D21AC9">
        <w:rPr>
          <w:rFonts w:ascii="Arial" w:hAnsi="Arial" w:cs="Arial"/>
        </w:rPr>
        <w:t>a</w:t>
      </w:r>
      <w:r w:rsidRPr="00A4567D">
        <w:rPr>
          <w:rFonts w:ascii="Arial" w:hAnsi="Arial" w:cs="Arial"/>
        </w:rPr>
        <w:t>n belang. Met een clusteranalyse</w:t>
      </w:r>
      <w:r w:rsidR="00D21AC9">
        <w:rPr>
          <w:rFonts w:ascii="Arial" w:hAnsi="Arial" w:cs="Arial"/>
        </w:rPr>
        <w:t xml:space="preserve"> bij 410 kinderen (</w:t>
      </w:r>
      <w:r w:rsidRPr="00A4567D">
        <w:rPr>
          <w:rFonts w:ascii="Arial" w:hAnsi="Arial" w:cs="Arial"/>
        </w:rPr>
        <w:t xml:space="preserve"> </w:t>
      </w:r>
      <w:r w:rsidR="00D21AC9" w:rsidRPr="00D21AC9">
        <w:rPr>
          <w:rFonts w:eastAsia="Times New Roman"/>
          <w:color w:val="000000"/>
          <w:sz w:val="24"/>
          <w:lang w:eastAsia="nl-NL"/>
        </w:rPr>
        <w:t xml:space="preserve">FSIQ ≥ 80) </w:t>
      </w:r>
      <w:r w:rsidRPr="00A4567D">
        <w:rPr>
          <w:rFonts w:ascii="Arial" w:hAnsi="Arial" w:cs="Arial"/>
        </w:rPr>
        <w:t xml:space="preserve">toonden Pieters en collega’s (2015) aan dat er twee klinische rekenclusters waren. </w:t>
      </w:r>
    </w:p>
    <w:p w14:paraId="52C190A2" w14:textId="77777777" w:rsidR="00C12225" w:rsidRDefault="00C12225" w:rsidP="00C12225">
      <w:pPr>
        <w:spacing w:after="0" w:line="240" w:lineRule="auto"/>
        <w:rPr>
          <w:rFonts w:ascii="Arial" w:hAnsi="Arial" w:cs="Arial"/>
        </w:rPr>
      </w:pPr>
    </w:p>
    <w:p w14:paraId="66D66D9E" w14:textId="77777777" w:rsidR="00C12225" w:rsidRDefault="00C12225" w:rsidP="00C12225">
      <w:pPr>
        <w:spacing w:after="0" w:line="240" w:lineRule="auto"/>
        <w:rPr>
          <w:rFonts w:ascii="Arial" w:hAnsi="Arial" w:cs="Arial"/>
        </w:rPr>
      </w:pPr>
      <w:r>
        <w:rPr>
          <w:noProof/>
          <w:lang w:eastAsia="nl-BE"/>
        </w:rPr>
        <mc:AlternateContent>
          <mc:Choice Requires="wps">
            <w:drawing>
              <wp:anchor distT="0" distB="0" distL="114300" distR="114300" simplePos="0" relativeHeight="251675648" behindDoc="0" locked="0" layoutInCell="1" allowOverlap="1" wp14:anchorId="415A74F7" wp14:editId="46460338">
                <wp:simplePos x="0" y="0"/>
                <wp:positionH relativeFrom="column">
                  <wp:posOffset>495300</wp:posOffset>
                </wp:positionH>
                <wp:positionV relativeFrom="paragraph">
                  <wp:posOffset>-27305</wp:posOffset>
                </wp:positionV>
                <wp:extent cx="942975" cy="1055687"/>
                <wp:effectExtent l="19050" t="19050" r="47625" b="30480"/>
                <wp:wrapNone/>
                <wp:docPr id="5" name="Ova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1055687"/>
                        </a:xfrm>
                        <a:prstGeom prst="ellipse">
                          <a:avLst/>
                        </a:prstGeom>
                        <a:noFill/>
                        <a:ln w="50800" algn="ctr">
                          <a:solidFill>
                            <a:srgbClr val="376092"/>
                          </a:solidFill>
                          <a:round/>
                          <a:headEnd/>
                          <a:tailEnd/>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5CA8E11" id="Ovaal 9" o:spid="_x0000_s1026" style="position:absolute;margin-left:39pt;margin-top:-2.15pt;width:74.25pt;height:83.1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" filled="f" strokecolor="#376092" strokeweight="4pt"/>
            </w:pict>
          </mc:Fallback>
        </mc:AlternateContent>
      </w:r>
      <w:r>
        <w:rPr>
          <w:noProof/>
          <w:lang w:eastAsia="nl-BE"/>
        </w:rPr>
        <w:drawing>
          <wp:inline distT="0" distB="0" distL="0" distR="0" wp14:anchorId="06F64CDF" wp14:editId="31EFAC1A">
            <wp:extent cx="2857500" cy="2811462"/>
            <wp:effectExtent l="0" t="0" r="0" b="8255"/>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noChangeArrowheads="1"/>
                    </pic:cNvPicPr>
                  </pic:nvPicPr>
                  <pic:blipFill>
                    <a:blip r:embed="rId15"/>
                    <a:srcRect/>
                    <a:stretch>
                      <a:fillRect/>
                    </a:stretch>
                  </pic:blipFill>
                  <pic:spPr bwMode="auto">
                    <a:xfrm>
                      <a:off x="0" y="0"/>
                      <a:ext cx="2857500" cy="2811462"/>
                    </a:xfrm>
                    <a:prstGeom prst="rect">
                      <a:avLst/>
                    </a:prstGeom>
                    <a:noFill/>
                    <a:ln w="9525">
                      <a:noFill/>
                      <a:miter lim="800000"/>
                      <a:headEnd/>
                      <a:tailEnd/>
                    </a:ln>
                  </pic:spPr>
                </pic:pic>
              </a:graphicData>
            </a:graphic>
          </wp:inline>
        </w:drawing>
      </w:r>
      <w:r>
        <w:rPr>
          <w:noProof/>
          <w:lang w:eastAsia="nl-BE"/>
        </w:rPr>
        <w:drawing>
          <wp:inline distT="0" distB="0" distL="0" distR="0" wp14:anchorId="52AA37E9" wp14:editId="672FD702">
            <wp:extent cx="2798763" cy="2867025"/>
            <wp:effectExtent l="0" t="0" r="1905"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pic:cNvPicPr>
                      <a:picLocks noChangeAspect="1" noChangeArrowheads="1"/>
                    </pic:cNvPicPr>
                  </pic:nvPicPr>
                  <pic:blipFill>
                    <a:blip r:embed="rId16"/>
                    <a:srcRect/>
                    <a:stretch>
                      <a:fillRect/>
                    </a:stretch>
                  </pic:blipFill>
                  <pic:spPr bwMode="auto">
                    <a:xfrm>
                      <a:off x="0" y="0"/>
                      <a:ext cx="2798763" cy="2867025"/>
                    </a:xfrm>
                    <a:prstGeom prst="rect">
                      <a:avLst/>
                    </a:prstGeom>
                    <a:noFill/>
                    <a:ln w="9525">
                      <a:noFill/>
                      <a:miter lim="800000"/>
                      <a:headEnd/>
                      <a:tailEnd/>
                    </a:ln>
                  </pic:spPr>
                </pic:pic>
              </a:graphicData>
            </a:graphic>
          </wp:inline>
        </w:drawing>
      </w:r>
    </w:p>
    <w:p w14:paraId="4B382D46" w14:textId="77777777" w:rsidR="00C12225" w:rsidRDefault="00C12225" w:rsidP="00C12225">
      <w:pPr>
        <w:spacing w:after="0" w:line="240" w:lineRule="auto"/>
        <w:rPr>
          <w:rFonts w:ascii="Arial" w:hAnsi="Arial" w:cs="Arial"/>
        </w:rPr>
      </w:pPr>
    </w:p>
    <w:p w14:paraId="452DBF54" w14:textId="77777777" w:rsidR="00C12225" w:rsidRDefault="00C12225" w:rsidP="00C12225">
      <w:pPr>
        <w:spacing w:after="0" w:line="240" w:lineRule="auto"/>
        <w:rPr>
          <w:rFonts w:ascii="Arial" w:hAnsi="Arial" w:cs="Arial"/>
        </w:rPr>
      </w:pPr>
      <w:r>
        <w:rPr>
          <w:noProof/>
          <w:lang w:eastAsia="nl-BE"/>
        </w:rPr>
        <w:drawing>
          <wp:inline distT="0" distB="0" distL="0" distR="0" wp14:anchorId="3158611D" wp14:editId="269252E7">
            <wp:extent cx="2800350" cy="775406"/>
            <wp:effectExtent l="0" t="0" r="0" b="0"/>
            <wp:docPr id="18"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fbeelding 16"/>
                    <pic:cNvPicPr>
                      <a:picLocks noChangeAspect="1"/>
                    </pic:cNvPicPr>
                  </pic:nvPicPr>
                  <pic:blipFill>
                    <a:blip r:embed="rId17"/>
                    <a:stretch>
                      <a:fillRect/>
                    </a:stretch>
                  </pic:blipFill>
                  <pic:spPr>
                    <a:xfrm>
                      <a:off x="0" y="0"/>
                      <a:ext cx="2830335" cy="783709"/>
                    </a:xfrm>
                    <a:prstGeom prst="rect">
                      <a:avLst/>
                    </a:prstGeom>
                  </pic:spPr>
                </pic:pic>
              </a:graphicData>
            </a:graphic>
          </wp:inline>
        </w:drawing>
      </w:r>
    </w:p>
    <w:p w14:paraId="0711DEBF" w14:textId="77777777" w:rsidR="00C12225" w:rsidRDefault="00C12225" w:rsidP="00C12225">
      <w:pPr>
        <w:spacing w:after="0" w:line="240" w:lineRule="auto"/>
        <w:rPr>
          <w:rFonts w:ascii="Arial" w:hAnsi="Arial" w:cs="Arial"/>
        </w:rPr>
      </w:pPr>
    </w:p>
    <w:p w14:paraId="539B0812" w14:textId="77777777" w:rsidR="00C12225" w:rsidRPr="001E6E17" w:rsidRDefault="00C12225" w:rsidP="00C12225">
      <w:pPr>
        <w:pStyle w:val="Bijschrift"/>
        <w:rPr>
          <w:rFonts w:ascii="Cambria" w:hAnsi="Cambria"/>
          <w:noProof/>
        </w:rPr>
      </w:pPr>
      <w:r w:rsidRPr="001E6E17">
        <w:rPr>
          <w:rFonts w:ascii="Cambria" w:hAnsi="Cambria"/>
        </w:rPr>
        <w:t>Figuur</w:t>
      </w:r>
      <w:r>
        <w:rPr>
          <w:rFonts w:ascii="Cambria" w:hAnsi="Cambria"/>
        </w:rPr>
        <w:t xml:space="preserve"> 4. Visualisatie van Clusters (Pieters et al., 2015)</w:t>
      </w:r>
      <w:r w:rsidRPr="001E6E17">
        <w:rPr>
          <w:rFonts w:ascii="Cambria" w:hAnsi="Cambria"/>
        </w:rPr>
        <w:t>.</w:t>
      </w:r>
    </w:p>
    <w:p w14:paraId="7D918DB3" w14:textId="77777777" w:rsidR="00C12225" w:rsidRDefault="00C12225" w:rsidP="00C12225">
      <w:pPr>
        <w:spacing w:after="0" w:line="240" w:lineRule="auto"/>
        <w:rPr>
          <w:rFonts w:ascii="Arial" w:hAnsi="Arial" w:cs="Arial"/>
        </w:rPr>
      </w:pPr>
    </w:p>
    <w:p w14:paraId="53F61332" w14:textId="4E78808E" w:rsidR="00C12225" w:rsidRDefault="00C12225" w:rsidP="00C12225">
      <w:pPr>
        <w:spacing w:after="0" w:line="240" w:lineRule="auto"/>
        <w:rPr>
          <w:rFonts w:ascii="Arial" w:hAnsi="Arial" w:cs="Arial"/>
        </w:rPr>
      </w:pPr>
      <w:r w:rsidRPr="00A4567D">
        <w:rPr>
          <w:rFonts w:ascii="Arial" w:hAnsi="Arial" w:cs="Arial"/>
        </w:rPr>
        <w:t xml:space="preserve">Kinderen met </w:t>
      </w:r>
      <w:r w:rsidRPr="00BE6744">
        <w:rPr>
          <w:rFonts w:ascii="Arial" w:hAnsi="Arial" w:cs="Arial"/>
        </w:rPr>
        <w:t xml:space="preserve">semantische geheugendyscalculie (cluster 2) hadden zowel </w:t>
      </w:r>
      <w:r w:rsidR="00D21AC9">
        <w:rPr>
          <w:rFonts w:ascii="Arial" w:hAnsi="Arial" w:cs="Arial"/>
        </w:rPr>
        <w:t xml:space="preserve">ernstige </w:t>
      </w:r>
      <w:r w:rsidRPr="00BE6744">
        <w:rPr>
          <w:rFonts w:ascii="Arial" w:hAnsi="Arial" w:cs="Arial"/>
        </w:rPr>
        <w:t xml:space="preserve">problemen met hoofdrekenen en bewerkingen (rekenprocedures) als </w:t>
      </w:r>
      <w:r w:rsidR="00D21AC9">
        <w:rPr>
          <w:rFonts w:ascii="Arial" w:hAnsi="Arial" w:cs="Arial"/>
        </w:rPr>
        <w:t xml:space="preserve">ernstige problemen </w:t>
      </w:r>
      <w:r w:rsidRPr="00BE6744">
        <w:rPr>
          <w:rFonts w:ascii="Arial" w:hAnsi="Arial" w:cs="Arial"/>
        </w:rPr>
        <w:t xml:space="preserve">met temporekenen (het ophalen van rekenfeiten uit het langetermijngeheugen). </w:t>
      </w:r>
      <w:r>
        <w:rPr>
          <w:rFonts w:ascii="Arial" w:hAnsi="Arial" w:cs="Arial"/>
        </w:rPr>
        <w:t xml:space="preserve"> </w:t>
      </w:r>
      <w:r w:rsidR="00D21AC9">
        <w:rPr>
          <w:rFonts w:ascii="Arial" w:hAnsi="Arial" w:cs="Arial"/>
        </w:rPr>
        <w:t xml:space="preserve">Deze kinderen </w:t>
      </w:r>
      <w:r>
        <w:rPr>
          <w:rFonts w:ascii="Arial" w:hAnsi="Arial" w:cs="Arial"/>
        </w:rPr>
        <w:t xml:space="preserve">hadden bovendien ook ernstige </w:t>
      </w:r>
      <w:r w:rsidRPr="00BE6744">
        <w:rPr>
          <w:rFonts w:ascii="Arial" w:hAnsi="Arial" w:cs="Arial"/>
        </w:rPr>
        <w:t xml:space="preserve">problemen met het lezen van </w:t>
      </w:r>
      <w:r w:rsidR="00283533">
        <w:rPr>
          <w:rFonts w:ascii="Arial" w:hAnsi="Arial" w:cs="Arial"/>
        </w:rPr>
        <w:t xml:space="preserve">bestaande </w:t>
      </w:r>
      <w:r w:rsidR="00FF6635">
        <w:rPr>
          <w:rFonts w:ascii="Arial" w:hAnsi="Arial" w:cs="Arial"/>
        </w:rPr>
        <w:t xml:space="preserve">woorden </w:t>
      </w:r>
      <w:r w:rsidR="00283533">
        <w:rPr>
          <w:rFonts w:ascii="Arial" w:hAnsi="Arial" w:cs="Arial"/>
        </w:rPr>
        <w:t xml:space="preserve">en </w:t>
      </w:r>
      <w:r w:rsidR="00FF6635">
        <w:rPr>
          <w:rFonts w:ascii="Arial" w:hAnsi="Arial" w:cs="Arial"/>
        </w:rPr>
        <w:t>pseudo</w:t>
      </w:r>
      <w:r w:rsidRPr="00BE6744">
        <w:rPr>
          <w:rFonts w:ascii="Arial" w:hAnsi="Arial" w:cs="Arial"/>
        </w:rPr>
        <w:t>woorden</w:t>
      </w:r>
      <w:r w:rsidR="0096381F">
        <w:rPr>
          <w:rFonts w:ascii="Arial" w:hAnsi="Arial" w:cs="Arial"/>
        </w:rPr>
        <w:t xml:space="preserve"> </w:t>
      </w:r>
      <w:r>
        <w:rPr>
          <w:rFonts w:ascii="Arial" w:hAnsi="Arial" w:cs="Arial"/>
        </w:rPr>
        <w:t xml:space="preserve">en met </w:t>
      </w:r>
      <w:r w:rsidRPr="00BE6744">
        <w:rPr>
          <w:rFonts w:ascii="Arial" w:hAnsi="Arial" w:cs="Arial"/>
        </w:rPr>
        <w:t>schrijfsnelheid</w:t>
      </w:r>
      <w:r>
        <w:rPr>
          <w:rFonts w:ascii="Arial" w:hAnsi="Arial" w:cs="Arial"/>
        </w:rPr>
        <w:t xml:space="preserve"> (</w:t>
      </w:r>
      <w:r w:rsidRPr="00BE6744">
        <w:rPr>
          <w:rFonts w:ascii="Arial" w:hAnsi="Arial" w:cs="Arial"/>
        </w:rPr>
        <w:t xml:space="preserve">Pieters et al., 2013; Pieters et al., 2015). </w:t>
      </w:r>
    </w:p>
    <w:p w14:paraId="224B5915" w14:textId="77777777" w:rsidR="00D21AC9" w:rsidRDefault="00D21AC9" w:rsidP="00C12225">
      <w:pPr>
        <w:spacing w:after="0" w:line="240" w:lineRule="auto"/>
        <w:rPr>
          <w:rFonts w:ascii="Arial" w:hAnsi="Arial" w:cs="Arial"/>
        </w:rPr>
      </w:pPr>
    </w:p>
    <w:p w14:paraId="3FA52E08" w14:textId="12B29AC1" w:rsidR="00D21AC9" w:rsidRDefault="00D21AC9" w:rsidP="00C12225">
      <w:pPr>
        <w:spacing w:after="0" w:line="240" w:lineRule="auto"/>
        <w:rPr>
          <w:rFonts w:ascii="Arial" w:hAnsi="Arial" w:cs="Arial"/>
        </w:rPr>
      </w:pPr>
      <w:r>
        <w:rPr>
          <w:rFonts w:ascii="Arial" w:hAnsi="Arial" w:cs="Arial"/>
        </w:rPr>
        <w:t>Kinderen met procedurele dyscalculie (cluster 3) vielen enkel uit op hoofdrekenen en bewerking</w:t>
      </w:r>
      <w:r w:rsidR="00D930CF">
        <w:rPr>
          <w:rFonts w:ascii="Arial" w:hAnsi="Arial" w:cs="Arial"/>
        </w:rPr>
        <w:t>en</w:t>
      </w:r>
      <w:r>
        <w:rPr>
          <w:rFonts w:ascii="Arial" w:hAnsi="Arial" w:cs="Arial"/>
        </w:rPr>
        <w:t>. Deze kinderen hadden ook problemen met het lezen van bestaande woorden, maar niet met het lezen van pseudowoorden.</w:t>
      </w:r>
    </w:p>
    <w:p w14:paraId="3EE3B39C" w14:textId="77777777" w:rsidR="00C12225" w:rsidRDefault="00C12225" w:rsidP="00C12225">
      <w:pPr>
        <w:spacing w:after="0" w:line="240" w:lineRule="auto"/>
        <w:rPr>
          <w:rFonts w:ascii="Arial" w:hAnsi="Arial" w:cs="Arial"/>
        </w:rPr>
      </w:pPr>
    </w:p>
    <w:p w14:paraId="406E452F" w14:textId="4848A6B2" w:rsidR="00D21AC9" w:rsidRDefault="00C12225" w:rsidP="00D21AC9">
      <w:pPr>
        <w:spacing w:after="0" w:line="240" w:lineRule="auto"/>
        <w:rPr>
          <w:rFonts w:ascii="Arial" w:hAnsi="Arial" w:cs="Arial"/>
        </w:rPr>
      </w:pPr>
      <w:r>
        <w:rPr>
          <w:rFonts w:ascii="Arial" w:hAnsi="Arial" w:cs="Arial"/>
        </w:rPr>
        <w:t xml:space="preserve">Lezen </w:t>
      </w:r>
      <w:r w:rsidRPr="00BE6744">
        <w:rPr>
          <w:rFonts w:ascii="Arial" w:hAnsi="Arial" w:cs="Arial"/>
        </w:rPr>
        <w:t>onderzoeken bij kinderen die aangemeld worden met rekenproblemen en/of dyscalculie is da</w:t>
      </w:r>
      <w:r w:rsidR="001932D0">
        <w:rPr>
          <w:rFonts w:ascii="Arial" w:hAnsi="Arial" w:cs="Arial"/>
        </w:rPr>
        <w:t xml:space="preserve">arom van belang en </w:t>
      </w:r>
      <w:r w:rsidR="00283533">
        <w:rPr>
          <w:rFonts w:ascii="Arial" w:hAnsi="Arial" w:cs="Arial"/>
        </w:rPr>
        <w:t xml:space="preserve">te verantwoorden </w:t>
      </w:r>
      <w:r w:rsidRPr="00BE6744">
        <w:rPr>
          <w:rFonts w:ascii="Arial" w:hAnsi="Arial" w:cs="Arial"/>
        </w:rPr>
        <w:t xml:space="preserve">om </w:t>
      </w:r>
      <w:r w:rsidR="00283533">
        <w:rPr>
          <w:rFonts w:ascii="Arial" w:hAnsi="Arial" w:cs="Arial"/>
        </w:rPr>
        <w:t>een breder beeld te krijgen van het schools functioneren van kinderen</w:t>
      </w:r>
      <w:r w:rsidRPr="00BE6744">
        <w:rPr>
          <w:rFonts w:ascii="Arial" w:hAnsi="Arial" w:cs="Arial"/>
        </w:rPr>
        <w:t>.</w:t>
      </w:r>
      <w:r>
        <w:rPr>
          <w:rFonts w:ascii="Arial" w:hAnsi="Arial" w:cs="Arial"/>
        </w:rPr>
        <w:t xml:space="preserve"> </w:t>
      </w:r>
    </w:p>
    <w:p w14:paraId="6160E9EC" w14:textId="77777777" w:rsidR="00D21AC9" w:rsidRDefault="00D21AC9" w:rsidP="00D21AC9">
      <w:pPr>
        <w:spacing w:after="0" w:line="240" w:lineRule="auto"/>
        <w:rPr>
          <w:rFonts w:ascii="Arial" w:hAnsi="Arial" w:cs="Arial"/>
        </w:rPr>
      </w:pPr>
    </w:p>
    <w:p w14:paraId="5DFAF85F" w14:textId="4E082510" w:rsidR="00283533" w:rsidRPr="00023FD4" w:rsidRDefault="00023FD4" w:rsidP="00D21AC9">
      <w:pPr>
        <w:spacing w:after="0" w:line="240" w:lineRule="auto"/>
        <w:rPr>
          <w:rFonts w:ascii="Arial" w:eastAsia="Times New Roman" w:hAnsi="Arial" w:cs="Arial"/>
          <w:sz w:val="24"/>
          <w:lang w:eastAsia="nl-NL"/>
        </w:rPr>
      </w:pPr>
      <w:r>
        <w:rPr>
          <w:rFonts w:ascii="Arial" w:hAnsi="Arial" w:cs="Arial"/>
        </w:rPr>
        <w:t>De clusterstudie toonde</w:t>
      </w:r>
      <w:r w:rsidR="008B08F0">
        <w:rPr>
          <w:rFonts w:ascii="Arial" w:hAnsi="Arial" w:cs="Arial"/>
        </w:rPr>
        <w:t xml:space="preserve"> ook</w:t>
      </w:r>
      <w:r>
        <w:rPr>
          <w:rFonts w:ascii="Arial" w:hAnsi="Arial" w:cs="Arial"/>
        </w:rPr>
        <w:t xml:space="preserve"> aan dat h</w:t>
      </w:r>
      <w:r w:rsidR="00283533">
        <w:rPr>
          <w:rFonts w:ascii="Arial" w:hAnsi="Arial" w:cs="Arial"/>
        </w:rPr>
        <w:t xml:space="preserve">oe beter kinderen bestaande en </w:t>
      </w:r>
      <w:r w:rsidR="00FF6635">
        <w:rPr>
          <w:rFonts w:ascii="Arial" w:hAnsi="Arial" w:cs="Arial"/>
        </w:rPr>
        <w:t>pseudo</w:t>
      </w:r>
      <w:r w:rsidR="00283533">
        <w:rPr>
          <w:rFonts w:ascii="Arial" w:hAnsi="Arial" w:cs="Arial"/>
        </w:rPr>
        <w:t xml:space="preserve">woorden </w:t>
      </w:r>
      <w:r>
        <w:rPr>
          <w:rFonts w:ascii="Arial" w:hAnsi="Arial" w:cs="Arial"/>
        </w:rPr>
        <w:t xml:space="preserve">konden </w:t>
      </w:r>
      <w:r w:rsidR="00283533">
        <w:rPr>
          <w:rFonts w:ascii="Arial" w:hAnsi="Arial" w:cs="Arial"/>
        </w:rPr>
        <w:t xml:space="preserve">lezen en spellen, hoe meer kans ze hadden om tot de cluster van de kinderen zonder dyscalculie </w:t>
      </w:r>
      <w:r>
        <w:rPr>
          <w:rFonts w:ascii="Arial" w:hAnsi="Arial" w:cs="Arial"/>
        </w:rPr>
        <w:t xml:space="preserve">(cluster 1) </w:t>
      </w:r>
      <w:r w:rsidR="00283533">
        <w:rPr>
          <w:rFonts w:ascii="Arial" w:hAnsi="Arial" w:cs="Arial"/>
        </w:rPr>
        <w:t xml:space="preserve">te behoren. Hoe lager de score op lezen van bestaande </w:t>
      </w:r>
      <w:r w:rsidR="00D930CF">
        <w:rPr>
          <w:rFonts w:ascii="Arial" w:hAnsi="Arial" w:cs="Arial"/>
        </w:rPr>
        <w:t xml:space="preserve">woorden </w:t>
      </w:r>
      <w:r w:rsidR="00283533">
        <w:rPr>
          <w:rFonts w:ascii="Arial" w:hAnsi="Arial" w:cs="Arial"/>
        </w:rPr>
        <w:t xml:space="preserve">en pseudowoorden, hoe meer kans ze hadden om tot cluster 2 (semantische geheugendyscalculie) te behoren. </w:t>
      </w:r>
      <w:r w:rsidR="00283533" w:rsidRPr="00283533">
        <w:rPr>
          <w:rFonts w:ascii="Arial" w:hAnsi="Arial" w:cs="Arial"/>
        </w:rPr>
        <w:t>L</w:t>
      </w:r>
      <w:r w:rsidR="00283533">
        <w:rPr>
          <w:rFonts w:ascii="Arial" w:hAnsi="Arial" w:cs="Arial"/>
        </w:rPr>
        <w:t xml:space="preserve">age scores </w:t>
      </w:r>
      <w:r w:rsidR="00FF6635">
        <w:rPr>
          <w:rFonts w:ascii="Arial" w:hAnsi="Arial" w:cs="Arial"/>
        </w:rPr>
        <w:t>voor</w:t>
      </w:r>
      <w:r w:rsidR="00283533">
        <w:rPr>
          <w:rFonts w:ascii="Arial" w:hAnsi="Arial" w:cs="Arial"/>
        </w:rPr>
        <w:t xml:space="preserve"> het lezen van bestaande woorden</w:t>
      </w:r>
      <w:r w:rsidR="00FF6635">
        <w:rPr>
          <w:rFonts w:ascii="Arial" w:hAnsi="Arial" w:cs="Arial"/>
        </w:rPr>
        <w:t xml:space="preserve"> en </w:t>
      </w:r>
      <w:r w:rsidR="00283533">
        <w:rPr>
          <w:rFonts w:ascii="Arial" w:hAnsi="Arial" w:cs="Arial"/>
        </w:rPr>
        <w:t xml:space="preserve"> spelling</w:t>
      </w:r>
      <w:r w:rsidR="00283533" w:rsidRPr="00023FD4">
        <w:rPr>
          <w:rFonts w:ascii="Arial" w:hAnsi="Arial" w:cs="Arial"/>
        </w:rPr>
        <w:t>, leidde tot een hogere kans om tot cluster 3 te behoren (procedurele dyscalculie)</w:t>
      </w:r>
      <w:r w:rsidR="00D21AC9" w:rsidRPr="00023FD4">
        <w:rPr>
          <w:rFonts w:ascii="Arial" w:hAnsi="Arial" w:cs="Arial"/>
        </w:rPr>
        <w:t>, zie onderstaande Tabel 1.</w:t>
      </w:r>
      <w:r w:rsidR="00D21AC9" w:rsidRPr="00023FD4">
        <w:rPr>
          <w:rFonts w:ascii="Arial" w:eastAsia="Times New Roman" w:hAnsi="Arial" w:cs="Arial"/>
          <w:sz w:val="24"/>
          <w:lang w:eastAsia="nl-NL"/>
        </w:rPr>
        <w:t xml:space="preserve"> </w:t>
      </w:r>
    </w:p>
    <w:p w14:paraId="155CB8BB" w14:textId="05F2D558" w:rsidR="00074CEB" w:rsidRDefault="00283533" w:rsidP="00074CEB">
      <w:pPr>
        <w:keepNext/>
        <w:keepLines/>
        <w:spacing w:after="0" w:line="240" w:lineRule="auto"/>
        <w:ind w:left="1418" w:hanging="1418"/>
        <w:outlineLvl w:val="0"/>
        <w:rPr>
          <w:rFonts w:ascii="Arial" w:eastAsia="Calibri" w:hAnsi="Arial" w:cs="Arial"/>
          <w:b/>
          <w:bCs/>
        </w:rPr>
      </w:pPr>
      <w:r w:rsidRPr="00023FD4">
        <w:rPr>
          <w:rFonts w:ascii="Arial" w:eastAsia="Calibri" w:hAnsi="Arial" w:cs="Arial"/>
          <w:b/>
          <w:bCs/>
        </w:rPr>
        <w:lastRenderedPageBreak/>
        <w:t>Tab</w:t>
      </w:r>
      <w:r w:rsidR="00D21AC9" w:rsidRPr="00023FD4">
        <w:rPr>
          <w:rFonts w:ascii="Arial" w:eastAsia="Calibri" w:hAnsi="Arial" w:cs="Arial"/>
          <w:b/>
          <w:bCs/>
        </w:rPr>
        <w:t>e</w:t>
      </w:r>
      <w:r w:rsidRPr="00023FD4">
        <w:rPr>
          <w:rFonts w:ascii="Arial" w:eastAsia="Calibri" w:hAnsi="Arial" w:cs="Arial"/>
          <w:b/>
          <w:bCs/>
        </w:rPr>
        <w:t xml:space="preserve">l </w:t>
      </w:r>
      <w:r w:rsidR="00D21AC9" w:rsidRPr="00023FD4">
        <w:rPr>
          <w:rFonts w:ascii="Arial" w:eastAsia="Calibri" w:hAnsi="Arial" w:cs="Arial"/>
          <w:b/>
          <w:bCs/>
        </w:rPr>
        <w:t>1</w:t>
      </w:r>
      <w:r w:rsidRPr="00023FD4">
        <w:rPr>
          <w:rFonts w:ascii="Arial" w:eastAsia="Calibri" w:hAnsi="Arial" w:cs="Arial"/>
          <w:b/>
          <w:bCs/>
        </w:rPr>
        <w:t xml:space="preserve">. </w:t>
      </w:r>
      <w:r w:rsidRPr="00023FD4">
        <w:rPr>
          <w:rFonts w:ascii="Arial" w:eastAsia="Calibri" w:hAnsi="Arial" w:cs="Arial"/>
          <w:b/>
          <w:bCs/>
        </w:rPr>
        <w:tab/>
      </w:r>
    </w:p>
    <w:p w14:paraId="21279DB4" w14:textId="77777777" w:rsidR="00283533" w:rsidRPr="00023FD4" w:rsidRDefault="00D21AC9" w:rsidP="00074CEB">
      <w:pPr>
        <w:keepNext/>
        <w:keepLines/>
        <w:spacing w:after="0" w:line="240" w:lineRule="auto"/>
        <w:ind w:left="1418" w:hanging="1418"/>
        <w:outlineLvl w:val="0"/>
        <w:rPr>
          <w:rFonts w:ascii="Arial" w:eastAsia="Calibri" w:hAnsi="Arial" w:cs="Arial"/>
          <w:bCs/>
          <w:i/>
        </w:rPr>
      </w:pPr>
      <w:r w:rsidRPr="00023FD4">
        <w:rPr>
          <w:rFonts w:ascii="Arial" w:eastAsia="Calibri" w:hAnsi="Arial" w:cs="Arial"/>
          <w:bCs/>
          <w:i/>
        </w:rPr>
        <w:t xml:space="preserve">Voorspellen van de scores </w:t>
      </w:r>
      <w:r w:rsidR="00023FD4">
        <w:rPr>
          <w:rFonts w:ascii="Arial" w:eastAsia="Calibri" w:hAnsi="Arial" w:cs="Arial"/>
          <w:bCs/>
          <w:i/>
        </w:rPr>
        <w:t>o.b.v.</w:t>
      </w:r>
      <w:r w:rsidRPr="00023FD4">
        <w:rPr>
          <w:rFonts w:ascii="Arial" w:eastAsia="Calibri" w:hAnsi="Arial" w:cs="Arial"/>
          <w:bCs/>
          <w:i/>
        </w:rPr>
        <w:t xml:space="preserve"> de kans om tot een rekencluster te behoren.</w:t>
      </w:r>
    </w:p>
    <w:tbl>
      <w:tblPr>
        <w:tblW w:w="4342" w:type="pct"/>
        <w:jc w:val="center"/>
        <w:tblLayout w:type="fixed"/>
        <w:tblLook w:val="04A0" w:firstRow="1" w:lastRow="0" w:firstColumn="1" w:lastColumn="0" w:noHBand="0" w:noVBand="1"/>
      </w:tblPr>
      <w:tblGrid>
        <w:gridCol w:w="2402"/>
        <w:gridCol w:w="1220"/>
        <w:gridCol w:w="988"/>
        <w:gridCol w:w="1004"/>
        <w:gridCol w:w="707"/>
        <w:gridCol w:w="1557"/>
      </w:tblGrid>
      <w:tr w:rsidR="00DC3CD1" w:rsidRPr="00074CEB" w14:paraId="310864B4" w14:textId="77777777" w:rsidTr="00DC3CD1">
        <w:trPr>
          <w:trHeight w:val="363"/>
          <w:jc w:val="center"/>
        </w:trPr>
        <w:tc>
          <w:tcPr>
            <w:tcW w:w="1524" w:type="pct"/>
            <w:tcBorders>
              <w:top w:val="single" w:sz="12" w:space="0" w:color="auto"/>
              <w:left w:val="nil"/>
              <w:bottom w:val="single" w:sz="4" w:space="0" w:color="auto"/>
              <w:right w:val="nil"/>
            </w:tcBorders>
            <w:vAlign w:val="center"/>
            <w:hideMark/>
          </w:tcPr>
          <w:p w14:paraId="07D9B344" w14:textId="77777777" w:rsidR="00DC3CD1" w:rsidRPr="00074CEB" w:rsidRDefault="00DC3CD1" w:rsidP="00D16193">
            <w:pPr>
              <w:spacing w:after="0" w:line="240" w:lineRule="auto"/>
              <w:rPr>
                <w:rFonts w:ascii="Arial" w:hAnsi="Arial" w:cs="Arial"/>
                <w:i/>
              </w:rPr>
            </w:pPr>
          </w:p>
        </w:tc>
        <w:tc>
          <w:tcPr>
            <w:tcW w:w="774" w:type="pct"/>
            <w:tcBorders>
              <w:top w:val="single" w:sz="12" w:space="0" w:color="auto"/>
              <w:left w:val="nil"/>
              <w:bottom w:val="single" w:sz="4" w:space="0" w:color="auto"/>
              <w:right w:val="nil"/>
            </w:tcBorders>
            <w:vAlign w:val="center"/>
            <w:hideMark/>
          </w:tcPr>
          <w:p w14:paraId="45BEF3CC" w14:textId="77777777" w:rsidR="00DC3CD1" w:rsidRPr="00074CEB" w:rsidRDefault="00DC3CD1" w:rsidP="00D16193">
            <w:pPr>
              <w:spacing w:after="0" w:line="240" w:lineRule="auto"/>
              <w:rPr>
                <w:rFonts w:ascii="Arial" w:hAnsi="Arial" w:cs="Arial"/>
                <w:lang w:val="en-GB"/>
              </w:rPr>
            </w:pPr>
            <w:r w:rsidRPr="00074CEB">
              <w:rPr>
                <w:rFonts w:ascii="Arial" w:hAnsi="Arial" w:cs="Arial"/>
                <w:lang w:val="en-GB"/>
              </w:rPr>
              <w:t>Predictor</w:t>
            </w:r>
          </w:p>
        </w:tc>
        <w:tc>
          <w:tcPr>
            <w:tcW w:w="627" w:type="pct"/>
            <w:tcBorders>
              <w:top w:val="single" w:sz="12" w:space="0" w:color="auto"/>
              <w:left w:val="nil"/>
              <w:bottom w:val="single" w:sz="4" w:space="0" w:color="auto"/>
              <w:right w:val="nil"/>
            </w:tcBorders>
            <w:vAlign w:val="center"/>
            <w:hideMark/>
          </w:tcPr>
          <w:p w14:paraId="499BA683" w14:textId="77777777" w:rsidR="00DC3CD1" w:rsidRPr="00074CEB" w:rsidRDefault="00DC3CD1" w:rsidP="00D16193">
            <w:pPr>
              <w:spacing w:after="0" w:line="240" w:lineRule="auto"/>
              <w:jc w:val="center"/>
              <w:rPr>
                <w:rFonts w:ascii="Arial" w:hAnsi="Arial" w:cs="Arial"/>
                <w:i/>
                <w:lang w:val="en-GB"/>
              </w:rPr>
            </w:pPr>
            <w:r w:rsidRPr="00074CEB">
              <w:rPr>
                <w:rFonts w:ascii="Arial" w:hAnsi="Arial" w:cs="Arial"/>
                <w:i/>
                <w:lang w:val="en-GB"/>
              </w:rPr>
              <w:t>B</w:t>
            </w:r>
          </w:p>
        </w:tc>
        <w:tc>
          <w:tcPr>
            <w:tcW w:w="637" w:type="pct"/>
            <w:tcBorders>
              <w:top w:val="single" w:sz="12" w:space="0" w:color="auto"/>
              <w:left w:val="nil"/>
              <w:bottom w:val="single" w:sz="4" w:space="0" w:color="auto"/>
              <w:right w:val="nil"/>
            </w:tcBorders>
            <w:vAlign w:val="center"/>
          </w:tcPr>
          <w:p w14:paraId="734FBB6A" w14:textId="77777777" w:rsidR="00DC3CD1" w:rsidRPr="00074CEB" w:rsidRDefault="00DC3CD1" w:rsidP="00D16193">
            <w:pPr>
              <w:spacing w:after="0" w:line="240" w:lineRule="auto"/>
              <w:jc w:val="center"/>
              <w:rPr>
                <w:rFonts w:ascii="Arial" w:hAnsi="Arial" w:cs="Arial"/>
                <w:i/>
                <w:lang w:val="en-GB"/>
              </w:rPr>
            </w:pPr>
            <w:r w:rsidRPr="00074CEB">
              <w:rPr>
                <w:rFonts w:ascii="Arial" w:hAnsi="Arial" w:cs="Arial"/>
                <w:i/>
                <w:lang w:val="en-GB"/>
              </w:rPr>
              <w:t>T</w:t>
            </w:r>
          </w:p>
        </w:tc>
        <w:tc>
          <w:tcPr>
            <w:tcW w:w="449" w:type="pct"/>
            <w:tcBorders>
              <w:top w:val="single" w:sz="12" w:space="0" w:color="auto"/>
              <w:left w:val="nil"/>
              <w:bottom w:val="single" w:sz="4" w:space="0" w:color="auto"/>
              <w:right w:val="nil"/>
            </w:tcBorders>
            <w:vAlign w:val="center"/>
            <w:hideMark/>
          </w:tcPr>
          <w:p w14:paraId="54D5CAD1" w14:textId="77777777" w:rsidR="00DC3CD1" w:rsidRPr="00074CEB" w:rsidRDefault="00DC3CD1" w:rsidP="00D16193">
            <w:pPr>
              <w:spacing w:after="0" w:line="240" w:lineRule="auto"/>
              <w:jc w:val="center"/>
              <w:rPr>
                <w:rFonts w:ascii="Arial" w:hAnsi="Arial" w:cs="Arial"/>
                <w:lang w:val="en-GB"/>
              </w:rPr>
            </w:pPr>
            <w:r w:rsidRPr="00074CEB">
              <w:rPr>
                <w:rFonts w:ascii="Arial" w:hAnsi="Arial" w:cs="Arial"/>
                <w:lang w:val="en-GB"/>
              </w:rPr>
              <w:t>β</w:t>
            </w:r>
          </w:p>
        </w:tc>
        <w:tc>
          <w:tcPr>
            <w:tcW w:w="988" w:type="pct"/>
            <w:tcBorders>
              <w:top w:val="single" w:sz="12" w:space="0" w:color="auto"/>
              <w:left w:val="nil"/>
              <w:bottom w:val="single" w:sz="4" w:space="0" w:color="auto"/>
              <w:right w:val="nil"/>
            </w:tcBorders>
            <w:vAlign w:val="center"/>
          </w:tcPr>
          <w:p w14:paraId="28D290C4" w14:textId="77777777" w:rsidR="00DC3CD1" w:rsidRPr="00074CEB" w:rsidRDefault="00DC3CD1" w:rsidP="00D16193">
            <w:pPr>
              <w:spacing w:after="0" w:line="240" w:lineRule="auto"/>
              <w:jc w:val="center"/>
              <w:rPr>
                <w:rFonts w:ascii="Arial" w:hAnsi="Arial" w:cs="Arial"/>
                <w:lang w:val="en-GB"/>
              </w:rPr>
            </w:pPr>
            <w:r w:rsidRPr="00074CEB">
              <w:rPr>
                <w:rFonts w:ascii="Arial" w:hAnsi="Arial" w:cs="Arial"/>
                <w:lang w:val="en-GB"/>
              </w:rPr>
              <w:t>Adj.</w:t>
            </w:r>
            <w:r w:rsidRPr="00074CEB">
              <w:rPr>
                <w:rFonts w:ascii="Arial" w:hAnsi="Arial" w:cs="Arial"/>
                <w:i/>
                <w:lang w:val="en-GB"/>
              </w:rPr>
              <w:t xml:space="preserve"> R²</w:t>
            </w:r>
          </w:p>
        </w:tc>
      </w:tr>
      <w:tr w:rsidR="00DC3CD1" w:rsidRPr="00074CEB" w14:paraId="15BB349B" w14:textId="77777777" w:rsidTr="00DC3CD1">
        <w:trPr>
          <w:trHeight w:val="363"/>
          <w:jc w:val="center"/>
        </w:trPr>
        <w:tc>
          <w:tcPr>
            <w:tcW w:w="1524" w:type="pct"/>
            <w:vMerge w:val="restart"/>
            <w:tcBorders>
              <w:top w:val="single" w:sz="4" w:space="0" w:color="auto"/>
              <w:left w:val="nil"/>
              <w:bottom w:val="single" w:sz="4" w:space="0" w:color="auto"/>
              <w:right w:val="nil"/>
            </w:tcBorders>
            <w:vAlign w:val="center"/>
            <w:hideMark/>
          </w:tcPr>
          <w:p w14:paraId="2A0C1B65" w14:textId="77777777" w:rsidR="00DC3CD1" w:rsidRPr="00074CEB" w:rsidRDefault="00DC3CD1" w:rsidP="00D16193">
            <w:pPr>
              <w:spacing w:after="0" w:line="240" w:lineRule="auto"/>
              <w:rPr>
                <w:rFonts w:ascii="Arial" w:hAnsi="Arial" w:cs="Arial"/>
                <w:lang w:val="en-GB"/>
              </w:rPr>
            </w:pPr>
            <w:r w:rsidRPr="00074CEB">
              <w:rPr>
                <w:rFonts w:ascii="Arial" w:hAnsi="Arial" w:cs="Arial"/>
                <w:lang w:val="en-GB"/>
              </w:rPr>
              <w:t>Bestaande woorden</w:t>
            </w:r>
          </w:p>
        </w:tc>
        <w:tc>
          <w:tcPr>
            <w:tcW w:w="774" w:type="pct"/>
            <w:tcBorders>
              <w:top w:val="single" w:sz="4" w:space="0" w:color="auto"/>
              <w:left w:val="nil"/>
              <w:bottom w:val="nil"/>
              <w:right w:val="nil"/>
            </w:tcBorders>
            <w:vAlign w:val="center"/>
            <w:hideMark/>
          </w:tcPr>
          <w:p w14:paraId="2D83A88A" w14:textId="77777777" w:rsidR="00DC3CD1" w:rsidRPr="00074CEB" w:rsidRDefault="00DC3CD1" w:rsidP="00D16193">
            <w:pPr>
              <w:spacing w:after="0" w:line="240" w:lineRule="auto"/>
              <w:rPr>
                <w:rFonts w:ascii="Arial" w:hAnsi="Arial" w:cs="Arial"/>
                <w:lang w:val="en-GB"/>
              </w:rPr>
            </w:pPr>
            <w:r w:rsidRPr="00074CEB">
              <w:rPr>
                <w:rFonts w:ascii="Arial" w:hAnsi="Arial" w:cs="Arial"/>
                <w:lang w:val="en-GB"/>
              </w:rPr>
              <w:t>Cluster 1</w:t>
            </w:r>
          </w:p>
        </w:tc>
        <w:tc>
          <w:tcPr>
            <w:tcW w:w="627" w:type="pct"/>
            <w:tcBorders>
              <w:top w:val="single" w:sz="4" w:space="0" w:color="auto"/>
              <w:left w:val="nil"/>
              <w:bottom w:val="nil"/>
              <w:right w:val="nil"/>
            </w:tcBorders>
            <w:vAlign w:val="center"/>
            <w:hideMark/>
          </w:tcPr>
          <w:p w14:paraId="2EE58E7A" w14:textId="77777777" w:rsidR="00DC3CD1" w:rsidRPr="00074CEB" w:rsidRDefault="00DC3CD1" w:rsidP="00D16193">
            <w:pPr>
              <w:tabs>
                <w:tab w:val="decimal" w:pos="649"/>
              </w:tabs>
              <w:spacing w:after="0" w:line="240" w:lineRule="auto"/>
              <w:rPr>
                <w:rFonts w:ascii="Arial" w:hAnsi="Arial" w:cs="Arial"/>
                <w:lang w:val="en-GB"/>
              </w:rPr>
            </w:pPr>
            <w:r w:rsidRPr="00074CEB">
              <w:rPr>
                <w:rFonts w:ascii="Arial" w:hAnsi="Arial" w:cs="Arial"/>
                <w:lang w:val="en-GB"/>
              </w:rPr>
              <w:t>1.65</w:t>
            </w:r>
          </w:p>
        </w:tc>
        <w:tc>
          <w:tcPr>
            <w:tcW w:w="637" w:type="pct"/>
            <w:tcBorders>
              <w:top w:val="single" w:sz="4" w:space="0" w:color="auto"/>
              <w:left w:val="nil"/>
              <w:bottom w:val="nil"/>
              <w:right w:val="nil"/>
            </w:tcBorders>
            <w:vAlign w:val="center"/>
          </w:tcPr>
          <w:p w14:paraId="379797B7" w14:textId="77777777" w:rsidR="00DC3CD1" w:rsidRPr="00074CEB" w:rsidRDefault="00DC3CD1" w:rsidP="00D16193">
            <w:pPr>
              <w:tabs>
                <w:tab w:val="decimal" w:pos="387"/>
              </w:tabs>
              <w:spacing w:after="0" w:line="240" w:lineRule="auto"/>
              <w:rPr>
                <w:rFonts w:ascii="Arial" w:hAnsi="Arial" w:cs="Arial"/>
                <w:lang w:val="en-GB"/>
              </w:rPr>
            </w:pPr>
            <w:r w:rsidRPr="00074CEB">
              <w:rPr>
                <w:rFonts w:ascii="Arial" w:hAnsi="Arial" w:cs="Arial"/>
                <w:lang w:val="en-GB"/>
              </w:rPr>
              <w:t>3.41</w:t>
            </w:r>
            <w:r w:rsidRPr="00074CEB">
              <w:rPr>
                <w:rFonts w:ascii="Arial" w:hAnsi="Arial" w:cs="Arial"/>
                <w:vertAlign w:val="superscript"/>
                <w:lang w:val="en-GB"/>
              </w:rPr>
              <w:t>**</w:t>
            </w:r>
          </w:p>
        </w:tc>
        <w:tc>
          <w:tcPr>
            <w:tcW w:w="449" w:type="pct"/>
            <w:tcBorders>
              <w:top w:val="single" w:sz="4" w:space="0" w:color="auto"/>
              <w:left w:val="nil"/>
              <w:bottom w:val="nil"/>
              <w:right w:val="nil"/>
            </w:tcBorders>
            <w:vAlign w:val="center"/>
          </w:tcPr>
          <w:p w14:paraId="4DA42690" w14:textId="77777777" w:rsidR="00DC3CD1" w:rsidRPr="00074CEB" w:rsidRDefault="00DC3CD1" w:rsidP="00D16193">
            <w:pPr>
              <w:tabs>
                <w:tab w:val="decimal" w:pos="319"/>
              </w:tabs>
              <w:spacing w:after="0" w:line="240" w:lineRule="auto"/>
              <w:rPr>
                <w:rFonts w:ascii="Arial" w:hAnsi="Arial" w:cs="Arial"/>
                <w:lang w:val="en-GB"/>
              </w:rPr>
            </w:pPr>
            <w:r w:rsidRPr="00074CEB">
              <w:rPr>
                <w:rFonts w:ascii="Arial" w:hAnsi="Arial" w:cs="Arial"/>
                <w:lang w:val="en-GB"/>
              </w:rPr>
              <w:t>.17</w:t>
            </w:r>
          </w:p>
        </w:tc>
        <w:tc>
          <w:tcPr>
            <w:tcW w:w="988" w:type="pct"/>
            <w:tcBorders>
              <w:top w:val="single" w:sz="4" w:space="0" w:color="auto"/>
              <w:left w:val="nil"/>
              <w:right w:val="nil"/>
            </w:tcBorders>
            <w:vAlign w:val="center"/>
          </w:tcPr>
          <w:p w14:paraId="2D684F69" w14:textId="77777777" w:rsidR="00DC3CD1" w:rsidRPr="00074CEB" w:rsidRDefault="00DC3CD1" w:rsidP="00D16193">
            <w:pPr>
              <w:spacing w:after="0" w:line="240" w:lineRule="auto"/>
              <w:jc w:val="center"/>
              <w:rPr>
                <w:rFonts w:ascii="Arial" w:hAnsi="Arial" w:cs="Arial"/>
                <w:lang w:val="en-GB"/>
              </w:rPr>
            </w:pPr>
            <w:r w:rsidRPr="00074CEB">
              <w:rPr>
                <w:rFonts w:ascii="Arial" w:hAnsi="Arial" w:cs="Arial"/>
                <w:lang w:val="en-GB"/>
              </w:rPr>
              <w:t>.03</w:t>
            </w:r>
          </w:p>
        </w:tc>
      </w:tr>
      <w:tr w:rsidR="00DC3CD1" w:rsidRPr="00074CEB" w14:paraId="0730F2BD" w14:textId="77777777" w:rsidTr="00DC3CD1">
        <w:trPr>
          <w:trHeight w:val="363"/>
          <w:jc w:val="center"/>
        </w:trPr>
        <w:tc>
          <w:tcPr>
            <w:tcW w:w="1524" w:type="pct"/>
            <w:vMerge/>
            <w:tcBorders>
              <w:top w:val="single" w:sz="4" w:space="0" w:color="auto"/>
              <w:left w:val="nil"/>
              <w:bottom w:val="single" w:sz="4" w:space="0" w:color="auto"/>
              <w:right w:val="nil"/>
            </w:tcBorders>
            <w:vAlign w:val="center"/>
            <w:hideMark/>
          </w:tcPr>
          <w:p w14:paraId="49DDE065" w14:textId="77777777" w:rsidR="00DC3CD1" w:rsidRPr="00074CEB" w:rsidRDefault="00DC3CD1" w:rsidP="00D16193">
            <w:pPr>
              <w:spacing w:after="0" w:line="240" w:lineRule="auto"/>
              <w:rPr>
                <w:rFonts w:ascii="Arial" w:hAnsi="Arial" w:cs="Arial"/>
                <w:lang w:val="en-GB"/>
              </w:rPr>
            </w:pPr>
          </w:p>
        </w:tc>
        <w:tc>
          <w:tcPr>
            <w:tcW w:w="774" w:type="pct"/>
            <w:vAlign w:val="center"/>
            <w:hideMark/>
          </w:tcPr>
          <w:p w14:paraId="5FF66479" w14:textId="77777777" w:rsidR="00DC3CD1" w:rsidRPr="00074CEB" w:rsidRDefault="00DC3CD1" w:rsidP="00D16193">
            <w:pPr>
              <w:spacing w:after="0" w:line="240" w:lineRule="auto"/>
              <w:rPr>
                <w:rFonts w:ascii="Arial" w:hAnsi="Arial" w:cs="Arial"/>
                <w:lang w:val="en-GB"/>
              </w:rPr>
            </w:pPr>
            <w:r w:rsidRPr="00074CEB">
              <w:rPr>
                <w:rFonts w:ascii="Arial" w:hAnsi="Arial" w:cs="Arial"/>
                <w:lang w:val="en-GB"/>
              </w:rPr>
              <w:t>Cluster 2</w:t>
            </w:r>
          </w:p>
        </w:tc>
        <w:tc>
          <w:tcPr>
            <w:tcW w:w="627" w:type="pct"/>
            <w:vAlign w:val="center"/>
            <w:hideMark/>
          </w:tcPr>
          <w:p w14:paraId="0A795160" w14:textId="77777777" w:rsidR="00DC3CD1" w:rsidRPr="00074CEB" w:rsidRDefault="00DC3CD1" w:rsidP="00D16193">
            <w:pPr>
              <w:tabs>
                <w:tab w:val="decimal" w:pos="649"/>
              </w:tabs>
              <w:autoSpaceDE w:val="0"/>
              <w:autoSpaceDN w:val="0"/>
              <w:adjustRightInd w:val="0"/>
              <w:spacing w:after="0" w:line="320" w:lineRule="atLeast"/>
              <w:rPr>
                <w:rFonts w:ascii="Arial" w:hAnsi="Arial" w:cs="Arial"/>
                <w:lang w:val="en-GB"/>
              </w:rPr>
            </w:pPr>
            <w:r w:rsidRPr="00074CEB">
              <w:rPr>
                <w:rFonts w:ascii="Arial" w:hAnsi="Arial" w:cs="Arial"/>
                <w:lang w:val="en-GB"/>
              </w:rPr>
              <w:t>-1.06</w:t>
            </w:r>
          </w:p>
        </w:tc>
        <w:tc>
          <w:tcPr>
            <w:tcW w:w="637" w:type="pct"/>
            <w:vAlign w:val="center"/>
          </w:tcPr>
          <w:p w14:paraId="6B337410" w14:textId="77777777" w:rsidR="00DC3CD1" w:rsidRPr="00074CEB" w:rsidRDefault="00DC3CD1" w:rsidP="00D16193">
            <w:pPr>
              <w:tabs>
                <w:tab w:val="decimal" w:pos="387"/>
              </w:tabs>
              <w:autoSpaceDE w:val="0"/>
              <w:autoSpaceDN w:val="0"/>
              <w:adjustRightInd w:val="0"/>
              <w:spacing w:after="0" w:line="320" w:lineRule="atLeast"/>
              <w:rPr>
                <w:rFonts w:ascii="Arial" w:hAnsi="Arial" w:cs="Arial"/>
                <w:lang w:val="en-GB"/>
              </w:rPr>
            </w:pPr>
            <w:r w:rsidRPr="00074CEB">
              <w:rPr>
                <w:rFonts w:ascii="Arial" w:hAnsi="Arial" w:cs="Arial"/>
                <w:lang w:val="en-GB"/>
              </w:rPr>
              <w:t>-1.97</w:t>
            </w:r>
            <w:r w:rsidRPr="00074CEB">
              <w:rPr>
                <w:rFonts w:ascii="Arial" w:hAnsi="Arial" w:cs="Arial"/>
                <w:vertAlign w:val="superscript"/>
                <w:lang w:val="en-GB"/>
              </w:rPr>
              <w:t>*</w:t>
            </w:r>
          </w:p>
        </w:tc>
        <w:tc>
          <w:tcPr>
            <w:tcW w:w="449" w:type="pct"/>
            <w:vAlign w:val="center"/>
            <w:hideMark/>
          </w:tcPr>
          <w:p w14:paraId="2FF87FC0" w14:textId="77777777" w:rsidR="00DC3CD1" w:rsidRPr="00074CEB" w:rsidRDefault="00DC3CD1" w:rsidP="00D16193">
            <w:pPr>
              <w:tabs>
                <w:tab w:val="decimal" w:pos="319"/>
              </w:tabs>
              <w:autoSpaceDE w:val="0"/>
              <w:autoSpaceDN w:val="0"/>
              <w:adjustRightInd w:val="0"/>
              <w:spacing w:after="0" w:line="320" w:lineRule="atLeast"/>
              <w:rPr>
                <w:rFonts w:ascii="Arial" w:hAnsi="Arial" w:cs="Arial"/>
                <w:lang w:val="en-GB"/>
              </w:rPr>
            </w:pPr>
            <w:r w:rsidRPr="00074CEB">
              <w:rPr>
                <w:rFonts w:ascii="Arial" w:hAnsi="Arial" w:cs="Arial"/>
                <w:lang w:val="en-GB"/>
              </w:rPr>
              <w:t>-.10</w:t>
            </w:r>
          </w:p>
        </w:tc>
        <w:tc>
          <w:tcPr>
            <w:tcW w:w="988" w:type="pct"/>
            <w:vAlign w:val="center"/>
          </w:tcPr>
          <w:p w14:paraId="6B49BEFD" w14:textId="77777777" w:rsidR="00DC3CD1" w:rsidRPr="00074CEB" w:rsidRDefault="00DC3CD1" w:rsidP="00D16193">
            <w:pPr>
              <w:autoSpaceDE w:val="0"/>
              <w:autoSpaceDN w:val="0"/>
              <w:adjustRightInd w:val="0"/>
              <w:spacing w:after="0" w:line="320" w:lineRule="atLeast"/>
              <w:jc w:val="center"/>
              <w:rPr>
                <w:rFonts w:ascii="Arial" w:hAnsi="Arial" w:cs="Arial"/>
                <w:lang w:val="en-GB"/>
              </w:rPr>
            </w:pPr>
            <w:r w:rsidRPr="00074CEB">
              <w:rPr>
                <w:rFonts w:ascii="Arial" w:hAnsi="Arial" w:cs="Arial"/>
                <w:lang w:val="en-GB"/>
              </w:rPr>
              <w:t>.01</w:t>
            </w:r>
          </w:p>
        </w:tc>
      </w:tr>
      <w:tr w:rsidR="00DC3CD1" w:rsidRPr="00074CEB" w14:paraId="051CA625" w14:textId="77777777" w:rsidTr="00DC3CD1">
        <w:trPr>
          <w:trHeight w:val="363"/>
          <w:jc w:val="center"/>
        </w:trPr>
        <w:tc>
          <w:tcPr>
            <w:tcW w:w="1524" w:type="pct"/>
            <w:vMerge/>
            <w:tcBorders>
              <w:top w:val="single" w:sz="4" w:space="0" w:color="auto"/>
              <w:left w:val="nil"/>
              <w:bottom w:val="single" w:sz="4" w:space="0" w:color="auto"/>
              <w:right w:val="nil"/>
            </w:tcBorders>
            <w:vAlign w:val="center"/>
            <w:hideMark/>
          </w:tcPr>
          <w:p w14:paraId="7BDCF5D4" w14:textId="77777777" w:rsidR="00DC3CD1" w:rsidRPr="00074CEB" w:rsidRDefault="00DC3CD1" w:rsidP="00D16193">
            <w:pPr>
              <w:spacing w:after="0" w:line="240" w:lineRule="auto"/>
              <w:rPr>
                <w:rFonts w:ascii="Arial" w:hAnsi="Arial" w:cs="Arial"/>
                <w:lang w:val="en-GB"/>
              </w:rPr>
            </w:pPr>
          </w:p>
        </w:tc>
        <w:tc>
          <w:tcPr>
            <w:tcW w:w="774" w:type="pct"/>
            <w:tcBorders>
              <w:bottom w:val="single" w:sz="4" w:space="0" w:color="auto"/>
            </w:tcBorders>
            <w:vAlign w:val="center"/>
            <w:hideMark/>
          </w:tcPr>
          <w:p w14:paraId="66CFB68E" w14:textId="77777777" w:rsidR="00DC3CD1" w:rsidRPr="00074CEB" w:rsidRDefault="00DC3CD1" w:rsidP="00D16193">
            <w:pPr>
              <w:spacing w:after="0" w:line="240" w:lineRule="auto"/>
              <w:rPr>
                <w:rFonts w:ascii="Arial" w:hAnsi="Arial" w:cs="Arial"/>
                <w:lang w:val="en-GB"/>
              </w:rPr>
            </w:pPr>
            <w:r w:rsidRPr="00074CEB">
              <w:rPr>
                <w:rFonts w:ascii="Arial" w:hAnsi="Arial" w:cs="Arial"/>
                <w:lang w:val="en-GB"/>
              </w:rPr>
              <w:t>Cluster 3</w:t>
            </w:r>
          </w:p>
        </w:tc>
        <w:tc>
          <w:tcPr>
            <w:tcW w:w="627" w:type="pct"/>
            <w:tcBorders>
              <w:bottom w:val="single" w:sz="4" w:space="0" w:color="auto"/>
            </w:tcBorders>
            <w:vAlign w:val="center"/>
            <w:hideMark/>
          </w:tcPr>
          <w:p w14:paraId="499B5F32" w14:textId="77777777" w:rsidR="00DC3CD1" w:rsidRPr="00074CEB" w:rsidRDefault="00DC3CD1" w:rsidP="00D16193">
            <w:pPr>
              <w:tabs>
                <w:tab w:val="decimal" w:pos="649"/>
              </w:tabs>
              <w:autoSpaceDE w:val="0"/>
              <w:autoSpaceDN w:val="0"/>
              <w:adjustRightInd w:val="0"/>
              <w:spacing w:after="0" w:line="320" w:lineRule="atLeast"/>
              <w:rPr>
                <w:rFonts w:ascii="Arial" w:hAnsi="Arial" w:cs="Arial"/>
                <w:lang w:val="en-GB"/>
              </w:rPr>
            </w:pPr>
            <w:r w:rsidRPr="00074CEB">
              <w:rPr>
                <w:rFonts w:ascii="Arial" w:hAnsi="Arial" w:cs="Arial"/>
                <w:lang w:val="en-GB"/>
              </w:rPr>
              <w:t>-1.32</w:t>
            </w:r>
          </w:p>
        </w:tc>
        <w:tc>
          <w:tcPr>
            <w:tcW w:w="637" w:type="pct"/>
            <w:tcBorders>
              <w:bottom w:val="single" w:sz="4" w:space="0" w:color="auto"/>
            </w:tcBorders>
            <w:vAlign w:val="center"/>
          </w:tcPr>
          <w:p w14:paraId="689FD36F" w14:textId="77777777" w:rsidR="00DC3CD1" w:rsidRPr="00074CEB" w:rsidRDefault="00DC3CD1" w:rsidP="00D16193">
            <w:pPr>
              <w:tabs>
                <w:tab w:val="decimal" w:pos="387"/>
              </w:tabs>
              <w:autoSpaceDE w:val="0"/>
              <w:autoSpaceDN w:val="0"/>
              <w:adjustRightInd w:val="0"/>
              <w:spacing w:after="0" w:line="320" w:lineRule="atLeast"/>
              <w:rPr>
                <w:rFonts w:ascii="Arial" w:hAnsi="Arial" w:cs="Arial"/>
                <w:lang w:val="en-GB"/>
              </w:rPr>
            </w:pPr>
            <w:r w:rsidRPr="00074CEB">
              <w:rPr>
                <w:rFonts w:ascii="Arial" w:hAnsi="Arial" w:cs="Arial"/>
                <w:lang w:val="en-GB"/>
              </w:rPr>
              <w:t>-2.08</w:t>
            </w:r>
            <w:r w:rsidRPr="00074CEB">
              <w:rPr>
                <w:rFonts w:ascii="Arial" w:hAnsi="Arial" w:cs="Arial"/>
                <w:vertAlign w:val="superscript"/>
                <w:lang w:val="en-GB"/>
              </w:rPr>
              <w:t>*</w:t>
            </w:r>
          </w:p>
        </w:tc>
        <w:tc>
          <w:tcPr>
            <w:tcW w:w="449" w:type="pct"/>
            <w:tcBorders>
              <w:bottom w:val="single" w:sz="4" w:space="0" w:color="auto"/>
            </w:tcBorders>
            <w:vAlign w:val="center"/>
            <w:hideMark/>
          </w:tcPr>
          <w:p w14:paraId="567F3419" w14:textId="77777777" w:rsidR="00DC3CD1" w:rsidRPr="00074CEB" w:rsidRDefault="00DC3CD1" w:rsidP="00D16193">
            <w:pPr>
              <w:tabs>
                <w:tab w:val="decimal" w:pos="319"/>
              </w:tabs>
              <w:autoSpaceDE w:val="0"/>
              <w:autoSpaceDN w:val="0"/>
              <w:adjustRightInd w:val="0"/>
              <w:spacing w:after="0" w:line="320" w:lineRule="atLeast"/>
              <w:rPr>
                <w:rFonts w:ascii="Arial" w:hAnsi="Arial" w:cs="Arial"/>
                <w:lang w:val="en-GB"/>
              </w:rPr>
            </w:pPr>
            <w:r w:rsidRPr="00074CEB">
              <w:rPr>
                <w:rFonts w:ascii="Arial" w:hAnsi="Arial" w:cs="Arial"/>
                <w:lang w:val="en-GB"/>
              </w:rPr>
              <w:t>-.11</w:t>
            </w:r>
          </w:p>
        </w:tc>
        <w:tc>
          <w:tcPr>
            <w:tcW w:w="988" w:type="pct"/>
            <w:tcBorders>
              <w:bottom w:val="single" w:sz="4" w:space="0" w:color="auto"/>
            </w:tcBorders>
            <w:vAlign w:val="center"/>
          </w:tcPr>
          <w:p w14:paraId="68FE76B3" w14:textId="77777777" w:rsidR="00DC3CD1" w:rsidRPr="00074CEB" w:rsidRDefault="00DC3CD1" w:rsidP="00D16193">
            <w:pPr>
              <w:autoSpaceDE w:val="0"/>
              <w:autoSpaceDN w:val="0"/>
              <w:adjustRightInd w:val="0"/>
              <w:spacing w:after="0" w:line="320" w:lineRule="atLeast"/>
              <w:jc w:val="center"/>
              <w:rPr>
                <w:rFonts w:ascii="Arial" w:hAnsi="Arial" w:cs="Arial"/>
                <w:lang w:val="en-GB"/>
              </w:rPr>
            </w:pPr>
            <w:r w:rsidRPr="00074CEB">
              <w:rPr>
                <w:rFonts w:ascii="Arial" w:hAnsi="Arial" w:cs="Arial"/>
                <w:lang w:val="en-GB"/>
              </w:rPr>
              <w:t>.01</w:t>
            </w:r>
          </w:p>
        </w:tc>
      </w:tr>
      <w:tr w:rsidR="00DC3CD1" w:rsidRPr="00074CEB" w14:paraId="4B6BF3A0" w14:textId="77777777" w:rsidTr="00DC3CD1">
        <w:trPr>
          <w:trHeight w:val="363"/>
          <w:jc w:val="center"/>
        </w:trPr>
        <w:tc>
          <w:tcPr>
            <w:tcW w:w="1524" w:type="pct"/>
            <w:vMerge w:val="restart"/>
            <w:tcBorders>
              <w:top w:val="single" w:sz="4" w:space="0" w:color="auto"/>
              <w:left w:val="nil"/>
              <w:bottom w:val="single" w:sz="4" w:space="0" w:color="auto"/>
              <w:right w:val="nil"/>
            </w:tcBorders>
            <w:vAlign w:val="center"/>
            <w:hideMark/>
          </w:tcPr>
          <w:p w14:paraId="371E893F" w14:textId="77777777" w:rsidR="00DC3CD1" w:rsidRPr="00074CEB" w:rsidRDefault="00DC3CD1" w:rsidP="00DC3CD1">
            <w:pPr>
              <w:spacing w:after="0" w:line="240" w:lineRule="auto"/>
              <w:rPr>
                <w:rFonts w:ascii="Arial" w:hAnsi="Arial" w:cs="Arial"/>
                <w:lang w:val="en-GB"/>
              </w:rPr>
            </w:pPr>
            <w:r w:rsidRPr="00074CEB">
              <w:rPr>
                <w:rFonts w:ascii="Arial" w:hAnsi="Arial" w:cs="Arial"/>
                <w:lang w:val="en-GB"/>
              </w:rPr>
              <w:t>Pseudowoorden</w:t>
            </w:r>
          </w:p>
        </w:tc>
        <w:tc>
          <w:tcPr>
            <w:tcW w:w="774" w:type="pct"/>
            <w:vAlign w:val="center"/>
            <w:hideMark/>
          </w:tcPr>
          <w:p w14:paraId="29840B62" w14:textId="77777777" w:rsidR="00DC3CD1" w:rsidRPr="00074CEB" w:rsidRDefault="00DC3CD1" w:rsidP="00D16193">
            <w:pPr>
              <w:spacing w:after="0" w:line="240" w:lineRule="auto"/>
              <w:rPr>
                <w:rFonts w:ascii="Arial" w:hAnsi="Arial" w:cs="Arial"/>
                <w:lang w:val="en-GB"/>
              </w:rPr>
            </w:pPr>
            <w:r w:rsidRPr="00074CEB">
              <w:rPr>
                <w:rFonts w:ascii="Arial" w:hAnsi="Arial" w:cs="Arial"/>
                <w:lang w:val="en-GB"/>
              </w:rPr>
              <w:t>Cluster 1</w:t>
            </w:r>
          </w:p>
        </w:tc>
        <w:tc>
          <w:tcPr>
            <w:tcW w:w="627" w:type="pct"/>
            <w:vAlign w:val="center"/>
            <w:hideMark/>
          </w:tcPr>
          <w:p w14:paraId="49B56BBE" w14:textId="77777777" w:rsidR="00DC3CD1" w:rsidRPr="00074CEB" w:rsidRDefault="00DC3CD1" w:rsidP="00D16193">
            <w:pPr>
              <w:tabs>
                <w:tab w:val="decimal" w:pos="649"/>
              </w:tabs>
              <w:autoSpaceDE w:val="0"/>
              <w:autoSpaceDN w:val="0"/>
              <w:adjustRightInd w:val="0"/>
              <w:spacing w:after="0" w:line="320" w:lineRule="atLeast"/>
              <w:rPr>
                <w:rFonts w:ascii="Arial" w:hAnsi="Arial" w:cs="Arial"/>
                <w:lang w:val="en-GB"/>
              </w:rPr>
            </w:pPr>
            <w:r w:rsidRPr="00074CEB">
              <w:rPr>
                <w:rFonts w:ascii="Arial" w:hAnsi="Arial" w:cs="Arial"/>
                <w:lang w:val="en-GB"/>
              </w:rPr>
              <w:t>1.58</w:t>
            </w:r>
          </w:p>
        </w:tc>
        <w:tc>
          <w:tcPr>
            <w:tcW w:w="637" w:type="pct"/>
            <w:vAlign w:val="center"/>
          </w:tcPr>
          <w:p w14:paraId="4FF33A41" w14:textId="77777777" w:rsidR="00DC3CD1" w:rsidRPr="00074CEB" w:rsidRDefault="00DC3CD1" w:rsidP="00D16193">
            <w:pPr>
              <w:tabs>
                <w:tab w:val="decimal" w:pos="387"/>
              </w:tabs>
              <w:autoSpaceDE w:val="0"/>
              <w:autoSpaceDN w:val="0"/>
              <w:adjustRightInd w:val="0"/>
              <w:spacing w:after="0" w:line="320" w:lineRule="atLeast"/>
              <w:rPr>
                <w:rFonts w:ascii="Arial" w:hAnsi="Arial" w:cs="Arial"/>
                <w:lang w:val="en-GB"/>
              </w:rPr>
            </w:pPr>
            <w:r w:rsidRPr="00074CEB">
              <w:rPr>
                <w:rFonts w:ascii="Arial" w:hAnsi="Arial" w:cs="Arial"/>
                <w:lang w:val="en-GB"/>
              </w:rPr>
              <w:t>3.64</w:t>
            </w:r>
            <w:r w:rsidRPr="00074CEB">
              <w:rPr>
                <w:rFonts w:ascii="Arial" w:hAnsi="Arial" w:cs="Arial"/>
                <w:vertAlign w:val="superscript"/>
                <w:lang w:val="en-GB"/>
              </w:rPr>
              <w:t>***</w:t>
            </w:r>
          </w:p>
        </w:tc>
        <w:tc>
          <w:tcPr>
            <w:tcW w:w="449" w:type="pct"/>
            <w:vAlign w:val="center"/>
          </w:tcPr>
          <w:p w14:paraId="410EAE79" w14:textId="77777777" w:rsidR="00DC3CD1" w:rsidRPr="00074CEB" w:rsidRDefault="00DC3CD1" w:rsidP="00D16193">
            <w:pPr>
              <w:tabs>
                <w:tab w:val="decimal" w:pos="319"/>
              </w:tabs>
              <w:spacing w:after="0" w:line="240" w:lineRule="auto"/>
              <w:rPr>
                <w:rFonts w:ascii="Arial" w:hAnsi="Arial" w:cs="Arial"/>
                <w:lang w:val="en-GB"/>
              </w:rPr>
            </w:pPr>
            <w:r w:rsidRPr="00074CEB">
              <w:rPr>
                <w:rFonts w:ascii="Arial" w:hAnsi="Arial" w:cs="Arial"/>
                <w:lang w:val="en-GB"/>
              </w:rPr>
              <w:t>.18</w:t>
            </w:r>
          </w:p>
        </w:tc>
        <w:tc>
          <w:tcPr>
            <w:tcW w:w="988" w:type="pct"/>
            <w:vAlign w:val="center"/>
          </w:tcPr>
          <w:p w14:paraId="6B483025" w14:textId="77777777" w:rsidR="00DC3CD1" w:rsidRPr="00074CEB" w:rsidRDefault="00DC3CD1" w:rsidP="00D16193">
            <w:pPr>
              <w:autoSpaceDE w:val="0"/>
              <w:autoSpaceDN w:val="0"/>
              <w:adjustRightInd w:val="0"/>
              <w:spacing w:after="0" w:line="320" w:lineRule="atLeast"/>
              <w:jc w:val="center"/>
              <w:rPr>
                <w:rFonts w:ascii="Arial" w:hAnsi="Arial" w:cs="Arial"/>
                <w:color w:val="000000"/>
                <w:lang w:val="en-GB"/>
              </w:rPr>
            </w:pPr>
            <w:r w:rsidRPr="00074CEB">
              <w:rPr>
                <w:rFonts w:ascii="Arial" w:hAnsi="Arial" w:cs="Arial"/>
                <w:color w:val="000000"/>
                <w:lang w:val="en-GB"/>
              </w:rPr>
              <w:t>.03</w:t>
            </w:r>
          </w:p>
        </w:tc>
      </w:tr>
      <w:tr w:rsidR="00DC3CD1" w:rsidRPr="00074CEB" w14:paraId="3C66762B" w14:textId="77777777" w:rsidTr="00DC3CD1">
        <w:trPr>
          <w:trHeight w:val="363"/>
          <w:jc w:val="center"/>
        </w:trPr>
        <w:tc>
          <w:tcPr>
            <w:tcW w:w="1524" w:type="pct"/>
            <w:vMerge/>
            <w:tcBorders>
              <w:top w:val="single" w:sz="4" w:space="0" w:color="auto"/>
              <w:left w:val="nil"/>
              <w:bottom w:val="single" w:sz="4" w:space="0" w:color="auto"/>
              <w:right w:val="nil"/>
            </w:tcBorders>
            <w:vAlign w:val="center"/>
            <w:hideMark/>
          </w:tcPr>
          <w:p w14:paraId="076E2874" w14:textId="77777777" w:rsidR="00DC3CD1" w:rsidRPr="00074CEB" w:rsidRDefault="00DC3CD1" w:rsidP="00D16193">
            <w:pPr>
              <w:spacing w:after="0" w:line="240" w:lineRule="auto"/>
              <w:rPr>
                <w:rFonts w:ascii="Arial" w:hAnsi="Arial" w:cs="Arial"/>
                <w:lang w:val="en-GB"/>
              </w:rPr>
            </w:pPr>
          </w:p>
        </w:tc>
        <w:tc>
          <w:tcPr>
            <w:tcW w:w="774" w:type="pct"/>
            <w:vAlign w:val="center"/>
            <w:hideMark/>
          </w:tcPr>
          <w:p w14:paraId="2812B020" w14:textId="77777777" w:rsidR="00DC3CD1" w:rsidRPr="00074CEB" w:rsidRDefault="00DC3CD1" w:rsidP="00D16193">
            <w:pPr>
              <w:spacing w:after="0" w:line="240" w:lineRule="auto"/>
              <w:rPr>
                <w:rFonts w:ascii="Arial" w:hAnsi="Arial" w:cs="Arial"/>
                <w:lang w:val="en-GB"/>
              </w:rPr>
            </w:pPr>
            <w:r w:rsidRPr="00074CEB">
              <w:rPr>
                <w:rFonts w:ascii="Arial" w:hAnsi="Arial" w:cs="Arial"/>
                <w:lang w:val="en-GB"/>
              </w:rPr>
              <w:t>Cluster 2</w:t>
            </w:r>
          </w:p>
        </w:tc>
        <w:tc>
          <w:tcPr>
            <w:tcW w:w="627" w:type="pct"/>
            <w:vAlign w:val="center"/>
            <w:hideMark/>
          </w:tcPr>
          <w:p w14:paraId="6FFB8820" w14:textId="77777777" w:rsidR="00DC3CD1" w:rsidRPr="00074CEB" w:rsidRDefault="00DC3CD1" w:rsidP="00D16193">
            <w:pPr>
              <w:tabs>
                <w:tab w:val="decimal" w:pos="649"/>
              </w:tabs>
              <w:spacing w:after="0" w:line="240" w:lineRule="auto"/>
              <w:rPr>
                <w:rFonts w:ascii="Arial" w:hAnsi="Arial" w:cs="Arial"/>
                <w:lang w:val="en-GB"/>
              </w:rPr>
            </w:pPr>
            <w:r w:rsidRPr="00074CEB">
              <w:rPr>
                <w:rFonts w:ascii="Arial" w:hAnsi="Arial" w:cs="Arial"/>
                <w:lang w:val="en-GB"/>
              </w:rPr>
              <w:t>-1.28</w:t>
            </w:r>
          </w:p>
        </w:tc>
        <w:tc>
          <w:tcPr>
            <w:tcW w:w="637" w:type="pct"/>
            <w:vAlign w:val="center"/>
          </w:tcPr>
          <w:p w14:paraId="1FA21EED" w14:textId="77777777" w:rsidR="00DC3CD1" w:rsidRPr="00074CEB" w:rsidRDefault="00DC3CD1" w:rsidP="00D16193">
            <w:pPr>
              <w:tabs>
                <w:tab w:val="decimal" w:pos="387"/>
              </w:tabs>
              <w:spacing w:after="0" w:line="240" w:lineRule="auto"/>
              <w:rPr>
                <w:rFonts w:ascii="Arial" w:hAnsi="Arial" w:cs="Arial"/>
                <w:lang w:val="en-GB"/>
              </w:rPr>
            </w:pPr>
            <w:r w:rsidRPr="00074CEB">
              <w:rPr>
                <w:rFonts w:ascii="Arial" w:hAnsi="Arial" w:cs="Arial"/>
                <w:lang w:val="en-GB"/>
              </w:rPr>
              <w:t>-2.66</w:t>
            </w:r>
            <w:r w:rsidRPr="00074CEB">
              <w:rPr>
                <w:rFonts w:ascii="Arial" w:hAnsi="Arial" w:cs="Arial"/>
                <w:vertAlign w:val="superscript"/>
                <w:lang w:val="en-GB"/>
              </w:rPr>
              <w:t>**</w:t>
            </w:r>
          </w:p>
        </w:tc>
        <w:tc>
          <w:tcPr>
            <w:tcW w:w="449" w:type="pct"/>
            <w:vAlign w:val="center"/>
            <w:hideMark/>
          </w:tcPr>
          <w:p w14:paraId="298921C5" w14:textId="77777777" w:rsidR="00DC3CD1" w:rsidRPr="00074CEB" w:rsidRDefault="00DC3CD1" w:rsidP="00D16193">
            <w:pPr>
              <w:tabs>
                <w:tab w:val="decimal" w:pos="319"/>
              </w:tabs>
              <w:spacing w:after="0" w:line="240" w:lineRule="auto"/>
              <w:rPr>
                <w:rFonts w:ascii="Arial" w:hAnsi="Arial" w:cs="Arial"/>
                <w:lang w:val="en-GB"/>
              </w:rPr>
            </w:pPr>
            <w:r w:rsidRPr="00074CEB">
              <w:rPr>
                <w:rFonts w:ascii="Arial" w:hAnsi="Arial" w:cs="Arial"/>
                <w:lang w:val="en-GB"/>
              </w:rPr>
              <w:t>-.13</w:t>
            </w:r>
          </w:p>
        </w:tc>
        <w:tc>
          <w:tcPr>
            <w:tcW w:w="988" w:type="pct"/>
            <w:vAlign w:val="center"/>
          </w:tcPr>
          <w:p w14:paraId="0CE15AD6" w14:textId="77777777" w:rsidR="00DC3CD1" w:rsidRPr="00074CEB" w:rsidRDefault="00DC3CD1" w:rsidP="00D16193">
            <w:pPr>
              <w:spacing w:after="0" w:line="240" w:lineRule="auto"/>
              <w:jc w:val="center"/>
              <w:rPr>
                <w:rFonts w:ascii="Arial" w:hAnsi="Arial" w:cs="Arial"/>
                <w:lang w:val="en-GB"/>
              </w:rPr>
            </w:pPr>
            <w:r w:rsidRPr="00074CEB">
              <w:rPr>
                <w:rFonts w:ascii="Arial" w:hAnsi="Arial" w:cs="Arial"/>
                <w:color w:val="000000"/>
                <w:lang w:val="en-GB"/>
              </w:rPr>
              <w:t>.02</w:t>
            </w:r>
          </w:p>
        </w:tc>
      </w:tr>
      <w:tr w:rsidR="00DC3CD1" w:rsidRPr="00074CEB" w14:paraId="6CDF687B" w14:textId="77777777" w:rsidTr="00DC3CD1">
        <w:trPr>
          <w:trHeight w:val="363"/>
          <w:jc w:val="center"/>
        </w:trPr>
        <w:tc>
          <w:tcPr>
            <w:tcW w:w="1524" w:type="pct"/>
            <w:vMerge/>
            <w:tcBorders>
              <w:top w:val="single" w:sz="4" w:space="0" w:color="auto"/>
              <w:left w:val="nil"/>
              <w:bottom w:val="single" w:sz="4" w:space="0" w:color="auto"/>
              <w:right w:val="nil"/>
            </w:tcBorders>
            <w:vAlign w:val="center"/>
            <w:hideMark/>
          </w:tcPr>
          <w:p w14:paraId="41D032D4" w14:textId="77777777" w:rsidR="00DC3CD1" w:rsidRPr="00074CEB" w:rsidRDefault="00DC3CD1" w:rsidP="00D16193">
            <w:pPr>
              <w:spacing w:after="0" w:line="240" w:lineRule="auto"/>
              <w:rPr>
                <w:rFonts w:ascii="Arial" w:hAnsi="Arial" w:cs="Arial"/>
                <w:lang w:val="en-GB"/>
              </w:rPr>
            </w:pPr>
          </w:p>
        </w:tc>
        <w:tc>
          <w:tcPr>
            <w:tcW w:w="774" w:type="pct"/>
            <w:tcBorders>
              <w:bottom w:val="single" w:sz="4" w:space="0" w:color="auto"/>
            </w:tcBorders>
            <w:vAlign w:val="center"/>
            <w:hideMark/>
          </w:tcPr>
          <w:p w14:paraId="6B3AB55F" w14:textId="77777777" w:rsidR="00DC3CD1" w:rsidRPr="00074CEB" w:rsidRDefault="00DC3CD1" w:rsidP="00D16193">
            <w:pPr>
              <w:spacing w:after="0" w:line="240" w:lineRule="auto"/>
              <w:rPr>
                <w:rFonts w:ascii="Arial" w:hAnsi="Arial" w:cs="Arial"/>
                <w:lang w:val="en-GB"/>
              </w:rPr>
            </w:pPr>
            <w:r w:rsidRPr="00074CEB">
              <w:rPr>
                <w:rFonts w:ascii="Arial" w:hAnsi="Arial" w:cs="Arial"/>
                <w:lang w:val="en-GB"/>
              </w:rPr>
              <w:t>Cluster 3</w:t>
            </w:r>
          </w:p>
        </w:tc>
        <w:tc>
          <w:tcPr>
            <w:tcW w:w="627" w:type="pct"/>
            <w:tcBorders>
              <w:bottom w:val="single" w:sz="4" w:space="0" w:color="auto"/>
            </w:tcBorders>
            <w:vAlign w:val="center"/>
            <w:hideMark/>
          </w:tcPr>
          <w:p w14:paraId="464CECDB" w14:textId="77777777" w:rsidR="00DC3CD1" w:rsidRPr="00074CEB" w:rsidRDefault="00DC3CD1" w:rsidP="00D16193">
            <w:pPr>
              <w:tabs>
                <w:tab w:val="decimal" w:pos="649"/>
              </w:tabs>
              <w:spacing w:after="0" w:line="240" w:lineRule="auto"/>
              <w:rPr>
                <w:rFonts w:ascii="Arial" w:hAnsi="Arial" w:cs="Arial"/>
                <w:lang w:val="en-GB"/>
              </w:rPr>
            </w:pPr>
            <w:r w:rsidRPr="00074CEB">
              <w:rPr>
                <w:rFonts w:ascii="Arial" w:hAnsi="Arial" w:cs="Arial"/>
                <w:lang w:val="en-GB"/>
              </w:rPr>
              <w:t>-0.89</w:t>
            </w:r>
          </w:p>
        </w:tc>
        <w:tc>
          <w:tcPr>
            <w:tcW w:w="637" w:type="pct"/>
            <w:tcBorders>
              <w:bottom w:val="single" w:sz="4" w:space="0" w:color="auto"/>
            </w:tcBorders>
            <w:vAlign w:val="center"/>
          </w:tcPr>
          <w:p w14:paraId="10276467" w14:textId="77777777" w:rsidR="00DC3CD1" w:rsidRPr="00074CEB" w:rsidRDefault="00DC3CD1" w:rsidP="00D16193">
            <w:pPr>
              <w:tabs>
                <w:tab w:val="decimal" w:pos="387"/>
              </w:tabs>
              <w:spacing w:after="0" w:line="240" w:lineRule="auto"/>
              <w:rPr>
                <w:rFonts w:ascii="Arial" w:hAnsi="Arial" w:cs="Arial"/>
                <w:lang w:val="en-GB"/>
              </w:rPr>
            </w:pPr>
            <w:r w:rsidRPr="00074CEB">
              <w:rPr>
                <w:rFonts w:ascii="Arial" w:hAnsi="Arial" w:cs="Arial"/>
                <w:lang w:val="en-GB"/>
              </w:rPr>
              <w:t>-1.56</w:t>
            </w:r>
          </w:p>
        </w:tc>
        <w:tc>
          <w:tcPr>
            <w:tcW w:w="449" w:type="pct"/>
            <w:tcBorders>
              <w:bottom w:val="single" w:sz="4" w:space="0" w:color="auto"/>
            </w:tcBorders>
            <w:vAlign w:val="center"/>
            <w:hideMark/>
          </w:tcPr>
          <w:p w14:paraId="52438AE6" w14:textId="77777777" w:rsidR="00DC3CD1" w:rsidRPr="00074CEB" w:rsidRDefault="00DC3CD1" w:rsidP="00D16193">
            <w:pPr>
              <w:tabs>
                <w:tab w:val="decimal" w:pos="319"/>
              </w:tabs>
              <w:spacing w:after="0" w:line="240" w:lineRule="auto"/>
              <w:rPr>
                <w:rFonts w:ascii="Arial" w:hAnsi="Arial" w:cs="Arial"/>
                <w:lang w:val="en-GB"/>
              </w:rPr>
            </w:pPr>
            <w:r w:rsidRPr="00074CEB">
              <w:rPr>
                <w:rFonts w:ascii="Arial" w:hAnsi="Arial" w:cs="Arial"/>
                <w:lang w:val="en-GB"/>
              </w:rPr>
              <w:t>-.08</w:t>
            </w:r>
          </w:p>
        </w:tc>
        <w:tc>
          <w:tcPr>
            <w:tcW w:w="988" w:type="pct"/>
            <w:tcBorders>
              <w:bottom w:val="single" w:sz="4" w:space="0" w:color="auto"/>
            </w:tcBorders>
            <w:vAlign w:val="center"/>
          </w:tcPr>
          <w:p w14:paraId="04347E56" w14:textId="77777777" w:rsidR="00DC3CD1" w:rsidRPr="00074CEB" w:rsidRDefault="00DC3CD1" w:rsidP="00D16193">
            <w:pPr>
              <w:spacing w:after="0" w:line="240" w:lineRule="auto"/>
              <w:jc w:val="center"/>
              <w:rPr>
                <w:rFonts w:ascii="Arial" w:hAnsi="Arial" w:cs="Arial"/>
                <w:lang w:val="en-GB"/>
              </w:rPr>
            </w:pPr>
            <w:r w:rsidRPr="00074CEB">
              <w:rPr>
                <w:rFonts w:ascii="Arial" w:hAnsi="Arial" w:cs="Arial"/>
                <w:color w:val="000000"/>
                <w:lang w:val="en-GB"/>
              </w:rPr>
              <w:t>.01</w:t>
            </w:r>
          </w:p>
        </w:tc>
      </w:tr>
      <w:tr w:rsidR="00DC3CD1" w:rsidRPr="00074CEB" w14:paraId="5AE2E055" w14:textId="77777777" w:rsidTr="00DC3CD1">
        <w:trPr>
          <w:trHeight w:val="363"/>
          <w:jc w:val="center"/>
        </w:trPr>
        <w:tc>
          <w:tcPr>
            <w:tcW w:w="1524" w:type="pct"/>
            <w:vMerge w:val="restart"/>
            <w:tcBorders>
              <w:top w:val="single" w:sz="4" w:space="0" w:color="auto"/>
              <w:left w:val="nil"/>
              <w:bottom w:val="single" w:sz="4" w:space="0" w:color="auto"/>
              <w:right w:val="nil"/>
            </w:tcBorders>
            <w:vAlign w:val="center"/>
            <w:hideMark/>
          </w:tcPr>
          <w:p w14:paraId="51B81C36" w14:textId="77777777" w:rsidR="00DC3CD1" w:rsidRPr="00074CEB" w:rsidRDefault="00DC3CD1" w:rsidP="00D21AC9">
            <w:pPr>
              <w:spacing w:after="0" w:line="240" w:lineRule="auto"/>
              <w:rPr>
                <w:rFonts w:ascii="Arial" w:hAnsi="Arial" w:cs="Arial"/>
                <w:lang w:val="en-GB"/>
              </w:rPr>
            </w:pPr>
            <w:r w:rsidRPr="00074CEB">
              <w:rPr>
                <w:rFonts w:ascii="Arial" w:hAnsi="Arial" w:cs="Arial"/>
                <w:lang w:val="en-GB"/>
              </w:rPr>
              <w:t>Spelling</w:t>
            </w:r>
          </w:p>
        </w:tc>
        <w:tc>
          <w:tcPr>
            <w:tcW w:w="774" w:type="pct"/>
            <w:tcBorders>
              <w:top w:val="single" w:sz="4" w:space="0" w:color="auto"/>
              <w:left w:val="nil"/>
              <w:bottom w:val="nil"/>
              <w:right w:val="nil"/>
            </w:tcBorders>
            <w:vAlign w:val="center"/>
            <w:hideMark/>
          </w:tcPr>
          <w:p w14:paraId="1F1F2241" w14:textId="77777777" w:rsidR="00DC3CD1" w:rsidRPr="00074CEB" w:rsidRDefault="00DC3CD1" w:rsidP="00D16193">
            <w:pPr>
              <w:spacing w:after="0" w:line="240" w:lineRule="auto"/>
              <w:rPr>
                <w:rFonts w:ascii="Arial" w:hAnsi="Arial" w:cs="Arial"/>
                <w:lang w:val="en-GB"/>
              </w:rPr>
            </w:pPr>
            <w:r w:rsidRPr="00074CEB">
              <w:rPr>
                <w:rFonts w:ascii="Arial" w:hAnsi="Arial" w:cs="Arial"/>
                <w:lang w:val="en-GB"/>
              </w:rPr>
              <w:t>Cluster 1</w:t>
            </w:r>
          </w:p>
        </w:tc>
        <w:tc>
          <w:tcPr>
            <w:tcW w:w="627" w:type="pct"/>
            <w:tcBorders>
              <w:top w:val="single" w:sz="4" w:space="0" w:color="auto"/>
              <w:left w:val="nil"/>
              <w:bottom w:val="nil"/>
              <w:right w:val="nil"/>
            </w:tcBorders>
            <w:vAlign w:val="center"/>
            <w:hideMark/>
          </w:tcPr>
          <w:p w14:paraId="0871DAE7" w14:textId="77777777" w:rsidR="00DC3CD1" w:rsidRPr="00074CEB" w:rsidRDefault="00DC3CD1" w:rsidP="00D16193">
            <w:pPr>
              <w:tabs>
                <w:tab w:val="decimal" w:pos="649"/>
              </w:tabs>
              <w:spacing w:after="0" w:line="240" w:lineRule="auto"/>
              <w:rPr>
                <w:rFonts w:ascii="Arial" w:hAnsi="Arial" w:cs="Arial"/>
                <w:lang w:val="en-GB"/>
              </w:rPr>
            </w:pPr>
            <w:r w:rsidRPr="00074CEB">
              <w:rPr>
                <w:rFonts w:ascii="Arial" w:hAnsi="Arial" w:cs="Arial"/>
                <w:lang w:val="en-GB"/>
              </w:rPr>
              <w:t>11.72</w:t>
            </w:r>
          </w:p>
        </w:tc>
        <w:tc>
          <w:tcPr>
            <w:tcW w:w="637" w:type="pct"/>
            <w:tcBorders>
              <w:top w:val="single" w:sz="4" w:space="0" w:color="auto"/>
              <w:left w:val="nil"/>
              <w:bottom w:val="nil"/>
              <w:right w:val="nil"/>
            </w:tcBorders>
            <w:vAlign w:val="center"/>
          </w:tcPr>
          <w:p w14:paraId="12E787BE" w14:textId="77777777" w:rsidR="00DC3CD1" w:rsidRPr="00074CEB" w:rsidRDefault="00DC3CD1" w:rsidP="00D16193">
            <w:pPr>
              <w:tabs>
                <w:tab w:val="decimal" w:pos="387"/>
              </w:tabs>
              <w:spacing w:after="0" w:line="240" w:lineRule="auto"/>
              <w:rPr>
                <w:rFonts w:ascii="Arial" w:hAnsi="Arial" w:cs="Arial"/>
                <w:lang w:val="en-GB"/>
              </w:rPr>
            </w:pPr>
            <w:r w:rsidRPr="00074CEB">
              <w:rPr>
                <w:rFonts w:ascii="Arial" w:hAnsi="Arial" w:cs="Arial"/>
                <w:lang w:val="en-GB"/>
              </w:rPr>
              <w:t>2.98</w:t>
            </w:r>
            <w:r w:rsidRPr="00074CEB">
              <w:rPr>
                <w:rFonts w:ascii="Arial" w:hAnsi="Arial" w:cs="Arial"/>
                <w:vertAlign w:val="superscript"/>
                <w:lang w:val="en-GB"/>
              </w:rPr>
              <w:t>**</w:t>
            </w:r>
          </w:p>
        </w:tc>
        <w:tc>
          <w:tcPr>
            <w:tcW w:w="449" w:type="pct"/>
            <w:tcBorders>
              <w:top w:val="single" w:sz="4" w:space="0" w:color="auto"/>
              <w:left w:val="nil"/>
              <w:bottom w:val="nil"/>
              <w:right w:val="nil"/>
            </w:tcBorders>
            <w:vAlign w:val="center"/>
          </w:tcPr>
          <w:p w14:paraId="574F43DC" w14:textId="77777777" w:rsidR="00DC3CD1" w:rsidRPr="00074CEB" w:rsidRDefault="00DC3CD1" w:rsidP="00D16193">
            <w:pPr>
              <w:tabs>
                <w:tab w:val="decimal" w:pos="319"/>
              </w:tabs>
              <w:spacing w:after="0" w:line="240" w:lineRule="auto"/>
              <w:rPr>
                <w:rFonts w:ascii="Arial" w:hAnsi="Arial" w:cs="Arial"/>
                <w:lang w:val="en-GB"/>
              </w:rPr>
            </w:pPr>
            <w:r w:rsidRPr="00074CEB">
              <w:rPr>
                <w:rFonts w:ascii="Arial" w:hAnsi="Arial" w:cs="Arial"/>
                <w:lang w:val="en-GB"/>
              </w:rPr>
              <w:t>.15</w:t>
            </w:r>
          </w:p>
        </w:tc>
        <w:tc>
          <w:tcPr>
            <w:tcW w:w="988" w:type="pct"/>
            <w:tcBorders>
              <w:top w:val="single" w:sz="4" w:space="0" w:color="auto"/>
              <w:left w:val="nil"/>
              <w:right w:val="nil"/>
            </w:tcBorders>
            <w:vAlign w:val="center"/>
          </w:tcPr>
          <w:p w14:paraId="16EB45D6" w14:textId="77777777" w:rsidR="00DC3CD1" w:rsidRPr="00074CEB" w:rsidRDefault="00DC3CD1" w:rsidP="00D16193">
            <w:pPr>
              <w:spacing w:after="0" w:line="240" w:lineRule="auto"/>
              <w:jc w:val="center"/>
              <w:rPr>
                <w:rFonts w:ascii="Arial" w:hAnsi="Arial" w:cs="Arial"/>
                <w:lang w:val="en-GB"/>
              </w:rPr>
            </w:pPr>
            <w:r w:rsidRPr="00074CEB">
              <w:rPr>
                <w:rFonts w:ascii="Arial" w:hAnsi="Arial" w:cs="Arial"/>
                <w:lang w:val="en-GB"/>
              </w:rPr>
              <w:t>.02</w:t>
            </w:r>
          </w:p>
        </w:tc>
      </w:tr>
      <w:tr w:rsidR="00DC3CD1" w:rsidRPr="00074CEB" w14:paraId="77EB389E" w14:textId="77777777" w:rsidTr="00DC3CD1">
        <w:trPr>
          <w:trHeight w:val="363"/>
          <w:jc w:val="center"/>
        </w:trPr>
        <w:tc>
          <w:tcPr>
            <w:tcW w:w="1524" w:type="pct"/>
            <w:vMerge/>
            <w:tcBorders>
              <w:top w:val="single" w:sz="4" w:space="0" w:color="auto"/>
              <w:left w:val="nil"/>
              <w:bottom w:val="single" w:sz="4" w:space="0" w:color="auto"/>
              <w:right w:val="nil"/>
            </w:tcBorders>
            <w:vAlign w:val="center"/>
            <w:hideMark/>
          </w:tcPr>
          <w:p w14:paraId="4CC5028E" w14:textId="77777777" w:rsidR="00DC3CD1" w:rsidRPr="00074CEB" w:rsidRDefault="00DC3CD1" w:rsidP="00D16193">
            <w:pPr>
              <w:spacing w:after="0" w:line="240" w:lineRule="auto"/>
              <w:rPr>
                <w:rFonts w:ascii="Arial" w:hAnsi="Arial" w:cs="Arial"/>
                <w:lang w:val="en-GB"/>
              </w:rPr>
            </w:pPr>
          </w:p>
        </w:tc>
        <w:tc>
          <w:tcPr>
            <w:tcW w:w="774" w:type="pct"/>
            <w:vAlign w:val="center"/>
            <w:hideMark/>
          </w:tcPr>
          <w:p w14:paraId="3CFFEE15" w14:textId="77777777" w:rsidR="00DC3CD1" w:rsidRPr="00074CEB" w:rsidRDefault="00DC3CD1" w:rsidP="00D16193">
            <w:pPr>
              <w:spacing w:after="0" w:line="240" w:lineRule="auto"/>
              <w:rPr>
                <w:rFonts w:ascii="Arial" w:hAnsi="Arial" w:cs="Arial"/>
                <w:lang w:val="en-GB"/>
              </w:rPr>
            </w:pPr>
            <w:r w:rsidRPr="00074CEB">
              <w:rPr>
                <w:rFonts w:ascii="Arial" w:hAnsi="Arial" w:cs="Arial"/>
                <w:lang w:val="en-GB"/>
              </w:rPr>
              <w:t>Cluster 2</w:t>
            </w:r>
          </w:p>
        </w:tc>
        <w:tc>
          <w:tcPr>
            <w:tcW w:w="627" w:type="pct"/>
            <w:vAlign w:val="center"/>
            <w:hideMark/>
          </w:tcPr>
          <w:p w14:paraId="415D7611" w14:textId="77777777" w:rsidR="00DC3CD1" w:rsidRPr="00074CEB" w:rsidRDefault="00DC3CD1" w:rsidP="00D16193">
            <w:pPr>
              <w:tabs>
                <w:tab w:val="decimal" w:pos="649"/>
              </w:tabs>
              <w:autoSpaceDE w:val="0"/>
              <w:autoSpaceDN w:val="0"/>
              <w:adjustRightInd w:val="0"/>
              <w:spacing w:after="0" w:line="320" w:lineRule="atLeast"/>
              <w:rPr>
                <w:rFonts w:ascii="Arial" w:hAnsi="Arial" w:cs="Arial"/>
                <w:lang w:val="en-GB"/>
              </w:rPr>
            </w:pPr>
            <w:r w:rsidRPr="00074CEB">
              <w:rPr>
                <w:rFonts w:ascii="Arial" w:hAnsi="Arial" w:cs="Arial"/>
                <w:lang w:val="en-GB"/>
              </w:rPr>
              <w:t>-6.29</w:t>
            </w:r>
          </w:p>
        </w:tc>
        <w:tc>
          <w:tcPr>
            <w:tcW w:w="637" w:type="pct"/>
            <w:vAlign w:val="center"/>
          </w:tcPr>
          <w:p w14:paraId="39874D3B" w14:textId="77777777" w:rsidR="00DC3CD1" w:rsidRPr="00074CEB" w:rsidRDefault="00DC3CD1" w:rsidP="00D16193">
            <w:pPr>
              <w:tabs>
                <w:tab w:val="decimal" w:pos="387"/>
              </w:tabs>
              <w:autoSpaceDE w:val="0"/>
              <w:autoSpaceDN w:val="0"/>
              <w:adjustRightInd w:val="0"/>
              <w:spacing w:after="0" w:line="320" w:lineRule="atLeast"/>
              <w:rPr>
                <w:rFonts w:ascii="Arial" w:hAnsi="Arial" w:cs="Arial"/>
                <w:lang w:val="en-GB"/>
              </w:rPr>
            </w:pPr>
            <w:r w:rsidRPr="00074CEB">
              <w:rPr>
                <w:rFonts w:ascii="Arial" w:hAnsi="Arial" w:cs="Arial"/>
                <w:lang w:val="en-GB"/>
              </w:rPr>
              <w:t>-1.42</w:t>
            </w:r>
          </w:p>
        </w:tc>
        <w:tc>
          <w:tcPr>
            <w:tcW w:w="449" w:type="pct"/>
            <w:vAlign w:val="center"/>
            <w:hideMark/>
          </w:tcPr>
          <w:p w14:paraId="16AAAF39" w14:textId="77777777" w:rsidR="00DC3CD1" w:rsidRPr="00074CEB" w:rsidRDefault="00DC3CD1" w:rsidP="00D16193">
            <w:pPr>
              <w:tabs>
                <w:tab w:val="decimal" w:pos="319"/>
              </w:tabs>
              <w:autoSpaceDE w:val="0"/>
              <w:autoSpaceDN w:val="0"/>
              <w:adjustRightInd w:val="0"/>
              <w:spacing w:after="0" w:line="320" w:lineRule="atLeast"/>
              <w:rPr>
                <w:rFonts w:ascii="Arial" w:hAnsi="Arial" w:cs="Arial"/>
                <w:lang w:val="en-GB"/>
              </w:rPr>
            </w:pPr>
            <w:r w:rsidRPr="00074CEB">
              <w:rPr>
                <w:rFonts w:ascii="Arial" w:hAnsi="Arial" w:cs="Arial"/>
                <w:lang w:val="en-GB"/>
              </w:rPr>
              <w:t>-.07</w:t>
            </w:r>
          </w:p>
        </w:tc>
        <w:tc>
          <w:tcPr>
            <w:tcW w:w="988" w:type="pct"/>
            <w:vAlign w:val="center"/>
          </w:tcPr>
          <w:p w14:paraId="2D10C891" w14:textId="77777777" w:rsidR="00DC3CD1" w:rsidRPr="00074CEB" w:rsidRDefault="00DC3CD1" w:rsidP="00D16193">
            <w:pPr>
              <w:autoSpaceDE w:val="0"/>
              <w:autoSpaceDN w:val="0"/>
              <w:adjustRightInd w:val="0"/>
              <w:spacing w:after="0" w:line="320" w:lineRule="atLeast"/>
              <w:jc w:val="center"/>
              <w:rPr>
                <w:rFonts w:ascii="Arial" w:hAnsi="Arial" w:cs="Arial"/>
                <w:color w:val="000000"/>
                <w:lang w:val="en-GB"/>
              </w:rPr>
            </w:pPr>
            <w:r w:rsidRPr="00074CEB">
              <w:rPr>
                <w:rFonts w:ascii="Arial" w:hAnsi="Arial" w:cs="Arial"/>
                <w:lang w:val="en-GB"/>
              </w:rPr>
              <w:t>.01</w:t>
            </w:r>
          </w:p>
        </w:tc>
      </w:tr>
      <w:tr w:rsidR="00DC3CD1" w:rsidRPr="00074CEB" w14:paraId="061EE674" w14:textId="77777777" w:rsidTr="00DC3CD1">
        <w:trPr>
          <w:trHeight w:val="363"/>
          <w:jc w:val="center"/>
        </w:trPr>
        <w:tc>
          <w:tcPr>
            <w:tcW w:w="1524" w:type="pct"/>
            <w:vMerge/>
            <w:tcBorders>
              <w:top w:val="single" w:sz="4" w:space="0" w:color="auto"/>
              <w:left w:val="nil"/>
              <w:bottom w:val="single" w:sz="4" w:space="0" w:color="auto"/>
              <w:right w:val="nil"/>
            </w:tcBorders>
            <w:vAlign w:val="center"/>
            <w:hideMark/>
          </w:tcPr>
          <w:p w14:paraId="15E7EC5A" w14:textId="77777777" w:rsidR="00DC3CD1" w:rsidRPr="00074CEB" w:rsidRDefault="00DC3CD1" w:rsidP="00D16193">
            <w:pPr>
              <w:spacing w:after="0" w:line="240" w:lineRule="auto"/>
              <w:rPr>
                <w:rFonts w:ascii="Arial" w:hAnsi="Arial" w:cs="Arial"/>
                <w:lang w:val="en-GB"/>
              </w:rPr>
            </w:pPr>
          </w:p>
        </w:tc>
        <w:tc>
          <w:tcPr>
            <w:tcW w:w="774" w:type="pct"/>
            <w:tcBorders>
              <w:bottom w:val="single" w:sz="4" w:space="0" w:color="auto"/>
            </w:tcBorders>
            <w:vAlign w:val="center"/>
            <w:hideMark/>
          </w:tcPr>
          <w:p w14:paraId="7D630259" w14:textId="77777777" w:rsidR="00DC3CD1" w:rsidRPr="00074CEB" w:rsidRDefault="00DC3CD1" w:rsidP="00D16193">
            <w:pPr>
              <w:spacing w:after="0" w:line="240" w:lineRule="auto"/>
              <w:rPr>
                <w:rFonts w:ascii="Arial" w:hAnsi="Arial" w:cs="Arial"/>
                <w:lang w:val="en-GB"/>
              </w:rPr>
            </w:pPr>
            <w:r w:rsidRPr="00074CEB">
              <w:rPr>
                <w:rFonts w:ascii="Arial" w:hAnsi="Arial" w:cs="Arial"/>
                <w:lang w:val="en-GB"/>
              </w:rPr>
              <w:t>Cluster 3</w:t>
            </w:r>
          </w:p>
        </w:tc>
        <w:tc>
          <w:tcPr>
            <w:tcW w:w="627" w:type="pct"/>
            <w:tcBorders>
              <w:bottom w:val="single" w:sz="4" w:space="0" w:color="auto"/>
            </w:tcBorders>
            <w:vAlign w:val="center"/>
            <w:hideMark/>
          </w:tcPr>
          <w:p w14:paraId="5A5DFF60" w14:textId="77777777" w:rsidR="00DC3CD1" w:rsidRPr="00074CEB" w:rsidRDefault="00DC3CD1" w:rsidP="00D16193">
            <w:pPr>
              <w:tabs>
                <w:tab w:val="decimal" w:pos="649"/>
              </w:tabs>
              <w:autoSpaceDE w:val="0"/>
              <w:autoSpaceDN w:val="0"/>
              <w:adjustRightInd w:val="0"/>
              <w:spacing w:after="0" w:line="320" w:lineRule="atLeast"/>
              <w:rPr>
                <w:rFonts w:ascii="Arial" w:hAnsi="Arial" w:cs="Arial"/>
                <w:lang w:val="en-GB"/>
              </w:rPr>
            </w:pPr>
            <w:r w:rsidRPr="00074CEB">
              <w:rPr>
                <w:rFonts w:ascii="Arial" w:hAnsi="Arial" w:cs="Arial"/>
                <w:lang w:val="en-GB"/>
              </w:rPr>
              <w:t>-11.14</w:t>
            </w:r>
          </w:p>
        </w:tc>
        <w:tc>
          <w:tcPr>
            <w:tcW w:w="637" w:type="pct"/>
            <w:tcBorders>
              <w:bottom w:val="single" w:sz="4" w:space="0" w:color="auto"/>
            </w:tcBorders>
            <w:vAlign w:val="center"/>
          </w:tcPr>
          <w:p w14:paraId="631AE734" w14:textId="77777777" w:rsidR="00DC3CD1" w:rsidRPr="00074CEB" w:rsidRDefault="00DC3CD1" w:rsidP="00D16193">
            <w:pPr>
              <w:tabs>
                <w:tab w:val="decimal" w:pos="387"/>
              </w:tabs>
              <w:autoSpaceDE w:val="0"/>
              <w:autoSpaceDN w:val="0"/>
              <w:adjustRightInd w:val="0"/>
              <w:spacing w:after="0" w:line="320" w:lineRule="atLeast"/>
              <w:rPr>
                <w:rFonts w:ascii="Arial" w:hAnsi="Arial" w:cs="Arial"/>
                <w:lang w:val="en-GB"/>
              </w:rPr>
            </w:pPr>
            <w:r w:rsidRPr="00074CEB">
              <w:rPr>
                <w:rFonts w:ascii="Arial" w:hAnsi="Arial" w:cs="Arial"/>
                <w:lang w:val="en-GB"/>
              </w:rPr>
              <w:t>-2.18</w:t>
            </w:r>
            <w:r w:rsidRPr="00074CEB">
              <w:rPr>
                <w:rFonts w:ascii="Arial" w:hAnsi="Arial" w:cs="Arial"/>
                <w:vertAlign w:val="superscript"/>
                <w:lang w:val="en-GB"/>
              </w:rPr>
              <w:t>*</w:t>
            </w:r>
          </w:p>
        </w:tc>
        <w:tc>
          <w:tcPr>
            <w:tcW w:w="449" w:type="pct"/>
            <w:tcBorders>
              <w:bottom w:val="single" w:sz="4" w:space="0" w:color="auto"/>
            </w:tcBorders>
            <w:vAlign w:val="center"/>
            <w:hideMark/>
          </w:tcPr>
          <w:p w14:paraId="1A24B439" w14:textId="77777777" w:rsidR="00DC3CD1" w:rsidRPr="00074CEB" w:rsidRDefault="00DC3CD1" w:rsidP="00D16193">
            <w:pPr>
              <w:tabs>
                <w:tab w:val="decimal" w:pos="319"/>
              </w:tabs>
              <w:autoSpaceDE w:val="0"/>
              <w:autoSpaceDN w:val="0"/>
              <w:adjustRightInd w:val="0"/>
              <w:spacing w:after="0" w:line="320" w:lineRule="atLeast"/>
              <w:rPr>
                <w:rFonts w:ascii="Arial" w:hAnsi="Arial" w:cs="Arial"/>
                <w:lang w:val="en-GB"/>
              </w:rPr>
            </w:pPr>
            <w:r w:rsidRPr="00074CEB">
              <w:rPr>
                <w:rFonts w:ascii="Arial" w:hAnsi="Arial" w:cs="Arial"/>
                <w:lang w:val="en-GB"/>
              </w:rPr>
              <w:t>-.11</w:t>
            </w:r>
          </w:p>
        </w:tc>
        <w:tc>
          <w:tcPr>
            <w:tcW w:w="988" w:type="pct"/>
            <w:tcBorders>
              <w:bottom w:val="single" w:sz="4" w:space="0" w:color="auto"/>
            </w:tcBorders>
            <w:vAlign w:val="center"/>
          </w:tcPr>
          <w:p w14:paraId="0D22ABA1" w14:textId="77777777" w:rsidR="00DC3CD1" w:rsidRPr="00074CEB" w:rsidRDefault="00DC3CD1" w:rsidP="00D16193">
            <w:pPr>
              <w:autoSpaceDE w:val="0"/>
              <w:autoSpaceDN w:val="0"/>
              <w:adjustRightInd w:val="0"/>
              <w:spacing w:after="0" w:line="320" w:lineRule="atLeast"/>
              <w:jc w:val="center"/>
              <w:rPr>
                <w:rFonts w:ascii="Arial" w:hAnsi="Arial" w:cs="Arial"/>
                <w:color w:val="000000"/>
                <w:lang w:val="en-GB"/>
              </w:rPr>
            </w:pPr>
            <w:r w:rsidRPr="00074CEB">
              <w:rPr>
                <w:rFonts w:ascii="Arial" w:hAnsi="Arial" w:cs="Arial"/>
                <w:lang w:val="en-GB"/>
              </w:rPr>
              <w:t>.01</w:t>
            </w:r>
          </w:p>
        </w:tc>
      </w:tr>
      <w:tr w:rsidR="00DC3CD1" w:rsidRPr="00074CEB" w14:paraId="7ABA8682" w14:textId="77777777" w:rsidTr="00DC3CD1">
        <w:trPr>
          <w:trHeight w:val="363"/>
          <w:jc w:val="center"/>
        </w:trPr>
        <w:tc>
          <w:tcPr>
            <w:tcW w:w="1524" w:type="pct"/>
            <w:vMerge w:val="restart"/>
            <w:tcBorders>
              <w:top w:val="single" w:sz="4" w:space="0" w:color="auto"/>
              <w:left w:val="nil"/>
              <w:right w:val="nil"/>
            </w:tcBorders>
            <w:vAlign w:val="center"/>
            <w:hideMark/>
          </w:tcPr>
          <w:p w14:paraId="6A7BB4FF" w14:textId="77777777" w:rsidR="00DC3CD1" w:rsidRPr="00074CEB" w:rsidRDefault="00DC3CD1" w:rsidP="00D21AC9">
            <w:pPr>
              <w:spacing w:after="0" w:line="240" w:lineRule="auto"/>
              <w:rPr>
                <w:rFonts w:ascii="Arial" w:hAnsi="Arial" w:cs="Arial"/>
                <w:lang w:val="en-GB"/>
              </w:rPr>
            </w:pPr>
            <w:r w:rsidRPr="00074CEB">
              <w:rPr>
                <w:rFonts w:ascii="Arial" w:hAnsi="Arial" w:cs="Arial"/>
                <w:lang w:val="en-GB"/>
              </w:rPr>
              <w:t>Motoriek</w:t>
            </w:r>
          </w:p>
        </w:tc>
        <w:tc>
          <w:tcPr>
            <w:tcW w:w="774" w:type="pct"/>
            <w:tcBorders>
              <w:top w:val="single" w:sz="4" w:space="0" w:color="auto"/>
            </w:tcBorders>
            <w:vAlign w:val="center"/>
            <w:hideMark/>
          </w:tcPr>
          <w:p w14:paraId="26DB9812" w14:textId="77777777" w:rsidR="00DC3CD1" w:rsidRPr="00074CEB" w:rsidRDefault="00DC3CD1" w:rsidP="00D16193">
            <w:pPr>
              <w:spacing w:after="0" w:line="240" w:lineRule="auto"/>
              <w:rPr>
                <w:rFonts w:ascii="Arial" w:hAnsi="Arial" w:cs="Arial"/>
                <w:lang w:val="en-GB"/>
              </w:rPr>
            </w:pPr>
            <w:r w:rsidRPr="00074CEB">
              <w:rPr>
                <w:rFonts w:ascii="Arial" w:hAnsi="Arial" w:cs="Arial"/>
                <w:lang w:val="en-GB"/>
              </w:rPr>
              <w:t>Cluster 1</w:t>
            </w:r>
          </w:p>
        </w:tc>
        <w:tc>
          <w:tcPr>
            <w:tcW w:w="627" w:type="pct"/>
            <w:tcBorders>
              <w:top w:val="single" w:sz="4" w:space="0" w:color="auto"/>
            </w:tcBorders>
            <w:vAlign w:val="center"/>
            <w:hideMark/>
          </w:tcPr>
          <w:p w14:paraId="5165A090" w14:textId="77777777" w:rsidR="00DC3CD1" w:rsidRPr="00074CEB" w:rsidRDefault="00DC3CD1" w:rsidP="00D16193">
            <w:pPr>
              <w:tabs>
                <w:tab w:val="decimal" w:pos="649"/>
              </w:tabs>
              <w:autoSpaceDE w:val="0"/>
              <w:autoSpaceDN w:val="0"/>
              <w:adjustRightInd w:val="0"/>
              <w:spacing w:after="0" w:line="320" w:lineRule="atLeast"/>
              <w:rPr>
                <w:rFonts w:ascii="Arial" w:hAnsi="Arial" w:cs="Arial"/>
                <w:lang w:val="en-GB"/>
              </w:rPr>
            </w:pPr>
            <w:r w:rsidRPr="00074CEB">
              <w:rPr>
                <w:rFonts w:ascii="Arial" w:hAnsi="Arial" w:cs="Arial"/>
                <w:lang w:val="en-GB"/>
              </w:rPr>
              <w:t>3.30</w:t>
            </w:r>
          </w:p>
        </w:tc>
        <w:tc>
          <w:tcPr>
            <w:tcW w:w="637" w:type="pct"/>
            <w:tcBorders>
              <w:top w:val="single" w:sz="4" w:space="0" w:color="auto"/>
            </w:tcBorders>
            <w:vAlign w:val="center"/>
          </w:tcPr>
          <w:p w14:paraId="42CD8CBA" w14:textId="77777777" w:rsidR="00DC3CD1" w:rsidRPr="00074CEB" w:rsidRDefault="00DC3CD1" w:rsidP="00D16193">
            <w:pPr>
              <w:tabs>
                <w:tab w:val="decimal" w:pos="387"/>
              </w:tabs>
              <w:autoSpaceDE w:val="0"/>
              <w:autoSpaceDN w:val="0"/>
              <w:adjustRightInd w:val="0"/>
              <w:spacing w:after="0" w:line="320" w:lineRule="atLeast"/>
              <w:rPr>
                <w:rFonts w:ascii="Arial" w:hAnsi="Arial" w:cs="Arial"/>
                <w:lang w:val="en-GB"/>
              </w:rPr>
            </w:pPr>
            <w:r w:rsidRPr="00074CEB">
              <w:rPr>
                <w:rFonts w:ascii="Arial" w:hAnsi="Arial" w:cs="Arial"/>
                <w:lang w:val="en-GB"/>
              </w:rPr>
              <w:t>8.26</w:t>
            </w:r>
            <w:r w:rsidRPr="00074CEB">
              <w:rPr>
                <w:rFonts w:ascii="Arial" w:hAnsi="Arial" w:cs="Arial"/>
                <w:vertAlign w:val="superscript"/>
                <w:lang w:val="en-GB"/>
              </w:rPr>
              <w:t>***</w:t>
            </w:r>
          </w:p>
        </w:tc>
        <w:tc>
          <w:tcPr>
            <w:tcW w:w="449" w:type="pct"/>
            <w:tcBorders>
              <w:top w:val="single" w:sz="4" w:space="0" w:color="auto"/>
            </w:tcBorders>
            <w:vAlign w:val="center"/>
            <w:hideMark/>
          </w:tcPr>
          <w:p w14:paraId="629CA24C" w14:textId="77777777" w:rsidR="00DC3CD1" w:rsidRPr="00074CEB" w:rsidRDefault="00DC3CD1" w:rsidP="00D16193">
            <w:pPr>
              <w:tabs>
                <w:tab w:val="decimal" w:pos="319"/>
              </w:tabs>
              <w:spacing w:after="0" w:line="240" w:lineRule="auto"/>
              <w:rPr>
                <w:rFonts w:ascii="Arial" w:hAnsi="Arial" w:cs="Arial"/>
                <w:lang w:val="en-GB"/>
              </w:rPr>
            </w:pPr>
            <w:r w:rsidRPr="00074CEB">
              <w:rPr>
                <w:rFonts w:ascii="Arial" w:hAnsi="Arial" w:cs="Arial"/>
                <w:lang w:val="en-GB"/>
              </w:rPr>
              <w:t>.39</w:t>
            </w:r>
          </w:p>
        </w:tc>
        <w:tc>
          <w:tcPr>
            <w:tcW w:w="988" w:type="pct"/>
            <w:tcBorders>
              <w:top w:val="single" w:sz="4" w:space="0" w:color="auto"/>
            </w:tcBorders>
            <w:vAlign w:val="center"/>
          </w:tcPr>
          <w:p w14:paraId="2E0B1893" w14:textId="77777777" w:rsidR="00DC3CD1" w:rsidRPr="00074CEB" w:rsidRDefault="00DC3CD1" w:rsidP="00D16193">
            <w:pPr>
              <w:autoSpaceDE w:val="0"/>
              <w:autoSpaceDN w:val="0"/>
              <w:adjustRightInd w:val="0"/>
              <w:spacing w:after="0" w:line="320" w:lineRule="atLeast"/>
              <w:jc w:val="center"/>
              <w:rPr>
                <w:rFonts w:ascii="Arial" w:hAnsi="Arial" w:cs="Arial"/>
                <w:lang w:val="en-GB"/>
              </w:rPr>
            </w:pPr>
            <w:r w:rsidRPr="00074CEB">
              <w:rPr>
                <w:rFonts w:ascii="Arial" w:hAnsi="Arial" w:cs="Arial"/>
                <w:lang w:val="en-GB"/>
              </w:rPr>
              <w:t>.15</w:t>
            </w:r>
          </w:p>
        </w:tc>
      </w:tr>
      <w:tr w:rsidR="00DC3CD1" w:rsidRPr="00074CEB" w14:paraId="41F310E5" w14:textId="77777777" w:rsidTr="00DC3CD1">
        <w:trPr>
          <w:trHeight w:val="363"/>
          <w:jc w:val="center"/>
        </w:trPr>
        <w:tc>
          <w:tcPr>
            <w:tcW w:w="1524" w:type="pct"/>
            <w:vMerge/>
            <w:tcBorders>
              <w:left w:val="nil"/>
              <w:right w:val="nil"/>
            </w:tcBorders>
            <w:vAlign w:val="center"/>
            <w:hideMark/>
          </w:tcPr>
          <w:p w14:paraId="60C71186" w14:textId="77777777" w:rsidR="00DC3CD1" w:rsidRPr="00074CEB" w:rsidRDefault="00DC3CD1" w:rsidP="00D16193">
            <w:pPr>
              <w:spacing w:after="0" w:line="240" w:lineRule="auto"/>
              <w:rPr>
                <w:rFonts w:ascii="Arial" w:hAnsi="Arial" w:cs="Arial"/>
                <w:lang w:val="en-GB"/>
              </w:rPr>
            </w:pPr>
          </w:p>
        </w:tc>
        <w:tc>
          <w:tcPr>
            <w:tcW w:w="774" w:type="pct"/>
            <w:vAlign w:val="center"/>
            <w:hideMark/>
          </w:tcPr>
          <w:p w14:paraId="4FF83BE3" w14:textId="77777777" w:rsidR="00DC3CD1" w:rsidRPr="00074CEB" w:rsidRDefault="00DC3CD1" w:rsidP="00D16193">
            <w:pPr>
              <w:spacing w:after="0" w:line="240" w:lineRule="auto"/>
              <w:rPr>
                <w:rFonts w:ascii="Arial" w:hAnsi="Arial" w:cs="Arial"/>
                <w:lang w:val="en-GB"/>
              </w:rPr>
            </w:pPr>
            <w:r w:rsidRPr="00074CEB">
              <w:rPr>
                <w:rFonts w:ascii="Arial" w:hAnsi="Arial" w:cs="Arial"/>
                <w:lang w:val="en-GB"/>
              </w:rPr>
              <w:t>Cluster 2</w:t>
            </w:r>
          </w:p>
        </w:tc>
        <w:tc>
          <w:tcPr>
            <w:tcW w:w="627" w:type="pct"/>
            <w:vAlign w:val="center"/>
            <w:hideMark/>
          </w:tcPr>
          <w:p w14:paraId="011E5720" w14:textId="77777777" w:rsidR="00DC3CD1" w:rsidRPr="00074CEB" w:rsidRDefault="00DC3CD1" w:rsidP="00D16193">
            <w:pPr>
              <w:tabs>
                <w:tab w:val="decimal" w:pos="649"/>
              </w:tabs>
              <w:autoSpaceDE w:val="0"/>
              <w:autoSpaceDN w:val="0"/>
              <w:adjustRightInd w:val="0"/>
              <w:spacing w:after="0" w:line="320" w:lineRule="atLeast"/>
              <w:rPr>
                <w:rFonts w:ascii="Arial" w:hAnsi="Arial" w:cs="Arial"/>
                <w:lang w:val="en-GB"/>
              </w:rPr>
            </w:pPr>
            <w:r w:rsidRPr="00074CEB">
              <w:rPr>
                <w:rFonts w:ascii="Arial" w:hAnsi="Arial" w:cs="Arial"/>
                <w:lang w:val="en-GB"/>
              </w:rPr>
              <w:t>-2.83</w:t>
            </w:r>
          </w:p>
        </w:tc>
        <w:tc>
          <w:tcPr>
            <w:tcW w:w="637" w:type="pct"/>
            <w:vAlign w:val="center"/>
          </w:tcPr>
          <w:p w14:paraId="04010A12" w14:textId="77777777" w:rsidR="00DC3CD1" w:rsidRPr="00074CEB" w:rsidRDefault="00DC3CD1" w:rsidP="00D16193">
            <w:pPr>
              <w:tabs>
                <w:tab w:val="decimal" w:pos="387"/>
              </w:tabs>
              <w:autoSpaceDE w:val="0"/>
              <w:autoSpaceDN w:val="0"/>
              <w:adjustRightInd w:val="0"/>
              <w:spacing w:after="0" w:line="320" w:lineRule="atLeast"/>
              <w:rPr>
                <w:rFonts w:ascii="Arial" w:hAnsi="Arial" w:cs="Arial"/>
                <w:lang w:val="en-GB"/>
              </w:rPr>
            </w:pPr>
            <w:r w:rsidRPr="00074CEB">
              <w:rPr>
                <w:rFonts w:ascii="Arial" w:hAnsi="Arial" w:cs="Arial"/>
                <w:lang w:val="en-GB"/>
              </w:rPr>
              <w:t>-6.18</w:t>
            </w:r>
            <w:r w:rsidRPr="00074CEB">
              <w:rPr>
                <w:rFonts w:ascii="Arial" w:hAnsi="Arial" w:cs="Arial"/>
                <w:vertAlign w:val="superscript"/>
                <w:lang w:val="en-GB"/>
              </w:rPr>
              <w:t>***</w:t>
            </w:r>
          </w:p>
        </w:tc>
        <w:tc>
          <w:tcPr>
            <w:tcW w:w="449" w:type="pct"/>
            <w:vAlign w:val="center"/>
            <w:hideMark/>
          </w:tcPr>
          <w:p w14:paraId="36EC04CC" w14:textId="77777777" w:rsidR="00DC3CD1" w:rsidRPr="00074CEB" w:rsidRDefault="00DC3CD1" w:rsidP="00D16193">
            <w:pPr>
              <w:tabs>
                <w:tab w:val="decimal" w:pos="319"/>
              </w:tabs>
              <w:autoSpaceDE w:val="0"/>
              <w:autoSpaceDN w:val="0"/>
              <w:adjustRightInd w:val="0"/>
              <w:spacing w:after="0" w:line="320" w:lineRule="atLeast"/>
              <w:rPr>
                <w:rFonts w:ascii="Arial" w:hAnsi="Arial" w:cs="Arial"/>
                <w:lang w:val="en-GB"/>
              </w:rPr>
            </w:pPr>
            <w:r w:rsidRPr="00074CEB">
              <w:rPr>
                <w:rFonts w:ascii="Arial" w:hAnsi="Arial" w:cs="Arial"/>
                <w:lang w:val="en-GB"/>
              </w:rPr>
              <w:t>-.30</w:t>
            </w:r>
          </w:p>
        </w:tc>
        <w:tc>
          <w:tcPr>
            <w:tcW w:w="988" w:type="pct"/>
            <w:vAlign w:val="center"/>
          </w:tcPr>
          <w:p w14:paraId="1780C430" w14:textId="77777777" w:rsidR="00DC3CD1" w:rsidRPr="00074CEB" w:rsidRDefault="00DC3CD1" w:rsidP="00D16193">
            <w:pPr>
              <w:autoSpaceDE w:val="0"/>
              <w:autoSpaceDN w:val="0"/>
              <w:adjustRightInd w:val="0"/>
              <w:spacing w:after="0" w:line="320" w:lineRule="atLeast"/>
              <w:jc w:val="center"/>
              <w:rPr>
                <w:rFonts w:ascii="Arial" w:hAnsi="Arial" w:cs="Arial"/>
                <w:color w:val="000000"/>
                <w:lang w:val="en-GB"/>
              </w:rPr>
            </w:pPr>
            <w:r w:rsidRPr="00074CEB">
              <w:rPr>
                <w:rFonts w:ascii="Arial" w:hAnsi="Arial" w:cs="Arial"/>
                <w:lang w:val="en-GB"/>
              </w:rPr>
              <w:t>.09</w:t>
            </w:r>
          </w:p>
        </w:tc>
      </w:tr>
      <w:tr w:rsidR="00DC3CD1" w:rsidRPr="00074CEB" w14:paraId="570427D4" w14:textId="77777777" w:rsidTr="00DC3CD1">
        <w:trPr>
          <w:trHeight w:val="363"/>
          <w:jc w:val="center"/>
        </w:trPr>
        <w:tc>
          <w:tcPr>
            <w:tcW w:w="1524" w:type="pct"/>
            <w:vMerge/>
            <w:tcBorders>
              <w:left w:val="nil"/>
              <w:bottom w:val="single" w:sz="4" w:space="0" w:color="auto"/>
              <w:right w:val="nil"/>
            </w:tcBorders>
            <w:vAlign w:val="center"/>
            <w:hideMark/>
          </w:tcPr>
          <w:p w14:paraId="24DC0885" w14:textId="77777777" w:rsidR="00DC3CD1" w:rsidRPr="00074CEB" w:rsidRDefault="00DC3CD1" w:rsidP="00D16193">
            <w:pPr>
              <w:spacing w:after="0" w:line="240" w:lineRule="auto"/>
              <w:rPr>
                <w:rFonts w:ascii="Arial" w:hAnsi="Arial" w:cs="Arial"/>
                <w:lang w:val="en-GB"/>
              </w:rPr>
            </w:pPr>
          </w:p>
        </w:tc>
        <w:tc>
          <w:tcPr>
            <w:tcW w:w="774" w:type="pct"/>
            <w:tcBorders>
              <w:bottom w:val="single" w:sz="4" w:space="0" w:color="auto"/>
            </w:tcBorders>
            <w:vAlign w:val="center"/>
            <w:hideMark/>
          </w:tcPr>
          <w:p w14:paraId="283F9C4D" w14:textId="77777777" w:rsidR="00DC3CD1" w:rsidRPr="00074CEB" w:rsidRDefault="00DC3CD1" w:rsidP="00D16193">
            <w:pPr>
              <w:spacing w:after="0" w:line="240" w:lineRule="auto"/>
              <w:rPr>
                <w:rFonts w:ascii="Arial" w:hAnsi="Arial" w:cs="Arial"/>
                <w:lang w:val="en-GB"/>
              </w:rPr>
            </w:pPr>
            <w:r w:rsidRPr="00074CEB">
              <w:rPr>
                <w:rFonts w:ascii="Arial" w:hAnsi="Arial" w:cs="Arial"/>
                <w:lang w:val="en-GB"/>
              </w:rPr>
              <w:t>Cluster 3</w:t>
            </w:r>
          </w:p>
        </w:tc>
        <w:tc>
          <w:tcPr>
            <w:tcW w:w="627" w:type="pct"/>
            <w:tcBorders>
              <w:bottom w:val="single" w:sz="4" w:space="0" w:color="auto"/>
            </w:tcBorders>
            <w:vAlign w:val="center"/>
            <w:hideMark/>
          </w:tcPr>
          <w:p w14:paraId="2B5C027A" w14:textId="77777777" w:rsidR="00DC3CD1" w:rsidRPr="00074CEB" w:rsidRDefault="00DC3CD1" w:rsidP="00D16193">
            <w:pPr>
              <w:tabs>
                <w:tab w:val="decimal" w:pos="649"/>
              </w:tabs>
              <w:autoSpaceDE w:val="0"/>
              <w:autoSpaceDN w:val="0"/>
              <w:adjustRightInd w:val="0"/>
              <w:spacing w:after="0" w:line="320" w:lineRule="atLeast"/>
              <w:rPr>
                <w:rFonts w:ascii="Arial" w:hAnsi="Arial" w:cs="Arial"/>
                <w:lang w:val="en-GB"/>
              </w:rPr>
            </w:pPr>
            <w:r w:rsidRPr="00074CEB">
              <w:rPr>
                <w:rFonts w:ascii="Arial" w:hAnsi="Arial" w:cs="Arial"/>
                <w:lang w:val="en-GB"/>
              </w:rPr>
              <w:t>-1.64</w:t>
            </w:r>
          </w:p>
        </w:tc>
        <w:tc>
          <w:tcPr>
            <w:tcW w:w="637" w:type="pct"/>
            <w:tcBorders>
              <w:bottom w:val="single" w:sz="4" w:space="0" w:color="auto"/>
            </w:tcBorders>
            <w:vAlign w:val="center"/>
          </w:tcPr>
          <w:p w14:paraId="03D7C742" w14:textId="77777777" w:rsidR="00DC3CD1" w:rsidRPr="00074CEB" w:rsidRDefault="00DC3CD1" w:rsidP="00D16193">
            <w:pPr>
              <w:tabs>
                <w:tab w:val="decimal" w:pos="387"/>
              </w:tabs>
              <w:autoSpaceDE w:val="0"/>
              <w:autoSpaceDN w:val="0"/>
              <w:adjustRightInd w:val="0"/>
              <w:spacing w:after="0" w:line="320" w:lineRule="atLeast"/>
              <w:rPr>
                <w:rFonts w:ascii="Arial" w:hAnsi="Arial" w:cs="Arial"/>
                <w:lang w:val="en-GB"/>
              </w:rPr>
            </w:pPr>
            <w:r w:rsidRPr="00074CEB">
              <w:rPr>
                <w:rFonts w:ascii="Arial" w:hAnsi="Arial" w:cs="Arial"/>
                <w:lang w:val="en-GB"/>
              </w:rPr>
              <w:t>-2.97</w:t>
            </w:r>
            <w:r w:rsidRPr="00074CEB">
              <w:rPr>
                <w:rFonts w:ascii="Arial" w:hAnsi="Arial" w:cs="Arial"/>
                <w:vertAlign w:val="superscript"/>
                <w:lang w:val="en-GB"/>
              </w:rPr>
              <w:t>**</w:t>
            </w:r>
          </w:p>
        </w:tc>
        <w:tc>
          <w:tcPr>
            <w:tcW w:w="449" w:type="pct"/>
            <w:tcBorders>
              <w:bottom w:val="single" w:sz="4" w:space="0" w:color="auto"/>
            </w:tcBorders>
            <w:vAlign w:val="center"/>
            <w:hideMark/>
          </w:tcPr>
          <w:p w14:paraId="0803E6A7" w14:textId="77777777" w:rsidR="00DC3CD1" w:rsidRPr="00074CEB" w:rsidRDefault="00DC3CD1" w:rsidP="00D16193">
            <w:pPr>
              <w:tabs>
                <w:tab w:val="decimal" w:pos="319"/>
              </w:tabs>
              <w:autoSpaceDE w:val="0"/>
              <w:autoSpaceDN w:val="0"/>
              <w:adjustRightInd w:val="0"/>
              <w:spacing w:after="0" w:line="320" w:lineRule="atLeast"/>
              <w:rPr>
                <w:rFonts w:ascii="Arial" w:hAnsi="Arial" w:cs="Arial"/>
                <w:lang w:val="en-GB"/>
              </w:rPr>
            </w:pPr>
            <w:r w:rsidRPr="00074CEB">
              <w:rPr>
                <w:rFonts w:ascii="Arial" w:hAnsi="Arial" w:cs="Arial"/>
                <w:lang w:val="en-GB"/>
              </w:rPr>
              <w:t>-.15</w:t>
            </w:r>
          </w:p>
        </w:tc>
        <w:tc>
          <w:tcPr>
            <w:tcW w:w="988" w:type="pct"/>
            <w:tcBorders>
              <w:bottom w:val="single" w:sz="4" w:space="0" w:color="auto"/>
            </w:tcBorders>
            <w:vAlign w:val="center"/>
          </w:tcPr>
          <w:p w14:paraId="18B44693" w14:textId="77777777" w:rsidR="00DC3CD1" w:rsidRPr="00074CEB" w:rsidRDefault="00DC3CD1" w:rsidP="00D16193">
            <w:pPr>
              <w:autoSpaceDE w:val="0"/>
              <w:autoSpaceDN w:val="0"/>
              <w:adjustRightInd w:val="0"/>
              <w:spacing w:after="0" w:line="320" w:lineRule="atLeast"/>
              <w:jc w:val="center"/>
              <w:rPr>
                <w:rFonts w:ascii="Arial" w:hAnsi="Arial" w:cs="Arial"/>
                <w:color w:val="000000"/>
                <w:lang w:val="en-GB"/>
              </w:rPr>
            </w:pPr>
            <w:r w:rsidRPr="00074CEB">
              <w:rPr>
                <w:rFonts w:ascii="Arial" w:hAnsi="Arial" w:cs="Arial"/>
                <w:lang w:val="en-GB"/>
              </w:rPr>
              <w:t>.02</w:t>
            </w:r>
          </w:p>
        </w:tc>
      </w:tr>
    </w:tbl>
    <w:p w14:paraId="5578D338" w14:textId="77777777" w:rsidR="00283533" w:rsidRPr="00DC3CD1" w:rsidRDefault="00283533" w:rsidP="00AF0E51">
      <w:pPr>
        <w:spacing w:after="0" w:line="240" w:lineRule="auto"/>
        <w:ind w:right="-123"/>
        <w:jc w:val="both"/>
        <w:rPr>
          <w:rFonts w:ascii="Arial" w:hAnsi="Arial" w:cs="Arial"/>
          <w:sz w:val="20"/>
        </w:rPr>
      </w:pPr>
      <w:r w:rsidRPr="00023FD4">
        <w:rPr>
          <w:rFonts w:ascii="Arial" w:hAnsi="Arial" w:cs="Arial"/>
          <w:i/>
          <w:sz w:val="20"/>
        </w:rPr>
        <w:t>No</w:t>
      </w:r>
      <w:r w:rsidR="00D21AC9" w:rsidRPr="00023FD4">
        <w:rPr>
          <w:rFonts w:ascii="Arial" w:hAnsi="Arial" w:cs="Arial"/>
          <w:i/>
          <w:sz w:val="20"/>
        </w:rPr>
        <w:t>o</w:t>
      </w:r>
      <w:r w:rsidRPr="00023FD4">
        <w:rPr>
          <w:rFonts w:ascii="Arial" w:hAnsi="Arial" w:cs="Arial"/>
          <w:i/>
          <w:sz w:val="20"/>
        </w:rPr>
        <w:t>t. B</w:t>
      </w:r>
      <w:r w:rsidRPr="00023FD4">
        <w:rPr>
          <w:rFonts w:ascii="Arial" w:hAnsi="Arial" w:cs="Arial"/>
          <w:sz w:val="20"/>
        </w:rPr>
        <w:t xml:space="preserve"> = unstandardized regression coefficient; </w:t>
      </w:r>
      <w:r w:rsidRPr="00023FD4">
        <w:rPr>
          <w:rFonts w:ascii="Arial" w:hAnsi="Arial" w:cs="Arial"/>
          <w:sz w:val="20"/>
          <w:lang w:val="en-GB"/>
        </w:rPr>
        <w:t>β</w:t>
      </w:r>
      <w:r w:rsidRPr="00023FD4">
        <w:rPr>
          <w:rFonts w:ascii="Arial" w:hAnsi="Arial" w:cs="Arial"/>
          <w:sz w:val="20"/>
        </w:rPr>
        <w:t xml:space="preserve"> = standardized regression coefficient; Cluster 1 = </w:t>
      </w:r>
      <w:r w:rsidR="00D21AC9" w:rsidRPr="00023FD4">
        <w:rPr>
          <w:rFonts w:ascii="Arial" w:hAnsi="Arial" w:cs="Arial"/>
          <w:sz w:val="20"/>
        </w:rPr>
        <w:t>t</w:t>
      </w:r>
      <w:r w:rsidRPr="00023FD4">
        <w:rPr>
          <w:rFonts w:ascii="Arial" w:hAnsi="Arial" w:cs="Arial"/>
          <w:sz w:val="20"/>
        </w:rPr>
        <w:t>ypi</w:t>
      </w:r>
      <w:r w:rsidR="00D21AC9" w:rsidRPr="00023FD4">
        <w:rPr>
          <w:rFonts w:ascii="Arial" w:hAnsi="Arial" w:cs="Arial"/>
          <w:sz w:val="20"/>
        </w:rPr>
        <w:t>s</w:t>
      </w:r>
      <w:r w:rsidRPr="00023FD4">
        <w:rPr>
          <w:rFonts w:ascii="Arial" w:hAnsi="Arial" w:cs="Arial"/>
          <w:sz w:val="20"/>
        </w:rPr>
        <w:t>c</w:t>
      </w:r>
      <w:r w:rsidR="00D21AC9" w:rsidRPr="00023FD4">
        <w:rPr>
          <w:rFonts w:ascii="Arial" w:hAnsi="Arial" w:cs="Arial"/>
          <w:sz w:val="20"/>
        </w:rPr>
        <w:t>h ontwikkelende kinderen</w:t>
      </w:r>
      <w:r w:rsidRPr="00023FD4">
        <w:rPr>
          <w:rFonts w:ascii="Arial" w:hAnsi="Arial" w:cs="Arial"/>
          <w:sz w:val="20"/>
        </w:rPr>
        <w:t>; Cluster 2 = semanti</w:t>
      </w:r>
      <w:r w:rsidR="00D21AC9" w:rsidRPr="00023FD4">
        <w:rPr>
          <w:rFonts w:ascii="Arial" w:hAnsi="Arial" w:cs="Arial"/>
          <w:sz w:val="20"/>
        </w:rPr>
        <w:t>s</w:t>
      </w:r>
      <w:r w:rsidRPr="00023FD4">
        <w:rPr>
          <w:rFonts w:ascii="Arial" w:hAnsi="Arial" w:cs="Arial"/>
          <w:sz w:val="20"/>
        </w:rPr>
        <w:t>c</w:t>
      </w:r>
      <w:r w:rsidR="00D21AC9" w:rsidRPr="00023FD4">
        <w:rPr>
          <w:rFonts w:ascii="Arial" w:hAnsi="Arial" w:cs="Arial"/>
          <w:sz w:val="20"/>
        </w:rPr>
        <w:t>he geheugen problemen</w:t>
      </w:r>
      <w:r w:rsidRPr="00023FD4">
        <w:rPr>
          <w:rFonts w:ascii="Arial" w:hAnsi="Arial" w:cs="Arial"/>
          <w:sz w:val="20"/>
        </w:rPr>
        <w:t>; Cluster 3 = procedur</w:t>
      </w:r>
      <w:r w:rsidR="00D21AC9" w:rsidRPr="00023FD4">
        <w:rPr>
          <w:rFonts w:ascii="Arial" w:hAnsi="Arial" w:cs="Arial"/>
          <w:sz w:val="20"/>
        </w:rPr>
        <w:t>ele rekenstoornis</w:t>
      </w:r>
      <w:r w:rsidR="00DC3CD1">
        <w:rPr>
          <w:rFonts w:ascii="Arial" w:hAnsi="Arial" w:cs="Arial"/>
          <w:sz w:val="20"/>
        </w:rPr>
        <w:t xml:space="preserve"> </w:t>
      </w:r>
      <w:r w:rsidRPr="00DC3CD1">
        <w:rPr>
          <w:rFonts w:ascii="Arial" w:hAnsi="Arial" w:cs="Arial"/>
          <w:sz w:val="20"/>
          <w:vertAlign w:val="superscript"/>
        </w:rPr>
        <w:t>*</w:t>
      </w:r>
      <w:r w:rsidRPr="00DC3CD1">
        <w:rPr>
          <w:rFonts w:ascii="Arial" w:hAnsi="Arial" w:cs="Arial"/>
          <w:i/>
          <w:sz w:val="20"/>
        </w:rPr>
        <w:t>p</w:t>
      </w:r>
      <w:r w:rsidRPr="00DC3CD1">
        <w:rPr>
          <w:rFonts w:ascii="Arial" w:hAnsi="Arial" w:cs="Arial"/>
          <w:sz w:val="20"/>
        </w:rPr>
        <w:t xml:space="preserve"> ≤ .05. </w:t>
      </w:r>
      <w:r w:rsidRPr="00DC3CD1">
        <w:rPr>
          <w:rFonts w:ascii="Arial" w:hAnsi="Arial" w:cs="Arial"/>
          <w:sz w:val="20"/>
          <w:vertAlign w:val="superscript"/>
        </w:rPr>
        <w:t xml:space="preserve">** </w:t>
      </w:r>
      <w:r w:rsidRPr="00DC3CD1">
        <w:rPr>
          <w:rFonts w:ascii="Arial" w:hAnsi="Arial" w:cs="Arial"/>
          <w:i/>
          <w:sz w:val="20"/>
        </w:rPr>
        <w:t>p</w:t>
      </w:r>
      <w:r w:rsidRPr="00DC3CD1">
        <w:rPr>
          <w:rFonts w:ascii="Arial" w:hAnsi="Arial" w:cs="Arial"/>
          <w:sz w:val="20"/>
        </w:rPr>
        <w:t xml:space="preserve"> &lt; .01. </w:t>
      </w:r>
      <w:r w:rsidRPr="00DC3CD1">
        <w:rPr>
          <w:rFonts w:ascii="Arial" w:hAnsi="Arial" w:cs="Arial"/>
          <w:sz w:val="20"/>
          <w:vertAlign w:val="superscript"/>
        </w:rPr>
        <w:t>***</w:t>
      </w:r>
      <w:r w:rsidRPr="00DC3CD1">
        <w:rPr>
          <w:rFonts w:ascii="Arial" w:hAnsi="Arial" w:cs="Arial"/>
          <w:sz w:val="20"/>
        </w:rPr>
        <w:t xml:space="preserve"> </w:t>
      </w:r>
      <w:r w:rsidRPr="00DC3CD1">
        <w:rPr>
          <w:rFonts w:ascii="Arial" w:hAnsi="Arial" w:cs="Arial"/>
          <w:i/>
          <w:sz w:val="20"/>
        </w:rPr>
        <w:t xml:space="preserve">p </w:t>
      </w:r>
      <w:r w:rsidRPr="00DC3CD1">
        <w:rPr>
          <w:rFonts w:ascii="Arial" w:hAnsi="Arial" w:cs="Arial"/>
          <w:sz w:val="20"/>
        </w:rPr>
        <w:t>&lt; .001.</w:t>
      </w:r>
      <w:r w:rsidRPr="00023FD4">
        <w:rPr>
          <w:rFonts w:ascii="Arial" w:hAnsi="Arial" w:cs="Arial"/>
          <w:sz w:val="20"/>
          <w:lang w:val="en-GB"/>
        </w:rPr>
        <w:fldChar w:fldCharType="begin"/>
      </w:r>
      <w:r w:rsidRPr="00DC3CD1">
        <w:rPr>
          <w:rFonts w:ascii="Arial" w:hAnsi="Arial" w:cs="Arial"/>
          <w:sz w:val="20"/>
        </w:rPr>
        <w:instrText xml:space="preserve"> ADDIN </w:instrText>
      </w:r>
      <w:r w:rsidRPr="00023FD4">
        <w:rPr>
          <w:rFonts w:ascii="Arial" w:hAnsi="Arial" w:cs="Arial"/>
          <w:sz w:val="20"/>
          <w:lang w:val="en-GB"/>
        </w:rPr>
        <w:fldChar w:fldCharType="end"/>
      </w:r>
    </w:p>
    <w:p w14:paraId="174BF811" w14:textId="77777777" w:rsidR="00283533" w:rsidRPr="00DC3CD1" w:rsidRDefault="00283533" w:rsidP="008308A7">
      <w:pPr>
        <w:spacing w:after="0" w:line="240" w:lineRule="auto"/>
        <w:rPr>
          <w:rFonts w:ascii="Arial" w:hAnsi="Arial" w:cs="Arial"/>
        </w:rPr>
      </w:pPr>
    </w:p>
    <w:p w14:paraId="58786D28" w14:textId="77777777" w:rsidR="00283533" w:rsidRPr="00DC3CD1" w:rsidRDefault="00283533" w:rsidP="008308A7">
      <w:pPr>
        <w:spacing w:after="0" w:line="240" w:lineRule="auto"/>
        <w:rPr>
          <w:rFonts w:ascii="Arial" w:hAnsi="Arial" w:cs="Arial"/>
        </w:rPr>
      </w:pPr>
    </w:p>
    <w:p w14:paraId="0FCFE378" w14:textId="4BE7AB2F" w:rsidR="00B0777D" w:rsidRDefault="00C12225" w:rsidP="00B0777D">
      <w:pPr>
        <w:spacing w:after="0" w:line="240" w:lineRule="auto"/>
        <w:rPr>
          <w:rFonts w:ascii="Arial" w:hAnsi="Arial" w:cs="Arial"/>
        </w:rPr>
      </w:pPr>
      <w:r>
        <w:rPr>
          <w:rFonts w:ascii="Arial" w:hAnsi="Arial" w:cs="Arial"/>
        </w:rPr>
        <w:t>Tenslotte kan o</w:t>
      </w:r>
      <w:r w:rsidR="00733FF7">
        <w:rPr>
          <w:rFonts w:ascii="Arial" w:hAnsi="Arial" w:cs="Arial"/>
        </w:rPr>
        <w:t xml:space="preserve">ok het </w:t>
      </w:r>
      <w:r w:rsidR="0096381F" w:rsidRPr="0096381F">
        <w:rPr>
          <w:rFonts w:ascii="Arial" w:hAnsi="Arial" w:cs="Arial"/>
          <w:b/>
        </w:rPr>
        <w:t>tekst</w:t>
      </w:r>
      <w:r w:rsidR="00733FF7" w:rsidRPr="0096381F">
        <w:rPr>
          <w:rFonts w:ascii="Arial" w:hAnsi="Arial" w:cs="Arial"/>
          <w:b/>
        </w:rPr>
        <w:t>lezen</w:t>
      </w:r>
      <w:r w:rsidR="00733FF7" w:rsidRPr="004E2663">
        <w:rPr>
          <w:rFonts w:ascii="Arial" w:hAnsi="Arial" w:cs="Arial"/>
        </w:rPr>
        <w:t xml:space="preserve"> </w:t>
      </w:r>
      <w:r w:rsidR="00733FF7">
        <w:rPr>
          <w:rFonts w:ascii="Arial" w:hAnsi="Arial" w:cs="Arial"/>
        </w:rPr>
        <w:t>een meerwaarde bieden.</w:t>
      </w:r>
      <w:r w:rsidR="00B0777D">
        <w:rPr>
          <w:rFonts w:ascii="Arial" w:hAnsi="Arial" w:cs="Arial"/>
        </w:rPr>
        <w:t xml:space="preserve"> </w:t>
      </w:r>
      <w:r w:rsidR="008B08F0">
        <w:rPr>
          <w:rFonts w:ascii="Arial" w:hAnsi="Arial" w:cs="Arial"/>
        </w:rPr>
        <w:t xml:space="preserve">Het is echter jammer dat logopedisten in hun </w:t>
      </w:r>
      <w:r w:rsidR="00FF6635">
        <w:rPr>
          <w:rFonts w:ascii="Arial" w:hAnsi="Arial" w:cs="Arial"/>
        </w:rPr>
        <w:t xml:space="preserve">verslaggeving </w:t>
      </w:r>
      <w:r w:rsidR="00B0777D" w:rsidRPr="00B0777D">
        <w:rPr>
          <w:rFonts w:ascii="Arial" w:hAnsi="Arial" w:cs="Arial"/>
        </w:rPr>
        <w:t xml:space="preserve">nog </w:t>
      </w:r>
      <w:r w:rsidR="008B08F0">
        <w:rPr>
          <w:rFonts w:ascii="Arial" w:hAnsi="Arial" w:cs="Arial"/>
        </w:rPr>
        <w:t xml:space="preserve">moeten spreken van </w:t>
      </w:r>
      <w:r w:rsidR="0096381F" w:rsidRPr="00B0777D">
        <w:rPr>
          <w:rFonts w:ascii="Arial" w:hAnsi="Arial" w:cs="Arial"/>
        </w:rPr>
        <w:t xml:space="preserve"> AVI1 tot AVI9 (gebaseerd op Boonen, zie limitatieve lijst), terwijl men in het onderwijs </w:t>
      </w:r>
      <w:r w:rsidR="00B0777D" w:rsidRPr="00B0777D">
        <w:rPr>
          <w:rFonts w:ascii="Arial" w:hAnsi="Arial" w:cs="Arial"/>
        </w:rPr>
        <w:t xml:space="preserve">al enige tijd </w:t>
      </w:r>
      <w:r w:rsidR="0096381F" w:rsidRPr="00B0777D">
        <w:rPr>
          <w:rFonts w:ascii="Arial" w:hAnsi="Arial" w:cs="Arial"/>
        </w:rPr>
        <w:t>de CITO begrippen (E3…) hanteert</w:t>
      </w:r>
      <w:r w:rsidR="00480EB0">
        <w:rPr>
          <w:rFonts w:ascii="Arial" w:hAnsi="Arial" w:cs="Arial"/>
        </w:rPr>
        <w:t xml:space="preserve"> (zie ook Leysen et al., 2017)</w:t>
      </w:r>
      <w:r w:rsidR="0096381F" w:rsidRPr="00B0777D">
        <w:rPr>
          <w:rFonts w:ascii="Arial" w:hAnsi="Arial" w:cs="Arial"/>
        </w:rPr>
        <w:t xml:space="preserve">. </w:t>
      </w:r>
      <w:r w:rsidR="00FF6635">
        <w:rPr>
          <w:rFonts w:ascii="Arial" w:hAnsi="Arial" w:cs="Arial"/>
        </w:rPr>
        <w:t xml:space="preserve">Er is ondertussen ook een </w:t>
      </w:r>
      <w:r w:rsidR="00B0777D" w:rsidRPr="00B0777D">
        <w:rPr>
          <w:rFonts w:ascii="Arial" w:hAnsi="Arial" w:cs="Arial"/>
        </w:rPr>
        <w:t xml:space="preserve"> Vlaamse normering AVI en DMT (onderzoek 2017): </w:t>
      </w:r>
    </w:p>
    <w:p w14:paraId="653D8CD4" w14:textId="77777777" w:rsidR="00480EB0" w:rsidRDefault="00480EB0" w:rsidP="00B0777D">
      <w:pPr>
        <w:spacing w:after="0" w:line="240" w:lineRule="auto"/>
        <w:rPr>
          <w:rFonts w:ascii="Arial" w:hAnsi="Arial" w:cs="Arial"/>
        </w:rPr>
      </w:pPr>
    </w:p>
    <w:p w14:paraId="1F006E3A" w14:textId="0CE6DD99" w:rsidR="008308A7" w:rsidRPr="00B0777D" w:rsidRDefault="00DF3D3B" w:rsidP="00B0777D">
      <w:pPr>
        <w:spacing w:after="0" w:line="240" w:lineRule="auto"/>
        <w:rPr>
          <w:rFonts w:ascii="Arial" w:hAnsi="Arial" w:cs="Arial"/>
        </w:rPr>
      </w:pPr>
      <w:hyperlink r:id="rId18" w:history="1">
        <w:r w:rsidR="00B0777D" w:rsidRPr="00B0777D">
          <w:rPr>
            <w:rStyle w:val="Hyperlink"/>
            <w:rFonts w:ascii="Arial" w:hAnsi="Arial" w:cs="Arial"/>
            <w:color w:val="auto"/>
            <w:u w:val="none"/>
          </w:rPr>
          <w:t>https://www.expertise-logopedie-audiologie.be/downloads---taal-en-leren/?fbclid=IwAR3zR135zAKagLBC3CgS4jgAvxaaO8Y9efE9Wpe3Apr2RTIyCK74alMyajM</w:t>
        </w:r>
      </w:hyperlink>
    </w:p>
    <w:p w14:paraId="43DCFF46" w14:textId="77777777" w:rsidR="00B0777D" w:rsidRDefault="00B0777D" w:rsidP="008308A7">
      <w:pPr>
        <w:spacing w:after="0" w:line="240" w:lineRule="auto"/>
        <w:rPr>
          <w:rFonts w:ascii="Arial" w:hAnsi="Arial" w:cs="Arial"/>
        </w:rPr>
      </w:pPr>
    </w:p>
    <w:p w14:paraId="6E91609D" w14:textId="3AB6ACBA" w:rsidR="00ED6D88" w:rsidRPr="00B0777D" w:rsidRDefault="00B0777D" w:rsidP="008308A7">
      <w:pPr>
        <w:spacing w:after="0" w:line="240" w:lineRule="auto"/>
        <w:rPr>
          <w:rFonts w:ascii="Arial" w:hAnsi="Arial" w:cs="Arial"/>
        </w:rPr>
      </w:pPr>
      <w:r w:rsidRPr="00B0777D">
        <w:rPr>
          <w:rFonts w:ascii="Arial" w:hAnsi="Arial" w:cs="Arial"/>
        </w:rPr>
        <w:t xml:space="preserve">Zolang die </w:t>
      </w:r>
      <w:r w:rsidR="008B08F0">
        <w:rPr>
          <w:rFonts w:ascii="Arial" w:hAnsi="Arial" w:cs="Arial"/>
        </w:rPr>
        <w:t xml:space="preserve">normen echter </w:t>
      </w:r>
      <w:r w:rsidRPr="00B0777D">
        <w:rPr>
          <w:rFonts w:ascii="Arial" w:hAnsi="Arial" w:cs="Arial"/>
        </w:rPr>
        <w:t>niet op de limitatieve lijst komen, kan men ze jammer genoeg niet gebruiken in een aanvangsbilan</w:t>
      </w:r>
      <w:r w:rsidR="008B08F0">
        <w:rPr>
          <w:rFonts w:ascii="Arial" w:hAnsi="Arial" w:cs="Arial"/>
        </w:rPr>
        <w:t xml:space="preserve"> in een privépraktijk</w:t>
      </w:r>
      <w:r w:rsidRPr="00B0777D">
        <w:rPr>
          <w:rFonts w:ascii="Arial" w:hAnsi="Arial" w:cs="Arial"/>
        </w:rPr>
        <w:t xml:space="preserve"> </w:t>
      </w:r>
      <w:r>
        <w:rPr>
          <w:rFonts w:ascii="Arial" w:hAnsi="Arial" w:cs="Arial"/>
        </w:rPr>
        <w:t>.</w:t>
      </w:r>
    </w:p>
    <w:p w14:paraId="32A96092" w14:textId="77777777" w:rsidR="00B0777D" w:rsidRDefault="00B0777D" w:rsidP="008308A7">
      <w:pPr>
        <w:spacing w:after="0" w:line="240" w:lineRule="auto"/>
        <w:rPr>
          <w:rFonts w:ascii="Arial" w:hAnsi="Arial" w:cs="Arial"/>
        </w:rPr>
      </w:pPr>
    </w:p>
    <w:p w14:paraId="5A34540E" w14:textId="77777777" w:rsidR="00A4567D" w:rsidRDefault="00E274E4" w:rsidP="008E2A43">
      <w:pPr>
        <w:spacing w:after="0" w:line="240" w:lineRule="auto"/>
        <w:rPr>
          <w:rFonts w:ascii="Arial" w:hAnsi="Arial" w:cs="Arial"/>
        </w:rPr>
      </w:pPr>
      <w:r>
        <w:rPr>
          <w:rFonts w:ascii="Arial" w:hAnsi="Arial" w:cs="Arial"/>
        </w:rPr>
        <w:t xml:space="preserve">3.4.2. Diagnostiek van het spellen </w:t>
      </w:r>
    </w:p>
    <w:p w14:paraId="3D3C354E" w14:textId="4B3B0582" w:rsidR="003753F6" w:rsidRDefault="00A4567D" w:rsidP="00A4567D">
      <w:pPr>
        <w:spacing w:after="0" w:line="240" w:lineRule="auto"/>
        <w:rPr>
          <w:rFonts w:ascii="Arial" w:hAnsi="Arial" w:cs="Arial"/>
        </w:rPr>
      </w:pPr>
      <w:r>
        <w:rPr>
          <w:rFonts w:ascii="Arial" w:hAnsi="Arial" w:cs="Arial"/>
        </w:rPr>
        <w:t xml:space="preserve">Het is </w:t>
      </w:r>
      <w:r w:rsidR="008E2A43" w:rsidRPr="008E2A43">
        <w:rPr>
          <w:rFonts w:ascii="Arial" w:hAnsi="Arial" w:cs="Arial"/>
        </w:rPr>
        <w:t xml:space="preserve">belangrijk om </w:t>
      </w:r>
      <w:r>
        <w:rPr>
          <w:rFonts w:ascii="Arial" w:hAnsi="Arial" w:cs="Arial"/>
        </w:rPr>
        <w:t xml:space="preserve">bij een vermoeden van dyslexie </w:t>
      </w:r>
      <w:r w:rsidR="008E2A43" w:rsidRPr="008E2A43">
        <w:rPr>
          <w:rFonts w:ascii="Arial" w:hAnsi="Arial" w:cs="Arial"/>
        </w:rPr>
        <w:t xml:space="preserve">ook </w:t>
      </w:r>
      <w:r w:rsidR="008E2A43" w:rsidRPr="001A4359">
        <w:rPr>
          <w:rFonts w:ascii="Arial" w:hAnsi="Arial" w:cs="Arial"/>
        </w:rPr>
        <w:t>spell</w:t>
      </w:r>
      <w:r w:rsidR="00D930CF">
        <w:rPr>
          <w:rFonts w:ascii="Arial" w:hAnsi="Arial" w:cs="Arial"/>
        </w:rPr>
        <w:t>i</w:t>
      </w:r>
      <w:r w:rsidR="008E2A43" w:rsidRPr="001A4359">
        <w:rPr>
          <w:rFonts w:ascii="Arial" w:hAnsi="Arial" w:cs="Arial"/>
        </w:rPr>
        <w:t>n</w:t>
      </w:r>
      <w:r w:rsidR="008B08F0">
        <w:rPr>
          <w:rFonts w:ascii="Arial" w:hAnsi="Arial" w:cs="Arial"/>
        </w:rPr>
        <w:t>g</w:t>
      </w:r>
      <w:r w:rsidR="008E2A43" w:rsidRPr="00A4567D">
        <w:rPr>
          <w:rFonts w:ascii="Arial" w:hAnsi="Arial" w:cs="Arial"/>
          <w:b/>
        </w:rPr>
        <w:t xml:space="preserve"> </w:t>
      </w:r>
      <w:r w:rsidR="008E2A43" w:rsidRPr="008E2A43">
        <w:rPr>
          <w:rFonts w:ascii="Arial" w:hAnsi="Arial" w:cs="Arial"/>
        </w:rPr>
        <w:t xml:space="preserve">te onderzoeken. </w:t>
      </w:r>
      <w:r w:rsidR="001A4359">
        <w:rPr>
          <w:rFonts w:ascii="Arial" w:hAnsi="Arial" w:cs="Arial"/>
        </w:rPr>
        <w:t xml:space="preserve">Het RIZIV spreekt van ‘dysorthografie’ als </w:t>
      </w:r>
      <w:r w:rsidR="00D930CF">
        <w:rPr>
          <w:rFonts w:ascii="Arial" w:hAnsi="Arial" w:cs="Arial"/>
        </w:rPr>
        <w:t>een individu uitvalt op spelling</w:t>
      </w:r>
      <w:r w:rsidR="001A4359">
        <w:rPr>
          <w:rFonts w:ascii="Arial" w:hAnsi="Arial" w:cs="Arial"/>
        </w:rPr>
        <w:t xml:space="preserve">. </w:t>
      </w:r>
    </w:p>
    <w:p w14:paraId="324F3594" w14:textId="77777777" w:rsidR="003753F6" w:rsidRDefault="003753F6" w:rsidP="00A4567D">
      <w:pPr>
        <w:spacing w:after="0" w:line="240" w:lineRule="auto"/>
        <w:rPr>
          <w:rFonts w:ascii="Arial" w:hAnsi="Arial" w:cs="Arial"/>
        </w:rPr>
      </w:pPr>
    </w:p>
    <w:p w14:paraId="0C646F8F" w14:textId="6C806431" w:rsidR="008B08F0" w:rsidRDefault="008B08F0" w:rsidP="00A4567D">
      <w:pPr>
        <w:spacing w:after="0" w:line="240" w:lineRule="auto"/>
        <w:rPr>
          <w:rFonts w:ascii="Arial" w:hAnsi="Arial" w:cs="Arial"/>
        </w:rPr>
      </w:pPr>
      <w:r>
        <w:rPr>
          <w:rFonts w:ascii="Arial" w:hAnsi="Arial" w:cs="Arial"/>
        </w:rPr>
        <w:t>Ghesquière en Hellinckx (2018) stellen</w:t>
      </w:r>
      <w:r w:rsidR="003753F6">
        <w:rPr>
          <w:rFonts w:ascii="Arial" w:hAnsi="Arial" w:cs="Arial"/>
        </w:rPr>
        <w:t xml:space="preserve"> </w:t>
      </w:r>
      <w:r>
        <w:rPr>
          <w:rFonts w:ascii="Arial" w:hAnsi="Arial" w:cs="Arial"/>
        </w:rPr>
        <w:t>…”Dysorthografie is de term die we vroeger gebruikten voor een stoornis bij het leren spellen. Die stoornis komt echter weinig afzonderlijk voor en gaat meestal samen met een ernstige leesstoornis. De meest</w:t>
      </w:r>
      <w:r w:rsidR="003772CC">
        <w:rPr>
          <w:rFonts w:ascii="Arial" w:hAnsi="Arial" w:cs="Arial"/>
        </w:rPr>
        <w:t>e</w:t>
      </w:r>
      <w:r>
        <w:rPr>
          <w:rFonts w:ascii="Arial" w:hAnsi="Arial" w:cs="Arial"/>
        </w:rPr>
        <w:t xml:space="preserve"> kinderen met een leesstoornis ondervinden ook problemen bij het spellen. Daarom gebruiken we de term ‘dyslexie’ voor de beide problemen of een combinatie ervan</w:t>
      </w:r>
      <w:r w:rsidR="003753F6">
        <w:rPr>
          <w:rFonts w:ascii="Arial" w:hAnsi="Arial" w:cs="Arial"/>
        </w:rPr>
        <w:t>….” (blz 22)</w:t>
      </w:r>
      <w:r>
        <w:rPr>
          <w:rFonts w:ascii="Arial" w:hAnsi="Arial" w:cs="Arial"/>
        </w:rPr>
        <w:t xml:space="preserve"> </w:t>
      </w:r>
    </w:p>
    <w:p w14:paraId="3CF50C1C" w14:textId="77777777" w:rsidR="003753F6" w:rsidRDefault="003753F6" w:rsidP="00A4567D">
      <w:pPr>
        <w:spacing w:after="0" w:line="240" w:lineRule="auto"/>
        <w:rPr>
          <w:rFonts w:ascii="Arial" w:hAnsi="Arial" w:cs="Arial"/>
        </w:rPr>
      </w:pPr>
    </w:p>
    <w:p w14:paraId="1F181DC7" w14:textId="77777777" w:rsidR="00A4567D" w:rsidRDefault="001A4359" w:rsidP="00A4567D">
      <w:pPr>
        <w:spacing w:after="0" w:line="240" w:lineRule="auto"/>
        <w:rPr>
          <w:rFonts w:ascii="Arial" w:hAnsi="Arial" w:cs="Arial"/>
        </w:rPr>
      </w:pPr>
      <w:r>
        <w:rPr>
          <w:rFonts w:ascii="Arial" w:hAnsi="Arial" w:cs="Arial"/>
        </w:rPr>
        <w:t xml:space="preserve">Het belang van spellingonderzoek bij dyslexie </w:t>
      </w:r>
      <w:r w:rsidR="008E2A43" w:rsidRPr="008E2A43">
        <w:rPr>
          <w:rFonts w:ascii="Arial" w:hAnsi="Arial" w:cs="Arial"/>
        </w:rPr>
        <w:t>werd bevestigd in een Vlaams onderzoek (Van Vreckem, 2014; Van Vreckem &amp; Desoete, 2015) bij 60  kinderen met dyslexie, waarvan 50 kinderen (83%) ook klinisch scoorden voor het spellen van bestaande woorden ondanks intensieve behandeling. Slechts d</w:t>
      </w:r>
      <w:r w:rsidR="008E2A43" w:rsidRPr="008E2A43">
        <w:rPr>
          <w:rFonts w:ascii="Arial" w:eastAsiaTheme="minorEastAsia" w:hAnsi="Arial" w:cs="Arial"/>
          <w:color w:val="000000" w:themeColor="text1"/>
          <w:kern w:val="24"/>
          <w:lang w:eastAsia="nl-BE"/>
        </w:rPr>
        <w:t xml:space="preserve">rie kinderen (5%) uit deze groep van kinderen met dyslexie scoorden leeftijdsadequaat op vlak van spelling. </w:t>
      </w:r>
      <w:r w:rsidR="008E2A43" w:rsidRPr="008E2A43">
        <w:rPr>
          <w:rFonts w:ascii="Arial" w:hAnsi="Arial" w:cs="Arial"/>
        </w:rPr>
        <w:t xml:space="preserve"> De aard van de spellingsproblemen </w:t>
      </w:r>
      <w:r w:rsidR="008E2A43" w:rsidRPr="00A4567D">
        <w:rPr>
          <w:rFonts w:ascii="Arial" w:hAnsi="Arial" w:cs="Arial"/>
        </w:rPr>
        <w:t xml:space="preserve">bleek echter uiteenlopend. Van die 50 kinderen hadden 15 kinderen klinische scores voor de spelling van bestaande woorden en pseudowoorden, terwijl 21 kinderen (42%) </w:t>
      </w:r>
      <w:r w:rsidR="008E2A43" w:rsidRPr="00A4567D">
        <w:rPr>
          <w:rFonts w:ascii="Arial" w:hAnsi="Arial" w:cs="Arial"/>
        </w:rPr>
        <w:lastRenderedPageBreak/>
        <w:t xml:space="preserve">pseudowoorden vlot konden spellen, maar klinische scores hadden voor het spellen van bestaande woorden (Van Vreckem, 2014; Van Vreckem &amp; Desoete, 2015; 2018b). </w:t>
      </w:r>
    </w:p>
    <w:p w14:paraId="7B3B143C" w14:textId="77777777" w:rsidR="00A4567D" w:rsidRDefault="00A4567D" w:rsidP="00A4567D">
      <w:pPr>
        <w:spacing w:after="0" w:line="240" w:lineRule="auto"/>
        <w:rPr>
          <w:rFonts w:ascii="Arial" w:hAnsi="Arial" w:cs="Arial"/>
        </w:rPr>
      </w:pPr>
    </w:p>
    <w:p w14:paraId="248443CD" w14:textId="1490AD21" w:rsidR="008E2A43" w:rsidRPr="00BE6744" w:rsidRDefault="00A4567D" w:rsidP="00A4567D">
      <w:pPr>
        <w:spacing w:after="0" w:line="240" w:lineRule="auto"/>
        <w:rPr>
          <w:rFonts w:ascii="Arial" w:hAnsi="Arial" w:cs="Arial"/>
        </w:rPr>
      </w:pPr>
      <w:r w:rsidRPr="00A4567D">
        <w:rPr>
          <w:rFonts w:ascii="Arial" w:hAnsi="Arial" w:cs="Arial"/>
        </w:rPr>
        <w:t>Ook bij dyscalculie is onderzoek van spell</w:t>
      </w:r>
      <w:r w:rsidR="00D930CF">
        <w:rPr>
          <w:rFonts w:ascii="Arial" w:hAnsi="Arial" w:cs="Arial"/>
        </w:rPr>
        <w:t>ing</w:t>
      </w:r>
      <w:r w:rsidRPr="00A4567D">
        <w:rPr>
          <w:rFonts w:ascii="Arial" w:hAnsi="Arial" w:cs="Arial"/>
        </w:rPr>
        <w:t xml:space="preserve"> van belang. </w:t>
      </w:r>
      <w:r w:rsidR="008E2A43" w:rsidRPr="00A4567D">
        <w:rPr>
          <w:rFonts w:ascii="Arial" w:hAnsi="Arial" w:cs="Arial"/>
        </w:rPr>
        <w:t xml:space="preserve">Kinderen met procedurele dyscalculie </w:t>
      </w:r>
      <w:r w:rsidR="001A4359">
        <w:rPr>
          <w:rFonts w:ascii="Arial" w:hAnsi="Arial" w:cs="Arial"/>
        </w:rPr>
        <w:t>(cluster 3</w:t>
      </w:r>
      <w:r w:rsidR="00283533">
        <w:rPr>
          <w:rFonts w:ascii="Arial" w:hAnsi="Arial" w:cs="Arial"/>
        </w:rPr>
        <w:t xml:space="preserve"> – zie Figuur 4</w:t>
      </w:r>
      <w:r w:rsidR="001A4359">
        <w:rPr>
          <w:rFonts w:ascii="Arial" w:hAnsi="Arial" w:cs="Arial"/>
        </w:rPr>
        <w:t xml:space="preserve">) </w:t>
      </w:r>
      <w:r w:rsidR="008E2A43" w:rsidRPr="00A4567D">
        <w:rPr>
          <w:rFonts w:ascii="Arial" w:hAnsi="Arial" w:cs="Arial"/>
        </w:rPr>
        <w:t>vielen uit op hoofdrekenen en bewerkingen</w:t>
      </w:r>
      <w:r w:rsidR="00283533">
        <w:rPr>
          <w:rFonts w:ascii="Arial" w:hAnsi="Arial" w:cs="Arial"/>
        </w:rPr>
        <w:t xml:space="preserve">, </w:t>
      </w:r>
      <w:r w:rsidR="00023FD4">
        <w:rPr>
          <w:rFonts w:ascii="Arial" w:hAnsi="Arial" w:cs="Arial"/>
        </w:rPr>
        <w:t>het lezen van bestaande woorden (Tabel 1)</w:t>
      </w:r>
      <w:r w:rsidR="003772CC">
        <w:rPr>
          <w:rFonts w:ascii="Arial" w:hAnsi="Arial" w:cs="Arial"/>
        </w:rPr>
        <w:t>,</w:t>
      </w:r>
      <w:r w:rsidR="00023FD4">
        <w:rPr>
          <w:rFonts w:ascii="Arial" w:hAnsi="Arial" w:cs="Arial"/>
        </w:rPr>
        <w:t xml:space="preserve"> </w:t>
      </w:r>
      <w:r w:rsidR="00283533">
        <w:rPr>
          <w:rFonts w:ascii="Arial" w:hAnsi="Arial" w:cs="Arial"/>
        </w:rPr>
        <w:t xml:space="preserve">maar ook op </w:t>
      </w:r>
      <w:r w:rsidR="00BE6744" w:rsidRPr="00BE6744">
        <w:rPr>
          <w:rFonts w:ascii="Arial" w:hAnsi="Arial" w:cs="Arial"/>
        </w:rPr>
        <w:t>spelling</w:t>
      </w:r>
      <w:r w:rsidR="00BE6744">
        <w:rPr>
          <w:rFonts w:ascii="Arial" w:hAnsi="Arial" w:cs="Arial"/>
        </w:rPr>
        <w:t xml:space="preserve"> (</w:t>
      </w:r>
      <w:r w:rsidR="008E2A43" w:rsidRPr="00BE6744">
        <w:rPr>
          <w:rFonts w:ascii="Arial" w:hAnsi="Arial" w:cs="Arial"/>
        </w:rPr>
        <w:t>Pieters et al., 2013; Pieters et al., 2015). Spellingvaardigheden onderzoeken is dan ook aangewezen om het totale plaatje van sterktes en zwaktes te kennen.</w:t>
      </w:r>
    </w:p>
    <w:p w14:paraId="0129C8A6" w14:textId="77777777" w:rsidR="00D661F5" w:rsidRPr="00BE6744" w:rsidRDefault="00D661F5" w:rsidP="00A4567D">
      <w:pPr>
        <w:spacing w:after="0" w:line="240" w:lineRule="auto"/>
        <w:rPr>
          <w:rFonts w:ascii="Arial" w:hAnsi="Arial" w:cs="Arial"/>
        </w:rPr>
      </w:pPr>
    </w:p>
    <w:p w14:paraId="7EE5232D" w14:textId="33BE36D5" w:rsidR="003753F6" w:rsidRDefault="008308A7" w:rsidP="00E477AD">
      <w:pPr>
        <w:rPr>
          <w:rFonts w:ascii="Arial" w:eastAsia="Times New Roman" w:hAnsi="Arial" w:cs="Arial"/>
          <w:lang w:eastAsia="nl-BE"/>
        </w:rPr>
      </w:pPr>
      <w:r w:rsidRPr="00BE6744">
        <w:rPr>
          <w:rFonts w:ascii="Arial" w:hAnsi="Arial" w:cs="Arial"/>
        </w:rPr>
        <w:t>Spelling in de lagere school kan onderzocht worden met de Spellingstest voor kinderen van het 1</w:t>
      </w:r>
      <w:r w:rsidRPr="00BE6744">
        <w:rPr>
          <w:rFonts w:ascii="Arial" w:hAnsi="Arial" w:cs="Arial"/>
          <w:vertAlign w:val="superscript"/>
        </w:rPr>
        <w:t>ste</w:t>
      </w:r>
      <w:r w:rsidRPr="00BE6744">
        <w:rPr>
          <w:rFonts w:ascii="Arial" w:hAnsi="Arial" w:cs="Arial"/>
        </w:rPr>
        <w:t xml:space="preserve"> tot 6</w:t>
      </w:r>
      <w:r w:rsidRPr="00BE6744">
        <w:rPr>
          <w:rFonts w:ascii="Arial" w:hAnsi="Arial" w:cs="Arial"/>
          <w:vertAlign w:val="superscript"/>
        </w:rPr>
        <w:t>de</w:t>
      </w:r>
      <w:r w:rsidRPr="00BE6744">
        <w:rPr>
          <w:rFonts w:ascii="Arial" w:hAnsi="Arial" w:cs="Arial"/>
        </w:rPr>
        <w:t xml:space="preserve"> leerjaar (Van Vreckem &amp; Desoete, 2016). </w:t>
      </w:r>
      <w:r w:rsidR="003753F6" w:rsidRPr="00BE6744">
        <w:rPr>
          <w:rFonts w:ascii="Arial" w:eastAsia="Times New Roman" w:hAnsi="Arial" w:cs="Arial"/>
          <w:lang w:eastAsia="nl-BE"/>
        </w:rPr>
        <w:t xml:space="preserve">De ST test </w:t>
      </w:r>
      <w:r w:rsidR="003753F6">
        <w:rPr>
          <w:rFonts w:ascii="Arial" w:eastAsia="Times New Roman" w:hAnsi="Arial" w:cs="Arial"/>
          <w:bCs/>
          <w:lang w:eastAsia="nl-BE"/>
        </w:rPr>
        <w:t xml:space="preserve">is een </w:t>
      </w:r>
      <w:r w:rsidR="003753F6" w:rsidRPr="00E477AD">
        <w:rPr>
          <w:rFonts w:ascii="Arial" w:eastAsia="Times New Roman" w:hAnsi="Arial" w:cs="Arial"/>
          <w:bCs/>
          <w:lang w:eastAsia="nl-BE"/>
        </w:rPr>
        <w:t xml:space="preserve">Vlaamse </w:t>
      </w:r>
      <w:r w:rsidR="003753F6">
        <w:rPr>
          <w:rFonts w:ascii="Arial" w:eastAsia="Times New Roman" w:hAnsi="Arial" w:cs="Arial"/>
          <w:bCs/>
          <w:lang w:eastAsia="nl-BE"/>
        </w:rPr>
        <w:t xml:space="preserve">test. Er </w:t>
      </w:r>
      <w:r w:rsidR="003753F6" w:rsidRPr="00E477AD">
        <w:rPr>
          <w:rFonts w:ascii="Arial" w:eastAsia="Times New Roman" w:hAnsi="Arial" w:cs="Arial"/>
          <w:lang w:eastAsia="nl-BE"/>
        </w:rPr>
        <w:t xml:space="preserve">werd bij de woordkeuze rekening gehouden met de moeilijkheidsgraad van de woorden en met de frequentie van voorkomen van woorden in het spontaan schrijven van kinderen (Goessaert, 2004). </w:t>
      </w:r>
      <w:r w:rsidR="003753F6">
        <w:rPr>
          <w:rFonts w:ascii="Arial" w:eastAsia="Times New Roman" w:hAnsi="Arial" w:cs="Arial"/>
          <w:lang w:eastAsia="nl-BE"/>
        </w:rPr>
        <w:t xml:space="preserve">Het is jammer dat deze test momenteel als B-test op de limitatieve lijst staat, daar waar het eigenlijk om een A- of C-test zou moeten gaan.  </w:t>
      </w:r>
      <w:r w:rsidR="00E477AD" w:rsidRPr="00BE6744">
        <w:rPr>
          <w:rFonts w:ascii="Arial" w:eastAsia="Times New Roman" w:hAnsi="Arial" w:cs="Arial"/>
          <w:lang w:eastAsia="nl-BE"/>
        </w:rPr>
        <w:t>De</w:t>
      </w:r>
      <w:r w:rsidR="003753F6">
        <w:rPr>
          <w:rFonts w:ascii="Arial" w:eastAsia="Times New Roman" w:hAnsi="Arial" w:cs="Arial"/>
          <w:lang w:eastAsia="nl-BE"/>
        </w:rPr>
        <w:t xml:space="preserve"> ST</w:t>
      </w:r>
      <w:r w:rsidR="00D661F5" w:rsidRPr="00BE6744">
        <w:rPr>
          <w:rFonts w:ascii="Arial" w:eastAsia="Times New Roman" w:hAnsi="Arial" w:cs="Arial"/>
          <w:lang w:eastAsia="nl-BE"/>
        </w:rPr>
        <w:t xml:space="preserve"> test </w:t>
      </w:r>
      <w:r w:rsidR="003753F6" w:rsidRPr="00BE6744">
        <w:rPr>
          <w:rFonts w:ascii="Arial" w:eastAsia="Times New Roman" w:hAnsi="Arial" w:cs="Arial"/>
          <w:lang w:eastAsia="nl-BE"/>
        </w:rPr>
        <w:t>(Van Vreckem &amp; Desoete, 2006)</w:t>
      </w:r>
      <w:r w:rsidR="003753F6">
        <w:rPr>
          <w:rFonts w:ascii="Arial" w:eastAsia="Times New Roman" w:hAnsi="Arial" w:cs="Arial"/>
          <w:lang w:eastAsia="nl-BE"/>
        </w:rPr>
        <w:t xml:space="preserve"> </w:t>
      </w:r>
      <w:r w:rsidR="00D661F5" w:rsidRPr="00BE6744">
        <w:rPr>
          <w:rFonts w:ascii="Arial" w:eastAsia="Times New Roman" w:hAnsi="Arial" w:cs="Arial"/>
          <w:lang w:eastAsia="nl-BE"/>
        </w:rPr>
        <w:t xml:space="preserve">is </w:t>
      </w:r>
      <w:r w:rsidR="003753F6">
        <w:rPr>
          <w:rFonts w:ascii="Arial" w:eastAsia="Times New Roman" w:hAnsi="Arial" w:cs="Arial"/>
          <w:lang w:eastAsia="nl-BE"/>
        </w:rPr>
        <w:t xml:space="preserve">wel </w:t>
      </w:r>
      <w:r w:rsidR="00D661F5" w:rsidRPr="00BE6744">
        <w:rPr>
          <w:rFonts w:ascii="Arial" w:eastAsia="Times New Roman" w:hAnsi="Arial" w:cs="Arial"/>
          <w:lang w:eastAsia="nl-BE"/>
        </w:rPr>
        <w:t>de 1</w:t>
      </w:r>
      <w:r w:rsidR="00D661F5" w:rsidRPr="00BE6744">
        <w:rPr>
          <w:rFonts w:ascii="Arial" w:eastAsia="Times New Roman" w:hAnsi="Arial" w:cs="Arial"/>
          <w:vertAlign w:val="superscript"/>
          <w:lang w:eastAsia="nl-BE"/>
        </w:rPr>
        <w:t>ste</w:t>
      </w:r>
      <w:r w:rsidR="00D661F5" w:rsidRPr="00BE6744">
        <w:rPr>
          <w:rFonts w:ascii="Arial" w:eastAsia="Times New Roman" w:hAnsi="Arial" w:cs="Arial"/>
          <w:lang w:eastAsia="nl-BE"/>
        </w:rPr>
        <w:t xml:space="preserve"> keuze bij het CLB (PRODIA). </w:t>
      </w:r>
    </w:p>
    <w:p w14:paraId="03C0745D" w14:textId="7C3E58E4" w:rsidR="00B549E2" w:rsidRDefault="00B549E2" w:rsidP="00E477AD">
      <w:pPr>
        <w:rPr>
          <w:rFonts w:ascii="Arial" w:hAnsi="Arial" w:cs="Arial"/>
        </w:rPr>
      </w:pPr>
      <w:r>
        <w:rPr>
          <w:rFonts w:ascii="Arial" w:hAnsi="Arial" w:cs="Arial"/>
        </w:rPr>
        <w:t>Verder staan ook het dictee eind 6</w:t>
      </w:r>
      <w:r w:rsidRPr="00B549E2">
        <w:rPr>
          <w:rFonts w:ascii="Arial" w:hAnsi="Arial" w:cs="Arial"/>
          <w:vertAlign w:val="superscript"/>
        </w:rPr>
        <w:t>de</w:t>
      </w:r>
      <w:r>
        <w:rPr>
          <w:rFonts w:ascii="Arial" w:hAnsi="Arial" w:cs="Arial"/>
        </w:rPr>
        <w:t xml:space="preserve"> lj LO-begin 1</w:t>
      </w:r>
      <w:r w:rsidRPr="00B549E2">
        <w:rPr>
          <w:rFonts w:ascii="Arial" w:hAnsi="Arial" w:cs="Arial"/>
          <w:vertAlign w:val="superscript"/>
        </w:rPr>
        <w:t>ste</w:t>
      </w:r>
      <w:r>
        <w:rPr>
          <w:rFonts w:ascii="Arial" w:hAnsi="Arial" w:cs="Arial"/>
        </w:rPr>
        <w:t xml:space="preserve"> lj SO (Dudal, 2004) en Dictee begin begin 5</w:t>
      </w:r>
      <w:r w:rsidRPr="00B549E2">
        <w:rPr>
          <w:rFonts w:ascii="Arial" w:hAnsi="Arial" w:cs="Arial"/>
          <w:vertAlign w:val="superscript"/>
        </w:rPr>
        <w:t>de</w:t>
      </w:r>
      <w:r>
        <w:rPr>
          <w:rFonts w:ascii="Arial" w:hAnsi="Arial" w:cs="Arial"/>
        </w:rPr>
        <w:t xml:space="preserve"> en 6</w:t>
      </w:r>
      <w:r w:rsidRPr="00B549E2">
        <w:rPr>
          <w:rFonts w:ascii="Arial" w:hAnsi="Arial" w:cs="Arial"/>
          <w:vertAlign w:val="superscript"/>
        </w:rPr>
        <w:t>de</w:t>
      </w:r>
      <w:r>
        <w:rPr>
          <w:rFonts w:ascii="Arial" w:hAnsi="Arial" w:cs="Arial"/>
        </w:rPr>
        <w:t xml:space="preserve"> leerjaar (Dudal, 2005), PI-einddictee (Reitsma &amp; Geelhoed, 2004) en het PI-</w:t>
      </w:r>
      <w:r w:rsidR="00592202">
        <w:rPr>
          <w:rFonts w:ascii="Arial" w:hAnsi="Arial" w:cs="Arial"/>
        </w:rPr>
        <w:t>signalering</w:t>
      </w:r>
      <w:r>
        <w:rPr>
          <w:rFonts w:ascii="Arial" w:hAnsi="Arial" w:cs="Arial"/>
        </w:rPr>
        <w:t>sdictee voor de brugklassen (Reitsma &amp; Geelhoe</w:t>
      </w:r>
      <w:r w:rsidR="00006E42">
        <w:rPr>
          <w:rFonts w:ascii="Arial" w:hAnsi="Arial" w:cs="Arial"/>
        </w:rPr>
        <w:t>d</w:t>
      </w:r>
      <w:r>
        <w:rPr>
          <w:rFonts w:ascii="Arial" w:hAnsi="Arial" w:cs="Arial"/>
        </w:rPr>
        <w:t xml:space="preserve">, 2004) en de genormeerde auditieve dictees (Dudal, 2004) op de limitatieve lijst. </w:t>
      </w:r>
    </w:p>
    <w:p w14:paraId="093CBD39" w14:textId="25C82BDB" w:rsidR="00B549E2" w:rsidRPr="00A4567D" w:rsidRDefault="00B549E2" w:rsidP="00E477AD">
      <w:pPr>
        <w:rPr>
          <w:rFonts w:ascii="Arial" w:hAnsi="Arial" w:cs="Arial"/>
        </w:rPr>
      </w:pPr>
      <w:r>
        <w:rPr>
          <w:rFonts w:ascii="Arial" w:hAnsi="Arial" w:cs="Arial"/>
        </w:rPr>
        <w:t xml:space="preserve">Voor spelling in het secundair onderwijs (tot 14 jaar) staan </w:t>
      </w:r>
      <w:r w:rsidR="00ED5E13">
        <w:rPr>
          <w:rFonts w:ascii="Arial" w:hAnsi="Arial" w:cs="Arial"/>
        </w:rPr>
        <w:t xml:space="preserve">geen specifieke </w:t>
      </w:r>
      <w:r>
        <w:rPr>
          <w:rFonts w:ascii="Arial" w:hAnsi="Arial" w:cs="Arial"/>
        </w:rPr>
        <w:t xml:space="preserve">tests op de limitatieve lijst. De  Toets Diagnostisch Onderzoek Spelling (TODI-S, Kennes, Van Rompaey, &amp; Vonckx, 2018) lijkt hier aangewezen. </w:t>
      </w:r>
    </w:p>
    <w:p w14:paraId="7A33F857" w14:textId="77777777" w:rsidR="00E274E4" w:rsidRDefault="00E274E4" w:rsidP="00553D63">
      <w:pPr>
        <w:spacing w:after="0" w:line="240" w:lineRule="auto"/>
        <w:rPr>
          <w:rFonts w:ascii="Arial" w:hAnsi="Arial" w:cs="Arial"/>
        </w:rPr>
      </w:pPr>
    </w:p>
    <w:p w14:paraId="36CB0A22" w14:textId="77777777" w:rsidR="00E274E4" w:rsidRDefault="00E274E4" w:rsidP="00E274E4">
      <w:pPr>
        <w:spacing w:after="0" w:line="240" w:lineRule="auto"/>
        <w:rPr>
          <w:rFonts w:ascii="Arial" w:hAnsi="Arial" w:cs="Arial"/>
        </w:rPr>
      </w:pPr>
      <w:r>
        <w:rPr>
          <w:rFonts w:ascii="Arial" w:hAnsi="Arial" w:cs="Arial"/>
        </w:rPr>
        <w:t xml:space="preserve">3.4.3. Diagnostiek van het rekenen </w:t>
      </w:r>
    </w:p>
    <w:p w14:paraId="78D115D2" w14:textId="0A7A50F9" w:rsidR="009E0D5E" w:rsidRDefault="009E0D5E" w:rsidP="009E0D5E">
      <w:pPr>
        <w:rPr>
          <w:rFonts w:ascii="Arial" w:hAnsi="Arial" w:cs="Arial"/>
          <w:bCs/>
          <w:lang w:eastAsia="nl-BE"/>
        </w:rPr>
      </w:pPr>
      <w:r>
        <w:rPr>
          <w:rFonts w:ascii="Arial" w:hAnsi="Arial" w:cs="Arial"/>
          <w:bCs/>
          <w:lang w:eastAsia="nl-BE"/>
        </w:rPr>
        <w:t>Voor een beschrijvende diagnose dyscalculie moeten we nagaan hoe vaardig kinderen rekenen. Uit de clusteranalyse van Pieters et al. (2015) blijkt dat sommige leerlingen met dyscalculie in de lagere school klinisch scoren op hoofdrekenen en op temporekenen (cluster 2</w:t>
      </w:r>
      <w:r w:rsidR="00074CEB">
        <w:rPr>
          <w:rFonts w:ascii="Arial" w:hAnsi="Arial" w:cs="Arial"/>
          <w:bCs/>
          <w:lang w:eastAsia="nl-BE"/>
        </w:rPr>
        <w:t xml:space="preserve"> – zie Figuur 4</w:t>
      </w:r>
      <w:r>
        <w:rPr>
          <w:rFonts w:ascii="Arial" w:hAnsi="Arial" w:cs="Arial"/>
          <w:bCs/>
          <w:lang w:eastAsia="nl-BE"/>
        </w:rPr>
        <w:t xml:space="preserve">), terwijl anderen enkel klinisch scoren op het hoofdrekenen en uitvoeren van bewerkingen (cluster 3 – zie Figuur 4). </w:t>
      </w:r>
    </w:p>
    <w:p w14:paraId="083F0677" w14:textId="77777777" w:rsidR="009E0D5E" w:rsidRDefault="009E0D5E" w:rsidP="009E0D5E">
      <w:pPr>
        <w:rPr>
          <w:rFonts w:ascii="Arial" w:hAnsi="Arial" w:cs="Arial"/>
        </w:rPr>
      </w:pPr>
      <w:r>
        <w:rPr>
          <w:rFonts w:ascii="Arial" w:hAnsi="Arial" w:cs="Arial"/>
        </w:rPr>
        <w:t>In Vlaanderen kan men de automatisatie van rekenfeiten (cluster 2</w:t>
      </w:r>
      <w:r w:rsidR="00AF0E51">
        <w:rPr>
          <w:rFonts w:ascii="Arial" w:hAnsi="Arial" w:cs="Arial"/>
        </w:rPr>
        <w:t xml:space="preserve"> – zie Figuur 4</w:t>
      </w:r>
      <w:r>
        <w:rPr>
          <w:rFonts w:ascii="Arial" w:hAnsi="Arial" w:cs="Arial"/>
        </w:rPr>
        <w:t>) nagaan d.m.v. de Tempotoets Automatiseren (TTA, de Vos, 2010), de Tempotoets hoofdrekenen tot 20 (Dudal, 2003), Tempotoets hoofdrekenen 5</w:t>
      </w:r>
      <w:r w:rsidRPr="00DD3F40">
        <w:rPr>
          <w:rFonts w:ascii="Arial" w:hAnsi="Arial" w:cs="Arial"/>
          <w:vertAlign w:val="superscript"/>
        </w:rPr>
        <w:t>de</w:t>
      </w:r>
      <w:r>
        <w:rPr>
          <w:rFonts w:ascii="Arial" w:hAnsi="Arial" w:cs="Arial"/>
        </w:rPr>
        <w:t xml:space="preserve"> en 6</w:t>
      </w:r>
      <w:r w:rsidRPr="00DD3F40">
        <w:rPr>
          <w:rFonts w:ascii="Arial" w:hAnsi="Arial" w:cs="Arial"/>
          <w:vertAlign w:val="superscript"/>
        </w:rPr>
        <w:t>de</w:t>
      </w:r>
      <w:r>
        <w:rPr>
          <w:rFonts w:ascii="Arial" w:hAnsi="Arial" w:cs="Arial"/>
        </w:rPr>
        <w:t xml:space="preserve"> leerjaar (Dudal, 2008). In de centra voor ambulante revalidatie mag men hiervoor ook de Tempotest Rekenen (TTR, de Vos 1992) gebruiken. </w:t>
      </w:r>
    </w:p>
    <w:p w14:paraId="74E7A95E" w14:textId="0B7CEB3E" w:rsidR="009E0D5E" w:rsidRPr="00156D6C" w:rsidRDefault="009E0D5E" w:rsidP="00156D6C">
      <w:pPr>
        <w:rPr>
          <w:rFonts w:ascii="Arial" w:hAnsi="Arial" w:cs="Arial"/>
        </w:rPr>
      </w:pPr>
      <w:r>
        <w:rPr>
          <w:rFonts w:ascii="Arial" w:hAnsi="Arial" w:cs="Arial"/>
        </w:rPr>
        <w:t>Hoofdrekenen en uitvoeren van bewerkingen (cluster 3</w:t>
      </w:r>
      <w:r w:rsidR="00AF0E51">
        <w:rPr>
          <w:rFonts w:ascii="Arial" w:hAnsi="Arial" w:cs="Arial"/>
        </w:rPr>
        <w:t xml:space="preserve"> – zie Figuur 4</w:t>
      </w:r>
      <w:r w:rsidR="00FF6635">
        <w:rPr>
          <w:rFonts w:ascii="Arial" w:hAnsi="Arial" w:cs="Arial"/>
        </w:rPr>
        <w:t>)</w:t>
      </w:r>
      <w:r w:rsidR="00AF0E51">
        <w:rPr>
          <w:rFonts w:ascii="Arial" w:hAnsi="Arial" w:cs="Arial"/>
        </w:rPr>
        <w:t xml:space="preserve"> </w:t>
      </w:r>
      <w:r>
        <w:rPr>
          <w:rFonts w:ascii="Arial" w:hAnsi="Arial" w:cs="Arial"/>
        </w:rPr>
        <w:t xml:space="preserve"> kan men onderzoeken met de Kortrijkse Rekentest Revisie (KRT-R Baudonck et al., 2006), de Cognitieve Deelvaardigheden Rekenen (CDR Desoete &amp; Roeyers, 2006) of met de Toetsen Rekenen begin 3</w:t>
      </w:r>
      <w:r w:rsidRPr="00EC7316">
        <w:rPr>
          <w:rFonts w:ascii="Arial" w:hAnsi="Arial" w:cs="Arial"/>
          <w:vertAlign w:val="superscript"/>
        </w:rPr>
        <w:t>de</w:t>
      </w:r>
      <w:r>
        <w:rPr>
          <w:rFonts w:ascii="Arial" w:hAnsi="Arial" w:cs="Arial"/>
        </w:rPr>
        <w:t xml:space="preserve"> en 4</w:t>
      </w:r>
      <w:r w:rsidRPr="00EC7316">
        <w:rPr>
          <w:rFonts w:ascii="Arial" w:hAnsi="Arial" w:cs="Arial"/>
          <w:vertAlign w:val="superscript"/>
        </w:rPr>
        <w:t>de</w:t>
      </w:r>
      <w:r>
        <w:rPr>
          <w:rFonts w:ascii="Arial" w:hAnsi="Arial" w:cs="Arial"/>
        </w:rPr>
        <w:t xml:space="preserve"> LO (Dudal, 2006</w:t>
      </w:r>
      <w:r w:rsidRPr="00DC3CD1">
        <w:rPr>
          <w:rFonts w:ascii="Arial" w:hAnsi="Arial" w:cs="Arial"/>
        </w:rPr>
        <w:t>)</w:t>
      </w:r>
      <w:r w:rsidR="00156D6C" w:rsidRPr="00DC3CD1">
        <w:rPr>
          <w:rFonts w:ascii="Arial" w:hAnsi="Arial" w:cs="Arial"/>
        </w:rPr>
        <w:t>. De Kortrijkse rekentest werd ondertussen gedigitaliseerd als de</w:t>
      </w:r>
      <w:r w:rsidR="0096381F" w:rsidRPr="0096381F">
        <w:rPr>
          <w:color w:val="1F497D"/>
        </w:rPr>
        <w:t xml:space="preserve"> </w:t>
      </w:r>
      <w:r w:rsidR="00156D6C" w:rsidRPr="00DC3CD1">
        <w:rPr>
          <w:rFonts w:ascii="Arial" w:hAnsi="Arial" w:cs="Arial"/>
        </w:rPr>
        <w:t>KRT</w:t>
      </w:r>
      <w:r w:rsidR="0096381F">
        <w:rPr>
          <w:rFonts w:ascii="Arial" w:hAnsi="Arial" w:cs="Arial"/>
        </w:rPr>
        <w:t>-</w:t>
      </w:r>
      <w:r w:rsidR="00156D6C" w:rsidRPr="00DC3CD1">
        <w:rPr>
          <w:rFonts w:ascii="Arial" w:hAnsi="Arial" w:cs="Arial"/>
        </w:rPr>
        <w:t>R</w:t>
      </w:r>
      <w:r w:rsidR="0096381F">
        <w:rPr>
          <w:rFonts w:ascii="Arial" w:hAnsi="Arial" w:cs="Arial"/>
        </w:rPr>
        <w:t xml:space="preserve"> D</w:t>
      </w:r>
      <w:r w:rsidR="00156D6C" w:rsidRPr="00DC3CD1">
        <w:rPr>
          <w:rFonts w:ascii="Arial" w:hAnsi="Arial" w:cs="Arial"/>
        </w:rPr>
        <w:t>igi</w:t>
      </w:r>
      <w:r w:rsidR="00D930CF">
        <w:rPr>
          <w:rFonts w:ascii="Arial" w:hAnsi="Arial" w:cs="Arial"/>
        </w:rPr>
        <w:t xml:space="preserve"> (in press)</w:t>
      </w:r>
      <w:r w:rsidR="00156D6C" w:rsidRPr="00DC3CD1">
        <w:rPr>
          <w:rFonts w:ascii="Arial" w:hAnsi="Arial" w:cs="Arial"/>
        </w:rPr>
        <w:t>.</w:t>
      </w:r>
      <w:r w:rsidR="00156D6C" w:rsidRPr="00156D6C">
        <w:rPr>
          <w:rFonts w:ascii="Arial" w:hAnsi="Arial" w:cs="Arial"/>
        </w:rPr>
        <w:t xml:space="preserve"> </w:t>
      </w:r>
    </w:p>
    <w:p w14:paraId="74E5C188" w14:textId="77777777" w:rsidR="00FF6635" w:rsidRDefault="009E0D5E" w:rsidP="009E0D5E">
      <w:pPr>
        <w:rPr>
          <w:rFonts w:ascii="Arial" w:hAnsi="Arial" w:cs="Arial"/>
        </w:rPr>
      </w:pPr>
      <w:r>
        <w:rPr>
          <w:rFonts w:ascii="Arial" w:hAnsi="Arial" w:cs="Arial"/>
        </w:rPr>
        <w:t>Op de limitatieve lijst voor logopedisten staat verder de LVS-VCLB  Wiskunde 1-6 (Billiaert et al, 2000-2005) evenals de Toetsen Vraagstukken 1 tot 6 (Dudal, 2003). De bevindingen van het LVS-VCLB kan men be</w:t>
      </w:r>
      <w:r w:rsidR="00D930CF">
        <w:rPr>
          <w:rFonts w:ascii="Arial" w:hAnsi="Arial" w:cs="Arial"/>
        </w:rPr>
        <w:t>t</w:t>
      </w:r>
      <w:r>
        <w:rPr>
          <w:rFonts w:ascii="Arial" w:hAnsi="Arial" w:cs="Arial"/>
        </w:rPr>
        <w:t>er opvragen (op school) in plaats van deze test zelf af te nemen (met een risico op hertesteffecten</w:t>
      </w:r>
      <w:r w:rsidR="00023FD4">
        <w:rPr>
          <w:rFonts w:ascii="Arial" w:hAnsi="Arial" w:cs="Arial"/>
        </w:rPr>
        <w:t>, omdat de kinderen de test op school ook al gemaakt hebben</w:t>
      </w:r>
      <w:r>
        <w:rPr>
          <w:rFonts w:ascii="Arial" w:hAnsi="Arial" w:cs="Arial"/>
        </w:rPr>
        <w:t xml:space="preserve">). </w:t>
      </w:r>
    </w:p>
    <w:p w14:paraId="5EBC0173" w14:textId="4E953224" w:rsidR="009E0D5E" w:rsidRPr="00375E48" w:rsidRDefault="009E0D5E" w:rsidP="009E0D5E">
      <w:pPr>
        <w:rPr>
          <w:rFonts w:ascii="Arial" w:hAnsi="Arial" w:cs="Arial"/>
        </w:rPr>
      </w:pPr>
      <w:r>
        <w:rPr>
          <w:rFonts w:ascii="Arial" w:hAnsi="Arial" w:cs="Arial"/>
        </w:rPr>
        <w:t xml:space="preserve">Vraagstukken </w:t>
      </w:r>
      <w:r w:rsidR="00D930CF">
        <w:rPr>
          <w:rFonts w:ascii="Arial" w:hAnsi="Arial" w:cs="Arial"/>
        </w:rPr>
        <w:t xml:space="preserve">testen </w:t>
      </w:r>
      <w:r>
        <w:rPr>
          <w:rFonts w:ascii="Arial" w:hAnsi="Arial" w:cs="Arial"/>
        </w:rPr>
        <w:t xml:space="preserve">is minder aangewezen omdat  </w:t>
      </w:r>
      <w:r w:rsidR="00C71A8E" w:rsidRPr="00375E48">
        <w:rPr>
          <w:rFonts w:ascii="Arial" w:hAnsi="Arial" w:cs="Arial"/>
        </w:rPr>
        <w:t xml:space="preserve">op basis van een toets </w:t>
      </w:r>
      <w:r w:rsidR="00C71A8E">
        <w:rPr>
          <w:rFonts w:ascii="Arial" w:hAnsi="Arial" w:cs="Arial"/>
        </w:rPr>
        <w:t>v</w:t>
      </w:r>
      <w:r w:rsidR="00C71A8E" w:rsidRPr="00375E48">
        <w:rPr>
          <w:rFonts w:ascii="Arial" w:hAnsi="Arial" w:cs="Arial"/>
        </w:rPr>
        <w:t>raagstukken</w:t>
      </w:r>
      <w:r w:rsidR="00C71A8E">
        <w:rPr>
          <w:rFonts w:ascii="Arial" w:hAnsi="Arial" w:cs="Arial"/>
        </w:rPr>
        <w:t xml:space="preserve"> </w:t>
      </w:r>
      <w:r>
        <w:rPr>
          <w:rFonts w:ascii="Arial" w:hAnsi="Arial" w:cs="Arial"/>
        </w:rPr>
        <w:t xml:space="preserve">het verschil moeilijk te zien zal </w:t>
      </w:r>
      <w:r w:rsidRPr="00375E48">
        <w:rPr>
          <w:rFonts w:ascii="Arial" w:hAnsi="Arial" w:cs="Arial"/>
        </w:rPr>
        <w:t xml:space="preserve">zijn tussen kinderen die minder verstandig zijn en kinderen die dyscalculie hebben. Meten en metend rekenen nagaan (met bijvoorbeeld de Test meten en </w:t>
      </w:r>
      <w:r w:rsidRPr="00375E48">
        <w:rPr>
          <w:rFonts w:ascii="Arial" w:hAnsi="Arial" w:cs="Arial"/>
        </w:rPr>
        <w:lastRenderedPageBreak/>
        <w:t>Metend Rekenen voor 2</w:t>
      </w:r>
      <w:r w:rsidRPr="00375E48">
        <w:rPr>
          <w:rFonts w:ascii="Arial" w:hAnsi="Arial" w:cs="Arial"/>
          <w:vertAlign w:val="superscript"/>
        </w:rPr>
        <w:t>de</w:t>
      </w:r>
      <w:r w:rsidRPr="00375E48">
        <w:rPr>
          <w:rFonts w:ascii="Arial" w:hAnsi="Arial" w:cs="Arial"/>
        </w:rPr>
        <w:t xml:space="preserve"> en 6</w:t>
      </w:r>
      <w:r w:rsidRPr="00375E48">
        <w:rPr>
          <w:rFonts w:ascii="Arial" w:hAnsi="Arial" w:cs="Arial"/>
          <w:vertAlign w:val="superscript"/>
        </w:rPr>
        <w:t>de</w:t>
      </w:r>
      <w:r w:rsidRPr="00375E48">
        <w:rPr>
          <w:rFonts w:ascii="Arial" w:hAnsi="Arial" w:cs="Arial"/>
        </w:rPr>
        <w:t xml:space="preserve"> lj (Van De Steene et al., 2016) krijgt een F-label</w:t>
      </w:r>
      <w:r w:rsidR="00DF6AD0">
        <w:rPr>
          <w:rFonts w:ascii="Arial" w:hAnsi="Arial" w:cs="Arial"/>
        </w:rPr>
        <w:t xml:space="preserve"> (waardoor deze test niet </w:t>
      </w:r>
      <w:r w:rsidR="001A01EE">
        <w:rPr>
          <w:rFonts w:ascii="Arial" w:hAnsi="Arial" w:cs="Arial"/>
        </w:rPr>
        <w:t xml:space="preserve">kan gebruikt worden in het kader van een aanvraag voor terugbetaling </w:t>
      </w:r>
      <w:r w:rsidR="00DF6AD0">
        <w:rPr>
          <w:rFonts w:ascii="Arial" w:hAnsi="Arial" w:cs="Arial"/>
        </w:rPr>
        <w:t>worden door de logopedisten in een privé praktijk)</w:t>
      </w:r>
      <w:r w:rsidRPr="00375E48">
        <w:rPr>
          <w:rFonts w:ascii="Arial" w:hAnsi="Arial" w:cs="Arial"/>
        </w:rPr>
        <w:t>.</w:t>
      </w:r>
      <w:r w:rsidR="00DF6AD0">
        <w:rPr>
          <w:rFonts w:ascii="Arial" w:hAnsi="Arial" w:cs="Arial"/>
        </w:rPr>
        <w:t xml:space="preserve"> </w:t>
      </w:r>
      <w:r w:rsidRPr="00375E48">
        <w:rPr>
          <w:rFonts w:ascii="Arial" w:hAnsi="Arial" w:cs="Arial"/>
        </w:rPr>
        <w:t xml:space="preserve"> Deze test</w:t>
      </w:r>
      <w:r w:rsidR="00D930CF">
        <w:rPr>
          <w:rFonts w:ascii="Arial" w:hAnsi="Arial" w:cs="Arial"/>
        </w:rPr>
        <w:t xml:space="preserve"> afnemen</w:t>
      </w:r>
      <w:r w:rsidRPr="00375E48">
        <w:rPr>
          <w:rFonts w:ascii="Arial" w:hAnsi="Arial" w:cs="Arial"/>
        </w:rPr>
        <w:t xml:space="preserve"> zou echter wel zinvol zijn om kinderen met en zonder dyscalculie van elkaar te onderscheiden, indien uiteraard ook de hardnekkigheid meegenomen wordt als criterium. </w:t>
      </w:r>
    </w:p>
    <w:p w14:paraId="6D90711E" w14:textId="57C62E68" w:rsidR="00AF0E51" w:rsidRDefault="00E274E4" w:rsidP="00AF0E51">
      <w:pPr>
        <w:rPr>
          <w:rFonts w:ascii="Arial" w:hAnsi="Arial" w:cs="Arial"/>
          <w:bCs/>
          <w:lang w:eastAsia="nl-BE"/>
        </w:rPr>
      </w:pPr>
      <w:r w:rsidRPr="00375E48">
        <w:rPr>
          <w:rFonts w:ascii="Arial" w:hAnsi="Arial" w:cs="Arial"/>
          <w:bCs/>
          <w:lang w:eastAsia="nl-BE"/>
        </w:rPr>
        <w:t xml:space="preserve">De problemen met dyscalculie worden </w:t>
      </w:r>
      <w:r w:rsidR="009E0D5E" w:rsidRPr="00375E48">
        <w:rPr>
          <w:rFonts w:ascii="Arial" w:hAnsi="Arial" w:cs="Arial"/>
          <w:bCs/>
          <w:lang w:eastAsia="nl-BE"/>
        </w:rPr>
        <w:t xml:space="preserve">bovendien soms al </w:t>
      </w:r>
      <w:r w:rsidRPr="00375E48">
        <w:rPr>
          <w:rFonts w:ascii="Arial" w:hAnsi="Arial" w:cs="Arial"/>
          <w:bCs/>
          <w:lang w:eastAsia="nl-BE"/>
        </w:rPr>
        <w:t>zichtbaar op school</w:t>
      </w:r>
      <w:r w:rsidR="009E0D5E" w:rsidRPr="00375E48">
        <w:rPr>
          <w:rFonts w:ascii="Arial" w:hAnsi="Arial" w:cs="Arial"/>
          <w:bCs/>
          <w:lang w:eastAsia="nl-BE"/>
        </w:rPr>
        <w:t xml:space="preserve"> van in de kleuterklas</w:t>
      </w:r>
      <w:r w:rsidRPr="00375E48">
        <w:rPr>
          <w:rFonts w:ascii="Arial" w:hAnsi="Arial" w:cs="Arial"/>
          <w:bCs/>
          <w:lang w:eastAsia="nl-BE"/>
        </w:rPr>
        <w:t>, doordat het tellen</w:t>
      </w:r>
      <w:r w:rsidR="00382849" w:rsidRPr="00375E48">
        <w:rPr>
          <w:rFonts w:ascii="Arial" w:hAnsi="Arial" w:cs="Arial"/>
          <w:bCs/>
          <w:lang w:eastAsia="nl-BE"/>
        </w:rPr>
        <w:t xml:space="preserve"> en vergelijken van hoeveelheden</w:t>
      </w:r>
      <w:r w:rsidRPr="00375E48">
        <w:rPr>
          <w:rFonts w:ascii="Arial" w:hAnsi="Arial" w:cs="Arial"/>
          <w:bCs/>
          <w:lang w:eastAsia="nl-BE"/>
        </w:rPr>
        <w:t xml:space="preserve"> (S</w:t>
      </w:r>
      <w:r w:rsidR="00382849" w:rsidRPr="00375E48">
        <w:rPr>
          <w:rFonts w:ascii="Arial" w:hAnsi="Arial" w:cs="Arial"/>
          <w:bCs/>
          <w:lang w:eastAsia="nl-BE"/>
        </w:rPr>
        <w:t xml:space="preserve">tock Desoete, &amp; Roeyers, 2010) minder vlot verloopt dan bij leeftijdsgenoten. </w:t>
      </w:r>
      <w:r w:rsidR="00023FD4" w:rsidRPr="00375E48">
        <w:rPr>
          <w:rFonts w:ascii="Arial" w:hAnsi="Arial" w:cs="Arial"/>
          <w:bCs/>
          <w:lang w:eastAsia="nl-BE"/>
        </w:rPr>
        <w:t xml:space="preserve">De longitudinale studie  waarbij </w:t>
      </w:r>
      <w:r w:rsidR="007A4380" w:rsidRPr="00375E48">
        <w:rPr>
          <w:rFonts w:ascii="Arial" w:hAnsi="Arial" w:cs="Arial"/>
          <w:bCs/>
          <w:lang w:eastAsia="nl-BE"/>
        </w:rPr>
        <w:t>471 kinderen werden opgevolgd van in de kleuterklas tot in het 2</w:t>
      </w:r>
      <w:r w:rsidR="007A4380" w:rsidRPr="00375E48">
        <w:rPr>
          <w:rFonts w:ascii="Arial" w:hAnsi="Arial" w:cs="Arial"/>
          <w:bCs/>
          <w:vertAlign w:val="superscript"/>
          <w:lang w:eastAsia="nl-BE"/>
        </w:rPr>
        <w:t>de</w:t>
      </w:r>
      <w:r w:rsidR="007A4380" w:rsidRPr="00375E48">
        <w:rPr>
          <w:rFonts w:ascii="Arial" w:hAnsi="Arial" w:cs="Arial"/>
          <w:bCs/>
          <w:lang w:eastAsia="nl-BE"/>
        </w:rPr>
        <w:t xml:space="preserve"> leerjaar, </w:t>
      </w:r>
      <w:r w:rsidR="00023FD4" w:rsidRPr="00375E48">
        <w:rPr>
          <w:rFonts w:ascii="Arial" w:hAnsi="Arial" w:cs="Arial"/>
          <w:bCs/>
          <w:lang w:eastAsia="nl-BE"/>
        </w:rPr>
        <w:t>toonde aan dat c</w:t>
      </w:r>
      <w:r w:rsidR="00382849" w:rsidRPr="00375E48">
        <w:rPr>
          <w:rFonts w:ascii="Arial" w:hAnsi="Arial" w:cs="Arial"/>
          <w:bCs/>
          <w:lang w:eastAsia="nl-BE"/>
        </w:rPr>
        <w:t xml:space="preserve">onceptueel tellen gemeten in de </w:t>
      </w:r>
      <w:r w:rsidR="001A01EE">
        <w:rPr>
          <w:rFonts w:ascii="Arial" w:hAnsi="Arial" w:cs="Arial"/>
          <w:bCs/>
          <w:lang w:eastAsia="nl-BE"/>
        </w:rPr>
        <w:t xml:space="preserve">tweede </w:t>
      </w:r>
      <w:r w:rsidR="00382849" w:rsidRPr="00375E48">
        <w:rPr>
          <w:rFonts w:ascii="Arial" w:hAnsi="Arial" w:cs="Arial"/>
          <w:bCs/>
          <w:lang w:eastAsia="nl-BE"/>
        </w:rPr>
        <w:t xml:space="preserve">kleuterklas </w:t>
      </w:r>
      <w:r w:rsidR="007A4380" w:rsidRPr="00375E48">
        <w:rPr>
          <w:rFonts w:ascii="Arial" w:hAnsi="Arial" w:cs="Arial"/>
          <w:bCs/>
          <w:lang w:eastAsia="nl-BE"/>
        </w:rPr>
        <w:t xml:space="preserve">(met de TEDI-MATH) </w:t>
      </w:r>
      <w:r w:rsidR="00382849" w:rsidRPr="00375E48">
        <w:rPr>
          <w:rFonts w:ascii="Arial" w:hAnsi="Arial" w:cs="Arial"/>
          <w:bCs/>
          <w:lang w:eastAsia="nl-BE"/>
        </w:rPr>
        <w:t xml:space="preserve">voor 31% </w:t>
      </w:r>
      <w:r w:rsidR="00023FD4" w:rsidRPr="00375E48">
        <w:rPr>
          <w:rFonts w:ascii="Arial" w:hAnsi="Arial" w:cs="Arial"/>
          <w:bCs/>
          <w:lang w:eastAsia="nl-BE"/>
        </w:rPr>
        <w:t xml:space="preserve">voorspelde </w:t>
      </w:r>
      <w:r w:rsidR="00382849" w:rsidRPr="00375E48">
        <w:rPr>
          <w:rFonts w:ascii="Arial" w:hAnsi="Arial" w:cs="Arial"/>
          <w:bCs/>
          <w:lang w:eastAsia="nl-BE"/>
        </w:rPr>
        <w:t>wie dyscalculie zou hebben in het 1</w:t>
      </w:r>
      <w:r w:rsidR="00382849" w:rsidRPr="00375E48">
        <w:rPr>
          <w:rFonts w:ascii="Arial" w:hAnsi="Arial" w:cs="Arial"/>
          <w:bCs/>
          <w:vertAlign w:val="superscript"/>
          <w:lang w:eastAsia="nl-BE"/>
        </w:rPr>
        <w:t>ste</w:t>
      </w:r>
      <w:r w:rsidR="00382849" w:rsidRPr="00375E48">
        <w:rPr>
          <w:rFonts w:ascii="Arial" w:hAnsi="Arial" w:cs="Arial"/>
          <w:bCs/>
          <w:lang w:eastAsia="nl-BE"/>
        </w:rPr>
        <w:t xml:space="preserve"> en 2</w:t>
      </w:r>
      <w:r w:rsidR="00382849" w:rsidRPr="00375E48">
        <w:rPr>
          <w:rFonts w:ascii="Arial" w:hAnsi="Arial" w:cs="Arial"/>
          <w:bCs/>
          <w:vertAlign w:val="superscript"/>
          <w:lang w:eastAsia="nl-BE"/>
        </w:rPr>
        <w:t>de</w:t>
      </w:r>
      <w:r w:rsidR="00382849" w:rsidRPr="00375E48">
        <w:rPr>
          <w:rFonts w:ascii="Arial" w:hAnsi="Arial" w:cs="Arial"/>
          <w:bCs/>
          <w:lang w:eastAsia="nl-BE"/>
        </w:rPr>
        <w:t xml:space="preserve"> leerjaar. Verder bleken 44% van de </w:t>
      </w:r>
      <w:r w:rsidR="009C39E3">
        <w:rPr>
          <w:rFonts w:ascii="Arial" w:hAnsi="Arial" w:cs="Arial"/>
          <w:bCs/>
          <w:lang w:eastAsia="nl-BE"/>
        </w:rPr>
        <w:t>kindere</w:t>
      </w:r>
      <w:r w:rsidR="00382849" w:rsidRPr="00375E48">
        <w:rPr>
          <w:rFonts w:ascii="Arial" w:hAnsi="Arial" w:cs="Arial"/>
          <w:bCs/>
          <w:lang w:eastAsia="nl-BE"/>
        </w:rPr>
        <w:t>n met dyscalculie in het 1</w:t>
      </w:r>
      <w:r w:rsidR="00382849" w:rsidRPr="00375E48">
        <w:rPr>
          <w:rFonts w:ascii="Arial" w:hAnsi="Arial" w:cs="Arial"/>
          <w:bCs/>
          <w:vertAlign w:val="superscript"/>
          <w:lang w:eastAsia="nl-BE"/>
        </w:rPr>
        <w:t>ste</w:t>
      </w:r>
      <w:r w:rsidR="00382849" w:rsidRPr="00375E48">
        <w:rPr>
          <w:rFonts w:ascii="Arial" w:hAnsi="Arial" w:cs="Arial"/>
          <w:bCs/>
          <w:lang w:eastAsia="nl-BE"/>
        </w:rPr>
        <w:t xml:space="preserve"> en 2</w:t>
      </w:r>
      <w:r w:rsidR="00382849" w:rsidRPr="00375E48">
        <w:rPr>
          <w:rFonts w:ascii="Arial" w:hAnsi="Arial" w:cs="Arial"/>
          <w:bCs/>
          <w:vertAlign w:val="superscript"/>
          <w:lang w:eastAsia="nl-BE"/>
        </w:rPr>
        <w:t>de</w:t>
      </w:r>
      <w:r w:rsidR="00382849" w:rsidRPr="00375E48">
        <w:rPr>
          <w:rFonts w:ascii="Arial" w:hAnsi="Arial" w:cs="Arial"/>
          <w:bCs/>
          <w:lang w:eastAsia="nl-BE"/>
        </w:rPr>
        <w:t xml:space="preserve"> leerjaar ernstige problemen </w:t>
      </w:r>
      <w:r w:rsidR="00E57233" w:rsidRPr="00375E48">
        <w:rPr>
          <w:rFonts w:ascii="Arial" w:hAnsi="Arial" w:cs="Arial"/>
          <w:bCs/>
          <w:lang w:eastAsia="nl-BE"/>
        </w:rPr>
        <w:t>te h</w:t>
      </w:r>
      <w:r w:rsidR="007A4380" w:rsidRPr="00375E48">
        <w:rPr>
          <w:rFonts w:ascii="Arial" w:hAnsi="Arial" w:cs="Arial"/>
          <w:bCs/>
          <w:lang w:eastAsia="nl-BE"/>
        </w:rPr>
        <w:t>ebb</w:t>
      </w:r>
      <w:r w:rsidR="00E57233" w:rsidRPr="00375E48">
        <w:rPr>
          <w:rFonts w:ascii="Arial" w:hAnsi="Arial" w:cs="Arial"/>
          <w:bCs/>
          <w:lang w:eastAsia="nl-BE"/>
        </w:rPr>
        <w:t xml:space="preserve">en </w:t>
      </w:r>
      <w:r w:rsidR="00382849" w:rsidRPr="00375E48">
        <w:rPr>
          <w:rFonts w:ascii="Arial" w:hAnsi="Arial" w:cs="Arial"/>
          <w:bCs/>
          <w:lang w:eastAsia="nl-BE"/>
        </w:rPr>
        <w:t>met het vergelijken van hoeveelheden</w:t>
      </w:r>
      <w:r w:rsidR="007A4380" w:rsidRPr="00375E48">
        <w:rPr>
          <w:rFonts w:ascii="Arial" w:hAnsi="Arial" w:cs="Arial"/>
          <w:bCs/>
          <w:lang w:eastAsia="nl-BE"/>
        </w:rPr>
        <w:t xml:space="preserve"> (Stock et al., 2010)</w:t>
      </w:r>
      <w:r w:rsidR="00382849" w:rsidRPr="00375E48">
        <w:rPr>
          <w:rFonts w:ascii="Arial" w:hAnsi="Arial" w:cs="Arial"/>
          <w:bCs/>
          <w:lang w:eastAsia="nl-BE"/>
        </w:rPr>
        <w:t xml:space="preserve">. </w:t>
      </w:r>
    </w:p>
    <w:p w14:paraId="59506BA8" w14:textId="336E2ED7" w:rsidR="00375E48" w:rsidRPr="00375E48" w:rsidRDefault="009E0D5E" w:rsidP="00AF0E51">
      <w:pPr>
        <w:rPr>
          <w:rFonts w:ascii="Arial" w:hAnsi="Arial" w:cs="Arial"/>
        </w:rPr>
      </w:pPr>
      <w:r w:rsidRPr="00375E48">
        <w:rPr>
          <w:rFonts w:ascii="Arial" w:hAnsi="Arial" w:cs="Arial"/>
          <w:bCs/>
          <w:lang w:eastAsia="nl-BE"/>
        </w:rPr>
        <w:t xml:space="preserve">Daarnaast bleek </w:t>
      </w:r>
      <w:r w:rsidR="00375E48" w:rsidRPr="00375E48">
        <w:rPr>
          <w:rFonts w:ascii="Arial" w:hAnsi="Arial" w:cs="Arial"/>
          <w:bCs/>
          <w:lang w:eastAsia="nl-BE"/>
        </w:rPr>
        <w:t>in een andere longitudinale studie bij 132 kinderen die opgevolgd werden van in de kleuterklas tot in het 2</w:t>
      </w:r>
      <w:r w:rsidR="00375E48" w:rsidRPr="00375E48">
        <w:rPr>
          <w:rFonts w:ascii="Arial" w:hAnsi="Arial" w:cs="Arial"/>
          <w:bCs/>
          <w:vertAlign w:val="superscript"/>
          <w:lang w:eastAsia="nl-BE"/>
        </w:rPr>
        <w:t>de</w:t>
      </w:r>
      <w:r w:rsidR="00375E48" w:rsidRPr="00375E48">
        <w:rPr>
          <w:rFonts w:ascii="Arial" w:hAnsi="Arial" w:cs="Arial"/>
          <w:bCs/>
          <w:lang w:eastAsia="nl-BE"/>
        </w:rPr>
        <w:t xml:space="preserve"> leerjaar, dat </w:t>
      </w:r>
      <w:r w:rsidRPr="00375E48">
        <w:rPr>
          <w:rFonts w:ascii="Arial" w:hAnsi="Arial" w:cs="Arial"/>
          <w:bCs/>
          <w:lang w:eastAsia="nl-BE"/>
        </w:rPr>
        <w:t xml:space="preserve">taal gemeten </w:t>
      </w:r>
      <w:r w:rsidR="00DF6AD0">
        <w:rPr>
          <w:rFonts w:ascii="Arial" w:hAnsi="Arial" w:cs="Arial"/>
          <w:bCs/>
          <w:lang w:eastAsia="nl-BE"/>
        </w:rPr>
        <w:t xml:space="preserve">met </w:t>
      </w:r>
      <w:r w:rsidR="00DF6AD0" w:rsidRPr="004E1A47">
        <w:rPr>
          <w:rFonts w:ascii="Arial" w:hAnsi="Arial" w:cs="Arial"/>
          <w:bCs/>
          <w:lang w:eastAsia="nl-BE"/>
        </w:rPr>
        <w:t xml:space="preserve">de </w:t>
      </w:r>
      <w:r w:rsidR="00DF6AD0" w:rsidRPr="00461353">
        <w:rPr>
          <w:rFonts w:ascii="Arial" w:hAnsi="Arial" w:cs="Arial"/>
        </w:rPr>
        <w:t>CELF-</w:t>
      </w:r>
      <w:r w:rsidR="00DF6AD0" w:rsidRPr="00461353">
        <w:rPr>
          <w:rFonts w:ascii="Arial" w:hAnsi="Arial" w:cs="Arial"/>
          <w:vertAlign w:val="subscript"/>
        </w:rPr>
        <w:t>4</w:t>
      </w:r>
      <w:r w:rsidR="00DF6AD0" w:rsidRPr="00461353">
        <w:rPr>
          <w:rFonts w:ascii="Arial" w:hAnsi="Arial" w:cs="Arial"/>
        </w:rPr>
        <w:t>N</w:t>
      </w:r>
      <w:r w:rsidR="004E1A47">
        <w:rPr>
          <w:rFonts w:ascii="Arial" w:hAnsi="Arial" w:cs="Arial"/>
        </w:rPr>
        <w:t>L</w:t>
      </w:r>
      <w:r w:rsidR="00DF6AD0" w:rsidRPr="00461353">
        <w:rPr>
          <w:rFonts w:ascii="Arial" w:hAnsi="Arial" w:cs="Arial"/>
          <w:b/>
        </w:rPr>
        <w:t xml:space="preserve"> </w:t>
      </w:r>
      <w:r w:rsidR="00DF6AD0" w:rsidRPr="004E1A47">
        <w:rPr>
          <w:rFonts w:ascii="Arial" w:hAnsi="Arial" w:cs="Arial"/>
          <w:bCs/>
          <w:lang w:eastAsia="nl-BE"/>
        </w:rPr>
        <w:t xml:space="preserve"> </w:t>
      </w:r>
      <w:r w:rsidRPr="004E1A47">
        <w:rPr>
          <w:rFonts w:ascii="Arial" w:hAnsi="Arial" w:cs="Arial"/>
          <w:bCs/>
          <w:lang w:eastAsia="nl-BE"/>
        </w:rPr>
        <w:t>in</w:t>
      </w:r>
      <w:r w:rsidRPr="00375E48">
        <w:rPr>
          <w:rFonts w:ascii="Arial" w:hAnsi="Arial" w:cs="Arial"/>
          <w:bCs/>
          <w:lang w:eastAsia="nl-BE"/>
        </w:rPr>
        <w:t xml:space="preserve"> de kleuterklas een voorspellende waarde had voor het vaardig rekenen in het 1</w:t>
      </w:r>
      <w:r w:rsidRPr="00375E48">
        <w:rPr>
          <w:rFonts w:ascii="Arial" w:hAnsi="Arial" w:cs="Arial"/>
          <w:bCs/>
          <w:vertAlign w:val="superscript"/>
          <w:lang w:eastAsia="nl-BE"/>
        </w:rPr>
        <w:t>ste</w:t>
      </w:r>
      <w:r w:rsidRPr="00375E48">
        <w:rPr>
          <w:rFonts w:ascii="Arial" w:hAnsi="Arial" w:cs="Arial"/>
          <w:bCs/>
          <w:lang w:eastAsia="nl-BE"/>
        </w:rPr>
        <w:t xml:space="preserve"> en 2</w:t>
      </w:r>
      <w:r w:rsidRPr="00375E48">
        <w:rPr>
          <w:rFonts w:ascii="Arial" w:hAnsi="Arial" w:cs="Arial"/>
          <w:bCs/>
          <w:vertAlign w:val="superscript"/>
          <w:lang w:eastAsia="nl-BE"/>
        </w:rPr>
        <w:t>de</w:t>
      </w:r>
      <w:r w:rsidRPr="00375E48">
        <w:rPr>
          <w:rFonts w:ascii="Arial" w:hAnsi="Arial" w:cs="Arial"/>
          <w:bCs/>
          <w:lang w:eastAsia="nl-BE"/>
        </w:rPr>
        <w:t xml:space="preserve"> leerjaar</w:t>
      </w:r>
      <w:r w:rsidR="00375E48" w:rsidRPr="00375E48">
        <w:rPr>
          <w:rFonts w:ascii="Arial" w:hAnsi="Arial" w:cs="Arial"/>
          <w:bCs/>
          <w:lang w:eastAsia="nl-BE"/>
        </w:rPr>
        <w:t xml:space="preserve"> (Praet, Titeca, Ceulemans, &amp; Desoete, 2013)</w:t>
      </w:r>
      <w:r w:rsidRPr="00375E48">
        <w:rPr>
          <w:rFonts w:ascii="Arial" w:hAnsi="Arial" w:cs="Arial"/>
          <w:bCs/>
          <w:lang w:eastAsia="nl-BE"/>
        </w:rPr>
        <w:t xml:space="preserve">. </w:t>
      </w:r>
      <w:r w:rsidR="00375E48" w:rsidRPr="00375E48">
        <w:rPr>
          <w:rFonts w:ascii="Arial" w:hAnsi="Arial" w:cs="Arial"/>
        </w:rPr>
        <w:t>Taal correleerde met rekenen in de kleuterklas (TEDI-MATH) en met getallenkennis en hoofdrekenen in het eerste leerjaar (KRT-R). Verder kon een deel van de rekenvariantie in het eerste leerjaar voorspeld worden op basis van de taalindex bovenop de voorbereidende rekenvaardigheden tellen en hoeveelheden vergelijken. De taalindex was ook een belangrijke voorspeller bovenop het vergelijken van hoeveelheden op kleuterniveau om het vaardig rekenen in het 1</w:t>
      </w:r>
      <w:r w:rsidR="00375E48" w:rsidRPr="00375E48">
        <w:rPr>
          <w:rFonts w:ascii="Arial" w:hAnsi="Arial" w:cs="Arial"/>
          <w:vertAlign w:val="superscript"/>
        </w:rPr>
        <w:t>ste</w:t>
      </w:r>
      <w:r w:rsidR="00375E48" w:rsidRPr="00375E48">
        <w:rPr>
          <w:rFonts w:ascii="Arial" w:hAnsi="Arial" w:cs="Arial"/>
        </w:rPr>
        <w:t xml:space="preserve"> leerjaar</w:t>
      </w:r>
      <w:r w:rsidR="00074CEB">
        <w:rPr>
          <w:rFonts w:ascii="Arial" w:hAnsi="Arial" w:cs="Arial"/>
        </w:rPr>
        <w:t xml:space="preserve"> (gemeten met de KRT-R) </w:t>
      </w:r>
      <w:r w:rsidR="00375E48" w:rsidRPr="00375E48">
        <w:rPr>
          <w:rFonts w:ascii="Arial" w:hAnsi="Arial" w:cs="Arial"/>
        </w:rPr>
        <w:t xml:space="preserve"> te kunnen voorspellen</w:t>
      </w:r>
      <w:r w:rsidR="00AF0E51">
        <w:rPr>
          <w:rFonts w:ascii="Arial" w:hAnsi="Arial" w:cs="Arial"/>
        </w:rPr>
        <w:t xml:space="preserve">. </w:t>
      </w:r>
      <w:r w:rsidR="00375E48" w:rsidRPr="00375E48">
        <w:rPr>
          <w:rFonts w:ascii="Arial" w:hAnsi="Arial" w:cs="Arial"/>
        </w:rPr>
        <w:t xml:space="preserve">Ook kon de taalindex gemeten in de 3de kleuterklas  </w:t>
      </w:r>
      <w:r w:rsidR="00074CEB">
        <w:rPr>
          <w:rFonts w:ascii="Arial" w:hAnsi="Arial" w:cs="Arial"/>
        </w:rPr>
        <w:t>de scores op hoofdrekenen en getallenkennis (gemeten met de KRT-R)</w:t>
      </w:r>
      <w:r w:rsidR="00375E48" w:rsidRPr="00375E48">
        <w:rPr>
          <w:rFonts w:ascii="Arial" w:hAnsi="Arial" w:cs="Arial"/>
        </w:rPr>
        <w:t xml:space="preserve"> voorspellen bovenop het kunnen schatten van kleuters. De taalindex gemeten op kleuterniveau voorspelde echter niet hoe vaardig kinderen zouden zijn in temporekenen </w:t>
      </w:r>
      <w:r w:rsidR="00074CEB">
        <w:rPr>
          <w:rFonts w:ascii="Arial" w:hAnsi="Arial" w:cs="Arial"/>
        </w:rPr>
        <w:t xml:space="preserve">(of in de automatisatie van rekenfeiten) </w:t>
      </w:r>
      <w:r w:rsidR="00375E48" w:rsidRPr="00375E48">
        <w:rPr>
          <w:rFonts w:ascii="Arial" w:hAnsi="Arial" w:cs="Arial"/>
        </w:rPr>
        <w:t>in het 2de leerjaar</w:t>
      </w:r>
      <w:r w:rsidR="00FF6635">
        <w:rPr>
          <w:rFonts w:ascii="Arial" w:hAnsi="Arial" w:cs="Arial"/>
        </w:rPr>
        <w:t xml:space="preserve"> (Praet et al, 2013)</w:t>
      </w:r>
      <w:r w:rsidR="00375E48" w:rsidRPr="00375E48">
        <w:rPr>
          <w:rFonts w:ascii="Arial" w:hAnsi="Arial" w:cs="Arial"/>
        </w:rPr>
        <w:t xml:space="preserve">. </w:t>
      </w:r>
    </w:p>
    <w:p w14:paraId="2E35A193" w14:textId="6A2E8C01" w:rsidR="00D97E57" w:rsidRDefault="00E57233" w:rsidP="00D97E57">
      <w:pPr>
        <w:rPr>
          <w:rFonts w:ascii="Arial" w:hAnsi="Arial" w:cs="Arial"/>
          <w:bCs/>
          <w:lang w:eastAsia="nl-BE"/>
        </w:rPr>
      </w:pPr>
      <w:r w:rsidRPr="00375E48">
        <w:rPr>
          <w:rFonts w:ascii="Arial" w:hAnsi="Arial" w:cs="Arial"/>
          <w:bCs/>
          <w:lang w:eastAsia="nl-BE"/>
        </w:rPr>
        <w:t>Onderzoek</w:t>
      </w:r>
      <w:r w:rsidR="00E274E4" w:rsidRPr="00375E48">
        <w:rPr>
          <w:rFonts w:ascii="Arial" w:hAnsi="Arial" w:cs="Arial"/>
          <w:bCs/>
          <w:lang w:eastAsia="nl-BE"/>
        </w:rPr>
        <w:t xml:space="preserve"> </w:t>
      </w:r>
      <w:r w:rsidR="004F7E3F" w:rsidRPr="00375E48">
        <w:rPr>
          <w:rFonts w:ascii="Arial" w:hAnsi="Arial" w:cs="Arial"/>
          <w:bCs/>
          <w:lang w:eastAsia="nl-BE"/>
        </w:rPr>
        <w:t xml:space="preserve">bij </w:t>
      </w:r>
      <w:r w:rsidR="004F7E3F" w:rsidRPr="00375E48">
        <w:rPr>
          <w:rFonts w:ascii="Arial" w:hAnsi="Arial" w:cs="Arial"/>
        </w:rPr>
        <w:t xml:space="preserve">725 kinderen in de lagere school </w:t>
      </w:r>
      <w:r w:rsidR="00E274E4" w:rsidRPr="00375E48">
        <w:rPr>
          <w:rFonts w:ascii="Arial" w:hAnsi="Arial" w:cs="Arial"/>
          <w:bCs/>
          <w:lang w:eastAsia="nl-BE"/>
        </w:rPr>
        <w:t>(Burny, Valcke, &amp; Desoete, 2012)</w:t>
      </w:r>
      <w:r w:rsidRPr="00375E48">
        <w:rPr>
          <w:rFonts w:ascii="Arial" w:hAnsi="Arial" w:cs="Arial"/>
          <w:bCs/>
          <w:lang w:eastAsia="nl-BE"/>
        </w:rPr>
        <w:t xml:space="preserve"> bevestigde </w:t>
      </w:r>
      <w:r w:rsidR="00AF0E51">
        <w:rPr>
          <w:rFonts w:ascii="Arial" w:hAnsi="Arial" w:cs="Arial"/>
          <w:bCs/>
          <w:lang w:eastAsia="nl-BE"/>
        </w:rPr>
        <w:t xml:space="preserve">het belang van het nagaan of kinderen kunnen kloklezen. De studie toonde </w:t>
      </w:r>
      <w:r w:rsidR="007A4380" w:rsidRPr="00375E48">
        <w:rPr>
          <w:rFonts w:ascii="Arial" w:hAnsi="Arial" w:cs="Arial"/>
        </w:rPr>
        <w:t xml:space="preserve">significante </w:t>
      </w:r>
      <w:r w:rsidR="004F7E3F" w:rsidRPr="00375E48">
        <w:rPr>
          <w:rFonts w:ascii="Arial" w:hAnsi="Arial" w:cs="Arial"/>
        </w:rPr>
        <w:t>verschillen tussen kinderen met en zonder dyscalculie van in het eerste leerjaar bij het lezen van het volle uur (</w:t>
      </w:r>
      <w:r w:rsidR="004F7E3F" w:rsidRPr="00375E48">
        <w:rPr>
          <w:rFonts w:ascii="Arial" w:hAnsi="Arial" w:cs="Arial"/>
          <w:i/>
        </w:rPr>
        <w:sym w:font="Symbol" w:char="F068"/>
      </w:r>
      <w:r w:rsidR="004F7E3F" w:rsidRPr="00375E48">
        <w:rPr>
          <w:rFonts w:ascii="Arial" w:hAnsi="Arial" w:cs="Arial"/>
          <w:i/>
        </w:rPr>
        <w:t>²</w:t>
      </w:r>
      <w:r w:rsidR="004F7E3F" w:rsidRPr="00375E48">
        <w:rPr>
          <w:rFonts w:ascii="Arial" w:hAnsi="Arial" w:cs="Arial"/>
        </w:rPr>
        <w:t xml:space="preserve"> =.15) en van het halfuur (</w:t>
      </w:r>
      <w:r w:rsidR="004F7E3F" w:rsidRPr="00375E48">
        <w:rPr>
          <w:rFonts w:ascii="Arial" w:hAnsi="Arial" w:cs="Arial"/>
          <w:i/>
        </w:rPr>
        <w:sym w:font="Symbol" w:char="F068"/>
      </w:r>
      <w:r w:rsidR="004F7E3F" w:rsidRPr="00375E48">
        <w:rPr>
          <w:rFonts w:ascii="Arial" w:hAnsi="Arial" w:cs="Arial"/>
          <w:i/>
        </w:rPr>
        <w:t>²</w:t>
      </w:r>
      <w:r w:rsidR="004F7E3F" w:rsidRPr="00375E48">
        <w:rPr>
          <w:rFonts w:ascii="Arial" w:hAnsi="Arial" w:cs="Arial"/>
        </w:rPr>
        <w:t xml:space="preserve"> =.07</w:t>
      </w:r>
      <w:r w:rsidR="007A4380" w:rsidRPr="00375E48">
        <w:rPr>
          <w:rFonts w:ascii="Arial" w:hAnsi="Arial" w:cs="Arial"/>
        </w:rPr>
        <w:t>)</w:t>
      </w:r>
      <w:r w:rsidR="004F7E3F" w:rsidRPr="00375E48">
        <w:rPr>
          <w:rFonts w:ascii="Arial" w:hAnsi="Arial" w:cs="Arial"/>
        </w:rPr>
        <w:t>. In het derde leerjaar</w:t>
      </w:r>
      <w:r w:rsidR="004F7E3F" w:rsidRPr="004F7E3F">
        <w:rPr>
          <w:rFonts w:ascii="Arial" w:hAnsi="Arial" w:cs="Arial"/>
        </w:rPr>
        <w:t xml:space="preserve"> waren </w:t>
      </w:r>
      <w:r w:rsidR="007A4380">
        <w:rPr>
          <w:rFonts w:ascii="Arial" w:hAnsi="Arial" w:cs="Arial"/>
        </w:rPr>
        <w:t xml:space="preserve">er significant verschillen voor zowel </w:t>
      </w:r>
      <w:r w:rsidR="004F7E3F" w:rsidRPr="004F7E3F">
        <w:rPr>
          <w:rFonts w:ascii="Arial" w:hAnsi="Arial" w:cs="Arial"/>
        </w:rPr>
        <w:t xml:space="preserve">de analoge klok </w:t>
      </w:r>
      <w:r w:rsidR="007A4380">
        <w:rPr>
          <w:rFonts w:ascii="Arial" w:hAnsi="Arial" w:cs="Arial"/>
        </w:rPr>
        <w:t>(</w:t>
      </w:r>
      <w:r w:rsidR="004F7E3F" w:rsidRPr="004F7E3F">
        <w:rPr>
          <w:rFonts w:ascii="Arial" w:hAnsi="Arial" w:cs="Arial"/>
          <w:i/>
        </w:rPr>
        <w:sym w:font="Symbol" w:char="F068"/>
      </w:r>
      <w:r w:rsidR="004F7E3F" w:rsidRPr="004F7E3F">
        <w:rPr>
          <w:rFonts w:ascii="Arial" w:hAnsi="Arial" w:cs="Arial"/>
          <w:i/>
        </w:rPr>
        <w:t xml:space="preserve">² </w:t>
      </w:r>
      <w:r w:rsidR="004F7E3F" w:rsidRPr="004F7E3F">
        <w:rPr>
          <w:rFonts w:ascii="Arial" w:hAnsi="Arial" w:cs="Arial"/>
        </w:rPr>
        <w:t>= .13</w:t>
      </w:r>
      <w:r w:rsidR="007A4380">
        <w:rPr>
          <w:rFonts w:ascii="Arial" w:hAnsi="Arial" w:cs="Arial"/>
        </w:rPr>
        <w:t>)</w:t>
      </w:r>
      <w:r w:rsidR="004F7E3F" w:rsidRPr="004F7E3F">
        <w:rPr>
          <w:rFonts w:ascii="Arial" w:hAnsi="Arial" w:cs="Arial"/>
        </w:rPr>
        <w:t xml:space="preserve"> als </w:t>
      </w:r>
      <w:r w:rsidR="004F7E3F">
        <w:rPr>
          <w:rFonts w:ascii="Arial" w:hAnsi="Arial" w:cs="Arial"/>
        </w:rPr>
        <w:t>voor</w:t>
      </w:r>
      <w:r w:rsidR="004F7E3F" w:rsidRPr="004F7E3F">
        <w:rPr>
          <w:rFonts w:ascii="Arial" w:hAnsi="Arial" w:cs="Arial"/>
        </w:rPr>
        <w:t xml:space="preserve"> de digitale klok </w:t>
      </w:r>
      <w:r w:rsidR="007A4380">
        <w:rPr>
          <w:rFonts w:ascii="Arial" w:hAnsi="Arial" w:cs="Arial"/>
        </w:rPr>
        <w:t>(</w:t>
      </w:r>
      <w:r w:rsidR="004F7E3F" w:rsidRPr="004F7E3F">
        <w:rPr>
          <w:rFonts w:ascii="Arial" w:hAnsi="Arial" w:cs="Arial"/>
          <w:i/>
        </w:rPr>
        <w:sym w:font="Symbol" w:char="F068"/>
      </w:r>
      <w:r w:rsidR="004F7E3F" w:rsidRPr="004F7E3F">
        <w:rPr>
          <w:rFonts w:ascii="Arial" w:hAnsi="Arial" w:cs="Arial"/>
          <w:i/>
        </w:rPr>
        <w:t>²</w:t>
      </w:r>
      <w:r w:rsidR="004F7E3F" w:rsidRPr="004F7E3F">
        <w:rPr>
          <w:rFonts w:ascii="Arial" w:hAnsi="Arial" w:cs="Arial"/>
        </w:rPr>
        <w:t xml:space="preserve"> =.08</w:t>
      </w:r>
      <w:r w:rsidR="007A4380">
        <w:rPr>
          <w:rFonts w:ascii="Arial" w:hAnsi="Arial" w:cs="Arial"/>
        </w:rPr>
        <w:t>)</w:t>
      </w:r>
      <w:r w:rsidR="004F7E3F" w:rsidRPr="004F7E3F">
        <w:rPr>
          <w:rFonts w:ascii="Arial" w:hAnsi="Arial" w:cs="Arial"/>
        </w:rPr>
        <w:t xml:space="preserve">. In het vierde leerjaar  bleven kinderen met dyscalculie </w:t>
      </w:r>
      <w:r w:rsidR="007A4380">
        <w:rPr>
          <w:rFonts w:ascii="Arial" w:hAnsi="Arial" w:cs="Arial"/>
        </w:rPr>
        <w:t xml:space="preserve">meer </w:t>
      </w:r>
      <w:r w:rsidR="004F7E3F" w:rsidRPr="004F7E3F">
        <w:rPr>
          <w:rFonts w:ascii="Arial" w:hAnsi="Arial" w:cs="Arial"/>
        </w:rPr>
        <w:t xml:space="preserve">problemen vertonen om de analoge klok tot op vijf minuten  </w:t>
      </w:r>
      <w:r w:rsidR="007A4380">
        <w:rPr>
          <w:rFonts w:ascii="Arial" w:hAnsi="Arial" w:cs="Arial"/>
        </w:rPr>
        <w:t>(</w:t>
      </w:r>
      <w:r w:rsidR="004F7E3F" w:rsidRPr="004F7E3F">
        <w:rPr>
          <w:rFonts w:ascii="Arial" w:hAnsi="Arial" w:cs="Arial"/>
          <w:i/>
        </w:rPr>
        <w:sym w:font="Symbol" w:char="F068"/>
      </w:r>
      <w:r w:rsidR="004F7E3F" w:rsidRPr="004F7E3F">
        <w:rPr>
          <w:rFonts w:ascii="Arial" w:hAnsi="Arial" w:cs="Arial"/>
          <w:i/>
        </w:rPr>
        <w:t>²</w:t>
      </w:r>
      <w:r w:rsidR="004F7E3F" w:rsidRPr="004F7E3F">
        <w:rPr>
          <w:rFonts w:ascii="Arial" w:hAnsi="Arial" w:cs="Arial"/>
        </w:rPr>
        <w:t xml:space="preserve"> =.22</w:t>
      </w:r>
      <w:r w:rsidR="007A4380">
        <w:rPr>
          <w:rFonts w:ascii="Arial" w:hAnsi="Arial" w:cs="Arial"/>
        </w:rPr>
        <w:t>)</w:t>
      </w:r>
      <w:r w:rsidR="004F7E3F" w:rsidRPr="004F7E3F">
        <w:rPr>
          <w:rFonts w:ascii="Arial" w:hAnsi="Arial" w:cs="Arial"/>
        </w:rPr>
        <w:t xml:space="preserve"> en tot op de minuut  </w:t>
      </w:r>
      <w:r w:rsidR="007A4380">
        <w:rPr>
          <w:rFonts w:ascii="Arial" w:hAnsi="Arial" w:cs="Arial"/>
        </w:rPr>
        <w:t>(</w:t>
      </w:r>
      <w:r w:rsidR="004F7E3F" w:rsidRPr="004F7E3F">
        <w:rPr>
          <w:rFonts w:ascii="Arial" w:hAnsi="Arial" w:cs="Arial"/>
          <w:i/>
        </w:rPr>
        <w:sym w:font="Symbol" w:char="F068"/>
      </w:r>
      <w:r w:rsidR="004F7E3F" w:rsidRPr="004F7E3F">
        <w:rPr>
          <w:rFonts w:ascii="Arial" w:hAnsi="Arial" w:cs="Arial"/>
          <w:i/>
        </w:rPr>
        <w:t>²</w:t>
      </w:r>
      <w:r w:rsidR="004F7E3F" w:rsidRPr="004F7E3F">
        <w:rPr>
          <w:rFonts w:ascii="Arial" w:hAnsi="Arial" w:cs="Arial"/>
        </w:rPr>
        <w:t xml:space="preserve"> =.20</w:t>
      </w:r>
      <w:r w:rsidR="007A4380">
        <w:rPr>
          <w:rFonts w:ascii="Arial" w:hAnsi="Arial" w:cs="Arial"/>
        </w:rPr>
        <w:t>)</w:t>
      </w:r>
      <w:r w:rsidR="004F7E3F" w:rsidRPr="004F7E3F">
        <w:rPr>
          <w:rFonts w:ascii="Arial" w:hAnsi="Arial" w:cs="Arial"/>
        </w:rPr>
        <w:t xml:space="preserve">, nauwkeurig </w:t>
      </w:r>
      <w:r w:rsidR="009E0D5E">
        <w:rPr>
          <w:rFonts w:ascii="Arial" w:hAnsi="Arial" w:cs="Arial"/>
        </w:rPr>
        <w:t xml:space="preserve">af </w:t>
      </w:r>
      <w:r w:rsidR="004F7E3F" w:rsidRPr="004F7E3F">
        <w:rPr>
          <w:rFonts w:ascii="Arial" w:hAnsi="Arial" w:cs="Arial"/>
        </w:rPr>
        <w:t>te lezen</w:t>
      </w:r>
      <w:r w:rsidR="007A4380">
        <w:rPr>
          <w:rFonts w:ascii="Arial" w:hAnsi="Arial" w:cs="Arial"/>
        </w:rPr>
        <w:t xml:space="preserve"> dan hun leeftijdsgenoten zonder leerstoornissen</w:t>
      </w:r>
      <w:r w:rsidR="004F7E3F" w:rsidRPr="004F7E3F">
        <w:rPr>
          <w:rFonts w:ascii="Arial" w:hAnsi="Arial" w:cs="Arial"/>
        </w:rPr>
        <w:t xml:space="preserve">. </w:t>
      </w:r>
      <w:r w:rsidR="007A4380">
        <w:rPr>
          <w:rFonts w:ascii="Arial" w:hAnsi="Arial" w:cs="Arial"/>
        </w:rPr>
        <w:t>Ook i</w:t>
      </w:r>
      <w:r w:rsidR="004F7E3F" w:rsidRPr="004F7E3F">
        <w:rPr>
          <w:rFonts w:ascii="Arial" w:hAnsi="Arial" w:cs="Arial"/>
        </w:rPr>
        <w:t>n het vijfde leerjaar</w:t>
      </w:r>
      <w:r w:rsidR="007A4380">
        <w:rPr>
          <w:rFonts w:ascii="Arial" w:hAnsi="Arial" w:cs="Arial"/>
        </w:rPr>
        <w:t xml:space="preserve"> (</w:t>
      </w:r>
      <w:r w:rsidR="004F7E3F" w:rsidRPr="004F7E3F">
        <w:rPr>
          <w:rFonts w:ascii="Arial" w:hAnsi="Arial" w:cs="Arial"/>
          <w:i/>
        </w:rPr>
        <w:sym w:font="Symbol" w:char="F068"/>
      </w:r>
      <w:r w:rsidR="004F7E3F" w:rsidRPr="004F7E3F">
        <w:rPr>
          <w:rFonts w:ascii="Arial" w:hAnsi="Arial" w:cs="Arial"/>
          <w:i/>
        </w:rPr>
        <w:t>²</w:t>
      </w:r>
      <w:r w:rsidR="004F7E3F" w:rsidRPr="004F7E3F">
        <w:rPr>
          <w:rFonts w:ascii="Arial" w:hAnsi="Arial" w:cs="Arial"/>
        </w:rPr>
        <w:t xml:space="preserve"> = .07</w:t>
      </w:r>
      <w:r w:rsidR="007A4380">
        <w:rPr>
          <w:rFonts w:ascii="Arial" w:hAnsi="Arial" w:cs="Arial"/>
        </w:rPr>
        <w:t>) en in het zesde leerjaar (</w:t>
      </w:r>
      <w:r w:rsidR="004F7E3F" w:rsidRPr="004F7E3F">
        <w:rPr>
          <w:rFonts w:ascii="Arial" w:hAnsi="Arial" w:cs="Arial"/>
          <w:i/>
        </w:rPr>
        <w:sym w:font="Symbol" w:char="F068"/>
      </w:r>
      <w:r w:rsidR="004F7E3F" w:rsidRPr="004F7E3F">
        <w:rPr>
          <w:rFonts w:ascii="Arial" w:hAnsi="Arial" w:cs="Arial"/>
          <w:i/>
        </w:rPr>
        <w:t>²</w:t>
      </w:r>
      <w:r w:rsidR="004F7E3F" w:rsidRPr="004F7E3F">
        <w:rPr>
          <w:rFonts w:ascii="Arial" w:hAnsi="Arial" w:cs="Arial"/>
        </w:rPr>
        <w:t xml:space="preserve"> = .06</w:t>
      </w:r>
      <w:r w:rsidR="007A4380">
        <w:rPr>
          <w:rFonts w:ascii="Arial" w:hAnsi="Arial" w:cs="Arial"/>
        </w:rPr>
        <w:t>) hadden kinderen met dyscalculie significant meer problemen dan leeftijdsgenoten met het interpreteren van de digitale klok</w:t>
      </w:r>
      <w:r w:rsidR="00DA0AE1">
        <w:rPr>
          <w:rFonts w:ascii="Arial" w:hAnsi="Arial" w:cs="Arial"/>
        </w:rPr>
        <w:t xml:space="preserve"> (Burny et al., 2012)</w:t>
      </w:r>
      <w:r w:rsidR="004F7E3F" w:rsidRPr="004F7E3F">
        <w:rPr>
          <w:rFonts w:ascii="Arial" w:hAnsi="Arial" w:cs="Arial"/>
        </w:rPr>
        <w:t xml:space="preserve">. </w:t>
      </w:r>
      <w:r w:rsidR="00D97E57">
        <w:rPr>
          <w:rFonts w:ascii="Arial" w:hAnsi="Arial" w:cs="Arial"/>
          <w:bCs/>
          <w:lang w:eastAsia="nl-BE"/>
        </w:rPr>
        <w:t>Ook k</w:t>
      </w:r>
      <w:r w:rsidR="00D97E57">
        <w:rPr>
          <w:rFonts w:ascii="Arial" w:hAnsi="Arial" w:cs="Arial"/>
        </w:rPr>
        <w:t xml:space="preserve">loklezen </w:t>
      </w:r>
      <w:r w:rsidR="00D97E57" w:rsidRPr="00AB7B8E">
        <w:rPr>
          <w:rFonts w:ascii="Arial" w:hAnsi="Arial" w:cs="Arial"/>
          <w:bCs/>
          <w:lang w:eastAsia="nl-BE"/>
        </w:rPr>
        <w:t>(Burny</w:t>
      </w:r>
      <w:r w:rsidR="00D97E57">
        <w:rPr>
          <w:rFonts w:ascii="Arial" w:hAnsi="Arial" w:cs="Arial"/>
          <w:bCs/>
          <w:lang w:eastAsia="nl-BE"/>
        </w:rPr>
        <w:t xml:space="preserve"> et al., 2012)</w:t>
      </w:r>
      <w:r w:rsidR="00D97E57">
        <w:rPr>
          <w:rFonts w:ascii="Arial" w:hAnsi="Arial" w:cs="Arial"/>
        </w:rPr>
        <w:t xml:space="preserve"> nagaan kan dus informatief zijn bij een vermoeden van dyscalculie. </w:t>
      </w:r>
    </w:p>
    <w:p w14:paraId="7C1B743D" w14:textId="4E9AA7B1" w:rsidR="006E4FA4" w:rsidRDefault="009E0D5E" w:rsidP="006E4FA4">
      <w:pPr>
        <w:rPr>
          <w:rFonts w:ascii="Arial" w:hAnsi="Arial" w:cs="Arial"/>
        </w:rPr>
      </w:pPr>
      <w:r>
        <w:rPr>
          <w:rFonts w:ascii="Arial" w:hAnsi="Arial" w:cs="Arial"/>
        </w:rPr>
        <w:t xml:space="preserve">Onderzoek </w:t>
      </w:r>
      <w:r w:rsidR="00AF0E51">
        <w:rPr>
          <w:rFonts w:ascii="Arial" w:hAnsi="Arial" w:cs="Arial"/>
        </w:rPr>
        <w:t>toonde ook</w:t>
      </w:r>
      <w:r>
        <w:rPr>
          <w:rFonts w:ascii="Arial" w:hAnsi="Arial" w:cs="Arial"/>
        </w:rPr>
        <w:t xml:space="preserve"> aan </w:t>
      </w:r>
      <w:r w:rsidR="00D97E57">
        <w:rPr>
          <w:rFonts w:ascii="Arial" w:hAnsi="Arial" w:cs="Arial"/>
        </w:rPr>
        <w:t xml:space="preserve">taal (Praet et al, 2013), maar ook lezen en spellen (Pieters et al., 2013; 2015) nagaan kan informatief zijn bij een vermoeden van dyscalculie. Studies toonden verder aan </w:t>
      </w:r>
      <w:r>
        <w:rPr>
          <w:rFonts w:ascii="Arial" w:hAnsi="Arial" w:cs="Arial"/>
        </w:rPr>
        <w:t>dat heel wat kinderen met leerstoornissen veel negatieve emoties verto</w:t>
      </w:r>
      <w:r w:rsidR="00DA0AE1">
        <w:rPr>
          <w:rFonts w:ascii="Arial" w:hAnsi="Arial" w:cs="Arial"/>
        </w:rPr>
        <w:t>o</w:t>
      </w:r>
      <w:r>
        <w:rPr>
          <w:rFonts w:ascii="Arial" w:hAnsi="Arial" w:cs="Arial"/>
        </w:rPr>
        <w:t>n</w:t>
      </w:r>
      <w:r w:rsidR="00DA0AE1">
        <w:rPr>
          <w:rFonts w:ascii="Arial" w:hAnsi="Arial" w:cs="Arial"/>
        </w:rPr>
        <w:t>d</w:t>
      </w:r>
      <w:r>
        <w:rPr>
          <w:rFonts w:ascii="Arial" w:hAnsi="Arial" w:cs="Arial"/>
        </w:rPr>
        <w:t>en (Baten &amp; Desoete, 2018) en uitv</w:t>
      </w:r>
      <w:r w:rsidR="00DA0AE1">
        <w:rPr>
          <w:rFonts w:ascii="Arial" w:hAnsi="Arial" w:cs="Arial"/>
        </w:rPr>
        <w:t>ie</w:t>
      </w:r>
      <w:r>
        <w:rPr>
          <w:rFonts w:ascii="Arial" w:hAnsi="Arial" w:cs="Arial"/>
        </w:rPr>
        <w:t>len op werkgeheugen (</w:t>
      </w:r>
      <w:r w:rsidRPr="008D1DB9">
        <w:rPr>
          <w:rFonts w:ascii="Arial" w:hAnsi="Arial" w:cs="Arial"/>
        </w:rPr>
        <w:t>De Weerdt, Desoete, &amp; Roeyers, 2013).</w:t>
      </w:r>
      <w:r>
        <w:rPr>
          <w:rFonts w:ascii="Arial" w:hAnsi="Arial" w:cs="Arial"/>
        </w:rPr>
        <w:t xml:space="preserve"> </w:t>
      </w:r>
      <w:r w:rsidR="006E4FA4">
        <w:rPr>
          <w:rFonts w:ascii="Arial" w:hAnsi="Arial" w:cs="Arial"/>
          <w:bCs/>
          <w:lang w:eastAsia="nl-BE"/>
        </w:rPr>
        <w:t xml:space="preserve">De </w:t>
      </w:r>
      <w:r w:rsidR="006E4FA4" w:rsidRPr="00770541">
        <w:rPr>
          <w:rFonts w:ascii="Arial" w:hAnsi="Arial" w:cs="Arial"/>
          <w:bCs/>
          <w:lang w:eastAsia="nl-BE"/>
        </w:rPr>
        <w:t xml:space="preserve">problemen </w:t>
      </w:r>
      <w:r w:rsidR="006E4FA4">
        <w:rPr>
          <w:rFonts w:ascii="Arial" w:hAnsi="Arial" w:cs="Arial"/>
          <w:bCs/>
          <w:lang w:eastAsia="nl-BE"/>
        </w:rPr>
        <w:t xml:space="preserve">bij dyscalculie vaak </w:t>
      </w:r>
      <w:r>
        <w:rPr>
          <w:rFonts w:ascii="Arial" w:hAnsi="Arial" w:cs="Arial"/>
          <w:bCs/>
          <w:lang w:eastAsia="nl-BE"/>
        </w:rPr>
        <w:t>v</w:t>
      </w:r>
      <w:r w:rsidR="006E4FA4" w:rsidRPr="00770541">
        <w:rPr>
          <w:rFonts w:ascii="Arial" w:hAnsi="Arial" w:cs="Arial"/>
          <w:bCs/>
          <w:lang w:eastAsia="nl-BE"/>
        </w:rPr>
        <w:t>oor moeilijkhede</w:t>
      </w:r>
      <w:r w:rsidR="006E4FA4">
        <w:rPr>
          <w:rFonts w:ascii="Arial" w:hAnsi="Arial" w:cs="Arial"/>
          <w:bCs/>
          <w:lang w:eastAsia="nl-BE"/>
        </w:rPr>
        <w:t xml:space="preserve">n zorgen bij </w:t>
      </w:r>
      <w:r w:rsidR="006E4FA4" w:rsidRPr="00770541">
        <w:rPr>
          <w:rFonts w:ascii="Arial" w:hAnsi="Arial" w:cs="Arial"/>
          <w:bCs/>
          <w:lang w:eastAsia="nl-BE"/>
        </w:rPr>
        <w:t xml:space="preserve">het </w:t>
      </w:r>
      <w:r w:rsidR="006E4FA4">
        <w:rPr>
          <w:rFonts w:ascii="Arial" w:hAnsi="Arial" w:cs="Arial"/>
          <w:bCs/>
          <w:lang w:eastAsia="nl-BE"/>
        </w:rPr>
        <w:t xml:space="preserve">leren en </w:t>
      </w:r>
      <w:r w:rsidR="006E4FA4" w:rsidRPr="00770541">
        <w:rPr>
          <w:rFonts w:ascii="Arial" w:hAnsi="Arial" w:cs="Arial"/>
          <w:bCs/>
          <w:lang w:eastAsia="nl-BE"/>
        </w:rPr>
        <w:t>studeren</w:t>
      </w:r>
      <w:r w:rsidR="006E4FA4">
        <w:rPr>
          <w:rFonts w:ascii="Arial" w:hAnsi="Arial" w:cs="Arial"/>
          <w:bCs/>
          <w:lang w:eastAsia="nl-BE"/>
        </w:rPr>
        <w:t xml:space="preserve"> en </w:t>
      </w:r>
      <w:r w:rsidR="006E4FA4" w:rsidRPr="00770541">
        <w:rPr>
          <w:rFonts w:ascii="Arial" w:hAnsi="Arial" w:cs="Arial"/>
          <w:bCs/>
          <w:lang w:eastAsia="nl-BE"/>
        </w:rPr>
        <w:t xml:space="preserve">tijdens </w:t>
      </w:r>
      <w:r w:rsidR="006E4FA4">
        <w:rPr>
          <w:rFonts w:ascii="Arial" w:hAnsi="Arial" w:cs="Arial"/>
          <w:bCs/>
          <w:lang w:eastAsia="nl-BE"/>
        </w:rPr>
        <w:t xml:space="preserve">activiteiten van </w:t>
      </w:r>
      <w:r w:rsidR="006E4FA4" w:rsidRPr="00770541">
        <w:rPr>
          <w:rFonts w:ascii="Arial" w:hAnsi="Arial" w:cs="Arial"/>
          <w:bCs/>
          <w:lang w:eastAsia="nl-BE"/>
        </w:rPr>
        <w:t>het dagelijkse leven (</w:t>
      </w:r>
      <w:r w:rsidR="006E4FA4" w:rsidRPr="00191B91">
        <w:rPr>
          <w:rFonts w:ascii="Arial" w:hAnsi="Arial" w:cs="Arial"/>
          <w:bCs/>
          <w:lang w:eastAsia="nl-BE"/>
        </w:rPr>
        <w:t>betalen, kloklezen, plannen, iets opzoeken, …).  D</w:t>
      </w:r>
      <w:r w:rsidR="006E4FA4">
        <w:rPr>
          <w:rFonts w:ascii="Arial" w:hAnsi="Arial" w:cs="Arial"/>
          <w:bCs/>
          <w:lang w:eastAsia="nl-BE"/>
        </w:rPr>
        <w:t>e impact van d</w:t>
      </w:r>
      <w:r w:rsidR="006E4FA4" w:rsidRPr="00191B91">
        <w:rPr>
          <w:rFonts w:ascii="Arial" w:hAnsi="Arial" w:cs="Arial"/>
          <w:bCs/>
          <w:lang w:eastAsia="nl-BE"/>
        </w:rPr>
        <w:t xml:space="preserve">yscalculie blijft </w:t>
      </w:r>
      <w:r w:rsidR="00EC7316">
        <w:rPr>
          <w:rFonts w:ascii="Arial" w:hAnsi="Arial" w:cs="Arial"/>
          <w:bCs/>
          <w:lang w:eastAsia="nl-BE"/>
        </w:rPr>
        <w:t xml:space="preserve">meestal ook </w:t>
      </w:r>
      <w:r w:rsidR="006E4FA4" w:rsidRPr="00191B91">
        <w:rPr>
          <w:rFonts w:ascii="Arial" w:hAnsi="Arial" w:cs="Arial"/>
          <w:bCs/>
          <w:lang w:eastAsia="nl-BE"/>
        </w:rPr>
        <w:t>tot op volwassen leeftijd bestaan (</w:t>
      </w:r>
      <w:r w:rsidR="006E4FA4" w:rsidRPr="00191B91">
        <w:rPr>
          <w:rFonts w:ascii="Arial" w:hAnsi="Arial" w:cs="Arial"/>
          <w:noProof/>
        </w:rPr>
        <w:t>Deary, Whalley, Lemmon, Crawford, &amp; Starr, 2000; Geary, 2011; R</w:t>
      </w:r>
      <w:r w:rsidR="006E4FA4" w:rsidRPr="00191B91">
        <w:rPr>
          <w:rFonts w:ascii="Arial" w:hAnsi="Arial" w:cs="Arial"/>
        </w:rPr>
        <w:t>itchie, &amp; Bates, 2013).</w:t>
      </w:r>
    </w:p>
    <w:p w14:paraId="44473F5F" w14:textId="2318DFB5" w:rsidR="002C6B52" w:rsidRDefault="00E274E4" w:rsidP="009E0D5E">
      <w:pPr>
        <w:rPr>
          <w:rFonts w:ascii="Arial" w:hAnsi="Arial" w:cs="Arial"/>
          <w:bCs/>
          <w:lang w:eastAsia="nl-BE"/>
        </w:rPr>
      </w:pPr>
      <w:r>
        <w:rPr>
          <w:rFonts w:ascii="Arial" w:hAnsi="Arial" w:cs="Arial"/>
          <w:bCs/>
          <w:lang w:eastAsia="nl-BE"/>
        </w:rPr>
        <w:lastRenderedPageBreak/>
        <w:br/>
      </w:r>
      <w:r w:rsidR="002C6B52">
        <w:rPr>
          <w:rFonts w:ascii="Arial" w:hAnsi="Arial" w:cs="Arial"/>
          <w:bCs/>
          <w:lang w:eastAsia="nl-BE"/>
        </w:rPr>
        <w:t>3.5. Onderzoeksvraag 5</w:t>
      </w:r>
      <w:r w:rsidR="00AB0D4B">
        <w:rPr>
          <w:rFonts w:ascii="Arial" w:hAnsi="Arial" w:cs="Arial"/>
          <w:bCs/>
          <w:lang w:eastAsia="nl-BE"/>
        </w:rPr>
        <w:t>: vergelijking van de tests gebruikt door verschillende instanties.</w:t>
      </w:r>
    </w:p>
    <w:p w14:paraId="7C56F90C" w14:textId="37AE1DBC" w:rsidR="000B11B7" w:rsidRDefault="000B11B7" w:rsidP="00643152">
      <w:pPr>
        <w:spacing w:after="0" w:line="240" w:lineRule="auto"/>
        <w:rPr>
          <w:rFonts w:ascii="Arial" w:hAnsi="Arial" w:cs="Arial"/>
          <w:bCs/>
          <w:lang w:eastAsia="nl-BE"/>
        </w:rPr>
      </w:pPr>
      <w:r w:rsidRPr="00643152">
        <w:rPr>
          <w:rFonts w:ascii="Arial" w:hAnsi="Arial" w:cs="Arial"/>
          <w:bCs/>
          <w:lang w:eastAsia="nl-BE"/>
        </w:rPr>
        <w:t xml:space="preserve">Er zijn </w:t>
      </w:r>
      <w:r w:rsidR="00D661F5">
        <w:rPr>
          <w:rFonts w:ascii="Arial" w:hAnsi="Arial" w:cs="Arial"/>
          <w:bCs/>
          <w:lang w:eastAsia="nl-BE"/>
        </w:rPr>
        <w:t>een aantal</w:t>
      </w:r>
      <w:r w:rsidR="001A4359">
        <w:rPr>
          <w:rFonts w:ascii="Arial" w:hAnsi="Arial" w:cs="Arial"/>
          <w:bCs/>
          <w:lang w:eastAsia="nl-BE"/>
        </w:rPr>
        <w:t xml:space="preserve"> </w:t>
      </w:r>
      <w:r w:rsidRPr="00643152">
        <w:rPr>
          <w:rFonts w:ascii="Arial" w:hAnsi="Arial" w:cs="Arial"/>
          <w:bCs/>
          <w:lang w:eastAsia="nl-BE"/>
        </w:rPr>
        <w:t xml:space="preserve">instanties die </w:t>
      </w:r>
      <w:r w:rsidR="00D661F5">
        <w:rPr>
          <w:rFonts w:ascii="Arial" w:hAnsi="Arial" w:cs="Arial"/>
          <w:bCs/>
          <w:lang w:eastAsia="nl-BE"/>
        </w:rPr>
        <w:t xml:space="preserve">ook betrokken </w:t>
      </w:r>
      <w:r w:rsidR="009B4CE6">
        <w:rPr>
          <w:rFonts w:ascii="Arial" w:hAnsi="Arial" w:cs="Arial"/>
          <w:bCs/>
          <w:lang w:eastAsia="nl-BE"/>
        </w:rPr>
        <w:t xml:space="preserve">kunnen </w:t>
      </w:r>
      <w:r w:rsidR="00D661F5">
        <w:rPr>
          <w:rFonts w:ascii="Arial" w:hAnsi="Arial" w:cs="Arial"/>
          <w:bCs/>
          <w:lang w:eastAsia="nl-BE"/>
        </w:rPr>
        <w:t>zijn i</w:t>
      </w:r>
      <w:r w:rsidR="00643152">
        <w:rPr>
          <w:rFonts w:ascii="Arial" w:hAnsi="Arial" w:cs="Arial"/>
          <w:bCs/>
          <w:lang w:eastAsia="nl-BE"/>
        </w:rPr>
        <w:t xml:space="preserve">n de diagnostiek of </w:t>
      </w:r>
      <w:r w:rsidR="00E95E30">
        <w:rPr>
          <w:rFonts w:ascii="Arial" w:hAnsi="Arial" w:cs="Arial"/>
          <w:bCs/>
          <w:lang w:eastAsia="nl-BE"/>
        </w:rPr>
        <w:t xml:space="preserve">de </w:t>
      </w:r>
      <w:r w:rsidR="00DD395F" w:rsidRPr="00643152">
        <w:rPr>
          <w:rFonts w:ascii="Arial" w:hAnsi="Arial" w:cs="Arial"/>
          <w:bCs/>
          <w:lang w:eastAsia="nl-BE"/>
        </w:rPr>
        <w:t>ondersteuning van kinderen met een leerstoornis mee opnemen</w:t>
      </w:r>
      <w:r w:rsidR="00643152">
        <w:rPr>
          <w:rFonts w:ascii="Arial" w:hAnsi="Arial" w:cs="Arial"/>
          <w:bCs/>
          <w:lang w:eastAsia="nl-BE"/>
        </w:rPr>
        <w:t>.</w:t>
      </w:r>
      <w:r w:rsidR="003753F6">
        <w:rPr>
          <w:rFonts w:ascii="Arial" w:hAnsi="Arial" w:cs="Arial"/>
          <w:bCs/>
          <w:lang w:eastAsia="nl-BE"/>
        </w:rPr>
        <w:t xml:space="preserve"> In 3.4 gaven we al een overzicht van de tests die ingezet kunnen worden in een privépraktijk. </w:t>
      </w:r>
      <w:r w:rsidR="00643152">
        <w:rPr>
          <w:rFonts w:ascii="Arial" w:hAnsi="Arial" w:cs="Arial"/>
          <w:bCs/>
          <w:lang w:eastAsia="nl-BE"/>
        </w:rPr>
        <w:t xml:space="preserve"> </w:t>
      </w:r>
      <w:r w:rsidR="00DD395F" w:rsidRPr="00643152">
        <w:rPr>
          <w:rFonts w:ascii="Arial" w:hAnsi="Arial" w:cs="Arial"/>
          <w:bCs/>
          <w:lang w:eastAsia="nl-BE"/>
        </w:rPr>
        <w:t xml:space="preserve">We </w:t>
      </w:r>
      <w:r w:rsidR="00484B17">
        <w:rPr>
          <w:rFonts w:ascii="Arial" w:hAnsi="Arial" w:cs="Arial"/>
          <w:bCs/>
          <w:lang w:eastAsia="nl-BE"/>
        </w:rPr>
        <w:t xml:space="preserve">gaan </w:t>
      </w:r>
      <w:r w:rsidR="003753F6">
        <w:rPr>
          <w:rFonts w:ascii="Arial" w:hAnsi="Arial" w:cs="Arial"/>
          <w:bCs/>
          <w:lang w:eastAsia="nl-BE"/>
        </w:rPr>
        <w:t xml:space="preserve">hier </w:t>
      </w:r>
      <w:r w:rsidR="00484B17">
        <w:rPr>
          <w:rFonts w:ascii="Arial" w:hAnsi="Arial" w:cs="Arial"/>
          <w:bCs/>
          <w:lang w:eastAsia="nl-BE"/>
        </w:rPr>
        <w:t xml:space="preserve">na </w:t>
      </w:r>
      <w:r w:rsidR="00643152">
        <w:rPr>
          <w:rFonts w:ascii="Arial" w:hAnsi="Arial" w:cs="Arial"/>
          <w:bCs/>
          <w:lang w:eastAsia="nl-BE"/>
        </w:rPr>
        <w:t xml:space="preserve">hoe de diagnostiek verloopt in de </w:t>
      </w:r>
      <w:r w:rsidR="00DD395F" w:rsidRPr="00643152">
        <w:rPr>
          <w:rFonts w:ascii="Arial" w:hAnsi="Arial" w:cs="Arial"/>
          <w:bCs/>
          <w:lang w:eastAsia="nl-BE"/>
        </w:rPr>
        <w:t>centr</w:t>
      </w:r>
      <w:r w:rsidR="00643152">
        <w:rPr>
          <w:rFonts w:ascii="Arial" w:hAnsi="Arial" w:cs="Arial"/>
          <w:bCs/>
          <w:lang w:eastAsia="nl-BE"/>
        </w:rPr>
        <w:t>a</w:t>
      </w:r>
      <w:r w:rsidR="00DD395F" w:rsidRPr="00643152">
        <w:rPr>
          <w:rFonts w:ascii="Arial" w:hAnsi="Arial" w:cs="Arial"/>
          <w:bCs/>
          <w:lang w:eastAsia="nl-BE"/>
        </w:rPr>
        <w:t xml:space="preserve"> voor leerlingbegeleiding (CLB). Vervolgens staan we stil bij de </w:t>
      </w:r>
      <w:r w:rsidR="00553D63">
        <w:rPr>
          <w:rFonts w:ascii="Arial" w:hAnsi="Arial" w:cs="Arial"/>
          <w:bCs/>
          <w:lang w:eastAsia="nl-BE"/>
        </w:rPr>
        <w:t xml:space="preserve">diagnostiek in de </w:t>
      </w:r>
      <w:r w:rsidR="00DD395F" w:rsidRPr="00643152">
        <w:rPr>
          <w:rFonts w:ascii="Arial" w:hAnsi="Arial" w:cs="Arial"/>
          <w:bCs/>
          <w:lang w:eastAsia="nl-BE"/>
        </w:rPr>
        <w:t xml:space="preserve">centra voor ambulante revalidatie (CAR). </w:t>
      </w:r>
    </w:p>
    <w:p w14:paraId="2F9D43E3" w14:textId="77777777" w:rsidR="00484B17" w:rsidRDefault="00484B17" w:rsidP="00643152">
      <w:pPr>
        <w:spacing w:after="0" w:line="240" w:lineRule="auto"/>
        <w:rPr>
          <w:rFonts w:ascii="Arial" w:hAnsi="Arial" w:cs="Arial"/>
          <w:bCs/>
          <w:lang w:eastAsia="nl-BE"/>
        </w:rPr>
      </w:pPr>
    </w:p>
    <w:p w14:paraId="3F421F20" w14:textId="77777777" w:rsidR="00DD395F" w:rsidRPr="00484B17" w:rsidRDefault="00484B17" w:rsidP="00484B17">
      <w:pPr>
        <w:spacing w:after="0" w:line="240" w:lineRule="auto"/>
        <w:rPr>
          <w:rFonts w:ascii="Arial" w:hAnsi="Arial" w:cs="Arial"/>
          <w:bCs/>
          <w:lang w:eastAsia="nl-BE"/>
        </w:rPr>
      </w:pPr>
      <w:r>
        <w:rPr>
          <w:rFonts w:ascii="Arial" w:hAnsi="Arial" w:cs="Arial"/>
          <w:bCs/>
          <w:lang w:eastAsia="nl-BE"/>
        </w:rPr>
        <w:t xml:space="preserve">3.5.1. </w:t>
      </w:r>
      <w:r w:rsidR="00553D63" w:rsidRPr="00484B17">
        <w:rPr>
          <w:rFonts w:ascii="Arial" w:hAnsi="Arial" w:cs="Arial"/>
          <w:bCs/>
          <w:sz w:val="24"/>
          <w:szCs w:val="24"/>
          <w:lang w:eastAsia="nl-BE"/>
        </w:rPr>
        <w:t xml:space="preserve">Diagnostiek binnen de </w:t>
      </w:r>
      <w:r w:rsidR="00DD395F" w:rsidRPr="00484B17">
        <w:rPr>
          <w:rFonts w:ascii="Arial" w:hAnsi="Arial" w:cs="Arial"/>
          <w:bCs/>
          <w:sz w:val="24"/>
          <w:szCs w:val="24"/>
          <w:lang w:eastAsia="nl-BE"/>
        </w:rPr>
        <w:t>Centra voor Leerlingbegeleiding (CLB)</w:t>
      </w:r>
    </w:p>
    <w:p w14:paraId="66B0E949" w14:textId="77777777" w:rsidR="00553D63" w:rsidRDefault="004F4772" w:rsidP="00553D63">
      <w:pPr>
        <w:spacing w:after="0" w:line="240" w:lineRule="auto"/>
        <w:rPr>
          <w:rFonts w:ascii="Arial" w:hAnsi="Arial" w:cs="Arial"/>
          <w:bCs/>
          <w:lang w:eastAsia="nl-BE"/>
        </w:rPr>
      </w:pPr>
      <w:r w:rsidRPr="008D1DB9">
        <w:rPr>
          <w:rFonts w:ascii="Arial" w:hAnsi="Arial" w:cs="Arial"/>
          <w:bCs/>
          <w:lang w:eastAsia="nl-BE"/>
        </w:rPr>
        <w:t>Een school kan een leerling met leerproblemen aanmelden bij het CLB wanneer de verhoogde zorg voor onvoldoende vooruitgang zorgde</w:t>
      </w:r>
      <w:r w:rsidR="00484B17">
        <w:rPr>
          <w:rFonts w:ascii="Arial" w:hAnsi="Arial" w:cs="Arial"/>
          <w:bCs/>
          <w:lang w:eastAsia="nl-BE"/>
        </w:rPr>
        <w:t xml:space="preserve"> en </w:t>
      </w:r>
      <w:r w:rsidRPr="008D1DB9">
        <w:rPr>
          <w:rFonts w:ascii="Arial" w:hAnsi="Arial" w:cs="Arial"/>
          <w:bCs/>
          <w:lang w:eastAsia="nl-BE"/>
        </w:rPr>
        <w:t xml:space="preserve">er behoefte is aan externe ondersteuning. </w:t>
      </w:r>
    </w:p>
    <w:p w14:paraId="2BF28D7B" w14:textId="77777777" w:rsidR="00993148" w:rsidRPr="008D1DB9" w:rsidRDefault="00993148" w:rsidP="00074CEB">
      <w:pPr>
        <w:spacing w:after="0"/>
        <w:ind w:firstLine="360"/>
        <w:jc w:val="center"/>
        <w:rPr>
          <w:rFonts w:ascii="Arial" w:hAnsi="Arial" w:cs="Arial"/>
          <w:bCs/>
          <w:lang w:eastAsia="nl-BE"/>
        </w:rPr>
      </w:pPr>
      <w:r w:rsidRPr="008D1DB9">
        <w:rPr>
          <w:rFonts w:ascii="Arial" w:hAnsi="Arial" w:cs="Arial"/>
          <w:noProof/>
          <w:lang w:eastAsia="nl-BE"/>
        </w:rPr>
        <w:drawing>
          <wp:inline distT="0" distB="0" distL="0" distR="0" wp14:anchorId="568338B1" wp14:editId="0322B0CD">
            <wp:extent cx="3829685" cy="2743933"/>
            <wp:effectExtent l="0" t="0" r="0" b="0"/>
            <wp:docPr id="7"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6"/>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841013" cy="2752049"/>
                    </a:xfrm>
                    <a:prstGeom prst="rect">
                      <a:avLst/>
                    </a:prstGeom>
                  </pic:spPr>
                </pic:pic>
              </a:graphicData>
            </a:graphic>
          </wp:inline>
        </w:drawing>
      </w:r>
    </w:p>
    <w:p w14:paraId="132A7A1C" w14:textId="75BCC50A" w:rsidR="00484B17" w:rsidRPr="001E6E17" w:rsidRDefault="00484B17" w:rsidP="00484B17">
      <w:pPr>
        <w:pStyle w:val="Bijschrift"/>
        <w:rPr>
          <w:rFonts w:ascii="Cambria" w:hAnsi="Cambria"/>
          <w:noProof/>
        </w:rPr>
      </w:pPr>
      <w:r w:rsidRPr="001E6E17">
        <w:rPr>
          <w:rFonts w:ascii="Cambria" w:hAnsi="Cambria"/>
        </w:rPr>
        <w:t>Figuur</w:t>
      </w:r>
      <w:r>
        <w:rPr>
          <w:rFonts w:ascii="Cambria" w:hAnsi="Cambria"/>
        </w:rPr>
        <w:t xml:space="preserve"> 5. Fasen van het zorgcontinuüm</w:t>
      </w:r>
      <w:r w:rsidR="00DF6AD0">
        <w:rPr>
          <w:rFonts w:ascii="Cambria" w:hAnsi="Cambria"/>
        </w:rPr>
        <w:t xml:space="preserve"> (uit PRODIAGNOSTIEK)</w:t>
      </w:r>
    </w:p>
    <w:p w14:paraId="5F9B3027" w14:textId="77777777" w:rsidR="00993148" w:rsidRPr="008D1DB9" w:rsidRDefault="00993148" w:rsidP="00993148">
      <w:pPr>
        <w:spacing w:after="0"/>
        <w:rPr>
          <w:rFonts w:ascii="Arial" w:hAnsi="Arial" w:cs="Arial"/>
          <w:bCs/>
          <w:lang w:eastAsia="nl-BE"/>
        </w:rPr>
      </w:pPr>
    </w:p>
    <w:p w14:paraId="5F9339E8" w14:textId="77777777" w:rsidR="005D6A90" w:rsidRDefault="00BF4E31" w:rsidP="00484B17">
      <w:pPr>
        <w:spacing w:after="0"/>
        <w:rPr>
          <w:rFonts w:ascii="Arial" w:hAnsi="Arial" w:cs="Arial"/>
          <w:bCs/>
          <w:lang w:eastAsia="nl-BE"/>
        </w:rPr>
      </w:pPr>
      <w:r w:rsidRPr="008D1DB9">
        <w:rPr>
          <w:rFonts w:ascii="Arial" w:hAnsi="Arial" w:cs="Arial"/>
          <w:bCs/>
          <w:lang w:eastAsia="nl-BE"/>
        </w:rPr>
        <w:t xml:space="preserve">Het CLB start </w:t>
      </w:r>
      <w:r w:rsidR="00ED5E13">
        <w:rPr>
          <w:rFonts w:ascii="Arial" w:hAnsi="Arial" w:cs="Arial"/>
          <w:bCs/>
          <w:lang w:eastAsia="nl-BE"/>
        </w:rPr>
        <w:t xml:space="preserve">dan </w:t>
      </w:r>
      <w:r w:rsidRPr="008D1DB9">
        <w:rPr>
          <w:rFonts w:ascii="Arial" w:hAnsi="Arial" w:cs="Arial"/>
          <w:bCs/>
          <w:lang w:eastAsia="nl-BE"/>
        </w:rPr>
        <w:t>wat zij noemen een ‘handelingsgericht (HGD-) traject, waarbij overgegaan wordt van ‘verhoogde zorg’ naar ‘uitbreiding van zorg</w:t>
      </w:r>
      <w:r w:rsidR="008E099A" w:rsidRPr="008D1DB9">
        <w:rPr>
          <w:rFonts w:ascii="Arial" w:hAnsi="Arial" w:cs="Arial"/>
          <w:lang w:val="nl-NL"/>
        </w:rPr>
        <w:t xml:space="preserve">. </w:t>
      </w:r>
      <w:r w:rsidRPr="008D1DB9">
        <w:rPr>
          <w:rFonts w:ascii="Arial" w:hAnsi="Arial" w:cs="Arial"/>
          <w:bCs/>
          <w:lang w:eastAsia="nl-BE"/>
        </w:rPr>
        <w:t xml:space="preserve">Tijdens dit </w:t>
      </w:r>
      <w:r w:rsidR="008E099A" w:rsidRPr="008D1DB9">
        <w:rPr>
          <w:rFonts w:ascii="Arial" w:hAnsi="Arial" w:cs="Arial"/>
          <w:bCs/>
          <w:lang w:eastAsia="nl-BE"/>
        </w:rPr>
        <w:t>HGD-</w:t>
      </w:r>
      <w:r w:rsidRPr="008D1DB9">
        <w:rPr>
          <w:rFonts w:ascii="Arial" w:hAnsi="Arial" w:cs="Arial"/>
          <w:bCs/>
          <w:lang w:eastAsia="nl-BE"/>
        </w:rPr>
        <w:t xml:space="preserve">traject ligt de nadruk </w:t>
      </w:r>
      <w:r w:rsidR="00ED5E13">
        <w:rPr>
          <w:rFonts w:ascii="Arial" w:hAnsi="Arial" w:cs="Arial"/>
          <w:bCs/>
          <w:lang w:eastAsia="nl-BE"/>
        </w:rPr>
        <w:t xml:space="preserve">volgens hen </w:t>
      </w:r>
      <w:r w:rsidRPr="008D1DB9">
        <w:rPr>
          <w:rFonts w:ascii="Arial" w:hAnsi="Arial" w:cs="Arial"/>
          <w:bCs/>
          <w:lang w:eastAsia="nl-BE"/>
        </w:rPr>
        <w:t xml:space="preserve">op wat de leerling nodig heeft om zo goed mogelijk te ontwikkelen en te functioneren. </w:t>
      </w:r>
    </w:p>
    <w:p w14:paraId="2E216F25" w14:textId="77777777" w:rsidR="00484B17" w:rsidRDefault="00484B17" w:rsidP="00993148">
      <w:pPr>
        <w:spacing w:after="0"/>
        <w:rPr>
          <w:rFonts w:ascii="Arial" w:hAnsi="Arial" w:cs="Arial"/>
          <w:bCs/>
          <w:lang w:eastAsia="nl-BE"/>
        </w:rPr>
      </w:pPr>
    </w:p>
    <w:p w14:paraId="53B1AD91" w14:textId="1525C485" w:rsidR="008E099A" w:rsidRPr="008D1DB9" w:rsidRDefault="009C39E3" w:rsidP="00993148">
      <w:pPr>
        <w:spacing w:after="0"/>
        <w:rPr>
          <w:rFonts w:ascii="Arial" w:hAnsi="Arial" w:cs="Arial"/>
          <w:bCs/>
          <w:lang w:eastAsia="nl-BE"/>
        </w:rPr>
      </w:pPr>
      <w:r>
        <w:rPr>
          <w:rFonts w:ascii="Arial" w:hAnsi="Arial" w:cs="Arial"/>
          <w:bCs/>
          <w:lang w:eastAsia="nl-BE"/>
        </w:rPr>
        <w:t>Vooraleer</w:t>
      </w:r>
      <w:r w:rsidR="00BF4E31" w:rsidRPr="008D1DB9">
        <w:rPr>
          <w:rFonts w:ascii="Arial" w:hAnsi="Arial" w:cs="Arial"/>
          <w:bCs/>
          <w:lang w:eastAsia="nl-BE"/>
        </w:rPr>
        <w:t xml:space="preserve"> </w:t>
      </w:r>
      <w:r w:rsidR="00484B17">
        <w:rPr>
          <w:rFonts w:ascii="Arial" w:hAnsi="Arial" w:cs="Arial"/>
          <w:bCs/>
          <w:lang w:eastAsia="nl-BE"/>
        </w:rPr>
        <w:t xml:space="preserve">er sprake is van </w:t>
      </w:r>
      <w:r w:rsidR="00BF4E31" w:rsidRPr="008D1DB9">
        <w:rPr>
          <w:rFonts w:ascii="Arial" w:hAnsi="Arial" w:cs="Arial"/>
          <w:bCs/>
          <w:lang w:eastAsia="nl-BE"/>
        </w:rPr>
        <w:t>dyslexie</w:t>
      </w:r>
      <w:r w:rsidR="00484B17">
        <w:rPr>
          <w:rFonts w:ascii="Arial" w:hAnsi="Arial" w:cs="Arial"/>
          <w:bCs/>
          <w:lang w:eastAsia="nl-BE"/>
        </w:rPr>
        <w:t>/dyscalculie</w:t>
      </w:r>
      <w:r w:rsidR="00BF4E31" w:rsidRPr="008D1DB9">
        <w:rPr>
          <w:rFonts w:ascii="Arial" w:hAnsi="Arial" w:cs="Arial"/>
          <w:bCs/>
          <w:lang w:eastAsia="nl-BE"/>
        </w:rPr>
        <w:t xml:space="preserve">, reflecteert het CLB-team over de relevantie van onderzoek hiernaar en </w:t>
      </w:r>
      <w:r w:rsidR="00990EA6">
        <w:rPr>
          <w:rFonts w:ascii="Arial" w:hAnsi="Arial" w:cs="Arial"/>
          <w:bCs/>
          <w:lang w:eastAsia="nl-BE"/>
        </w:rPr>
        <w:t xml:space="preserve">over </w:t>
      </w:r>
      <w:r w:rsidR="00BF4E31" w:rsidRPr="008D1DB9">
        <w:rPr>
          <w:rFonts w:ascii="Arial" w:hAnsi="Arial" w:cs="Arial"/>
          <w:bCs/>
          <w:lang w:eastAsia="nl-BE"/>
        </w:rPr>
        <w:t xml:space="preserve">de mogelijke voor- en  nadelen ervan. Soms betekent een diagnose erkenning van de ernst en hardnekkigheid van de problemen. Wat kan een leerling helpen is een essentiële vraag die het CLB zal meenemen in het HGD-traject.  </w:t>
      </w:r>
    </w:p>
    <w:p w14:paraId="625C6652" w14:textId="77777777" w:rsidR="00484B17" w:rsidRDefault="00484B17" w:rsidP="00553D63">
      <w:pPr>
        <w:spacing w:line="240" w:lineRule="auto"/>
        <w:rPr>
          <w:rFonts w:ascii="Arial" w:hAnsi="Arial" w:cs="Arial"/>
          <w:lang w:val="nl-NL"/>
        </w:rPr>
      </w:pPr>
    </w:p>
    <w:p w14:paraId="0DCE3F0B" w14:textId="722DC3EE" w:rsidR="00990EA6" w:rsidRDefault="002B5FA9" w:rsidP="00553D63">
      <w:pPr>
        <w:spacing w:line="240" w:lineRule="auto"/>
        <w:rPr>
          <w:rStyle w:val="Hyperlink"/>
          <w:rFonts w:ascii="Arial" w:hAnsi="Arial" w:cs="Arial"/>
          <w:color w:val="auto"/>
          <w:u w:val="none"/>
        </w:rPr>
      </w:pPr>
      <w:r w:rsidRPr="008D1DB9">
        <w:rPr>
          <w:rFonts w:ascii="Arial" w:hAnsi="Arial" w:cs="Arial"/>
          <w:lang w:val="nl-NL"/>
        </w:rPr>
        <w:t xml:space="preserve">Het CLB hanteert </w:t>
      </w:r>
      <w:r w:rsidR="00ED5E13">
        <w:rPr>
          <w:rFonts w:ascii="Arial" w:hAnsi="Arial" w:cs="Arial"/>
          <w:lang w:val="nl-NL"/>
        </w:rPr>
        <w:t xml:space="preserve">netoverstijgend </w:t>
      </w:r>
      <w:r w:rsidR="00553D63">
        <w:rPr>
          <w:rFonts w:ascii="Arial" w:hAnsi="Arial" w:cs="Arial"/>
          <w:lang w:val="nl-NL"/>
        </w:rPr>
        <w:t>e</w:t>
      </w:r>
      <w:r w:rsidR="008E099A" w:rsidRPr="008D1DB9">
        <w:rPr>
          <w:rFonts w:ascii="Arial" w:hAnsi="Arial" w:cs="Arial"/>
          <w:lang w:val="nl-NL"/>
        </w:rPr>
        <w:t xml:space="preserve">en </w:t>
      </w:r>
      <w:r w:rsidRPr="008D1DB9">
        <w:rPr>
          <w:rFonts w:ascii="Arial" w:hAnsi="Arial" w:cs="Arial"/>
          <w:lang w:val="nl-NL"/>
        </w:rPr>
        <w:t xml:space="preserve">specifiek diagnostisch </w:t>
      </w:r>
      <w:r w:rsidR="008E099A" w:rsidRPr="008D1DB9">
        <w:rPr>
          <w:rFonts w:ascii="Arial" w:hAnsi="Arial" w:cs="Arial"/>
          <w:lang w:val="nl-NL"/>
        </w:rPr>
        <w:t>‘protocol Lezen en spellen’</w:t>
      </w:r>
      <w:r w:rsidRPr="008D1DB9">
        <w:rPr>
          <w:rStyle w:val="Hyperlink"/>
          <w:rFonts w:ascii="Arial" w:hAnsi="Arial" w:cs="Arial"/>
          <w:color w:val="auto"/>
          <w:u w:val="none"/>
        </w:rPr>
        <w:t xml:space="preserve"> en een specifiek diagnostisch </w:t>
      </w:r>
      <w:r w:rsidR="007E2C42">
        <w:rPr>
          <w:rStyle w:val="Hyperlink"/>
          <w:rFonts w:ascii="Arial" w:hAnsi="Arial" w:cs="Arial"/>
          <w:color w:val="auto"/>
          <w:u w:val="none"/>
        </w:rPr>
        <w:t>‘</w:t>
      </w:r>
      <w:r w:rsidRPr="008D1DB9">
        <w:rPr>
          <w:rStyle w:val="Hyperlink"/>
          <w:rFonts w:ascii="Arial" w:hAnsi="Arial" w:cs="Arial"/>
          <w:color w:val="auto"/>
          <w:u w:val="none"/>
        </w:rPr>
        <w:t>protocol Wiskunde</w:t>
      </w:r>
      <w:r w:rsidR="007E2C42">
        <w:rPr>
          <w:rStyle w:val="Hyperlink"/>
          <w:rFonts w:ascii="Arial" w:hAnsi="Arial" w:cs="Arial"/>
          <w:color w:val="auto"/>
          <w:u w:val="none"/>
        </w:rPr>
        <w:t>’</w:t>
      </w:r>
      <w:r w:rsidR="00AF0E51">
        <w:rPr>
          <w:rStyle w:val="Hyperlink"/>
          <w:rFonts w:ascii="Arial" w:hAnsi="Arial" w:cs="Arial"/>
          <w:color w:val="auto"/>
          <w:u w:val="none"/>
        </w:rPr>
        <w:t xml:space="preserve">. Daarnaast is er </w:t>
      </w:r>
      <w:r w:rsidR="00EE1959" w:rsidRPr="008D1DB9">
        <w:rPr>
          <w:rFonts w:ascii="Arial" w:hAnsi="Arial" w:cs="Arial"/>
        </w:rPr>
        <w:t xml:space="preserve">een ‘toolkit lezen en spellen’ </w:t>
      </w:r>
      <w:r w:rsidR="00EE1959" w:rsidRPr="008D1DB9">
        <w:rPr>
          <w:rStyle w:val="Hyperlink"/>
          <w:rFonts w:ascii="Arial" w:hAnsi="Arial" w:cs="Arial"/>
          <w:color w:val="auto"/>
          <w:u w:val="none"/>
        </w:rPr>
        <w:t xml:space="preserve">en een toolkit Wiskunde </w:t>
      </w:r>
      <w:r w:rsidR="00EE1959">
        <w:rPr>
          <w:rFonts w:ascii="Arial" w:hAnsi="Arial" w:cs="Arial"/>
        </w:rPr>
        <w:t>met</w:t>
      </w:r>
      <w:r w:rsidR="00EE1959" w:rsidRPr="008D1DB9">
        <w:rPr>
          <w:rFonts w:ascii="Arial" w:hAnsi="Arial" w:cs="Arial"/>
        </w:rPr>
        <w:t xml:space="preserve"> </w:t>
      </w:r>
      <w:r w:rsidR="00AF0E51">
        <w:rPr>
          <w:rFonts w:ascii="Arial" w:hAnsi="Arial" w:cs="Arial"/>
        </w:rPr>
        <w:t xml:space="preserve">een overzicht van </w:t>
      </w:r>
      <w:r w:rsidR="00EE1959" w:rsidRPr="008D1DB9">
        <w:rPr>
          <w:rFonts w:ascii="Arial" w:hAnsi="Arial" w:cs="Arial"/>
        </w:rPr>
        <w:t>beschikbare diagnostische materialen (‘de materialenbank’) om met het protocol handelingsgericht aan de slag te gaan</w:t>
      </w:r>
      <w:r w:rsidR="00EE1959">
        <w:rPr>
          <w:rFonts w:ascii="Arial" w:hAnsi="Arial" w:cs="Arial"/>
        </w:rPr>
        <w:t>. Lezen en spellen word</w:t>
      </w:r>
      <w:r w:rsidR="00DA0AE1">
        <w:rPr>
          <w:rFonts w:ascii="Arial" w:hAnsi="Arial" w:cs="Arial"/>
        </w:rPr>
        <w:t>en</w:t>
      </w:r>
      <w:r w:rsidR="00EE1959">
        <w:rPr>
          <w:rFonts w:ascii="Arial" w:hAnsi="Arial" w:cs="Arial"/>
        </w:rPr>
        <w:t xml:space="preserve"> </w:t>
      </w:r>
      <w:r w:rsidR="003753F6">
        <w:rPr>
          <w:rFonts w:ascii="Arial" w:hAnsi="Arial" w:cs="Arial"/>
        </w:rPr>
        <w:t>meestal</w:t>
      </w:r>
      <w:r w:rsidR="00EE1959">
        <w:rPr>
          <w:rFonts w:ascii="Arial" w:hAnsi="Arial" w:cs="Arial"/>
        </w:rPr>
        <w:t xml:space="preserve"> samen met wiskunde </w:t>
      </w:r>
      <w:r w:rsidR="007E2C42">
        <w:rPr>
          <w:rStyle w:val="Hyperlink"/>
          <w:rFonts w:ascii="Arial" w:hAnsi="Arial" w:cs="Arial"/>
          <w:color w:val="auto"/>
          <w:u w:val="none"/>
        </w:rPr>
        <w:t>bekeken</w:t>
      </w:r>
      <w:r w:rsidR="003753F6">
        <w:rPr>
          <w:rStyle w:val="Hyperlink"/>
          <w:rFonts w:ascii="Arial" w:hAnsi="Arial" w:cs="Arial"/>
          <w:color w:val="auto"/>
          <w:u w:val="none"/>
        </w:rPr>
        <w:t xml:space="preserve"> om handelingsgericht een totaalbeeld van de leerling te krijgen</w:t>
      </w:r>
      <w:r w:rsidR="007E2C42">
        <w:rPr>
          <w:rStyle w:val="Hyperlink"/>
          <w:rFonts w:ascii="Arial" w:hAnsi="Arial" w:cs="Arial"/>
          <w:color w:val="auto"/>
          <w:u w:val="none"/>
        </w:rPr>
        <w:t>.</w:t>
      </w:r>
      <w:r w:rsidRPr="008D1DB9">
        <w:rPr>
          <w:rStyle w:val="Hyperlink"/>
          <w:rFonts w:ascii="Arial" w:hAnsi="Arial" w:cs="Arial"/>
          <w:color w:val="auto"/>
          <w:u w:val="none"/>
        </w:rPr>
        <w:t xml:space="preserve"> </w:t>
      </w:r>
    </w:p>
    <w:p w14:paraId="1E6712C7" w14:textId="33DEE202" w:rsidR="00DF6AD0" w:rsidRDefault="008E099A" w:rsidP="00DF6AD0">
      <w:pPr>
        <w:spacing w:after="0" w:line="240" w:lineRule="auto"/>
        <w:rPr>
          <w:rFonts w:ascii="Arial" w:hAnsi="Arial" w:cs="Arial"/>
        </w:rPr>
      </w:pPr>
      <w:r w:rsidRPr="008D1DB9">
        <w:rPr>
          <w:rFonts w:ascii="Arial" w:hAnsi="Arial" w:cs="Arial"/>
        </w:rPr>
        <w:t>De</w:t>
      </w:r>
      <w:r w:rsidR="00993148" w:rsidRPr="008D1DB9">
        <w:rPr>
          <w:rFonts w:ascii="Arial" w:hAnsi="Arial" w:cs="Arial"/>
        </w:rPr>
        <w:t xml:space="preserve"> </w:t>
      </w:r>
      <w:r w:rsidR="00993148" w:rsidRPr="00592202">
        <w:rPr>
          <w:rFonts w:ascii="Arial" w:hAnsi="Arial" w:cs="Arial"/>
          <w:b/>
        </w:rPr>
        <w:t xml:space="preserve">diagnostische </w:t>
      </w:r>
      <w:r w:rsidRPr="00592202">
        <w:rPr>
          <w:rFonts w:ascii="Arial" w:hAnsi="Arial" w:cs="Arial"/>
          <w:b/>
        </w:rPr>
        <w:t>protocollen</w:t>
      </w:r>
      <w:r w:rsidR="00993148" w:rsidRPr="00592202">
        <w:rPr>
          <w:rFonts w:ascii="Arial" w:hAnsi="Arial" w:cs="Arial"/>
          <w:b/>
        </w:rPr>
        <w:t xml:space="preserve"> </w:t>
      </w:r>
      <w:r w:rsidR="00990EA6">
        <w:rPr>
          <w:rFonts w:ascii="Arial" w:hAnsi="Arial" w:cs="Arial"/>
          <w:b/>
        </w:rPr>
        <w:t xml:space="preserve">van het CLB </w:t>
      </w:r>
      <w:r w:rsidRPr="008D1DB9">
        <w:rPr>
          <w:rFonts w:ascii="Arial" w:hAnsi="Arial" w:cs="Arial"/>
        </w:rPr>
        <w:t>bevatten geen standaardbatterij</w:t>
      </w:r>
      <w:r w:rsidR="00ED5E13">
        <w:rPr>
          <w:rFonts w:ascii="Arial" w:hAnsi="Arial" w:cs="Arial"/>
        </w:rPr>
        <w:t xml:space="preserve"> van tests</w:t>
      </w:r>
      <w:r w:rsidRPr="008D1DB9">
        <w:rPr>
          <w:rFonts w:ascii="Arial" w:hAnsi="Arial" w:cs="Arial"/>
        </w:rPr>
        <w:t xml:space="preserve"> die bij elke leerling met leerproblemen </w:t>
      </w:r>
      <w:r w:rsidR="00ED5E13">
        <w:rPr>
          <w:rFonts w:ascii="Arial" w:hAnsi="Arial" w:cs="Arial"/>
        </w:rPr>
        <w:t xml:space="preserve">dient </w:t>
      </w:r>
      <w:r w:rsidRPr="008D1DB9">
        <w:rPr>
          <w:rFonts w:ascii="Arial" w:hAnsi="Arial" w:cs="Arial"/>
        </w:rPr>
        <w:t>afgenomen</w:t>
      </w:r>
      <w:r w:rsidR="00EE1959">
        <w:rPr>
          <w:rFonts w:ascii="Arial" w:hAnsi="Arial" w:cs="Arial"/>
        </w:rPr>
        <w:t xml:space="preserve"> te worden</w:t>
      </w:r>
      <w:r w:rsidR="00DF6AD0">
        <w:rPr>
          <w:rFonts w:ascii="Arial" w:hAnsi="Arial" w:cs="Arial"/>
        </w:rPr>
        <w:t xml:space="preserve"> (</w:t>
      </w:r>
      <w:hyperlink r:id="rId20" w:history="1">
        <w:r w:rsidR="00DF6AD0" w:rsidRPr="00D72508">
          <w:rPr>
            <w:rFonts w:ascii="Arial" w:hAnsi="Arial" w:cs="Arial"/>
          </w:rPr>
          <w:t>http://www.prodiagnostiek.be/?q=protocollen</w:t>
        </w:r>
      </w:hyperlink>
      <w:r w:rsidR="00DF6AD0">
        <w:rPr>
          <w:rFonts w:ascii="Arial" w:hAnsi="Arial" w:cs="Arial"/>
        </w:rPr>
        <w:t>)</w:t>
      </w:r>
      <w:r w:rsidRPr="008D1DB9">
        <w:rPr>
          <w:rFonts w:ascii="Arial" w:hAnsi="Arial" w:cs="Arial"/>
        </w:rPr>
        <w:t xml:space="preserve">. </w:t>
      </w:r>
    </w:p>
    <w:p w14:paraId="08912ED0" w14:textId="77777777" w:rsidR="003753F6" w:rsidRDefault="003753F6" w:rsidP="00DF6AD0">
      <w:pPr>
        <w:spacing w:after="0" w:line="240" w:lineRule="auto"/>
        <w:rPr>
          <w:rFonts w:ascii="Arial" w:hAnsi="Arial" w:cs="Arial"/>
        </w:rPr>
      </w:pPr>
    </w:p>
    <w:p w14:paraId="3C554803" w14:textId="2950DE26" w:rsidR="00ED5E13" w:rsidRDefault="008E099A" w:rsidP="00DF6AD0">
      <w:pPr>
        <w:spacing w:after="0" w:line="240" w:lineRule="auto"/>
        <w:rPr>
          <w:rFonts w:ascii="Arial" w:hAnsi="Arial" w:cs="Arial"/>
        </w:rPr>
      </w:pPr>
      <w:r w:rsidRPr="008D1DB9">
        <w:rPr>
          <w:rFonts w:ascii="Arial" w:hAnsi="Arial" w:cs="Arial"/>
        </w:rPr>
        <w:lastRenderedPageBreak/>
        <w:t xml:space="preserve">De relevante hypotheses worden getoetst. </w:t>
      </w:r>
      <w:r w:rsidR="00ED5E13">
        <w:rPr>
          <w:rFonts w:ascii="Arial" w:hAnsi="Arial" w:cs="Arial"/>
        </w:rPr>
        <w:t>Wat niet helpt om de hulpvraag te</w:t>
      </w:r>
      <w:r w:rsidRPr="008D1DB9">
        <w:rPr>
          <w:rFonts w:ascii="Arial" w:hAnsi="Arial" w:cs="Arial"/>
        </w:rPr>
        <w:t xml:space="preserve"> beantwoorden</w:t>
      </w:r>
      <w:r w:rsidR="00ED5E13">
        <w:rPr>
          <w:rFonts w:ascii="Arial" w:hAnsi="Arial" w:cs="Arial"/>
        </w:rPr>
        <w:t xml:space="preserve"> (zoals </w:t>
      </w:r>
      <w:r w:rsidR="00EE1959">
        <w:rPr>
          <w:rFonts w:ascii="Arial" w:hAnsi="Arial" w:cs="Arial"/>
        </w:rPr>
        <w:t xml:space="preserve">soms </w:t>
      </w:r>
      <w:r w:rsidR="00ED5E13">
        <w:rPr>
          <w:rFonts w:ascii="Arial" w:hAnsi="Arial" w:cs="Arial"/>
        </w:rPr>
        <w:t xml:space="preserve">het kennen van het TIQ) wordt </w:t>
      </w:r>
      <w:r w:rsidR="00990EA6">
        <w:rPr>
          <w:rFonts w:ascii="Arial" w:hAnsi="Arial" w:cs="Arial"/>
        </w:rPr>
        <w:t>niet gemeten</w:t>
      </w:r>
      <w:r w:rsidRPr="008D1DB9">
        <w:rPr>
          <w:rFonts w:ascii="Arial" w:hAnsi="Arial" w:cs="Arial"/>
        </w:rPr>
        <w:t xml:space="preserve">. </w:t>
      </w:r>
    </w:p>
    <w:p w14:paraId="563DB1A9" w14:textId="77777777" w:rsidR="00DF6AD0" w:rsidRDefault="00DF6AD0" w:rsidP="00990EA6">
      <w:pPr>
        <w:spacing w:line="240" w:lineRule="auto"/>
        <w:rPr>
          <w:rFonts w:ascii="Arial" w:hAnsi="Arial" w:cs="Arial"/>
        </w:rPr>
      </w:pPr>
    </w:p>
    <w:p w14:paraId="447E4E7A" w14:textId="77777777" w:rsidR="00DF6AD0" w:rsidRDefault="00F069C2" w:rsidP="00DF6AD0">
      <w:pPr>
        <w:spacing w:after="0" w:line="240" w:lineRule="auto"/>
        <w:rPr>
          <w:rFonts w:ascii="Arial" w:hAnsi="Arial" w:cs="Arial"/>
        </w:rPr>
      </w:pPr>
      <w:r>
        <w:rPr>
          <w:rFonts w:ascii="Arial" w:hAnsi="Arial" w:cs="Arial"/>
        </w:rPr>
        <w:t xml:space="preserve">Voor </w:t>
      </w:r>
      <w:r w:rsidR="00D96F63">
        <w:rPr>
          <w:rFonts w:ascii="Arial" w:hAnsi="Arial" w:cs="Arial"/>
        </w:rPr>
        <w:t xml:space="preserve">het onderzoeken van </w:t>
      </w:r>
      <w:r w:rsidR="00D96F63" w:rsidRPr="00592202">
        <w:rPr>
          <w:rFonts w:ascii="Arial" w:hAnsi="Arial" w:cs="Arial"/>
          <w:b/>
        </w:rPr>
        <w:t>lezen</w:t>
      </w:r>
      <w:r w:rsidR="00D96F63">
        <w:rPr>
          <w:rFonts w:ascii="Arial" w:hAnsi="Arial" w:cs="Arial"/>
        </w:rPr>
        <w:t xml:space="preserve"> op woordniveau </w:t>
      </w:r>
      <w:r>
        <w:rPr>
          <w:rFonts w:ascii="Arial" w:hAnsi="Arial" w:cs="Arial"/>
        </w:rPr>
        <w:t>verwijst PRODIA naar LVS-VCLB Lezen 1-2-3 (Van Rompaey &amp; Vandenberghe, 2013) als 1</w:t>
      </w:r>
      <w:r w:rsidRPr="00F069C2">
        <w:rPr>
          <w:rFonts w:ascii="Arial" w:hAnsi="Arial" w:cs="Arial"/>
          <w:vertAlign w:val="superscript"/>
        </w:rPr>
        <w:t>ste</w:t>
      </w:r>
      <w:r>
        <w:rPr>
          <w:rFonts w:ascii="Arial" w:hAnsi="Arial" w:cs="Arial"/>
        </w:rPr>
        <w:t xml:space="preserve"> keuze</w:t>
      </w:r>
      <w:r w:rsidR="00DF6AD0">
        <w:rPr>
          <w:rFonts w:ascii="Arial" w:hAnsi="Arial" w:cs="Arial"/>
        </w:rPr>
        <w:t xml:space="preserve"> (</w:t>
      </w:r>
      <w:hyperlink r:id="rId21" w:history="1">
        <w:r w:rsidR="00DF6AD0" w:rsidRPr="00DF6AD0">
          <w:rPr>
            <w:rStyle w:val="Hyperlink"/>
            <w:rFonts w:ascii="Arial" w:hAnsi="Arial" w:cs="Arial"/>
            <w:color w:val="auto"/>
            <w:u w:val="none"/>
          </w:rPr>
          <w:t>http://www.prodiagnostiek.be/?q=lezen-spellen</w:t>
        </w:r>
      </w:hyperlink>
      <w:r w:rsidR="00DF6AD0" w:rsidRPr="00DF6AD0">
        <w:rPr>
          <w:rStyle w:val="Hyperlink"/>
          <w:rFonts w:ascii="Arial" w:hAnsi="Arial" w:cs="Arial"/>
          <w:color w:val="auto"/>
          <w:u w:val="none"/>
        </w:rPr>
        <w:t>)</w:t>
      </w:r>
      <w:r>
        <w:rPr>
          <w:rFonts w:ascii="Arial" w:hAnsi="Arial" w:cs="Arial"/>
        </w:rPr>
        <w:t>.</w:t>
      </w:r>
      <w:r w:rsidR="00D96F63">
        <w:rPr>
          <w:rFonts w:ascii="Arial" w:hAnsi="Arial" w:cs="Arial"/>
        </w:rPr>
        <w:t xml:space="preserve"> </w:t>
      </w:r>
    </w:p>
    <w:p w14:paraId="368A43A3" w14:textId="495D2B83" w:rsidR="003753F6" w:rsidRDefault="00DA0AE1" w:rsidP="00DF6AD0">
      <w:pPr>
        <w:spacing w:before="240" w:after="0" w:line="240" w:lineRule="auto"/>
        <w:rPr>
          <w:rFonts w:ascii="Arial" w:hAnsi="Arial" w:cs="Arial"/>
        </w:rPr>
      </w:pPr>
      <w:r>
        <w:rPr>
          <w:rFonts w:ascii="Arial" w:hAnsi="Arial" w:cs="Arial"/>
        </w:rPr>
        <w:t>PRODIA  stelt</w:t>
      </w:r>
      <w:r w:rsidR="00D96F63">
        <w:rPr>
          <w:rFonts w:ascii="Arial" w:hAnsi="Arial" w:cs="Arial"/>
        </w:rPr>
        <w:t xml:space="preserve"> verder dat de Vlaamse Test Begrijpend Lezen (VTBL Van Vreckem et al., 2010) de eerste keuze is</w:t>
      </w:r>
      <w:r w:rsidR="009C39E3">
        <w:rPr>
          <w:rFonts w:ascii="Arial" w:hAnsi="Arial" w:cs="Arial"/>
        </w:rPr>
        <w:t xml:space="preserve"> om</w:t>
      </w:r>
      <w:r w:rsidR="00D96F63">
        <w:rPr>
          <w:rFonts w:ascii="Arial" w:hAnsi="Arial" w:cs="Arial"/>
        </w:rPr>
        <w:t xml:space="preserve"> </w:t>
      </w:r>
      <w:r>
        <w:rPr>
          <w:rFonts w:ascii="Arial" w:hAnsi="Arial" w:cs="Arial"/>
        </w:rPr>
        <w:t xml:space="preserve">het </w:t>
      </w:r>
      <w:r w:rsidR="00D96F63" w:rsidRPr="00592202">
        <w:rPr>
          <w:rFonts w:ascii="Arial" w:hAnsi="Arial" w:cs="Arial"/>
          <w:b/>
        </w:rPr>
        <w:t>begrijpend lezen</w:t>
      </w:r>
      <w:r w:rsidR="00D96F63">
        <w:rPr>
          <w:rFonts w:ascii="Arial" w:hAnsi="Arial" w:cs="Arial"/>
        </w:rPr>
        <w:t xml:space="preserve"> </w:t>
      </w:r>
      <w:r>
        <w:rPr>
          <w:rFonts w:ascii="Arial" w:hAnsi="Arial" w:cs="Arial"/>
        </w:rPr>
        <w:t>te objectiveren</w:t>
      </w:r>
      <w:r w:rsidR="00D96F63">
        <w:rPr>
          <w:rFonts w:ascii="Arial" w:hAnsi="Arial" w:cs="Arial"/>
        </w:rPr>
        <w:t xml:space="preserve">. </w:t>
      </w:r>
    </w:p>
    <w:p w14:paraId="773733D3" w14:textId="35556DFB" w:rsidR="005B1B49" w:rsidRDefault="00D96F63" w:rsidP="00DF6AD0">
      <w:pPr>
        <w:spacing w:before="240" w:after="0" w:line="240" w:lineRule="auto"/>
        <w:rPr>
          <w:rFonts w:ascii="Arial" w:hAnsi="Arial" w:cs="Arial"/>
        </w:rPr>
      </w:pPr>
      <w:r>
        <w:rPr>
          <w:rFonts w:ascii="Arial" w:hAnsi="Arial" w:cs="Arial"/>
        </w:rPr>
        <w:t xml:space="preserve">Voor het meten van </w:t>
      </w:r>
      <w:r w:rsidRPr="00592202">
        <w:rPr>
          <w:rFonts w:ascii="Arial" w:hAnsi="Arial" w:cs="Arial"/>
          <w:b/>
        </w:rPr>
        <w:t>spellen</w:t>
      </w:r>
      <w:r>
        <w:rPr>
          <w:rFonts w:ascii="Arial" w:hAnsi="Arial" w:cs="Arial"/>
        </w:rPr>
        <w:t xml:space="preserve"> </w:t>
      </w:r>
      <w:r w:rsidR="00EE1959">
        <w:rPr>
          <w:rFonts w:ascii="Arial" w:hAnsi="Arial" w:cs="Arial"/>
        </w:rPr>
        <w:t>opte</w:t>
      </w:r>
      <w:r w:rsidR="00DA0AE1">
        <w:rPr>
          <w:rFonts w:ascii="Arial" w:hAnsi="Arial" w:cs="Arial"/>
        </w:rPr>
        <w:t>e</w:t>
      </w:r>
      <w:r w:rsidR="00EE1959">
        <w:rPr>
          <w:rFonts w:ascii="Arial" w:hAnsi="Arial" w:cs="Arial"/>
        </w:rPr>
        <w:t>r</w:t>
      </w:r>
      <w:r w:rsidR="00DA0AE1">
        <w:rPr>
          <w:rFonts w:ascii="Arial" w:hAnsi="Arial" w:cs="Arial"/>
        </w:rPr>
        <w:t>t PRODIA</w:t>
      </w:r>
      <w:r w:rsidR="00EE1959">
        <w:rPr>
          <w:rFonts w:ascii="Arial" w:hAnsi="Arial" w:cs="Arial"/>
        </w:rPr>
        <w:t xml:space="preserve"> voor </w:t>
      </w:r>
      <w:r>
        <w:rPr>
          <w:rFonts w:ascii="Arial" w:hAnsi="Arial" w:cs="Arial"/>
        </w:rPr>
        <w:t>de</w:t>
      </w:r>
      <w:r w:rsidR="00592202">
        <w:rPr>
          <w:rFonts w:ascii="Arial" w:hAnsi="Arial" w:cs="Arial"/>
        </w:rPr>
        <w:t xml:space="preserve"> </w:t>
      </w:r>
      <w:r w:rsidR="00057568" w:rsidRPr="00E477AD">
        <w:rPr>
          <w:rFonts w:ascii="Arial" w:hAnsi="Arial" w:cs="Arial"/>
        </w:rPr>
        <w:t>Spellingstest voor kinderen van het 1</w:t>
      </w:r>
      <w:r w:rsidR="00057568" w:rsidRPr="00E477AD">
        <w:rPr>
          <w:rFonts w:ascii="Arial" w:hAnsi="Arial" w:cs="Arial"/>
          <w:vertAlign w:val="superscript"/>
        </w:rPr>
        <w:t>ste</w:t>
      </w:r>
      <w:r w:rsidR="00057568" w:rsidRPr="00E477AD">
        <w:rPr>
          <w:rFonts w:ascii="Arial" w:hAnsi="Arial" w:cs="Arial"/>
        </w:rPr>
        <w:t xml:space="preserve"> tot 6</w:t>
      </w:r>
      <w:r w:rsidR="00057568" w:rsidRPr="00E477AD">
        <w:rPr>
          <w:rFonts w:ascii="Arial" w:hAnsi="Arial" w:cs="Arial"/>
          <w:vertAlign w:val="superscript"/>
        </w:rPr>
        <w:t>de</w:t>
      </w:r>
      <w:r w:rsidR="00057568" w:rsidRPr="00E477AD">
        <w:rPr>
          <w:rFonts w:ascii="Arial" w:hAnsi="Arial" w:cs="Arial"/>
        </w:rPr>
        <w:t xml:space="preserve"> leerjaar (Van Vreckem &amp; Desoete, 2016)</w:t>
      </w:r>
      <w:r>
        <w:rPr>
          <w:rFonts w:ascii="Arial" w:hAnsi="Arial" w:cs="Arial"/>
        </w:rPr>
        <w:t xml:space="preserve"> </w:t>
      </w:r>
      <w:r w:rsidR="00EE1959">
        <w:rPr>
          <w:rFonts w:ascii="Arial" w:hAnsi="Arial" w:cs="Arial"/>
        </w:rPr>
        <w:t>als</w:t>
      </w:r>
      <w:r>
        <w:rPr>
          <w:rFonts w:ascii="Arial" w:hAnsi="Arial" w:cs="Arial"/>
        </w:rPr>
        <w:t xml:space="preserve"> 1</w:t>
      </w:r>
      <w:r w:rsidRPr="00D96F63">
        <w:rPr>
          <w:rFonts w:ascii="Arial" w:hAnsi="Arial" w:cs="Arial"/>
          <w:vertAlign w:val="superscript"/>
        </w:rPr>
        <w:t>ste</w:t>
      </w:r>
      <w:r>
        <w:rPr>
          <w:rFonts w:ascii="Arial" w:hAnsi="Arial" w:cs="Arial"/>
        </w:rPr>
        <w:t xml:space="preserve"> keuze</w:t>
      </w:r>
      <w:r w:rsidR="005B1B49">
        <w:rPr>
          <w:rFonts w:ascii="Arial" w:hAnsi="Arial" w:cs="Arial"/>
        </w:rPr>
        <w:t>.</w:t>
      </w:r>
    </w:p>
    <w:p w14:paraId="2EB86BB7" w14:textId="382ED1E6" w:rsidR="00AF0E51" w:rsidRDefault="00DF6AD0" w:rsidP="00DF6AD0">
      <w:pPr>
        <w:spacing w:before="240" w:after="0" w:line="240" w:lineRule="auto"/>
        <w:rPr>
          <w:rFonts w:ascii="Arial" w:hAnsi="Arial" w:cs="Arial"/>
        </w:rPr>
      </w:pPr>
      <w:r>
        <w:rPr>
          <w:rFonts w:ascii="Arial" w:hAnsi="Arial" w:cs="Arial"/>
        </w:rPr>
        <w:t>(</w:t>
      </w:r>
      <w:hyperlink r:id="rId22" w:history="1">
        <w:r w:rsidRPr="00DF6AD0">
          <w:rPr>
            <w:rStyle w:val="Hyperlink"/>
            <w:rFonts w:ascii="Arial" w:hAnsi="Arial" w:cs="Arial"/>
            <w:color w:val="auto"/>
            <w:u w:val="none"/>
          </w:rPr>
          <w:t>http://www.prodiagnostiek.be/?q=lezen-spellen</w:t>
        </w:r>
      </w:hyperlink>
      <w:r>
        <w:rPr>
          <w:rFonts w:ascii="Arial" w:hAnsi="Arial" w:cs="Arial"/>
        </w:rPr>
        <w:t>)</w:t>
      </w:r>
      <w:r w:rsidR="00057568" w:rsidRPr="00E477AD">
        <w:rPr>
          <w:rFonts w:ascii="Arial" w:hAnsi="Arial" w:cs="Arial"/>
        </w:rPr>
        <w:t xml:space="preserve">. </w:t>
      </w:r>
    </w:p>
    <w:p w14:paraId="752C458C" w14:textId="77777777" w:rsidR="00DF6AD0" w:rsidRDefault="00DF6AD0" w:rsidP="00DF6AD0">
      <w:pPr>
        <w:spacing w:before="240" w:after="0" w:line="240" w:lineRule="auto"/>
        <w:rPr>
          <w:rFonts w:ascii="Arial" w:hAnsi="Arial" w:cs="Arial"/>
        </w:rPr>
      </w:pPr>
    </w:p>
    <w:p w14:paraId="74091009" w14:textId="6784CB44" w:rsidR="00733FF7" w:rsidRDefault="00733FF7" w:rsidP="00990EA6">
      <w:pPr>
        <w:spacing w:line="240" w:lineRule="auto"/>
        <w:rPr>
          <w:rFonts w:ascii="Arial" w:hAnsi="Arial" w:cs="Arial"/>
        </w:rPr>
      </w:pPr>
      <w:r>
        <w:rPr>
          <w:rFonts w:ascii="Arial" w:hAnsi="Arial" w:cs="Arial"/>
        </w:rPr>
        <w:t xml:space="preserve">Voor het </w:t>
      </w:r>
      <w:r w:rsidR="00D96F63">
        <w:rPr>
          <w:rFonts w:ascii="Arial" w:hAnsi="Arial" w:cs="Arial"/>
        </w:rPr>
        <w:t xml:space="preserve">lezen in het </w:t>
      </w:r>
      <w:r w:rsidRPr="00592202">
        <w:rPr>
          <w:rFonts w:ascii="Arial" w:hAnsi="Arial" w:cs="Arial"/>
          <w:b/>
        </w:rPr>
        <w:t>secundair onderwijs</w:t>
      </w:r>
      <w:r>
        <w:rPr>
          <w:rFonts w:ascii="Arial" w:hAnsi="Arial" w:cs="Arial"/>
        </w:rPr>
        <w:t xml:space="preserve"> verwijst PRODIA naar de IDAA (Van der Leij, 2012) als 1</w:t>
      </w:r>
      <w:r w:rsidRPr="00D661F5">
        <w:rPr>
          <w:rFonts w:ascii="Arial" w:hAnsi="Arial" w:cs="Arial"/>
          <w:vertAlign w:val="superscript"/>
        </w:rPr>
        <w:t>ste</w:t>
      </w:r>
      <w:r>
        <w:rPr>
          <w:rFonts w:ascii="Arial" w:hAnsi="Arial" w:cs="Arial"/>
        </w:rPr>
        <w:t xml:space="preserve"> keuze test. </w:t>
      </w:r>
      <w:r w:rsidR="00D96F63">
        <w:rPr>
          <w:rFonts w:ascii="Arial" w:hAnsi="Arial" w:cs="Arial"/>
        </w:rPr>
        <w:t>Voor spelling verwijzen ze naar de Test Geautomatiseerd Spellen (TASP, Mostaert et al., 2016) en naar de IDAA (Van der Leij, 2012)</w:t>
      </w:r>
      <w:r w:rsidR="00885081">
        <w:rPr>
          <w:rFonts w:ascii="Arial" w:hAnsi="Arial" w:cs="Arial"/>
        </w:rPr>
        <w:t>. Al deze test</w:t>
      </w:r>
      <w:r w:rsidR="0091458A">
        <w:rPr>
          <w:rFonts w:ascii="Arial" w:hAnsi="Arial" w:cs="Arial"/>
        </w:rPr>
        <w:t>s</w:t>
      </w:r>
      <w:r w:rsidR="00885081">
        <w:rPr>
          <w:rFonts w:ascii="Arial" w:hAnsi="Arial" w:cs="Arial"/>
        </w:rPr>
        <w:t xml:space="preserve"> hebben</w:t>
      </w:r>
      <w:r w:rsidR="00D96F63">
        <w:rPr>
          <w:rFonts w:ascii="Arial" w:hAnsi="Arial" w:cs="Arial"/>
        </w:rPr>
        <w:t xml:space="preserve"> normen voor 16</w:t>
      </w:r>
      <w:r w:rsidR="009C39E3">
        <w:rPr>
          <w:rFonts w:ascii="Arial" w:hAnsi="Arial" w:cs="Arial"/>
        </w:rPr>
        <w:t>-</w:t>
      </w:r>
      <w:r w:rsidR="00D96F63">
        <w:rPr>
          <w:rFonts w:ascii="Arial" w:hAnsi="Arial" w:cs="Arial"/>
        </w:rPr>
        <w:t xml:space="preserve"> jarigen. </w:t>
      </w:r>
      <w:r w:rsidR="00156D6C">
        <w:rPr>
          <w:rFonts w:ascii="Arial" w:hAnsi="Arial" w:cs="Arial"/>
        </w:rPr>
        <w:t>Er is ook een TODI</w:t>
      </w:r>
      <w:r w:rsidR="004E1A47">
        <w:rPr>
          <w:rFonts w:ascii="Arial" w:hAnsi="Arial" w:cs="Arial"/>
        </w:rPr>
        <w:t>O</w:t>
      </w:r>
      <w:r w:rsidR="00156D6C">
        <w:rPr>
          <w:rFonts w:ascii="Arial" w:hAnsi="Arial" w:cs="Arial"/>
        </w:rPr>
        <w:t>-S toets om spelling na te gaan.</w:t>
      </w:r>
    </w:p>
    <w:p w14:paraId="5F9CF9A0" w14:textId="35DF087A" w:rsidR="003753F6" w:rsidRDefault="00D96F63" w:rsidP="005B1B49">
      <w:pPr>
        <w:rPr>
          <w:rFonts w:ascii="Arial" w:hAnsi="Arial" w:cs="Arial"/>
        </w:rPr>
      </w:pPr>
      <w:r>
        <w:rPr>
          <w:rFonts w:ascii="Arial" w:hAnsi="Arial" w:cs="Arial"/>
        </w:rPr>
        <w:t>Voor het onderzoeken van</w:t>
      </w:r>
      <w:r w:rsidR="006670C9">
        <w:rPr>
          <w:rFonts w:ascii="Arial" w:hAnsi="Arial" w:cs="Arial"/>
        </w:rPr>
        <w:t xml:space="preserve"> </w:t>
      </w:r>
      <w:r w:rsidRPr="00EE1959">
        <w:rPr>
          <w:rFonts w:ascii="Arial" w:hAnsi="Arial" w:cs="Arial"/>
          <w:b/>
        </w:rPr>
        <w:t>reken</w:t>
      </w:r>
      <w:r w:rsidR="00EE1959" w:rsidRPr="00EE1959">
        <w:rPr>
          <w:rFonts w:ascii="Arial" w:hAnsi="Arial" w:cs="Arial"/>
          <w:b/>
        </w:rPr>
        <w:t>feiten</w:t>
      </w:r>
      <w:r w:rsidRPr="00EE1959">
        <w:rPr>
          <w:rFonts w:ascii="Arial" w:hAnsi="Arial" w:cs="Arial"/>
          <w:b/>
        </w:rPr>
        <w:t xml:space="preserve"> </w:t>
      </w:r>
      <w:r>
        <w:rPr>
          <w:rFonts w:ascii="Arial" w:hAnsi="Arial" w:cs="Arial"/>
        </w:rPr>
        <w:t>verwijs</w:t>
      </w:r>
      <w:r w:rsidR="00592202">
        <w:rPr>
          <w:rFonts w:ascii="Arial" w:hAnsi="Arial" w:cs="Arial"/>
        </w:rPr>
        <w:t>t</w:t>
      </w:r>
      <w:r w:rsidR="00CA585E">
        <w:rPr>
          <w:rFonts w:ascii="Arial" w:hAnsi="Arial" w:cs="Arial"/>
        </w:rPr>
        <w:t xml:space="preserve"> PRODIA </w:t>
      </w:r>
      <w:r>
        <w:rPr>
          <w:rFonts w:ascii="Arial" w:hAnsi="Arial" w:cs="Arial"/>
        </w:rPr>
        <w:t xml:space="preserve">naar </w:t>
      </w:r>
      <w:r w:rsidR="00CA585E">
        <w:rPr>
          <w:rFonts w:ascii="Arial" w:hAnsi="Arial" w:cs="Arial"/>
        </w:rPr>
        <w:t>de schoolvaardigheidstoets hoofdrekenen (De Vos, 2008) als 1</w:t>
      </w:r>
      <w:r w:rsidR="00CA585E" w:rsidRPr="00DD3F40">
        <w:rPr>
          <w:rFonts w:ascii="Arial" w:hAnsi="Arial" w:cs="Arial"/>
          <w:vertAlign w:val="superscript"/>
        </w:rPr>
        <w:t>ste</w:t>
      </w:r>
      <w:r w:rsidR="00CA585E">
        <w:rPr>
          <w:rFonts w:ascii="Arial" w:hAnsi="Arial" w:cs="Arial"/>
        </w:rPr>
        <w:t xml:space="preserve"> keuze. De TTA (De Vos, 2010) en de twee tempotoetsen en hoofdrekenen binnen het getalbereik tot 20 (Dudal 2003) </w:t>
      </w:r>
      <w:r w:rsidR="009A0DF5">
        <w:rPr>
          <w:rFonts w:ascii="Arial" w:hAnsi="Arial" w:cs="Arial"/>
        </w:rPr>
        <w:t xml:space="preserve">worden </w:t>
      </w:r>
      <w:r w:rsidR="00CA585E">
        <w:rPr>
          <w:rFonts w:ascii="Arial" w:hAnsi="Arial" w:cs="Arial"/>
        </w:rPr>
        <w:t>opgenomen als tests met een indicerende waarde.</w:t>
      </w:r>
      <w:r w:rsidR="00592202">
        <w:rPr>
          <w:rFonts w:ascii="Arial" w:hAnsi="Arial" w:cs="Arial"/>
        </w:rPr>
        <w:t xml:space="preserve"> </w:t>
      </w:r>
    </w:p>
    <w:p w14:paraId="71C1D868" w14:textId="77777777" w:rsidR="003B1D4D" w:rsidRDefault="00CA585E" w:rsidP="005B1B49">
      <w:pPr>
        <w:rPr>
          <w:rFonts w:ascii="Arial" w:hAnsi="Arial" w:cs="Arial"/>
        </w:rPr>
      </w:pPr>
      <w:r>
        <w:rPr>
          <w:rFonts w:ascii="Arial" w:hAnsi="Arial" w:cs="Arial"/>
        </w:rPr>
        <w:t xml:space="preserve">Om </w:t>
      </w:r>
      <w:r w:rsidRPr="00592202">
        <w:rPr>
          <w:rFonts w:ascii="Arial" w:hAnsi="Arial" w:cs="Arial"/>
          <w:b/>
        </w:rPr>
        <w:t xml:space="preserve">rekenprocedures en getallenkennis </w:t>
      </w:r>
      <w:r>
        <w:rPr>
          <w:rFonts w:ascii="Arial" w:hAnsi="Arial" w:cs="Arial"/>
        </w:rPr>
        <w:t xml:space="preserve">te onderzoeken </w:t>
      </w:r>
      <w:r w:rsidR="00EE1959">
        <w:rPr>
          <w:rFonts w:ascii="Arial" w:hAnsi="Arial" w:cs="Arial"/>
        </w:rPr>
        <w:t xml:space="preserve">verwijst </w:t>
      </w:r>
      <w:r w:rsidR="003B1D4D">
        <w:rPr>
          <w:rFonts w:ascii="Arial" w:hAnsi="Arial" w:cs="Arial"/>
        </w:rPr>
        <w:t>PRODIA</w:t>
      </w:r>
      <w:r w:rsidR="00EE1959">
        <w:rPr>
          <w:rFonts w:ascii="Arial" w:hAnsi="Arial" w:cs="Arial"/>
        </w:rPr>
        <w:t xml:space="preserve"> naar </w:t>
      </w:r>
      <w:r>
        <w:rPr>
          <w:rFonts w:ascii="Arial" w:hAnsi="Arial" w:cs="Arial"/>
        </w:rPr>
        <w:t>de Kortrijkse Rekentests Revisie (KRT-R; Baudonck et al., 2006), de Cognitieve Deelvaardigheden Rekenen (CDR, Desoete &amp; Roeyers, 2006)</w:t>
      </w:r>
      <w:r w:rsidR="00D96F63">
        <w:rPr>
          <w:rFonts w:ascii="Arial" w:hAnsi="Arial" w:cs="Arial"/>
        </w:rPr>
        <w:t xml:space="preserve"> en de Schoolvaardigheidstoets Hoofdrekenen (De Vos, 2008) en het LVS-VCLB Wiskunde Toetsen 1-2 (Van Rompaey &amp; Vandenberghe, 2015) als 1</w:t>
      </w:r>
      <w:r w:rsidR="00D96F63" w:rsidRPr="00D96F63">
        <w:rPr>
          <w:rFonts w:ascii="Arial" w:hAnsi="Arial" w:cs="Arial"/>
          <w:vertAlign w:val="superscript"/>
        </w:rPr>
        <w:t>ste</w:t>
      </w:r>
      <w:r w:rsidR="00D96F63">
        <w:rPr>
          <w:rFonts w:ascii="Arial" w:hAnsi="Arial" w:cs="Arial"/>
        </w:rPr>
        <w:t xml:space="preserve"> keuze</w:t>
      </w:r>
      <w:r>
        <w:rPr>
          <w:rFonts w:ascii="Arial" w:hAnsi="Arial" w:cs="Arial"/>
        </w:rPr>
        <w:t xml:space="preserve">. </w:t>
      </w:r>
    </w:p>
    <w:p w14:paraId="429914BF" w14:textId="4811E66E" w:rsidR="005B1B49" w:rsidRPr="005B1B49" w:rsidRDefault="00CA585E" w:rsidP="005B1B49">
      <w:pPr>
        <w:rPr>
          <w:rFonts w:ascii="Arial" w:hAnsi="Arial" w:cs="Arial"/>
        </w:rPr>
      </w:pPr>
      <w:r>
        <w:rPr>
          <w:rFonts w:ascii="Arial" w:hAnsi="Arial" w:cs="Arial"/>
        </w:rPr>
        <w:t xml:space="preserve">Verder stelt PRODIA dat </w:t>
      </w:r>
      <w:r w:rsidR="00D96F63">
        <w:rPr>
          <w:rFonts w:ascii="Arial" w:hAnsi="Arial" w:cs="Arial"/>
        </w:rPr>
        <w:t xml:space="preserve">de </w:t>
      </w:r>
      <w:r>
        <w:rPr>
          <w:rFonts w:ascii="Arial" w:hAnsi="Arial" w:cs="Arial"/>
        </w:rPr>
        <w:t>Test Meten en Metend Rekenen voor 2</w:t>
      </w:r>
      <w:r w:rsidRPr="00CA69AB">
        <w:rPr>
          <w:rFonts w:ascii="Arial" w:hAnsi="Arial" w:cs="Arial"/>
          <w:vertAlign w:val="superscript"/>
        </w:rPr>
        <w:t>de</w:t>
      </w:r>
      <w:r>
        <w:rPr>
          <w:rFonts w:ascii="Arial" w:hAnsi="Arial" w:cs="Arial"/>
        </w:rPr>
        <w:t xml:space="preserve"> tot het 6</w:t>
      </w:r>
      <w:r w:rsidRPr="00CA69AB">
        <w:rPr>
          <w:rFonts w:ascii="Arial" w:hAnsi="Arial" w:cs="Arial"/>
          <w:vertAlign w:val="superscript"/>
        </w:rPr>
        <w:t>de</w:t>
      </w:r>
      <w:r>
        <w:rPr>
          <w:rFonts w:ascii="Arial" w:hAnsi="Arial" w:cs="Arial"/>
        </w:rPr>
        <w:t xml:space="preserve"> (TMMR2-6; Van De Steene et al., 2016)</w:t>
      </w:r>
      <w:r w:rsidR="005A735F">
        <w:rPr>
          <w:rFonts w:ascii="Arial" w:hAnsi="Arial" w:cs="Arial"/>
        </w:rPr>
        <w:t xml:space="preserve"> </w:t>
      </w:r>
      <w:r w:rsidR="00D96F63">
        <w:rPr>
          <w:rFonts w:ascii="Arial" w:hAnsi="Arial" w:cs="Arial"/>
        </w:rPr>
        <w:t xml:space="preserve">de </w:t>
      </w:r>
      <w:r w:rsidR="005A735F">
        <w:rPr>
          <w:rFonts w:ascii="Arial" w:hAnsi="Arial" w:cs="Arial"/>
        </w:rPr>
        <w:t>1</w:t>
      </w:r>
      <w:r w:rsidR="005A735F" w:rsidRPr="005A735F">
        <w:rPr>
          <w:rFonts w:ascii="Arial" w:hAnsi="Arial" w:cs="Arial"/>
          <w:vertAlign w:val="superscript"/>
        </w:rPr>
        <w:t>ste</w:t>
      </w:r>
      <w:r w:rsidR="005A735F">
        <w:rPr>
          <w:rFonts w:ascii="Arial" w:hAnsi="Arial" w:cs="Arial"/>
        </w:rPr>
        <w:t xml:space="preserve"> keuze</w:t>
      </w:r>
      <w:r w:rsidR="00D96F63">
        <w:rPr>
          <w:rFonts w:ascii="Arial" w:hAnsi="Arial" w:cs="Arial"/>
        </w:rPr>
        <w:t xml:space="preserve"> is om </w:t>
      </w:r>
      <w:r w:rsidR="00D96F63" w:rsidRPr="00592202">
        <w:rPr>
          <w:rFonts w:ascii="Arial" w:hAnsi="Arial" w:cs="Arial"/>
          <w:b/>
        </w:rPr>
        <w:t>meten en metend rekenen</w:t>
      </w:r>
      <w:r w:rsidR="00D96F63">
        <w:rPr>
          <w:rFonts w:ascii="Arial" w:hAnsi="Arial" w:cs="Arial"/>
        </w:rPr>
        <w:t xml:space="preserve"> te objectiveren</w:t>
      </w:r>
      <w:r>
        <w:rPr>
          <w:rFonts w:ascii="Arial" w:hAnsi="Arial" w:cs="Arial"/>
        </w:rPr>
        <w:t>.</w:t>
      </w:r>
      <w:r w:rsidR="00592202">
        <w:rPr>
          <w:rFonts w:ascii="Arial" w:hAnsi="Arial" w:cs="Arial"/>
        </w:rPr>
        <w:t xml:space="preserve"> </w:t>
      </w:r>
      <w:r w:rsidR="005B1B49" w:rsidRPr="005B1B49">
        <w:rPr>
          <w:rStyle w:val="Hyperlink"/>
          <w:rFonts w:ascii="Arial" w:hAnsi="Arial" w:cs="Arial"/>
          <w:color w:val="auto"/>
          <w:u w:val="none"/>
        </w:rPr>
        <w:t>(</w:t>
      </w:r>
      <w:hyperlink r:id="rId23" w:history="1">
        <w:r w:rsidR="005B1B49" w:rsidRPr="005B1B49">
          <w:rPr>
            <w:rStyle w:val="Hyperlink"/>
            <w:rFonts w:ascii="Arial" w:hAnsi="Arial" w:cs="Arial"/>
            <w:color w:val="auto"/>
            <w:u w:val="none"/>
          </w:rPr>
          <w:t>http://www.prodiagnostiek.be/?q=wiskunde</w:t>
        </w:r>
      </w:hyperlink>
      <w:r w:rsidR="005B1B49" w:rsidRPr="005B1B49">
        <w:rPr>
          <w:rStyle w:val="Hyperlink"/>
          <w:rFonts w:ascii="Arial" w:hAnsi="Arial" w:cs="Arial"/>
          <w:color w:val="auto"/>
          <w:u w:val="none"/>
        </w:rPr>
        <w:t>)</w:t>
      </w:r>
    </w:p>
    <w:p w14:paraId="4DA0EB75" w14:textId="6C76DE5F" w:rsidR="00CA585E" w:rsidRPr="00AB7B8E" w:rsidRDefault="00156D6C" w:rsidP="00592202">
      <w:pPr>
        <w:rPr>
          <w:rFonts w:ascii="Arial" w:hAnsi="Arial" w:cs="Arial"/>
        </w:rPr>
      </w:pPr>
      <w:r>
        <w:rPr>
          <w:rFonts w:ascii="Arial" w:hAnsi="Arial" w:cs="Arial"/>
        </w:rPr>
        <w:t xml:space="preserve">Voor het rekenen in het </w:t>
      </w:r>
      <w:r w:rsidRPr="00156D6C">
        <w:rPr>
          <w:rFonts w:ascii="Arial" w:hAnsi="Arial" w:cs="Arial"/>
          <w:b/>
        </w:rPr>
        <w:t>secundair onderwijs</w:t>
      </w:r>
      <w:r w:rsidR="00CA585E">
        <w:rPr>
          <w:rFonts w:ascii="Arial" w:hAnsi="Arial" w:cs="Arial"/>
        </w:rPr>
        <w:t xml:space="preserve"> </w:t>
      </w:r>
      <w:r>
        <w:rPr>
          <w:rFonts w:ascii="Arial" w:hAnsi="Arial" w:cs="Arial"/>
        </w:rPr>
        <w:t>verwijst PRODIA naar de S</w:t>
      </w:r>
      <w:r w:rsidR="00CA585E">
        <w:rPr>
          <w:rFonts w:ascii="Arial" w:hAnsi="Arial" w:cs="Arial"/>
        </w:rPr>
        <w:t xml:space="preserve">choolvaardigheidstoets hoofdrekenen (De Vos, 2008) en het Rekenvaardighedenprofiel (Smits et al., 2016), </w:t>
      </w:r>
      <w:r w:rsidR="00592202">
        <w:rPr>
          <w:rFonts w:ascii="Arial" w:hAnsi="Arial" w:cs="Arial"/>
        </w:rPr>
        <w:t xml:space="preserve">de </w:t>
      </w:r>
      <w:r w:rsidR="00CA585E">
        <w:rPr>
          <w:rFonts w:ascii="Arial" w:hAnsi="Arial" w:cs="Arial"/>
        </w:rPr>
        <w:t>CDR 5</w:t>
      </w:r>
      <w:r w:rsidR="00CA585E" w:rsidRPr="00225624">
        <w:rPr>
          <w:rFonts w:ascii="Arial" w:hAnsi="Arial" w:cs="Arial"/>
          <w:vertAlign w:val="superscript"/>
        </w:rPr>
        <w:t>de</w:t>
      </w:r>
      <w:r w:rsidR="00CA585E">
        <w:rPr>
          <w:rFonts w:ascii="Arial" w:hAnsi="Arial" w:cs="Arial"/>
        </w:rPr>
        <w:t xml:space="preserve"> graad (Desoete </w:t>
      </w:r>
      <w:r w:rsidR="00592202">
        <w:rPr>
          <w:rFonts w:ascii="Arial" w:hAnsi="Arial" w:cs="Arial"/>
        </w:rPr>
        <w:t xml:space="preserve">&amp; Roeyers, 2006) en de </w:t>
      </w:r>
      <w:r w:rsidR="00CA585E">
        <w:rPr>
          <w:rFonts w:ascii="Arial" w:hAnsi="Arial" w:cs="Arial"/>
        </w:rPr>
        <w:t xml:space="preserve"> KRT-R (Baudonck et al., 2006) als 1</w:t>
      </w:r>
      <w:r w:rsidR="00CA585E" w:rsidRPr="00225624">
        <w:rPr>
          <w:rFonts w:ascii="Arial" w:hAnsi="Arial" w:cs="Arial"/>
          <w:vertAlign w:val="superscript"/>
        </w:rPr>
        <w:t>ste</w:t>
      </w:r>
      <w:r w:rsidR="00CA585E">
        <w:rPr>
          <w:rFonts w:ascii="Arial" w:hAnsi="Arial" w:cs="Arial"/>
        </w:rPr>
        <w:t xml:space="preserve"> keuze. De </w:t>
      </w:r>
      <w:r w:rsidR="00CA585E" w:rsidRPr="00AB7B8E">
        <w:rPr>
          <w:rFonts w:ascii="Arial" w:hAnsi="Arial" w:cs="Arial"/>
        </w:rPr>
        <w:t>TODI</w:t>
      </w:r>
      <w:r w:rsidR="004E1A47">
        <w:rPr>
          <w:rFonts w:ascii="Arial" w:hAnsi="Arial" w:cs="Arial"/>
        </w:rPr>
        <w:t>O</w:t>
      </w:r>
      <w:r w:rsidR="00CA585E" w:rsidRPr="00AB7B8E">
        <w:rPr>
          <w:rFonts w:ascii="Arial" w:hAnsi="Arial" w:cs="Arial"/>
        </w:rPr>
        <w:t>-W toets (Smits et al., 2016; Huybens et al., 2017) werd er 2</w:t>
      </w:r>
      <w:r w:rsidR="00CA585E" w:rsidRPr="00AB7B8E">
        <w:rPr>
          <w:rFonts w:ascii="Arial" w:hAnsi="Arial" w:cs="Arial"/>
          <w:vertAlign w:val="superscript"/>
        </w:rPr>
        <w:t>de</w:t>
      </w:r>
      <w:r w:rsidR="00CA585E" w:rsidRPr="00AB7B8E">
        <w:rPr>
          <w:rFonts w:ascii="Arial" w:hAnsi="Arial" w:cs="Arial"/>
        </w:rPr>
        <w:t xml:space="preserve"> keuze</w:t>
      </w:r>
      <w:r w:rsidR="0091458A">
        <w:rPr>
          <w:rFonts w:ascii="Arial" w:hAnsi="Arial" w:cs="Arial"/>
        </w:rPr>
        <w:t>, omwille van geen validiteitsonderzoeken. M</w:t>
      </w:r>
      <w:r w:rsidR="00CA585E" w:rsidRPr="00AB7B8E">
        <w:rPr>
          <w:rFonts w:ascii="Arial" w:hAnsi="Arial" w:cs="Arial"/>
        </w:rPr>
        <w:t>en opteert ervoor om de bevindingen met de TTA of de TTR te beschouwen als ‘ indicerend’</w:t>
      </w:r>
      <w:r w:rsidR="00592202">
        <w:rPr>
          <w:rFonts w:ascii="Arial" w:hAnsi="Arial" w:cs="Arial"/>
        </w:rPr>
        <w:t xml:space="preserve">. </w:t>
      </w:r>
    </w:p>
    <w:p w14:paraId="3175CC5C" w14:textId="77777777" w:rsidR="009C30AE" w:rsidRPr="00AB7B8E" w:rsidRDefault="002B5FA9" w:rsidP="00553D63">
      <w:pPr>
        <w:spacing w:line="240" w:lineRule="auto"/>
        <w:rPr>
          <w:rFonts w:ascii="Arial" w:hAnsi="Arial" w:cs="Arial"/>
          <w:bCs/>
          <w:lang w:eastAsia="nl-BE"/>
        </w:rPr>
      </w:pPr>
      <w:r w:rsidRPr="00AB7B8E">
        <w:rPr>
          <w:rFonts w:ascii="Arial" w:hAnsi="Arial" w:cs="Arial"/>
        </w:rPr>
        <w:t>W</w:t>
      </w:r>
      <w:r w:rsidR="00BF4E31" w:rsidRPr="00AB7B8E">
        <w:rPr>
          <w:rFonts w:ascii="Arial" w:hAnsi="Arial" w:cs="Arial"/>
          <w:bCs/>
          <w:lang w:eastAsia="nl-BE"/>
        </w:rPr>
        <w:t>anneer het CLB een diagnose stelt</w:t>
      </w:r>
      <w:r w:rsidRPr="00AB7B8E">
        <w:rPr>
          <w:rFonts w:ascii="Arial" w:hAnsi="Arial" w:cs="Arial"/>
          <w:bCs/>
          <w:lang w:eastAsia="nl-BE"/>
        </w:rPr>
        <w:t xml:space="preserve">, </w:t>
      </w:r>
      <w:r w:rsidR="00484B17" w:rsidRPr="00AB7B8E">
        <w:rPr>
          <w:rFonts w:ascii="Arial" w:hAnsi="Arial" w:cs="Arial"/>
          <w:bCs/>
          <w:lang w:eastAsia="nl-BE"/>
        </w:rPr>
        <w:t>staat</w:t>
      </w:r>
      <w:r w:rsidRPr="00AB7B8E">
        <w:rPr>
          <w:rFonts w:ascii="Arial" w:hAnsi="Arial" w:cs="Arial"/>
          <w:bCs/>
          <w:lang w:eastAsia="nl-BE"/>
        </w:rPr>
        <w:t xml:space="preserve"> dit in het </w:t>
      </w:r>
      <w:r w:rsidR="00EE1959">
        <w:rPr>
          <w:rFonts w:ascii="Arial" w:hAnsi="Arial" w:cs="Arial"/>
          <w:bCs/>
          <w:lang w:eastAsia="nl-BE"/>
        </w:rPr>
        <w:t>‘</w:t>
      </w:r>
      <w:r w:rsidRPr="00AB7B8E">
        <w:rPr>
          <w:rFonts w:ascii="Arial" w:hAnsi="Arial" w:cs="Arial"/>
          <w:bCs/>
          <w:lang w:eastAsia="nl-BE"/>
        </w:rPr>
        <w:t>HGD</w:t>
      </w:r>
      <w:r w:rsidR="00BF4E31" w:rsidRPr="00AB7B8E">
        <w:rPr>
          <w:rFonts w:ascii="Arial" w:hAnsi="Arial" w:cs="Arial"/>
          <w:bCs/>
          <w:lang w:eastAsia="nl-BE"/>
        </w:rPr>
        <w:t>-verslag</w:t>
      </w:r>
      <w:r w:rsidR="00EE1959">
        <w:rPr>
          <w:rFonts w:ascii="Arial" w:hAnsi="Arial" w:cs="Arial"/>
          <w:bCs/>
          <w:lang w:eastAsia="nl-BE"/>
        </w:rPr>
        <w:t>’</w:t>
      </w:r>
      <w:r w:rsidR="00BF4E31" w:rsidRPr="00AB7B8E">
        <w:rPr>
          <w:rFonts w:ascii="Arial" w:hAnsi="Arial" w:cs="Arial"/>
          <w:bCs/>
          <w:lang w:eastAsia="nl-BE"/>
        </w:rPr>
        <w:t xml:space="preserve"> vermeld. Er is geen apart </w:t>
      </w:r>
      <w:r w:rsidR="00EE1959">
        <w:rPr>
          <w:rFonts w:ascii="Arial" w:hAnsi="Arial" w:cs="Arial"/>
          <w:bCs/>
          <w:lang w:eastAsia="nl-BE"/>
        </w:rPr>
        <w:t>‘</w:t>
      </w:r>
      <w:r w:rsidR="00BF4E31" w:rsidRPr="00AB7B8E">
        <w:rPr>
          <w:rFonts w:ascii="Arial" w:hAnsi="Arial" w:cs="Arial"/>
          <w:bCs/>
          <w:lang w:eastAsia="nl-BE"/>
        </w:rPr>
        <w:t>attest dyslexie/dyscalculie</w:t>
      </w:r>
      <w:r w:rsidR="00EE1959">
        <w:rPr>
          <w:rFonts w:ascii="Arial" w:hAnsi="Arial" w:cs="Arial"/>
          <w:bCs/>
          <w:lang w:eastAsia="nl-BE"/>
        </w:rPr>
        <w:t>’</w:t>
      </w:r>
      <w:r w:rsidR="00BF4E31" w:rsidRPr="00AB7B8E">
        <w:rPr>
          <w:rFonts w:ascii="Arial" w:hAnsi="Arial" w:cs="Arial"/>
          <w:bCs/>
          <w:lang w:eastAsia="nl-BE"/>
        </w:rPr>
        <w:t xml:space="preserve"> meer. In overleg en mits toestemming bezorgt het CLB-team dit HGD-verslag aan het zorgteam van de school en aan externe betrokkenen. Dit verslag kan gebruikt worden bij verwijzing voor logopedische begeleiding</w:t>
      </w:r>
      <w:r w:rsidRPr="00AB7B8E">
        <w:rPr>
          <w:rFonts w:ascii="Arial" w:hAnsi="Arial" w:cs="Arial"/>
          <w:bCs/>
          <w:lang w:eastAsia="nl-BE"/>
        </w:rPr>
        <w:t xml:space="preserve"> en voor het opstellen van redelijke aanpassingen op school</w:t>
      </w:r>
      <w:r w:rsidR="00BF4E31" w:rsidRPr="00AB7B8E">
        <w:rPr>
          <w:rFonts w:ascii="Arial" w:hAnsi="Arial" w:cs="Arial"/>
          <w:bCs/>
          <w:lang w:eastAsia="nl-BE"/>
        </w:rPr>
        <w:t xml:space="preserve">. </w:t>
      </w:r>
    </w:p>
    <w:p w14:paraId="0F2DABA2" w14:textId="77777777" w:rsidR="00DD395F" w:rsidRPr="00AB7B8E" w:rsidRDefault="00DD395F" w:rsidP="00BF4E31">
      <w:pPr>
        <w:spacing w:after="0" w:line="240" w:lineRule="auto"/>
        <w:ind w:firstLine="708"/>
        <w:rPr>
          <w:rFonts w:ascii="Arial" w:hAnsi="Arial" w:cs="Arial"/>
          <w:bCs/>
          <w:lang w:eastAsia="nl-BE"/>
        </w:rPr>
      </w:pPr>
    </w:p>
    <w:p w14:paraId="661E20E5" w14:textId="77777777" w:rsidR="002B5FA9" w:rsidRPr="00AB7B8E" w:rsidRDefault="00553D63" w:rsidP="00484B17">
      <w:pPr>
        <w:pStyle w:val="Lijstalinea"/>
        <w:numPr>
          <w:ilvl w:val="2"/>
          <w:numId w:val="29"/>
        </w:numPr>
        <w:spacing w:after="0" w:line="240" w:lineRule="auto"/>
        <w:rPr>
          <w:rFonts w:ascii="Arial" w:hAnsi="Arial" w:cs="Arial"/>
          <w:lang w:val="fr-FR"/>
        </w:rPr>
      </w:pPr>
      <w:r w:rsidRPr="00AB7B8E">
        <w:rPr>
          <w:rFonts w:ascii="Arial" w:hAnsi="Arial" w:cs="Arial"/>
          <w:lang w:val="fr-FR"/>
        </w:rPr>
        <w:t xml:space="preserve">Diagnostiek binnen de </w:t>
      </w:r>
      <w:r w:rsidR="00DD395F" w:rsidRPr="00AB7B8E">
        <w:rPr>
          <w:rFonts w:ascii="Arial" w:hAnsi="Arial" w:cs="Arial"/>
          <w:lang w:val="fr-FR"/>
        </w:rPr>
        <w:t xml:space="preserve">Centra </w:t>
      </w:r>
      <w:r w:rsidR="002B5FA9" w:rsidRPr="00AB7B8E">
        <w:rPr>
          <w:rFonts w:ascii="Arial" w:hAnsi="Arial" w:cs="Arial"/>
          <w:lang w:val="fr-FR"/>
        </w:rPr>
        <w:t>voor ambulante revalidatie</w:t>
      </w:r>
      <w:r w:rsidR="00DD395F" w:rsidRPr="00AB7B8E">
        <w:rPr>
          <w:rFonts w:ascii="Arial" w:hAnsi="Arial" w:cs="Arial"/>
          <w:lang w:val="fr-FR"/>
        </w:rPr>
        <w:t xml:space="preserve"> (CAR)</w:t>
      </w:r>
    </w:p>
    <w:p w14:paraId="2CE0D021" w14:textId="77777777" w:rsidR="00484B17" w:rsidRPr="00AB7B8E" w:rsidRDefault="00DE594C" w:rsidP="005D6A90">
      <w:pPr>
        <w:rPr>
          <w:rFonts w:ascii="Arial" w:hAnsi="Arial" w:cs="Arial"/>
        </w:rPr>
      </w:pPr>
      <w:r w:rsidRPr="00AB7B8E">
        <w:rPr>
          <w:rFonts w:ascii="Arial" w:hAnsi="Arial" w:cs="Arial"/>
        </w:rPr>
        <w:t xml:space="preserve">Kinderen met een </w:t>
      </w:r>
      <w:r w:rsidR="008F2F65" w:rsidRPr="00AB7B8E">
        <w:rPr>
          <w:rFonts w:ascii="Arial" w:hAnsi="Arial" w:cs="Arial"/>
        </w:rPr>
        <w:t>‘complexe ontwikkelingsstoornis</w:t>
      </w:r>
      <w:r w:rsidRPr="00AB7B8E">
        <w:rPr>
          <w:rFonts w:ascii="Arial" w:hAnsi="Arial" w:cs="Arial"/>
        </w:rPr>
        <w:t>’ (groep 4</w:t>
      </w:r>
      <w:r w:rsidR="008F2F65" w:rsidRPr="00AB7B8E">
        <w:rPr>
          <w:rFonts w:ascii="Arial" w:hAnsi="Arial" w:cs="Arial"/>
        </w:rPr>
        <w:t xml:space="preserve"> waaronder ook de </w:t>
      </w:r>
      <w:r w:rsidR="00643152" w:rsidRPr="00AB7B8E">
        <w:rPr>
          <w:rFonts w:ascii="Arial" w:hAnsi="Arial" w:cs="Arial"/>
        </w:rPr>
        <w:t xml:space="preserve">kinderen met </w:t>
      </w:r>
      <w:r w:rsidR="00993148" w:rsidRPr="00AB7B8E">
        <w:rPr>
          <w:rFonts w:ascii="Arial" w:hAnsi="Arial" w:cs="Arial"/>
        </w:rPr>
        <w:t>leerstoornissen</w:t>
      </w:r>
      <w:r w:rsidR="008F2F65" w:rsidRPr="00AB7B8E">
        <w:rPr>
          <w:rFonts w:ascii="Arial" w:hAnsi="Arial" w:cs="Arial"/>
        </w:rPr>
        <w:t xml:space="preserve"> vallen</w:t>
      </w:r>
      <w:r w:rsidR="00993148" w:rsidRPr="00AB7B8E">
        <w:rPr>
          <w:rFonts w:ascii="Arial" w:hAnsi="Arial" w:cs="Arial"/>
        </w:rPr>
        <w:t xml:space="preserve">) </w:t>
      </w:r>
      <w:r w:rsidRPr="00AB7B8E">
        <w:rPr>
          <w:rFonts w:ascii="Arial" w:hAnsi="Arial" w:cs="Arial"/>
        </w:rPr>
        <w:t xml:space="preserve">kunnen terecht in een </w:t>
      </w:r>
      <w:r w:rsidR="00993148" w:rsidRPr="00AB7B8E">
        <w:rPr>
          <w:rFonts w:ascii="Arial" w:hAnsi="Arial" w:cs="Arial"/>
        </w:rPr>
        <w:t xml:space="preserve">Centrum voor Ambulante Revalidatie (CAR). </w:t>
      </w:r>
      <w:r w:rsidR="005D6A90" w:rsidRPr="00AB7B8E">
        <w:rPr>
          <w:rFonts w:ascii="Arial" w:hAnsi="Arial" w:cs="Arial"/>
        </w:rPr>
        <w:t xml:space="preserve">Centra voor ambulante revalidatie </w:t>
      </w:r>
      <w:r w:rsidRPr="00AB7B8E">
        <w:rPr>
          <w:rFonts w:ascii="Arial" w:hAnsi="Arial" w:cs="Arial"/>
        </w:rPr>
        <w:t xml:space="preserve">mogen </w:t>
      </w:r>
      <w:r w:rsidR="00EE1959">
        <w:rPr>
          <w:rFonts w:ascii="Arial" w:hAnsi="Arial" w:cs="Arial"/>
        </w:rPr>
        <w:t xml:space="preserve">echter </w:t>
      </w:r>
      <w:r w:rsidRPr="00AB7B8E">
        <w:rPr>
          <w:rFonts w:ascii="Arial" w:hAnsi="Arial" w:cs="Arial"/>
        </w:rPr>
        <w:t>maar 30% van hun cli</w:t>
      </w:r>
      <w:r w:rsidR="005D6A90" w:rsidRPr="00AB7B8E">
        <w:rPr>
          <w:rFonts w:ascii="Arial" w:hAnsi="Arial" w:cs="Arial"/>
        </w:rPr>
        <w:t xml:space="preserve">ënteel halen uit deze doelgroep, wat maakt dat er vaak lange wachtlijsten zijn. </w:t>
      </w:r>
      <w:r w:rsidRPr="00AB7B8E">
        <w:rPr>
          <w:rFonts w:ascii="Arial" w:hAnsi="Arial" w:cs="Arial"/>
        </w:rPr>
        <w:t xml:space="preserve"> </w:t>
      </w:r>
    </w:p>
    <w:p w14:paraId="479D3AC9" w14:textId="77777777" w:rsidR="00484B17" w:rsidRPr="006670C9" w:rsidRDefault="00993148" w:rsidP="005D6A90">
      <w:pPr>
        <w:rPr>
          <w:rFonts w:ascii="Arial" w:hAnsi="Arial" w:cs="Arial"/>
        </w:rPr>
      </w:pPr>
      <w:r w:rsidRPr="00AB7B8E">
        <w:rPr>
          <w:rFonts w:ascii="Arial" w:hAnsi="Arial" w:cs="Arial"/>
        </w:rPr>
        <w:lastRenderedPageBreak/>
        <w:t xml:space="preserve">Kinderen met leerstoornissen kunnen </w:t>
      </w:r>
      <w:r w:rsidR="00EE1959">
        <w:rPr>
          <w:rFonts w:ascii="Arial" w:hAnsi="Arial" w:cs="Arial"/>
        </w:rPr>
        <w:t xml:space="preserve">bovendien </w:t>
      </w:r>
      <w:r w:rsidR="008F2F65" w:rsidRPr="00AB7B8E">
        <w:rPr>
          <w:rFonts w:ascii="Arial" w:hAnsi="Arial" w:cs="Arial"/>
        </w:rPr>
        <w:t xml:space="preserve">enkel </w:t>
      </w:r>
      <w:r w:rsidRPr="00AB7B8E">
        <w:rPr>
          <w:rFonts w:ascii="Arial" w:hAnsi="Arial" w:cs="Arial"/>
        </w:rPr>
        <w:t>terecht</w:t>
      </w:r>
      <w:r w:rsidR="008D1DB9" w:rsidRPr="00AB7B8E">
        <w:rPr>
          <w:rFonts w:ascii="Arial" w:hAnsi="Arial" w:cs="Arial"/>
        </w:rPr>
        <w:t xml:space="preserve"> in een CAR</w:t>
      </w:r>
      <w:r w:rsidRPr="00AB7B8E">
        <w:rPr>
          <w:rFonts w:ascii="Arial" w:hAnsi="Arial" w:cs="Arial"/>
        </w:rPr>
        <w:t xml:space="preserve"> </w:t>
      </w:r>
      <w:r w:rsidR="00643152" w:rsidRPr="00AB7B8E">
        <w:rPr>
          <w:rFonts w:ascii="Arial" w:hAnsi="Arial" w:cs="Arial"/>
        </w:rPr>
        <w:t xml:space="preserve">‘voor behandeling’ </w:t>
      </w:r>
      <w:r w:rsidRPr="00AB7B8E">
        <w:rPr>
          <w:rFonts w:ascii="Arial" w:hAnsi="Arial" w:cs="Arial"/>
        </w:rPr>
        <w:t xml:space="preserve">indien ze </w:t>
      </w:r>
      <w:r w:rsidRPr="00AB7B8E">
        <w:rPr>
          <w:rFonts w:ascii="Arial" w:hAnsi="Arial" w:cs="Arial"/>
          <w:b/>
        </w:rPr>
        <w:t>minsten</w:t>
      </w:r>
      <w:r w:rsidR="008F2F65" w:rsidRPr="00AB7B8E">
        <w:rPr>
          <w:rFonts w:ascii="Arial" w:hAnsi="Arial" w:cs="Arial"/>
          <w:b/>
        </w:rPr>
        <w:t>s</w:t>
      </w:r>
      <w:r w:rsidRPr="00AB7B8E">
        <w:rPr>
          <w:rFonts w:ascii="Arial" w:hAnsi="Arial" w:cs="Arial"/>
          <w:b/>
        </w:rPr>
        <w:t xml:space="preserve"> één comorbide problematiek</w:t>
      </w:r>
      <w:r w:rsidRPr="00AB7B8E">
        <w:rPr>
          <w:rFonts w:ascii="Arial" w:hAnsi="Arial" w:cs="Arial"/>
        </w:rPr>
        <w:t xml:space="preserve"> hebben</w:t>
      </w:r>
      <w:r w:rsidR="008F2F65" w:rsidRPr="00AB7B8E">
        <w:rPr>
          <w:rFonts w:ascii="Arial" w:hAnsi="Arial" w:cs="Arial"/>
        </w:rPr>
        <w:t xml:space="preserve"> (zoals</w:t>
      </w:r>
      <w:r w:rsidR="008D1DB9" w:rsidRPr="00AB7B8E">
        <w:rPr>
          <w:rFonts w:ascii="Arial" w:hAnsi="Arial" w:cs="Arial"/>
        </w:rPr>
        <w:t xml:space="preserve"> leerstoornissen én</w:t>
      </w:r>
      <w:r w:rsidR="008F2F65" w:rsidRPr="00AB7B8E">
        <w:rPr>
          <w:rFonts w:ascii="Arial" w:hAnsi="Arial" w:cs="Arial"/>
        </w:rPr>
        <w:t xml:space="preserve"> problemen met </w:t>
      </w:r>
      <w:r w:rsidR="008F2F65" w:rsidRPr="006670C9">
        <w:rPr>
          <w:rFonts w:ascii="Arial" w:hAnsi="Arial" w:cs="Arial"/>
        </w:rPr>
        <w:t xml:space="preserve">motoriek (DCD), aandacht </w:t>
      </w:r>
      <w:r w:rsidR="00DE594C" w:rsidRPr="006670C9">
        <w:rPr>
          <w:rFonts w:ascii="Arial" w:hAnsi="Arial" w:cs="Arial"/>
        </w:rPr>
        <w:t xml:space="preserve">(ADHD) </w:t>
      </w:r>
      <w:r w:rsidR="008F2F65" w:rsidRPr="006670C9">
        <w:rPr>
          <w:rFonts w:ascii="Arial" w:hAnsi="Arial" w:cs="Arial"/>
        </w:rPr>
        <w:t xml:space="preserve">en/of geheugen en/of executieve functies,  psychosociale problemen (gedrag), auditieve en/of visuele perceptie, visuospatieel functioneren). </w:t>
      </w:r>
    </w:p>
    <w:p w14:paraId="75E4FEB8" w14:textId="77777777" w:rsidR="00484B17" w:rsidRPr="006670C9" w:rsidRDefault="008F2F65" w:rsidP="00484B17">
      <w:pPr>
        <w:rPr>
          <w:rFonts w:ascii="Arial" w:eastAsia="Calibri" w:hAnsi="Arial" w:cs="Arial"/>
          <w:kern w:val="24"/>
        </w:rPr>
      </w:pPr>
      <w:r w:rsidRPr="006670C9">
        <w:rPr>
          <w:rFonts w:ascii="Arial" w:hAnsi="Arial" w:cs="Arial"/>
        </w:rPr>
        <w:t>Verder moet er een</w:t>
      </w:r>
      <w:r w:rsidR="008D1DB9" w:rsidRPr="006670C9">
        <w:rPr>
          <w:rFonts w:ascii="Arial" w:hAnsi="Arial" w:cs="Arial"/>
        </w:rPr>
        <w:t xml:space="preserve"> heel</w:t>
      </w:r>
      <w:r w:rsidRPr="006670C9">
        <w:rPr>
          <w:rFonts w:ascii="Arial" w:hAnsi="Arial" w:cs="Arial"/>
        </w:rPr>
        <w:t xml:space="preserve"> ernstige achterstand (-2SD of </w:t>
      </w:r>
      <w:r w:rsidRPr="006670C9">
        <w:rPr>
          <w:rFonts w:ascii="Arial" w:eastAsia="Times New Roman" w:hAnsi="Arial" w:cs="Arial"/>
          <w:b/>
          <w:lang w:eastAsia="nl-BE"/>
        </w:rPr>
        <w:t>≤ p</w:t>
      </w:r>
      <w:r w:rsidR="008D1DB9" w:rsidRPr="006670C9">
        <w:rPr>
          <w:rFonts w:ascii="Arial" w:eastAsia="Times New Roman" w:hAnsi="Arial" w:cs="Arial"/>
          <w:b/>
          <w:lang w:eastAsia="nl-BE"/>
        </w:rPr>
        <w:t>er</w:t>
      </w:r>
      <w:r w:rsidRPr="006670C9">
        <w:rPr>
          <w:rFonts w:ascii="Arial" w:eastAsia="Times New Roman" w:hAnsi="Arial" w:cs="Arial"/>
          <w:b/>
          <w:lang w:eastAsia="nl-BE"/>
        </w:rPr>
        <w:t>c</w:t>
      </w:r>
      <w:r w:rsidR="008D1DB9" w:rsidRPr="006670C9">
        <w:rPr>
          <w:rFonts w:ascii="Arial" w:eastAsia="Times New Roman" w:hAnsi="Arial" w:cs="Arial"/>
          <w:b/>
          <w:lang w:eastAsia="nl-BE"/>
        </w:rPr>
        <w:t>entiel</w:t>
      </w:r>
      <w:r w:rsidRPr="006670C9">
        <w:rPr>
          <w:rFonts w:ascii="Arial" w:eastAsia="Times New Roman" w:hAnsi="Arial" w:cs="Arial"/>
          <w:b/>
          <w:lang w:eastAsia="nl-BE"/>
        </w:rPr>
        <w:t xml:space="preserve"> 3</w:t>
      </w:r>
      <w:r w:rsidRPr="006670C9">
        <w:rPr>
          <w:rFonts w:ascii="Arial" w:eastAsia="Times New Roman" w:hAnsi="Arial" w:cs="Arial"/>
          <w:lang w:eastAsia="nl-BE"/>
        </w:rPr>
        <w:t>) zijn voor lezen en/of spellen en/of rekenen, waarbij het kind onderzocht wordt op het niveau van het leerjaar waarin het zich bevindt</w:t>
      </w:r>
      <w:r w:rsidR="00484B17" w:rsidRPr="006670C9">
        <w:rPr>
          <w:rFonts w:ascii="Arial" w:eastAsia="Times New Roman" w:hAnsi="Arial" w:cs="Arial"/>
          <w:lang w:eastAsia="nl-BE"/>
        </w:rPr>
        <w:t>. D</w:t>
      </w:r>
      <w:r w:rsidR="00DE04A7" w:rsidRPr="006670C9">
        <w:rPr>
          <w:rFonts w:ascii="Arial" w:eastAsia="Times New Roman" w:hAnsi="Arial" w:cs="Arial"/>
          <w:lang w:eastAsia="nl-BE"/>
        </w:rPr>
        <w:t>i</w:t>
      </w:r>
      <w:r w:rsidR="00484B17" w:rsidRPr="006670C9">
        <w:rPr>
          <w:rFonts w:ascii="Arial" w:eastAsia="Times New Roman" w:hAnsi="Arial" w:cs="Arial"/>
          <w:lang w:eastAsia="nl-BE"/>
        </w:rPr>
        <w:t xml:space="preserve">e achterstand moet blijken uit de testresultaten op tests die op de </w:t>
      </w:r>
      <w:r w:rsidR="00484B17" w:rsidRPr="006670C9">
        <w:rPr>
          <w:rFonts w:ascii="Arial" w:eastAsia="Calibri" w:hAnsi="Arial" w:cs="Arial"/>
          <w:kern w:val="24"/>
        </w:rPr>
        <w:t>limitatieve lijst van tests staan</w:t>
      </w:r>
      <w:r w:rsidR="00A60520" w:rsidRPr="006670C9">
        <w:rPr>
          <w:rFonts w:ascii="Arial" w:eastAsia="Calibri" w:hAnsi="Arial" w:cs="Arial"/>
          <w:kern w:val="24"/>
        </w:rPr>
        <w:t>.</w:t>
      </w:r>
      <w:r w:rsidR="00484B17" w:rsidRPr="006670C9">
        <w:rPr>
          <w:rFonts w:ascii="Arial" w:eastAsia="Calibri" w:hAnsi="Arial" w:cs="Arial"/>
          <w:kern w:val="24"/>
        </w:rPr>
        <w:t xml:space="preserve"> </w:t>
      </w:r>
    </w:p>
    <w:p w14:paraId="6D0CC08B" w14:textId="6C2B375A" w:rsidR="00CA585E" w:rsidRPr="006670C9" w:rsidRDefault="00DE04A7" w:rsidP="005D6A90">
      <w:pPr>
        <w:rPr>
          <w:rFonts w:ascii="Arial" w:eastAsia="Times New Roman" w:hAnsi="Arial" w:cs="Arial"/>
          <w:lang w:eastAsia="nl-BE"/>
        </w:rPr>
      </w:pPr>
      <w:r w:rsidRPr="006670C9">
        <w:rPr>
          <w:rFonts w:ascii="Arial" w:eastAsia="Times New Roman" w:hAnsi="Arial" w:cs="Arial"/>
          <w:lang w:eastAsia="nl-BE"/>
        </w:rPr>
        <w:t>Tenslotte m</w:t>
      </w:r>
      <w:r w:rsidR="00484B17" w:rsidRPr="006670C9">
        <w:rPr>
          <w:rFonts w:ascii="Arial" w:eastAsia="Times New Roman" w:hAnsi="Arial" w:cs="Arial"/>
          <w:lang w:eastAsia="nl-BE"/>
        </w:rPr>
        <w:t xml:space="preserve">oet </w:t>
      </w:r>
      <w:r w:rsidRPr="006670C9">
        <w:rPr>
          <w:rFonts w:ascii="Arial" w:eastAsia="Times New Roman" w:hAnsi="Arial" w:cs="Arial"/>
          <w:lang w:eastAsia="nl-BE"/>
        </w:rPr>
        <w:t xml:space="preserve">ook </w:t>
      </w:r>
      <w:r w:rsidR="008F2F65" w:rsidRPr="006670C9">
        <w:rPr>
          <w:rFonts w:ascii="Arial" w:eastAsia="Times New Roman" w:hAnsi="Arial" w:cs="Arial"/>
          <w:lang w:eastAsia="nl-BE"/>
        </w:rPr>
        <w:t>de hardnekkigheid blijk</w:t>
      </w:r>
      <w:r w:rsidR="00484B17" w:rsidRPr="006670C9">
        <w:rPr>
          <w:rFonts w:ascii="Arial" w:eastAsia="Times New Roman" w:hAnsi="Arial" w:cs="Arial"/>
          <w:lang w:eastAsia="nl-BE"/>
        </w:rPr>
        <w:t>en</w:t>
      </w:r>
      <w:r w:rsidR="008F2F65" w:rsidRPr="006670C9">
        <w:rPr>
          <w:rFonts w:ascii="Arial" w:eastAsia="Times New Roman" w:hAnsi="Arial" w:cs="Arial"/>
          <w:lang w:eastAsia="nl-BE"/>
        </w:rPr>
        <w:t xml:space="preserve"> uit het feit dat er minstens 6 maand</w:t>
      </w:r>
      <w:r w:rsidR="009C39E3">
        <w:rPr>
          <w:rFonts w:ascii="Arial" w:eastAsia="Times New Roman" w:hAnsi="Arial" w:cs="Arial"/>
          <w:lang w:eastAsia="nl-BE"/>
        </w:rPr>
        <w:t>en</w:t>
      </w:r>
      <w:r w:rsidR="008F2F65" w:rsidRPr="006670C9">
        <w:rPr>
          <w:rFonts w:ascii="Arial" w:eastAsia="Times New Roman" w:hAnsi="Arial" w:cs="Arial"/>
          <w:lang w:eastAsia="nl-BE"/>
        </w:rPr>
        <w:t xml:space="preserve"> adequate didactische aanpak was op school (wat blijkt uit overleg met de school/CLB).</w:t>
      </w:r>
    </w:p>
    <w:p w14:paraId="1D437D53" w14:textId="3E169DE3" w:rsidR="00CA585E" w:rsidRDefault="00592202" w:rsidP="00CA585E">
      <w:pPr>
        <w:rPr>
          <w:rFonts w:ascii="Arial" w:hAnsi="Arial" w:cs="Arial"/>
        </w:rPr>
      </w:pPr>
      <w:r w:rsidRPr="006670C9">
        <w:rPr>
          <w:rFonts w:ascii="Arial" w:hAnsi="Arial" w:cs="Arial"/>
        </w:rPr>
        <w:t xml:space="preserve">De tests op de limitatieve lijst </w:t>
      </w:r>
      <w:r w:rsidR="003B1D4D">
        <w:rPr>
          <w:rFonts w:ascii="Arial" w:hAnsi="Arial" w:cs="Arial"/>
        </w:rPr>
        <w:t xml:space="preserve">voor de CAR </w:t>
      </w:r>
      <w:r w:rsidRPr="006670C9">
        <w:rPr>
          <w:rFonts w:ascii="Arial" w:hAnsi="Arial" w:cs="Arial"/>
        </w:rPr>
        <w:t>overlappen met de</w:t>
      </w:r>
      <w:r w:rsidR="003B1D4D">
        <w:rPr>
          <w:rFonts w:ascii="Arial" w:hAnsi="Arial" w:cs="Arial"/>
        </w:rPr>
        <w:t xml:space="preserve"> tests op de limitatieve lijst voor </w:t>
      </w:r>
      <w:r>
        <w:rPr>
          <w:rFonts w:ascii="Arial" w:hAnsi="Arial" w:cs="Arial"/>
        </w:rPr>
        <w:t xml:space="preserve">de privaat werkende logopedisten. Toch zijn er een paar verschillen. De leesattitudetests (LAT, Boey &amp; Niessen, 2015) kan gebruikt worden om de leesattitude te objectiveren. </w:t>
      </w:r>
      <w:r w:rsidR="00006E42">
        <w:rPr>
          <w:rFonts w:ascii="Arial" w:hAnsi="Arial" w:cs="Arial"/>
        </w:rPr>
        <w:t>Verder mag d</w:t>
      </w:r>
      <w:r w:rsidR="00CA585E" w:rsidRPr="00AB7B8E">
        <w:rPr>
          <w:rFonts w:ascii="Arial" w:hAnsi="Arial" w:cs="Arial"/>
        </w:rPr>
        <w:t>e Test Meten en Metend Rekenen voor 2</w:t>
      </w:r>
      <w:r w:rsidR="00CA585E" w:rsidRPr="00AB7B8E">
        <w:rPr>
          <w:rFonts w:ascii="Arial" w:hAnsi="Arial" w:cs="Arial"/>
          <w:vertAlign w:val="superscript"/>
        </w:rPr>
        <w:t>de</w:t>
      </w:r>
      <w:r w:rsidR="00CA585E" w:rsidRPr="00AB7B8E">
        <w:rPr>
          <w:rFonts w:ascii="Arial" w:hAnsi="Arial" w:cs="Arial"/>
        </w:rPr>
        <w:t xml:space="preserve"> tot het 6</w:t>
      </w:r>
      <w:r w:rsidR="00CA585E" w:rsidRPr="00AB7B8E">
        <w:rPr>
          <w:rFonts w:ascii="Arial" w:hAnsi="Arial" w:cs="Arial"/>
          <w:vertAlign w:val="superscript"/>
        </w:rPr>
        <w:t>de</w:t>
      </w:r>
      <w:r w:rsidR="00CA585E" w:rsidRPr="00AB7B8E">
        <w:rPr>
          <w:rFonts w:ascii="Arial" w:hAnsi="Arial" w:cs="Arial"/>
        </w:rPr>
        <w:t xml:space="preserve"> (TMMR2-6; Van De Steene et al., 2016) volgens het RIZIV gebruikt worden </w:t>
      </w:r>
      <w:r w:rsidR="00006E42">
        <w:rPr>
          <w:rFonts w:ascii="Arial" w:hAnsi="Arial" w:cs="Arial"/>
        </w:rPr>
        <w:t>en</w:t>
      </w:r>
      <w:r w:rsidR="00CA585E" w:rsidRPr="00AB7B8E">
        <w:rPr>
          <w:rFonts w:ascii="Arial" w:hAnsi="Arial" w:cs="Arial"/>
        </w:rPr>
        <w:t xml:space="preserve"> staat ook Wiskunde tot 100 voor 2</w:t>
      </w:r>
      <w:r w:rsidR="00CA585E" w:rsidRPr="00AB7B8E">
        <w:rPr>
          <w:rFonts w:ascii="Arial" w:hAnsi="Arial" w:cs="Arial"/>
          <w:vertAlign w:val="superscript"/>
        </w:rPr>
        <w:t>de</w:t>
      </w:r>
      <w:r w:rsidR="00CA585E" w:rsidRPr="00AB7B8E">
        <w:rPr>
          <w:rFonts w:ascii="Arial" w:hAnsi="Arial" w:cs="Arial"/>
        </w:rPr>
        <w:t xml:space="preserve"> en 3</w:t>
      </w:r>
      <w:r w:rsidR="00CA585E" w:rsidRPr="00AB7B8E">
        <w:rPr>
          <w:rFonts w:ascii="Arial" w:hAnsi="Arial" w:cs="Arial"/>
          <w:vertAlign w:val="superscript"/>
        </w:rPr>
        <w:t>de</w:t>
      </w:r>
      <w:r w:rsidR="00CA585E" w:rsidRPr="00AB7B8E">
        <w:rPr>
          <w:rFonts w:ascii="Arial" w:hAnsi="Arial" w:cs="Arial"/>
        </w:rPr>
        <w:t xml:space="preserve"> lj (SiBO-toets; Dudal, 2007) op de limitatieve lijst.  </w:t>
      </w:r>
    </w:p>
    <w:p w14:paraId="412B9120" w14:textId="77777777" w:rsidR="00DC3CD1" w:rsidRDefault="00DC3CD1" w:rsidP="00CA585E">
      <w:pPr>
        <w:rPr>
          <w:rFonts w:ascii="Arial" w:hAnsi="Arial" w:cs="Arial"/>
        </w:rPr>
      </w:pPr>
    </w:p>
    <w:p w14:paraId="3F6B4667" w14:textId="4C461636" w:rsidR="00DC3CD1" w:rsidRPr="00AB7B8E" w:rsidRDefault="00DC3CD1" w:rsidP="00DC3CD1">
      <w:pPr>
        <w:jc w:val="center"/>
        <w:rPr>
          <w:rFonts w:ascii="Arial" w:hAnsi="Arial" w:cs="Arial"/>
        </w:rPr>
      </w:pPr>
      <w:r>
        <w:rPr>
          <w:rFonts w:ascii="Arial" w:hAnsi="Arial" w:cs="Arial"/>
          <w:sz w:val="28"/>
          <w:szCs w:val="28"/>
          <w:lang w:val="nl-NL"/>
        </w:rPr>
        <w:t>4</w:t>
      </w:r>
      <w:r w:rsidRPr="00205CCD">
        <w:rPr>
          <w:rFonts w:ascii="Arial" w:hAnsi="Arial" w:cs="Arial"/>
          <w:sz w:val="28"/>
          <w:szCs w:val="28"/>
          <w:lang w:val="nl-NL"/>
        </w:rPr>
        <w:t xml:space="preserve">. </w:t>
      </w:r>
      <w:r w:rsidR="0091458A">
        <w:rPr>
          <w:rFonts w:ascii="Arial" w:hAnsi="Arial" w:cs="Arial"/>
          <w:sz w:val="28"/>
          <w:szCs w:val="28"/>
          <w:lang w:val="nl-NL"/>
        </w:rPr>
        <w:t>Discussie en c</w:t>
      </w:r>
      <w:r>
        <w:rPr>
          <w:rFonts w:ascii="Arial" w:hAnsi="Arial" w:cs="Arial"/>
          <w:sz w:val="28"/>
          <w:szCs w:val="28"/>
          <w:lang w:val="nl-NL"/>
        </w:rPr>
        <w:t>onclusie</w:t>
      </w:r>
    </w:p>
    <w:p w14:paraId="1FD89D3D" w14:textId="6CF3C891" w:rsidR="00AC24B7" w:rsidRPr="00DC3CD1" w:rsidRDefault="00DE04A7" w:rsidP="00AC24B7">
      <w:pPr>
        <w:pStyle w:val="Body1"/>
        <w:spacing w:line="240" w:lineRule="auto"/>
        <w:rPr>
          <w:rFonts w:ascii="Cambria" w:hAnsi="Cambria"/>
          <w:sz w:val="22"/>
          <w:szCs w:val="22"/>
        </w:rPr>
      </w:pPr>
      <w:r w:rsidRPr="00AC24B7">
        <w:rPr>
          <w:rFonts w:ascii="Arial" w:hAnsi="Arial" w:cs="Arial"/>
          <w:sz w:val="22"/>
          <w:szCs w:val="22"/>
          <w:lang w:val="nl-NL"/>
        </w:rPr>
        <w:t xml:space="preserve">In antwoord op </w:t>
      </w:r>
      <w:r w:rsidR="00AC24B7" w:rsidRPr="00DC3CD1">
        <w:rPr>
          <w:rFonts w:ascii="Arial" w:hAnsi="Arial" w:cs="Arial"/>
          <w:sz w:val="22"/>
          <w:szCs w:val="22"/>
          <w:lang w:val="nl-NL"/>
        </w:rPr>
        <w:t xml:space="preserve">de prevalentiecijfers in </w:t>
      </w:r>
      <w:r w:rsidRPr="00DC3CD1">
        <w:rPr>
          <w:rFonts w:ascii="Arial" w:hAnsi="Arial" w:cs="Arial"/>
          <w:sz w:val="22"/>
          <w:szCs w:val="22"/>
          <w:lang w:val="nl-NL"/>
        </w:rPr>
        <w:t xml:space="preserve">onderzoeksvraag 1, blijkt dat dyslexie bij 5% van de Vlaamse kinderen voorkomt. </w:t>
      </w:r>
      <w:r w:rsidRPr="00DC3CD1">
        <w:rPr>
          <w:rFonts w:ascii="Arial" w:hAnsi="Arial" w:cs="Arial"/>
          <w:bCs/>
          <w:sz w:val="22"/>
          <w:szCs w:val="22"/>
          <w:lang w:eastAsia="nl-BE"/>
        </w:rPr>
        <w:t>Als dy</w:t>
      </w:r>
      <w:r w:rsidR="006F00A3" w:rsidRPr="00DC3CD1">
        <w:rPr>
          <w:rFonts w:ascii="Arial" w:hAnsi="Arial" w:cs="Arial"/>
          <w:bCs/>
          <w:sz w:val="22"/>
          <w:szCs w:val="22"/>
          <w:lang w:eastAsia="nl-BE"/>
        </w:rPr>
        <w:t xml:space="preserve">slexie bij </w:t>
      </w:r>
      <w:r w:rsidR="00AB0D4B">
        <w:rPr>
          <w:rFonts w:ascii="Arial" w:hAnsi="Arial" w:cs="Arial"/>
          <w:bCs/>
          <w:sz w:val="22"/>
          <w:szCs w:val="22"/>
          <w:lang w:eastAsia="nl-BE"/>
        </w:rPr>
        <w:t xml:space="preserve">één van </w:t>
      </w:r>
      <w:r w:rsidR="006F00A3" w:rsidRPr="00DC3CD1">
        <w:rPr>
          <w:rFonts w:ascii="Arial" w:hAnsi="Arial" w:cs="Arial"/>
          <w:bCs/>
          <w:sz w:val="22"/>
          <w:szCs w:val="22"/>
          <w:lang w:eastAsia="nl-BE"/>
        </w:rPr>
        <w:t xml:space="preserve">de ouders aanwezig is, </w:t>
      </w:r>
      <w:r w:rsidRPr="00DC3CD1">
        <w:rPr>
          <w:rFonts w:ascii="Arial" w:hAnsi="Arial" w:cs="Arial"/>
          <w:bCs/>
          <w:sz w:val="22"/>
          <w:szCs w:val="22"/>
          <w:lang w:eastAsia="nl-BE"/>
        </w:rPr>
        <w:t>verhoogt de kans om zelf dyslexie te hebben</w:t>
      </w:r>
      <w:r w:rsidR="006670C9" w:rsidRPr="00DC3CD1">
        <w:rPr>
          <w:rFonts w:ascii="Arial" w:hAnsi="Arial" w:cs="Arial"/>
          <w:bCs/>
          <w:sz w:val="22"/>
          <w:szCs w:val="22"/>
          <w:lang w:eastAsia="nl-BE"/>
        </w:rPr>
        <w:t xml:space="preserve"> </w:t>
      </w:r>
      <w:r w:rsidR="008965BA" w:rsidRPr="00DC3CD1">
        <w:rPr>
          <w:rFonts w:ascii="Arial" w:hAnsi="Arial" w:cs="Arial"/>
          <w:bCs/>
          <w:sz w:val="22"/>
          <w:szCs w:val="22"/>
          <w:lang w:eastAsia="nl-BE"/>
        </w:rPr>
        <w:t>(</w:t>
      </w:r>
      <w:r w:rsidR="00DA0AE1">
        <w:rPr>
          <w:rFonts w:ascii="Arial" w:hAnsi="Arial" w:cs="Arial"/>
          <w:bCs/>
          <w:sz w:val="22"/>
          <w:szCs w:val="22"/>
          <w:lang w:eastAsia="nl-BE"/>
        </w:rPr>
        <w:t xml:space="preserve">Van der Leij, 2015; </w:t>
      </w:r>
      <w:r w:rsidR="008965BA" w:rsidRPr="00DC3CD1">
        <w:rPr>
          <w:rFonts w:ascii="Arial" w:hAnsi="Arial" w:cs="Arial"/>
          <w:bCs/>
          <w:sz w:val="22"/>
          <w:szCs w:val="22"/>
          <w:lang w:eastAsia="nl-BE"/>
        </w:rPr>
        <w:t>Tops et al., 2018)</w:t>
      </w:r>
      <w:r w:rsidR="008965BA" w:rsidRPr="00DC3CD1">
        <w:rPr>
          <w:rFonts w:ascii="Arial" w:eastAsia="Perpetua" w:hAnsi="Arial" w:cs="Arial"/>
          <w:color w:val="181717"/>
          <w:sz w:val="22"/>
          <w:szCs w:val="22"/>
          <w:lang w:eastAsia="nl-BE"/>
        </w:rPr>
        <w:t xml:space="preserve">. </w:t>
      </w:r>
      <w:r w:rsidRPr="00DC3CD1">
        <w:rPr>
          <w:rFonts w:ascii="Arial" w:hAnsi="Arial" w:cs="Arial"/>
          <w:bCs/>
          <w:sz w:val="22"/>
          <w:szCs w:val="22"/>
          <w:lang w:eastAsia="nl-BE"/>
        </w:rPr>
        <w:t xml:space="preserve">Dyscalculie </w:t>
      </w:r>
      <w:r w:rsidR="006670C9" w:rsidRPr="00DC3CD1">
        <w:rPr>
          <w:rFonts w:ascii="Arial" w:hAnsi="Arial" w:cs="Arial"/>
          <w:bCs/>
          <w:sz w:val="22"/>
          <w:szCs w:val="22"/>
          <w:lang w:eastAsia="nl-BE"/>
        </w:rPr>
        <w:t xml:space="preserve">is minder bekend, maar </w:t>
      </w:r>
      <w:r w:rsidRPr="00DC3CD1">
        <w:rPr>
          <w:rFonts w:ascii="Arial" w:hAnsi="Arial" w:cs="Arial"/>
          <w:bCs/>
          <w:sz w:val="22"/>
          <w:szCs w:val="22"/>
          <w:lang w:eastAsia="nl-BE"/>
        </w:rPr>
        <w:t xml:space="preserve">komt </w:t>
      </w:r>
      <w:r w:rsidR="008965BA" w:rsidRPr="00DC3CD1">
        <w:rPr>
          <w:rFonts w:ascii="Arial" w:hAnsi="Arial" w:cs="Arial"/>
          <w:bCs/>
          <w:sz w:val="22"/>
          <w:szCs w:val="22"/>
          <w:lang w:eastAsia="nl-BE"/>
        </w:rPr>
        <w:t xml:space="preserve">in Vlaanderen </w:t>
      </w:r>
      <w:r w:rsidRPr="00DC3CD1">
        <w:rPr>
          <w:rFonts w:ascii="Arial" w:hAnsi="Arial" w:cs="Arial"/>
          <w:bCs/>
          <w:sz w:val="22"/>
          <w:szCs w:val="22"/>
          <w:lang w:eastAsia="nl-BE"/>
        </w:rPr>
        <w:t>ongeveer even vaak voor</w:t>
      </w:r>
      <w:r w:rsidR="006F00A3" w:rsidRPr="00DC3CD1">
        <w:rPr>
          <w:rFonts w:ascii="Arial" w:hAnsi="Arial" w:cs="Arial"/>
          <w:bCs/>
          <w:sz w:val="22"/>
          <w:szCs w:val="22"/>
          <w:lang w:eastAsia="nl-BE"/>
        </w:rPr>
        <w:t xml:space="preserve"> (</w:t>
      </w:r>
      <w:r w:rsidR="008965BA" w:rsidRPr="00DC3CD1">
        <w:rPr>
          <w:rFonts w:ascii="Arial" w:hAnsi="Arial" w:cs="Arial"/>
          <w:bCs/>
          <w:sz w:val="22"/>
          <w:szCs w:val="22"/>
          <w:lang w:eastAsia="nl-BE"/>
        </w:rPr>
        <w:t>Desoete et al., 2004</w:t>
      </w:r>
      <w:r w:rsidR="006F00A3" w:rsidRPr="00DC3CD1">
        <w:rPr>
          <w:rFonts w:ascii="Arial" w:hAnsi="Arial" w:cs="Arial"/>
          <w:bCs/>
          <w:sz w:val="22"/>
          <w:szCs w:val="22"/>
          <w:lang w:eastAsia="nl-BE"/>
        </w:rPr>
        <w:t>)</w:t>
      </w:r>
      <w:r w:rsidR="006F00A3" w:rsidRPr="00DC3CD1">
        <w:rPr>
          <w:rFonts w:ascii="Arial" w:eastAsia="Perpetua" w:hAnsi="Arial" w:cs="Arial"/>
          <w:color w:val="181717"/>
          <w:sz w:val="22"/>
          <w:szCs w:val="22"/>
          <w:lang w:eastAsia="nl-BE"/>
        </w:rPr>
        <w:t xml:space="preserve">. </w:t>
      </w:r>
      <w:r w:rsidRPr="00DC3CD1">
        <w:rPr>
          <w:rFonts w:ascii="Arial" w:hAnsi="Arial" w:cs="Arial"/>
          <w:bCs/>
          <w:sz w:val="22"/>
          <w:szCs w:val="22"/>
          <w:lang w:eastAsia="nl-BE"/>
        </w:rPr>
        <w:t>Ook hier verhoogt de kans om dyscalculie te hebben als</w:t>
      </w:r>
      <w:r w:rsidR="00AB0D4B">
        <w:rPr>
          <w:rFonts w:ascii="Arial" w:hAnsi="Arial" w:cs="Arial"/>
          <w:bCs/>
          <w:sz w:val="22"/>
          <w:szCs w:val="22"/>
          <w:lang w:eastAsia="nl-BE"/>
        </w:rPr>
        <w:t xml:space="preserve"> één van de </w:t>
      </w:r>
      <w:r w:rsidRPr="00DC3CD1">
        <w:rPr>
          <w:rFonts w:ascii="Arial" w:hAnsi="Arial" w:cs="Arial"/>
          <w:bCs/>
          <w:sz w:val="22"/>
          <w:szCs w:val="22"/>
          <w:lang w:eastAsia="nl-BE"/>
        </w:rPr>
        <w:t>ouders ook een leerstoornis hebben</w:t>
      </w:r>
      <w:r w:rsidR="006F00A3" w:rsidRPr="00DC3CD1">
        <w:rPr>
          <w:rFonts w:ascii="Arial" w:hAnsi="Arial" w:cs="Arial"/>
          <w:bCs/>
          <w:sz w:val="22"/>
          <w:szCs w:val="22"/>
          <w:lang w:eastAsia="nl-BE"/>
        </w:rPr>
        <w:t xml:space="preserve"> </w:t>
      </w:r>
      <w:r w:rsidR="006F00A3" w:rsidRPr="00DC3CD1">
        <w:rPr>
          <w:rFonts w:ascii="Arial" w:hAnsi="Arial" w:cs="Arial"/>
          <w:sz w:val="22"/>
          <w:szCs w:val="22"/>
          <w:lang w:val="nl-NL"/>
        </w:rPr>
        <w:t>(Knopik et al., 1997)</w:t>
      </w:r>
      <w:r w:rsidRPr="00DC3CD1">
        <w:rPr>
          <w:rFonts w:ascii="Arial" w:hAnsi="Arial" w:cs="Arial"/>
          <w:bCs/>
          <w:sz w:val="22"/>
          <w:szCs w:val="22"/>
          <w:lang w:eastAsia="nl-BE"/>
        </w:rPr>
        <w:t>.</w:t>
      </w:r>
      <w:r w:rsidR="00AC24B7" w:rsidRPr="00DC3CD1">
        <w:rPr>
          <w:rFonts w:ascii="Arial" w:hAnsi="Arial" w:cs="Arial"/>
          <w:sz w:val="22"/>
          <w:szCs w:val="22"/>
          <w:lang w:val="nl-NL"/>
        </w:rPr>
        <w:t xml:space="preserve"> </w:t>
      </w:r>
      <w:r w:rsidR="005768EF" w:rsidRPr="00DC3CD1">
        <w:rPr>
          <w:rFonts w:ascii="Arial" w:hAnsi="Arial" w:cs="Arial"/>
          <w:sz w:val="22"/>
          <w:szCs w:val="22"/>
          <w:lang w:val="nl-NL"/>
        </w:rPr>
        <w:t>D</w:t>
      </w:r>
      <w:r w:rsidR="00AC24B7" w:rsidRPr="00DC3CD1">
        <w:rPr>
          <w:rFonts w:ascii="Arial" w:hAnsi="Arial" w:cs="Arial"/>
          <w:sz w:val="22"/>
          <w:szCs w:val="22"/>
          <w:lang w:val="nl-NL"/>
        </w:rPr>
        <w:t xml:space="preserve">aarnaast is er evidentie voor comorbide problemen bij leerstoornissen </w:t>
      </w:r>
      <w:r w:rsidR="00AC24B7" w:rsidRPr="00DC3CD1">
        <w:rPr>
          <w:rFonts w:ascii="Arial" w:hAnsi="Arial" w:cs="Arial"/>
          <w:sz w:val="22"/>
          <w:szCs w:val="22"/>
        </w:rPr>
        <w:t>(Pieters et al., 2012), wat het belang van multidisciplinaire en brede diagnostiek illustreert</w:t>
      </w:r>
      <w:r w:rsidR="003B1D4D">
        <w:rPr>
          <w:rFonts w:ascii="Arial" w:hAnsi="Arial" w:cs="Arial"/>
          <w:sz w:val="22"/>
          <w:szCs w:val="22"/>
        </w:rPr>
        <w:t>, zonder te vervallen in de dwaalweg van de motorische oefeningen (Ghesquière &amp; Hellinck, 2018) bij leerstoornissen</w:t>
      </w:r>
      <w:r w:rsidR="00AC24B7" w:rsidRPr="00DC3CD1">
        <w:rPr>
          <w:rFonts w:ascii="Arial" w:hAnsi="Arial" w:cs="Arial"/>
          <w:sz w:val="22"/>
          <w:szCs w:val="22"/>
        </w:rPr>
        <w:t>.</w:t>
      </w:r>
      <w:r w:rsidR="00AC24B7" w:rsidRPr="00DC3CD1">
        <w:rPr>
          <w:rFonts w:ascii="Cambria" w:hAnsi="Cambria"/>
          <w:sz w:val="22"/>
          <w:szCs w:val="22"/>
        </w:rPr>
        <w:t xml:space="preserve"> </w:t>
      </w:r>
    </w:p>
    <w:p w14:paraId="5414ED00" w14:textId="77777777" w:rsidR="008965BA" w:rsidRPr="00DC3CD1" w:rsidRDefault="008965BA" w:rsidP="006F00A3">
      <w:pPr>
        <w:spacing w:after="0" w:line="240" w:lineRule="auto"/>
        <w:rPr>
          <w:rFonts w:ascii="Arial" w:hAnsi="Arial" w:cs="Arial"/>
          <w:bCs/>
          <w:lang w:eastAsia="nl-BE"/>
        </w:rPr>
      </w:pPr>
    </w:p>
    <w:p w14:paraId="41D4E98C" w14:textId="1022B395" w:rsidR="00F23422" w:rsidRPr="00DC3CD1" w:rsidRDefault="00DE04A7" w:rsidP="00AC24B7">
      <w:pPr>
        <w:spacing w:after="0" w:line="240" w:lineRule="auto"/>
        <w:rPr>
          <w:rFonts w:ascii="Arial" w:hAnsi="Arial" w:cs="Arial"/>
        </w:rPr>
      </w:pPr>
      <w:r w:rsidRPr="00DC3CD1">
        <w:rPr>
          <w:rFonts w:ascii="Arial" w:hAnsi="Arial" w:cs="Arial"/>
          <w:bCs/>
          <w:lang w:eastAsia="nl-BE"/>
        </w:rPr>
        <w:t xml:space="preserve">In antwoord op onderzoeksvraag 2, </w:t>
      </w:r>
      <w:r w:rsidR="008965BA" w:rsidRPr="00DC3CD1">
        <w:rPr>
          <w:rFonts w:ascii="Arial" w:hAnsi="Arial" w:cs="Arial"/>
          <w:bCs/>
          <w:lang w:eastAsia="nl-BE"/>
        </w:rPr>
        <w:t>is er</w:t>
      </w:r>
      <w:r w:rsidRPr="00DC3CD1">
        <w:rPr>
          <w:rFonts w:ascii="Arial" w:hAnsi="Arial" w:cs="Arial"/>
          <w:bCs/>
          <w:lang w:eastAsia="nl-BE"/>
        </w:rPr>
        <w:t xml:space="preserve"> de </w:t>
      </w:r>
      <w:r w:rsidRPr="00DC3CD1">
        <w:rPr>
          <w:rFonts w:ascii="Arial" w:hAnsi="Arial" w:cs="Arial"/>
        </w:rPr>
        <w:t xml:space="preserve">DSM-5 en de ICF. </w:t>
      </w:r>
      <w:r w:rsidR="00CF2554" w:rsidRPr="00DC3CD1">
        <w:rPr>
          <w:rFonts w:ascii="Arial" w:hAnsi="Arial" w:cs="Arial"/>
        </w:rPr>
        <w:t xml:space="preserve">Verder </w:t>
      </w:r>
      <w:r w:rsidR="008965BA" w:rsidRPr="00DC3CD1">
        <w:rPr>
          <w:rFonts w:ascii="Arial" w:hAnsi="Arial" w:cs="Arial"/>
        </w:rPr>
        <w:t xml:space="preserve">omschrijft de </w:t>
      </w:r>
      <w:r w:rsidR="00CF2554" w:rsidRPr="00DC3CD1">
        <w:rPr>
          <w:rFonts w:ascii="Arial" w:hAnsi="Arial" w:cs="Arial"/>
        </w:rPr>
        <w:t>Stichting Dyslexie Nederland (SDN, 2016)</w:t>
      </w:r>
      <w:r w:rsidR="001E522F" w:rsidRPr="00DC3CD1">
        <w:rPr>
          <w:rFonts w:ascii="Arial" w:hAnsi="Arial" w:cs="Arial"/>
        </w:rPr>
        <w:t xml:space="preserve"> dyslexie</w:t>
      </w:r>
      <w:r w:rsidR="00CF2554" w:rsidRPr="00DC3CD1">
        <w:rPr>
          <w:rFonts w:ascii="Arial" w:hAnsi="Arial" w:cs="Arial"/>
        </w:rPr>
        <w:t>, in overeenstemming met de DSM-5</w:t>
      </w:r>
      <w:r w:rsidR="001E522F" w:rsidRPr="00DC3CD1">
        <w:rPr>
          <w:rFonts w:ascii="Arial" w:hAnsi="Arial" w:cs="Arial"/>
        </w:rPr>
        <w:t>,</w:t>
      </w:r>
      <w:r w:rsidR="00CF2554" w:rsidRPr="00DC3CD1">
        <w:rPr>
          <w:rFonts w:ascii="Arial" w:hAnsi="Arial" w:cs="Arial"/>
        </w:rPr>
        <w:t xml:space="preserve"> als een specifieke leerstoornis die zich kenmerkt door een hardnekkig probleem in het aanleren van accuraat en vlot lezen en/of spellen op woordniveau, dat niet het gevolg is van omgevingsfactoren en/of een lichamelijke, neurologische of algemene verstandelijke beperking</w:t>
      </w:r>
      <w:r w:rsidR="00EB76D8">
        <w:rPr>
          <w:rFonts w:ascii="Arial" w:hAnsi="Arial" w:cs="Arial"/>
        </w:rPr>
        <w:t>. We spreken van dyscalculie als aan dezelfde criteria voldaan is maar dan op vlak van rekenen.</w:t>
      </w:r>
      <w:r w:rsidR="00DA0AE1">
        <w:rPr>
          <w:rFonts w:ascii="Arial" w:hAnsi="Arial" w:cs="Arial"/>
        </w:rPr>
        <w:t xml:space="preserve">. </w:t>
      </w:r>
    </w:p>
    <w:p w14:paraId="201083D1" w14:textId="166BDE42" w:rsidR="00F23422" w:rsidRPr="00DC3CD1" w:rsidRDefault="00F23422" w:rsidP="00AC6CA5">
      <w:pPr>
        <w:spacing w:before="240" w:after="0" w:line="240" w:lineRule="auto"/>
        <w:jc w:val="both"/>
        <w:rPr>
          <w:rFonts w:ascii="Arial" w:hAnsi="Arial" w:cs="Arial"/>
        </w:rPr>
      </w:pPr>
      <w:r w:rsidRPr="00DC3CD1">
        <w:rPr>
          <w:rFonts w:ascii="Arial" w:hAnsi="Arial" w:cs="Arial"/>
        </w:rPr>
        <w:t>In antwoord op onde</w:t>
      </w:r>
      <w:r w:rsidR="00D438E7" w:rsidRPr="00DC3CD1">
        <w:rPr>
          <w:rFonts w:ascii="Arial" w:hAnsi="Arial" w:cs="Arial"/>
        </w:rPr>
        <w:t xml:space="preserve">rzoeksvraag 3 </w:t>
      </w:r>
      <w:r w:rsidR="003778BB" w:rsidRPr="00DC3CD1">
        <w:rPr>
          <w:rFonts w:ascii="Arial" w:hAnsi="Arial" w:cs="Arial"/>
        </w:rPr>
        <w:t xml:space="preserve">is er </w:t>
      </w:r>
      <w:r w:rsidRPr="00DC3CD1">
        <w:rPr>
          <w:rFonts w:ascii="Arial" w:hAnsi="Arial" w:cs="Arial"/>
        </w:rPr>
        <w:t xml:space="preserve">de definitie van het Netwerk Leerproblemen </w:t>
      </w:r>
      <w:r w:rsidR="00D438E7" w:rsidRPr="00DC3CD1">
        <w:rPr>
          <w:rFonts w:ascii="Arial" w:hAnsi="Arial" w:cs="Arial"/>
        </w:rPr>
        <w:t xml:space="preserve">Vlaanderen </w:t>
      </w:r>
      <w:r w:rsidRPr="00DC3CD1">
        <w:rPr>
          <w:rFonts w:ascii="Arial" w:hAnsi="Arial" w:cs="Arial"/>
        </w:rPr>
        <w:t xml:space="preserve">(Ghesquière, 2014) </w:t>
      </w:r>
      <w:r w:rsidR="00D438E7" w:rsidRPr="00DC3CD1">
        <w:rPr>
          <w:rFonts w:ascii="Arial" w:hAnsi="Arial" w:cs="Arial"/>
        </w:rPr>
        <w:t xml:space="preserve">met </w:t>
      </w:r>
      <w:r w:rsidRPr="00DC3CD1">
        <w:rPr>
          <w:rFonts w:ascii="Arial" w:hAnsi="Arial" w:cs="Arial"/>
        </w:rPr>
        <w:t xml:space="preserve">drie </w:t>
      </w:r>
      <w:r w:rsidR="003778BB" w:rsidRPr="00DC3CD1">
        <w:rPr>
          <w:rFonts w:ascii="Arial" w:hAnsi="Arial" w:cs="Arial"/>
        </w:rPr>
        <w:t xml:space="preserve">voorwaardelijke </w:t>
      </w:r>
      <w:r w:rsidRPr="00DC3CD1">
        <w:rPr>
          <w:rFonts w:ascii="Arial" w:hAnsi="Arial" w:cs="Arial"/>
        </w:rPr>
        <w:t xml:space="preserve">criteria </w:t>
      </w:r>
      <w:r w:rsidR="003778BB" w:rsidRPr="00DC3CD1">
        <w:rPr>
          <w:rFonts w:ascii="Arial" w:hAnsi="Arial" w:cs="Arial"/>
        </w:rPr>
        <w:t xml:space="preserve">om </w:t>
      </w:r>
      <w:r w:rsidRPr="00DC3CD1">
        <w:rPr>
          <w:rFonts w:ascii="Arial" w:hAnsi="Arial" w:cs="Arial"/>
        </w:rPr>
        <w:t>te spreken v</w:t>
      </w:r>
      <w:r w:rsidR="003778BB" w:rsidRPr="00DC3CD1">
        <w:rPr>
          <w:rFonts w:ascii="Arial" w:hAnsi="Arial" w:cs="Arial"/>
        </w:rPr>
        <w:t>an</w:t>
      </w:r>
      <w:r w:rsidRPr="00DC3CD1">
        <w:rPr>
          <w:rFonts w:ascii="Arial" w:hAnsi="Arial" w:cs="Arial"/>
        </w:rPr>
        <w:t xml:space="preserve"> een leerstoornis. Ten eerste is er </w:t>
      </w:r>
      <w:r w:rsidRPr="00DC3CD1">
        <w:rPr>
          <w:rFonts w:ascii="Arial" w:hAnsi="Arial" w:cs="Arial"/>
          <w:i/>
        </w:rPr>
        <w:t>het achterstandscriterium</w:t>
      </w:r>
      <w:r w:rsidRPr="00DC3CD1">
        <w:rPr>
          <w:rFonts w:ascii="Arial" w:hAnsi="Arial" w:cs="Arial"/>
        </w:rPr>
        <w:t xml:space="preserve">. Er moet sprake zijn van een ernstige achterstand. Om dit meetbaar te maken, wordt percentiel 10 als grenswaarde genomen. Een percentiel kleiner dan 10, wordt ook een klinische score genoemd. Een tweede criterium is </w:t>
      </w:r>
      <w:r w:rsidRPr="00DC3CD1">
        <w:rPr>
          <w:rFonts w:ascii="Arial" w:hAnsi="Arial" w:cs="Arial"/>
          <w:i/>
        </w:rPr>
        <w:t>het mild exclusiecriterium</w:t>
      </w:r>
      <w:r w:rsidRPr="00DC3CD1">
        <w:rPr>
          <w:rFonts w:ascii="Arial" w:hAnsi="Arial" w:cs="Arial"/>
        </w:rPr>
        <w:t xml:space="preserve">. </w:t>
      </w:r>
      <w:r w:rsidR="00156D6C" w:rsidRPr="00DC3CD1">
        <w:rPr>
          <w:rFonts w:ascii="Arial" w:hAnsi="Arial" w:cs="Arial"/>
        </w:rPr>
        <w:t>Hiermee bedoelt men dat d</w:t>
      </w:r>
      <w:r w:rsidRPr="00DC3CD1">
        <w:rPr>
          <w:rFonts w:ascii="Arial" w:hAnsi="Arial" w:cs="Arial"/>
        </w:rPr>
        <w:t xml:space="preserve">e hardnekkige </w:t>
      </w:r>
      <w:r w:rsidR="00DF21D4" w:rsidRPr="00DC3CD1">
        <w:rPr>
          <w:rFonts w:ascii="Arial" w:hAnsi="Arial" w:cs="Arial"/>
        </w:rPr>
        <w:t>p</w:t>
      </w:r>
      <w:r w:rsidRPr="00DC3CD1">
        <w:rPr>
          <w:rFonts w:ascii="Arial" w:hAnsi="Arial" w:cs="Arial"/>
        </w:rPr>
        <w:t xml:space="preserve">roblemen </w:t>
      </w:r>
      <w:r w:rsidR="00156D6C" w:rsidRPr="00DC3CD1">
        <w:rPr>
          <w:rFonts w:ascii="Arial" w:hAnsi="Arial" w:cs="Arial"/>
        </w:rPr>
        <w:t xml:space="preserve">niet </w:t>
      </w:r>
      <w:r w:rsidRPr="00DC3CD1">
        <w:rPr>
          <w:rFonts w:ascii="Arial" w:hAnsi="Arial" w:cs="Arial"/>
        </w:rPr>
        <w:t xml:space="preserve">volledig verklaard worden door andere condities in of buiten de leerling in kwestie, zoals verstandelijke beperkingen, emotionele moeilijkheden, zintuiglijke beperkingen of ongunstige condities in de omgeving. Tot slot neemt het Netwerk Leerproblemen (Ghesquière, 2014) </w:t>
      </w:r>
      <w:r w:rsidRPr="00DC3CD1">
        <w:rPr>
          <w:rFonts w:ascii="Arial" w:hAnsi="Arial" w:cs="Arial"/>
          <w:i/>
        </w:rPr>
        <w:t>het hardnekkigheidscriterium</w:t>
      </w:r>
      <w:r w:rsidRPr="00DC3CD1">
        <w:rPr>
          <w:rFonts w:ascii="Arial" w:hAnsi="Arial" w:cs="Arial"/>
        </w:rPr>
        <w:t xml:space="preserve"> in acht. </w:t>
      </w:r>
      <w:r w:rsidR="00AC6CA5">
        <w:rPr>
          <w:rFonts w:ascii="Arial" w:hAnsi="Arial" w:cs="Arial"/>
        </w:rPr>
        <w:t xml:space="preserve">Zonder </w:t>
      </w:r>
      <w:r w:rsidR="003B1D4D">
        <w:rPr>
          <w:rFonts w:ascii="Arial" w:hAnsi="Arial" w:cs="Arial"/>
        </w:rPr>
        <w:t xml:space="preserve">‘goede hulp’ en ‘optimale instructie’ </w:t>
      </w:r>
      <w:r w:rsidR="00AC6CA5">
        <w:rPr>
          <w:rFonts w:ascii="Arial" w:hAnsi="Arial" w:cs="Arial"/>
        </w:rPr>
        <w:t xml:space="preserve">is de kans op </w:t>
      </w:r>
      <w:r w:rsidR="00AC6CA5">
        <w:rPr>
          <w:rFonts w:ascii="Arial" w:hAnsi="Arial" w:cs="Arial"/>
          <w:bCs/>
          <w:lang w:eastAsia="nl-BE"/>
        </w:rPr>
        <w:t xml:space="preserve">‘vals positieve’ diagnoses bij een eenmalige testing te groot. </w:t>
      </w:r>
      <w:r w:rsidRPr="00DC3CD1">
        <w:rPr>
          <w:rFonts w:ascii="Arial" w:hAnsi="Arial" w:cs="Arial"/>
        </w:rPr>
        <w:t xml:space="preserve">Dit </w:t>
      </w:r>
      <w:r w:rsidR="00AC6CA5">
        <w:rPr>
          <w:rFonts w:ascii="Arial" w:hAnsi="Arial" w:cs="Arial"/>
        </w:rPr>
        <w:t xml:space="preserve">criterium </w:t>
      </w:r>
      <w:r w:rsidRPr="00DC3CD1">
        <w:rPr>
          <w:rFonts w:ascii="Arial" w:hAnsi="Arial" w:cs="Arial"/>
        </w:rPr>
        <w:t xml:space="preserve">houdt in dat </w:t>
      </w:r>
      <w:r w:rsidR="00156D6C" w:rsidRPr="00DC3CD1">
        <w:rPr>
          <w:rFonts w:ascii="Arial" w:hAnsi="Arial" w:cs="Arial"/>
        </w:rPr>
        <w:t xml:space="preserve">men slechts van een leerstoornis spreekt als </w:t>
      </w:r>
      <w:r w:rsidRPr="00DC3CD1">
        <w:rPr>
          <w:rFonts w:ascii="Arial" w:hAnsi="Arial" w:cs="Arial"/>
        </w:rPr>
        <w:t xml:space="preserve">het kind </w:t>
      </w:r>
      <w:r w:rsidR="00DF21D4" w:rsidRPr="00DC3CD1">
        <w:rPr>
          <w:rFonts w:ascii="Arial" w:hAnsi="Arial" w:cs="Arial"/>
        </w:rPr>
        <w:t xml:space="preserve">niet </w:t>
      </w:r>
      <w:r w:rsidRPr="00DC3CD1">
        <w:rPr>
          <w:rFonts w:ascii="Arial" w:hAnsi="Arial" w:cs="Arial"/>
        </w:rPr>
        <w:t xml:space="preserve">voldoende vooruitgang maakt op vlak </w:t>
      </w:r>
      <w:r w:rsidRPr="00DC3CD1">
        <w:rPr>
          <w:rFonts w:ascii="Arial" w:hAnsi="Arial" w:cs="Arial"/>
        </w:rPr>
        <w:lastRenderedPageBreak/>
        <w:t xml:space="preserve">van </w:t>
      </w:r>
      <w:r w:rsidR="00D438E7" w:rsidRPr="00DC3CD1">
        <w:rPr>
          <w:rFonts w:ascii="Arial" w:hAnsi="Arial" w:cs="Arial"/>
        </w:rPr>
        <w:t xml:space="preserve">lezen, spellen of </w:t>
      </w:r>
      <w:r w:rsidRPr="00DC3CD1">
        <w:rPr>
          <w:rFonts w:ascii="Arial" w:hAnsi="Arial" w:cs="Arial"/>
        </w:rPr>
        <w:t xml:space="preserve">rekenen, terwijl men heeft ingezet op extra taakspecifieke </w:t>
      </w:r>
      <w:r w:rsidR="00DF21D4" w:rsidRPr="00DC3CD1">
        <w:rPr>
          <w:rFonts w:ascii="Arial" w:hAnsi="Arial" w:cs="Arial"/>
        </w:rPr>
        <w:t xml:space="preserve">en optimale </w:t>
      </w:r>
      <w:r w:rsidRPr="00DC3CD1">
        <w:rPr>
          <w:rFonts w:ascii="Arial" w:hAnsi="Arial" w:cs="Arial"/>
        </w:rPr>
        <w:t>ondersteuning</w:t>
      </w:r>
      <w:r w:rsidR="00DF21D4" w:rsidRPr="00DC3CD1">
        <w:rPr>
          <w:rFonts w:ascii="Arial" w:hAnsi="Arial" w:cs="Arial"/>
        </w:rPr>
        <w:t>/</w:t>
      </w:r>
      <w:r w:rsidRPr="00DC3CD1">
        <w:rPr>
          <w:rFonts w:ascii="Arial" w:hAnsi="Arial" w:cs="Arial"/>
        </w:rPr>
        <w:t xml:space="preserve"> remediëring</w:t>
      </w:r>
      <w:r w:rsidR="00DF21D4" w:rsidRPr="00DC3CD1">
        <w:rPr>
          <w:rFonts w:ascii="Arial" w:hAnsi="Arial" w:cs="Arial"/>
        </w:rPr>
        <w:t xml:space="preserve"> (1 uur per week gedurende 6 maand</w:t>
      </w:r>
      <w:r w:rsidR="001F799C">
        <w:rPr>
          <w:rFonts w:ascii="Arial" w:hAnsi="Arial" w:cs="Arial"/>
        </w:rPr>
        <w:t>en</w:t>
      </w:r>
      <w:r w:rsidR="00DF21D4" w:rsidRPr="00DC3CD1">
        <w:rPr>
          <w:rFonts w:ascii="Arial" w:hAnsi="Arial" w:cs="Arial"/>
        </w:rPr>
        <w:t>)</w:t>
      </w:r>
      <w:r w:rsidRPr="00DC3CD1">
        <w:rPr>
          <w:rFonts w:ascii="Arial" w:hAnsi="Arial" w:cs="Arial"/>
        </w:rPr>
        <w:t xml:space="preserve">. Kortom, de problemen </w:t>
      </w:r>
      <w:r w:rsidR="00494645" w:rsidRPr="00DC3CD1">
        <w:rPr>
          <w:rFonts w:ascii="Arial" w:hAnsi="Arial" w:cs="Arial"/>
        </w:rPr>
        <w:t xml:space="preserve">met lezen, spellen of rekenen </w:t>
      </w:r>
      <w:r w:rsidR="00DF21D4" w:rsidRPr="00DC3CD1">
        <w:rPr>
          <w:rFonts w:ascii="Arial" w:hAnsi="Arial" w:cs="Arial"/>
        </w:rPr>
        <w:t xml:space="preserve">(vastgesteld bij het eerste meetmoment) </w:t>
      </w:r>
      <w:r w:rsidR="00156D6C" w:rsidRPr="00DC3CD1">
        <w:rPr>
          <w:rFonts w:ascii="Arial" w:hAnsi="Arial" w:cs="Arial"/>
        </w:rPr>
        <w:t xml:space="preserve">moeten </w:t>
      </w:r>
      <w:r w:rsidRPr="00DC3CD1">
        <w:rPr>
          <w:rFonts w:ascii="Arial" w:hAnsi="Arial" w:cs="Arial"/>
        </w:rPr>
        <w:t xml:space="preserve">persistent </w:t>
      </w:r>
      <w:r w:rsidR="00156D6C" w:rsidRPr="00DC3CD1">
        <w:rPr>
          <w:rFonts w:ascii="Arial" w:hAnsi="Arial" w:cs="Arial"/>
        </w:rPr>
        <w:t xml:space="preserve">zijn </w:t>
      </w:r>
      <w:r w:rsidR="00AC6CA5">
        <w:rPr>
          <w:rFonts w:ascii="Arial" w:hAnsi="Arial" w:cs="Arial"/>
        </w:rPr>
        <w:t xml:space="preserve">(en dus nog aanwezig zijn op het tweede meetmoment) </w:t>
      </w:r>
      <w:r w:rsidR="00494645" w:rsidRPr="00DC3CD1">
        <w:rPr>
          <w:rFonts w:ascii="Arial" w:hAnsi="Arial" w:cs="Arial"/>
        </w:rPr>
        <w:t xml:space="preserve">ondanks </w:t>
      </w:r>
      <w:r w:rsidR="000F1575" w:rsidRPr="00DC3CD1">
        <w:rPr>
          <w:rFonts w:ascii="Arial" w:hAnsi="Arial" w:cs="Arial"/>
        </w:rPr>
        <w:t xml:space="preserve">voldoende intense </w:t>
      </w:r>
      <w:r w:rsidR="00CE51F4">
        <w:rPr>
          <w:rFonts w:ascii="Arial" w:hAnsi="Arial" w:cs="Arial"/>
        </w:rPr>
        <w:t xml:space="preserve">(minstens 1 uur per week) </w:t>
      </w:r>
      <w:r w:rsidR="000F1575" w:rsidRPr="00DC3CD1">
        <w:rPr>
          <w:rFonts w:ascii="Arial" w:hAnsi="Arial" w:cs="Arial"/>
        </w:rPr>
        <w:t xml:space="preserve">en </w:t>
      </w:r>
      <w:r w:rsidR="00494645" w:rsidRPr="00DC3CD1">
        <w:rPr>
          <w:rFonts w:ascii="Arial" w:hAnsi="Arial" w:cs="Arial"/>
        </w:rPr>
        <w:t xml:space="preserve">adequate </w:t>
      </w:r>
      <w:r w:rsidR="00156D6C" w:rsidRPr="00DC3CD1">
        <w:rPr>
          <w:rFonts w:ascii="Arial" w:hAnsi="Arial" w:cs="Arial"/>
        </w:rPr>
        <w:t>gepersonaliseerd</w:t>
      </w:r>
      <w:r w:rsidR="00CE51F4">
        <w:rPr>
          <w:rFonts w:ascii="Arial" w:hAnsi="Arial" w:cs="Arial"/>
        </w:rPr>
        <w:t>e taakspecifieke en optimale</w:t>
      </w:r>
      <w:r w:rsidR="00156D6C" w:rsidRPr="00DC3CD1">
        <w:rPr>
          <w:rFonts w:ascii="Arial" w:hAnsi="Arial" w:cs="Arial"/>
        </w:rPr>
        <w:t xml:space="preserve"> </w:t>
      </w:r>
      <w:r w:rsidR="00494645" w:rsidRPr="00DC3CD1">
        <w:rPr>
          <w:rFonts w:ascii="Arial" w:hAnsi="Arial" w:cs="Arial"/>
        </w:rPr>
        <w:t>instructie</w:t>
      </w:r>
      <w:r w:rsidR="00AC6CA5">
        <w:rPr>
          <w:rFonts w:ascii="Arial" w:hAnsi="Arial" w:cs="Arial"/>
        </w:rPr>
        <w:t xml:space="preserve"> </w:t>
      </w:r>
      <w:r w:rsidR="00DA0AE1">
        <w:rPr>
          <w:rFonts w:ascii="Arial" w:hAnsi="Arial" w:cs="Arial"/>
        </w:rPr>
        <w:t xml:space="preserve">en goede hulp </w:t>
      </w:r>
      <w:r w:rsidR="00AC6CA5">
        <w:rPr>
          <w:rFonts w:ascii="Arial" w:hAnsi="Arial" w:cs="Arial"/>
        </w:rPr>
        <w:t>gedurende 6 maand</w:t>
      </w:r>
      <w:r w:rsidR="001F799C">
        <w:rPr>
          <w:rFonts w:ascii="Arial" w:hAnsi="Arial" w:cs="Arial"/>
        </w:rPr>
        <w:t>en</w:t>
      </w:r>
      <w:r w:rsidR="00AC6CA5">
        <w:rPr>
          <w:rFonts w:ascii="Arial" w:hAnsi="Arial" w:cs="Arial"/>
        </w:rPr>
        <w:t xml:space="preserve"> (tussen meetmoment 1 en 2)</w:t>
      </w:r>
      <w:r w:rsidRPr="00DC3CD1">
        <w:rPr>
          <w:rFonts w:ascii="Arial" w:hAnsi="Arial" w:cs="Arial"/>
        </w:rPr>
        <w:t xml:space="preserve">. </w:t>
      </w:r>
    </w:p>
    <w:p w14:paraId="455ABF78" w14:textId="113B8499" w:rsidR="00042947" w:rsidRPr="00DC3CD1" w:rsidRDefault="00D438E7" w:rsidP="00D97E57">
      <w:pPr>
        <w:spacing w:before="240" w:after="0" w:line="240" w:lineRule="auto"/>
        <w:jc w:val="both"/>
        <w:rPr>
          <w:rFonts w:ascii="Arial" w:hAnsi="Arial" w:cs="Arial"/>
          <w:bCs/>
          <w:lang w:eastAsia="nl-BE"/>
        </w:rPr>
      </w:pPr>
      <w:r w:rsidRPr="00DC3CD1">
        <w:rPr>
          <w:rFonts w:ascii="Arial" w:hAnsi="Arial" w:cs="Arial"/>
        </w:rPr>
        <w:t xml:space="preserve">Tenslotte beschreven we in antwoord op onderzoeksvraag 4 dat om dyslexie vast te stellen lezen en spellen op woordniveau moet worden nagegaan. </w:t>
      </w:r>
      <w:r w:rsidR="00DF21D4" w:rsidRPr="00DC3CD1">
        <w:rPr>
          <w:rFonts w:ascii="Arial" w:hAnsi="Arial" w:cs="Arial"/>
        </w:rPr>
        <w:t xml:space="preserve">Dit kan </w:t>
      </w:r>
      <w:r w:rsidRPr="00DC3CD1">
        <w:rPr>
          <w:rFonts w:ascii="Arial" w:hAnsi="Arial" w:cs="Arial"/>
        </w:rPr>
        <w:t>bijvoorbeeld</w:t>
      </w:r>
      <w:r w:rsidR="003778BB" w:rsidRPr="00DC3CD1">
        <w:rPr>
          <w:rFonts w:ascii="Arial" w:hAnsi="Arial" w:cs="Arial"/>
        </w:rPr>
        <w:t xml:space="preserve"> </w:t>
      </w:r>
      <w:r w:rsidR="00494645" w:rsidRPr="00DC3CD1">
        <w:rPr>
          <w:rFonts w:ascii="Arial" w:hAnsi="Arial" w:cs="Arial"/>
        </w:rPr>
        <w:t xml:space="preserve">met </w:t>
      </w:r>
      <w:r w:rsidR="003778BB" w:rsidRPr="00DC3CD1">
        <w:rPr>
          <w:rFonts w:ascii="Arial" w:hAnsi="Arial" w:cs="Arial"/>
        </w:rPr>
        <w:t>de</w:t>
      </w:r>
      <w:r w:rsidRPr="00DC3CD1">
        <w:rPr>
          <w:rFonts w:ascii="Arial" w:hAnsi="Arial" w:cs="Arial"/>
        </w:rPr>
        <w:t xml:space="preserve"> Eén Minuut Test (</w:t>
      </w:r>
      <w:r w:rsidR="00494645" w:rsidRPr="00DC3CD1">
        <w:rPr>
          <w:rFonts w:ascii="Arial" w:hAnsi="Arial" w:cs="Arial"/>
        </w:rPr>
        <w:t xml:space="preserve">EMT; </w:t>
      </w:r>
      <w:r w:rsidRPr="00DC3CD1">
        <w:rPr>
          <w:rFonts w:ascii="Arial" w:hAnsi="Arial" w:cs="Arial"/>
        </w:rPr>
        <w:t>Brus &amp; Voeten, 1999)</w:t>
      </w:r>
      <w:r w:rsidR="00494645" w:rsidRPr="00DC3CD1">
        <w:rPr>
          <w:rFonts w:ascii="Arial" w:hAnsi="Arial" w:cs="Arial"/>
        </w:rPr>
        <w:t>, de Drie Minuten Test</w:t>
      </w:r>
      <w:r w:rsidRPr="00DC3CD1">
        <w:rPr>
          <w:rFonts w:ascii="Arial" w:hAnsi="Arial" w:cs="Arial"/>
        </w:rPr>
        <w:t xml:space="preserve"> </w:t>
      </w:r>
      <w:r w:rsidR="00494645" w:rsidRPr="00DC3CD1">
        <w:rPr>
          <w:rFonts w:ascii="Arial" w:hAnsi="Arial" w:cs="Arial"/>
        </w:rPr>
        <w:t xml:space="preserve">(DMT; CITO, 2009) </w:t>
      </w:r>
      <w:r w:rsidRPr="00DC3CD1">
        <w:rPr>
          <w:rFonts w:ascii="Arial" w:hAnsi="Arial" w:cs="Arial"/>
        </w:rPr>
        <w:t>of met de Leesvaardigheidstest (Niessen &amp; Boey, 2015)</w:t>
      </w:r>
      <w:r w:rsidR="00DF21D4" w:rsidRPr="00DC3CD1">
        <w:rPr>
          <w:rFonts w:ascii="Arial" w:hAnsi="Arial" w:cs="Arial"/>
        </w:rPr>
        <w:t xml:space="preserve"> en voor spellen met de </w:t>
      </w:r>
      <w:r w:rsidR="00494645" w:rsidRPr="00DC3CD1">
        <w:rPr>
          <w:rFonts w:ascii="Arial" w:hAnsi="Arial" w:cs="Arial"/>
        </w:rPr>
        <w:t>Spellingstest voor kinderen van het 1</w:t>
      </w:r>
      <w:r w:rsidR="00494645" w:rsidRPr="00DC3CD1">
        <w:rPr>
          <w:rFonts w:ascii="Arial" w:hAnsi="Arial" w:cs="Arial"/>
          <w:vertAlign w:val="superscript"/>
        </w:rPr>
        <w:t>ste</w:t>
      </w:r>
      <w:r w:rsidR="00494645" w:rsidRPr="00DC3CD1">
        <w:rPr>
          <w:rFonts w:ascii="Arial" w:hAnsi="Arial" w:cs="Arial"/>
        </w:rPr>
        <w:t xml:space="preserve"> tot 6</w:t>
      </w:r>
      <w:r w:rsidR="00494645" w:rsidRPr="00DC3CD1">
        <w:rPr>
          <w:rFonts w:ascii="Arial" w:hAnsi="Arial" w:cs="Arial"/>
          <w:vertAlign w:val="superscript"/>
        </w:rPr>
        <w:t>de</w:t>
      </w:r>
      <w:r w:rsidR="00494645" w:rsidRPr="00DC3CD1">
        <w:rPr>
          <w:rFonts w:ascii="Arial" w:hAnsi="Arial" w:cs="Arial"/>
        </w:rPr>
        <w:t xml:space="preserve"> leerjaar (Van Vreckem &amp; Desoete, 2016). </w:t>
      </w:r>
      <w:r w:rsidRPr="00DC3CD1">
        <w:rPr>
          <w:rFonts w:ascii="Arial" w:hAnsi="Arial" w:cs="Arial"/>
        </w:rPr>
        <w:t xml:space="preserve">Om na te gaan of er dyscalculie is moeten we nagaan of kinderen </w:t>
      </w:r>
      <w:r w:rsidR="00FB445E" w:rsidRPr="00DC3CD1">
        <w:rPr>
          <w:rFonts w:ascii="Arial" w:hAnsi="Arial" w:cs="Arial"/>
        </w:rPr>
        <w:t xml:space="preserve">hardnekkig blijven </w:t>
      </w:r>
      <w:r w:rsidRPr="00DC3CD1">
        <w:rPr>
          <w:rFonts w:ascii="Arial" w:hAnsi="Arial" w:cs="Arial"/>
        </w:rPr>
        <w:t xml:space="preserve">uitvallen op  vlak van </w:t>
      </w:r>
      <w:r w:rsidRPr="00DC3CD1">
        <w:rPr>
          <w:rFonts w:ascii="Arial" w:hAnsi="Arial" w:cs="Arial"/>
          <w:bCs/>
          <w:lang w:eastAsia="nl-BE"/>
        </w:rPr>
        <w:t>het automatiseren van rekenfeiten en/of uitvoeren van bewerkingen (Pieters</w:t>
      </w:r>
      <w:r w:rsidR="00FB445E" w:rsidRPr="00DC3CD1">
        <w:rPr>
          <w:rFonts w:ascii="Arial" w:hAnsi="Arial" w:cs="Arial"/>
          <w:bCs/>
          <w:lang w:eastAsia="nl-BE"/>
        </w:rPr>
        <w:t xml:space="preserve"> et al.</w:t>
      </w:r>
      <w:r w:rsidRPr="00DC3CD1">
        <w:rPr>
          <w:rFonts w:ascii="Arial" w:hAnsi="Arial" w:cs="Arial"/>
          <w:bCs/>
          <w:lang w:eastAsia="nl-BE"/>
        </w:rPr>
        <w:t>, 2015)</w:t>
      </w:r>
      <w:r w:rsidR="00FB445E" w:rsidRPr="00DC3CD1">
        <w:rPr>
          <w:rFonts w:ascii="Arial" w:hAnsi="Arial" w:cs="Arial"/>
          <w:bCs/>
          <w:lang w:eastAsia="nl-BE"/>
        </w:rPr>
        <w:t xml:space="preserve">. </w:t>
      </w:r>
      <w:r w:rsidR="00FB445E" w:rsidRPr="00DC3CD1">
        <w:rPr>
          <w:rFonts w:ascii="Arial" w:hAnsi="Arial" w:cs="Arial"/>
        </w:rPr>
        <w:t xml:space="preserve">Temporekenen </w:t>
      </w:r>
      <w:r w:rsidRPr="00DC3CD1">
        <w:rPr>
          <w:rFonts w:ascii="Arial" w:hAnsi="Arial" w:cs="Arial"/>
        </w:rPr>
        <w:t xml:space="preserve">kan men in de lagere school </w:t>
      </w:r>
      <w:r w:rsidR="00FB445E" w:rsidRPr="00DC3CD1">
        <w:rPr>
          <w:rFonts w:ascii="Arial" w:hAnsi="Arial" w:cs="Arial"/>
        </w:rPr>
        <w:t xml:space="preserve">testen met </w:t>
      </w:r>
      <w:r w:rsidRPr="00DC3CD1">
        <w:rPr>
          <w:rFonts w:ascii="Arial" w:hAnsi="Arial" w:cs="Arial"/>
        </w:rPr>
        <w:t>de Tempotoets Automatiseren (TTA, de Vos, 2010), de Tempotoets ho</w:t>
      </w:r>
      <w:r w:rsidR="000F1575" w:rsidRPr="00DC3CD1">
        <w:rPr>
          <w:rFonts w:ascii="Arial" w:hAnsi="Arial" w:cs="Arial"/>
        </w:rPr>
        <w:t xml:space="preserve">ofdrekenen tot 20 (Dudal, 2003) of de </w:t>
      </w:r>
      <w:r w:rsidRPr="00DC3CD1">
        <w:rPr>
          <w:rFonts w:ascii="Arial" w:hAnsi="Arial" w:cs="Arial"/>
        </w:rPr>
        <w:t>Tempotoets hoofdrekenen 5</w:t>
      </w:r>
      <w:r w:rsidRPr="00DC3CD1">
        <w:rPr>
          <w:rFonts w:ascii="Arial" w:hAnsi="Arial" w:cs="Arial"/>
          <w:vertAlign w:val="superscript"/>
        </w:rPr>
        <w:t>de</w:t>
      </w:r>
      <w:r w:rsidRPr="00DC3CD1">
        <w:rPr>
          <w:rFonts w:ascii="Arial" w:hAnsi="Arial" w:cs="Arial"/>
        </w:rPr>
        <w:t xml:space="preserve"> en 6</w:t>
      </w:r>
      <w:r w:rsidRPr="00DC3CD1">
        <w:rPr>
          <w:rFonts w:ascii="Arial" w:hAnsi="Arial" w:cs="Arial"/>
          <w:vertAlign w:val="superscript"/>
        </w:rPr>
        <w:t>de</w:t>
      </w:r>
      <w:r w:rsidRPr="00DC3CD1">
        <w:rPr>
          <w:rFonts w:ascii="Arial" w:hAnsi="Arial" w:cs="Arial"/>
        </w:rPr>
        <w:t xml:space="preserve"> leerjaar (Dudal, 2008)</w:t>
      </w:r>
      <w:r w:rsidR="00FB445E" w:rsidRPr="00DC3CD1">
        <w:rPr>
          <w:rFonts w:ascii="Arial" w:hAnsi="Arial" w:cs="Arial"/>
        </w:rPr>
        <w:t>, die op de limitatieve lijst van tests staan</w:t>
      </w:r>
      <w:r w:rsidRPr="00DC3CD1">
        <w:rPr>
          <w:rFonts w:ascii="Arial" w:hAnsi="Arial" w:cs="Arial"/>
        </w:rPr>
        <w:t>. In de centra voor ambulante revalidatie mag men hiervoor ook de Tempotest Rekenen (TTR, de Vos 1992) gebruiken</w:t>
      </w:r>
      <w:r w:rsidR="000F1575" w:rsidRPr="00DC3CD1">
        <w:rPr>
          <w:rFonts w:ascii="Arial" w:hAnsi="Arial" w:cs="Arial"/>
        </w:rPr>
        <w:t xml:space="preserve">, wat een meerwaarde kan </w:t>
      </w:r>
      <w:r w:rsidR="007B1C41">
        <w:rPr>
          <w:rFonts w:ascii="Arial" w:hAnsi="Arial" w:cs="Arial"/>
        </w:rPr>
        <w:t>hebben</w:t>
      </w:r>
      <w:r w:rsidR="000F1575" w:rsidRPr="00DC3CD1">
        <w:rPr>
          <w:rFonts w:ascii="Arial" w:hAnsi="Arial" w:cs="Arial"/>
        </w:rPr>
        <w:t xml:space="preserve"> (omdat hier ook een kolom gemengde oefeningen in opgenomen is)</w:t>
      </w:r>
      <w:r w:rsidRPr="00DC3CD1">
        <w:rPr>
          <w:rFonts w:ascii="Arial" w:hAnsi="Arial" w:cs="Arial"/>
        </w:rPr>
        <w:t xml:space="preserve">. </w:t>
      </w:r>
      <w:r w:rsidR="009716A4" w:rsidRPr="00DC3CD1">
        <w:rPr>
          <w:rFonts w:ascii="Arial" w:hAnsi="Arial" w:cs="Arial"/>
        </w:rPr>
        <w:t xml:space="preserve">De kennis van bewerkingen kan men in de lagere school testen met de Kortrijkse Rekentest Revisie (Baudonck et al., 2006), </w:t>
      </w:r>
      <w:r w:rsidR="000F1575" w:rsidRPr="00DC3CD1">
        <w:rPr>
          <w:rFonts w:ascii="Arial" w:hAnsi="Arial" w:cs="Arial"/>
        </w:rPr>
        <w:t xml:space="preserve">de </w:t>
      </w:r>
      <w:r w:rsidR="009716A4" w:rsidRPr="00DC3CD1">
        <w:rPr>
          <w:rFonts w:ascii="Arial" w:hAnsi="Arial" w:cs="Arial"/>
        </w:rPr>
        <w:t xml:space="preserve">Cognitieve Deelhandelingen Rekenen (CDR, Desoete &amp; Roeyers, 2006) en </w:t>
      </w:r>
      <w:r w:rsidR="000F1575" w:rsidRPr="00DC3CD1">
        <w:rPr>
          <w:rFonts w:ascii="Arial" w:hAnsi="Arial" w:cs="Arial"/>
        </w:rPr>
        <w:t xml:space="preserve">met </w:t>
      </w:r>
      <w:r w:rsidR="009716A4" w:rsidRPr="00DC3CD1">
        <w:rPr>
          <w:rFonts w:ascii="Arial" w:hAnsi="Arial" w:cs="Arial"/>
        </w:rPr>
        <w:t>de Toetsen begin 3</w:t>
      </w:r>
      <w:r w:rsidR="009716A4" w:rsidRPr="00DC3CD1">
        <w:rPr>
          <w:rFonts w:ascii="Arial" w:hAnsi="Arial" w:cs="Arial"/>
          <w:vertAlign w:val="superscript"/>
        </w:rPr>
        <w:t>de</w:t>
      </w:r>
      <w:r w:rsidR="009716A4" w:rsidRPr="00DC3CD1">
        <w:rPr>
          <w:rFonts w:ascii="Arial" w:hAnsi="Arial" w:cs="Arial"/>
        </w:rPr>
        <w:t xml:space="preserve"> en 4</w:t>
      </w:r>
      <w:r w:rsidR="009716A4" w:rsidRPr="00DC3CD1">
        <w:rPr>
          <w:rFonts w:ascii="Arial" w:hAnsi="Arial" w:cs="Arial"/>
          <w:vertAlign w:val="superscript"/>
        </w:rPr>
        <w:t>de</w:t>
      </w:r>
      <w:r w:rsidR="009716A4" w:rsidRPr="00DC3CD1">
        <w:rPr>
          <w:rFonts w:ascii="Arial" w:hAnsi="Arial" w:cs="Arial"/>
        </w:rPr>
        <w:t xml:space="preserve"> LO (Dudal, 2006). </w:t>
      </w:r>
      <w:r w:rsidR="000F1575" w:rsidRPr="00DC3CD1">
        <w:rPr>
          <w:rFonts w:ascii="Arial" w:hAnsi="Arial" w:cs="Arial"/>
        </w:rPr>
        <w:t>Van de KRT-R weten we dat er binnenkort een digitale versie komt.</w:t>
      </w:r>
    </w:p>
    <w:p w14:paraId="457041A6" w14:textId="77777777" w:rsidR="00DE04A7" w:rsidRDefault="00AB7B8E" w:rsidP="00AB7B8E">
      <w:pPr>
        <w:spacing w:before="240" w:after="0" w:line="240" w:lineRule="auto"/>
        <w:jc w:val="both"/>
        <w:rPr>
          <w:rFonts w:ascii="Arial" w:hAnsi="Arial" w:cs="Arial"/>
          <w:bCs/>
          <w:lang w:eastAsia="nl-BE"/>
        </w:rPr>
      </w:pPr>
      <w:r w:rsidRPr="00DC3CD1">
        <w:rPr>
          <w:rFonts w:ascii="Arial" w:hAnsi="Arial" w:cs="Arial"/>
        </w:rPr>
        <w:t xml:space="preserve">In antwoord op onderzoeksvraag 5 blijkt dat </w:t>
      </w:r>
      <w:r w:rsidR="008F5341" w:rsidRPr="00DC3CD1">
        <w:rPr>
          <w:rFonts w:ascii="Arial" w:hAnsi="Arial" w:cs="Arial"/>
        </w:rPr>
        <w:t>er een verschil is in de d</w:t>
      </w:r>
      <w:r w:rsidRPr="00DC3CD1">
        <w:rPr>
          <w:rFonts w:ascii="Arial" w:hAnsi="Arial" w:cs="Arial"/>
        </w:rPr>
        <w:t xml:space="preserve">iagnostische instrumenten </w:t>
      </w:r>
      <w:r w:rsidR="008F5341" w:rsidRPr="00DC3CD1">
        <w:rPr>
          <w:rFonts w:ascii="Arial" w:hAnsi="Arial" w:cs="Arial"/>
        </w:rPr>
        <w:t xml:space="preserve">die gebruikt worden </w:t>
      </w:r>
      <w:r w:rsidRPr="00DC3CD1">
        <w:rPr>
          <w:rFonts w:ascii="Arial" w:hAnsi="Arial" w:cs="Arial"/>
        </w:rPr>
        <w:t xml:space="preserve">bij </w:t>
      </w:r>
      <w:r w:rsidR="00DE04A7" w:rsidRPr="00DC3CD1">
        <w:rPr>
          <w:rFonts w:ascii="Arial" w:hAnsi="Arial" w:cs="Arial"/>
          <w:bCs/>
          <w:lang w:eastAsia="nl-BE"/>
        </w:rPr>
        <w:t>de privaat werkende logopedist</w:t>
      </w:r>
      <w:r w:rsidR="008F5341" w:rsidRPr="00DC3CD1">
        <w:rPr>
          <w:rFonts w:ascii="Arial" w:hAnsi="Arial" w:cs="Arial"/>
          <w:bCs/>
          <w:lang w:eastAsia="nl-BE"/>
        </w:rPr>
        <w:t xml:space="preserve"> (limitatieve lijst RIZIV)</w:t>
      </w:r>
      <w:r w:rsidR="00DE04A7" w:rsidRPr="00DC3CD1">
        <w:rPr>
          <w:rFonts w:ascii="Arial" w:hAnsi="Arial" w:cs="Arial"/>
          <w:bCs/>
          <w:lang w:eastAsia="nl-BE"/>
        </w:rPr>
        <w:t xml:space="preserve"> </w:t>
      </w:r>
      <w:r w:rsidR="008F5341" w:rsidRPr="00DC3CD1">
        <w:rPr>
          <w:rFonts w:ascii="Arial" w:hAnsi="Arial" w:cs="Arial"/>
          <w:bCs/>
          <w:lang w:eastAsia="nl-BE"/>
        </w:rPr>
        <w:t xml:space="preserve">of </w:t>
      </w:r>
      <w:r w:rsidR="00DE04A7" w:rsidRPr="00DC3CD1">
        <w:rPr>
          <w:rFonts w:ascii="Arial" w:hAnsi="Arial" w:cs="Arial"/>
          <w:bCs/>
          <w:lang w:eastAsia="nl-BE"/>
        </w:rPr>
        <w:t xml:space="preserve"> in een centrum voor ambulante revalidatie </w:t>
      </w:r>
      <w:r w:rsidR="008F5341" w:rsidRPr="00DC3CD1">
        <w:rPr>
          <w:rFonts w:ascii="Arial" w:hAnsi="Arial" w:cs="Arial"/>
          <w:bCs/>
          <w:lang w:eastAsia="nl-BE"/>
        </w:rPr>
        <w:t xml:space="preserve">(andere limitatieve lijst RIZIV). Verder neemt het </w:t>
      </w:r>
      <w:r w:rsidR="00DE04A7" w:rsidRPr="00DC3CD1">
        <w:rPr>
          <w:rFonts w:ascii="Arial" w:hAnsi="Arial" w:cs="Arial"/>
          <w:bCs/>
          <w:lang w:eastAsia="nl-BE"/>
        </w:rPr>
        <w:t>centrum voor l</w:t>
      </w:r>
      <w:r w:rsidRPr="00DC3CD1">
        <w:rPr>
          <w:rFonts w:ascii="Arial" w:hAnsi="Arial" w:cs="Arial"/>
          <w:bCs/>
          <w:lang w:eastAsia="nl-BE"/>
        </w:rPr>
        <w:t>eerlingbegeleiding</w:t>
      </w:r>
      <w:r w:rsidR="008F5341" w:rsidRPr="00DC3CD1">
        <w:rPr>
          <w:rFonts w:ascii="Arial" w:hAnsi="Arial" w:cs="Arial"/>
          <w:bCs/>
          <w:lang w:eastAsia="nl-BE"/>
        </w:rPr>
        <w:t xml:space="preserve"> niet altijd tests af en als </w:t>
      </w:r>
      <w:r w:rsidR="000F1575" w:rsidRPr="00DC3CD1">
        <w:rPr>
          <w:rFonts w:ascii="Arial" w:hAnsi="Arial" w:cs="Arial"/>
          <w:bCs/>
          <w:lang w:eastAsia="nl-BE"/>
        </w:rPr>
        <w:t>dit toch gedaan wordt</w:t>
      </w:r>
      <w:r w:rsidR="008F5341" w:rsidRPr="00DC3CD1">
        <w:rPr>
          <w:rFonts w:ascii="Arial" w:hAnsi="Arial" w:cs="Arial"/>
          <w:bCs/>
          <w:lang w:eastAsia="nl-BE"/>
        </w:rPr>
        <w:t xml:space="preserve"> is dit met een handelingsgerichte bril op. </w:t>
      </w:r>
      <w:r w:rsidR="000F1575" w:rsidRPr="00DC3CD1">
        <w:rPr>
          <w:rFonts w:ascii="Arial" w:hAnsi="Arial" w:cs="Arial"/>
          <w:bCs/>
          <w:lang w:eastAsia="nl-BE"/>
        </w:rPr>
        <w:t>Er is ook geen vast protocol van tests en de</w:t>
      </w:r>
      <w:r w:rsidR="008F5341" w:rsidRPr="00DC3CD1">
        <w:rPr>
          <w:rFonts w:ascii="Arial" w:hAnsi="Arial" w:cs="Arial"/>
          <w:bCs/>
          <w:lang w:eastAsia="nl-BE"/>
        </w:rPr>
        <w:t xml:space="preserve"> tests </w:t>
      </w:r>
      <w:r w:rsidR="000F1575" w:rsidRPr="00DC3CD1">
        <w:rPr>
          <w:rFonts w:ascii="Arial" w:hAnsi="Arial" w:cs="Arial"/>
          <w:bCs/>
          <w:lang w:eastAsia="nl-BE"/>
        </w:rPr>
        <w:t xml:space="preserve">kunnen verschillen van die op </w:t>
      </w:r>
      <w:r w:rsidR="008F5341" w:rsidRPr="00DC3CD1">
        <w:rPr>
          <w:rFonts w:ascii="Arial" w:hAnsi="Arial" w:cs="Arial"/>
          <w:bCs/>
          <w:lang w:eastAsia="nl-BE"/>
        </w:rPr>
        <w:t>de limitatieve lijsten van het RIZIV.</w:t>
      </w:r>
    </w:p>
    <w:p w14:paraId="26646317" w14:textId="2F4B15E0" w:rsidR="008C2F37" w:rsidRDefault="0091458A" w:rsidP="00D96BAB">
      <w:pPr>
        <w:spacing w:before="240" w:after="0" w:line="240" w:lineRule="auto"/>
        <w:jc w:val="both"/>
        <w:rPr>
          <w:rFonts w:ascii="Arial" w:eastAsia="Perpetua" w:hAnsi="Arial" w:cs="Arial"/>
          <w:color w:val="181717"/>
          <w:lang w:eastAsia="nl-BE"/>
        </w:rPr>
      </w:pPr>
      <w:r>
        <w:rPr>
          <w:rFonts w:ascii="Arial" w:hAnsi="Arial" w:cs="Arial"/>
          <w:bCs/>
          <w:lang w:eastAsia="nl-BE"/>
        </w:rPr>
        <w:t>Samenvattend kunnen we stellen dat een</w:t>
      </w:r>
      <w:r w:rsidR="008F5341">
        <w:rPr>
          <w:rFonts w:ascii="Arial" w:eastAsia="Perpetua" w:hAnsi="Arial" w:cs="Arial"/>
          <w:color w:val="181717"/>
          <w:lang w:eastAsia="nl-BE"/>
        </w:rPr>
        <w:t xml:space="preserve"> goede </w:t>
      </w:r>
      <w:r>
        <w:rPr>
          <w:rFonts w:ascii="Arial" w:eastAsia="Perpetua" w:hAnsi="Arial" w:cs="Arial"/>
          <w:color w:val="181717"/>
          <w:lang w:eastAsia="nl-BE"/>
        </w:rPr>
        <w:t xml:space="preserve">intake </w:t>
      </w:r>
      <w:r w:rsidR="008F5341">
        <w:rPr>
          <w:rFonts w:ascii="Arial" w:eastAsia="Perpetua" w:hAnsi="Arial" w:cs="Arial"/>
          <w:color w:val="181717"/>
          <w:lang w:eastAsia="nl-BE"/>
        </w:rPr>
        <w:t xml:space="preserve">met een bevraging naar </w:t>
      </w:r>
      <w:r w:rsidR="000F1575">
        <w:rPr>
          <w:rFonts w:ascii="Arial" w:eastAsia="Perpetua" w:hAnsi="Arial" w:cs="Arial"/>
          <w:color w:val="181717"/>
          <w:lang w:eastAsia="nl-BE"/>
        </w:rPr>
        <w:t>l</w:t>
      </w:r>
      <w:r w:rsidR="008F5341">
        <w:rPr>
          <w:rFonts w:ascii="Arial" w:eastAsia="Perpetua" w:hAnsi="Arial" w:cs="Arial"/>
          <w:color w:val="181717"/>
          <w:lang w:eastAsia="nl-BE"/>
        </w:rPr>
        <w:t>eerstoornissen bij familieleden aangewezen</w:t>
      </w:r>
      <w:r>
        <w:rPr>
          <w:rFonts w:ascii="Arial" w:eastAsia="Perpetua" w:hAnsi="Arial" w:cs="Arial"/>
          <w:color w:val="181717"/>
          <w:lang w:eastAsia="nl-BE"/>
        </w:rPr>
        <w:t xml:space="preserve"> is</w:t>
      </w:r>
      <w:r w:rsidR="008F5341">
        <w:rPr>
          <w:rFonts w:ascii="Arial" w:eastAsia="Perpetua" w:hAnsi="Arial" w:cs="Arial"/>
          <w:color w:val="181717"/>
          <w:lang w:eastAsia="nl-BE"/>
        </w:rPr>
        <w:t xml:space="preserve">. Daarnaast was er ook evidentie voor </w:t>
      </w:r>
      <w:r w:rsidR="008F5341" w:rsidRPr="00160B61">
        <w:rPr>
          <w:rFonts w:ascii="Arial" w:hAnsi="Arial" w:cs="Arial"/>
          <w:lang w:val="nl-NL"/>
        </w:rPr>
        <w:t>comorbid</w:t>
      </w:r>
      <w:r w:rsidR="000F1575">
        <w:rPr>
          <w:rFonts w:ascii="Arial" w:hAnsi="Arial" w:cs="Arial"/>
          <w:lang w:val="nl-NL"/>
        </w:rPr>
        <w:t>iteit (met o.m. ADHD en DCD)</w:t>
      </w:r>
      <w:r w:rsidR="008F5341">
        <w:rPr>
          <w:rFonts w:ascii="Arial" w:hAnsi="Arial" w:cs="Arial"/>
        </w:rPr>
        <w:t xml:space="preserve"> wat het belang </w:t>
      </w:r>
      <w:r w:rsidR="008F5341" w:rsidRPr="00160B61">
        <w:rPr>
          <w:rFonts w:ascii="Arial" w:hAnsi="Arial" w:cs="Arial"/>
        </w:rPr>
        <w:t>van multidisciplinaire en brede diagnostiek</w:t>
      </w:r>
      <w:r w:rsidR="008F5341">
        <w:rPr>
          <w:rFonts w:ascii="Arial" w:hAnsi="Arial" w:cs="Arial"/>
        </w:rPr>
        <w:t xml:space="preserve"> onderstreept.</w:t>
      </w:r>
      <w:r>
        <w:rPr>
          <w:rFonts w:ascii="Arial" w:hAnsi="Arial" w:cs="Arial"/>
        </w:rPr>
        <w:t xml:space="preserve"> </w:t>
      </w:r>
      <w:r w:rsidR="008F5341">
        <w:rPr>
          <w:rFonts w:ascii="Arial" w:eastAsia="Perpetua" w:hAnsi="Arial" w:cs="Arial"/>
          <w:color w:val="181717"/>
          <w:lang w:eastAsia="nl-BE"/>
        </w:rPr>
        <w:t xml:space="preserve">We toonden </w:t>
      </w:r>
      <w:r w:rsidR="00D96BAB">
        <w:rPr>
          <w:rFonts w:ascii="Arial" w:eastAsia="Perpetua" w:hAnsi="Arial" w:cs="Arial"/>
          <w:color w:val="181717"/>
          <w:lang w:eastAsia="nl-BE"/>
        </w:rPr>
        <w:t xml:space="preserve">verder aan </w:t>
      </w:r>
      <w:r w:rsidR="00042947" w:rsidRPr="00AB7B8E">
        <w:rPr>
          <w:rFonts w:ascii="Arial" w:hAnsi="Arial" w:cs="Arial"/>
          <w:bCs/>
          <w:lang w:eastAsia="nl-BE"/>
        </w:rPr>
        <w:t xml:space="preserve">dat er een biologische basis </w:t>
      </w:r>
      <w:r w:rsidR="00D96BAB">
        <w:rPr>
          <w:rFonts w:ascii="Arial" w:hAnsi="Arial" w:cs="Arial"/>
          <w:bCs/>
          <w:lang w:eastAsia="nl-BE"/>
        </w:rPr>
        <w:t>wa</w:t>
      </w:r>
      <w:r w:rsidR="00042947" w:rsidRPr="00AB7B8E">
        <w:rPr>
          <w:rFonts w:ascii="Arial" w:hAnsi="Arial" w:cs="Arial"/>
          <w:bCs/>
          <w:lang w:eastAsia="nl-BE"/>
        </w:rPr>
        <w:t xml:space="preserve">s voor </w:t>
      </w:r>
      <w:r w:rsidR="008F5341">
        <w:rPr>
          <w:rFonts w:ascii="Arial" w:hAnsi="Arial" w:cs="Arial"/>
          <w:bCs/>
          <w:lang w:eastAsia="nl-BE"/>
        </w:rPr>
        <w:t>leerstoornissen</w:t>
      </w:r>
      <w:r w:rsidR="00042947" w:rsidRPr="00AB7B8E">
        <w:rPr>
          <w:rFonts w:ascii="Arial" w:hAnsi="Arial" w:cs="Arial"/>
          <w:bCs/>
          <w:lang w:eastAsia="nl-BE"/>
        </w:rPr>
        <w:t xml:space="preserve">, en dat er tijdens bepaalde taken (bijvoorbeeld tijdens het lezen, spellen of rekenen) verschillen zichtbaar </w:t>
      </w:r>
      <w:r w:rsidR="00D96BAB">
        <w:rPr>
          <w:rFonts w:ascii="Arial" w:hAnsi="Arial" w:cs="Arial"/>
          <w:bCs/>
          <w:lang w:eastAsia="nl-BE"/>
        </w:rPr>
        <w:t>waren</w:t>
      </w:r>
      <w:r w:rsidR="00042947" w:rsidRPr="00AB7B8E">
        <w:rPr>
          <w:rFonts w:ascii="Arial" w:hAnsi="Arial" w:cs="Arial"/>
          <w:bCs/>
          <w:lang w:eastAsia="nl-BE"/>
        </w:rPr>
        <w:t xml:space="preserve"> in de hersenen van mensen me</w:t>
      </w:r>
      <w:r w:rsidR="001F799C">
        <w:rPr>
          <w:rFonts w:ascii="Arial" w:hAnsi="Arial" w:cs="Arial"/>
          <w:bCs/>
          <w:lang w:eastAsia="nl-BE"/>
        </w:rPr>
        <w:t>t</w:t>
      </w:r>
      <w:r w:rsidR="00042947" w:rsidRPr="00AB7B8E">
        <w:rPr>
          <w:rFonts w:ascii="Arial" w:hAnsi="Arial" w:cs="Arial"/>
          <w:bCs/>
          <w:lang w:eastAsia="nl-BE"/>
        </w:rPr>
        <w:t xml:space="preserve"> en zonder leerstoornis</w:t>
      </w:r>
      <w:r w:rsidR="00042947">
        <w:rPr>
          <w:rFonts w:ascii="Arial" w:hAnsi="Arial" w:cs="Arial"/>
          <w:bCs/>
          <w:lang w:eastAsia="nl-BE"/>
        </w:rPr>
        <w:t xml:space="preserve"> </w:t>
      </w:r>
      <w:r w:rsidR="00042947" w:rsidRPr="008965BA">
        <w:rPr>
          <w:rFonts w:ascii="Arial" w:eastAsia="Perpetua" w:hAnsi="Arial" w:cs="Arial"/>
          <w:color w:val="181717"/>
          <w:lang w:eastAsia="nl-BE"/>
        </w:rPr>
        <w:t>(</w:t>
      </w:r>
      <w:r w:rsidR="00042947" w:rsidRPr="00AC24B7">
        <w:rPr>
          <w:rFonts w:ascii="Arial" w:eastAsia="Perpetua" w:hAnsi="Arial" w:cs="Arial"/>
          <w:color w:val="181717"/>
          <w:lang w:eastAsia="nl-BE"/>
        </w:rPr>
        <w:t>Ashkenazi, 2013; Martin et al., 2016)</w:t>
      </w:r>
      <w:r w:rsidR="00042947" w:rsidRPr="00AC24B7">
        <w:rPr>
          <w:rFonts w:ascii="Arial" w:hAnsi="Arial" w:cs="Arial"/>
          <w:bCs/>
          <w:lang w:eastAsia="nl-BE"/>
        </w:rPr>
        <w:t>.</w:t>
      </w:r>
      <w:r w:rsidR="00042947" w:rsidRPr="00AC24B7">
        <w:rPr>
          <w:rFonts w:ascii="Arial" w:eastAsia="Perpetua" w:hAnsi="Arial" w:cs="Arial"/>
          <w:color w:val="181717"/>
          <w:lang w:eastAsia="nl-BE"/>
        </w:rPr>
        <w:t xml:space="preserve"> </w:t>
      </w:r>
      <w:r w:rsidR="00D96BAB">
        <w:rPr>
          <w:rFonts w:ascii="Arial" w:eastAsia="Perpetua" w:hAnsi="Arial" w:cs="Arial"/>
          <w:color w:val="181717"/>
          <w:lang w:eastAsia="nl-BE"/>
        </w:rPr>
        <w:t>Dergelijke n</w:t>
      </w:r>
      <w:r w:rsidR="00042947" w:rsidRPr="00AC24B7">
        <w:rPr>
          <w:rFonts w:ascii="Arial" w:eastAsia="Perpetua" w:hAnsi="Arial" w:cs="Arial"/>
          <w:color w:val="181717"/>
          <w:lang w:eastAsia="nl-BE"/>
        </w:rPr>
        <w:t>eurobiologische verschillen op groepsniveau  kunnen echter niet gebruikt worden om een diagnose te stellen bij een individueel kind (Desoete &amp; Warreyn, 2019).</w:t>
      </w:r>
    </w:p>
    <w:p w14:paraId="3FE37542" w14:textId="4774DA5C" w:rsidR="000F1575" w:rsidRDefault="00042947" w:rsidP="00D96BAB">
      <w:pPr>
        <w:spacing w:before="240" w:after="0" w:line="240" w:lineRule="auto"/>
        <w:jc w:val="both"/>
        <w:rPr>
          <w:rFonts w:ascii="Arial" w:hAnsi="Arial" w:cs="Arial"/>
          <w:bCs/>
          <w:lang w:eastAsia="nl-BE"/>
        </w:rPr>
      </w:pPr>
      <w:r w:rsidRPr="00AC24B7">
        <w:rPr>
          <w:rFonts w:ascii="Arial" w:hAnsi="Arial" w:cs="Arial"/>
          <w:bCs/>
          <w:lang w:val="nl-NL" w:eastAsia="nl-BE"/>
        </w:rPr>
        <w:t xml:space="preserve">Om </w:t>
      </w:r>
      <w:r>
        <w:rPr>
          <w:rFonts w:ascii="Arial" w:hAnsi="Arial" w:cs="Arial"/>
          <w:bCs/>
          <w:lang w:val="nl-NL" w:eastAsia="nl-BE"/>
        </w:rPr>
        <w:t xml:space="preserve">van </w:t>
      </w:r>
      <w:r w:rsidRPr="00AC24B7">
        <w:rPr>
          <w:rFonts w:ascii="Arial" w:hAnsi="Arial" w:cs="Arial"/>
          <w:bCs/>
          <w:lang w:val="nl-NL" w:eastAsia="nl-BE"/>
        </w:rPr>
        <w:t xml:space="preserve">dyslexie en </w:t>
      </w:r>
      <w:r w:rsidRPr="005768EF">
        <w:rPr>
          <w:rFonts w:ascii="Arial" w:hAnsi="Arial" w:cs="Arial"/>
          <w:bCs/>
          <w:lang w:val="nl-NL" w:eastAsia="nl-BE"/>
        </w:rPr>
        <w:t xml:space="preserve">dyscalculie in Vlaanderen te spreken, verwijst men </w:t>
      </w:r>
      <w:r w:rsidR="00D96BAB">
        <w:rPr>
          <w:rFonts w:ascii="Arial" w:hAnsi="Arial" w:cs="Arial"/>
          <w:bCs/>
          <w:lang w:val="nl-NL" w:eastAsia="nl-BE"/>
        </w:rPr>
        <w:t xml:space="preserve">naar de definitie van </w:t>
      </w:r>
      <w:r>
        <w:rPr>
          <w:rFonts w:ascii="Arial" w:hAnsi="Arial" w:cs="Arial"/>
          <w:bCs/>
          <w:lang w:val="nl-NL" w:eastAsia="nl-BE"/>
        </w:rPr>
        <w:t xml:space="preserve">het </w:t>
      </w:r>
      <w:r w:rsidRPr="005768EF">
        <w:rPr>
          <w:rFonts w:ascii="Arial" w:hAnsi="Arial" w:cs="Arial"/>
          <w:b/>
          <w:bCs/>
          <w:lang w:val="nl-NL" w:eastAsia="nl-BE"/>
        </w:rPr>
        <w:t>Netwerk leerproblemen Vlaanderen</w:t>
      </w:r>
      <w:r w:rsidRPr="005768EF">
        <w:rPr>
          <w:rFonts w:ascii="Arial" w:hAnsi="Arial" w:cs="Arial"/>
          <w:color w:val="000000"/>
        </w:rPr>
        <w:t xml:space="preserve"> </w:t>
      </w:r>
      <w:r w:rsidRPr="005768EF">
        <w:rPr>
          <w:rFonts w:ascii="Arial" w:hAnsi="Arial" w:cs="Arial"/>
          <w:bCs/>
          <w:lang w:eastAsia="nl-BE"/>
        </w:rPr>
        <w:t>conform internationaal onderzoek</w:t>
      </w:r>
      <w:r w:rsidR="00D96BAB">
        <w:rPr>
          <w:rFonts w:ascii="Arial" w:hAnsi="Arial" w:cs="Arial"/>
          <w:bCs/>
          <w:lang w:eastAsia="nl-BE"/>
        </w:rPr>
        <w:t>.</w:t>
      </w:r>
    </w:p>
    <w:p w14:paraId="14162ABD" w14:textId="62FC8319" w:rsidR="00DC3CD1" w:rsidRDefault="00D96BAB" w:rsidP="00DC3CD1">
      <w:pPr>
        <w:spacing w:before="240" w:after="0" w:line="240" w:lineRule="auto"/>
        <w:jc w:val="both"/>
        <w:rPr>
          <w:rFonts w:ascii="Arial" w:hAnsi="Arial" w:cs="Arial"/>
        </w:rPr>
      </w:pPr>
      <w:r>
        <w:rPr>
          <w:rFonts w:ascii="Arial" w:hAnsi="Arial" w:cs="Arial"/>
        </w:rPr>
        <w:t xml:space="preserve">Bij </w:t>
      </w:r>
      <w:r w:rsidRPr="00DC3CD1">
        <w:rPr>
          <w:rFonts w:ascii="Arial" w:hAnsi="Arial" w:cs="Arial"/>
          <w:b/>
        </w:rPr>
        <w:t>dyslexie</w:t>
      </w:r>
      <w:r>
        <w:rPr>
          <w:rFonts w:ascii="Arial" w:hAnsi="Arial" w:cs="Arial"/>
        </w:rPr>
        <w:t xml:space="preserve"> moet men </w:t>
      </w:r>
      <w:r w:rsidRPr="00D96BAB">
        <w:rPr>
          <w:rFonts w:ascii="Arial" w:hAnsi="Arial" w:cs="Arial"/>
        </w:rPr>
        <w:t xml:space="preserve">lezen en spellen </w:t>
      </w:r>
      <w:r>
        <w:rPr>
          <w:rFonts w:ascii="Arial" w:hAnsi="Arial" w:cs="Arial"/>
        </w:rPr>
        <w:t>onderzoeken op</w:t>
      </w:r>
      <w:r w:rsidRPr="00D96BAB">
        <w:rPr>
          <w:rFonts w:ascii="Arial" w:hAnsi="Arial" w:cs="Arial"/>
        </w:rPr>
        <w:t xml:space="preserve"> </w:t>
      </w:r>
      <w:r w:rsidRPr="00DC3CD1">
        <w:rPr>
          <w:rFonts w:ascii="Arial" w:hAnsi="Arial" w:cs="Arial"/>
          <w:b/>
        </w:rPr>
        <w:t xml:space="preserve">woordniveau. </w:t>
      </w:r>
      <w:r w:rsidRPr="00DF21D4">
        <w:rPr>
          <w:rFonts w:ascii="Arial" w:hAnsi="Arial" w:cs="Arial"/>
        </w:rPr>
        <w:t xml:space="preserve">Letterkennis en fonologisch bewustzijn onderzoeken is niet </w:t>
      </w:r>
      <w:r w:rsidR="000F1575">
        <w:rPr>
          <w:rFonts w:ascii="Arial" w:hAnsi="Arial" w:cs="Arial"/>
        </w:rPr>
        <w:t xml:space="preserve">nodig i.f.v. </w:t>
      </w:r>
      <w:r w:rsidRPr="00DF21D4">
        <w:rPr>
          <w:rFonts w:ascii="Arial" w:hAnsi="Arial" w:cs="Arial"/>
        </w:rPr>
        <w:t xml:space="preserve">een beschrijvende diagnose dyslexie. </w:t>
      </w:r>
      <w:r w:rsidR="0091458A">
        <w:rPr>
          <w:rFonts w:ascii="Arial" w:hAnsi="Arial" w:cs="Arial"/>
        </w:rPr>
        <w:t xml:space="preserve">Dit is wel nodig in een aanvangsbilan voor terugbetaling. </w:t>
      </w:r>
      <w:r w:rsidR="00042947" w:rsidRPr="005768EF">
        <w:rPr>
          <w:rFonts w:ascii="Arial" w:hAnsi="Arial" w:cs="Arial"/>
          <w:bCs/>
          <w:lang w:eastAsia="nl-BE"/>
        </w:rPr>
        <w:t xml:space="preserve">Nagaan van problemen </w:t>
      </w:r>
      <w:r w:rsidR="00042947" w:rsidRPr="005768EF">
        <w:rPr>
          <w:rFonts w:ascii="Arial" w:hAnsi="Arial" w:cs="Arial"/>
        </w:rPr>
        <w:t>met ‘begrijpend</w:t>
      </w:r>
      <w:r w:rsidR="00042947" w:rsidRPr="00AB7B8E">
        <w:rPr>
          <w:rFonts w:ascii="Arial" w:hAnsi="Arial" w:cs="Arial"/>
        </w:rPr>
        <w:t xml:space="preserve"> lezen’ en zich ‘schriftelijk uitdrukken’ (op zinsniveau)</w:t>
      </w:r>
      <w:r w:rsidR="00042947">
        <w:rPr>
          <w:rFonts w:ascii="Arial" w:hAnsi="Arial" w:cs="Arial"/>
        </w:rPr>
        <w:t xml:space="preserve"> zijn </w:t>
      </w:r>
      <w:r>
        <w:rPr>
          <w:rFonts w:ascii="Arial" w:hAnsi="Arial" w:cs="Arial"/>
        </w:rPr>
        <w:t xml:space="preserve">evenmin </w:t>
      </w:r>
      <w:r w:rsidR="00042947">
        <w:rPr>
          <w:rFonts w:ascii="Arial" w:hAnsi="Arial" w:cs="Arial"/>
        </w:rPr>
        <w:t xml:space="preserve">niet strikt noodzakelijk om beschrijvend van dyslexie te spreken binnen de definitie van het Netwerk Vlaanderen. </w:t>
      </w:r>
      <w:r w:rsidR="00DC3CD1" w:rsidRPr="00DF21D4">
        <w:rPr>
          <w:rFonts w:ascii="Arial" w:hAnsi="Arial" w:cs="Arial"/>
        </w:rPr>
        <w:t>Uiteraard kan dit wel handelingsgerichte informatie opleveren</w:t>
      </w:r>
      <w:r w:rsidR="008C2F37">
        <w:rPr>
          <w:rFonts w:ascii="Arial" w:hAnsi="Arial" w:cs="Arial"/>
        </w:rPr>
        <w:t xml:space="preserve"> (Van Vreckem &amp; Desoete, 2015). </w:t>
      </w:r>
    </w:p>
    <w:p w14:paraId="31724C42" w14:textId="4D19DC8B" w:rsidR="00DC3CD1" w:rsidRDefault="000F1575" w:rsidP="00DC3CD1">
      <w:pPr>
        <w:spacing w:before="240" w:after="0" w:line="240" w:lineRule="auto"/>
        <w:jc w:val="both"/>
        <w:rPr>
          <w:rFonts w:ascii="Arial" w:hAnsi="Arial" w:cs="Arial"/>
        </w:rPr>
      </w:pPr>
      <w:r w:rsidRPr="00DF21D4">
        <w:rPr>
          <w:rFonts w:ascii="Arial" w:hAnsi="Arial" w:cs="Arial"/>
        </w:rPr>
        <w:t xml:space="preserve">Om na te gaan of er </w:t>
      </w:r>
      <w:r w:rsidRPr="00DF21D4">
        <w:rPr>
          <w:rFonts w:ascii="Arial" w:hAnsi="Arial" w:cs="Arial"/>
          <w:b/>
        </w:rPr>
        <w:t>dyscalculie</w:t>
      </w:r>
      <w:r w:rsidRPr="00DF21D4">
        <w:rPr>
          <w:rFonts w:ascii="Arial" w:hAnsi="Arial" w:cs="Arial"/>
        </w:rPr>
        <w:t xml:space="preserve"> is moeten we nagaan of kinderen hardnekkig blijven uitvallen op  vlak van </w:t>
      </w:r>
      <w:r w:rsidRPr="00DF21D4">
        <w:rPr>
          <w:rFonts w:ascii="Arial" w:hAnsi="Arial" w:cs="Arial"/>
          <w:bCs/>
          <w:lang w:eastAsia="nl-BE"/>
        </w:rPr>
        <w:t xml:space="preserve">het automatiseren van rekenfeiten en/of uitvoeren van bewerkingen (Pieters et al., 2015). </w:t>
      </w:r>
      <w:r w:rsidR="00042947">
        <w:rPr>
          <w:rFonts w:ascii="Arial" w:hAnsi="Arial" w:cs="Arial"/>
        </w:rPr>
        <w:t xml:space="preserve">Wat betreft dyscalculie lijkt vraagstukkenonderzoek weinig additieve waarde te </w:t>
      </w:r>
      <w:r w:rsidR="00042947">
        <w:rPr>
          <w:rFonts w:ascii="Arial" w:hAnsi="Arial" w:cs="Arial"/>
        </w:rPr>
        <w:lastRenderedPageBreak/>
        <w:t xml:space="preserve">hebben in functie van een differentiaal diagnose met andere verklaringen voor leerproblemen. </w:t>
      </w:r>
      <w:r>
        <w:rPr>
          <w:rFonts w:ascii="Arial" w:hAnsi="Arial" w:cs="Arial"/>
        </w:rPr>
        <w:t>Kloklezen</w:t>
      </w:r>
      <w:r w:rsidR="00DC3CD1">
        <w:rPr>
          <w:rFonts w:ascii="Arial" w:hAnsi="Arial" w:cs="Arial"/>
        </w:rPr>
        <w:t xml:space="preserve"> </w:t>
      </w:r>
      <w:r w:rsidR="00DC3CD1" w:rsidRPr="00AB7B8E">
        <w:rPr>
          <w:rFonts w:ascii="Arial" w:hAnsi="Arial" w:cs="Arial"/>
          <w:bCs/>
          <w:lang w:eastAsia="nl-BE"/>
        </w:rPr>
        <w:t>(Burny</w:t>
      </w:r>
      <w:r w:rsidR="00DC3CD1">
        <w:rPr>
          <w:rFonts w:ascii="Arial" w:hAnsi="Arial" w:cs="Arial"/>
          <w:bCs/>
          <w:lang w:eastAsia="nl-BE"/>
        </w:rPr>
        <w:t xml:space="preserve"> et al., 2012)</w:t>
      </w:r>
      <w:r w:rsidR="00DC3CD1">
        <w:rPr>
          <w:rFonts w:ascii="Arial" w:hAnsi="Arial" w:cs="Arial"/>
        </w:rPr>
        <w:t xml:space="preserve"> </w:t>
      </w:r>
      <w:r w:rsidR="00D97E57">
        <w:rPr>
          <w:rFonts w:ascii="Arial" w:hAnsi="Arial" w:cs="Arial"/>
        </w:rPr>
        <w:t xml:space="preserve"> </w:t>
      </w:r>
      <w:r>
        <w:rPr>
          <w:rFonts w:ascii="Arial" w:hAnsi="Arial" w:cs="Arial"/>
        </w:rPr>
        <w:t>nagaan kan dan wel weer informatief zijn.</w:t>
      </w:r>
    </w:p>
    <w:p w14:paraId="08E45147" w14:textId="1BB32DA9" w:rsidR="00042947" w:rsidRPr="00D96BAB" w:rsidRDefault="00042947" w:rsidP="00042947">
      <w:pPr>
        <w:spacing w:before="240" w:after="0" w:line="240" w:lineRule="auto"/>
        <w:jc w:val="both"/>
        <w:rPr>
          <w:rFonts w:ascii="Arial" w:hAnsi="Arial" w:cs="Arial"/>
        </w:rPr>
      </w:pPr>
      <w:r w:rsidRPr="00D96BAB">
        <w:rPr>
          <w:rFonts w:ascii="Arial" w:hAnsi="Arial" w:cs="Arial"/>
          <w:bCs/>
          <w:lang w:eastAsia="nl-BE"/>
        </w:rPr>
        <w:t>We kunnen ook besluiten dat ‘</w:t>
      </w:r>
      <w:r w:rsidRPr="00D96BAB">
        <w:rPr>
          <w:rFonts w:ascii="Arial" w:hAnsi="Arial" w:cs="Arial"/>
          <w:b/>
          <w:bCs/>
          <w:lang w:eastAsia="nl-BE"/>
        </w:rPr>
        <w:t>hardnekkigheid</w:t>
      </w:r>
      <w:r w:rsidRPr="00D96BAB">
        <w:rPr>
          <w:rFonts w:ascii="Arial" w:hAnsi="Arial" w:cs="Arial"/>
          <w:bCs/>
          <w:lang w:eastAsia="nl-BE"/>
        </w:rPr>
        <w:t>’ als criterium voor leerstoornissen zeker nog van deze tijd is. Het is namelijk één van de criteria waar internationaal consensus over is</w:t>
      </w:r>
      <w:r w:rsidR="007B1C41">
        <w:rPr>
          <w:rFonts w:ascii="Arial" w:hAnsi="Arial" w:cs="Arial"/>
          <w:bCs/>
          <w:lang w:eastAsia="nl-BE"/>
        </w:rPr>
        <w:t xml:space="preserve"> (G</w:t>
      </w:r>
      <w:r w:rsidR="00F86AB6">
        <w:rPr>
          <w:rFonts w:ascii="Arial" w:hAnsi="Arial" w:cs="Arial"/>
          <w:bCs/>
          <w:lang w:eastAsia="nl-BE"/>
        </w:rPr>
        <w:t>hesq</w:t>
      </w:r>
      <w:r w:rsidR="007B1C41">
        <w:rPr>
          <w:rFonts w:ascii="Arial" w:hAnsi="Arial" w:cs="Arial"/>
          <w:bCs/>
          <w:lang w:eastAsia="nl-BE"/>
        </w:rPr>
        <w:t>uière &amp; Hellinckx, 2018; Siegel, 2018; Van der Leij, 2015; Van Luit, 2018)</w:t>
      </w:r>
      <w:r w:rsidRPr="00D96BAB">
        <w:rPr>
          <w:rFonts w:ascii="Arial" w:hAnsi="Arial" w:cs="Arial"/>
          <w:bCs/>
          <w:lang w:eastAsia="nl-BE"/>
        </w:rPr>
        <w:t xml:space="preserve">. </w:t>
      </w:r>
      <w:r w:rsidR="00AC6CA5">
        <w:rPr>
          <w:rFonts w:ascii="Arial" w:hAnsi="Arial" w:cs="Arial"/>
          <w:bCs/>
          <w:lang w:eastAsia="nl-BE"/>
        </w:rPr>
        <w:t xml:space="preserve">Op basis van een eenmalige klinische score mag geen dyslexie of dyscalculie vastgesteld worden. </w:t>
      </w:r>
      <w:r w:rsidRPr="00D96BAB">
        <w:rPr>
          <w:rFonts w:ascii="Arial" w:hAnsi="Arial" w:cs="Arial"/>
          <w:bCs/>
          <w:lang w:eastAsia="nl-BE"/>
        </w:rPr>
        <w:t xml:space="preserve">Men spreekt pas van een leerstoornis als de achterstand blijft aanhouden ondanks goede instructie op maat gedurende zes maanden </w:t>
      </w:r>
      <w:r w:rsidRPr="00D96BAB">
        <w:rPr>
          <w:rFonts w:ascii="Arial" w:hAnsi="Arial" w:cs="Arial"/>
        </w:rPr>
        <w:fldChar w:fldCharType="begin" w:fldLock="1"/>
      </w:r>
      <w:r w:rsidRPr="00D96BAB">
        <w:rPr>
          <w:rFonts w:ascii="Arial" w:hAnsi="Arial" w:cs="Arial"/>
        </w:rPr>
        <w:instrText>ADDIN CSL_CITATION { "citationItems" : [ { "id" : "ITEM-1", "itemData" : { "DOI" : "10.1177/001440290707300303", "ISSN" : "0014-4029", "abstract" : "The predictive utility of screening measures for forecasting math disability (MD) at the end of 2nd grade and the predictive and discriminant validity of math progress-monitoring tools were assessed. Participants were 225 students who entered the study in 1st grade and completed data collection at the end of 2nd grade. Screening measures were Number Identification/Counting, Fact Retrieval, Curriculum-Based Measurement (CBM) Computation, and CBM Concepts/Applications. For Number Identification/Counting and CBM Computation, 27 weekly assessments were also collected. MD was defined as below the 10th percentile at the end of 2nd grade on calculations and word problems. Logistic regression showed that the 4-variable screening model produced good and similar fits in accounting for MD\u2014calculation and MD\u2014word problems. Classification accuracy was driven primarily by CBM Concepts/Applications and CBM Computation; CBM Concepts/Applications was the better of these predictors. CBM Computation, but not Number Identifi...", "author" : [ { "dropping-particle" : "", "family" : "Fuchs", "given" : "Lynn S.", "non-dropping-particle" : "", "parse-names" : false, "suffix" : "" }, { "dropping-particle" : "", "family" : "Fuchs", "given" : "Douglas", "non-dropping-particle" : "", "parse-names" : false, "suffix" : "" }, { "dropping-particle" : "", "family" : "Compton", "given" : "Donald L.", "non-dropping-particle" : "", "parse-names" : false, "suffix" : "" }, { "dropping-particle" : "", "family" : "Bryant", "given" : "Joan D.", "non-dropping-particle" : "", "parse-names" : false, "suffix" : "" }, { "dropping-particle" : "", "family" : "Hamlett", "given" : "Carol L.", "non-dropping-particle" : "", "parse-names" : false, "suffix" : "" }, { "dropping-particle" : "", "family" : "Seethaler", "given" : "Pamela M.", "non-dropping-particle" : "", "parse-names" : false, "suffix" : "" } ], "container-title" : "Exceptional Children", "id" : "ITEM-1", "issue" : "3", "issued" : { "date-parts" : [ [ "2007", "4", "24" ] ] }, "page" : "311-330", "publisher" : "SAGE PublicationsSage CA: Los Angeles, CA", "title" : "Mathematics Screening and Progress Monitoring at First Grade: Implications for Responsiveness to Intervention", "type" : "article-journal", "volume" : "73" }, "uris" : [ "http://www.mendeley.com/documents/?uuid=55a19159-b737-347b-8276-d5c54fe7e84c" ] } ], "mendeley" : { "formattedCitation" : "(Fuchs et al., 2007)", "plainTextFormattedCitation" : "(Fuchs et al., 2007)", "previouslyFormattedCitation" : "(Fuchs et al., 2007)" }, "properties" : { "noteIndex" : 0 }, "schema" : "https://github.com/citation-style-language/schema/raw/master/csl-citation.json" }</w:instrText>
      </w:r>
      <w:r w:rsidRPr="00D96BAB">
        <w:rPr>
          <w:rFonts w:ascii="Arial" w:hAnsi="Arial" w:cs="Arial"/>
        </w:rPr>
        <w:fldChar w:fldCharType="separate"/>
      </w:r>
      <w:r w:rsidRPr="00D96BAB">
        <w:rPr>
          <w:rFonts w:ascii="Arial" w:hAnsi="Arial" w:cs="Arial"/>
          <w:noProof/>
        </w:rPr>
        <w:t>(zie ook RTI-principe bij Fuchs et al., 2007)</w:t>
      </w:r>
      <w:r w:rsidRPr="00D96BAB">
        <w:rPr>
          <w:rFonts w:ascii="Arial" w:hAnsi="Arial" w:cs="Arial"/>
        </w:rPr>
        <w:fldChar w:fldCharType="end"/>
      </w:r>
      <w:r w:rsidRPr="00D96BAB">
        <w:rPr>
          <w:rFonts w:ascii="Arial" w:hAnsi="Arial" w:cs="Arial"/>
          <w:bCs/>
          <w:lang w:eastAsia="nl-BE"/>
        </w:rPr>
        <w:t xml:space="preserve">. </w:t>
      </w:r>
      <w:r w:rsidR="001F799C">
        <w:rPr>
          <w:rFonts w:ascii="Arial" w:hAnsi="Arial" w:cs="Arial"/>
          <w:bCs/>
          <w:lang w:eastAsia="nl-BE"/>
        </w:rPr>
        <w:t xml:space="preserve">Een uitgebreide </w:t>
      </w:r>
      <w:r w:rsidR="003B1D4D">
        <w:rPr>
          <w:rFonts w:ascii="Arial" w:hAnsi="Arial" w:cs="Arial"/>
          <w:bCs/>
          <w:lang w:eastAsia="nl-BE"/>
        </w:rPr>
        <w:t>intake</w:t>
      </w:r>
      <w:r w:rsidR="001F799C">
        <w:rPr>
          <w:rFonts w:ascii="Arial" w:hAnsi="Arial" w:cs="Arial"/>
          <w:bCs/>
          <w:lang w:eastAsia="nl-BE"/>
        </w:rPr>
        <w:t xml:space="preserve">, met o.a. een volledig overzicht van het schoolse presteren van het kind op zowel (lezen, spellen als rekenen, evenals een oplijsting van de inhoud, frequentie en intensiteit van de uitgevoerde interventies is dan ook een essentieel onderdeel van het diagnostisch proces. </w:t>
      </w:r>
      <w:r w:rsidRPr="00D96BAB">
        <w:rPr>
          <w:rFonts w:ascii="Arial" w:hAnsi="Arial" w:cs="Arial"/>
          <w:bCs/>
          <w:lang w:eastAsia="nl-BE"/>
        </w:rPr>
        <w:t xml:space="preserve">Dit hardnekkigheidcriterium is bovendien in overeenstemming met de bevindingen met </w:t>
      </w:r>
      <w:r w:rsidR="001F799C">
        <w:rPr>
          <w:rFonts w:ascii="Arial" w:hAnsi="Arial" w:cs="Arial"/>
          <w:bCs/>
          <w:lang w:eastAsia="nl-BE"/>
        </w:rPr>
        <w:t xml:space="preserve">het </w:t>
      </w:r>
      <w:r w:rsidRPr="00D96BAB">
        <w:rPr>
          <w:rFonts w:ascii="Arial" w:hAnsi="Arial" w:cs="Arial"/>
          <w:bCs/>
          <w:lang w:eastAsia="nl-BE"/>
        </w:rPr>
        <w:t xml:space="preserve">Opportunity-Propensity model, gevalideerd op </w:t>
      </w:r>
      <w:r w:rsidRPr="00D96BAB">
        <w:rPr>
          <w:rFonts w:ascii="Arial" w:hAnsi="Arial" w:cs="Arial"/>
        </w:rPr>
        <w:t>2,8 miljoen jongeren (</w:t>
      </w:r>
      <w:r w:rsidRPr="00D96BAB">
        <w:rPr>
          <w:rFonts w:ascii="Arial" w:hAnsi="Arial" w:cs="Arial"/>
          <w:noProof/>
        </w:rPr>
        <w:t>Byrnes &amp; Miller, 2007)</w:t>
      </w:r>
      <w:r w:rsidRPr="00D96BAB">
        <w:rPr>
          <w:rFonts w:ascii="Arial" w:hAnsi="Arial" w:cs="Arial"/>
        </w:rPr>
        <w:t xml:space="preserve">, </w:t>
      </w:r>
      <w:r w:rsidRPr="00D96BAB">
        <w:rPr>
          <w:rFonts w:ascii="Arial" w:hAnsi="Arial" w:cs="Arial"/>
          <w:lang w:eastAsia="nl-BE"/>
        </w:rPr>
        <w:t xml:space="preserve"> 17 401 kleuters (Byrnes &amp; Wasik, 2009) en 14 000 kinderen geboren in gezinnen met een lage SES (Wang, Shen, &amp; Byrnes, 2013). </w:t>
      </w:r>
    </w:p>
    <w:p w14:paraId="6402376F" w14:textId="3EC413C1" w:rsidR="005738DF" w:rsidRPr="00DC3CD1" w:rsidRDefault="00D96BAB" w:rsidP="00DC3CD1">
      <w:pPr>
        <w:spacing w:before="240" w:after="0" w:line="240" w:lineRule="auto"/>
        <w:jc w:val="both"/>
        <w:rPr>
          <w:rFonts w:ascii="Arial" w:hAnsi="Arial" w:cs="Arial"/>
          <w:bCs/>
          <w:lang w:eastAsia="nl-BE"/>
        </w:rPr>
      </w:pPr>
      <w:r>
        <w:rPr>
          <w:rFonts w:ascii="Arial" w:hAnsi="Arial" w:cs="Arial"/>
        </w:rPr>
        <w:t xml:space="preserve">Aan alle studies zijn beperkingen gekoppeld. Dit overzicht is hier niet vrij van. Zo </w:t>
      </w:r>
      <w:r w:rsidR="005738DF">
        <w:rPr>
          <w:rFonts w:ascii="Arial" w:hAnsi="Arial" w:cs="Arial"/>
        </w:rPr>
        <w:t xml:space="preserve">werd enkel een overzicht gegeven van tests </w:t>
      </w:r>
      <w:r w:rsidR="007B1C41">
        <w:rPr>
          <w:rFonts w:ascii="Arial" w:hAnsi="Arial" w:cs="Arial"/>
        </w:rPr>
        <w:t xml:space="preserve">voor Nederlandstalige kinderen </w:t>
      </w:r>
      <w:r w:rsidR="005738DF">
        <w:rPr>
          <w:rFonts w:ascii="Arial" w:hAnsi="Arial" w:cs="Arial"/>
        </w:rPr>
        <w:t>tot en met de leeftijd van 14 jaar. Vervolgonderzoek naar de diagnostiek bij volwassenen en ouderen met leerstoornissen lijkt zeker aangewezen. Ook blijken er voor dyslexie en dyscalculie in het secundair onderwijs (tot 14 jaar) geen specifieke tests op de limitatieve lijst van het RIZIV te staan. Ook hier lijkt vervolgonderzoek (met bv. normen voor de DMT, ST, TTR en CDR 3</w:t>
      </w:r>
      <w:r w:rsidR="005738DF" w:rsidRPr="005738DF">
        <w:rPr>
          <w:rFonts w:ascii="Arial" w:hAnsi="Arial" w:cs="Arial"/>
          <w:vertAlign w:val="superscript"/>
        </w:rPr>
        <w:t>de</w:t>
      </w:r>
      <w:r w:rsidR="005738DF">
        <w:rPr>
          <w:rFonts w:ascii="Arial" w:hAnsi="Arial" w:cs="Arial"/>
        </w:rPr>
        <w:t xml:space="preserve"> graad) aangewezen.</w:t>
      </w:r>
    </w:p>
    <w:p w14:paraId="44158D91" w14:textId="77777777" w:rsidR="005738DF" w:rsidRDefault="005738DF" w:rsidP="005738DF">
      <w:pPr>
        <w:spacing w:after="0" w:line="240" w:lineRule="auto"/>
        <w:rPr>
          <w:rFonts w:ascii="Arial" w:hAnsi="Arial" w:cs="Arial"/>
        </w:rPr>
      </w:pPr>
    </w:p>
    <w:p w14:paraId="09E4D144" w14:textId="77777777" w:rsidR="00597F5A" w:rsidRDefault="00597F5A" w:rsidP="00597F5A">
      <w:pPr>
        <w:spacing w:after="0" w:line="240" w:lineRule="auto"/>
        <w:rPr>
          <w:rFonts w:ascii="Arial" w:hAnsi="Arial" w:cs="Arial"/>
        </w:rPr>
      </w:pPr>
      <w:r>
        <w:rPr>
          <w:rFonts w:ascii="Arial" w:hAnsi="Arial" w:cs="Arial"/>
        </w:rPr>
        <w:t>We kunnen b</w:t>
      </w:r>
      <w:r w:rsidR="00D96BAB">
        <w:rPr>
          <w:rFonts w:ascii="Arial" w:hAnsi="Arial" w:cs="Arial"/>
        </w:rPr>
        <w:t xml:space="preserve">esluiten </w:t>
      </w:r>
      <w:r>
        <w:rPr>
          <w:rFonts w:ascii="Arial" w:hAnsi="Arial" w:cs="Arial"/>
        </w:rPr>
        <w:t xml:space="preserve">dat </w:t>
      </w:r>
      <w:r w:rsidR="00B312DB">
        <w:rPr>
          <w:rFonts w:ascii="Arial" w:hAnsi="Arial" w:cs="Arial"/>
        </w:rPr>
        <w:t xml:space="preserve">dyslexie </w:t>
      </w:r>
      <w:r>
        <w:rPr>
          <w:rFonts w:ascii="Arial" w:hAnsi="Arial" w:cs="Arial"/>
        </w:rPr>
        <w:t>een h</w:t>
      </w:r>
      <w:r w:rsidR="00B312DB">
        <w:rPr>
          <w:rFonts w:ascii="Arial" w:hAnsi="Arial" w:cs="Arial"/>
        </w:rPr>
        <w:t>ardnek</w:t>
      </w:r>
      <w:r>
        <w:rPr>
          <w:rFonts w:ascii="Arial" w:hAnsi="Arial" w:cs="Arial"/>
        </w:rPr>
        <w:t>kig</w:t>
      </w:r>
      <w:r w:rsidR="00B312DB">
        <w:rPr>
          <w:rFonts w:ascii="Arial" w:hAnsi="Arial" w:cs="Arial"/>
        </w:rPr>
        <w:t xml:space="preserve"> proble</w:t>
      </w:r>
      <w:r>
        <w:rPr>
          <w:rFonts w:ascii="Arial" w:hAnsi="Arial" w:cs="Arial"/>
        </w:rPr>
        <w:t>e</w:t>
      </w:r>
      <w:r w:rsidR="00B312DB">
        <w:rPr>
          <w:rFonts w:ascii="Arial" w:hAnsi="Arial" w:cs="Arial"/>
        </w:rPr>
        <w:t>m</w:t>
      </w:r>
      <w:r>
        <w:rPr>
          <w:rFonts w:ascii="Arial" w:hAnsi="Arial" w:cs="Arial"/>
        </w:rPr>
        <w:t xml:space="preserve"> is </w:t>
      </w:r>
      <w:r w:rsidR="00B312DB">
        <w:rPr>
          <w:rFonts w:ascii="Arial" w:hAnsi="Arial" w:cs="Arial"/>
        </w:rPr>
        <w:t>met lezen en spellen op woordniveau. Bij dyscalculie gaat het om hardnekkige problemen met de automatisatie van rekenen (rekenfeiten, bewerkingen/hoofdrekenen).</w:t>
      </w:r>
      <w:r w:rsidRPr="00DC3CD1">
        <w:rPr>
          <w:rFonts w:ascii="Arial" w:hAnsi="Arial" w:cs="Arial"/>
          <w:bCs/>
          <w:lang w:eastAsia="nl-BE"/>
        </w:rPr>
        <w:t xml:space="preserve"> Men spreekt pas van een leerstoornis als </w:t>
      </w:r>
      <w:r>
        <w:rPr>
          <w:rFonts w:ascii="Arial" w:hAnsi="Arial" w:cs="Arial"/>
          <w:bCs/>
          <w:lang w:eastAsia="nl-BE"/>
        </w:rPr>
        <w:t xml:space="preserve">het om een hardnekkig probleem gaat waarbij </w:t>
      </w:r>
      <w:r w:rsidRPr="00DC3CD1">
        <w:rPr>
          <w:rFonts w:ascii="Arial" w:hAnsi="Arial" w:cs="Arial"/>
          <w:bCs/>
          <w:lang w:eastAsia="nl-BE"/>
        </w:rPr>
        <w:t>de achterstand blijft aanhouden ondanks</w:t>
      </w:r>
      <w:r w:rsidRPr="00D96BAB">
        <w:rPr>
          <w:rFonts w:ascii="Arial" w:hAnsi="Arial" w:cs="Arial"/>
          <w:bCs/>
          <w:lang w:eastAsia="nl-BE"/>
        </w:rPr>
        <w:t xml:space="preserve"> </w:t>
      </w:r>
      <w:r>
        <w:rPr>
          <w:rFonts w:ascii="Arial" w:hAnsi="Arial" w:cs="Arial"/>
          <w:bCs/>
          <w:lang w:eastAsia="nl-BE"/>
        </w:rPr>
        <w:t xml:space="preserve">optimale, intense (1uur/week) taakspecifieke </w:t>
      </w:r>
      <w:r w:rsidRPr="00D96BAB">
        <w:rPr>
          <w:rFonts w:ascii="Arial" w:hAnsi="Arial" w:cs="Arial"/>
          <w:bCs/>
          <w:lang w:eastAsia="nl-BE"/>
        </w:rPr>
        <w:t>instructie op maat gedurende zes maanden</w:t>
      </w:r>
      <w:r>
        <w:rPr>
          <w:rFonts w:ascii="Arial" w:hAnsi="Arial" w:cs="Arial"/>
          <w:bCs/>
          <w:lang w:eastAsia="nl-BE"/>
        </w:rPr>
        <w:t>.</w:t>
      </w:r>
    </w:p>
    <w:p w14:paraId="2A3CCC29" w14:textId="392314F6" w:rsidR="00D96BAB" w:rsidRPr="007B1C41" w:rsidRDefault="00597F5A" w:rsidP="00B312DB">
      <w:pPr>
        <w:spacing w:after="0" w:line="240" w:lineRule="auto"/>
        <w:rPr>
          <w:rFonts w:ascii="Arial" w:hAnsi="Arial" w:cs="Arial"/>
        </w:rPr>
      </w:pPr>
      <w:r>
        <w:rPr>
          <w:rFonts w:ascii="Arial" w:hAnsi="Arial" w:cs="Arial"/>
        </w:rPr>
        <w:t>Een</w:t>
      </w:r>
      <w:r w:rsidR="00B312DB">
        <w:rPr>
          <w:rFonts w:ascii="Arial" w:hAnsi="Arial" w:cs="Arial"/>
        </w:rPr>
        <w:t xml:space="preserve"> </w:t>
      </w:r>
      <w:r w:rsidR="00B312DB" w:rsidRPr="007B1C41">
        <w:rPr>
          <w:rFonts w:ascii="Arial" w:hAnsi="Arial" w:cs="Arial"/>
        </w:rPr>
        <w:t xml:space="preserve">goede </w:t>
      </w:r>
      <w:r w:rsidR="008C2F37" w:rsidRPr="007B1C41">
        <w:rPr>
          <w:rFonts w:ascii="Arial" w:hAnsi="Arial" w:cs="Arial"/>
        </w:rPr>
        <w:t>intake</w:t>
      </w:r>
      <w:r w:rsidR="00B312DB" w:rsidRPr="007B1C41">
        <w:rPr>
          <w:rFonts w:ascii="Arial" w:hAnsi="Arial" w:cs="Arial"/>
        </w:rPr>
        <w:t xml:space="preserve"> (familiale antecedenten, </w:t>
      </w:r>
      <w:r w:rsidR="001F799C" w:rsidRPr="007B1C41">
        <w:rPr>
          <w:rFonts w:ascii="Arial" w:hAnsi="Arial" w:cs="Arial"/>
        </w:rPr>
        <w:t xml:space="preserve"> een overzicht van de reeds uitgevoerde  interventies</w:t>
      </w:r>
      <w:r w:rsidR="00B312DB" w:rsidRPr="007B1C41">
        <w:rPr>
          <w:rFonts w:ascii="Arial" w:hAnsi="Arial" w:cs="Arial"/>
        </w:rPr>
        <w:t xml:space="preserve"> …) en een brede diagnostiek (i.f.v. comorbiditeit) </w:t>
      </w:r>
      <w:r w:rsidRPr="007B1C41">
        <w:rPr>
          <w:rFonts w:ascii="Arial" w:hAnsi="Arial" w:cs="Arial"/>
        </w:rPr>
        <w:t xml:space="preserve"> met </w:t>
      </w:r>
      <w:r w:rsidR="00B312DB" w:rsidRPr="007B1C41">
        <w:rPr>
          <w:rFonts w:ascii="Arial" w:hAnsi="Arial" w:cs="Arial"/>
        </w:rPr>
        <w:t>onderbouwde voor Vlaanderen genormeerde instrumenten om de ernst van de achterstand te kunnen objectiveren</w:t>
      </w:r>
      <w:r w:rsidRPr="007B1C41">
        <w:rPr>
          <w:rFonts w:ascii="Arial" w:hAnsi="Arial" w:cs="Arial"/>
        </w:rPr>
        <w:t xml:space="preserve"> is noodzakelijk</w:t>
      </w:r>
      <w:r w:rsidR="00B312DB" w:rsidRPr="007B1C41">
        <w:rPr>
          <w:rFonts w:ascii="Arial" w:hAnsi="Arial" w:cs="Arial"/>
        </w:rPr>
        <w:t>.</w:t>
      </w:r>
      <w:r w:rsidR="00B312DB" w:rsidRPr="007B1C41">
        <w:rPr>
          <w:rFonts w:ascii="Arial" w:hAnsi="Arial" w:cs="Arial"/>
          <w:bCs/>
          <w:lang w:eastAsia="nl-BE"/>
        </w:rPr>
        <w:t xml:space="preserve"> </w:t>
      </w:r>
    </w:p>
    <w:p w14:paraId="79710C0B" w14:textId="77777777" w:rsidR="005738DF" w:rsidRPr="007B1C41" w:rsidRDefault="005738DF" w:rsidP="002B5FA9">
      <w:pPr>
        <w:spacing w:after="0" w:line="240" w:lineRule="auto"/>
        <w:rPr>
          <w:rFonts w:ascii="Arial" w:hAnsi="Arial" w:cs="Arial"/>
        </w:rPr>
      </w:pPr>
    </w:p>
    <w:p w14:paraId="00E80952" w14:textId="77777777" w:rsidR="00DC3CD1" w:rsidRPr="007B1C41" w:rsidRDefault="00DC3CD1">
      <w:pPr>
        <w:rPr>
          <w:rFonts w:ascii="Arial" w:hAnsi="Arial" w:cs="Arial"/>
          <w:lang w:val="nl-NL"/>
        </w:rPr>
      </w:pPr>
      <w:r w:rsidRPr="007B1C41">
        <w:rPr>
          <w:rFonts w:ascii="Arial" w:hAnsi="Arial" w:cs="Arial"/>
          <w:lang w:val="nl-NL"/>
        </w:rPr>
        <w:br w:type="page"/>
      </w:r>
    </w:p>
    <w:p w14:paraId="60BA4410" w14:textId="77777777" w:rsidR="00DC3CD1" w:rsidRPr="007B1C41" w:rsidRDefault="00DC3CD1" w:rsidP="00DC3CD1">
      <w:pPr>
        <w:jc w:val="center"/>
        <w:rPr>
          <w:rFonts w:ascii="Arial" w:hAnsi="Arial" w:cs="Arial"/>
          <w:lang w:val="en-US"/>
        </w:rPr>
      </w:pPr>
      <w:r w:rsidRPr="007B1C41">
        <w:rPr>
          <w:rFonts w:ascii="Arial" w:hAnsi="Arial" w:cs="Arial"/>
          <w:lang w:val="en-US"/>
        </w:rPr>
        <w:lastRenderedPageBreak/>
        <w:t>Referenties</w:t>
      </w:r>
    </w:p>
    <w:p w14:paraId="64D1F945" w14:textId="77777777" w:rsidR="0012361E" w:rsidRPr="007B1C41" w:rsidRDefault="0012361E" w:rsidP="0012361E">
      <w:pPr>
        <w:widowControl w:val="0"/>
        <w:autoSpaceDE w:val="0"/>
        <w:autoSpaceDN w:val="0"/>
        <w:adjustRightInd w:val="0"/>
        <w:ind w:left="480" w:hanging="480"/>
        <w:rPr>
          <w:rFonts w:ascii="Arial" w:hAnsi="Arial" w:cs="Arial"/>
          <w:noProof/>
          <w:lang w:val="en-GB"/>
        </w:rPr>
      </w:pPr>
      <w:r w:rsidRPr="007B1C41">
        <w:rPr>
          <w:rFonts w:ascii="Arial" w:hAnsi="Arial" w:cs="Arial"/>
          <w:noProof/>
          <w:lang w:val="en-GB"/>
        </w:rPr>
        <w:t xml:space="preserve">American Psychiatric Association. (2013). Neurodevelopmental Disorders. In </w:t>
      </w:r>
      <w:r w:rsidRPr="007B1C41">
        <w:rPr>
          <w:rFonts w:ascii="Arial" w:hAnsi="Arial" w:cs="Arial"/>
          <w:i/>
          <w:iCs/>
          <w:noProof/>
          <w:lang w:val="en-GB"/>
        </w:rPr>
        <w:t>Diagnostic and Statistical Manual of Mental Disorders</w:t>
      </w:r>
      <w:r w:rsidRPr="007B1C41">
        <w:rPr>
          <w:rFonts w:ascii="Arial" w:hAnsi="Arial" w:cs="Arial"/>
          <w:noProof/>
          <w:lang w:val="en-GB"/>
        </w:rPr>
        <w:t xml:space="preserve">. American Psychiatric Association. </w:t>
      </w:r>
      <w:r w:rsidR="00282F37" w:rsidRPr="007B1C41">
        <w:rPr>
          <w:rFonts w:ascii="Arial" w:hAnsi="Arial" w:cs="Arial"/>
          <w:noProof/>
          <w:lang w:val="en-GB"/>
        </w:rPr>
        <w:t>DOI:</w:t>
      </w:r>
      <w:r w:rsidRPr="007B1C41">
        <w:rPr>
          <w:rFonts w:ascii="Arial" w:hAnsi="Arial" w:cs="Arial"/>
          <w:noProof/>
          <w:lang w:val="en-GB"/>
        </w:rPr>
        <w:t>10.1176/appi.books.9780890425596.dsm01</w:t>
      </w:r>
    </w:p>
    <w:p w14:paraId="6654C11A" w14:textId="77777777" w:rsidR="00AB7B8E" w:rsidRPr="007B1C41" w:rsidRDefault="0012361E" w:rsidP="00AB7B8E">
      <w:pPr>
        <w:widowControl w:val="0"/>
        <w:autoSpaceDE w:val="0"/>
        <w:autoSpaceDN w:val="0"/>
        <w:adjustRightInd w:val="0"/>
        <w:ind w:left="480" w:hanging="480"/>
        <w:rPr>
          <w:rFonts w:ascii="Arial" w:hAnsi="Arial" w:cs="Arial"/>
          <w:noProof/>
          <w:lang w:val="en-GB"/>
        </w:rPr>
      </w:pPr>
      <w:r w:rsidRPr="007B1C41">
        <w:rPr>
          <w:rFonts w:ascii="Arial" w:hAnsi="Arial" w:cs="Arial"/>
          <w:noProof/>
          <w:lang w:val="en-GB"/>
        </w:rPr>
        <w:t xml:space="preserve">American Psychological Association. (2010). </w:t>
      </w:r>
      <w:r w:rsidRPr="007B1C41">
        <w:rPr>
          <w:rFonts w:ascii="Arial" w:hAnsi="Arial" w:cs="Arial"/>
          <w:i/>
          <w:iCs/>
          <w:noProof/>
          <w:lang w:val="en-GB"/>
        </w:rPr>
        <w:t>Publication manual of the American Psychological Association (6th edition)</w:t>
      </w:r>
      <w:r w:rsidRPr="007B1C41">
        <w:rPr>
          <w:rFonts w:ascii="Arial" w:hAnsi="Arial" w:cs="Arial"/>
          <w:noProof/>
          <w:lang w:val="en-GB"/>
        </w:rPr>
        <w:t>. Washington, DC: American Psychological Association.</w:t>
      </w:r>
    </w:p>
    <w:p w14:paraId="5C80F802" w14:textId="77777777" w:rsidR="001A6089" w:rsidRPr="007B1C41" w:rsidRDefault="001A6089" w:rsidP="00AB7B8E">
      <w:pPr>
        <w:widowControl w:val="0"/>
        <w:autoSpaceDE w:val="0"/>
        <w:autoSpaceDN w:val="0"/>
        <w:adjustRightInd w:val="0"/>
        <w:ind w:left="480" w:hanging="480"/>
        <w:rPr>
          <w:rFonts w:ascii="Arial" w:eastAsia="Perpetua" w:hAnsi="Arial" w:cs="Arial"/>
          <w:color w:val="181717"/>
          <w:lang w:val="en-US" w:eastAsia="nl-BE"/>
        </w:rPr>
      </w:pPr>
      <w:r w:rsidRPr="007B1C41">
        <w:rPr>
          <w:rFonts w:ascii="Arial" w:eastAsia="Perpetua" w:hAnsi="Arial" w:cs="Arial"/>
          <w:color w:val="181717"/>
          <w:lang w:val="en-US" w:eastAsia="nl-BE"/>
        </w:rPr>
        <w:t xml:space="preserve">Ashkenazi, S., Black, J.M., Abrams, D.A., Hoeft, F., &amp; Menon, V. (2013). Neurobiological underpinnings of math and reading learning disabilities. </w:t>
      </w:r>
      <w:r w:rsidRPr="007B1C41">
        <w:rPr>
          <w:rFonts w:ascii="Arial" w:eastAsia="Perpetua" w:hAnsi="Arial" w:cs="Arial"/>
          <w:i/>
          <w:color w:val="181717"/>
          <w:lang w:val="en-US" w:eastAsia="nl-BE"/>
        </w:rPr>
        <w:t xml:space="preserve">Journal of learning disabilities, 46, </w:t>
      </w:r>
      <w:r w:rsidRPr="007B1C41">
        <w:rPr>
          <w:rFonts w:ascii="Arial" w:eastAsia="Perpetua" w:hAnsi="Arial" w:cs="Arial"/>
          <w:color w:val="181717"/>
          <w:lang w:val="en-US" w:eastAsia="nl-BE"/>
        </w:rPr>
        <w:t>549-569.</w:t>
      </w:r>
      <w:r w:rsidR="00383249" w:rsidRPr="007B1C41">
        <w:rPr>
          <w:rFonts w:ascii="Arial" w:eastAsia="Perpetua" w:hAnsi="Arial" w:cs="Arial"/>
          <w:color w:val="181717"/>
          <w:lang w:val="en-US" w:eastAsia="nl-BE"/>
        </w:rPr>
        <w:t xml:space="preserve"> </w:t>
      </w:r>
      <w:r w:rsidR="00282F37" w:rsidRPr="007B1C41">
        <w:rPr>
          <w:rFonts w:ascii="Arial" w:eastAsia="Perpetua" w:hAnsi="Arial" w:cs="Arial"/>
          <w:color w:val="181717"/>
          <w:lang w:val="en-US" w:eastAsia="nl-BE"/>
        </w:rPr>
        <w:t>DOI:</w:t>
      </w:r>
      <w:r w:rsidR="00383249" w:rsidRPr="007B1C41">
        <w:rPr>
          <w:rFonts w:ascii="Arial" w:eastAsia="Perpetua" w:hAnsi="Arial" w:cs="Arial"/>
          <w:color w:val="181717"/>
          <w:lang w:val="en-US" w:eastAsia="nl-BE"/>
        </w:rPr>
        <w:t>10.1177/0022194134833174</w:t>
      </w:r>
    </w:p>
    <w:p w14:paraId="5AB73E57" w14:textId="77777777" w:rsidR="006925F5" w:rsidRPr="007B1C41" w:rsidRDefault="006925F5" w:rsidP="006925F5">
      <w:pPr>
        <w:widowControl w:val="0"/>
        <w:autoSpaceDE w:val="0"/>
        <w:autoSpaceDN w:val="0"/>
        <w:adjustRightInd w:val="0"/>
        <w:ind w:left="480" w:hanging="480"/>
        <w:rPr>
          <w:rFonts w:ascii="Arial" w:hAnsi="Arial" w:cs="Arial"/>
          <w:noProof/>
          <w:lang w:val="en-GB"/>
        </w:rPr>
      </w:pPr>
      <w:r w:rsidRPr="007B1C41">
        <w:rPr>
          <w:rFonts w:ascii="Arial" w:hAnsi="Arial" w:cs="Arial"/>
          <w:noProof/>
          <w:lang w:val="en-GB"/>
        </w:rPr>
        <w:t xml:space="preserve">Barbaresi, W. J., Katusic, S. K., Colligan, R. C., Weaver, A. L., &amp; Jacobsen, S. J. (2005). Math learning disorder: incidence in a population-based birth cohort. </w:t>
      </w:r>
      <w:r w:rsidRPr="007B1C41">
        <w:rPr>
          <w:rFonts w:ascii="Arial" w:hAnsi="Arial" w:cs="Arial"/>
          <w:i/>
          <w:iCs/>
          <w:noProof/>
          <w:lang w:val="en-GB"/>
        </w:rPr>
        <w:t>Ambulatory Pediatrics : The Official Journal of the Ambulatory Pediatric Association</w:t>
      </w:r>
      <w:r w:rsidRPr="007B1C41">
        <w:rPr>
          <w:rFonts w:ascii="Arial" w:hAnsi="Arial" w:cs="Arial"/>
          <w:noProof/>
          <w:lang w:val="en-GB"/>
        </w:rPr>
        <w:t xml:space="preserve">, </w:t>
      </w:r>
      <w:r w:rsidRPr="007B1C41">
        <w:rPr>
          <w:rFonts w:ascii="Arial" w:hAnsi="Arial" w:cs="Arial"/>
          <w:i/>
          <w:iCs/>
          <w:noProof/>
          <w:lang w:val="en-GB"/>
        </w:rPr>
        <w:t>5</w:t>
      </w:r>
      <w:r w:rsidRPr="007B1C41">
        <w:rPr>
          <w:rFonts w:ascii="Arial" w:hAnsi="Arial" w:cs="Arial"/>
          <w:noProof/>
          <w:lang w:val="en-GB"/>
        </w:rPr>
        <w:t xml:space="preserve">, 281–289. </w:t>
      </w:r>
      <w:r w:rsidR="00282F37" w:rsidRPr="007B1C41">
        <w:rPr>
          <w:rFonts w:ascii="Arial" w:hAnsi="Arial" w:cs="Arial"/>
          <w:noProof/>
          <w:lang w:val="en-GB"/>
        </w:rPr>
        <w:t>DOI:</w:t>
      </w:r>
      <w:r w:rsidRPr="007B1C41">
        <w:rPr>
          <w:rFonts w:ascii="Arial" w:hAnsi="Arial" w:cs="Arial"/>
          <w:noProof/>
          <w:lang w:val="en-GB"/>
        </w:rPr>
        <w:t>10.1367/A04-209R.1</w:t>
      </w:r>
    </w:p>
    <w:p w14:paraId="42DF72BC" w14:textId="77777777" w:rsidR="00CA585E" w:rsidRPr="007B1C41" w:rsidRDefault="00CA585E" w:rsidP="006925F5">
      <w:pPr>
        <w:widowControl w:val="0"/>
        <w:autoSpaceDE w:val="0"/>
        <w:autoSpaceDN w:val="0"/>
        <w:adjustRightInd w:val="0"/>
        <w:ind w:left="480" w:hanging="480"/>
        <w:rPr>
          <w:rFonts w:ascii="Arial" w:hAnsi="Arial" w:cs="Arial"/>
          <w:shd w:val="clear" w:color="auto" w:fill="FFFFFF"/>
        </w:rPr>
      </w:pPr>
      <w:bookmarkStart w:id="1" w:name="_Hlk3231994"/>
      <w:r w:rsidRPr="007B1C41">
        <w:rPr>
          <w:rFonts w:ascii="Arial" w:hAnsi="Arial" w:cs="Arial"/>
          <w:shd w:val="clear" w:color="auto" w:fill="FFFFFF"/>
          <w:lang w:val="en-US"/>
        </w:rPr>
        <w:t>Baten, E., &amp; Desoete, A. (2018). Mathematical (Dis)abilities within the Opportunity- Propensity Model: The Choice of Math Test Matters.</w:t>
      </w:r>
      <w:r w:rsidRPr="007B1C41">
        <w:rPr>
          <w:rStyle w:val="apple-converted-space"/>
          <w:rFonts w:ascii="Arial" w:hAnsi="Arial" w:cs="Arial"/>
          <w:shd w:val="clear" w:color="auto" w:fill="FFFFFF"/>
          <w:lang w:val="en-US"/>
        </w:rPr>
        <w:t> </w:t>
      </w:r>
      <w:r w:rsidRPr="007B1C41">
        <w:rPr>
          <w:rFonts w:ascii="Arial" w:hAnsi="Arial" w:cs="Arial"/>
          <w:i/>
          <w:iCs/>
        </w:rPr>
        <w:t>Frontiers in Psychology, 9, Art. 667 Developmental Psychology</w:t>
      </w:r>
      <w:r w:rsidRPr="007B1C41">
        <w:rPr>
          <w:rFonts w:ascii="Arial" w:hAnsi="Arial" w:cs="Arial"/>
          <w:shd w:val="clear" w:color="auto" w:fill="FFFFFF"/>
        </w:rPr>
        <w:t xml:space="preserve">. </w:t>
      </w:r>
      <w:r w:rsidR="00282F37" w:rsidRPr="007B1C41">
        <w:rPr>
          <w:rFonts w:ascii="Arial" w:hAnsi="Arial" w:cs="Arial"/>
          <w:shd w:val="clear" w:color="auto" w:fill="FFFFFF"/>
        </w:rPr>
        <w:t>DOI</w:t>
      </w:r>
      <w:r w:rsidRPr="007B1C41">
        <w:rPr>
          <w:rFonts w:ascii="Arial" w:hAnsi="Arial" w:cs="Arial"/>
          <w:shd w:val="clear" w:color="auto" w:fill="FFFFFF"/>
        </w:rPr>
        <w:t>:10.3389/fpsyg.2018.00667</w:t>
      </w:r>
    </w:p>
    <w:p w14:paraId="11417C0D" w14:textId="77777777" w:rsidR="00AB7B8E" w:rsidRPr="007B1C41" w:rsidRDefault="006925F5" w:rsidP="00AB7B8E">
      <w:pPr>
        <w:widowControl w:val="0"/>
        <w:autoSpaceDE w:val="0"/>
        <w:autoSpaceDN w:val="0"/>
        <w:adjustRightInd w:val="0"/>
        <w:ind w:left="480" w:hanging="480"/>
        <w:rPr>
          <w:rFonts w:ascii="Arial" w:hAnsi="Arial" w:cs="Arial"/>
          <w:noProof/>
          <w:lang w:val="en-GB"/>
        </w:rPr>
      </w:pPr>
      <w:r w:rsidRPr="007B1C41">
        <w:rPr>
          <w:rFonts w:ascii="Arial" w:hAnsi="Arial" w:cs="Arial"/>
          <w:noProof/>
        </w:rPr>
        <w:t xml:space="preserve">Baten, E., &amp; Desoete, A. (2017). Kan het opportunity-propensity model ons helpen om de samenhang en comorbiditeit in de variantie in (a)typisch rekenen te verklaren? </w:t>
      </w:r>
      <w:r w:rsidRPr="007B1C41">
        <w:rPr>
          <w:rFonts w:ascii="Arial" w:hAnsi="Arial" w:cs="Arial"/>
          <w:i/>
          <w:iCs/>
          <w:noProof/>
          <w:lang w:val="en-GB"/>
        </w:rPr>
        <w:t>Logopedie</w:t>
      </w:r>
      <w:r w:rsidRPr="007B1C41">
        <w:rPr>
          <w:rFonts w:ascii="Arial" w:hAnsi="Arial" w:cs="Arial"/>
          <w:noProof/>
          <w:lang w:val="en-GB"/>
        </w:rPr>
        <w:t>, 75–90.</w:t>
      </w:r>
    </w:p>
    <w:bookmarkEnd w:id="1"/>
    <w:p w14:paraId="1840CBD4" w14:textId="77777777" w:rsidR="00AB7B8E" w:rsidRPr="007B1C41" w:rsidRDefault="00257BB8" w:rsidP="00AB7B8E">
      <w:pPr>
        <w:widowControl w:val="0"/>
        <w:autoSpaceDE w:val="0"/>
        <w:autoSpaceDN w:val="0"/>
        <w:adjustRightInd w:val="0"/>
        <w:ind w:left="480" w:hanging="480"/>
        <w:rPr>
          <w:rFonts w:ascii="Arial" w:hAnsi="Arial" w:cs="Arial"/>
          <w:color w:val="333333"/>
          <w:lang w:val="en-US"/>
        </w:rPr>
      </w:pPr>
      <w:r w:rsidRPr="007B1C41">
        <w:rPr>
          <w:rFonts w:ascii="Arial" w:hAnsi="Arial" w:cs="Arial"/>
          <w:lang w:val="en-US"/>
        </w:rPr>
        <w:t>Burny, E., Valcke, M., &amp; Desoete, A. (2012). Clock reading: an underestimated topic in children with mathematics difficulties. </w:t>
      </w:r>
      <w:r w:rsidRPr="007B1C41">
        <w:rPr>
          <w:rFonts w:ascii="Arial" w:hAnsi="Arial" w:cs="Arial"/>
          <w:i/>
          <w:iCs/>
          <w:lang w:val="en-US"/>
        </w:rPr>
        <w:t>Journal of Learning Disabilities</w:t>
      </w:r>
      <w:r w:rsidRPr="007B1C41">
        <w:rPr>
          <w:rFonts w:ascii="Arial" w:hAnsi="Arial" w:cs="Arial"/>
          <w:i/>
          <w:lang w:val="en-US"/>
        </w:rPr>
        <w:t>, 45</w:t>
      </w:r>
      <w:r w:rsidRPr="007B1C41">
        <w:rPr>
          <w:rFonts w:ascii="Arial" w:hAnsi="Arial" w:cs="Arial"/>
          <w:lang w:val="en-US"/>
        </w:rPr>
        <w:t xml:space="preserve">, 352-361. </w:t>
      </w:r>
      <w:r w:rsidRPr="007B1C41">
        <w:rPr>
          <w:rStyle w:val="frlabel1"/>
          <w:rFonts w:ascii="Arial" w:hAnsi="Arial" w:cs="Arial"/>
          <w:b w:val="0"/>
          <w:color w:val="333333"/>
          <w:lang w:val="en-US"/>
        </w:rPr>
        <w:t>DOI:</w:t>
      </w:r>
      <w:r w:rsidRPr="007B1C41">
        <w:rPr>
          <w:rFonts w:ascii="Arial" w:hAnsi="Arial" w:cs="Arial"/>
          <w:color w:val="333333"/>
          <w:lang w:val="en-US"/>
        </w:rPr>
        <w:t xml:space="preserve">10.1177/0022219411407773 </w:t>
      </w:r>
    </w:p>
    <w:p w14:paraId="08D833F9" w14:textId="77777777" w:rsidR="00816D93" w:rsidRPr="007B1C41" w:rsidRDefault="00816D93" w:rsidP="00AB7B8E">
      <w:pPr>
        <w:widowControl w:val="0"/>
        <w:autoSpaceDE w:val="0"/>
        <w:autoSpaceDN w:val="0"/>
        <w:adjustRightInd w:val="0"/>
        <w:ind w:left="480" w:hanging="480"/>
        <w:rPr>
          <w:rFonts w:ascii="Arial" w:hAnsi="Arial" w:cs="Arial"/>
          <w:lang w:val="en-US"/>
        </w:rPr>
      </w:pPr>
      <w:r w:rsidRPr="007B1C41">
        <w:rPr>
          <w:rFonts w:ascii="Arial" w:hAnsi="Arial" w:cs="Arial"/>
          <w:lang w:val="en-US"/>
        </w:rPr>
        <w:t xml:space="preserve">Butterworth, B. (2005). Developmental dyscalculia. In J. I. D. Campbell (Ed.), </w:t>
      </w:r>
      <w:r w:rsidRPr="007B1C41">
        <w:rPr>
          <w:rFonts w:ascii="Arial" w:hAnsi="Arial" w:cs="Arial"/>
          <w:i/>
          <w:lang w:val="en-US"/>
        </w:rPr>
        <w:t>Handbook of mathematical cognition</w:t>
      </w:r>
      <w:r w:rsidRPr="007B1C41">
        <w:rPr>
          <w:rFonts w:ascii="Arial" w:hAnsi="Arial" w:cs="Arial"/>
          <w:lang w:val="en-US"/>
        </w:rPr>
        <w:t xml:space="preserve"> (pp. 455-467). Hove, United Kingdom: Psychology Press.</w:t>
      </w:r>
    </w:p>
    <w:p w14:paraId="694E9485" w14:textId="77777777" w:rsidR="006925F5" w:rsidRPr="007B1C41" w:rsidRDefault="006925F5" w:rsidP="006925F5">
      <w:pPr>
        <w:widowControl w:val="0"/>
        <w:autoSpaceDE w:val="0"/>
        <w:autoSpaceDN w:val="0"/>
        <w:adjustRightInd w:val="0"/>
        <w:ind w:left="480" w:hanging="480"/>
        <w:rPr>
          <w:rFonts w:ascii="Arial" w:hAnsi="Arial" w:cs="Arial"/>
          <w:noProof/>
          <w:lang w:val="en-GB"/>
        </w:rPr>
      </w:pPr>
      <w:r w:rsidRPr="007B1C41">
        <w:rPr>
          <w:rFonts w:ascii="Arial" w:hAnsi="Arial" w:cs="Arial"/>
          <w:noProof/>
          <w:lang w:val="en-US"/>
        </w:rPr>
        <w:t xml:space="preserve">Butterworth, B., Varma, S., &amp; Laurillard, D. (2011). </w:t>
      </w:r>
      <w:r w:rsidRPr="007B1C41">
        <w:rPr>
          <w:rFonts w:ascii="Arial" w:hAnsi="Arial" w:cs="Arial"/>
          <w:noProof/>
          <w:lang w:val="en-GB"/>
        </w:rPr>
        <w:t xml:space="preserve">Dyslexia: a new synergy between education and cognitive neuroscience. </w:t>
      </w:r>
      <w:r w:rsidRPr="007B1C41">
        <w:rPr>
          <w:rFonts w:ascii="Arial" w:hAnsi="Arial" w:cs="Arial"/>
          <w:i/>
          <w:iCs/>
          <w:noProof/>
          <w:lang w:val="en-GB"/>
        </w:rPr>
        <w:t>Science (New York, N.Y.)</w:t>
      </w:r>
      <w:r w:rsidRPr="007B1C41">
        <w:rPr>
          <w:rFonts w:ascii="Arial" w:hAnsi="Arial" w:cs="Arial"/>
          <w:noProof/>
          <w:lang w:val="en-GB"/>
        </w:rPr>
        <w:t xml:space="preserve">, </w:t>
      </w:r>
      <w:r w:rsidRPr="007B1C41">
        <w:rPr>
          <w:rFonts w:ascii="Arial" w:hAnsi="Arial" w:cs="Arial"/>
          <w:i/>
          <w:iCs/>
          <w:noProof/>
          <w:lang w:val="en-GB"/>
        </w:rPr>
        <w:t>332</w:t>
      </w:r>
      <w:r w:rsidRPr="007B1C41">
        <w:rPr>
          <w:rFonts w:ascii="Arial" w:hAnsi="Arial" w:cs="Arial"/>
          <w:noProof/>
          <w:lang w:val="en-GB"/>
        </w:rPr>
        <w:t>(6033), 1049–1053. https://doi.org/10.1126/science.1171999</w:t>
      </w:r>
    </w:p>
    <w:p w14:paraId="06A4B3F2" w14:textId="77777777" w:rsidR="006925F5" w:rsidRPr="007B1C41" w:rsidRDefault="006925F5" w:rsidP="006925F5">
      <w:pPr>
        <w:widowControl w:val="0"/>
        <w:autoSpaceDE w:val="0"/>
        <w:autoSpaceDN w:val="0"/>
        <w:adjustRightInd w:val="0"/>
        <w:ind w:left="480" w:hanging="480"/>
        <w:rPr>
          <w:rFonts w:ascii="Arial" w:hAnsi="Arial" w:cs="Arial"/>
          <w:noProof/>
          <w:lang w:val="en-GB"/>
        </w:rPr>
      </w:pPr>
      <w:r w:rsidRPr="007B1C41">
        <w:rPr>
          <w:rFonts w:ascii="Arial" w:hAnsi="Arial" w:cs="Arial"/>
          <w:noProof/>
          <w:lang w:val="en-US"/>
        </w:rPr>
        <w:t xml:space="preserve">Byrnes, J. P., &amp; Miller, D. C. (2007). </w:t>
      </w:r>
      <w:r w:rsidRPr="007B1C41">
        <w:rPr>
          <w:rFonts w:ascii="Arial" w:hAnsi="Arial" w:cs="Arial"/>
          <w:noProof/>
          <w:lang w:val="en-GB"/>
        </w:rPr>
        <w:t xml:space="preserve">The relative importance of predictors of math and science achievement: An opportunity-propensity analysis. </w:t>
      </w:r>
      <w:r w:rsidRPr="007B1C41">
        <w:rPr>
          <w:rFonts w:ascii="Arial" w:hAnsi="Arial" w:cs="Arial"/>
          <w:i/>
          <w:iCs/>
          <w:noProof/>
          <w:lang w:val="en-GB"/>
        </w:rPr>
        <w:t>Contemporary Educational Psychology</w:t>
      </w:r>
      <w:r w:rsidRPr="007B1C41">
        <w:rPr>
          <w:rFonts w:ascii="Arial" w:hAnsi="Arial" w:cs="Arial"/>
          <w:noProof/>
          <w:lang w:val="en-GB"/>
        </w:rPr>
        <w:t xml:space="preserve">, </w:t>
      </w:r>
      <w:r w:rsidRPr="007B1C41">
        <w:rPr>
          <w:rFonts w:ascii="Arial" w:hAnsi="Arial" w:cs="Arial"/>
          <w:i/>
          <w:iCs/>
          <w:noProof/>
          <w:lang w:val="en-GB"/>
        </w:rPr>
        <w:t>32</w:t>
      </w:r>
      <w:r w:rsidRPr="007B1C41">
        <w:rPr>
          <w:rFonts w:ascii="Arial" w:hAnsi="Arial" w:cs="Arial"/>
          <w:noProof/>
          <w:lang w:val="en-GB"/>
        </w:rPr>
        <w:t xml:space="preserve">, 599–629. </w:t>
      </w:r>
      <w:r w:rsidR="00282F37" w:rsidRPr="007B1C41">
        <w:rPr>
          <w:rFonts w:ascii="Arial" w:hAnsi="Arial" w:cs="Arial"/>
          <w:noProof/>
          <w:lang w:val="en-GB"/>
        </w:rPr>
        <w:t>DOI:</w:t>
      </w:r>
      <w:r w:rsidRPr="007B1C41">
        <w:rPr>
          <w:rFonts w:ascii="Arial" w:hAnsi="Arial" w:cs="Arial"/>
          <w:noProof/>
          <w:lang w:val="en-GB"/>
        </w:rPr>
        <w:t>10.1016/j.cedpsych.2006.09.002</w:t>
      </w:r>
    </w:p>
    <w:p w14:paraId="77980787" w14:textId="77777777" w:rsidR="006925F5" w:rsidRPr="007B1C41" w:rsidRDefault="006925F5" w:rsidP="006925F5">
      <w:pPr>
        <w:widowControl w:val="0"/>
        <w:autoSpaceDE w:val="0"/>
        <w:autoSpaceDN w:val="0"/>
        <w:adjustRightInd w:val="0"/>
        <w:ind w:left="480" w:hanging="480"/>
        <w:rPr>
          <w:rFonts w:ascii="Arial" w:hAnsi="Arial" w:cs="Arial"/>
          <w:noProof/>
          <w:lang w:val="en-US"/>
        </w:rPr>
      </w:pPr>
      <w:r w:rsidRPr="007B1C41">
        <w:rPr>
          <w:rFonts w:ascii="Arial" w:hAnsi="Arial" w:cs="Arial"/>
          <w:noProof/>
          <w:lang w:val="en-US"/>
        </w:rPr>
        <w:t xml:space="preserve">Byrnes, J. P., &amp; Miller, D. C. (2007). </w:t>
      </w:r>
      <w:r w:rsidRPr="007B1C41">
        <w:rPr>
          <w:rFonts w:ascii="Arial" w:hAnsi="Arial" w:cs="Arial"/>
          <w:noProof/>
          <w:lang w:val="en-GB"/>
        </w:rPr>
        <w:t xml:space="preserve">The relative importance of predictors of math and science achievement: An opportunity–propensity analysis. </w:t>
      </w:r>
      <w:r w:rsidRPr="007B1C41">
        <w:rPr>
          <w:rFonts w:ascii="Arial" w:hAnsi="Arial" w:cs="Arial"/>
          <w:i/>
          <w:iCs/>
          <w:noProof/>
          <w:lang w:val="en-GB"/>
        </w:rPr>
        <w:t>Contemporary Educational Psychology</w:t>
      </w:r>
      <w:r w:rsidRPr="007B1C41">
        <w:rPr>
          <w:rFonts w:ascii="Arial" w:hAnsi="Arial" w:cs="Arial"/>
          <w:noProof/>
          <w:lang w:val="en-GB"/>
        </w:rPr>
        <w:t xml:space="preserve">, </w:t>
      </w:r>
      <w:r w:rsidRPr="007B1C41">
        <w:rPr>
          <w:rFonts w:ascii="Arial" w:hAnsi="Arial" w:cs="Arial"/>
          <w:i/>
          <w:iCs/>
          <w:noProof/>
          <w:lang w:val="en-GB"/>
        </w:rPr>
        <w:t>32</w:t>
      </w:r>
      <w:r w:rsidRPr="007B1C41">
        <w:rPr>
          <w:rFonts w:ascii="Arial" w:hAnsi="Arial" w:cs="Arial"/>
          <w:noProof/>
          <w:lang w:val="en-GB"/>
        </w:rPr>
        <w:t xml:space="preserve">, 599–629. </w:t>
      </w:r>
      <w:r w:rsidR="00282F37" w:rsidRPr="007B1C41">
        <w:rPr>
          <w:rFonts w:ascii="Arial" w:hAnsi="Arial" w:cs="Arial"/>
          <w:noProof/>
          <w:lang w:val="en-GB"/>
        </w:rPr>
        <w:t>DOI:</w:t>
      </w:r>
      <w:hyperlink r:id="rId24" w:history="1">
        <w:r w:rsidR="00282F37" w:rsidRPr="007B1C41">
          <w:rPr>
            <w:rStyle w:val="Hyperlink"/>
            <w:rFonts w:ascii="Arial" w:hAnsi="Arial" w:cs="Arial"/>
            <w:noProof/>
            <w:color w:val="auto"/>
            <w:u w:val="none"/>
            <w:lang w:val="en-US"/>
          </w:rPr>
          <w:t>10.1016/J.CEDPSYCH.2006.09.002</w:t>
        </w:r>
      </w:hyperlink>
    </w:p>
    <w:p w14:paraId="1E65C439" w14:textId="77777777" w:rsidR="006925F5" w:rsidRPr="007B1C41" w:rsidRDefault="006925F5" w:rsidP="006925F5">
      <w:pPr>
        <w:widowControl w:val="0"/>
        <w:autoSpaceDE w:val="0"/>
        <w:autoSpaceDN w:val="0"/>
        <w:adjustRightInd w:val="0"/>
        <w:ind w:left="480" w:hanging="480"/>
        <w:rPr>
          <w:rFonts w:ascii="Arial" w:hAnsi="Arial" w:cs="Arial"/>
          <w:noProof/>
          <w:lang w:val="en-GB"/>
        </w:rPr>
      </w:pPr>
      <w:r w:rsidRPr="007B1C41">
        <w:rPr>
          <w:rFonts w:ascii="Arial" w:hAnsi="Arial" w:cs="Arial"/>
          <w:noProof/>
          <w:lang w:val="en-US"/>
        </w:rPr>
        <w:t xml:space="preserve">Byrnes, J. P., &amp; Wasik, B. A. (2009). </w:t>
      </w:r>
      <w:r w:rsidRPr="007B1C41">
        <w:rPr>
          <w:rFonts w:ascii="Arial" w:hAnsi="Arial" w:cs="Arial"/>
          <w:noProof/>
          <w:lang w:val="en-GB"/>
        </w:rPr>
        <w:t xml:space="preserve">Factors predictive of mathematics achievement in kindergarten, first and third grades: An opportunity-propensity analysis. </w:t>
      </w:r>
      <w:r w:rsidRPr="007B1C41">
        <w:rPr>
          <w:rFonts w:ascii="Arial" w:hAnsi="Arial" w:cs="Arial"/>
          <w:i/>
          <w:iCs/>
          <w:noProof/>
          <w:lang w:val="en-GB"/>
        </w:rPr>
        <w:t>Contemporary Educational Psychology</w:t>
      </w:r>
      <w:r w:rsidRPr="007B1C41">
        <w:rPr>
          <w:rFonts w:ascii="Arial" w:hAnsi="Arial" w:cs="Arial"/>
          <w:noProof/>
          <w:lang w:val="en-GB"/>
        </w:rPr>
        <w:t xml:space="preserve">, </w:t>
      </w:r>
      <w:r w:rsidRPr="007B1C41">
        <w:rPr>
          <w:rFonts w:ascii="Arial" w:hAnsi="Arial" w:cs="Arial"/>
          <w:i/>
          <w:iCs/>
          <w:noProof/>
          <w:lang w:val="en-GB"/>
        </w:rPr>
        <w:t>34</w:t>
      </w:r>
      <w:r w:rsidR="00282F37" w:rsidRPr="007B1C41">
        <w:rPr>
          <w:rFonts w:ascii="Arial" w:hAnsi="Arial" w:cs="Arial"/>
          <w:noProof/>
          <w:lang w:val="en-GB"/>
        </w:rPr>
        <w:t>, 167–183. DOI:</w:t>
      </w:r>
      <w:r w:rsidRPr="007B1C41">
        <w:rPr>
          <w:rFonts w:ascii="Arial" w:hAnsi="Arial" w:cs="Arial"/>
          <w:noProof/>
          <w:lang w:val="en-GB"/>
        </w:rPr>
        <w:t>10.1016/j.cedpsych.2009.01.002</w:t>
      </w:r>
    </w:p>
    <w:p w14:paraId="4125940D" w14:textId="77777777" w:rsidR="00AB7B8E" w:rsidRPr="007B1C41" w:rsidRDefault="00E778A5" w:rsidP="00AB7B8E">
      <w:pPr>
        <w:widowControl w:val="0"/>
        <w:autoSpaceDE w:val="0"/>
        <w:autoSpaceDN w:val="0"/>
        <w:adjustRightInd w:val="0"/>
        <w:ind w:left="480" w:hanging="480"/>
        <w:rPr>
          <w:rStyle w:val="Hyperlink"/>
          <w:rFonts w:ascii="Arial" w:hAnsi="Arial" w:cs="Arial"/>
          <w:noProof/>
          <w:color w:val="auto"/>
          <w:u w:val="none"/>
          <w:lang w:val="en-US"/>
        </w:rPr>
      </w:pPr>
      <w:r w:rsidRPr="007B1C41">
        <w:rPr>
          <w:rFonts w:ascii="Arial" w:hAnsi="Arial" w:cs="Arial"/>
          <w:noProof/>
          <w:lang w:val="en-US"/>
        </w:rPr>
        <w:t xml:space="preserve">Byrnes, J. P., &amp; Miller, D. (2016). The growth of mathematics and reading skills in segregated and diverse schools: An opportunity-propensity analysis of a national database. </w:t>
      </w:r>
      <w:r w:rsidRPr="007B1C41">
        <w:rPr>
          <w:rFonts w:ascii="Arial" w:hAnsi="Arial" w:cs="Arial"/>
          <w:i/>
          <w:iCs/>
          <w:noProof/>
          <w:lang w:val="en-US"/>
        </w:rPr>
        <w:t>Contemporary Educational Psychology</w:t>
      </w:r>
      <w:r w:rsidRPr="007B1C41">
        <w:rPr>
          <w:rFonts w:ascii="Arial" w:hAnsi="Arial" w:cs="Arial"/>
          <w:noProof/>
          <w:lang w:val="en-US"/>
        </w:rPr>
        <w:t xml:space="preserve">, </w:t>
      </w:r>
      <w:r w:rsidRPr="007B1C41">
        <w:rPr>
          <w:rFonts w:ascii="Arial" w:hAnsi="Arial" w:cs="Arial"/>
          <w:i/>
          <w:iCs/>
          <w:noProof/>
          <w:lang w:val="en-US"/>
        </w:rPr>
        <w:t>46</w:t>
      </w:r>
      <w:r w:rsidRPr="007B1C41">
        <w:rPr>
          <w:rFonts w:ascii="Arial" w:hAnsi="Arial" w:cs="Arial"/>
          <w:noProof/>
          <w:lang w:val="en-US"/>
        </w:rPr>
        <w:t xml:space="preserve">, 34–51. </w:t>
      </w:r>
      <w:hyperlink r:id="rId25" w:history="1">
        <w:r w:rsidR="00282F37" w:rsidRPr="007B1C41">
          <w:rPr>
            <w:rStyle w:val="Hyperlink"/>
            <w:rFonts w:ascii="Arial" w:hAnsi="Arial" w:cs="Arial"/>
            <w:noProof/>
            <w:color w:val="auto"/>
            <w:u w:val="none"/>
            <w:lang w:val="en-US"/>
          </w:rPr>
          <w:t>DOI:</w:t>
        </w:r>
        <w:r w:rsidRPr="007B1C41">
          <w:rPr>
            <w:rStyle w:val="Hyperlink"/>
            <w:rFonts w:ascii="Arial" w:hAnsi="Arial" w:cs="Arial"/>
            <w:noProof/>
            <w:color w:val="auto"/>
            <w:u w:val="none"/>
            <w:lang w:val="en-US"/>
          </w:rPr>
          <w:t>10.1016/j.cedpsych.2016.04.002</w:t>
        </w:r>
      </w:hyperlink>
    </w:p>
    <w:p w14:paraId="59AD8C4A" w14:textId="77777777" w:rsidR="00AB7B8E" w:rsidRPr="007B1C41" w:rsidRDefault="00E778A5" w:rsidP="00AB7B8E">
      <w:pPr>
        <w:widowControl w:val="0"/>
        <w:autoSpaceDE w:val="0"/>
        <w:autoSpaceDN w:val="0"/>
        <w:adjustRightInd w:val="0"/>
        <w:ind w:left="480" w:hanging="480"/>
        <w:rPr>
          <w:rStyle w:val="Hyperlink"/>
          <w:rFonts w:ascii="Arial" w:hAnsi="Arial" w:cs="Arial"/>
          <w:noProof/>
          <w:color w:val="auto"/>
          <w:u w:val="none"/>
          <w:lang w:val="en-US"/>
        </w:rPr>
      </w:pPr>
      <w:r w:rsidRPr="007B1C41">
        <w:rPr>
          <w:rFonts w:ascii="Arial" w:hAnsi="Arial" w:cs="Arial"/>
          <w:noProof/>
          <w:lang w:val="en-US"/>
        </w:rPr>
        <w:t xml:space="preserve">Byrnes, J. P., &amp; Miller, D. C. (2007). The relative importance of predictors of math and science achievement : An opportunity – propensity analysis, </w:t>
      </w:r>
      <w:r w:rsidRPr="007B1C41">
        <w:rPr>
          <w:rFonts w:ascii="Arial" w:hAnsi="Arial" w:cs="Arial"/>
          <w:i/>
          <w:iCs/>
          <w:noProof/>
          <w:lang w:val="en-US"/>
        </w:rPr>
        <w:t>32</w:t>
      </w:r>
      <w:r w:rsidRPr="007B1C41">
        <w:rPr>
          <w:rFonts w:ascii="Arial" w:hAnsi="Arial" w:cs="Arial"/>
          <w:noProof/>
          <w:lang w:val="en-US"/>
        </w:rPr>
        <w:t xml:space="preserve">, 599–629. </w:t>
      </w:r>
      <w:hyperlink r:id="rId26" w:history="1">
        <w:r w:rsidR="00282F37" w:rsidRPr="007B1C41">
          <w:rPr>
            <w:rStyle w:val="Hyperlink"/>
            <w:rFonts w:ascii="Arial" w:hAnsi="Arial" w:cs="Arial"/>
            <w:noProof/>
            <w:color w:val="auto"/>
            <w:u w:val="none"/>
            <w:lang w:val="en-US"/>
          </w:rPr>
          <w:t>DOI:</w:t>
        </w:r>
        <w:r w:rsidRPr="007B1C41">
          <w:rPr>
            <w:rStyle w:val="Hyperlink"/>
            <w:rFonts w:ascii="Arial" w:hAnsi="Arial" w:cs="Arial"/>
            <w:noProof/>
            <w:color w:val="auto"/>
            <w:u w:val="none"/>
            <w:lang w:val="en-US"/>
          </w:rPr>
          <w:t>10.1016/j.cedpsych.2006.09.002</w:t>
        </w:r>
      </w:hyperlink>
    </w:p>
    <w:p w14:paraId="71EBDD5A" w14:textId="77777777" w:rsidR="00AB7B8E" w:rsidRPr="007B1C41" w:rsidRDefault="00E778A5" w:rsidP="00816D93">
      <w:pPr>
        <w:widowControl w:val="0"/>
        <w:autoSpaceDE w:val="0"/>
        <w:autoSpaceDN w:val="0"/>
        <w:adjustRightInd w:val="0"/>
        <w:ind w:left="480" w:hanging="480"/>
        <w:rPr>
          <w:rStyle w:val="Hyperlink"/>
          <w:rFonts w:ascii="Arial" w:hAnsi="Arial" w:cs="Arial"/>
          <w:noProof/>
          <w:color w:val="auto"/>
          <w:u w:val="none"/>
          <w:lang w:val="en-US"/>
        </w:rPr>
      </w:pPr>
      <w:r w:rsidRPr="007B1C41">
        <w:rPr>
          <w:rFonts w:ascii="Arial" w:hAnsi="Arial" w:cs="Arial"/>
          <w:noProof/>
          <w:lang w:val="en-US"/>
        </w:rPr>
        <w:t xml:space="preserve">Byrnes, J. P., &amp; Wasik, B. A. (2009). Factors predictive of mathematics achievement in kindergarten , first and third grades : An opportunity – propensity analysis. </w:t>
      </w:r>
      <w:r w:rsidRPr="007B1C41">
        <w:rPr>
          <w:rFonts w:ascii="Arial" w:hAnsi="Arial" w:cs="Arial"/>
          <w:i/>
          <w:iCs/>
          <w:noProof/>
          <w:lang w:val="en-US"/>
        </w:rPr>
        <w:t>Contemporary Educational Psychology</w:t>
      </w:r>
      <w:r w:rsidRPr="007B1C41">
        <w:rPr>
          <w:rFonts w:ascii="Arial" w:hAnsi="Arial" w:cs="Arial"/>
          <w:noProof/>
          <w:lang w:val="en-US"/>
        </w:rPr>
        <w:t xml:space="preserve">, </w:t>
      </w:r>
      <w:r w:rsidRPr="007B1C41">
        <w:rPr>
          <w:rFonts w:ascii="Arial" w:hAnsi="Arial" w:cs="Arial"/>
          <w:i/>
          <w:iCs/>
          <w:noProof/>
          <w:lang w:val="en-US"/>
        </w:rPr>
        <w:t>34</w:t>
      </w:r>
      <w:r w:rsidRPr="007B1C41">
        <w:rPr>
          <w:rFonts w:ascii="Arial" w:hAnsi="Arial" w:cs="Arial"/>
          <w:noProof/>
          <w:lang w:val="en-US"/>
        </w:rPr>
        <w:t xml:space="preserve">, 167–183. </w:t>
      </w:r>
      <w:hyperlink r:id="rId27" w:history="1">
        <w:r w:rsidR="00282F37" w:rsidRPr="007B1C41">
          <w:rPr>
            <w:rStyle w:val="Hyperlink"/>
            <w:rFonts w:ascii="Arial" w:hAnsi="Arial" w:cs="Arial"/>
            <w:noProof/>
            <w:color w:val="auto"/>
            <w:u w:val="none"/>
            <w:lang w:val="en-US"/>
          </w:rPr>
          <w:t>DOI:</w:t>
        </w:r>
        <w:r w:rsidRPr="007B1C41">
          <w:rPr>
            <w:rStyle w:val="Hyperlink"/>
            <w:rFonts w:ascii="Arial" w:hAnsi="Arial" w:cs="Arial"/>
            <w:noProof/>
            <w:color w:val="auto"/>
            <w:u w:val="none"/>
            <w:lang w:val="en-US"/>
          </w:rPr>
          <w:t>10.1016/j.cedpsych.2009.01.002</w:t>
        </w:r>
      </w:hyperlink>
    </w:p>
    <w:p w14:paraId="0097CA2C" w14:textId="77777777" w:rsidR="00816D93" w:rsidRPr="007B1C41" w:rsidRDefault="006925F5" w:rsidP="00816D93">
      <w:pPr>
        <w:widowControl w:val="0"/>
        <w:autoSpaceDE w:val="0"/>
        <w:autoSpaceDN w:val="0"/>
        <w:adjustRightInd w:val="0"/>
        <w:ind w:left="480" w:hanging="480"/>
        <w:rPr>
          <w:rFonts w:ascii="Arial" w:hAnsi="Arial" w:cs="Arial"/>
          <w:noProof/>
          <w:lang w:val="en-GB"/>
        </w:rPr>
      </w:pPr>
      <w:r w:rsidRPr="007B1C41">
        <w:rPr>
          <w:rFonts w:ascii="Arial" w:hAnsi="Arial" w:cs="Arial"/>
          <w:noProof/>
          <w:lang w:val="en-US"/>
        </w:rPr>
        <w:t xml:space="preserve">Capano, L., Minden, D., Chen, S. X., Schachar, R. J., &amp; Ickowicz, A. (2008). </w:t>
      </w:r>
      <w:r w:rsidRPr="007B1C41">
        <w:rPr>
          <w:rFonts w:ascii="Arial" w:hAnsi="Arial" w:cs="Arial"/>
          <w:noProof/>
          <w:lang w:val="en-GB"/>
        </w:rPr>
        <w:t xml:space="preserve">Mathematical Learning Disorder in School-Age Children with Attention-Deficit Hyperactivity Disorder. </w:t>
      </w:r>
      <w:r w:rsidRPr="007B1C41">
        <w:rPr>
          <w:rFonts w:ascii="Arial" w:hAnsi="Arial" w:cs="Arial"/>
          <w:i/>
          <w:iCs/>
          <w:noProof/>
          <w:lang w:val="en-GB"/>
        </w:rPr>
        <w:t>The Canadian Journal of Psychiatry</w:t>
      </w:r>
      <w:r w:rsidRPr="007B1C41">
        <w:rPr>
          <w:rFonts w:ascii="Arial" w:hAnsi="Arial" w:cs="Arial"/>
          <w:noProof/>
          <w:lang w:val="en-GB"/>
        </w:rPr>
        <w:t xml:space="preserve">, </w:t>
      </w:r>
      <w:r w:rsidRPr="007B1C41">
        <w:rPr>
          <w:rFonts w:ascii="Arial" w:hAnsi="Arial" w:cs="Arial"/>
          <w:i/>
          <w:iCs/>
          <w:noProof/>
          <w:lang w:val="en-GB"/>
        </w:rPr>
        <w:t>53</w:t>
      </w:r>
      <w:r w:rsidRPr="007B1C41">
        <w:rPr>
          <w:rFonts w:ascii="Arial" w:hAnsi="Arial" w:cs="Arial"/>
          <w:noProof/>
          <w:lang w:val="en-GB"/>
        </w:rPr>
        <w:t xml:space="preserve">, 392–399. </w:t>
      </w:r>
      <w:r w:rsidR="00282F37" w:rsidRPr="007B1C41">
        <w:rPr>
          <w:rFonts w:ascii="Arial" w:hAnsi="Arial" w:cs="Arial"/>
          <w:noProof/>
          <w:lang w:val="en-GB"/>
        </w:rPr>
        <w:t>DOI:</w:t>
      </w:r>
      <w:r w:rsidRPr="007B1C41">
        <w:rPr>
          <w:rFonts w:ascii="Arial" w:hAnsi="Arial" w:cs="Arial"/>
          <w:noProof/>
          <w:lang w:val="en-GB"/>
        </w:rPr>
        <w:t>10.1177/070674370805300609</w:t>
      </w:r>
    </w:p>
    <w:p w14:paraId="5A33B2DB" w14:textId="77777777" w:rsidR="00816D93" w:rsidRPr="007B1C41" w:rsidRDefault="00816D93" w:rsidP="00816D93">
      <w:pPr>
        <w:widowControl w:val="0"/>
        <w:autoSpaceDE w:val="0"/>
        <w:autoSpaceDN w:val="0"/>
        <w:adjustRightInd w:val="0"/>
        <w:ind w:left="480" w:hanging="480"/>
        <w:rPr>
          <w:rFonts w:ascii="Arial" w:hAnsi="Arial" w:cs="Arial"/>
          <w:lang w:val="en-US"/>
        </w:rPr>
      </w:pPr>
      <w:r w:rsidRPr="007B1C41">
        <w:rPr>
          <w:rFonts w:ascii="Arial" w:hAnsi="Arial" w:cs="Arial"/>
          <w:lang w:val="en-US"/>
        </w:rPr>
        <w:t xml:space="preserve">Chinn, S. (2009). Interaction of phonological awareness and “magnocellular” processing during normal and dyslexic reading: behavioural and fMRI investigations. </w:t>
      </w:r>
      <w:r w:rsidRPr="007B1C41">
        <w:rPr>
          <w:rFonts w:ascii="Arial" w:hAnsi="Arial" w:cs="Arial"/>
          <w:i/>
          <w:lang w:val="en-US"/>
        </w:rPr>
        <w:t>Dyslexia, 15</w:t>
      </w:r>
      <w:r w:rsidRPr="007B1C41">
        <w:rPr>
          <w:rFonts w:ascii="Arial" w:hAnsi="Arial" w:cs="Arial"/>
          <w:lang w:val="en-US"/>
        </w:rPr>
        <w:t xml:space="preserve">, 61–68. </w:t>
      </w:r>
      <w:r w:rsidR="00282F37" w:rsidRPr="007B1C41">
        <w:rPr>
          <w:rFonts w:ascii="Arial" w:hAnsi="Arial" w:cs="Arial"/>
          <w:lang w:val="en-US"/>
        </w:rPr>
        <w:t>DOI:</w:t>
      </w:r>
      <w:r w:rsidRPr="007B1C41">
        <w:rPr>
          <w:rFonts w:ascii="Arial" w:hAnsi="Arial" w:cs="Arial"/>
          <w:lang w:val="en-US"/>
        </w:rPr>
        <w:t>10.1002/dys</w:t>
      </w:r>
    </w:p>
    <w:p w14:paraId="0C61503B" w14:textId="77777777" w:rsidR="00AB7B8E" w:rsidRPr="007B1C41" w:rsidRDefault="006925F5" w:rsidP="00AB7B8E">
      <w:pPr>
        <w:widowControl w:val="0"/>
        <w:autoSpaceDE w:val="0"/>
        <w:autoSpaceDN w:val="0"/>
        <w:adjustRightInd w:val="0"/>
        <w:ind w:left="480" w:hanging="480"/>
        <w:rPr>
          <w:rFonts w:ascii="Arial" w:hAnsi="Arial" w:cs="Arial"/>
          <w:noProof/>
          <w:lang w:val="en-GB"/>
        </w:rPr>
      </w:pPr>
      <w:r w:rsidRPr="007B1C41">
        <w:rPr>
          <w:rFonts w:ascii="Arial" w:hAnsi="Arial" w:cs="Arial"/>
          <w:noProof/>
          <w:lang w:val="en-GB"/>
        </w:rPr>
        <w:t xml:space="preserve">Claessens, A., &amp; Engel, M. (2013). How Important Is Where You Start? Early Mathematics Knowledge and Later School Success. </w:t>
      </w:r>
      <w:r w:rsidRPr="007B1C41">
        <w:rPr>
          <w:rFonts w:ascii="Arial" w:hAnsi="Arial" w:cs="Arial"/>
          <w:i/>
          <w:iCs/>
          <w:noProof/>
          <w:lang w:val="en-GB"/>
        </w:rPr>
        <w:t>Teachers College Record</w:t>
      </w:r>
      <w:r w:rsidRPr="007B1C41">
        <w:rPr>
          <w:rFonts w:ascii="Arial" w:hAnsi="Arial" w:cs="Arial"/>
          <w:noProof/>
          <w:lang w:val="en-GB"/>
        </w:rPr>
        <w:t xml:space="preserve">, </w:t>
      </w:r>
      <w:r w:rsidRPr="007B1C41">
        <w:rPr>
          <w:rFonts w:ascii="Arial" w:hAnsi="Arial" w:cs="Arial"/>
          <w:i/>
          <w:iCs/>
          <w:noProof/>
          <w:lang w:val="en-GB"/>
        </w:rPr>
        <w:t>115</w:t>
      </w:r>
      <w:r w:rsidR="00282F37" w:rsidRPr="007B1C41">
        <w:rPr>
          <w:rFonts w:ascii="Arial" w:hAnsi="Arial" w:cs="Arial"/>
          <w:i/>
          <w:iCs/>
          <w:noProof/>
          <w:lang w:val="en-GB"/>
        </w:rPr>
        <w:t xml:space="preserve"> </w:t>
      </w:r>
      <w:r w:rsidRPr="007B1C41">
        <w:rPr>
          <w:rFonts w:ascii="Arial" w:hAnsi="Arial" w:cs="Arial"/>
          <w:noProof/>
          <w:lang w:val="en-GB"/>
        </w:rPr>
        <w:t>(6). Retrieved from http://psycnet.apa.org/record/2013-18273-005</w:t>
      </w:r>
    </w:p>
    <w:p w14:paraId="0C4FB01E" w14:textId="77777777" w:rsidR="00A12885" w:rsidRPr="00AB0D4B" w:rsidRDefault="00087C97" w:rsidP="00A12885">
      <w:pPr>
        <w:widowControl w:val="0"/>
        <w:autoSpaceDE w:val="0"/>
        <w:autoSpaceDN w:val="0"/>
        <w:adjustRightInd w:val="0"/>
        <w:ind w:left="480" w:hanging="480"/>
        <w:rPr>
          <w:rStyle w:val="Hyperlink"/>
          <w:rFonts w:ascii="Arial" w:hAnsi="Arial" w:cs="Arial"/>
          <w:color w:val="auto"/>
          <w:u w:val="none"/>
          <w:lang w:val="en-US"/>
        </w:rPr>
      </w:pPr>
      <w:r w:rsidRPr="007B1C41">
        <w:rPr>
          <w:rFonts w:ascii="Arial" w:hAnsi="Arial" w:cs="Arial"/>
          <w:lang w:val="en-US"/>
        </w:rPr>
        <w:t xml:space="preserve">Deary, I. J., Whalley, L. J., Lemmon, H., Crawford, J. R., &amp; Starr, J. M. (2000). The stability of individual differences in mental ability from childhood to old age: Follow-up of the 1932 Scottish mental survey. </w:t>
      </w:r>
      <w:r w:rsidRPr="00AB0D4B">
        <w:rPr>
          <w:rFonts w:ascii="Arial" w:hAnsi="Arial" w:cs="Arial"/>
          <w:i/>
          <w:iCs/>
          <w:lang w:val="en-US"/>
        </w:rPr>
        <w:t>Intelligence</w:t>
      </w:r>
      <w:r w:rsidRPr="00AB0D4B">
        <w:rPr>
          <w:rFonts w:ascii="Arial" w:hAnsi="Arial" w:cs="Arial"/>
          <w:lang w:val="en-US"/>
        </w:rPr>
        <w:t xml:space="preserve">, </w:t>
      </w:r>
      <w:r w:rsidRPr="00AB0D4B">
        <w:rPr>
          <w:rFonts w:ascii="Arial" w:hAnsi="Arial" w:cs="Arial"/>
          <w:i/>
          <w:iCs/>
          <w:lang w:val="en-US"/>
        </w:rPr>
        <w:t>28</w:t>
      </w:r>
      <w:r w:rsidRPr="00AB0D4B">
        <w:rPr>
          <w:rFonts w:ascii="Arial" w:hAnsi="Arial" w:cs="Arial"/>
          <w:lang w:val="en-US"/>
        </w:rPr>
        <w:t xml:space="preserve">, 49–55. </w:t>
      </w:r>
      <w:r w:rsidR="00282F37" w:rsidRPr="00AB0D4B">
        <w:rPr>
          <w:rFonts w:ascii="Arial" w:hAnsi="Arial" w:cs="Arial"/>
          <w:lang w:val="en-US"/>
        </w:rPr>
        <w:t>DOI</w:t>
      </w:r>
      <w:hyperlink r:id="rId28" w:history="1">
        <w:r w:rsidR="00282F37" w:rsidRPr="00AB0D4B">
          <w:rPr>
            <w:rStyle w:val="Hyperlink"/>
            <w:rFonts w:ascii="Arial" w:hAnsi="Arial" w:cs="Arial"/>
            <w:color w:val="auto"/>
            <w:u w:val="none"/>
            <w:lang w:val="en-US"/>
          </w:rPr>
          <w:t>:</w:t>
        </w:r>
        <w:r w:rsidR="00AB7B8E" w:rsidRPr="00AB0D4B">
          <w:rPr>
            <w:rStyle w:val="Hyperlink"/>
            <w:rFonts w:ascii="Arial" w:hAnsi="Arial" w:cs="Arial"/>
            <w:color w:val="auto"/>
            <w:u w:val="none"/>
            <w:lang w:val="en-US"/>
          </w:rPr>
          <w:t>10.1016/S0160-2896(99)00031-8</w:t>
        </w:r>
      </w:hyperlink>
    </w:p>
    <w:p w14:paraId="682429B7" w14:textId="77777777" w:rsidR="00A12885" w:rsidRPr="007B1C41" w:rsidRDefault="00A12885" w:rsidP="00A12885">
      <w:pPr>
        <w:widowControl w:val="0"/>
        <w:autoSpaceDE w:val="0"/>
        <w:autoSpaceDN w:val="0"/>
        <w:adjustRightInd w:val="0"/>
        <w:ind w:left="480" w:hanging="480"/>
        <w:rPr>
          <w:rFonts w:ascii="Arial" w:eastAsia="Times New Roman" w:hAnsi="Arial" w:cs="Arial"/>
          <w:lang w:eastAsia="nl-NL"/>
        </w:rPr>
      </w:pPr>
      <w:r w:rsidRPr="00AB0D4B">
        <w:rPr>
          <w:rFonts w:ascii="Arial" w:eastAsia="Times New Roman" w:hAnsi="Arial" w:cs="Arial"/>
          <w:lang w:val="en-US" w:eastAsia="nl-NL"/>
        </w:rPr>
        <w:t xml:space="preserve">Defior, S., Jimenez-Fernandez, G., &amp; Serrano, F. (2009). </w:t>
      </w:r>
      <w:r w:rsidRPr="007B1C41">
        <w:rPr>
          <w:rFonts w:ascii="Arial" w:eastAsia="Times New Roman" w:hAnsi="Arial" w:cs="Arial"/>
          <w:lang w:val="en-GB" w:eastAsia="nl-NL"/>
        </w:rPr>
        <w:t xml:space="preserve">Complexity and lexical effects on the acquisition of Spanish spelling. </w:t>
      </w:r>
      <w:r w:rsidRPr="007B1C41">
        <w:rPr>
          <w:rFonts w:ascii="Arial" w:eastAsia="Times New Roman" w:hAnsi="Arial" w:cs="Arial"/>
          <w:i/>
          <w:lang w:eastAsia="nl-NL"/>
        </w:rPr>
        <w:t>Learning and Instruction, 19,</w:t>
      </w:r>
      <w:r w:rsidRPr="007B1C41">
        <w:rPr>
          <w:rFonts w:ascii="Arial" w:eastAsia="Times New Roman" w:hAnsi="Arial" w:cs="Arial"/>
          <w:lang w:eastAsia="nl-NL"/>
        </w:rPr>
        <w:t xml:space="preserve"> 55-65.</w:t>
      </w:r>
    </w:p>
    <w:p w14:paraId="4E6141DF" w14:textId="77777777" w:rsidR="00AB7B8E" w:rsidRPr="007B1C41" w:rsidRDefault="0071554E" w:rsidP="00AB7B8E">
      <w:pPr>
        <w:widowControl w:val="0"/>
        <w:autoSpaceDE w:val="0"/>
        <w:autoSpaceDN w:val="0"/>
        <w:adjustRightInd w:val="0"/>
        <w:ind w:left="480" w:hanging="480"/>
        <w:rPr>
          <w:rFonts w:ascii="Arial" w:eastAsia="Calibri" w:hAnsi="Arial" w:cs="Arial"/>
        </w:rPr>
      </w:pPr>
      <w:bookmarkStart w:id="2" w:name="_Hlk3232043"/>
      <w:r w:rsidRPr="007B1C41">
        <w:rPr>
          <w:rFonts w:ascii="Arial" w:eastAsia="Calibri" w:hAnsi="Arial" w:cs="Arial"/>
        </w:rPr>
        <w:t xml:space="preserve">Desoete, A. (2017). Comorbiditeit bij leerstoornissen. </w:t>
      </w:r>
      <w:r w:rsidRPr="007B1C41">
        <w:rPr>
          <w:rFonts w:ascii="Arial" w:eastAsia="Calibri" w:hAnsi="Arial" w:cs="Arial"/>
          <w:i/>
        </w:rPr>
        <w:t>Logopedie</w:t>
      </w:r>
      <w:r w:rsidRPr="007B1C41">
        <w:rPr>
          <w:rFonts w:ascii="Arial" w:eastAsia="Calibri" w:hAnsi="Arial" w:cs="Arial"/>
        </w:rPr>
        <w:t xml:space="preserve"> juli-augustus 2017, 11-16.</w:t>
      </w:r>
    </w:p>
    <w:p w14:paraId="0428F38A" w14:textId="77777777" w:rsidR="00AB7B8E" w:rsidRPr="007B1C41" w:rsidRDefault="0071554E" w:rsidP="006925F5">
      <w:pPr>
        <w:widowControl w:val="0"/>
        <w:autoSpaceDE w:val="0"/>
        <w:autoSpaceDN w:val="0"/>
        <w:adjustRightInd w:val="0"/>
        <w:ind w:left="480" w:hanging="480"/>
        <w:rPr>
          <w:rFonts w:ascii="Arial" w:eastAsia="Perpetua" w:hAnsi="Arial" w:cs="Arial"/>
          <w:lang w:eastAsia="nl-BE"/>
        </w:rPr>
      </w:pPr>
      <w:bookmarkStart w:id="3" w:name="_Hlk3232052"/>
      <w:bookmarkEnd w:id="2"/>
      <w:r w:rsidRPr="007B1C41">
        <w:rPr>
          <w:rFonts w:ascii="Arial" w:eastAsia="Perpetua" w:hAnsi="Arial" w:cs="Arial"/>
          <w:lang w:eastAsia="nl-BE"/>
        </w:rPr>
        <w:t xml:space="preserve">Desoete, A. (2018). Wat is dyscalculie. Hoe ga je ermee om? </w:t>
      </w:r>
      <w:r w:rsidRPr="007B1C41">
        <w:rPr>
          <w:rFonts w:ascii="Arial" w:eastAsia="Perpetua" w:hAnsi="Arial" w:cs="Arial"/>
          <w:i/>
          <w:lang w:eastAsia="nl-BE"/>
        </w:rPr>
        <w:t xml:space="preserve">Tijdschrift </w:t>
      </w:r>
      <w:r w:rsidRPr="007B1C41">
        <w:rPr>
          <w:rFonts w:ascii="Arial" w:eastAsia="Perpetua" w:hAnsi="Arial" w:cs="Arial"/>
          <w:bCs/>
          <w:i/>
          <w:lang w:val="nl-NL" w:eastAsia="nl-BE"/>
        </w:rPr>
        <w:t>Impuls &amp; Woordblind</w:t>
      </w:r>
      <w:r w:rsidRPr="007B1C41">
        <w:rPr>
          <w:rFonts w:ascii="Arial" w:eastAsia="Perpetua" w:hAnsi="Arial" w:cs="Arial"/>
          <w:bCs/>
          <w:lang w:val="nl-NL" w:eastAsia="nl-BE"/>
        </w:rPr>
        <w:t>’</w:t>
      </w:r>
      <w:r w:rsidRPr="007B1C41">
        <w:rPr>
          <w:rFonts w:ascii="Arial" w:eastAsia="Perpetua" w:hAnsi="Arial" w:cs="Arial"/>
          <w:lang w:eastAsia="nl-BE"/>
        </w:rPr>
        <w:t>juni-juli 2018, 22-23.</w:t>
      </w:r>
    </w:p>
    <w:bookmarkEnd w:id="3"/>
    <w:p w14:paraId="32139B59" w14:textId="77777777" w:rsidR="00AB7B8E" w:rsidRPr="007B1C41" w:rsidRDefault="006925F5" w:rsidP="006925F5">
      <w:pPr>
        <w:widowControl w:val="0"/>
        <w:autoSpaceDE w:val="0"/>
        <w:autoSpaceDN w:val="0"/>
        <w:adjustRightInd w:val="0"/>
        <w:ind w:left="480" w:hanging="480"/>
        <w:rPr>
          <w:rFonts w:ascii="Arial" w:hAnsi="Arial" w:cs="Arial"/>
          <w:noProof/>
        </w:rPr>
      </w:pPr>
      <w:r w:rsidRPr="007B1C41">
        <w:rPr>
          <w:rFonts w:ascii="Arial" w:hAnsi="Arial" w:cs="Arial"/>
          <w:noProof/>
        </w:rPr>
        <w:t xml:space="preserve">Desoete, A., Ghesquière, P., De Smedt, B., Andries, C., Van den Broeck, W., &amp; Ruijssenaars, W. (2010). Dyscalculie: standpunt van onderzoekers in Vlaanderen en Nederland. </w:t>
      </w:r>
      <w:r w:rsidRPr="007B1C41">
        <w:rPr>
          <w:rFonts w:ascii="Arial" w:hAnsi="Arial" w:cs="Arial"/>
          <w:i/>
          <w:iCs/>
          <w:noProof/>
        </w:rPr>
        <w:t>Logopedie</w:t>
      </w:r>
      <w:r w:rsidRPr="007B1C41">
        <w:rPr>
          <w:rFonts w:ascii="Arial" w:hAnsi="Arial" w:cs="Arial"/>
          <w:noProof/>
        </w:rPr>
        <w:t xml:space="preserve">, </w:t>
      </w:r>
      <w:r w:rsidRPr="007B1C41">
        <w:rPr>
          <w:rFonts w:ascii="Arial" w:hAnsi="Arial" w:cs="Arial"/>
          <w:i/>
          <w:iCs/>
          <w:noProof/>
        </w:rPr>
        <w:t>23</w:t>
      </w:r>
      <w:r w:rsidRPr="007B1C41">
        <w:rPr>
          <w:rFonts w:ascii="Arial" w:hAnsi="Arial" w:cs="Arial"/>
          <w:noProof/>
        </w:rPr>
        <w:t>(4), 4–9.</w:t>
      </w:r>
    </w:p>
    <w:p w14:paraId="353B713C" w14:textId="77777777" w:rsidR="00AB7B8E" w:rsidRPr="007B1C41" w:rsidRDefault="006925F5" w:rsidP="00AB7B8E">
      <w:pPr>
        <w:widowControl w:val="0"/>
        <w:autoSpaceDE w:val="0"/>
        <w:autoSpaceDN w:val="0"/>
        <w:adjustRightInd w:val="0"/>
        <w:ind w:left="480" w:hanging="480"/>
        <w:rPr>
          <w:rFonts w:ascii="Arial" w:hAnsi="Arial" w:cs="Arial"/>
          <w:noProof/>
          <w:lang w:val="en-US"/>
        </w:rPr>
      </w:pPr>
      <w:r w:rsidRPr="007B1C41">
        <w:rPr>
          <w:rFonts w:ascii="Arial" w:hAnsi="Arial" w:cs="Arial"/>
          <w:noProof/>
        </w:rPr>
        <w:t xml:space="preserve">Desoete, A., Roeyers, H., &amp; De Clercq, A. (2004). </w:t>
      </w:r>
      <w:r w:rsidRPr="007B1C41">
        <w:rPr>
          <w:rFonts w:ascii="Arial" w:hAnsi="Arial" w:cs="Arial"/>
          <w:noProof/>
          <w:lang w:val="en-GB"/>
        </w:rPr>
        <w:t xml:space="preserve">Children with Mathematics Learning Disabilities in Belgium. </w:t>
      </w:r>
      <w:r w:rsidRPr="007B1C41">
        <w:rPr>
          <w:rFonts w:ascii="Arial" w:hAnsi="Arial" w:cs="Arial"/>
          <w:i/>
          <w:iCs/>
          <w:noProof/>
          <w:lang w:val="en-US"/>
        </w:rPr>
        <w:t>Journal of Learning Disabilities</w:t>
      </w:r>
      <w:r w:rsidRPr="007B1C41">
        <w:rPr>
          <w:rFonts w:ascii="Arial" w:hAnsi="Arial" w:cs="Arial"/>
          <w:noProof/>
          <w:lang w:val="en-US"/>
        </w:rPr>
        <w:t xml:space="preserve">, </w:t>
      </w:r>
      <w:r w:rsidRPr="007B1C41">
        <w:rPr>
          <w:rFonts w:ascii="Arial" w:hAnsi="Arial" w:cs="Arial"/>
          <w:i/>
          <w:iCs/>
          <w:noProof/>
          <w:lang w:val="en-US"/>
        </w:rPr>
        <w:t>37</w:t>
      </w:r>
      <w:r w:rsidRPr="007B1C41">
        <w:rPr>
          <w:rFonts w:ascii="Arial" w:hAnsi="Arial" w:cs="Arial"/>
          <w:noProof/>
          <w:lang w:val="en-US"/>
        </w:rPr>
        <w:t xml:space="preserve">, 50–61. </w:t>
      </w:r>
      <w:hyperlink r:id="rId29" w:history="1">
        <w:r w:rsidR="00282F37" w:rsidRPr="007B1C41">
          <w:rPr>
            <w:rStyle w:val="Hyperlink"/>
            <w:rFonts w:ascii="Arial" w:hAnsi="Arial" w:cs="Arial"/>
            <w:noProof/>
            <w:color w:val="auto"/>
            <w:u w:val="none"/>
            <w:lang w:val="en-US"/>
          </w:rPr>
          <w:t>DOI:</w:t>
        </w:r>
        <w:r w:rsidR="00AB7B8E" w:rsidRPr="007B1C41">
          <w:rPr>
            <w:rStyle w:val="Hyperlink"/>
            <w:rFonts w:ascii="Arial" w:hAnsi="Arial" w:cs="Arial"/>
            <w:noProof/>
            <w:color w:val="auto"/>
            <w:u w:val="none"/>
            <w:lang w:val="en-US"/>
          </w:rPr>
          <w:t>10.1177/00222194040370010601</w:t>
        </w:r>
      </w:hyperlink>
    </w:p>
    <w:p w14:paraId="4473E4B6" w14:textId="77777777" w:rsidR="00AB7B8E" w:rsidRPr="007B1C41" w:rsidRDefault="009C049C" w:rsidP="00AB7B8E">
      <w:pPr>
        <w:widowControl w:val="0"/>
        <w:autoSpaceDE w:val="0"/>
        <w:autoSpaceDN w:val="0"/>
        <w:adjustRightInd w:val="0"/>
        <w:ind w:left="480" w:hanging="480"/>
        <w:rPr>
          <w:rFonts w:ascii="Arial" w:eastAsia="Times New Roman" w:hAnsi="Arial" w:cs="Arial"/>
          <w:color w:val="181717"/>
          <w:lang w:val="en-US" w:eastAsia="nl-BE"/>
        </w:rPr>
      </w:pPr>
      <w:r w:rsidRPr="007B1C41">
        <w:rPr>
          <w:rFonts w:ascii="Arial" w:eastAsia="Times New Roman" w:hAnsi="Arial" w:cs="Arial"/>
          <w:color w:val="181717"/>
          <w:lang w:val="en-US" w:eastAsia="nl-NL"/>
        </w:rPr>
        <w:t xml:space="preserve">Desoete, A., Praet, M., Titeca, D., &amp; Ceulemans, A. (2013). Cognitive phenotype of mathematical </w:t>
      </w:r>
      <w:r w:rsidRPr="007B1C41">
        <w:rPr>
          <w:rFonts w:ascii="Arial" w:eastAsia="Times New Roman" w:hAnsi="Arial" w:cs="Arial"/>
          <w:color w:val="181717"/>
          <w:lang w:val="en-US" w:eastAsia="nl-NL"/>
        </w:rPr>
        <w:tab/>
        <w:t xml:space="preserve">learning disabilities: What can we learn from siblings? </w:t>
      </w:r>
      <w:r w:rsidRPr="007B1C41">
        <w:rPr>
          <w:rFonts w:ascii="Arial" w:eastAsia="Times New Roman" w:hAnsi="Arial" w:cs="Arial"/>
          <w:i/>
          <w:color w:val="181717"/>
          <w:lang w:val="en-US" w:eastAsia="nl-NL"/>
        </w:rPr>
        <w:t xml:space="preserve">Research in Developmental Disabilities, </w:t>
      </w:r>
      <w:r w:rsidRPr="007B1C41">
        <w:rPr>
          <w:rFonts w:ascii="Arial" w:eastAsia="Times New Roman" w:hAnsi="Arial" w:cs="Arial"/>
          <w:i/>
          <w:color w:val="181717"/>
          <w:lang w:val="en-US" w:eastAsia="nl-BE"/>
        </w:rPr>
        <w:t>34</w:t>
      </w:r>
      <w:r w:rsidRPr="007B1C41">
        <w:rPr>
          <w:rFonts w:ascii="Arial" w:eastAsia="Times New Roman" w:hAnsi="Arial" w:cs="Arial"/>
          <w:color w:val="181717"/>
          <w:lang w:val="en-US" w:eastAsia="nl-BE"/>
        </w:rPr>
        <w:t xml:space="preserve">, 404–412. </w:t>
      </w:r>
    </w:p>
    <w:p w14:paraId="2D19F2C2" w14:textId="77777777" w:rsidR="00AB7B8E" w:rsidRPr="00E07DE2" w:rsidRDefault="00363FB7" w:rsidP="00AB7B8E">
      <w:pPr>
        <w:widowControl w:val="0"/>
        <w:autoSpaceDE w:val="0"/>
        <w:autoSpaceDN w:val="0"/>
        <w:adjustRightInd w:val="0"/>
        <w:ind w:left="480" w:hanging="480"/>
        <w:rPr>
          <w:rFonts w:ascii="Arial" w:hAnsi="Arial" w:cs="Arial"/>
          <w:color w:val="3B3030"/>
          <w:lang w:val="en-US" w:eastAsia="nl-BE"/>
        </w:rPr>
      </w:pPr>
      <w:r w:rsidRPr="007B1C41">
        <w:rPr>
          <w:rFonts w:ascii="Arial" w:hAnsi="Arial" w:cs="Arial"/>
          <w:shd w:val="clear" w:color="auto" w:fill="FFFFFF"/>
          <w:lang w:val="en-US"/>
        </w:rPr>
        <w:t xml:space="preserve">Desoete, A., &amp; Van Vreckem, C. (2018). </w:t>
      </w:r>
      <w:r w:rsidRPr="007B1C41">
        <w:rPr>
          <w:rFonts w:ascii="Arial" w:hAnsi="Arial" w:cs="Arial"/>
          <w:bCs/>
          <w:color w:val="000000"/>
          <w:kern w:val="36"/>
          <w:lang w:val="en-US" w:eastAsia="nl-BE"/>
        </w:rPr>
        <w:t xml:space="preserve">Spelling Across Language Systems and Languages. </w:t>
      </w:r>
      <w:r w:rsidRPr="00E07DE2">
        <w:rPr>
          <w:rFonts w:ascii="Arial" w:hAnsi="Arial" w:cs="Arial"/>
          <w:i/>
          <w:shd w:val="clear" w:color="auto" w:fill="FFFFFF"/>
          <w:lang w:val="en-US"/>
        </w:rPr>
        <w:t>To</w:t>
      </w:r>
      <w:r w:rsidRPr="00E07DE2">
        <w:rPr>
          <w:rFonts w:ascii="Arial" w:hAnsi="Arial" w:cs="Arial"/>
          <w:i/>
          <w:color w:val="3B3030"/>
          <w:lang w:val="en-US" w:eastAsia="nl-BE"/>
        </w:rPr>
        <w:t>pics in Language Disorders, 38 (4),</w:t>
      </w:r>
      <w:r w:rsidRPr="00E07DE2">
        <w:rPr>
          <w:rFonts w:ascii="Arial" w:hAnsi="Arial" w:cs="Arial"/>
          <w:color w:val="3B3030"/>
          <w:lang w:val="en-US" w:eastAsia="nl-BE"/>
        </w:rPr>
        <w:t xml:space="preserve"> 269-271.  </w:t>
      </w:r>
      <w:r w:rsidR="00282F37" w:rsidRPr="00E07DE2">
        <w:rPr>
          <w:rFonts w:ascii="Arial" w:hAnsi="Arial" w:cs="Arial"/>
          <w:color w:val="3B3030"/>
          <w:lang w:val="en-US" w:eastAsia="nl-BE"/>
        </w:rPr>
        <w:t>DOI:</w:t>
      </w:r>
      <w:r w:rsidR="00AB7B8E" w:rsidRPr="00E07DE2">
        <w:rPr>
          <w:rFonts w:ascii="Arial" w:hAnsi="Arial" w:cs="Arial"/>
          <w:color w:val="3B3030"/>
          <w:lang w:val="en-US" w:eastAsia="nl-BE"/>
        </w:rPr>
        <w:t xml:space="preserve"> 10.1097/TLD.0000000000000169</w:t>
      </w:r>
    </w:p>
    <w:p w14:paraId="5782D1BE" w14:textId="77777777" w:rsidR="00AB7B8E" w:rsidRPr="007B1C41" w:rsidRDefault="001A6089" w:rsidP="00AB7B8E">
      <w:pPr>
        <w:widowControl w:val="0"/>
        <w:autoSpaceDE w:val="0"/>
        <w:autoSpaceDN w:val="0"/>
        <w:adjustRightInd w:val="0"/>
        <w:ind w:left="480" w:hanging="480"/>
        <w:rPr>
          <w:rFonts w:ascii="Arial" w:hAnsi="Arial" w:cs="Arial"/>
          <w:bCs/>
          <w:lang w:eastAsia="nl-BE"/>
        </w:rPr>
      </w:pPr>
      <w:r w:rsidRPr="00E07DE2">
        <w:rPr>
          <w:rFonts w:ascii="Arial" w:hAnsi="Arial" w:cs="Arial"/>
          <w:lang w:val="en-US" w:eastAsia="nl-BE"/>
        </w:rPr>
        <w:t xml:space="preserve">Desoete, A., &amp; Warreyn, P. (2019). </w:t>
      </w:r>
      <w:r w:rsidRPr="00E07DE2">
        <w:rPr>
          <w:rFonts w:ascii="Arial" w:hAnsi="Arial" w:cs="Arial"/>
          <w:bCs/>
          <w:lang w:val="en-US" w:eastAsia="nl-BE"/>
        </w:rPr>
        <w:t xml:space="preserve">ADHD-plus: Comorbiditeit van ADHD met dyslexie en/of dyscalculie. </w:t>
      </w:r>
      <w:r w:rsidRPr="007B1C41">
        <w:rPr>
          <w:rFonts w:ascii="Arial" w:hAnsi="Arial" w:cs="Arial"/>
          <w:bCs/>
          <w:i/>
          <w:lang w:eastAsia="nl-BE"/>
        </w:rPr>
        <w:t>Tijdschrift Zit stil.</w:t>
      </w:r>
      <w:r w:rsidRPr="007B1C41">
        <w:rPr>
          <w:rFonts w:ascii="Arial" w:hAnsi="Arial" w:cs="Arial"/>
          <w:bCs/>
          <w:lang w:eastAsia="nl-BE"/>
        </w:rPr>
        <w:t xml:space="preserve"> </w:t>
      </w:r>
    </w:p>
    <w:p w14:paraId="50B55AFC" w14:textId="77777777" w:rsidR="00AB7B8E" w:rsidRPr="007B1C41" w:rsidRDefault="00257BB8" w:rsidP="0012361E">
      <w:pPr>
        <w:widowControl w:val="0"/>
        <w:autoSpaceDE w:val="0"/>
        <w:autoSpaceDN w:val="0"/>
        <w:adjustRightInd w:val="0"/>
        <w:ind w:left="480" w:hanging="480"/>
        <w:rPr>
          <w:rFonts w:ascii="Arial" w:hAnsi="Arial" w:cs="Arial"/>
          <w:color w:val="333333"/>
          <w:lang w:val="en-US"/>
        </w:rPr>
      </w:pPr>
      <w:r w:rsidRPr="007B1C41">
        <w:rPr>
          <w:rFonts w:ascii="Arial" w:hAnsi="Arial" w:cs="Arial"/>
        </w:rPr>
        <w:t xml:space="preserve">De Weerdt, F., Desoete, A., &amp; Roeyers, H. (2013). </w:t>
      </w:r>
      <w:r w:rsidRPr="007B1C41">
        <w:rPr>
          <w:rFonts w:ascii="Arial" w:hAnsi="Arial" w:cs="Arial"/>
          <w:lang w:val="en-US"/>
        </w:rPr>
        <w:t xml:space="preserve">Working Memory in Children with Reading and/or Mathematical Disabilities </w:t>
      </w:r>
      <w:r w:rsidRPr="007B1C41">
        <w:rPr>
          <w:rFonts w:ascii="Arial" w:hAnsi="Arial" w:cs="Arial"/>
          <w:i/>
          <w:lang w:val="en-US"/>
        </w:rPr>
        <w:t xml:space="preserve">Journal of learning disabilities, </w:t>
      </w:r>
      <w:r w:rsidRPr="007B1C41">
        <w:rPr>
          <w:rFonts w:ascii="Arial" w:hAnsi="Arial" w:cs="Arial"/>
          <w:i/>
          <w:iCs/>
          <w:color w:val="222222"/>
          <w:lang w:val="en"/>
        </w:rPr>
        <w:t>46</w:t>
      </w:r>
      <w:r w:rsidR="00282F37" w:rsidRPr="007B1C41">
        <w:rPr>
          <w:rFonts w:ascii="Arial" w:hAnsi="Arial" w:cs="Arial"/>
          <w:i/>
          <w:iCs/>
          <w:color w:val="222222"/>
          <w:lang w:val="en"/>
        </w:rPr>
        <w:t>,</w:t>
      </w:r>
      <w:r w:rsidRPr="007B1C41">
        <w:rPr>
          <w:rFonts w:ascii="Arial" w:hAnsi="Arial" w:cs="Arial"/>
          <w:i/>
          <w:iCs/>
          <w:color w:val="222222"/>
          <w:lang w:val="en"/>
        </w:rPr>
        <w:t xml:space="preserve"> </w:t>
      </w:r>
      <w:r w:rsidRPr="007B1C41">
        <w:rPr>
          <w:rFonts w:ascii="Arial" w:hAnsi="Arial" w:cs="Arial"/>
          <w:iCs/>
          <w:color w:val="222222"/>
          <w:lang w:val="en"/>
        </w:rPr>
        <w:t>461-472.</w:t>
      </w:r>
      <w:r w:rsidRPr="007B1C41">
        <w:rPr>
          <w:rFonts w:ascii="Arial" w:hAnsi="Arial" w:cs="Arial"/>
          <w:iCs/>
          <w:color w:val="222222"/>
          <w:lang w:val="en-US"/>
        </w:rPr>
        <w:t>DOI</w:t>
      </w:r>
      <w:r w:rsidRPr="007B1C41">
        <w:rPr>
          <w:rFonts w:ascii="Arial" w:hAnsi="Arial" w:cs="Arial"/>
          <w:lang w:val="en-US"/>
        </w:rPr>
        <w:t xml:space="preserve">: </w:t>
      </w:r>
      <w:r w:rsidRPr="007B1C41">
        <w:rPr>
          <w:rFonts w:ascii="Arial" w:hAnsi="Arial" w:cs="Arial"/>
          <w:color w:val="333333"/>
          <w:lang w:val="en-US"/>
        </w:rPr>
        <w:t xml:space="preserve">10.1177/0022219412455238 </w:t>
      </w:r>
    </w:p>
    <w:p w14:paraId="58706424" w14:textId="77777777" w:rsidR="00AB7B8E" w:rsidRPr="007B1C41" w:rsidRDefault="0012361E" w:rsidP="00AB7B8E">
      <w:pPr>
        <w:widowControl w:val="0"/>
        <w:autoSpaceDE w:val="0"/>
        <w:autoSpaceDN w:val="0"/>
        <w:adjustRightInd w:val="0"/>
        <w:ind w:left="480" w:hanging="480"/>
        <w:rPr>
          <w:rFonts w:ascii="Arial" w:hAnsi="Arial" w:cs="Arial"/>
          <w:noProof/>
          <w:lang w:val="en-GB"/>
        </w:rPr>
      </w:pPr>
      <w:r w:rsidRPr="007B1C41">
        <w:rPr>
          <w:rFonts w:ascii="Arial" w:hAnsi="Arial" w:cs="Arial"/>
          <w:noProof/>
          <w:lang w:val="en-US"/>
        </w:rPr>
        <w:t xml:space="preserve">Dirks, E., Spyer, G., Van Lieshout, E. C. D. M., &amp; De Sonneville, L. (2008). </w:t>
      </w:r>
      <w:r w:rsidRPr="007B1C41">
        <w:rPr>
          <w:rFonts w:ascii="Arial" w:hAnsi="Arial" w:cs="Arial"/>
          <w:noProof/>
          <w:lang w:val="en-GB"/>
        </w:rPr>
        <w:t xml:space="preserve">Prevalence of combined reading and arithmetic disabilities. </w:t>
      </w:r>
      <w:r w:rsidRPr="007B1C41">
        <w:rPr>
          <w:rFonts w:ascii="Arial" w:hAnsi="Arial" w:cs="Arial"/>
          <w:i/>
          <w:iCs/>
          <w:noProof/>
          <w:lang w:val="en-GB"/>
        </w:rPr>
        <w:t>Journal of Learning Disabilities</w:t>
      </w:r>
      <w:r w:rsidRPr="007B1C41">
        <w:rPr>
          <w:rFonts w:ascii="Arial" w:hAnsi="Arial" w:cs="Arial"/>
          <w:noProof/>
          <w:lang w:val="en-GB"/>
        </w:rPr>
        <w:t xml:space="preserve">, </w:t>
      </w:r>
      <w:r w:rsidRPr="007B1C41">
        <w:rPr>
          <w:rFonts w:ascii="Arial" w:hAnsi="Arial" w:cs="Arial"/>
          <w:i/>
          <w:iCs/>
          <w:noProof/>
          <w:lang w:val="en-GB"/>
        </w:rPr>
        <w:t>41</w:t>
      </w:r>
      <w:r w:rsidRPr="007B1C41">
        <w:rPr>
          <w:rFonts w:ascii="Arial" w:hAnsi="Arial" w:cs="Arial"/>
          <w:noProof/>
          <w:lang w:val="en-GB"/>
        </w:rPr>
        <w:t xml:space="preserve">, 460–473. </w:t>
      </w:r>
      <w:hyperlink r:id="rId30" w:history="1">
        <w:r w:rsidR="00282F37" w:rsidRPr="007B1C41">
          <w:rPr>
            <w:rStyle w:val="Hyperlink"/>
            <w:rFonts w:ascii="Arial" w:hAnsi="Arial" w:cs="Arial"/>
            <w:noProof/>
            <w:color w:val="auto"/>
            <w:u w:val="none"/>
            <w:lang w:val="en-GB"/>
          </w:rPr>
          <w:t>DOI:</w:t>
        </w:r>
        <w:r w:rsidR="00AB7B8E" w:rsidRPr="007B1C41">
          <w:rPr>
            <w:rStyle w:val="Hyperlink"/>
            <w:rFonts w:ascii="Arial" w:hAnsi="Arial" w:cs="Arial"/>
            <w:noProof/>
            <w:color w:val="auto"/>
            <w:u w:val="none"/>
            <w:lang w:val="en-GB"/>
          </w:rPr>
          <w:t>10.1177/0022219408321128</w:t>
        </w:r>
      </w:hyperlink>
    </w:p>
    <w:p w14:paraId="107384FF" w14:textId="77777777" w:rsidR="0028082E" w:rsidRPr="0028082E" w:rsidRDefault="007A61CF" w:rsidP="0028082E">
      <w:pPr>
        <w:widowControl w:val="0"/>
        <w:autoSpaceDE w:val="0"/>
        <w:autoSpaceDN w:val="0"/>
        <w:adjustRightInd w:val="0"/>
        <w:ind w:left="480" w:hanging="480"/>
        <w:rPr>
          <w:rFonts w:ascii="Arial" w:hAnsi="Arial" w:cs="Arial"/>
          <w:lang w:val="en-US"/>
        </w:rPr>
      </w:pPr>
      <w:r w:rsidRPr="007B1C41">
        <w:rPr>
          <w:rFonts w:ascii="Arial" w:hAnsi="Arial" w:cs="Arial"/>
          <w:lang w:val="en-US"/>
        </w:rPr>
        <w:lastRenderedPageBreak/>
        <w:t>Docherty, S. J., Davis, O. S. P., Kovas, Y., Meaburn, E. L</w:t>
      </w:r>
      <w:r w:rsidRPr="0028082E">
        <w:rPr>
          <w:rFonts w:ascii="Arial" w:hAnsi="Arial" w:cs="Arial"/>
          <w:lang w:val="en-US"/>
        </w:rPr>
        <w:t xml:space="preserve">., Dale, P. S., Petrill, S. A., … Plomin, R. (2010). A genome-wide association study identifies multiple loci associated with mathematics ability and disability. </w:t>
      </w:r>
      <w:r w:rsidRPr="0028082E">
        <w:rPr>
          <w:rFonts w:ascii="Arial" w:hAnsi="Arial" w:cs="Arial"/>
          <w:i/>
          <w:iCs/>
          <w:lang w:val="en-US"/>
        </w:rPr>
        <w:t>Genes, Brain and Behavior</w:t>
      </w:r>
      <w:r w:rsidRPr="0028082E">
        <w:rPr>
          <w:rFonts w:ascii="Arial" w:hAnsi="Arial" w:cs="Arial"/>
          <w:lang w:val="en-US"/>
        </w:rPr>
        <w:t xml:space="preserve">, </w:t>
      </w:r>
      <w:r w:rsidRPr="0028082E">
        <w:rPr>
          <w:rFonts w:ascii="Arial" w:hAnsi="Arial" w:cs="Arial"/>
          <w:i/>
          <w:iCs/>
          <w:lang w:val="en-US"/>
        </w:rPr>
        <w:t>9</w:t>
      </w:r>
      <w:r w:rsidR="00282F37" w:rsidRPr="0028082E">
        <w:rPr>
          <w:rFonts w:ascii="Arial" w:hAnsi="Arial" w:cs="Arial"/>
          <w:lang w:val="en-US"/>
        </w:rPr>
        <w:t>, 234–247. DOI:</w:t>
      </w:r>
      <w:r w:rsidRPr="0028082E">
        <w:rPr>
          <w:rFonts w:ascii="Arial" w:hAnsi="Arial" w:cs="Arial"/>
          <w:lang w:val="en-US"/>
        </w:rPr>
        <w:t>10.1111/j.1601-183X.2009.00553.x</w:t>
      </w:r>
      <w:r w:rsidR="0028082E" w:rsidRPr="0028082E">
        <w:rPr>
          <w:rFonts w:ascii="Arial" w:hAnsi="Arial" w:cs="Arial"/>
          <w:lang w:val="en-US"/>
        </w:rPr>
        <w:t xml:space="preserve"> </w:t>
      </w:r>
    </w:p>
    <w:p w14:paraId="4168C5D3" w14:textId="4E32DDCB" w:rsidR="0028082E" w:rsidRPr="0028082E" w:rsidRDefault="0028082E" w:rsidP="0028082E">
      <w:pPr>
        <w:widowControl w:val="0"/>
        <w:autoSpaceDE w:val="0"/>
        <w:autoSpaceDN w:val="0"/>
        <w:adjustRightInd w:val="0"/>
        <w:ind w:left="480" w:hanging="480"/>
        <w:rPr>
          <w:rFonts w:ascii="Arial" w:eastAsia="Times New Roman" w:hAnsi="Arial" w:cs="Arial"/>
          <w:lang w:val="en-GB"/>
        </w:rPr>
      </w:pPr>
      <w:r w:rsidRPr="0028082E">
        <w:rPr>
          <w:rFonts w:ascii="Arial" w:eastAsia="Times New Roman" w:hAnsi="Arial" w:cs="Arial"/>
          <w:lang w:val="en-GB"/>
        </w:rPr>
        <w:t xml:space="preserve">DuPaul, G. J., Gormley, M. J., &amp; Laracy, S. D. (2013). Comorbidity of LD and ADHD: Implications of DSM-5 for assessment and treatment. </w:t>
      </w:r>
      <w:r w:rsidRPr="0028082E">
        <w:rPr>
          <w:rFonts w:ascii="Arial" w:eastAsia="Times New Roman" w:hAnsi="Arial" w:cs="Arial"/>
          <w:i/>
          <w:lang w:val="en-GB"/>
        </w:rPr>
        <w:t>Journal of Learning Disabilities</w:t>
      </w:r>
      <w:r w:rsidRPr="0028082E">
        <w:rPr>
          <w:rFonts w:ascii="Arial" w:eastAsia="Times New Roman" w:hAnsi="Arial" w:cs="Arial"/>
          <w:lang w:val="en-GB"/>
        </w:rPr>
        <w:t xml:space="preserve">, 46, 43–51. </w:t>
      </w:r>
    </w:p>
    <w:p w14:paraId="2CAC8C52" w14:textId="77777777" w:rsidR="00A12885" w:rsidRPr="007B1C41" w:rsidRDefault="00A12885" w:rsidP="00A12885">
      <w:pPr>
        <w:widowControl w:val="0"/>
        <w:autoSpaceDE w:val="0"/>
        <w:autoSpaceDN w:val="0"/>
        <w:adjustRightInd w:val="0"/>
        <w:ind w:left="480" w:hanging="480"/>
        <w:rPr>
          <w:rFonts w:ascii="Arial" w:eastAsiaTheme="minorEastAsia" w:hAnsi="Arial" w:cs="Arial"/>
          <w:lang w:val="en-GB"/>
        </w:rPr>
      </w:pPr>
      <w:r w:rsidRPr="007B1C41">
        <w:rPr>
          <w:rFonts w:ascii="Arial" w:eastAsiaTheme="minorEastAsia" w:hAnsi="Arial" w:cs="Arial"/>
          <w:lang w:val="en-GB"/>
        </w:rPr>
        <w:t xml:space="preserve">Duranovic, M. (2017). Spelling errors of dyslexic children in Bosnian language with transparent orthography, </w:t>
      </w:r>
      <w:r w:rsidRPr="007B1C41">
        <w:rPr>
          <w:rFonts w:ascii="Arial" w:eastAsiaTheme="minorEastAsia" w:hAnsi="Arial" w:cs="Arial"/>
          <w:i/>
          <w:lang w:val="en-GB"/>
        </w:rPr>
        <w:t>Journal of Learning Disabilities, 50</w:t>
      </w:r>
      <w:r w:rsidRPr="007B1C41">
        <w:rPr>
          <w:rFonts w:ascii="Arial" w:eastAsiaTheme="minorEastAsia" w:hAnsi="Arial" w:cs="Arial"/>
          <w:lang w:val="en-GB"/>
        </w:rPr>
        <w:t>, 591-601.</w:t>
      </w:r>
    </w:p>
    <w:p w14:paraId="728FE8B3" w14:textId="77777777" w:rsidR="0012361E" w:rsidRPr="007B1C41" w:rsidRDefault="0012361E" w:rsidP="0012361E">
      <w:pPr>
        <w:widowControl w:val="0"/>
        <w:autoSpaceDE w:val="0"/>
        <w:autoSpaceDN w:val="0"/>
        <w:adjustRightInd w:val="0"/>
        <w:ind w:left="480" w:hanging="480"/>
        <w:rPr>
          <w:rFonts w:ascii="Arial" w:hAnsi="Arial" w:cs="Arial"/>
          <w:noProof/>
          <w:lang w:val="en-GB"/>
        </w:rPr>
      </w:pPr>
      <w:r w:rsidRPr="007B1C41">
        <w:rPr>
          <w:rFonts w:ascii="Arial" w:hAnsi="Arial" w:cs="Arial"/>
          <w:noProof/>
          <w:lang w:val="en-GB"/>
        </w:rPr>
        <w:t xml:space="preserve">Fuchs, L. S., Fuchs, D., Compton, D. L., Bryant, J. D., Hamlett, C. L., &amp; Seethaler, P. M. (2007). Mathematics Screening and Progress Monitoring at First Grade: Implications for Responsiveness to Intervention. </w:t>
      </w:r>
      <w:r w:rsidRPr="007B1C41">
        <w:rPr>
          <w:rFonts w:ascii="Arial" w:hAnsi="Arial" w:cs="Arial"/>
          <w:i/>
          <w:iCs/>
          <w:noProof/>
          <w:lang w:val="en-GB"/>
        </w:rPr>
        <w:t>Exceptional Children</w:t>
      </w:r>
      <w:r w:rsidRPr="007B1C41">
        <w:rPr>
          <w:rFonts w:ascii="Arial" w:hAnsi="Arial" w:cs="Arial"/>
          <w:noProof/>
          <w:lang w:val="en-GB"/>
        </w:rPr>
        <w:t xml:space="preserve">, </w:t>
      </w:r>
      <w:r w:rsidRPr="007B1C41">
        <w:rPr>
          <w:rFonts w:ascii="Arial" w:hAnsi="Arial" w:cs="Arial"/>
          <w:i/>
          <w:iCs/>
          <w:noProof/>
          <w:lang w:val="en-GB"/>
        </w:rPr>
        <w:t>73</w:t>
      </w:r>
      <w:r w:rsidR="00282F37" w:rsidRPr="007B1C41">
        <w:rPr>
          <w:rFonts w:ascii="Arial" w:hAnsi="Arial" w:cs="Arial"/>
          <w:noProof/>
          <w:lang w:val="en-GB"/>
        </w:rPr>
        <w:t>, 311–330. DOI:</w:t>
      </w:r>
      <w:r w:rsidRPr="007B1C41">
        <w:rPr>
          <w:rFonts w:ascii="Arial" w:hAnsi="Arial" w:cs="Arial"/>
          <w:noProof/>
          <w:lang w:val="en-GB"/>
        </w:rPr>
        <w:t>10.1177/001440290707300303</w:t>
      </w:r>
    </w:p>
    <w:p w14:paraId="15DEFCBD" w14:textId="77777777" w:rsidR="0012361E" w:rsidRPr="007B1C41" w:rsidRDefault="0012361E" w:rsidP="0012361E">
      <w:pPr>
        <w:widowControl w:val="0"/>
        <w:autoSpaceDE w:val="0"/>
        <w:autoSpaceDN w:val="0"/>
        <w:adjustRightInd w:val="0"/>
        <w:ind w:left="480" w:hanging="480"/>
        <w:rPr>
          <w:rFonts w:ascii="Arial" w:hAnsi="Arial" w:cs="Arial"/>
          <w:noProof/>
          <w:lang w:val="en-GB"/>
        </w:rPr>
      </w:pPr>
      <w:r w:rsidRPr="007B1C41">
        <w:rPr>
          <w:rFonts w:ascii="Arial" w:hAnsi="Arial" w:cs="Arial"/>
          <w:noProof/>
          <w:lang w:val="en-GB"/>
        </w:rPr>
        <w:t xml:space="preserve">Gadeyne, E., Ghesquiere, P., &amp; Onghena, P. (2004). Psychosocial functioning of young children with learning problems. </w:t>
      </w:r>
      <w:r w:rsidRPr="007B1C41">
        <w:rPr>
          <w:rFonts w:ascii="Arial" w:hAnsi="Arial" w:cs="Arial"/>
          <w:i/>
          <w:iCs/>
          <w:noProof/>
          <w:lang w:val="en-GB"/>
        </w:rPr>
        <w:t>Journal of Child Psychology and Psychiatry</w:t>
      </w:r>
      <w:r w:rsidRPr="007B1C41">
        <w:rPr>
          <w:rFonts w:ascii="Arial" w:hAnsi="Arial" w:cs="Arial"/>
          <w:noProof/>
          <w:lang w:val="en-GB"/>
        </w:rPr>
        <w:t xml:space="preserve">, </w:t>
      </w:r>
      <w:r w:rsidRPr="007B1C41">
        <w:rPr>
          <w:rFonts w:ascii="Arial" w:hAnsi="Arial" w:cs="Arial"/>
          <w:i/>
          <w:iCs/>
          <w:noProof/>
          <w:lang w:val="en-GB"/>
        </w:rPr>
        <w:t>45</w:t>
      </w:r>
      <w:r w:rsidR="00282F37" w:rsidRPr="007B1C41">
        <w:rPr>
          <w:rFonts w:ascii="Arial" w:hAnsi="Arial" w:cs="Arial"/>
          <w:noProof/>
          <w:lang w:val="en-GB"/>
        </w:rPr>
        <w:t>, 510–521. DOI:</w:t>
      </w:r>
      <w:r w:rsidRPr="007B1C41">
        <w:rPr>
          <w:rFonts w:ascii="Arial" w:hAnsi="Arial" w:cs="Arial"/>
          <w:noProof/>
          <w:lang w:val="en-GB"/>
        </w:rPr>
        <w:t>10.1111/j.1469-7610.2004.00241.x</w:t>
      </w:r>
    </w:p>
    <w:p w14:paraId="26928CBE" w14:textId="77777777" w:rsidR="006925F5" w:rsidRPr="007B1C41" w:rsidRDefault="006925F5" w:rsidP="006925F5">
      <w:pPr>
        <w:widowControl w:val="0"/>
        <w:autoSpaceDE w:val="0"/>
        <w:autoSpaceDN w:val="0"/>
        <w:adjustRightInd w:val="0"/>
        <w:ind w:left="480" w:hanging="480"/>
        <w:rPr>
          <w:rFonts w:ascii="Arial" w:hAnsi="Arial" w:cs="Arial"/>
          <w:noProof/>
          <w:lang w:val="en-GB"/>
        </w:rPr>
      </w:pPr>
      <w:r w:rsidRPr="007B1C41">
        <w:rPr>
          <w:rFonts w:ascii="Arial" w:hAnsi="Arial" w:cs="Arial"/>
          <w:noProof/>
          <w:lang w:val="en-GB"/>
        </w:rPr>
        <w:t xml:space="preserve">Geary, D. C. (2004). Mathematics and Learning Disabilities. </w:t>
      </w:r>
      <w:r w:rsidRPr="007B1C41">
        <w:rPr>
          <w:rFonts w:ascii="Arial" w:hAnsi="Arial" w:cs="Arial"/>
          <w:i/>
          <w:iCs/>
          <w:noProof/>
          <w:lang w:val="en-GB"/>
        </w:rPr>
        <w:t>Journal of Learning Disabilities</w:t>
      </w:r>
      <w:r w:rsidRPr="007B1C41">
        <w:rPr>
          <w:rFonts w:ascii="Arial" w:hAnsi="Arial" w:cs="Arial"/>
          <w:noProof/>
          <w:lang w:val="en-GB"/>
        </w:rPr>
        <w:t xml:space="preserve">, </w:t>
      </w:r>
      <w:r w:rsidRPr="007B1C41">
        <w:rPr>
          <w:rFonts w:ascii="Arial" w:hAnsi="Arial" w:cs="Arial"/>
          <w:i/>
          <w:iCs/>
          <w:noProof/>
          <w:lang w:val="en-GB"/>
        </w:rPr>
        <w:t>37</w:t>
      </w:r>
      <w:r w:rsidR="00282F37" w:rsidRPr="007B1C41">
        <w:rPr>
          <w:rFonts w:ascii="Arial" w:hAnsi="Arial" w:cs="Arial"/>
          <w:noProof/>
          <w:lang w:val="en-GB"/>
        </w:rPr>
        <w:t>, 4–15. DOI:</w:t>
      </w:r>
      <w:r w:rsidRPr="007B1C41">
        <w:rPr>
          <w:rFonts w:ascii="Arial" w:hAnsi="Arial" w:cs="Arial"/>
          <w:noProof/>
          <w:lang w:val="en-GB"/>
        </w:rPr>
        <w:t>10.1177/00222194040370010201</w:t>
      </w:r>
    </w:p>
    <w:p w14:paraId="5F2E23B2" w14:textId="77777777" w:rsidR="006925F5" w:rsidRPr="007B1C41" w:rsidRDefault="006925F5" w:rsidP="006925F5">
      <w:pPr>
        <w:widowControl w:val="0"/>
        <w:autoSpaceDE w:val="0"/>
        <w:autoSpaceDN w:val="0"/>
        <w:adjustRightInd w:val="0"/>
        <w:ind w:left="480" w:hanging="480"/>
        <w:rPr>
          <w:rFonts w:ascii="Arial" w:hAnsi="Arial" w:cs="Arial"/>
          <w:lang w:val="en-US"/>
        </w:rPr>
      </w:pPr>
      <w:r w:rsidRPr="007B1C41">
        <w:rPr>
          <w:rFonts w:ascii="Arial" w:hAnsi="Arial" w:cs="Arial"/>
          <w:lang w:val="en-US"/>
        </w:rPr>
        <w:t xml:space="preserve">Geary, D. C. (2011). Cognitive predictors of achievement growth in mathematics: A 5-year longitudinal study. </w:t>
      </w:r>
      <w:r w:rsidRPr="007B1C41">
        <w:rPr>
          <w:rFonts w:ascii="Arial" w:hAnsi="Arial" w:cs="Arial"/>
          <w:i/>
          <w:iCs/>
          <w:lang w:val="en-US"/>
        </w:rPr>
        <w:t>Developmental Psychology</w:t>
      </w:r>
      <w:r w:rsidRPr="007B1C41">
        <w:rPr>
          <w:rFonts w:ascii="Arial" w:hAnsi="Arial" w:cs="Arial"/>
          <w:lang w:val="en-US"/>
        </w:rPr>
        <w:t xml:space="preserve">, </w:t>
      </w:r>
      <w:r w:rsidRPr="007B1C41">
        <w:rPr>
          <w:rFonts w:ascii="Arial" w:hAnsi="Arial" w:cs="Arial"/>
          <w:i/>
          <w:iCs/>
          <w:lang w:val="en-US"/>
        </w:rPr>
        <w:t>47</w:t>
      </w:r>
      <w:r w:rsidR="00282F37" w:rsidRPr="007B1C41">
        <w:rPr>
          <w:rFonts w:ascii="Arial" w:hAnsi="Arial" w:cs="Arial"/>
          <w:lang w:val="en-US"/>
        </w:rPr>
        <w:t>, 1539–1552. DOI:</w:t>
      </w:r>
      <w:r w:rsidRPr="007B1C41">
        <w:rPr>
          <w:rFonts w:ascii="Arial" w:hAnsi="Arial" w:cs="Arial"/>
          <w:lang w:val="en-US"/>
        </w:rPr>
        <w:t>10.1037/a0025510</w:t>
      </w:r>
    </w:p>
    <w:p w14:paraId="081C593B" w14:textId="77777777" w:rsidR="006925F5" w:rsidRPr="007B1C41" w:rsidRDefault="006925F5" w:rsidP="006925F5">
      <w:pPr>
        <w:widowControl w:val="0"/>
        <w:autoSpaceDE w:val="0"/>
        <w:autoSpaceDN w:val="0"/>
        <w:adjustRightInd w:val="0"/>
        <w:ind w:left="480" w:hanging="480"/>
        <w:rPr>
          <w:rFonts w:ascii="Arial" w:hAnsi="Arial" w:cs="Arial"/>
          <w:noProof/>
          <w:lang w:val="en-GB"/>
        </w:rPr>
      </w:pPr>
      <w:r w:rsidRPr="007B1C41">
        <w:rPr>
          <w:rFonts w:ascii="Arial" w:hAnsi="Arial" w:cs="Arial"/>
          <w:noProof/>
          <w:lang w:val="en-GB"/>
        </w:rPr>
        <w:t xml:space="preserve">Geary, D. C., Hamson, C. O., &amp; Hoard, M. K. (2000). Numerical and Arithmetical Cognition: A Longitudinal Study of Process and Concept Deficits in Children with Learning Disability. </w:t>
      </w:r>
      <w:r w:rsidRPr="007B1C41">
        <w:rPr>
          <w:rFonts w:ascii="Arial" w:hAnsi="Arial" w:cs="Arial"/>
          <w:i/>
          <w:iCs/>
          <w:noProof/>
          <w:lang w:val="en-GB"/>
        </w:rPr>
        <w:t>Journal of Experimental Child Psychology</w:t>
      </w:r>
      <w:r w:rsidRPr="007B1C41">
        <w:rPr>
          <w:rFonts w:ascii="Arial" w:hAnsi="Arial" w:cs="Arial"/>
          <w:noProof/>
          <w:lang w:val="en-GB"/>
        </w:rPr>
        <w:t xml:space="preserve">, </w:t>
      </w:r>
      <w:r w:rsidRPr="007B1C41">
        <w:rPr>
          <w:rFonts w:ascii="Arial" w:hAnsi="Arial" w:cs="Arial"/>
          <w:i/>
          <w:iCs/>
          <w:noProof/>
          <w:lang w:val="en-GB"/>
        </w:rPr>
        <w:t>77</w:t>
      </w:r>
      <w:r w:rsidRPr="007B1C41">
        <w:rPr>
          <w:rFonts w:ascii="Arial" w:hAnsi="Arial" w:cs="Arial"/>
          <w:noProof/>
          <w:lang w:val="en-GB"/>
        </w:rPr>
        <w:t>(3)</w:t>
      </w:r>
      <w:r w:rsidR="00A149E7" w:rsidRPr="007B1C41">
        <w:rPr>
          <w:rFonts w:ascii="Arial" w:hAnsi="Arial" w:cs="Arial"/>
          <w:noProof/>
          <w:lang w:val="en-GB"/>
        </w:rPr>
        <w:t>, 236–263. DOI:</w:t>
      </w:r>
      <w:r w:rsidRPr="007B1C41">
        <w:rPr>
          <w:rFonts w:ascii="Arial" w:hAnsi="Arial" w:cs="Arial"/>
          <w:noProof/>
          <w:lang w:val="en-GB"/>
        </w:rPr>
        <w:t>10.1006/JECP.2000.2561</w:t>
      </w:r>
    </w:p>
    <w:p w14:paraId="4297DFAF" w14:textId="77777777" w:rsidR="006925F5" w:rsidRPr="007B1C41" w:rsidRDefault="006925F5" w:rsidP="006925F5">
      <w:pPr>
        <w:widowControl w:val="0"/>
        <w:autoSpaceDE w:val="0"/>
        <w:autoSpaceDN w:val="0"/>
        <w:adjustRightInd w:val="0"/>
        <w:ind w:left="480" w:hanging="480"/>
        <w:rPr>
          <w:rFonts w:ascii="Arial" w:hAnsi="Arial" w:cs="Arial"/>
          <w:noProof/>
          <w:lang w:val="en-GB"/>
        </w:rPr>
      </w:pPr>
      <w:r w:rsidRPr="007B1C41">
        <w:rPr>
          <w:rFonts w:ascii="Arial" w:hAnsi="Arial" w:cs="Arial"/>
          <w:noProof/>
          <w:lang w:val="en-GB"/>
        </w:rPr>
        <w:t xml:space="preserve">Geary, D. C., &amp; Hoard, M. K. (2005). Learning Disabilities in Arithmetic and Mathematics: Theoretical and Empirical perspectives. </w:t>
      </w:r>
      <w:r w:rsidRPr="007B1C41">
        <w:rPr>
          <w:rFonts w:ascii="Arial" w:hAnsi="Arial" w:cs="Arial"/>
          <w:i/>
          <w:iCs/>
          <w:noProof/>
          <w:lang w:val="en-GB"/>
        </w:rPr>
        <w:t>Handbook of Mathematical Cognition</w:t>
      </w:r>
      <w:r w:rsidRPr="007B1C41">
        <w:rPr>
          <w:rFonts w:ascii="Arial" w:hAnsi="Arial" w:cs="Arial"/>
          <w:noProof/>
          <w:lang w:val="en-GB"/>
        </w:rPr>
        <w:t>, 253–267.</w:t>
      </w:r>
    </w:p>
    <w:p w14:paraId="576D1FB4" w14:textId="77777777" w:rsidR="006925F5" w:rsidRPr="007B1C41" w:rsidRDefault="006925F5" w:rsidP="006925F5">
      <w:pPr>
        <w:widowControl w:val="0"/>
        <w:autoSpaceDE w:val="0"/>
        <w:autoSpaceDN w:val="0"/>
        <w:adjustRightInd w:val="0"/>
        <w:ind w:left="480" w:hanging="480"/>
        <w:rPr>
          <w:rFonts w:ascii="Arial" w:hAnsi="Arial" w:cs="Arial"/>
          <w:noProof/>
          <w:lang w:val="en-GB"/>
        </w:rPr>
      </w:pPr>
      <w:r w:rsidRPr="007B1C41">
        <w:rPr>
          <w:rFonts w:ascii="Arial" w:hAnsi="Arial" w:cs="Arial"/>
          <w:noProof/>
          <w:lang w:val="en-GB"/>
        </w:rPr>
        <w:t xml:space="preserve">Geary, D. C., Hoard, M. K., Byrd-Craven, J., &amp; Catherine DeSoto, M. (2004). Strategy choices in simple and complex addition: Contributions of working memory and counting knowledge for children with mathematical disability. </w:t>
      </w:r>
      <w:r w:rsidRPr="007B1C41">
        <w:rPr>
          <w:rFonts w:ascii="Arial" w:hAnsi="Arial" w:cs="Arial"/>
          <w:i/>
          <w:iCs/>
          <w:noProof/>
          <w:lang w:val="en-GB"/>
        </w:rPr>
        <w:t>Journal of Experimental Child Psychology</w:t>
      </w:r>
      <w:r w:rsidRPr="007B1C41">
        <w:rPr>
          <w:rFonts w:ascii="Arial" w:hAnsi="Arial" w:cs="Arial"/>
          <w:noProof/>
          <w:lang w:val="en-GB"/>
        </w:rPr>
        <w:t xml:space="preserve">, </w:t>
      </w:r>
      <w:r w:rsidRPr="007B1C41">
        <w:rPr>
          <w:rFonts w:ascii="Arial" w:hAnsi="Arial" w:cs="Arial"/>
          <w:i/>
          <w:iCs/>
          <w:noProof/>
          <w:lang w:val="en-GB"/>
        </w:rPr>
        <w:t>88</w:t>
      </w:r>
      <w:r w:rsidR="00A149E7" w:rsidRPr="007B1C41">
        <w:rPr>
          <w:rFonts w:ascii="Arial" w:hAnsi="Arial" w:cs="Arial"/>
          <w:noProof/>
          <w:lang w:val="en-GB"/>
        </w:rPr>
        <w:t>, 121–151. DOI:</w:t>
      </w:r>
      <w:r w:rsidRPr="007B1C41">
        <w:rPr>
          <w:rFonts w:ascii="Arial" w:hAnsi="Arial" w:cs="Arial"/>
          <w:noProof/>
          <w:lang w:val="en-GB"/>
        </w:rPr>
        <w:t>10.1016/J.JECP.2004.03.002</w:t>
      </w:r>
    </w:p>
    <w:p w14:paraId="10662225" w14:textId="77777777" w:rsidR="006925F5" w:rsidRPr="007B1C41" w:rsidRDefault="006925F5" w:rsidP="006925F5">
      <w:pPr>
        <w:widowControl w:val="0"/>
        <w:autoSpaceDE w:val="0"/>
        <w:autoSpaceDN w:val="0"/>
        <w:adjustRightInd w:val="0"/>
        <w:ind w:left="480" w:hanging="480"/>
        <w:rPr>
          <w:rFonts w:ascii="Arial" w:hAnsi="Arial" w:cs="Arial"/>
          <w:noProof/>
        </w:rPr>
      </w:pPr>
      <w:r w:rsidRPr="007B1C41">
        <w:rPr>
          <w:rFonts w:ascii="Arial" w:hAnsi="Arial" w:cs="Arial"/>
          <w:noProof/>
          <w:lang w:val="en-GB"/>
        </w:rPr>
        <w:t xml:space="preserve">Geary, D. C., Hoard, M. K., Nugent, L., &amp; Byrd-Craven, J. (2008). Development of Number Line Representations in Children With Mathematical Learning Disability. </w:t>
      </w:r>
      <w:r w:rsidRPr="007B1C41">
        <w:rPr>
          <w:rFonts w:ascii="Arial" w:hAnsi="Arial" w:cs="Arial"/>
          <w:i/>
          <w:iCs/>
          <w:noProof/>
        </w:rPr>
        <w:t>Developmental Neuropsychology</w:t>
      </w:r>
      <w:r w:rsidRPr="007B1C41">
        <w:rPr>
          <w:rFonts w:ascii="Arial" w:hAnsi="Arial" w:cs="Arial"/>
          <w:noProof/>
        </w:rPr>
        <w:t xml:space="preserve">, </w:t>
      </w:r>
      <w:r w:rsidRPr="007B1C41">
        <w:rPr>
          <w:rFonts w:ascii="Arial" w:hAnsi="Arial" w:cs="Arial"/>
          <w:i/>
          <w:iCs/>
          <w:noProof/>
        </w:rPr>
        <w:t>33</w:t>
      </w:r>
      <w:r w:rsidR="00A149E7" w:rsidRPr="007B1C41">
        <w:rPr>
          <w:rFonts w:ascii="Arial" w:hAnsi="Arial" w:cs="Arial"/>
          <w:noProof/>
        </w:rPr>
        <w:t>, 277–299. DOI:</w:t>
      </w:r>
      <w:r w:rsidRPr="007B1C41">
        <w:rPr>
          <w:rFonts w:ascii="Arial" w:hAnsi="Arial" w:cs="Arial"/>
          <w:noProof/>
        </w:rPr>
        <w:t>10.1080/87565640801982361</w:t>
      </w:r>
    </w:p>
    <w:p w14:paraId="3938B28B" w14:textId="77777777" w:rsidR="006925F5" w:rsidRPr="007B1C41" w:rsidRDefault="006925F5" w:rsidP="006925F5">
      <w:pPr>
        <w:widowControl w:val="0"/>
        <w:autoSpaceDE w:val="0"/>
        <w:autoSpaceDN w:val="0"/>
        <w:adjustRightInd w:val="0"/>
        <w:ind w:left="480" w:hanging="480"/>
        <w:rPr>
          <w:rFonts w:ascii="Arial" w:hAnsi="Arial" w:cs="Arial"/>
          <w:noProof/>
        </w:rPr>
      </w:pPr>
      <w:r w:rsidRPr="007B1C41">
        <w:rPr>
          <w:rFonts w:ascii="Arial" w:hAnsi="Arial" w:cs="Arial"/>
          <w:noProof/>
        </w:rPr>
        <w:t xml:space="preserve">Ghesquière, P. (2014). Actualisering van het standpunt in verband met de praktijk van attestering voor kinderen met een leerstoornis in het gewoon onderwijs. In </w:t>
      </w:r>
      <w:r w:rsidRPr="007B1C41">
        <w:rPr>
          <w:rFonts w:ascii="Arial" w:hAnsi="Arial" w:cs="Arial"/>
          <w:i/>
          <w:iCs/>
          <w:noProof/>
        </w:rPr>
        <w:t>Zorg dragen voor kinderen en jongeren met leerproblemen. Handvatten voor goede praktijk.</w:t>
      </w:r>
      <w:r w:rsidRPr="007B1C41">
        <w:rPr>
          <w:rFonts w:ascii="Arial" w:hAnsi="Arial" w:cs="Arial"/>
          <w:noProof/>
        </w:rPr>
        <w:t xml:space="preserve"> (pp. 11–19). Leuven: Acco.</w:t>
      </w:r>
    </w:p>
    <w:p w14:paraId="1F7CD3A9" w14:textId="4143A52A" w:rsidR="00041408" w:rsidRPr="007B1C41" w:rsidRDefault="00041408" w:rsidP="006925F5">
      <w:pPr>
        <w:widowControl w:val="0"/>
        <w:autoSpaceDE w:val="0"/>
        <w:autoSpaceDN w:val="0"/>
        <w:adjustRightInd w:val="0"/>
        <w:ind w:left="480" w:hanging="480"/>
        <w:rPr>
          <w:rFonts w:ascii="Arial" w:hAnsi="Arial" w:cs="Arial"/>
        </w:rPr>
      </w:pPr>
      <w:bookmarkStart w:id="4" w:name="_Hlk3231952"/>
      <w:r w:rsidRPr="007B1C41">
        <w:rPr>
          <w:rFonts w:ascii="Arial" w:hAnsi="Arial" w:cs="Arial"/>
        </w:rPr>
        <w:t>Ghesquière, P., &amp; Hellinckx, W. (2018, 2</w:t>
      </w:r>
      <w:r w:rsidRPr="007B1C41">
        <w:rPr>
          <w:rFonts w:ascii="Arial" w:hAnsi="Arial" w:cs="Arial"/>
          <w:vertAlign w:val="superscript"/>
        </w:rPr>
        <w:t>de</w:t>
      </w:r>
      <w:r w:rsidRPr="007B1C41">
        <w:rPr>
          <w:rFonts w:ascii="Arial" w:hAnsi="Arial" w:cs="Arial"/>
        </w:rPr>
        <w:t xml:space="preserve"> druk). Als leren pijn doet. Kinderen met een leerstoornis opvoeden en begeleiden. Acco: Leuven. </w:t>
      </w:r>
    </w:p>
    <w:bookmarkEnd w:id="4"/>
    <w:p w14:paraId="4F2654D0" w14:textId="605106C0" w:rsidR="006925F5" w:rsidRPr="007B1C41" w:rsidRDefault="00E477AD" w:rsidP="006925F5">
      <w:pPr>
        <w:widowControl w:val="0"/>
        <w:autoSpaceDE w:val="0"/>
        <w:autoSpaceDN w:val="0"/>
        <w:adjustRightInd w:val="0"/>
        <w:ind w:left="480" w:hanging="480"/>
        <w:rPr>
          <w:rFonts w:ascii="Arial" w:hAnsi="Arial" w:cs="Arial"/>
          <w:lang w:val="en-US"/>
        </w:rPr>
      </w:pPr>
      <w:r w:rsidRPr="007B1C41">
        <w:rPr>
          <w:rFonts w:ascii="Arial" w:hAnsi="Arial" w:cs="Arial"/>
        </w:rPr>
        <w:t xml:space="preserve">Goessaert, P. (2004). </w:t>
      </w:r>
      <w:r w:rsidRPr="007B1C41">
        <w:rPr>
          <w:rFonts w:ascii="Arial" w:hAnsi="Arial" w:cs="Arial"/>
          <w:i/>
          <w:iCs/>
        </w:rPr>
        <w:t xml:space="preserve">De woordentrommel. Woordfrequentielijst voor spellingonderwijs in de basisschool. </w:t>
      </w:r>
      <w:r w:rsidRPr="007B1C41">
        <w:rPr>
          <w:rFonts w:ascii="Arial" w:hAnsi="Arial" w:cs="Arial"/>
          <w:lang w:val="en-US"/>
        </w:rPr>
        <w:t>Wommelgem: Van In.</w:t>
      </w:r>
    </w:p>
    <w:p w14:paraId="0C9092FF" w14:textId="77777777" w:rsidR="00FC78F7" w:rsidRPr="00AB0D4B" w:rsidRDefault="006925F5" w:rsidP="00FC78F7">
      <w:pPr>
        <w:widowControl w:val="0"/>
        <w:autoSpaceDE w:val="0"/>
        <w:autoSpaceDN w:val="0"/>
        <w:adjustRightInd w:val="0"/>
        <w:ind w:left="480" w:hanging="480"/>
        <w:rPr>
          <w:rFonts w:ascii="Arial" w:hAnsi="Arial" w:cs="Arial"/>
          <w:noProof/>
          <w:lang w:val="en-US"/>
        </w:rPr>
      </w:pPr>
      <w:r w:rsidRPr="007B1C41">
        <w:rPr>
          <w:rFonts w:ascii="Arial" w:hAnsi="Arial" w:cs="Arial"/>
          <w:noProof/>
          <w:lang w:val="en-US"/>
        </w:rPr>
        <w:t>Gross-Tsur, V., Manor, O., &amp; Shalev, R. S. (1</w:t>
      </w:r>
      <w:r w:rsidRPr="007B1C41">
        <w:rPr>
          <w:rFonts w:ascii="Arial" w:hAnsi="Arial" w:cs="Arial"/>
          <w:noProof/>
          <w:lang w:val="en-GB"/>
        </w:rPr>
        <w:t xml:space="preserve">996). Developmental Dyscalculia: Prevalence and Demographic Features. </w:t>
      </w:r>
      <w:r w:rsidRPr="007B1C41">
        <w:rPr>
          <w:rFonts w:ascii="Arial" w:hAnsi="Arial" w:cs="Arial"/>
          <w:i/>
          <w:iCs/>
          <w:noProof/>
          <w:lang w:val="en-GB"/>
        </w:rPr>
        <w:t>Developmental Medicine &amp; Child Neurology</w:t>
      </w:r>
      <w:r w:rsidRPr="007B1C41">
        <w:rPr>
          <w:rFonts w:ascii="Arial" w:hAnsi="Arial" w:cs="Arial"/>
          <w:noProof/>
          <w:lang w:val="en-GB"/>
        </w:rPr>
        <w:t xml:space="preserve">, </w:t>
      </w:r>
      <w:r w:rsidRPr="007B1C41">
        <w:rPr>
          <w:rFonts w:ascii="Arial" w:hAnsi="Arial" w:cs="Arial"/>
          <w:i/>
          <w:iCs/>
          <w:noProof/>
          <w:lang w:val="en-GB"/>
        </w:rPr>
        <w:t>38</w:t>
      </w:r>
      <w:r w:rsidRPr="007B1C41">
        <w:rPr>
          <w:rFonts w:ascii="Arial" w:hAnsi="Arial" w:cs="Arial"/>
          <w:noProof/>
          <w:lang w:val="en-GB"/>
        </w:rPr>
        <w:t xml:space="preserve">, 25–33. </w:t>
      </w:r>
      <w:hyperlink r:id="rId31" w:history="1">
        <w:r w:rsidR="00A149E7" w:rsidRPr="00AB0D4B">
          <w:rPr>
            <w:rStyle w:val="Hyperlink"/>
            <w:rFonts w:ascii="Arial" w:hAnsi="Arial" w:cs="Arial"/>
            <w:noProof/>
            <w:color w:val="auto"/>
            <w:u w:val="none"/>
            <w:lang w:val="en-US"/>
          </w:rPr>
          <w:t>DOI:</w:t>
        </w:r>
        <w:r w:rsidR="00FC78F7" w:rsidRPr="00AB0D4B">
          <w:rPr>
            <w:rStyle w:val="Hyperlink"/>
            <w:rFonts w:ascii="Arial" w:hAnsi="Arial" w:cs="Arial"/>
            <w:noProof/>
            <w:color w:val="auto"/>
            <w:u w:val="none"/>
            <w:lang w:val="en-US"/>
          </w:rPr>
          <w:t>10.1111/j.1469-8749.1996.tb15029.x</w:t>
        </w:r>
      </w:hyperlink>
    </w:p>
    <w:p w14:paraId="2163F58A" w14:textId="77777777" w:rsidR="00FC78F7" w:rsidRPr="007B1C41" w:rsidRDefault="00FC78F7" w:rsidP="00FC78F7">
      <w:pPr>
        <w:widowControl w:val="0"/>
        <w:autoSpaceDE w:val="0"/>
        <w:autoSpaceDN w:val="0"/>
        <w:adjustRightInd w:val="0"/>
        <w:ind w:left="480" w:hanging="480"/>
        <w:rPr>
          <w:rFonts w:ascii="Arial" w:hAnsi="Arial" w:cs="Arial"/>
          <w:noProof/>
          <w:lang w:val="en-GB"/>
        </w:rPr>
      </w:pPr>
      <w:r w:rsidRPr="00AB0D4B">
        <w:rPr>
          <w:rFonts w:ascii="Arial" w:eastAsia="Times New Roman" w:hAnsi="Arial" w:cs="Arial"/>
          <w:lang w:val="en-US"/>
        </w:rPr>
        <w:t xml:space="preserve">Hendren, R.L., Haft, S.L., Black, J.M., White, N.C., &amp; Hoeft, F. (2018). </w:t>
      </w:r>
      <w:r w:rsidRPr="007B1C41">
        <w:rPr>
          <w:rFonts w:ascii="Arial" w:eastAsia="Times New Roman" w:hAnsi="Arial" w:cs="Arial"/>
          <w:lang w:val="en-GB"/>
        </w:rPr>
        <w:t xml:space="preserve">Recognizing psychiatric comorbidity with reading disorders. </w:t>
      </w:r>
      <w:r w:rsidRPr="007B1C41">
        <w:rPr>
          <w:rFonts w:ascii="Arial" w:eastAsia="Times New Roman" w:hAnsi="Arial" w:cs="Arial"/>
          <w:i/>
          <w:lang w:val="en-GB"/>
        </w:rPr>
        <w:t xml:space="preserve">Frontiers in Psychiatry, 9, </w:t>
      </w:r>
      <w:r w:rsidRPr="007B1C41">
        <w:rPr>
          <w:rFonts w:ascii="Arial" w:eastAsia="Times New Roman" w:hAnsi="Arial" w:cs="Arial"/>
          <w:lang w:val="en-GB"/>
        </w:rPr>
        <w:t xml:space="preserve">101. </w:t>
      </w:r>
    </w:p>
    <w:p w14:paraId="5BCD70F8" w14:textId="77777777" w:rsidR="00CB453B" w:rsidRPr="007B1C41" w:rsidRDefault="00CB453B" w:rsidP="00816D93">
      <w:pPr>
        <w:widowControl w:val="0"/>
        <w:autoSpaceDE w:val="0"/>
        <w:autoSpaceDN w:val="0"/>
        <w:adjustRightInd w:val="0"/>
        <w:ind w:left="480" w:hanging="480"/>
        <w:rPr>
          <w:rFonts w:ascii="Arial" w:hAnsi="Arial" w:cs="Arial"/>
          <w:lang w:val="en-US"/>
        </w:rPr>
      </w:pPr>
      <w:r w:rsidRPr="007B1C41">
        <w:rPr>
          <w:rFonts w:ascii="Arial" w:hAnsi="Arial" w:cs="Arial"/>
          <w:lang w:val="en-GB"/>
        </w:rPr>
        <w:t xml:space="preserve">Kohnen, S., Nickels, L., Geigis, L., Coltheart, M., McArthur, G., &amp; Castles, A. (2018). Variations within a subtype: Developmental surface dyslexias in English. </w:t>
      </w:r>
      <w:r w:rsidRPr="007B1C41">
        <w:rPr>
          <w:rFonts w:ascii="Arial" w:hAnsi="Arial" w:cs="Arial"/>
          <w:i/>
          <w:lang w:val="en-US"/>
        </w:rPr>
        <w:t>Cortex, 106,</w:t>
      </w:r>
      <w:r w:rsidRPr="007B1C41">
        <w:rPr>
          <w:rFonts w:ascii="Arial" w:hAnsi="Arial" w:cs="Arial"/>
          <w:lang w:val="en-US"/>
        </w:rPr>
        <w:t xml:space="preserve"> 151-163. DOI: AO.1016/j.cortex.é018.04.008</w:t>
      </w:r>
    </w:p>
    <w:p w14:paraId="12CF6BC1" w14:textId="0ECCA472" w:rsidR="00816D93" w:rsidRPr="007B1C41" w:rsidRDefault="00816D93" w:rsidP="00816D93">
      <w:pPr>
        <w:widowControl w:val="0"/>
        <w:autoSpaceDE w:val="0"/>
        <w:autoSpaceDN w:val="0"/>
        <w:adjustRightInd w:val="0"/>
        <w:ind w:left="480" w:hanging="480"/>
        <w:rPr>
          <w:rFonts w:ascii="Arial" w:hAnsi="Arial" w:cs="Arial"/>
          <w:lang w:val="en-US"/>
        </w:rPr>
      </w:pPr>
      <w:r w:rsidRPr="007B1C41">
        <w:rPr>
          <w:rFonts w:ascii="Arial" w:hAnsi="Arial" w:cs="Arial"/>
          <w:lang w:val="en-US"/>
        </w:rPr>
        <w:t xml:space="preserve">Kovas, Y., Haworth, C., Petrill, S., &amp; Plomin, R. (2007). Mathematical ability of 10-year-old boys and girls: genetic and environmental etiology of typical and low performance.  </w:t>
      </w:r>
      <w:r w:rsidRPr="007B1C41">
        <w:rPr>
          <w:rFonts w:ascii="Arial" w:hAnsi="Arial" w:cs="Arial"/>
          <w:i/>
          <w:lang w:val="en-US"/>
        </w:rPr>
        <w:t>Journal of Learning Disabilities, 40</w:t>
      </w:r>
      <w:r w:rsidRPr="007B1C41">
        <w:rPr>
          <w:rFonts w:ascii="Arial" w:hAnsi="Arial" w:cs="Arial"/>
          <w:lang w:val="en-US"/>
        </w:rPr>
        <w:t>, 554-567. http://dx.doi.org/10.1177/00222194070400060601</w:t>
      </w:r>
    </w:p>
    <w:p w14:paraId="3A657C91" w14:textId="77777777" w:rsidR="00816D93" w:rsidRPr="007B1C41" w:rsidRDefault="00816D93" w:rsidP="00816D93">
      <w:pPr>
        <w:widowControl w:val="0"/>
        <w:autoSpaceDE w:val="0"/>
        <w:autoSpaceDN w:val="0"/>
        <w:adjustRightInd w:val="0"/>
        <w:ind w:left="480" w:hanging="480"/>
        <w:rPr>
          <w:rFonts w:ascii="Arial" w:hAnsi="Arial" w:cs="Arial"/>
          <w:lang w:val="en-US"/>
        </w:rPr>
      </w:pPr>
      <w:r w:rsidRPr="007B1C41">
        <w:rPr>
          <w:rFonts w:ascii="Arial" w:hAnsi="Arial" w:cs="Arial"/>
          <w:lang w:val="en-US"/>
        </w:rPr>
        <w:t>Knopik, V.S., Alarcon, M., &amp; DeFries, J.C. (1997). Comorbidity of Mathematics and Reading Deficits: Evidence for a Genetic Etiology</w:t>
      </w:r>
      <w:r w:rsidRPr="007B1C41">
        <w:rPr>
          <w:rFonts w:ascii="Arial" w:hAnsi="Arial" w:cs="Arial"/>
          <w:i/>
          <w:lang w:val="en-US"/>
        </w:rPr>
        <w:t xml:space="preserve">. Behavior Genetics, 27, </w:t>
      </w:r>
      <w:r w:rsidR="00A149E7" w:rsidRPr="007B1C41">
        <w:rPr>
          <w:rFonts w:ascii="Arial" w:hAnsi="Arial" w:cs="Arial"/>
          <w:lang w:val="en-US"/>
        </w:rPr>
        <w:t>447-453. DOI:</w:t>
      </w:r>
      <w:r w:rsidRPr="007B1C41">
        <w:rPr>
          <w:rFonts w:ascii="Arial" w:hAnsi="Arial" w:cs="Arial"/>
          <w:lang w:val="en-US"/>
        </w:rPr>
        <w:t>10.1023/A:1025622400239</w:t>
      </w:r>
    </w:p>
    <w:p w14:paraId="62689C04" w14:textId="77777777" w:rsidR="00AB7B8E" w:rsidRPr="00AB0D4B" w:rsidRDefault="005C34BF" w:rsidP="00AB7B8E">
      <w:pPr>
        <w:widowControl w:val="0"/>
        <w:autoSpaceDE w:val="0"/>
        <w:autoSpaceDN w:val="0"/>
        <w:adjustRightInd w:val="0"/>
        <w:ind w:left="480" w:hanging="480"/>
        <w:rPr>
          <w:rFonts w:ascii="Arial" w:hAnsi="Arial" w:cs="Arial"/>
          <w:noProof/>
          <w:lang w:val="en-US"/>
        </w:rPr>
      </w:pPr>
      <w:r w:rsidRPr="007B1C41">
        <w:rPr>
          <w:rFonts w:ascii="Arial" w:hAnsi="Arial" w:cs="Arial"/>
          <w:lang w:val="en-US"/>
        </w:rPr>
        <w:t xml:space="preserve">Lagae, L. (2008). Learning disabilities: Definitions, epidemiology, diagnosis, and intervention strategies. </w:t>
      </w:r>
      <w:r w:rsidRPr="007B63C0">
        <w:rPr>
          <w:rFonts w:ascii="Arial" w:hAnsi="Arial" w:cs="Arial"/>
          <w:i/>
          <w:iCs/>
          <w:lang w:val="en-US"/>
        </w:rPr>
        <w:t>Pediatric Clinics</w:t>
      </w:r>
      <w:r w:rsidR="00A149E7" w:rsidRPr="003A0B11">
        <w:rPr>
          <w:rFonts w:ascii="Arial" w:hAnsi="Arial" w:cs="Arial"/>
          <w:i/>
          <w:iCs/>
          <w:lang w:val="en-US"/>
        </w:rPr>
        <w:t>,</w:t>
      </w:r>
      <w:r w:rsidR="006925F5" w:rsidRPr="003A0B11">
        <w:rPr>
          <w:rFonts w:ascii="Arial" w:hAnsi="Arial" w:cs="Arial"/>
          <w:i/>
          <w:iCs/>
          <w:noProof/>
          <w:lang w:val="en-US"/>
        </w:rPr>
        <w:t xml:space="preserve"> 38</w:t>
      </w:r>
      <w:r w:rsidR="006925F5" w:rsidRPr="003A0B11">
        <w:rPr>
          <w:rFonts w:ascii="Arial" w:hAnsi="Arial" w:cs="Arial"/>
          <w:noProof/>
          <w:lang w:val="en-US"/>
        </w:rPr>
        <w:t xml:space="preserve">, 25–33. </w:t>
      </w:r>
      <w:hyperlink r:id="rId32" w:history="1">
        <w:r w:rsidR="00A149E7" w:rsidRPr="00AB0D4B">
          <w:rPr>
            <w:rStyle w:val="Hyperlink"/>
            <w:rFonts w:ascii="Arial" w:hAnsi="Arial" w:cs="Arial"/>
            <w:noProof/>
            <w:color w:val="auto"/>
            <w:u w:val="none"/>
            <w:lang w:val="en-US"/>
          </w:rPr>
          <w:t>DOI:</w:t>
        </w:r>
        <w:r w:rsidR="00AB7B8E" w:rsidRPr="00AB0D4B">
          <w:rPr>
            <w:rStyle w:val="Hyperlink"/>
            <w:rFonts w:ascii="Arial" w:hAnsi="Arial" w:cs="Arial"/>
            <w:noProof/>
            <w:color w:val="auto"/>
            <w:u w:val="none"/>
            <w:lang w:val="en-US"/>
          </w:rPr>
          <w:t>10.1111/j.1469-8749.1996.tb15029.x</w:t>
        </w:r>
      </w:hyperlink>
    </w:p>
    <w:p w14:paraId="0F7304E8" w14:textId="7CD925F7" w:rsidR="004102F1" w:rsidRPr="007B1C41" w:rsidRDefault="004102F1" w:rsidP="004102F1">
      <w:pPr>
        <w:widowControl w:val="0"/>
        <w:autoSpaceDE w:val="0"/>
        <w:autoSpaceDN w:val="0"/>
        <w:adjustRightInd w:val="0"/>
        <w:ind w:left="480" w:hanging="480"/>
        <w:rPr>
          <w:rFonts w:ascii="Arial" w:hAnsi="Arial" w:cs="Arial"/>
          <w:lang w:eastAsia="nl-BE"/>
        </w:rPr>
      </w:pPr>
      <w:r w:rsidRPr="00AB0D4B">
        <w:rPr>
          <w:rFonts w:ascii="Arial" w:hAnsi="Arial" w:cs="Arial"/>
          <w:lang w:val="en-US" w:eastAsia="nl-BE"/>
        </w:rPr>
        <w:t>Leysen, H., Van den Broeck, W., Keuning, J., Noé, M., Geudens, A. (201</w:t>
      </w:r>
      <w:r w:rsidR="00480EB0" w:rsidRPr="00AB0D4B">
        <w:rPr>
          <w:rFonts w:ascii="Arial" w:hAnsi="Arial" w:cs="Arial"/>
          <w:lang w:val="en-US" w:eastAsia="nl-BE"/>
        </w:rPr>
        <w:t>7</w:t>
      </w:r>
      <w:r w:rsidRPr="00AB0D4B">
        <w:rPr>
          <w:rFonts w:ascii="Arial" w:hAnsi="Arial" w:cs="Arial"/>
          <w:lang w:val="en-US" w:eastAsia="nl-BE"/>
        </w:rPr>
        <w:t xml:space="preserve">). </w:t>
      </w:r>
      <w:r w:rsidRPr="007B1C41">
        <w:rPr>
          <w:rFonts w:ascii="Arial" w:hAnsi="Arial" w:cs="Arial"/>
          <w:lang w:eastAsia="nl-BE"/>
        </w:rPr>
        <w:t>Vlaamse normering van de Drie-Minuten-toest en AVI-toetskaarten van 2009. https://www.expertise-logopedie-audiologie.be/swfiles/files/Vlaamse%20normen%20DMT%20%20AVI_def_10.pdf</w:t>
      </w:r>
    </w:p>
    <w:p w14:paraId="363CCF6C" w14:textId="5C68B1E1" w:rsidR="004102F1" w:rsidRPr="007B1C41" w:rsidRDefault="004102F1" w:rsidP="00AB7B8E">
      <w:pPr>
        <w:widowControl w:val="0"/>
        <w:autoSpaceDE w:val="0"/>
        <w:autoSpaceDN w:val="0"/>
        <w:adjustRightInd w:val="0"/>
        <w:ind w:left="480" w:hanging="480"/>
        <w:rPr>
          <w:rFonts w:ascii="Arial" w:hAnsi="Arial" w:cs="Arial"/>
          <w:lang w:eastAsia="nl-BE"/>
        </w:rPr>
      </w:pPr>
      <w:r w:rsidRPr="007B1C41">
        <w:rPr>
          <w:rFonts w:ascii="Arial" w:hAnsi="Arial" w:cs="Arial"/>
          <w:lang w:eastAsia="nl-BE"/>
        </w:rPr>
        <w:t>Leysen, H., Noé, M., Van den Bro</w:t>
      </w:r>
      <w:r w:rsidR="00480EB0" w:rsidRPr="007B1C41">
        <w:rPr>
          <w:rFonts w:ascii="Arial" w:hAnsi="Arial" w:cs="Arial"/>
          <w:lang w:eastAsia="nl-BE"/>
        </w:rPr>
        <w:t>e</w:t>
      </w:r>
      <w:r w:rsidRPr="007B1C41">
        <w:rPr>
          <w:rFonts w:ascii="Arial" w:hAnsi="Arial" w:cs="Arial"/>
          <w:lang w:eastAsia="nl-BE"/>
        </w:rPr>
        <w:t>ck, W., Loncke, M., Liekens, E. Lowette, A., Vanden Eynden, L., keuning, J., &amp; Geudens, A. (2017). Vergelijking van de resultaten op de Drie-Minuten toets en de AVI-toetskaarten van 2009 tussen Nederland en Vlaanderen. Logopedie, november-december, 35-44.https://www.expertise-logopedie-audiologie.be/swfiles/files/Artikel%20Leysen%20201706_11.pdf</w:t>
      </w:r>
    </w:p>
    <w:p w14:paraId="62364162" w14:textId="0620AA9F" w:rsidR="00AB7B8E" w:rsidRPr="007B1C41" w:rsidRDefault="001A6089" w:rsidP="00AB7B8E">
      <w:pPr>
        <w:widowControl w:val="0"/>
        <w:autoSpaceDE w:val="0"/>
        <w:autoSpaceDN w:val="0"/>
        <w:adjustRightInd w:val="0"/>
        <w:ind w:left="480" w:hanging="480"/>
        <w:rPr>
          <w:rFonts w:ascii="Arial" w:hAnsi="Arial" w:cs="Arial"/>
          <w:lang w:val="de-DE" w:eastAsia="nl-BE"/>
        </w:rPr>
      </w:pPr>
      <w:r w:rsidRPr="007B1C41">
        <w:rPr>
          <w:rFonts w:ascii="Arial" w:hAnsi="Arial" w:cs="Arial"/>
          <w:lang w:val="de-DE" w:eastAsia="nl-BE"/>
        </w:rPr>
        <w:t xml:space="preserve">Martin, A., Kronbichler, M., &amp; Richlan, F.  </w:t>
      </w:r>
      <w:r w:rsidRPr="007B1C41">
        <w:rPr>
          <w:rFonts w:ascii="Arial" w:hAnsi="Arial" w:cs="Arial"/>
          <w:lang w:val="en-US" w:eastAsia="nl-BE"/>
        </w:rPr>
        <w:t xml:space="preserve">(2016). Dyslexic Brain Activation Abnormalities in Deep and Shallow Orthographies: A Meta-Analysis of 28 Functional Neuroimaging Studies. </w:t>
      </w:r>
      <w:r w:rsidRPr="007B1C41">
        <w:rPr>
          <w:rFonts w:ascii="Arial" w:hAnsi="Arial" w:cs="Arial"/>
          <w:i/>
          <w:lang w:val="de-DE" w:eastAsia="nl-BE"/>
        </w:rPr>
        <w:t>Human Brain Mapping, 37</w:t>
      </w:r>
      <w:r w:rsidRPr="007B1C41">
        <w:rPr>
          <w:rFonts w:ascii="Arial" w:hAnsi="Arial" w:cs="Arial"/>
          <w:lang w:val="de-DE" w:eastAsia="nl-BE"/>
        </w:rPr>
        <w:t>, 2676-2699</w:t>
      </w:r>
    </w:p>
    <w:p w14:paraId="56773713" w14:textId="77777777" w:rsidR="00AB7B8E" w:rsidRPr="007B1C41" w:rsidRDefault="00087C97" w:rsidP="00AB7B8E">
      <w:pPr>
        <w:widowControl w:val="0"/>
        <w:autoSpaceDE w:val="0"/>
        <w:autoSpaceDN w:val="0"/>
        <w:adjustRightInd w:val="0"/>
        <w:ind w:left="480" w:hanging="480"/>
        <w:rPr>
          <w:rFonts w:ascii="Arial" w:hAnsi="Arial" w:cs="Arial"/>
          <w:lang w:val="en-US"/>
        </w:rPr>
      </w:pPr>
      <w:r w:rsidRPr="007B1C41">
        <w:rPr>
          <w:rFonts w:ascii="Arial" w:hAnsi="Arial" w:cs="Arial"/>
          <w:lang w:val="de-DE"/>
        </w:rPr>
        <w:t xml:space="preserve">Moll, K., Kunze, S., Neuhoff, N., Bruder, J., &amp; Schulte-Körne, G. (2014). </w:t>
      </w:r>
      <w:r w:rsidRPr="007B1C41">
        <w:rPr>
          <w:rFonts w:ascii="Arial" w:hAnsi="Arial" w:cs="Arial"/>
          <w:lang w:val="en-US"/>
        </w:rPr>
        <w:t xml:space="preserve">Specific learning disorder: Prevalence and gender differences. </w:t>
      </w:r>
      <w:r w:rsidRPr="007B1C41">
        <w:rPr>
          <w:rFonts w:ascii="Arial" w:hAnsi="Arial" w:cs="Arial"/>
          <w:i/>
          <w:iCs/>
          <w:lang w:val="en-US"/>
        </w:rPr>
        <w:t>PLoS ONE</w:t>
      </w:r>
      <w:r w:rsidRPr="007B1C41">
        <w:rPr>
          <w:rFonts w:ascii="Arial" w:hAnsi="Arial" w:cs="Arial"/>
          <w:lang w:val="en-US"/>
        </w:rPr>
        <w:t xml:space="preserve">, </w:t>
      </w:r>
      <w:r w:rsidRPr="007B1C41">
        <w:rPr>
          <w:rFonts w:ascii="Arial" w:hAnsi="Arial" w:cs="Arial"/>
          <w:i/>
          <w:iCs/>
          <w:lang w:val="en-US"/>
        </w:rPr>
        <w:t>9</w:t>
      </w:r>
      <w:r w:rsidRPr="007B1C41">
        <w:rPr>
          <w:rFonts w:ascii="Arial" w:hAnsi="Arial" w:cs="Arial"/>
          <w:lang w:val="en-US"/>
        </w:rPr>
        <w:t xml:space="preserve">(7), e103537. </w:t>
      </w:r>
      <w:hyperlink r:id="rId33" w:history="1">
        <w:r w:rsidR="00A149E7" w:rsidRPr="007B1C41">
          <w:rPr>
            <w:rStyle w:val="Hyperlink"/>
            <w:rFonts w:ascii="Arial" w:hAnsi="Arial" w:cs="Arial"/>
            <w:color w:val="auto"/>
            <w:u w:val="none"/>
            <w:lang w:val="en-US"/>
          </w:rPr>
          <w:t>DOI:</w:t>
        </w:r>
        <w:r w:rsidR="00AB7B8E" w:rsidRPr="007B1C41">
          <w:rPr>
            <w:rStyle w:val="Hyperlink"/>
            <w:rFonts w:ascii="Arial" w:hAnsi="Arial" w:cs="Arial"/>
            <w:color w:val="auto"/>
            <w:u w:val="none"/>
            <w:lang w:val="en-US"/>
          </w:rPr>
          <w:t>10.1371/journal.pone.0103537</w:t>
        </w:r>
      </w:hyperlink>
    </w:p>
    <w:p w14:paraId="3688B203" w14:textId="77777777" w:rsidR="00383249" w:rsidRPr="007B1C41" w:rsidRDefault="00383249" w:rsidP="00816D93">
      <w:pPr>
        <w:widowControl w:val="0"/>
        <w:autoSpaceDE w:val="0"/>
        <w:autoSpaceDN w:val="0"/>
        <w:adjustRightInd w:val="0"/>
        <w:ind w:left="480" w:hanging="480"/>
        <w:rPr>
          <w:rFonts w:ascii="Arial" w:eastAsia="Times New Roman" w:hAnsi="Arial" w:cs="Arial"/>
          <w:lang w:val="en-US" w:eastAsia="nl-BE"/>
        </w:rPr>
      </w:pPr>
      <w:r w:rsidRPr="007B1C41">
        <w:rPr>
          <w:rFonts w:ascii="Arial" w:eastAsia="Times New Roman" w:hAnsi="Arial" w:cs="Arial"/>
          <w:lang w:val="en-US" w:eastAsia="nl-BE"/>
        </w:rPr>
        <w:t xml:space="preserve">Nelson, G., &amp; Powell, S.R. (2018). A systematic review of longitudinal studies of mathematics difficulty. Journal of learning disabilities, 51, 523-539. </w:t>
      </w:r>
      <w:r w:rsidR="00A149E7" w:rsidRPr="007B1C41">
        <w:rPr>
          <w:rFonts w:ascii="Arial" w:eastAsia="Times New Roman" w:hAnsi="Arial" w:cs="Arial"/>
          <w:lang w:val="en-US" w:eastAsia="nl-BE"/>
        </w:rPr>
        <w:t>DOI:</w:t>
      </w:r>
      <w:r w:rsidRPr="007B1C41">
        <w:rPr>
          <w:rFonts w:ascii="Arial" w:eastAsia="Times New Roman" w:hAnsi="Arial" w:cs="Arial"/>
          <w:lang w:val="en-US" w:eastAsia="nl-BE"/>
        </w:rPr>
        <w:t>10.1177/00222I94I77I4773</w:t>
      </w:r>
    </w:p>
    <w:p w14:paraId="3521FC53" w14:textId="77777777" w:rsidR="00AB7B8E" w:rsidRPr="007B1C41" w:rsidRDefault="00816D93" w:rsidP="00816D93">
      <w:pPr>
        <w:widowControl w:val="0"/>
        <w:autoSpaceDE w:val="0"/>
        <w:autoSpaceDN w:val="0"/>
        <w:adjustRightInd w:val="0"/>
        <w:ind w:left="480" w:hanging="480"/>
        <w:rPr>
          <w:rFonts w:ascii="Arial" w:eastAsia="Times New Roman" w:hAnsi="Arial" w:cs="Arial"/>
          <w:lang w:eastAsia="nl-BE"/>
        </w:rPr>
      </w:pPr>
      <w:r w:rsidRPr="007B1C41">
        <w:rPr>
          <w:rFonts w:ascii="Arial" w:eastAsia="Times New Roman" w:hAnsi="Arial" w:cs="Arial"/>
          <w:lang w:val="en-US" w:eastAsia="nl-BE"/>
        </w:rPr>
        <w:t xml:space="preserve">OECD. (2013). </w:t>
      </w:r>
      <w:r w:rsidRPr="007B1C41">
        <w:rPr>
          <w:rFonts w:ascii="Arial" w:eastAsia="Times New Roman" w:hAnsi="Arial" w:cs="Arial"/>
          <w:i/>
          <w:lang w:val="en-US" w:eastAsia="nl-BE"/>
        </w:rPr>
        <w:t>PISA 2012 Results in Focus: What 15-year-olds know and what they can do with what they know</w:t>
      </w:r>
      <w:r w:rsidRPr="007B1C41">
        <w:rPr>
          <w:rFonts w:ascii="Arial" w:eastAsia="Times New Roman" w:hAnsi="Arial" w:cs="Arial"/>
          <w:lang w:val="en-US" w:eastAsia="nl-BE"/>
        </w:rPr>
        <w:t xml:space="preserve">. </w:t>
      </w:r>
      <w:r w:rsidRPr="007B1C41">
        <w:rPr>
          <w:rFonts w:ascii="Arial" w:eastAsia="Times New Roman" w:hAnsi="Arial" w:cs="Arial"/>
          <w:lang w:eastAsia="nl-BE"/>
        </w:rPr>
        <w:t xml:space="preserve">Geraadpleegd van https://www.oecd.org/pisa/keyfindings/pisa-2012-results-overview.pdf </w:t>
      </w:r>
    </w:p>
    <w:p w14:paraId="73D9D0D2" w14:textId="77777777" w:rsidR="00FC78F7" w:rsidRPr="007B1C41" w:rsidRDefault="0012361E" w:rsidP="00FC78F7">
      <w:pPr>
        <w:widowControl w:val="0"/>
        <w:autoSpaceDE w:val="0"/>
        <w:autoSpaceDN w:val="0"/>
        <w:adjustRightInd w:val="0"/>
        <w:ind w:left="480" w:hanging="480"/>
        <w:rPr>
          <w:rStyle w:val="Hyperlink"/>
          <w:rFonts w:ascii="Arial" w:hAnsi="Arial" w:cs="Arial"/>
          <w:noProof/>
          <w:color w:val="auto"/>
          <w:u w:val="none"/>
          <w:lang w:val="en-GB"/>
        </w:rPr>
      </w:pPr>
      <w:r w:rsidRPr="007B1C41">
        <w:rPr>
          <w:rFonts w:ascii="Arial" w:hAnsi="Arial" w:cs="Arial"/>
          <w:noProof/>
          <w:lang w:val="en-US"/>
        </w:rPr>
        <w:t xml:space="preserve">Pappas, M. A., &amp; Drigas, A. S. (2015). </w:t>
      </w:r>
      <w:r w:rsidRPr="007B1C41">
        <w:rPr>
          <w:rFonts w:ascii="Arial" w:hAnsi="Arial" w:cs="Arial"/>
          <w:noProof/>
          <w:lang w:val="en-GB"/>
        </w:rPr>
        <w:t xml:space="preserve">ICT Based Screening Tools and Etiology of Dyscalculia. </w:t>
      </w:r>
      <w:r w:rsidRPr="007B1C41">
        <w:rPr>
          <w:rFonts w:ascii="Arial" w:hAnsi="Arial" w:cs="Arial"/>
          <w:i/>
          <w:iCs/>
          <w:noProof/>
          <w:lang w:val="en-GB"/>
        </w:rPr>
        <w:t>International Journal of Engineering Pedagogy</w:t>
      </w:r>
      <w:r w:rsidRPr="007B1C41">
        <w:rPr>
          <w:rFonts w:ascii="Arial" w:hAnsi="Arial" w:cs="Arial"/>
          <w:noProof/>
          <w:lang w:val="en-GB"/>
        </w:rPr>
        <w:t xml:space="preserve">, </w:t>
      </w:r>
      <w:r w:rsidRPr="007B1C41">
        <w:rPr>
          <w:rFonts w:ascii="Arial" w:hAnsi="Arial" w:cs="Arial"/>
          <w:i/>
          <w:iCs/>
          <w:noProof/>
          <w:lang w:val="en-GB"/>
        </w:rPr>
        <w:t>3</w:t>
      </w:r>
      <w:r w:rsidRPr="007B1C41">
        <w:rPr>
          <w:rFonts w:ascii="Arial" w:hAnsi="Arial" w:cs="Arial"/>
          <w:noProof/>
          <w:lang w:val="en-GB"/>
        </w:rPr>
        <w:t xml:space="preserve">, 61–66. </w:t>
      </w:r>
      <w:hyperlink r:id="rId34" w:history="1">
        <w:r w:rsidR="00A149E7" w:rsidRPr="007B1C41">
          <w:rPr>
            <w:rStyle w:val="Hyperlink"/>
            <w:rFonts w:ascii="Arial" w:hAnsi="Arial" w:cs="Arial"/>
            <w:noProof/>
            <w:color w:val="auto"/>
            <w:u w:val="none"/>
            <w:lang w:val="en-GB"/>
          </w:rPr>
          <w:t>DOI:</w:t>
        </w:r>
        <w:r w:rsidR="00816D93" w:rsidRPr="007B1C41">
          <w:rPr>
            <w:rStyle w:val="Hyperlink"/>
            <w:rFonts w:ascii="Arial" w:hAnsi="Arial" w:cs="Arial"/>
            <w:noProof/>
            <w:color w:val="auto"/>
            <w:u w:val="none"/>
            <w:lang w:val="en-GB"/>
          </w:rPr>
          <w:t>10.3991/ijep.v5i3.4735</w:t>
        </w:r>
      </w:hyperlink>
    </w:p>
    <w:p w14:paraId="062CEBDF" w14:textId="77777777" w:rsidR="00FC78F7" w:rsidRPr="007B1C41" w:rsidRDefault="00FC78F7" w:rsidP="00FC78F7">
      <w:pPr>
        <w:widowControl w:val="0"/>
        <w:autoSpaceDE w:val="0"/>
        <w:autoSpaceDN w:val="0"/>
        <w:adjustRightInd w:val="0"/>
        <w:ind w:left="480" w:hanging="480"/>
        <w:rPr>
          <w:rFonts w:ascii="Arial" w:hAnsi="Arial" w:cs="Arial"/>
        </w:rPr>
      </w:pPr>
      <w:r w:rsidRPr="007B1C41">
        <w:rPr>
          <w:rFonts w:ascii="Arial" w:eastAsia="Perpetua" w:hAnsi="Arial" w:cs="Arial"/>
          <w:lang w:val="en-US" w:eastAsia="nl-BE"/>
        </w:rPr>
        <w:t xml:space="preserve">Pennington, B. F. (2006). From single to multiple deficit models of developmental disorders. </w:t>
      </w:r>
      <w:r w:rsidRPr="007B1C41">
        <w:rPr>
          <w:rFonts w:ascii="Arial" w:eastAsia="Perpetua" w:hAnsi="Arial" w:cs="Arial"/>
          <w:i/>
          <w:lang w:eastAsia="nl-BE"/>
        </w:rPr>
        <w:t xml:space="preserve">Cognition, </w:t>
      </w:r>
      <w:r w:rsidRPr="007B1C41">
        <w:rPr>
          <w:rFonts w:ascii="Arial" w:eastAsia="Perpetua" w:hAnsi="Arial" w:cs="Arial"/>
          <w:lang w:eastAsia="nl-BE"/>
        </w:rPr>
        <w:t>101, 385-413</w:t>
      </w:r>
    </w:p>
    <w:p w14:paraId="04618CED" w14:textId="77777777" w:rsidR="00AB7B8E" w:rsidRPr="007B1C41" w:rsidRDefault="00816D93" w:rsidP="00AB7B8E">
      <w:pPr>
        <w:widowControl w:val="0"/>
        <w:autoSpaceDE w:val="0"/>
        <w:autoSpaceDN w:val="0"/>
        <w:adjustRightInd w:val="0"/>
        <w:ind w:left="480" w:hanging="480"/>
        <w:rPr>
          <w:rFonts w:ascii="Arial" w:hAnsi="Arial" w:cs="Arial"/>
          <w:lang w:val="nl-NL"/>
        </w:rPr>
      </w:pPr>
      <w:r w:rsidRPr="007B1C41">
        <w:rPr>
          <w:rFonts w:ascii="Arial" w:hAnsi="Arial" w:cs="Arial"/>
        </w:rPr>
        <w:t xml:space="preserve">Pieters, S., Desoete, A., Roeyers, H., Vanderswalmen, R., &amp; Van Waelvelde, H. (2012). </w:t>
      </w:r>
      <w:r w:rsidRPr="007B1C41">
        <w:rPr>
          <w:rFonts w:ascii="Arial" w:hAnsi="Arial" w:cs="Arial"/>
          <w:lang w:val="en-US"/>
        </w:rPr>
        <w:t xml:space="preserve">Behind mathematical learning disabilities: what about visual perception and motor skills? </w:t>
      </w:r>
      <w:r w:rsidRPr="007B1C41">
        <w:rPr>
          <w:rFonts w:ascii="Arial" w:hAnsi="Arial" w:cs="Arial"/>
          <w:i/>
          <w:lang w:val="nl-NL"/>
        </w:rPr>
        <w:t>Learning and Individual Differences, 22</w:t>
      </w:r>
      <w:r w:rsidRPr="007B1C41">
        <w:rPr>
          <w:rFonts w:ascii="Arial" w:hAnsi="Arial" w:cs="Arial"/>
          <w:lang w:val="nl-NL"/>
        </w:rPr>
        <w:t xml:space="preserve">, 498-504. </w:t>
      </w:r>
      <w:hyperlink r:id="rId35" w:history="1">
        <w:r w:rsidR="00A149E7" w:rsidRPr="007B1C41">
          <w:rPr>
            <w:rStyle w:val="Hyperlink"/>
            <w:rFonts w:ascii="Arial" w:hAnsi="Arial" w:cs="Arial"/>
            <w:color w:val="auto"/>
            <w:u w:val="none"/>
            <w:lang w:val="nl-NL"/>
          </w:rPr>
          <w:t xml:space="preserve">DOI: </w:t>
        </w:r>
        <w:r w:rsidR="00AB7B8E" w:rsidRPr="007B1C41">
          <w:rPr>
            <w:rStyle w:val="Hyperlink"/>
            <w:rFonts w:ascii="Arial" w:hAnsi="Arial" w:cs="Arial"/>
            <w:color w:val="auto"/>
            <w:u w:val="none"/>
            <w:lang w:val="nl-NL"/>
          </w:rPr>
          <w:lastRenderedPageBreak/>
          <w:t>10.1016/j.lindif.2012.03.014</w:t>
        </w:r>
      </w:hyperlink>
    </w:p>
    <w:p w14:paraId="2D681B71" w14:textId="77777777" w:rsidR="00AB7B8E" w:rsidRPr="007B1C41" w:rsidRDefault="00A4567D" w:rsidP="00AB7B8E">
      <w:pPr>
        <w:widowControl w:val="0"/>
        <w:autoSpaceDE w:val="0"/>
        <w:autoSpaceDN w:val="0"/>
        <w:adjustRightInd w:val="0"/>
        <w:ind w:left="480" w:hanging="480"/>
        <w:rPr>
          <w:rFonts w:ascii="Arial" w:hAnsi="Arial" w:cs="Arial"/>
        </w:rPr>
      </w:pPr>
      <w:r w:rsidRPr="007B1C41">
        <w:rPr>
          <w:rFonts w:ascii="Arial" w:hAnsi="Arial" w:cs="Arial"/>
          <w:lang w:val="nl-NL"/>
        </w:rPr>
        <w:t xml:space="preserve">Pieters, S., Desoete, A., Roeyers, H., &amp; Van Waelvelde, H. (2013). </w:t>
      </w:r>
      <w:r w:rsidRPr="007B1C41">
        <w:rPr>
          <w:rFonts w:ascii="Arial" w:hAnsi="Arial" w:cs="Arial"/>
        </w:rPr>
        <w:t xml:space="preserve">Daar had ik niet op gerekend! De relatie tussen motorische en rekenproblemen bij lagereschoolkinderen. </w:t>
      </w:r>
      <w:r w:rsidRPr="007B1C41">
        <w:rPr>
          <w:rFonts w:ascii="Arial" w:hAnsi="Arial" w:cs="Arial"/>
          <w:i/>
        </w:rPr>
        <w:t>Signaal, 82</w:t>
      </w:r>
      <w:r w:rsidRPr="007B1C41">
        <w:rPr>
          <w:rFonts w:ascii="Arial" w:hAnsi="Arial" w:cs="Arial"/>
        </w:rPr>
        <w:t>, 4-18</w:t>
      </w:r>
    </w:p>
    <w:p w14:paraId="0DF19280" w14:textId="77777777" w:rsidR="00AB7B8E" w:rsidRPr="007B1C41" w:rsidRDefault="00257BB8" w:rsidP="00AB7B8E">
      <w:pPr>
        <w:widowControl w:val="0"/>
        <w:autoSpaceDE w:val="0"/>
        <w:autoSpaceDN w:val="0"/>
        <w:adjustRightInd w:val="0"/>
        <w:ind w:left="480" w:hanging="480"/>
        <w:rPr>
          <w:rFonts w:ascii="Arial" w:hAnsi="Arial" w:cs="Arial"/>
          <w:lang w:val="en-US"/>
        </w:rPr>
      </w:pPr>
      <w:r w:rsidRPr="007B1C41">
        <w:rPr>
          <w:rFonts w:ascii="Arial" w:hAnsi="Arial" w:cs="Arial"/>
        </w:rPr>
        <w:t xml:space="preserve">Pieters, S., Roeyers, H., Rosseel, Y., Van Waelvelde, H., &amp; Desoete, A. (2015).  </w:t>
      </w:r>
      <w:r w:rsidRPr="007B1C41">
        <w:rPr>
          <w:rFonts w:ascii="Arial" w:hAnsi="Arial" w:cs="Arial"/>
          <w:lang w:val="en-US"/>
        </w:rPr>
        <w:t xml:space="preserve">Identifying subtypes among children with developmental coordination disorder and mathematical learning disabilities, using model-based clustering. </w:t>
      </w:r>
      <w:r w:rsidRPr="007B1C41">
        <w:rPr>
          <w:rFonts w:ascii="Arial" w:hAnsi="Arial" w:cs="Arial"/>
          <w:i/>
          <w:lang w:val="en-US"/>
        </w:rPr>
        <w:t>Journal of learning disabilities,48, 83-95</w:t>
      </w:r>
      <w:r w:rsidR="00AB7B8E" w:rsidRPr="007B1C41">
        <w:rPr>
          <w:rFonts w:ascii="Arial" w:hAnsi="Arial" w:cs="Arial"/>
          <w:i/>
          <w:lang w:val="en-US"/>
        </w:rPr>
        <w:t xml:space="preserve"> </w:t>
      </w:r>
      <w:r w:rsidRPr="007B1C41">
        <w:rPr>
          <w:rFonts w:ascii="Arial" w:hAnsi="Arial" w:cs="Arial"/>
          <w:lang w:val="en-US"/>
        </w:rPr>
        <w:t>DOI: 10.1177/0022219413491288</w:t>
      </w:r>
    </w:p>
    <w:p w14:paraId="078DE0D1" w14:textId="77777777" w:rsidR="00AB7B8E" w:rsidRPr="007B1C41" w:rsidRDefault="00257BB8" w:rsidP="00AB7B8E">
      <w:pPr>
        <w:widowControl w:val="0"/>
        <w:autoSpaceDE w:val="0"/>
        <w:autoSpaceDN w:val="0"/>
        <w:adjustRightInd w:val="0"/>
        <w:ind w:left="480" w:hanging="480"/>
        <w:rPr>
          <w:rFonts w:ascii="Arial" w:hAnsi="Arial" w:cs="Arial"/>
          <w:lang w:val="en-US"/>
        </w:rPr>
      </w:pPr>
      <w:r w:rsidRPr="007B1C41">
        <w:rPr>
          <w:rFonts w:ascii="Arial" w:hAnsi="Arial" w:cs="Arial"/>
          <w:lang w:val="en-US"/>
        </w:rPr>
        <w:t xml:space="preserve">Praet, M., Titeca, D., Ceulemans, A., &amp; Desoete, A. (2013). Language in the prediction of arithmetics in kindergarten and grade 1.  </w:t>
      </w:r>
      <w:r w:rsidRPr="007B1C41">
        <w:rPr>
          <w:rFonts w:ascii="Arial" w:hAnsi="Arial" w:cs="Arial"/>
          <w:i/>
          <w:lang w:val="en-US"/>
        </w:rPr>
        <w:t>Learning and Individual Differences, 27</w:t>
      </w:r>
      <w:r w:rsidRPr="007B1C41">
        <w:rPr>
          <w:rFonts w:ascii="Arial" w:hAnsi="Arial" w:cs="Arial"/>
          <w:lang w:val="en-US"/>
        </w:rPr>
        <w:t xml:space="preserve">, 90-96 </w:t>
      </w:r>
      <w:r w:rsidRPr="007B1C41">
        <w:rPr>
          <w:rFonts w:ascii="Arial" w:hAnsi="Arial" w:cs="Arial"/>
          <w:lang w:val="en-GB"/>
        </w:rPr>
        <w:t xml:space="preserve">DOI: </w:t>
      </w:r>
      <w:r w:rsidRPr="007B1C41">
        <w:rPr>
          <w:rFonts w:ascii="Arial" w:hAnsi="Arial" w:cs="Arial"/>
          <w:lang w:val="en-US"/>
        </w:rPr>
        <w:t xml:space="preserve">10.1016/j.lindif.2013.07.003 </w:t>
      </w:r>
    </w:p>
    <w:p w14:paraId="68F65AC2" w14:textId="77777777" w:rsidR="00AB7B8E" w:rsidRPr="007B1C41" w:rsidRDefault="00087C97" w:rsidP="00AB7B8E">
      <w:pPr>
        <w:widowControl w:val="0"/>
        <w:autoSpaceDE w:val="0"/>
        <w:autoSpaceDN w:val="0"/>
        <w:adjustRightInd w:val="0"/>
        <w:ind w:left="480" w:hanging="480"/>
        <w:rPr>
          <w:rFonts w:ascii="Arial" w:hAnsi="Arial" w:cs="Arial"/>
        </w:rPr>
      </w:pPr>
      <w:r w:rsidRPr="007B1C41">
        <w:rPr>
          <w:rFonts w:ascii="Arial" w:hAnsi="Arial" w:cs="Arial"/>
          <w:lang w:val="en-US"/>
        </w:rPr>
        <w:t>Ritchie, S. J., &amp; Bates, T. C. (2013). Enduring links from childhood mathematics and read</w:t>
      </w:r>
      <w:r w:rsidR="00A149E7" w:rsidRPr="007B1C41">
        <w:rPr>
          <w:rFonts w:ascii="Arial" w:hAnsi="Arial" w:cs="Arial"/>
          <w:lang w:val="en-US"/>
        </w:rPr>
        <w:t>:</w:t>
      </w:r>
      <w:r w:rsidRPr="007B1C41">
        <w:rPr>
          <w:rFonts w:ascii="Arial" w:hAnsi="Arial" w:cs="Arial"/>
          <w:lang w:val="en-US"/>
        </w:rPr>
        <w:t xml:space="preserve">ing achievement to adult socioeconomic status. </w:t>
      </w:r>
      <w:r w:rsidRPr="007B1C41">
        <w:rPr>
          <w:rFonts w:ascii="Arial" w:hAnsi="Arial" w:cs="Arial"/>
          <w:i/>
          <w:iCs/>
          <w:lang w:val="nl-NL"/>
        </w:rPr>
        <w:t>Psychological Science</w:t>
      </w:r>
      <w:r w:rsidRPr="007B1C41">
        <w:rPr>
          <w:rFonts w:ascii="Arial" w:hAnsi="Arial" w:cs="Arial"/>
          <w:lang w:val="nl-NL"/>
        </w:rPr>
        <w:t xml:space="preserve">, </w:t>
      </w:r>
      <w:r w:rsidRPr="007B1C41">
        <w:rPr>
          <w:rFonts w:ascii="Arial" w:hAnsi="Arial" w:cs="Arial"/>
          <w:i/>
          <w:iCs/>
          <w:lang w:val="nl-NL"/>
        </w:rPr>
        <w:t>24</w:t>
      </w:r>
      <w:r w:rsidRPr="007B1C41">
        <w:rPr>
          <w:rFonts w:ascii="Arial" w:hAnsi="Arial" w:cs="Arial"/>
          <w:lang w:val="nl-NL"/>
        </w:rPr>
        <w:t xml:space="preserve">, 1301–1308. </w:t>
      </w:r>
      <w:hyperlink r:id="rId36" w:history="1">
        <w:r w:rsidR="00A149E7" w:rsidRPr="007B1C41">
          <w:rPr>
            <w:rStyle w:val="Hyperlink"/>
            <w:rFonts w:ascii="Arial" w:hAnsi="Arial" w:cs="Arial"/>
            <w:color w:val="auto"/>
            <w:u w:val="none"/>
          </w:rPr>
          <w:t>DOI</w:t>
        </w:r>
        <w:r w:rsidR="00AB7B8E" w:rsidRPr="007B1C41">
          <w:rPr>
            <w:rStyle w:val="Hyperlink"/>
            <w:rFonts w:ascii="Arial" w:hAnsi="Arial" w:cs="Arial"/>
            <w:color w:val="auto"/>
            <w:u w:val="none"/>
          </w:rPr>
          <w:t>10.1177/0956797612466268</w:t>
        </w:r>
      </w:hyperlink>
    </w:p>
    <w:p w14:paraId="4E04C474" w14:textId="77777777" w:rsidR="00AB7B8E" w:rsidRPr="007B1C41" w:rsidRDefault="00816D93" w:rsidP="00AB7B8E">
      <w:pPr>
        <w:widowControl w:val="0"/>
        <w:autoSpaceDE w:val="0"/>
        <w:autoSpaceDN w:val="0"/>
        <w:adjustRightInd w:val="0"/>
        <w:ind w:left="480" w:hanging="480"/>
        <w:rPr>
          <w:rFonts w:ascii="Arial" w:hAnsi="Arial" w:cs="Arial"/>
        </w:rPr>
      </w:pPr>
      <w:r w:rsidRPr="007B1C41">
        <w:rPr>
          <w:rFonts w:ascii="Arial" w:hAnsi="Arial" w:cs="Arial"/>
        </w:rPr>
        <w:t xml:space="preserve">Rijksinstituut voor ziekte- en invaliditeitsverzekering. (2017). </w:t>
      </w:r>
      <w:r w:rsidRPr="007B1C41">
        <w:rPr>
          <w:rFonts w:ascii="Arial" w:hAnsi="Arial" w:cs="Arial"/>
          <w:i/>
        </w:rPr>
        <w:t>Nomenclatuur van de geneeskundige verstrekkingen – Hoofdstuk X: Logopedie.</w:t>
      </w:r>
      <w:r w:rsidRPr="007B1C41">
        <w:rPr>
          <w:rFonts w:ascii="Arial" w:hAnsi="Arial" w:cs="Arial"/>
        </w:rPr>
        <w:t xml:space="preserve"> Geraadpleegd op </w:t>
      </w:r>
      <w:hyperlink r:id="rId37" w:history="1">
        <w:r w:rsidR="00AB7B8E" w:rsidRPr="007B1C41">
          <w:rPr>
            <w:rStyle w:val="Hyperlink"/>
            <w:rFonts w:ascii="Arial" w:hAnsi="Arial" w:cs="Arial"/>
            <w:color w:val="auto"/>
            <w:u w:val="none"/>
          </w:rPr>
          <w:t>http://asgb.be/wp-content/uploads/2017/03/Medicomut27032017.NCAZ-2017-26-Budget-bio-rx-anatomo-2017.pdf</w:t>
        </w:r>
      </w:hyperlink>
    </w:p>
    <w:p w14:paraId="27F17946" w14:textId="77777777" w:rsidR="00AB7B8E" w:rsidRPr="007B1C41" w:rsidRDefault="00816D93" w:rsidP="006925F5">
      <w:pPr>
        <w:widowControl w:val="0"/>
        <w:autoSpaceDE w:val="0"/>
        <w:autoSpaceDN w:val="0"/>
        <w:adjustRightInd w:val="0"/>
        <w:ind w:left="480" w:hanging="480"/>
        <w:rPr>
          <w:rFonts w:ascii="Arial" w:hAnsi="Arial" w:cs="Arial"/>
        </w:rPr>
      </w:pPr>
      <w:r w:rsidRPr="007B1C41">
        <w:rPr>
          <w:rFonts w:ascii="Arial" w:hAnsi="Arial" w:cs="Arial"/>
        </w:rPr>
        <w:t xml:space="preserve">Ruijssenaars, A. J. J. M., Van Luit, J. E. H., &amp; Van Lieshout, E. C. D. M. (2006). </w:t>
      </w:r>
      <w:r w:rsidRPr="007B1C41">
        <w:rPr>
          <w:rFonts w:ascii="Arial" w:hAnsi="Arial" w:cs="Arial"/>
          <w:i/>
        </w:rPr>
        <w:t>Rekenproblemen en dyscalculie. Theorie, onderzoek, diagnostiek en behandeling.</w:t>
      </w:r>
      <w:r w:rsidRPr="007B1C41">
        <w:rPr>
          <w:rFonts w:ascii="Arial" w:hAnsi="Arial" w:cs="Arial"/>
        </w:rPr>
        <w:t xml:space="preserve"> Rotterdam: Lemniscaat.</w:t>
      </w:r>
    </w:p>
    <w:p w14:paraId="75C631D1" w14:textId="77777777" w:rsidR="00AB7B8E" w:rsidRPr="007B1C41" w:rsidRDefault="006925F5" w:rsidP="00AB7B8E">
      <w:pPr>
        <w:widowControl w:val="0"/>
        <w:autoSpaceDE w:val="0"/>
        <w:autoSpaceDN w:val="0"/>
        <w:adjustRightInd w:val="0"/>
        <w:ind w:left="480" w:hanging="480"/>
        <w:rPr>
          <w:rFonts w:ascii="Arial" w:hAnsi="Arial" w:cs="Arial"/>
          <w:noProof/>
        </w:rPr>
      </w:pPr>
      <w:r w:rsidRPr="007B1C41">
        <w:rPr>
          <w:rFonts w:ascii="Arial" w:hAnsi="Arial" w:cs="Arial"/>
          <w:noProof/>
        </w:rPr>
        <w:t xml:space="preserve">Scheiris, J., &amp; Desoete, A. (2008). De prevalentie van enkele specifieke ontwikkelings- en gedragsstoornissen en hun comorbiditeit. </w:t>
      </w:r>
      <w:r w:rsidRPr="007B1C41">
        <w:rPr>
          <w:rFonts w:ascii="Arial" w:hAnsi="Arial" w:cs="Arial"/>
          <w:i/>
          <w:iCs/>
          <w:noProof/>
        </w:rPr>
        <w:t>Signaal</w:t>
      </w:r>
      <w:r w:rsidRPr="007B1C41">
        <w:rPr>
          <w:rFonts w:ascii="Arial" w:hAnsi="Arial" w:cs="Arial"/>
          <w:noProof/>
        </w:rPr>
        <w:t xml:space="preserve">, </w:t>
      </w:r>
      <w:r w:rsidRPr="007B1C41">
        <w:rPr>
          <w:rFonts w:ascii="Arial" w:hAnsi="Arial" w:cs="Arial"/>
          <w:i/>
          <w:iCs/>
          <w:noProof/>
        </w:rPr>
        <w:t>62</w:t>
      </w:r>
      <w:r w:rsidRPr="007B1C41">
        <w:rPr>
          <w:rFonts w:ascii="Arial" w:hAnsi="Arial" w:cs="Arial"/>
          <w:noProof/>
        </w:rPr>
        <w:t>, 4–14.</w:t>
      </w:r>
    </w:p>
    <w:p w14:paraId="4F721264" w14:textId="77777777" w:rsidR="00AB7B8E" w:rsidRPr="007B1C41" w:rsidRDefault="00E477AD" w:rsidP="00AB7B8E">
      <w:pPr>
        <w:widowControl w:val="0"/>
        <w:autoSpaceDE w:val="0"/>
        <w:autoSpaceDN w:val="0"/>
        <w:adjustRightInd w:val="0"/>
        <w:ind w:left="480" w:hanging="480"/>
        <w:rPr>
          <w:rFonts w:ascii="Arial" w:hAnsi="Arial" w:cs="Arial"/>
        </w:rPr>
      </w:pPr>
      <w:r w:rsidRPr="007B1C41">
        <w:rPr>
          <w:rFonts w:ascii="Arial" w:hAnsi="Arial" w:cs="Arial"/>
        </w:rPr>
        <w:t xml:space="preserve">SDN. (2008). </w:t>
      </w:r>
      <w:r w:rsidRPr="007B1C41">
        <w:rPr>
          <w:rFonts w:ascii="Arial" w:hAnsi="Arial" w:cs="Arial"/>
          <w:i/>
        </w:rPr>
        <w:t>Dyslexie: diagnose en behandeling van dyslexie</w:t>
      </w:r>
      <w:r w:rsidRPr="007B1C41">
        <w:rPr>
          <w:rFonts w:ascii="Arial" w:hAnsi="Arial" w:cs="Arial"/>
        </w:rPr>
        <w:t>. Brochure van de Stichting Dyslexie Nederland</w:t>
      </w:r>
    </w:p>
    <w:p w14:paraId="66385CB8" w14:textId="64E97FFE" w:rsidR="00AB7B8E" w:rsidRPr="007B1C41" w:rsidRDefault="00E477AD" w:rsidP="0012361E">
      <w:pPr>
        <w:widowControl w:val="0"/>
        <w:autoSpaceDE w:val="0"/>
        <w:autoSpaceDN w:val="0"/>
        <w:adjustRightInd w:val="0"/>
        <w:ind w:left="480" w:hanging="480"/>
        <w:rPr>
          <w:rStyle w:val="Hyperlink"/>
          <w:rFonts w:ascii="Arial" w:hAnsi="Arial" w:cs="Arial"/>
          <w:color w:val="auto"/>
          <w:u w:val="none"/>
        </w:rPr>
      </w:pPr>
      <w:r w:rsidRPr="007B1C41">
        <w:rPr>
          <w:rFonts w:ascii="Arial" w:hAnsi="Arial" w:cs="Arial"/>
        </w:rPr>
        <w:t xml:space="preserve">SDN. (2016). </w:t>
      </w:r>
      <w:r w:rsidRPr="007B1C41">
        <w:rPr>
          <w:rFonts w:ascii="Arial" w:hAnsi="Arial" w:cs="Arial"/>
          <w:i/>
        </w:rPr>
        <w:t>Dyslexie: diagnose en behandeling van dyslexie</w:t>
      </w:r>
      <w:r w:rsidRPr="007B1C41">
        <w:rPr>
          <w:rFonts w:ascii="Arial" w:hAnsi="Arial" w:cs="Arial"/>
        </w:rPr>
        <w:t xml:space="preserve">. Brochure van de Stichting Dyslexie Nederland: </w:t>
      </w:r>
      <w:hyperlink r:id="rId38" w:history="1">
        <w:r w:rsidR="00AB7B8E" w:rsidRPr="007B1C41">
          <w:rPr>
            <w:rStyle w:val="Hyperlink"/>
            <w:rFonts w:ascii="Arial" w:hAnsi="Arial" w:cs="Arial"/>
            <w:color w:val="auto"/>
            <w:u w:val="none"/>
          </w:rPr>
          <w:t>http://www.stichtingdyslexienederland.nl/images/publicaties/dyslexie_diagnostiek_en_behandeling_2016.pdf</w:t>
        </w:r>
      </w:hyperlink>
    </w:p>
    <w:p w14:paraId="1B49E93F" w14:textId="77777777" w:rsidR="0012361E" w:rsidRPr="007B1C41" w:rsidRDefault="0012361E" w:rsidP="0012361E">
      <w:pPr>
        <w:widowControl w:val="0"/>
        <w:autoSpaceDE w:val="0"/>
        <w:autoSpaceDN w:val="0"/>
        <w:adjustRightInd w:val="0"/>
        <w:ind w:left="480" w:hanging="480"/>
        <w:rPr>
          <w:rFonts w:ascii="Arial" w:hAnsi="Arial" w:cs="Arial"/>
          <w:noProof/>
          <w:lang w:val="en-GB"/>
        </w:rPr>
      </w:pPr>
      <w:r w:rsidRPr="007B1C41">
        <w:rPr>
          <w:rFonts w:ascii="Arial" w:hAnsi="Arial" w:cs="Arial"/>
          <w:noProof/>
          <w:lang w:val="en-GB"/>
        </w:rPr>
        <w:t xml:space="preserve">Shalev, R. S. (2004). Developmental Dyscalculia. </w:t>
      </w:r>
      <w:r w:rsidRPr="007B1C41">
        <w:rPr>
          <w:rFonts w:ascii="Arial" w:hAnsi="Arial" w:cs="Arial"/>
          <w:i/>
          <w:iCs/>
          <w:noProof/>
          <w:lang w:val="en-GB"/>
        </w:rPr>
        <w:t>Journal of Child Neurology</w:t>
      </w:r>
      <w:r w:rsidRPr="007B1C41">
        <w:rPr>
          <w:rFonts w:ascii="Arial" w:hAnsi="Arial" w:cs="Arial"/>
          <w:noProof/>
          <w:lang w:val="en-GB"/>
        </w:rPr>
        <w:t xml:space="preserve">, </w:t>
      </w:r>
      <w:r w:rsidRPr="007B1C41">
        <w:rPr>
          <w:rFonts w:ascii="Arial" w:hAnsi="Arial" w:cs="Arial"/>
          <w:i/>
          <w:iCs/>
          <w:noProof/>
          <w:lang w:val="en-GB"/>
        </w:rPr>
        <w:t>19</w:t>
      </w:r>
      <w:r w:rsidR="00A149E7" w:rsidRPr="007B1C41">
        <w:rPr>
          <w:rFonts w:ascii="Arial" w:hAnsi="Arial" w:cs="Arial"/>
          <w:noProof/>
          <w:lang w:val="en-GB"/>
        </w:rPr>
        <w:t>, 765–771. DOI:</w:t>
      </w:r>
      <w:r w:rsidRPr="007B1C41">
        <w:rPr>
          <w:rFonts w:ascii="Arial" w:hAnsi="Arial" w:cs="Arial"/>
          <w:noProof/>
          <w:lang w:val="en-GB"/>
        </w:rPr>
        <w:t>10.1177/08830738040190100601</w:t>
      </w:r>
    </w:p>
    <w:p w14:paraId="7D85C6A9" w14:textId="77777777" w:rsidR="0012361E" w:rsidRPr="007B1C41" w:rsidRDefault="0012361E" w:rsidP="0012361E">
      <w:pPr>
        <w:widowControl w:val="0"/>
        <w:autoSpaceDE w:val="0"/>
        <w:autoSpaceDN w:val="0"/>
        <w:adjustRightInd w:val="0"/>
        <w:ind w:left="480" w:hanging="480"/>
        <w:rPr>
          <w:rFonts w:ascii="Arial" w:hAnsi="Arial" w:cs="Arial"/>
          <w:noProof/>
          <w:lang w:val="en-GB"/>
        </w:rPr>
      </w:pPr>
      <w:r w:rsidRPr="007B1C41">
        <w:rPr>
          <w:rFonts w:ascii="Arial" w:hAnsi="Arial" w:cs="Arial"/>
          <w:noProof/>
          <w:lang w:val="en-GB"/>
        </w:rPr>
        <w:t xml:space="preserve">Shalev, R. S., Auerbach, J., Manor, O., &amp; Gross-Tsur, V. (2000). Developmental dyscalculia: prevalence and prognosis. </w:t>
      </w:r>
      <w:r w:rsidRPr="007B1C41">
        <w:rPr>
          <w:rFonts w:ascii="Arial" w:hAnsi="Arial" w:cs="Arial"/>
          <w:i/>
          <w:iCs/>
          <w:noProof/>
          <w:lang w:val="en-GB"/>
        </w:rPr>
        <w:t>European Child &amp; Adolescent Psychiatry</w:t>
      </w:r>
      <w:r w:rsidRPr="007B1C41">
        <w:rPr>
          <w:rFonts w:ascii="Arial" w:hAnsi="Arial" w:cs="Arial"/>
          <w:noProof/>
          <w:lang w:val="en-GB"/>
        </w:rPr>
        <w:t xml:space="preserve">, </w:t>
      </w:r>
      <w:r w:rsidRPr="007B1C41">
        <w:rPr>
          <w:rFonts w:ascii="Arial" w:hAnsi="Arial" w:cs="Arial"/>
          <w:i/>
          <w:iCs/>
          <w:noProof/>
          <w:lang w:val="en-GB"/>
        </w:rPr>
        <w:t>9</w:t>
      </w:r>
      <w:r w:rsidR="00A149E7" w:rsidRPr="007B1C41">
        <w:rPr>
          <w:rFonts w:ascii="Arial" w:hAnsi="Arial" w:cs="Arial"/>
          <w:noProof/>
          <w:lang w:val="en-GB"/>
        </w:rPr>
        <w:t>(S2), S58–S64. DOI:</w:t>
      </w:r>
      <w:r w:rsidRPr="007B1C41">
        <w:rPr>
          <w:rFonts w:ascii="Arial" w:hAnsi="Arial" w:cs="Arial"/>
          <w:noProof/>
          <w:lang w:val="en-GB"/>
        </w:rPr>
        <w:t>10.1007/s007870070009</w:t>
      </w:r>
    </w:p>
    <w:p w14:paraId="10234B1E" w14:textId="77777777" w:rsidR="0012361E" w:rsidRPr="007B1C41" w:rsidRDefault="0012361E" w:rsidP="0012361E">
      <w:pPr>
        <w:widowControl w:val="0"/>
        <w:autoSpaceDE w:val="0"/>
        <w:autoSpaceDN w:val="0"/>
        <w:adjustRightInd w:val="0"/>
        <w:ind w:left="480" w:hanging="480"/>
        <w:rPr>
          <w:rFonts w:ascii="Arial" w:hAnsi="Arial" w:cs="Arial"/>
          <w:noProof/>
          <w:lang w:val="en-GB"/>
        </w:rPr>
      </w:pPr>
      <w:r w:rsidRPr="007B1C41">
        <w:rPr>
          <w:rFonts w:ascii="Arial" w:hAnsi="Arial" w:cs="Arial"/>
          <w:noProof/>
          <w:lang w:val="en-GB"/>
        </w:rPr>
        <w:t xml:space="preserve">Shalev, R. S., Manor, O., Auerbach, J., &amp; Gross-Tsur, V. (1998). Persistence of developmental dyscalculia: what counts? Results from a 3-year prospective follow-up study. </w:t>
      </w:r>
      <w:r w:rsidRPr="007B1C41">
        <w:rPr>
          <w:rFonts w:ascii="Arial" w:hAnsi="Arial" w:cs="Arial"/>
          <w:i/>
          <w:iCs/>
          <w:noProof/>
          <w:lang w:val="en-GB"/>
        </w:rPr>
        <w:t>The Journal of Pediatrics</w:t>
      </w:r>
      <w:r w:rsidRPr="007B1C41">
        <w:rPr>
          <w:rFonts w:ascii="Arial" w:hAnsi="Arial" w:cs="Arial"/>
          <w:noProof/>
          <w:lang w:val="en-GB"/>
        </w:rPr>
        <w:t xml:space="preserve">, </w:t>
      </w:r>
      <w:r w:rsidRPr="007B1C41">
        <w:rPr>
          <w:rFonts w:ascii="Arial" w:hAnsi="Arial" w:cs="Arial"/>
          <w:i/>
          <w:iCs/>
          <w:noProof/>
          <w:lang w:val="en-GB"/>
        </w:rPr>
        <w:t>133</w:t>
      </w:r>
      <w:r w:rsidR="00A149E7" w:rsidRPr="007B1C41">
        <w:rPr>
          <w:rFonts w:ascii="Arial" w:hAnsi="Arial" w:cs="Arial"/>
          <w:i/>
          <w:iCs/>
          <w:noProof/>
          <w:lang w:val="en-GB"/>
        </w:rPr>
        <w:t>:</w:t>
      </w:r>
      <w:r w:rsidR="00A149E7" w:rsidRPr="007B1C41">
        <w:rPr>
          <w:rFonts w:ascii="Arial" w:hAnsi="Arial" w:cs="Arial"/>
          <w:noProof/>
          <w:lang w:val="en-GB"/>
        </w:rPr>
        <w:t>, 358–362. DOI</w:t>
      </w:r>
      <w:r w:rsidRPr="007B1C41">
        <w:rPr>
          <w:rFonts w:ascii="Arial" w:hAnsi="Arial" w:cs="Arial"/>
          <w:noProof/>
          <w:lang w:val="en-GB"/>
        </w:rPr>
        <w:t>10.1016/S0022-3476(98)70269-0</w:t>
      </w:r>
    </w:p>
    <w:p w14:paraId="35056BFB" w14:textId="77777777" w:rsidR="006925F5" w:rsidRPr="007B1C41" w:rsidRDefault="0012361E" w:rsidP="006925F5">
      <w:pPr>
        <w:widowControl w:val="0"/>
        <w:autoSpaceDE w:val="0"/>
        <w:autoSpaceDN w:val="0"/>
        <w:adjustRightInd w:val="0"/>
        <w:ind w:left="480" w:hanging="480"/>
        <w:rPr>
          <w:rFonts w:ascii="Arial" w:hAnsi="Arial" w:cs="Arial"/>
          <w:noProof/>
          <w:lang w:val="en-GB"/>
        </w:rPr>
      </w:pPr>
      <w:r w:rsidRPr="007B1C41">
        <w:rPr>
          <w:rFonts w:ascii="Arial" w:hAnsi="Arial" w:cs="Arial"/>
          <w:noProof/>
          <w:lang w:val="en-GB"/>
        </w:rPr>
        <w:t xml:space="preserve">Shalev, R. S., Manor, O., Kerem, B., Ayali, M., Badichi, N., Friedlander, Y., &amp; Gross-Tsur, V. (2001). Developmental Dyscalculia Is a Familial Learning Disability. </w:t>
      </w:r>
      <w:r w:rsidRPr="007B1C41">
        <w:rPr>
          <w:rFonts w:ascii="Arial" w:hAnsi="Arial" w:cs="Arial"/>
          <w:i/>
          <w:iCs/>
          <w:noProof/>
          <w:lang w:val="en-GB"/>
        </w:rPr>
        <w:t>Journal of Learning Disabilities</w:t>
      </w:r>
      <w:r w:rsidRPr="007B1C41">
        <w:rPr>
          <w:rFonts w:ascii="Arial" w:hAnsi="Arial" w:cs="Arial"/>
          <w:noProof/>
          <w:lang w:val="en-GB"/>
        </w:rPr>
        <w:t xml:space="preserve">, </w:t>
      </w:r>
      <w:r w:rsidRPr="007B1C41">
        <w:rPr>
          <w:rFonts w:ascii="Arial" w:hAnsi="Arial" w:cs="Arial"/>
          <w:i/>
          <w:iCs/>
          <w:noProof/>
          <w:lang w:val="en-GB"/>
        </w:rPr>
        <w:t>34</w:t>
      </w:r>
      <w:r w:rsidRPr="007B1C41">
        <w:rPr>
          <w:rFonts w:ascii="Arial" w:hAnsi="Arial" w:cs="Arial"/>
          <w:noProof/>
          <w:lang w:val="en-GB"/>
        </w:rPr>
        <w:t xml:space="preserve">, 59–65. </w:t>
      </w:r>
      <w:hyperlink r:id="rId39" w:history="1">
        <w:r w:rsidR="00A149E7" w:rsidRPr="007B1C41">
          <w:rPr>
            <w:rStyle w:val="Hyperlink"/>
            <w:rFonts w:ascii="Arial" w:hAnsi="Arial" w:cs="Arial"/>
            <w:noProof/>
            <w:color w:val="auto"/>
            <w:u w:val="none"/>
            <w:lang w:val="en-GB"/>
          </w:rPr>
          <w:t>DOI:</w:t>
        </w:r>
        <w:r w:rsidR="006925F5" w:rsidRPr="007B1C41">
          <w:rPr>
            <w:rStyle w:val="Hyperlink"/>
            <w:rFonts w:ascii="Arial" w:hAnsi="Arial" w:cs="Arial"/>
            <w:noProof/>
            <w:color w:val="auto"/>
            <w:u w:val="none"/>
            <w:lang w:val="en-GB"/>
          </w:rPr>
          <w:t>10.1177/002221940103400105</w:t>
        </w:r>
      </w:hyperlink>
    </w:p>
    <w:p w14:paraId="2C0C4ADC" w14:textId="7249CB06" w:rsidR="00A10E3F" w:rsidRPr="007B1C41" w:rsidRDefault="00A10E3F" w:rsidP="006925F5">
      <w:pPr>
        <w:widowControl w:val="0"/>
        <w:autoSpaceDE w:val="0"/>
        <w:autoSpaceDN w:val="0"/>
        <w:adjustRightInd w:val="0"/>
        <w:ind w:left="480" w:hanging="480"/>
        <w:rPr>
          <w:rFonts w:ascii="Arial" w:hAnsi="Arial" w:cs="Arial"/>
          <w:lang w:val="en-GB" w:eastAsia="nl-BE"/>
        </w:rPr>
      </w:pPr>
      <w:r w:rsidRPr="007B1C41">
        <w:rPr>
          <w:rFonts w:ascii="Arial" w:hAnsi="Arial" w:cs="Arial"/>
          <w:lang w:val="en-US" w:eastAsia="nl-BE"/>
        </w:rPr>
        <w:t>Siegel, L. (201</w:t>
      </w:r>
      <w:r w:rsidR="007B1C41">
        <w:rPr>
          <w:rFonts w:ascii="Arial" w:hAnsi="Arial" w:cs="Arial"/>
          <w:lang w:val="en-US" w:eastAsia="nl-BE"/>
        </w:rPr>
        <w:t>8</w:t>
      </w:r>
      <w:r w:rsidRPr="007B1C41">
        <w:rPr>
          <w:rFonts w:ascii="Arial" w:hAnsi="Arial" w:cs="Arial"/>
          <w:lang w:val="en-US" w:eastAsia="nl-BE"/>
        </w:rPr>
        <w:t xml:space="preserve">). </w:t>
      </w:r>
      <w:r w:rsidRPr="007B1C41">
        <w:rPr>
          <w:rFonts w:ascii="Arial" w:hAnsi="Arial" w:cs="Arial"/>
          <w:lang w:val="en-GB" w:eastAsia="nl-BE"/>
        </w:rPr>
        <w:t>Solving the problem of learning disabilities. Bill Cruickshank memorial lecture on the  42</w:t>
      </w:r>
      <w:r w:rsidRPr="007B1C41">
        <w:rPr>
          <w:rFonts w:ascii="Arial" w:hAnsi="Arial" w:cs="Arial"/>
          <w:vertAlign w:val="superscript"/>
          <w:lang w:val="en-GB" w:eastAsia="nl-BE"/>
        </w:rPr>
        <w:t>nd</w:t>
      </w:r>
      <w:r w:rsidRPr="007B1C41">
        <w:rPr>
          <w:rFonts w:ascii="Arial" w:hAnsi="Arial" w:cs="Arial"/>
          <w:lang w:val="en-GB" w:eastAsia="nl-BE"/>
        </w:rPr>
        <w:t xml:space="preserve"> Annual International Conference for Research in Learning Disabilities (IARLD). 3th July. Arteveldehogeschool: Gent. </w:t>
      </w:r>
    </w:p>
    <w:p w14:paraId="6EA0A91E" w14:textId="77777777" w:rsidR="00AB7B8E" w:rsidRPr="007B1C41" w:rsidRDefault="006925F5" w:rsidP="00AB7B8E">
      <w:pPr>
        <w:widowControl w:val="0"/>
        <w:autoSpaceDE w:val="0"/>
        <w:autoSpaceDN w:val="0"/>
        <w:adjustRightInd w:val="0"/>
        <w:ind w:left="480" w:hanging="480"/>
        <w:rPr>
          <w:rFonts w:ascii="Arial" w:hAnsi="Arial" w:cs="Arial"/>
          <w:noProof/>
          <w:lang w:val="en-GB"/>
        </w:rPr>
      </w:pPr>
      <w:r w:rsidRPr="007B1C41">
        <w:rPr>
          <w:rFonts w:ascii="Arial" w:hAnsi="Arial" w:cs="Arial"/>
          <w:noProof/>
          <w:lang w:val="en-US"/>
        </w:rPr>
        <w:lastRenderedPageBreak/>
        <w:t xml:space="preserve">Simms, V., Gilmore, C., Cragg, L., Clayton, S., Marlow, N., &amp; Johnson, S. (2015). </w:t>
      </w:r>
      <w:r w:rsidRPr="007B1C41">
        <w:rPr>
          <w:rFonts w:ascii="Arial" w:hAnsi="Arial" w:cs="Arial"/>
          <w:noProof/>
          <w:lang w:val="en-GB"/>
        </w:rPr>
        <w:t xml:space="preserve">Nature and origins of mathematics difficulties in very preterm children: a different etiology than developmental dyscalculia. </w:t>
      </w:r>
      <w:r w:rsidRPr="007B1C41">
        <w:rPr>
          <w:rFonts w:ascii="Arial" w:hAnsi="Arial" w:cs="Arial"/>
          <w:i/>
          <w:iCs/>
          <w:noProof/>
          <w:lang w:val="en-GB"/>
        </w:rPr>
        <w:t>Pediatric Research</w:t>
      </w:r>
      <w:r w:rsidRPr="007B1C41">
        <w:rPr>
          <w:rFonts w:ascii="Arial" w:hAnsi="Arial" w:cs="Arial"/>
          <w:noProof/>
          <w:lang w:val="en-GB"/>
        </w:rPr>
        <w:t xml:space="preserve">, </w:t>
      </w:r>
      <w:r w:rsidRPr="007B1C41">
        <w:rPr>
          <w:rFonts w:ascii="Arial" w:hAnsi="Arial" w:cs="Arial"/>
          <w:i/>
          <w:iCs/>
          <w:noProof/>
          <w:lang w:val="en-GB"/>
        </w:rPr>
        <w:t>77</w:t>
      </w:r>
      <w:r w:rsidRPr="007B1C41">
        <w:rPr>
          <w:rFonts w:ascii="Arial" w:hAnsi="Arial" w:cs="Arial"/>
          <w:noProof/>
          <w:lang w:val="en-GB"/>
        </w:rPr>
        <w:t xml:space="preserve">, 389–395. </w:t>
      </w:r>
      <w:hyperlink r:id="rId40" w:history="1">
        <w:r w:rsidR="00A149E7" w:rsidRPr="007B1C41">
          <w:rPr>
            <w:rStyle w:val="Hyperlink"/>
            <w:rFonts w:ascii="Arial" w:hAnsi="Arial" w:cs="Arial"/>
            <w:noProof/>
            <w:color w:val="auto"/>
            <w:u w:val="none"/>
            <w:lang w:val="en-GB"/>
          </w:rPr>
          <w:t>DOI:</w:t>
        </w:r>
        <w:r w:rsidR="00AB7B8E" w:rsidRPr="007B1C41">
          <w:rPr>
            <w:rStyle w:val="Hyperlink"/>
            <w:rFonts w:ascii="Arial" w:hAnsi="Arial" w:cs="Arial"/>
            <w:noProof/>
            <w:color w:val="auto"/>
            <w:u w:val="none"/>
            <w:lang w:val="en-GB"/>
          </w:rPr>
          <w:t>10.1038/pr.2014.184</w:t>
        </w:r>
      </w:hyperlink>
    </w:p>
    <w:p w14:paraId="2484E3E1" w14:textId="77777777" w:rsidR="00AB7B8E" w:rsidRPr="007B1C41" w:rsidRDefault="00816D93" w:rsidP="00AB7B8E">
      <w:pPr>
        <w:widowControl w:val="0"/>
        <w:autoSpaceDE w:val="0"/>
        <w:autoSpaceDN w:val="0"/>
        <w:adjustRightInd w:val="0"/>
        <w:ind w:left="480" w:hanging="480"/>
        <w:rPr>
          <w:rFonts w:ascii="Arial" w:hAnsi="Arial" w:cs="Arial"/>
          <w:lang w:val="en-US"/>
        </w:rPr>
      </w:pPr>
      <w:bookmarkStart w:id="5" w:name="_Hlk3232190"/>
      <w:r w:rsidRPr="007B1C41">
        <w:rPr>
          <w:rFonts w:ascii="Arial" w:hAnsi="Arial" w:cs="Arial"/>
          <w:lang w:val="en-US"/>
        </w:rPr>
        <w:t xml:space="preserve">Soares, N., Evans, T., &amp; Patel, D.R. (2018). Specific learning disability in mathematics: a comprehensive review. </w:t>
      </w:r>
      <w:r w:rsidRPr="007B1C41">
        <w:rPr>
          <w:rFonts w:ascii="Arial" w:hAnsi="Arial" w:cs="Arial"/>
          <w:i/>
          <w:lang w:val="en-US"/>
        </w:rPr>
        <w:t>Translational Pedatrics, 7</w:t>
      </w:r>
      <w:r w:rsidR="00A149E7" w:rsidRPr="007B1C41">
        <w:rPr>
          <w:rFonts w:ascii="Arial" w:hAnsi="Arial" w:cs="Arial"/>
          <w:lang w:val="en-US"/>
        </w:rPr>
        <w:t>, 48-62. DOI:</w:t>
      </w:r>
      <w:r w:rsidRPr="007B1C41">
        <w:rPr>
          <w:rFonts w:ascii="Arial" w:hAnsi="Arial" w:cs="Arial"/>
          <w:lang w:val="en-US"/>
        </w:rPr>
        <w:t>10.21037/tp.2017.08.03</w:t>
      </w:r>
    </w:p>
    <w:bookmarkEnd w:id="5"/>
    <w:p w14:paraId="1926EB82" w14:textId="77777777" w:rsidR="00EE50F1" w:rsidRPr="007B1C41" w:rsidRDefault="00EE50F1" w:rsidP="00EE50F1">
      <w:pPr>
        <w:widowControl w:val="0"/>
        <w:autoSpaceDE w:val="0"/>
        <w:autoSpaceDN w:val="0"/>
        <w:adjustRightInd w:val="0"/>
        <w:ind w:left="480" w:hanging="480"/>
        <w:rPr>
          <w:rFonts w:ascii="Arial" w:eastAsia="Times New Roman" w:hAnsi="Arial" w:cs="Arial"/>
          <w:bCs/>
          <w:kern w:val="36"/>
          <w:lang w:val="en-US" w:eastAsia="nl-BE"/>
        </w:rPr>
      </w:pPr>
      <w:r w:rsidRPr="007B1C41">
        <w:rPr>
          <w:rFonts w:ascii="Arial" w:hAnsi="Arial" w:cs="Arial"/>
          <w:lang w:val="en-US"/>
        </w:rPr>
        <w:t>Soltanlou, M., Artemenko, C., Dresler, T., Fallgatter, A.J., Ehlis A.C., Nuerk, H.C. (2019). M</w:t>
      </w:r>
      <w:r w:rsidRPr="007B1C41">
        <w:rPr>
          <w:rFonts w:ascii="Arial" w:eastAsia="Times New Roman" w:hAnsi="Arial" w:cs="Arial"/>
          <w:bCs/>
          <w:color w:val="020202"/>
          <w:kern w:val="36"/>
          <w:lang w:val="en-US" w:eastAsia="nl-BE"/>
        </w:rPr>
        <w:t>ath Anxiety in Combination With Low Visuospatial Memory I</w:t>
      </w:r>
      <w:r w:rsidR="00F069C2" w:rsidRPr="007B1C41">
        <w:rPr>
          <w:rFonts w:ascii="Arial" w:eastAsia="Times New Roman" w:hAnsi="Arial" w:cs="Arial"/>
          <w:bCs/>
          <w:color w:val="020202"/>
          <w:kern w:val="36"/>
          <w:lang w:val="en-US" w:eastAsia="nl-BE"/>
        </w:rPr>
        <w:t xml:space="preserve">mpairs Math Learning in Children. Frontiers in Psychology, </w:t>
      </w:r>
      <w:hyperlink r:id="rId41" w:history="1">
        <w:r w:rsidR="00A149E7" w:rsidRPr="007B1C41">
          <w:rPr>
            <w:rStyle w:val="Hyperlink"/>
            <w:rFonts w:ascii="Arial" w:eastAsia="Times New Roman" w:hAnsi="Arial" w:cs="Arial"/>
            <w:bCs/>
            <w:color w:val="auto"/>
            <w:kern w:val="36"/>
            <w:u w:val="none"/>
            <w:lang w:val="en-US" w:eastAsia="nl-BE"/>
          </w:rPr>
          <w:t>DOI:</w:t>
        </w:r>
        <w:r w:rsidR="00F069C2" w:rsidRPr="007B1C41">
          <w:rPr>
            <w:rStyle w:val="Hyperlink"/>
            <w:rFonts w:ascii="Arial" w:eastAsia="Times New Roman" w:hAnsi="Arial" w:cs="Arial"/>
            <w:bCs/>
            <w:color w:val="auto"/>
            <w:kern w:val="36"/>
            <w:u w:val="none"/>
            <w:lang w:val="en-US" w:eastAsia="nl-BE"/>
          </w:rPr>
          <w:t>10.3389/fpsyg.2019.00089</w:t>
        </w:r>
      </w:hyperlink>
    </w:p>
    <w:p w14:paraId="0525999F" w14:textId="77777777" w:rsidR="003778BB" w:rsidRPr="007B1C41" w:rsidRDefault="00363FB7" w:rsidP="003778BB">
      <w:pPr>
        <w:widowControl w:val="0"/>
        <w:autoSpaceDE w:val="0"/>
        <w:autoSpaceDN w:val="0"/>
        <w:adjustRightInd w:val="0"/>
        <w:ind w:left="480" w:hanging="480"/>
        <w:rPr>
          <w:rFonts w:ascii="Arial" w:hAnsi="Arial" w:cs="Arial"/>
          <w:lang w:val="en-US"/>
        </w:rPr>
      </w:pPr>
      <w:r w:rsidRPr="007B1C41">
        <w:rPr>
          <w:rFonts w:ascii="Arial" w:hAnsi="Arial" w:cs="Arial"/>
          <w:lang w:val="en-GB"/>
        </w:rPr>
        <w:t xml:space="preserve">Stock, P., Desoete, A., &amp; Roeyers, H. (2010). Detecting children with arithmetic disabilities from kindergarten: Evidence form a three year longitudinal study on the role of preparatory arithmetic abilities. </w:t>
      </w:r>
      <w:r w:rsidRPr="007B1C41">
        <w:rPr>
          <w:rFonts w:ascii="Arial" w:hAnsi="Arial" w:cs="Arial"/>
          <w:i/>
          <w:lang w:val="en-GB"/>
        </w:rPr>
        <w:t xml:space="preserve">Journal of Learning Disabilities, </w:t>
      </w:r>
      <w:r w:rsidRPr="007B1C41">
        <w:rPr>
          <w:rFonts w:ascii="Arial" w:hAnsi="Arial" w:cs="Arial"/>
          <w:i/>
          <w:lang w:val="en-US"/>
        </w:rPr>
        <w:t>43</w:t>
      </w:r>
      <w:r w:rsidRPr="007B1C41">
        <w:rPr>
          <w:rFonts w:ascii="Arial" w:hAnsi="Arial" w:cs="Arial"/>
          <w:lang w:val="en-US"/>
        </w:rPr>
        <w:t xml:space="preserve">, 250-268. </w:t>
      </w:r>
      <w:r w:rsidR="00A149E7" w:rsidRPr="007B1C41">
        <w:rPr>
          <w:rFonts w:ascii="Arial" w:hAnsi="Arial" w:cs="Arial"/>
          <w:lang w:val="en-US"/>
        </w:rPr>
        <w:t>DOI:</w:t>
      </w:r>
      <w:r w:rsidR="00F069C2" w:rsidRPr="007B1C41">
        <w:rPr>
          <w:rFonts w:ascii="Arial" w:hAnsi="Arial" w:cs="Arial"/>
          <w:lang w:val="en-US"/>
        </w:rPr>
        <w:t xml:space="preserve"> </w:t>
      </w:r>
      <w:r w:rsidRPr="007B1C41">
        <w:rPr>
          <w:rFonts w:ascii="Arial" w:hAnsi="Arial" w:cs="Arial"/>
          <w:lang w:val="en-US"/>
        </w:rPr>
        <w:t>10.1177/0022219409345011</w:t>
      </w:r>
    </w:p>
    <w:p w14:paraId="0E830F81" w14:textId="77777777" w:rsidR="003778BB" w:rsidRPr="007B1C41" w:rsidRDefault="003778BB" w:rsidP="003778BB">
      <w:pPr>
        <w:widowControl w:val="0"/>
        <w:autoSpaceDE w:val="0"/>
        <w:autoSpaceDN w:val="0"/>
        <w:adjustRightInd w:val="0"/>
        <w:ind w:left="480" w:hanging="480"/>
        <w:rPr>
          <w:rFonts w:ascii="Arial" w:eastAsia="Times New Roman" w:hAnsi="Arial" w:cs="Arial"/>
          <w:lang w:val="en-GB" w:eastAsia="nl-NL"/>
        </w:rPr>
      </w:pPr>
      <w:r w:rsidRPr="007B1C41">
        <w:rPr>
          <w:rFonts w:ascii="Arial" w:eastAsia="Times New Roman" w:hAnsi="Arial" w:cs="Arial"/>
          <w:lang w:val="en-GB" w:eastAsia="nl-NL"/>
        </w:rPr>
        <w:t xml:space="preserve">Suk-Han Ho, C., Wai-Ock Chan, D., Leung, P.W.L., Lee S.H., Tsang, S.M. (2005). Reading-related cognitive deficits in developmental dyslexia, attention-deficit/hyperactivity disorder, and developmental coordination disorder among Chinese children, </w:t>
      </w:r>
      <w:r w:rsidRPr="007B1C41">
        <w:rPr>
          <w:rFonts w:ascii="Arial" w:eastAsia="Times New Roman" w:hAnsi="Arial" w:cs="Arial"/>
          <w:i/>
          <w:lang w:val="en-GB" w:eastAsia="nl-NL"/>
        </w:rPr>
        <w:t>Reading Research Quarterly, 40</w:t>
      </w:r>
      <w:r w:rsidRPr="007B1C41">
        <w:rPr>
          <w:rFonts w:ascii="Arial" w:eastAsia="Times New Roman" w:hAnsi="Arial" w:cs="Arial"/>
          <w:lang w:val="en-GB" w:eastAsia="nl-NL"/>
        </w:rPr>
        <w:t>, 318-337.</w:t>
      </w:r>
    </w:p>
    <w:p w14:paraId="54F677D1" w14:textId="77777777" w:rsidR="00A12885" w:rsidRPr="00B7053F" w:rsidRDefault="00816D93" w:rsidP="00A12885">
      <w:pPr>
        <w:widowControl w:val="0"/>
        <w:autoSpaceDE w:val="0"/>
        <w:autoSpaceDN w:val="0"/>
        <w:adjustRightInd w:val="0"/>
        <w:ind w:left="480" w:hanging="480"/>
        <w:rPr>
          <w:rStyle w:val="Hyperlink"/>
          <w:rFonts w:ascii="Arial" w:hAnsi="Arial" w:cs="Arial"/>
          <w:color w:val="auto"/>
          <w:u w:val="none"/>
        </w:rPr>
      </w:pPr>
      <w:r w:rsidRPr="007B1C41">
        <w:rPr>
          <w:rFonts w:ascii="Arial" w:hAnsi="Arial" w:cs="Arial"/>
          <w:lang w:val="en-US"/>
        </w:rPr>
        <w:t xml:space="preserve">Szűcs, D., &amp; Goswami, U. (2013). Developmental dyscalculia: Fresh perspectives. </w:t>
      </w:r>
      <w:r w:rsidRPr="007B1C41">
        <w:rPr>
          <w:rFonts w:ascii="Arial" w:hAnsi="Arial" w:cs="Arial"/>
          <w:i/>
          <w:lang w:val="en-US"/>
        </w:rPr>
        <w:t>Trends in Neuroscience and Education, 2</w:t>
      </w:r>
      <w:r w:rsidRPr="007B1C41">
        <w:rPr>
          <w:rFonts w:ascii="Arial" w:hAnsi="Arial" w:cs="Arial"/>
          <w:lang w:val="en-US"/>
        </w:rPr>
        <w:t xml:space="preserve">, 33-37. </w:t>
      </w:r>
      <w:hyperlink r:id="rId42" w:history="1">
        <w:r w:rsidR="00A149E7" w:rsidRPr="00B7053F">
          <w:rPr>
            <w:rStyle w:val="Hyperlink"/>
            <w:rFonts w:ascii="Arial" w:hAnsi="Arial" w:cs="Arial"/>
            <w:color w:val="auto"/>
            <w:u w:val="none"/>
          </w:rPr>
          <w:t>DOI:</w:t>
        </w:r>
        <w:r w:rsidR="00AB7B8E" w:rsidRPr="00B7053F">
          <w:rPr>
            <w:rStyle w:val="Hyperlink"/>
            <w:rFonts w:ascii="Arial" w:hAnsi="Arial" w:cs="Arial"/>
            <w:color w:val="auto"/>
            <w:u w:val="none"/>
          </w:rPr>
          <w:t>10.1016/j.tine.2013.06.004</w:t>
        </w:r>
      </w:hyperlink>
    </w:p>
    <w:p w14:paraId="0E5F705C" w14:textId="77777777" w:rsidR="00A12885" w:rsidRPr="007B1C41" w:rsidRDefault="00A12885" w:rsidP="00A12885">
      <w:pPr>
        <w:widowControl w:val="0"/>
        <w:autoSpaceDE w:val="0"/>
        <w:autoSpaceDN w:val="0"/>
        <w:adjustRightInd w:val="0"/>
        <w:ind w:left="480" w:hanging="480"/>
        <w:rPr>
          <w:rFonts w:ascii="Arial" w:eastAsia="Times New Roman" w:hAnsi="Arial" w:cs="Arial"/>
          <w:lang w:val="en-US" w:eastAsia="nl-NL"/>
        </w:rPr>
      </w:pPr>
      <w:r w:rsidRPr="00B7053F">
        <w:rPr>
          <w:rFonts w:ascii="Arial" w:eastAsia="Times New Roman" w:hAnsi="Arial" w:cs="Arial"/>
          <w:lang w:eastAsia="nl-NL"/>
        </w:rPr>
        <w:t xml:space="preserve">Tops, W., Callens, M., Bijn, E., &amp; Brysbaert, M. (2014). </w:t>
      </w:r>
      <w:r w:rsidRPr="007B1C41">
        <w:rPr>
          <w:rFonts w:ascii="Arial" w:eastAsia="Times New Roman" w:hAnsi="Arial" w:cs="Arial"/>
          <w:lang w:val="en-US" w:eastAsia="nl-NL"/>
        </w:rPr>
        <w:t xml:space="preserve">Spelling in adolescents with dyslexia: errors and modes of assessment. </w:t>
      </w:r>
      <w:r w:rsidRPr="007B1C41">
        <w:rPr>
          <w:rFonts w:ascii="Arial" w:eastAsia="Times New Roman" w:hAnsi="Arial" w:cs="Arial"/>
          <w:i/>
          <w:lang w:val="en-US" w:eastAsia="nl-NL"/>
        </w:rPr>
        <w:t>Journal of learning disabilities, 47</w:t>
      </w:r>
      <w:r w:rsidRPr="007B1C41">
        <w:rPr>
          <w:rFonts w:ascii="Arial" w:eastAsia="Times New Roman" w:hAnsi="Arial" w:cs="Arial"/>
          <w:lang w:val="en-US" w:eastAsia="nl-NL"/>
        </w:rPr>
        <w:t>, 295-306</w:t>
      </w:r>
    </w:p>
    <w:p w14:paraId="7E662E51" w14:textId="77777777" w:rsidR="00AB7B8E" w:rsidRPr="007B1C41" w:rsidRDefault="001A6089" w:rsidP="00AB7B8E">
      <w:pPr>
        <w:widowControl w:val="0"/>
        <w:autoSpaceDE w:val="0"/>
        <w:autoSpaceDN w:val="0"/>
        <w:adjustRightInd w:val="0"/>
        <w:ind w:left="480" w:hanging="480"/>
        <w:rPr>
          <w:rFonts w:ascii="Arial" w:hAnsi="Arial" w:cs="Arial"/>
          <w:bCs/>
          <w:lang w:eastAsia="nl-BE"/>
        </w:rPr>
      </w:pPr>
      <w:r w:rsidRPr="007B1C41">
        <w:rPr>
          <w:rFonts w:ascii="Arial" w:hAnsi="Arial" w:cs="Arial"/>
          <w:bCs/>
          <w:lang w:val="en-US" w:eastAsia="nl-BE"/>
        </w:rPr>
        <w:t xml:space="preserve">Tops, W., Callens, M., &amp; Brysbaert, M. (2018). </w:t>
      </w:r>
      <w:r w:rsidRPr="007B1C41">
        <w:rPr>
          <w:rFonts w:ascii="Arial" w:hAnsi="Arial" w:cs="Arial"/>
          <w:bCs/>
          <w:i/>
          <w:lang w:eastAsia="nl-BE"/>
        </w:rPr>
        <w:t>Slagen met dyslexie in het hoger Onderwijs.</w:t>
      </w:r>
      <w:r w:rsidRPr="007B1C41">
        <w:rPr>
          <w:rFonts w:ascii="Arial" w:hAnsi="Arial" w:cs="Arial"/>
          <w:bCs/>
          <w:lang w:eastAsia="nl-BE"/>
        </w:rPr>
        <w:t xml:space="preserve"> OWL Press: Gent</w:t>
      </w:r>
    </w:p>
    <w:p w14:paraId="310BE2C5" w14:textId="77777777" w:rsidR="00AB7B8E" w:rsidRPr="007B1C41" w:rsidRDefault="0071554E" w:rsidP="00AB7B8E">
      <w:pPr>
        <w:widowControl w:val="0"/>
        <w:autoSpaceDE w:val="0"/>
        <w:autoSpaceDN w:val="0"/>
        <w:adjustRightInd w:val="0"/>
        <w:ind w:left="480" w:hanging="480"/>
        <w:rPr>
          <w:rFonts w:ascii="Arial" w:hAnsi="Arial" w:cs="Arial"/>
        </w:rPr>
      </w:pPr>
      <w:r w:rsidRPr="007B1C41">
        <w:rPr>
          <w:rFonts w:ascii="Arial" w:hAnsi="Arial" w:cs="Arial"/>
        </w:rPr>
        <w:t xml:space="preserve">Van De Voorde, S., Roeyers, H., &amp; Desoete, A. (2013). De comorbiditeit tussen ADHD en dyslexie. </w:t>
      </w:r>
      <w:r w:rsidRPr="007B1C41">
        <w:rPr>
          <w:rFonts w:ascii="Arial" w:hAnsi="Arial" w:cs="Arial"/>
          <w:i/>
        </w:rPr>
        <w:t>Signaal, 85</w:t>
      </w:r>
      <w:r w:rsidRPr="007B1C41">
        <w:rPr>
          <w:rFonts w:ascii="Arial" w:hAnsi="Arial" w:cs="Arial"/>
        </w:rPr>
        <w:t>, 4-20</w:t>
      </w:r>
    </w:p>
    <w:p w14:paraId="30077775" w14:textId="77777777" w:rsidR="00AB7B8E" w:rsidRPr="007B1C41" w:rsidRDefault="009C049C" w:rsidP="00AB7B8E">
      <w:pPr>
        <w:widowControl w:val="0"/>
        <w:autoSpaceDE w:val="0"/>
        <w:autoSpaceDN w:val="0"/>
        <w:adjustRightInd w:val="0"/>
        <w:ind w:left="480" w:hanging="480"/>
        <w:rPr>
          <w:rFonts w:ascii="Arial" w:hAnsi="Arial" w:cs="Arial"/>
          <w:bCs/>
          <w:lang w:eastAsia="nl-BE"/>
        </w:rPr>
      </w:pPr>
      <w:r w:rsidRPr="007B1C41">
        <w:rPr>
          <w:rFonts w:ascii="Arial" w:hAnsi="Arial" w:cs="Arial"/>
          <w:bCs/>
          <w:lang w:eastAsia="nl-BE"/>
        </w:rPr>
        <w:t>Van der Leij, A. (2015). Dit is dyslexie. Achtergrond en aanpak. Lannoo camput: Houten.</w:t>
      </w:r>
    </w:p>
    <w:p w14:paraId="297E9FD1" w14:textId="77777777" w:rsidR="00AB7B8E" w:rsidRPr="007B1C41" w:rsidRDefault="009C049C" w:rsidP="00AB7B8E">
      <w:pPr>
        <w:widowControl w:val="0"/>
        <w:autoSpaceDE w:val="0"/>
        <w:autoSpaceDN w:val="0"/>
        <w:adjustRightInd w:val="0"/>
        <w:ind w:left="480" w:hanging="480"/>
        <w:rPr>
          <w:rFonts w:ascii="Arial" w:hAnsi="Arial" w:cs="Arial"/>
          <w:lang w:val="en-US"/>
        </w:rPr>
      </w:pPr>
      <w:r w:rsidRPr="007B1C41">
        <w:rPr>
          <w:rFonts w:ascii="Arial" w:hAnsi="Arial" w:cs="Arial"/>
          <w:lang w:val="nl-NL"/>
        </w:rPr>
        <w:t xml:space="preserve">Van Luit, H. (2018). Dit is dyscalculie. Achtergrond en aanpak. </w:t>
      </w:r>
      <w:r w:rsidRPr="007B1C41">
        <w:rPr>
          <w:rFonts w:ascii="Arial" w:hAnsi="Arial" w:cs="Arial"/>
          <w:lang w:val="en-US"/>
        </w:rPr>
        <w:t>Houten: Lannoo campus.</w:t>
      </w:r>
    </w:p>
    <w:p w14:paraId="79C5E65F" w14:textId="77777777" w:rsidR="00AB7B8E" w:rsidRPr="007B1C41" w:rsidRDefault="00565742" w:rsidP="00AB7B8E">
      <w:pPr>
        <w:widowControl w:val="0"/>
        <w:autoSpaceDE w:val="0"/>
        <w:autoSpaceDN w:val="0"/>
        <w:adjustRightInd w:val="0"/>
        <w:ind w:left="480" w:hanging="480"/>
        <w:rPr>
          <w:rFonts w:ascii="Arial" w:hAnsi="Arial" w:cs="Arial"/>
          <w:bCs/>
          <w:color w:val="000000"/>
          <w:lang w:val="en-US"/>
        </w:rPr>
      </w:pPr>
      <w:r w:rsidRPr="007B1C41">
        <w:rPr>
          <w:rFonts w:ascii="Arial" w:hAnsi="Arial" w:cs="Arial"/>
          <w:bCs/>
          <w:color w:val="000000"/>
          <w:lang w:val="en-US"/>
        </w:rPr>
        <w:t>V</w:t>
      </w:r>
      <w:r w:rsidRPr="007B1C41">
        <w:rPr>
          <w:rFonts w:ascii="Arial" w:hAnsi="Arial" w:cs="Arial"/>
          <w:lang w:val="en-US"/>
        </w:rPr>
        <w:t xml:space="preserve">anderswalmen, R., Van Borsel, J., &amp; Desoete, A. (2010) Learning disorders +: fact or fiction? Comorbidity in learning disabilities. </w:t>
      </w:r>
      <w:r w:rsidRPr="007B1C41">
        <w:rPr>
          <w:rFonts w:ascii="Arial" w:hAnsi="Arial" w:cs="Arial"/>
          <w:bCs/>
          <w:color w:val="000000"/>
          <w:lang w:val="en-US"/>
        </w:rPr>
        <w:t xml:space="preserve">Paper 28th World congres of the international associations of logopedics and phoniatrics. Athens Greece August 22-26. </w:t>
      </w:r>
    </w:p>
    <w:p w14:paraId="3823B55C" w14:textId="77777777" w:rsidR="00AB7B8E" w:rsidRPr="007B1C41" w:rsidRDefault="008E2A43" w:rsidP="00AB7B8E">
      <w:pPr>
        <w:widowControl w:val="0"/>
        <w:autoSpaceDE w:val="0"/>
        <w:autoSpaceDN w:val="0"/>
        <w:adjustRightInd w:val="0"/>
        <w:ind w:left="480" w:hanging="480"/>
        <w:rPr>
          <w:rFonts w:ascii="Arial" w:hAnsi="Arial" w:cs="Arial"/>
        </w:rPr>
      </w:pPr>
      <w:r w:rsidRPr="007B1C41">
        <w:rPr>
          <w:rFonts w:ascii="Arial" w:hAnsi="Arial" w:cs="Arial"/>
          <w:lang w:val="en-US"/>
        </w:rPr>
        <w:t xml:space="preserve">Van Vreckem, C. (2014). Spelling Pseudowords in Children with Dyslexia. </w:t>
      </w:r>
      <w:r w:rsidRPr="007B1C41">
        <w:rPr>
          <w:rFonts w:ascii="Arial" w:hAnsi="Arial" w:cs="Arial"/>
        </w:rPr>
        <w:t>Posterpresentatie op het IARLD-congres. Litouwen: Vilnius: 03-05 juli 2014</w:t>
      </w:r>
    </w:p>
    <w:p w14:paraId="4CF16529" w14:textId="77777777" w:rsidR="00AB7B8E" w:rsidRPr="007B1C41" w:rsidRDefault="008E2A43" w:rsidP="00AB7B8E">
      <w:pPr>
        <w:widowControl w:val="0"/>
        <w:autoSpaceDE w:val="0"/>
        <w:autoSpaceDN w:val="0"/>
        <w:adjustRightInd w:val="0"/>
        <w:ind w:left="480" w:hanging="480"/>
        <w:rPr>
          <w:rFonts w:ascii="Arial" w:hAnsi="Arial" w:cs="Arial"/>
          <w:i/>
          <w:lang w:val="en-US"/>
        </w:rPr>
      </w:pPr>
      <w:r w:rsidRPr="007B1C41">
        <w:rPr>
          <w:rFonts w:ascii="Arial" w:hAnsi="Arial" w:cs="Arial"/>
        </w:rPr>
        <w:t>Van Vreckem, C,&amp; Desoete, A. (2015).</w:t>
      </w:r>
      <w:r w:rsidRPr="007B1C41">
        <w:rPr>
          <w:rFonts w:ascii="Arial" w:hAnsi="Arial" w:cs="Arial"/>
          <w:b/>
          <w:color w:val="000000"/>
        </w:rPr>
        <w:t xml:space="preserve"> </w:t>
      </w:r>
      <w:r w:rsidRPr="007B1C41">
        <w:rPr>
          <w:rFonts w:ascii="Arial" w:hAnsi="Arial" w:cs="Arial"/>
          <w:color w:val="000000"/>
        </w:rPr>
        <w:t xml:space="preserve">Het ene kind met dyslexie is het andere niet… Implicaties uit begrijpend lees- en spellingonderzoek voor diagnostiek en therapie. </w:t>
      </w:r>
      <w:r w:rsidRPr="007B1C41">
        <w:rPr>
          <w:rFonts w:ascii="Arial" w:hAnsi="Arial" w:cs="Arial"/>
          <w:i/>
          <w:lang w:val="en-US"/>
        </w:rPr>
        <w:t>Logopedie, 28(4), 58-66</w:t>
      </w:r>
    </w:p>
    <w:p w14:paraId="63C2AE75" w14:textId="42C546ED" w:rsidR="00AB7B8E" w:rsidRPr="007B1C41" w:rsidRDefault="00363FB7" w:rsidP="00AB7B8E">
      <w:pPr>
        <w:widowControl w:val="0"/>
        <w:autoSpaceDE w:val="0"/>
        <w:autoSpaceDN w:val="0"/>
        <w:adjustRightInd w:val="0"/>
        <w:ind w:left="480" w:hanging="480"/>
        <w:rPr>
          <w:rFonts w:ascii="Arial" w:hAnsi="Arial" w:cs="Arial"/>
        </w:rPr>
      </w:pPr>
      <w:r w:rsidRPr="00AB0D4B">
        <w:rPr>
          <w:rFonts w:ascii="Arial" w:hAnsi="Arial" w:cs="Arial"/>
          <w:lang w:val="en-US"/>
        </w:rPr>
        <w:t>Van Vreckem, C., &amp; Desoete, A. (2018</w:t>
      </w:r>
      <w:r w:rsidR="008E2A43" w:rsidRPr="00AB0D4B">
        <w:rPr>
          <w:rFonts w:ascii="Arial" w:hAnsi="Arial" w:cs="Arial"/>
          <w:lang w:val="en-US"/>
        </w:rPr>
        <w:t>a</w:t>
      </w:r>
      <w:r w:rsidRPr="00AB0D4B">
        <w:rPr>
          <w:rFonts w:ascii="Arial" w:hAnsi="Arial" w:cs="Arial"/>
          <w:lang w:val="en-US"/>
        </w:rPr>
        <w:t xml:space="preserve">). </w:t>
      </w:r>
      <w:r w:rsidRPr="007B1C41">
        <w:rPr>
          <w:rFonts w:ascii="Arial" w:hAnsi="Arial" w:cs="Arial"/>
          <w:lang w:val="en-US"/>
        </w:rPr>
        <w:t xml:space="preserve">Spelling of Pseudowords and Real Words in Dutch- speaking Children With and Without Dyslexia. </w:t>
      </w:r>
      <w:r w:rsidRPr="007B1C41">
        <w:rPr>
          <w:rFonts w:ascii="Arial" w:hAnsi="Arial" w:cs="Arial"/>
          <w:i/>
        </w:rPr>
        <w:t>Topics in Language Disorders, 38</w:t>
      </w:r>
      <w:r w:rsidRPr="007B1C41">
        <w:rPr>
          <w:rFonts w:ascii="Arial" w:hAnsi="Arial" w:cs="Arial"/>
        </w:rPr>
        <w:t xml:space="preserve">, </w:t>
      </w:r>
      <w:r w:rsidRPr="007B1C41">
        <w:rPr>
          <w:rFonts w:ascii="Arial" w:hAnsi="Arial" w:cs="Arial"/>
          <w:color w:val="333333"/>
          <w:lang w:eastAsia="nl-BE"/>
        </w:rPr>
        <w:t xml:space="preserve">286-298 </w:t>
      </w:r>
      <w:r w:rsidR="007B1C41">
        <w:rPr>
          <w:rFonts w:ascii="Arial" w:hAnsi="Arial" w:cs="Arial"/>
          <w:color w:val="333333"/>
          <w:lang w:eastAsia="nl-BE"/>
        </w:rPr>
        <w:t>DOI</w:t>
      </w:r>
      <w:r w:rsidRPr="007B1C41">
        <w:rPr>
          <w:rFonts w:ascii="Arial" w:hAnsi="Arial" w:cs="Arial"/>
          <w:color w:val="3B3030"/>
          <w:shd w:val="clear" w:color="auto" w:fill="FFFFFF"/>
        </w:rPr>
        <w:t>: 10.1097/TLD.0000000000000164</w:t>
      </w:r>
      <w:r w:rsidRPr="007B1C41">
        <w:rPr>
          <w:rFonts w:ascii="Arial" w:hAnsi="Arial" w:cs="Arial"/>
        </w:rPr>
        <w:t xml:space="preserve"> </w:t>
      </w:r>
    </w:p>
    <w:p w14:paraId="3EABB32B" w14:textId="77777777" w:rsidR="00AB7B8E" w:rsidRPr="007B1C41" w:rsidRDefault="008E2A43" w:rsidP="006925F5">
      <w:pPr>
        <w:widowControl w:val="0"/>
        <w:autoSpaceDE w:val="0"/>
        <w:autoSpaceDN w:val="0"/>
        <w:adjustRightInd w:val="0"/>
        <w:ind w:left="480" w:hanging="480"/>
        <w:rPr>
          <w:rFonts w:ascii="Arial" w:hAnsi="Arial" w:cs="Arial"/>
        </w:rPr>
      </w:pPr>
      <w:bookmarkStart w:id="6" w:name="_Hlk3232262"/>
      <w:r w:rsidRPr="007B1C41">
        <w:rPr>
          <w:rFonts w:ascii="Arial" w:hAnsi="Arial" w:cs="Arial"/>
        </w:rPr>
        <w:t xml:space="preserve">Van Vreckem, C., &amp; Desoete, A. (2018b). ‘Het handelingsgericht onderzoeken van spellingvaardigheden bij kinderen met leerstoornissen: een must!, </w:t>
      </w:r>
      <w:r w:rsidRPr="007B1C41">
        <w:rPr>
          <w:rFonts w:ascii="Arial" w:hAnsi="Arial" w:cs="Arial"/>
          <w:i/>
        </w:rPr>
        <w:t>Signaal, 102</w:t>
      </w:r>
      <w:r w:rsidRPr="007B1C41">
        <w:rPr>
          <w:rFonts w:ascii="Arial" w:hAnsi="Arial" w:cs="Arial"/>
        </w:rPr>
        <w:t>, 4-11</w:t>
      </w:r>
    </w:p>
    <w:bookmarkEnd w:id="6"/>
    <w:p w14:paraId="5C054B57" w14:textId="77777777" w:rsidR="00A12885" w:rsidRPr="007B1C41" w:rsidRDefault="003778BB" w:rsidP="00A12885">
      <w:pPr>
        <w:widowControl w:val="0"/>
        <w:autoSpaceDE w:val="0"/>
        <w:autoSpaceDN w:val="0"/>
        <w:adjustRightInd w:val="0"/>
        <w:ind w:left="480" w:hanging="480"/>
        <w:rPr>
          <w:rFonts w:ascii="Arial" w:eastAsia="Times New Roman" w:hAnsi="Arial" w:cs="Arial"/>
          <w:lang w:eastAsia="nl-NL"/>
        </w:rPr>
      </w:pPr>
      <w:r w:rsidRPr="007B1C41">
        <w:rPr>
          <w:rFonts w:ascii="Arial" w:eastAsia="Times New Roman" w:hAnsi="Arial" w:cs="Arial"/>
          <w:lang w:eastAsia="nl-NL"/>
        </w:rPr>
        <w:t xml:space="preserve">Van Waelvelde, H. &amp; De Mey, B. (2007). </w:t>
      </w:r>
      <w:r w:rsidRPr="00AB0D4B">
        <w:rPr>
          <w:rFonts w:ascii="Arial" w:eastAsia="Times New Roman" w:hAnsi="Arial" w:cs="Arial"/>
          <w:i/>
          <w:lang w:eastAsia="nl-NL"/>
        </w:rPr>
        <w:t xml:space="preserve">Kinderen met Developmental Coordination Disorder. </w:t>
      </w:r>
      <w:r w:rsidRPr="007B1C41">
        <w:rPr>
          <w:rFonts w:ascii="Arial" w:eastAsia="Times New Roman" w:hAnsi="Arial" w:cs="Arial"/>
          <w:i/>
          <w:lang w:eastAsia="nl-NL"/>
        </w:rPr>
        <w:t>Als (ook) bewegen niet vanzelfsprekend is.</w:t>
      </w:r>
      <w:r w:rsidRPr="007B1C41">
        <w:rPr>
          <w:rFonts w:ascii="Arial" w:eastAsia="Times New Roman" w:hAnsi="Arial" w:cs="Arial"/>
          <w:lang w:eastAsia="nl-NL"/>
        </w:rPr>
        <w:t xml:space="preserve"> Standaard Uitgeverij: Antwerpen</w:t>
      </w:r>
    </w:p>
    <w:p w14:paraId="522836D3" w14:textId="77777777" w:rsidR="00A12885" w:rsidRPr="007B1C41" w:rsidRDefault="00A12885" w:rsidP="00A12885">
      <w:pPr>
        <w:widowControl w:val="0"/>
        <w:autoSpaceDE w:val="0"/>
        <w:autoSpaceDN w:val="0"/>
        <w:adjustRightInd w:val="0"/>
        <w:ind w:left="480" w:hanging="480"/>
        <w:rPr>
          <w:rFonts w:ascii="Arial" w:eastAsia="Times New Roman" w:hAnsi="Arial" w:cs="Arial"/>
          <w:lang w:val="en-US" w:eastAsia="nl-NL"/>
        </w:rPr>
      </w:pPr>
      <w:r w:rsidRPr="007B1C41">
        <w:rPr>
          <w:rFonts w:ascii="Arial" w:eastAsia="Times New Roman" w:hAnsi="Arial" w:cs="Arial"/>
          <w:lang w:val="nl-NL" w:eastAsia="nl-NL"/>
        </w:rPr>
        <w:lastRenderedPageBreak/>
        <w:t xml:space="preserve">Verhoeven, L., Schreuder, R., &amp; Baayen, R. H. (2006). </w:t>
      </w:r>
      <w:r w:rsidRPr="007B1C41">
        <w:rPr>
          <w:rFonts w:ascii="Arial" w:eastAsia="Times New Roman" w:hAnsi="Arial" w:cs="Arial"/>
          <w:lang w:val="en-US" w:eastAsia="nl-NL"/>
        </w:rPr>
        <w:t xml:space="preserve">Learnability of graphotactic rules in visual word identification. </w:t>
      </w:r>
      <w:r w:rsidRPr="007B1C41">
        <w:rPr>
          <w:rFonts w:ascii="Arial" w:eastAsia="Times New Roman" w:hAnsi="Arial" w:cs="Arial"/>
          <w:i/>
          <w:lang w:val="en-US" w:eastAsia="nl-NL"/>
        </w:rPr>
        <w:t>Learning and Instruction, 16,</w:t>
      </w:r>
      <w:r w:rsidRPr="007B1C41">
        <w:rPr>
          <w:rFonts w:ascii="Arial" w:eastAsia="Times New Roman" w:hAnsi="Arial" w:cs="Arial"/>
          <w:lang w:val="en-US" w:eastAsia="nl-NL"/>
        </w:rPr>
        <w:t xml:space="preserve"> 538-548.</w:t>
      </w:r>
    </w:p>
    <w:p w14:paraId="6BCC1DE8" w14:textId="77777777" w:rsidR="00816D93" w:rsidRPr="007B1C41" w:rsidRDefault="00816D93" w:rsidP="006925F5">
      <w:pPr>
        <w:widowControl w:val="0"/>
        <w:autoSpaceDE w:val="0"/>
        <w:autoSpaceDN w:val="0"/>
        <w:adjustRightInd w:val="0"/>
        <w:ind w:left="480" w:hanging="480"/>
        <w:rPr>
          <w:rFonts w:ascii="Arial" w:hAnsi="Arial" w:cs="Arial"/>
          <w:lang w:val="en-US"/>
        </w:rPr>
      </w:pPr>
      <w:r w:rsidRPr="007B1C41">
        <w:rPr>
          <w:rFonts w:ascii="Arial" w:hAnsi="Arial" w:cs="Arial"/>
          <w:lang w:val="en-US"/>
        </w:rPr>
        <w:t xml:space="preserve">Von Aster, M. G. (2000). Developmental cognitive neuropsychology of number processing and calculation: Varieties of developmental dyscalculia. </w:t>
      </w:r>
      <w:r w:rsidRPr="007B1C41">
        <w:rPr>
          <w:rFonts w:ascii="Arial" w:hAnsi="Arial" w:cs="Arial"/>
          <w:i/>
          <w:lang w:val="en-US"/>
        </w:rPr>
        <w:t>European Child and Adolescent Psychiatry, 9</w:t>
      </w:r>
      <w:r w:rsidRPr="007B1C41">
        <w:rPr>
          <w:rFonts w:ascii="Arial" w:hAnsi="Arial" w:cs="Arial"/>
          <w:lang w:val="en-US"/>
        </w:rPr>
        <w:t>(2), 41</w:t>
      </w:r>
    </w:p>
    <w:p w14:paraId="10A444A5" w14:textId="77777777" w:rsidR="006925F5" w:rsidRPr="007B1C41" w:rsidRDefault="006925F5" w:rsidP="006925F5">
      <w:pPr>
        <w:widowControl w:val="0"/>
        <w:autoSpaceDE w:val="0"/>
        <w:autoSpaceDN w:val="0"/>
        <w:adjustRightInd w:val="0"/>
        <w:ind w:left="480" w:hanging="480"/>
        <w:rPr>
          <w:rFonts w:ascii="Arial" w:hAnsi="Arial" w:cs="Arial"/>
          <w:noProof/>
          <w:lang w:val="en-US"/>
        </w:rPr>
      </w:pPr>
      <w:r w:rsidRPr="007B1C41">
        <w:rPr>
          <w:rFonts w:ascii="Arial" w:hAnsi="Arial" w:cs="Arial"/>
          <w:noProof/>
          <w:lang w:val="en-US"/>
        </w:rPr>
        <w:t>VVL. (2018). Dyslexie Dysorthografie Dyscalculie. Retrieved from https://www.vvl.be/zorgverlener/dyslexie-dysorthografie-dyscalculie</w:t>
      </w:r>
    </w:p>
    <w:p w14:paraId="08EA2F0F" w14:textId="77777777" w:rsidR="001468C3" w:rsidRPr="007B1C41" w:rsidRDefault="001468C3" w:rsidP="001468C3">
      <w:pPr>
        <w:widowControl w:val="0"/>
        <w:autoSpaceDE w:val="0"/>
        <w:autoSpaceDN w:val="0"/>
        <w:adjustRightInd w:val="0"/>
        <w:ind w:left="480" w:hanging="480"/>
        <w:rPr>
          <w:rFonts w:ascii="Arial" w:hAnsi="Arial" w:cs="Arial"/>
          <w:noProof/>
          <w:lang w:val="en-GB"/>
        </w:rPr>
      </w:pPr>
      <w:r w:rsidRPr="007B1C41">
        <w:rPr>
          <w:rFonts w:ascii="Arial" w:hAnsi="Arial" w:cs="Arial"/>
          <w:noProof/>
          <w:lang w:val="en-US"/>
        </w:rPr>
        <w:t xml:space="preserve">Wang, A. H., Shen, F., &amp; Byrnes, J. P. (2013). </w:t>
      </w:r>
      <w:r w:rsidRPr="007B1C41">
        <w:rPr>
          <w:rFonts w:ascii="Arial" w:hAnsi="Arial" w:cs="Arial"/>
          <w:noProof/>
          <w:lang w:val="en-GB"/>
        </w:rPr>
        <w:t xml:space="preserve">Does the Opportunity-Propensity Framework predict the early mathematics skills of low-income pre-kindergarten children? </w:t>
      </w:r>
      <w:r w:rsidRPr="007B1C41">
        <w:rPr>
          <w:rFonts w:ascii="Arial" w:hAnsi="Arial" w:cs="Arial"/>
          <w:i/>
          <w:iCs/>
          <w:noProof/>
          <w:lang w:val="en-GB"/>
        </w:rPr>
        <w:t>Contemporary Educational Psychology</w:t>
      </w:r>
      <w:r w:rsidRPr="007B1C41">
        <w:rPr>
          <w:rFonts w:ascii="Arial" w:hAnsi="Arial" w:cs="Arial"/>
          <w:noProof/>
          <w:lang w:val="en-GB"/>
        </w:rPr>
        <w:t xml:space="preserve">, </w:t>
      </w:r>
      <w:r w:rsidRPr="007B1C41">
        <w:rPr>
          <w:rFonts w:ascii="Arial" w:hAnsi="Arial" w:cs="Arial"/>
          <w:i/>
          <w:iCs/>
          <w:noProof/>
          <w:lang w:val="en-GB"/>
        </w:rPr>
        <w:t>38</w:t>
      </w:r>
      <w:r w:rsidR="00A149E7" w:rsidRPr="007B1C41">
        <w:rPr>
          <w:rFonts w:ascii="Arial" w:hAnsi="Arial" w:cs="Arial"/>
          <w:noProof/>
          <w:lang w:val="en-GB"/>
        </w:rPr>
        <w:t xml:space="preserve">, </w:t>
      </w:r>
      <w:r w:rsidRPr="007B1C41">
        <w:rPr>
          <w:rFonts w:ascii="Arial" w:hAnsi="Arial" w:cs="Arial"/>
          <w:noProof/>
          <w:lang w:val="en-GB"/>
        </w:rPr>
        <w:t xml:space="preserve">259–270. </w:t>
      </w:r>
      <w:r w:rsidR="00A149E7" w:rsidRPr="007B1C41">
        <w:rPr>
          <w:rFonts w:ascii="Arial" w:hAnsi="Arial" w:cs="Arial"/>
          <w:noProof/>
          <w:lang w:val="en-GB"/>
        </w:rPr>
        <w:t>DOI:</w:t>
      </w:r>
      <w:r w:rsidRPr="007B1C41">
        <w:rPr>
          <w:rFonts w:ascii="Arial" w:hAnsi="Arial" w:cs="Arial"/>
          <w:noProof/>
          <w:lang w:val="en-GB"/>
        </w:rPr>
        <w:t>10.1016/j.cedpsych.2013.04.004</w:t>
      </w:r>
    </w:p>
    <w:p w14:paraId="1B1C0002" w14:textId="77777777" w:rsidR="001468C3" w:rsidRPr="007B1C41" w:rsidRDefault="001468C3" w:rsidP="001468C3">
      <w:pPr>
        <w:widowControl w:val="0"/>
        <w:autoSpaceDE w:val="0"/>
        <w:autoSpaceDN w:val="0"/>
        <w:adjustRightInd w:val="0"/>
        <w:ind w:left="480" w:hanging="480"/>
        <w:rPr>
          <w:rFonts w:ascii="Arial" w:hAnsi="Arial" w:cs="Arial"/>
          <w:noProof/>
          <w:lang w:val="en-GB"/>
        </w:rPr>
      </w:pPr>
      <w:r w:rsidRPr="007B1C41">
        <w:rPr>
          <w:rFonts w:ascii="Arial" w:hAnsi="Arial" w:cs="Arial"/>
          <w:noProof/>
          <w:lang w:val="en-GB"/>
        </w:rPr>
        <w:t xml:space="preserve">Wang, Z., Soden, B., Deater-Deckard, K., Lukowski, S. L., Schenker, V. J., Willcutt, E. G., … Petrill, S. A. (2017). Development in reading and math in children from different SES backgrounds: the moderating role of child temperament. </w:t>
      </w:r>
      <w:r w:rsidRPr="007B1C41">
        <w:rPr>
          <w:rFonts w:ascii="Arial" w:hAnsi="Arial" w:cs="Arial"/>
          <w:i/>
          <w:iCs/>
          <w:noProof/>
          <w:lang w:val="en-GB"/>
        </w:rPr>
        <w:t>Developmental Science</w:t>
      </w:r>
      <w:r w:rsidRPr="007B1C41">
        <w:rPr>
          <w:rFonts w:ascii="Arial" w:hAnsi="Arial" w:cs="Arial"/>
          <w:noProof/>
          <w:lang w:val="en-GB"/>
        </w:rPr>
        <w:t xml:space="preserve">, </w:t>
      </w:r>
      <w:r w:rsidRPr="007B1C41">
        <w:rPr>
          <w:rFonts w:ascii="Arial" w:hAnsi="Arial" w:cs="Arial"/>
          <w:i/>
          <w:iCs/>
          <w:noProof/>
          <w:lang w:val="en-GB"/>
        </w:rPr>
        <w:t>20</w:t>
      </w:r>
      <w:r w:rsidR="00A149E7" w:rsidRPr="007B1C41">
        <w:rPr>
          <w:rFonts w:ascii="Arial" w:hAnsi="Arial" w:cs="Arial"/>
          <w:noProof/>
          <w:lang w:val="en-GB"/>
        </w:rPr>
        <w:t>, e12380. DOI:</w:t>
      </w:r>
      <w:r w:rsidRPr="007B1C41">
        <w:rPr>
          <w:rFonts w:ascii="Arial" w:hAnsi="Arial" w:cs="Arial"/>
          <w:noProof/>
          <w:lang w:val="en-GB"/>
        </w:rPr>
        <w:t>10.1111/desc.12380</w:t>
      </w:r>
    </w:p>
    <w:p w14:paraId="1C3910FD" w14:textId="77777777" w:rsidR="001468C3" w:rsidRPr="007B1C41" w:rsidRDefault="001468C3" w:rsidP="001468C3">
      <w:pPr>
        <w:widowControl w:val="0"/>
        <w:autoSpaceDE w:val="0"/>
        <w:autoSpaceDN w:val="0"/>
        <w:adjustRightInd w:val="0"/>
        <w:ind w:left="480" w:hanging="480"/>
        <w:rPr>
          <w:rFonts w:ascii="Arial" w:hAnsi="Arial" w:cs="Arial"/>
          <w:noProof/>
          <w:lang w:val="en-GB"/>
        </w:rPr>
      </w:pPr>
      <w:r w:rsidRPr="007B1C41">
        <w:rPr>
          <w:rFonts w:ascii="Arial" w:hAnsi="Arial" w:cs="Arial"/>
          <w:noProof/>
          <w:lang w:val="en-US"/>
        </w:rPr>
        <w:t xml:space="preserve">Weber, H. S., Lu, L., Shi, J., &amp; Spinath, F. M. (2013). </w:t>
      </w:r>
      <w:r w:rsidRPr="007B1C41">
        <w:rPr>
          <w:rFonts w:ascii="Arial" w:hAnsi="Arial" w:cs="Arial"/>
          <w:noProof/>
          <w:lang w:val="en-GB"/>
        </w:rPr>
        <w:t xml:space="preserve">The roles of cognitive and motivational predictors in explaining school achievement in elementary school. </w:t>
      </w:r>
      <w:r w:rsidRPr="007B1C41">
        <w:rPr>
          <w:rFonts w:ascii="Arial" w:hAnsi="Arial" w:cs="Arial"/>
          <w:i/>
          <w:iCs/>
          <w:noProof/>
          <w:lang w:val="en-GB"/>
        </w:rPr>
        <w:t>Learning and Individual Differences</w:t>
      </w:r>
      <w:r w:rsidRPr="007B1C41">
        <w:rPr>
          <w:rFonts w:ascii="Arial" w:hAnsi="Arial" w:cs="Arial"/>
          <w:noProof/>
          <w:lang w:val="en-GB"/>
        </w:rPr>
        <w:t xml:space="preserve">, </w:t>
      </w:r>
      <w:r w:rsidRPr="007B1C41">
        <w:rPr>
          <w:rFonts w:ascii="Arial" w:hAnsi="Arial" w:cs="Arial"/>
          <w:i/>
          <w:iCs/>
          <w:noProof/>
          <w:lang w:val="en-GB"/>
        </w:rPr>
        <w:t>25</w:t>
      </w:r>
      <w:r w:rsidR="00A149E7" w:rsidRPr="007B1C41">
        <w:rPr>
          <w:rFonts w:ascii="Arial" w:hAnsi="Arial" w:cs="Arial"/>
          <w:noProof/>
          <w:lang w:val="en-GB"/>
        </w:rPr>
        <w:t>, 85–92. DOI:</w:t>
      </w:r>
      <w:r w:rsidRPr="007B1C41">
        <w:rPr>
          <w:rFonts w:ascii="Arial" w:hAnsi="Arial" w:cs="Arial"/>
          <w:noProof/>
          <w:lang w:val="en-GB"/>
        </w:rPr>
        <w:t>10.1016/J.LINDIF.2013.03.008</w:t>
      </w:r>
    </w:p>
    <w:p w14:paraId="544D7F98" w14:textId="77777777" w:rsidR="00A12885" w:rsidRPr="007B1C41" w:rsidRDefault="001468C3" w:rsidP="00A12885">
      <w:pPr>
        <w:widowControl w:val="0"/>
        <w:autoSpaceDE w:val="0"/>
        <w:autoSpaceDN w:val="0"/>
        <w:adjustRightInd w:val="0"/>
        <w:ind w:left="480" w:hanging="480"/>
        <w:rPr>
          <w:rFonts w:ascii="Arial" w:hAnsi="Arial" w:cs="Arial"/>
          <w:noProof/>
          <w:lang w:val="en-US"/>
        </w:rPr>
      </w:pPr>
      <w:r w:rsidRPr="007B1C41">
        <w:rPr>
          <w:rFonts w:ascii="Arial" w:hAnsi="Arial" w:cs="Arial"/>
          <w:noProof/>
          <w:lang w:val="en-GB"/>
        </w:rPr>
        <w:t xml:space="preserve">Wu, S. S., Willcutt, E. G., Escovar, E., &amp; Menon, V. (2014). Mathematics Achievement and Anxiety and Their Relation to Internalizing and Externalizing Behaviors. </w:t>
      </w:r>
      <w:r w:rsidRPr="007B1C41">
        <w:rPr>
          <w:rFonts w:ascii="Arial" w:hAnsi="Arial" w:cs="Arial"/>
          <w:i/>
          <w:iCs/>
          <w:noProof/>
          <w:lang w:val="en-US"/>
        </w:rPr>
        <w:t>Journal of Learning Disabilities</w:t>
      </w:r>
      <w:r w:rsidRPr="007B1C41">
        <w:rPr>
          <w:rFonts w:ascii="Arial" w:hAnsi="Arial" w:cs="Arial"/>
          <w:noProof/>
          <w:lang w:val="en-US"/>
        </w:rPr>
        <w:t xml:space="preserve">, </w:t>
      </w:r>
      <w:r w:rsidRPr="007B1C41">
        <w:rPr>
          <w:rFonts w:ascii="Arial" w:hAnsi="Arial" w:cs="Arial"/>
          <w:i/>
          <w:iCs/>
          <w:noProof/>
          <w:lang w:val="en-US"/>
        </w:rPr>
        <w:t>47</w:t>
      </w:r>
      <w:r w:rsidR="00A149E7" w:rsidRPr="007B1C41">
        <w:rPr>
          <w:rFonts w:ascii="Arial" w:hAnsi="Arial" w:cs="Arial"/>
          <w:noProof/>
          <w:lang w:val="en-US"/>
        </w:rPr>
        <w:t>, 503–514. DOI:</w:t>
      </w:r>
      <w:r w:rsidRPr="007B1C41">
        <w:rPr>
          <w:rFonts w:ascii="Arial" w:hAnsi="Arial" w:cs="Arial"/>
          <w:noProof/>
          <w:lang w:val="en-US"/>
        </w:rPr>
        <w:t>10.1177/0022219412473154</w:t>
      </w:r>
    </w:p>
    <w:p w14:paraId="3C24C136" w14:textId="77777777" w:rsidR="00A12885" w:rsidRPr="003A0B11" w:rsidRDefault="00A12885" w:rsidP="00A12885">
      <w:pPr>
        <w:widowControl w:val="0"/>
        <w:autoSpaceDE w:val="0"/>
        <w:autoSpaceDN w:val="0"/>
        <w:adjustRightInd w:val="0"/>
        <w:ind w:left="480" w:hanging="480"/>
        <w:rPr>
          <w:rFonts w:ascii="Arial" w:eastAsia="Calibri" w:hAnsi="Arial" w:cs="Arial"/>
          <w:lang w:val="en-US"/>
        </w:rPr>
      </w:pPr>
      <w:r w:rsidRPr="007B1C41">
        <w:rPr>
          <w:rFonts w:ascii="Arial" w:eastAsia="Calibri" w:hAnsi="Arial" w:cs="Arial"/>
          <w:lang w:val="en-US"/>
        </w:rPr>
        <w:t xml:space="preserve">Ziegler, C. J., &amp; Goswami, U. (2005). Reading acquisition, developmental dyslexia, and </w:t>
      </w:r>
      <w:r w:rsidRPr="007B1C41">
        <w:rPr>
          <w:rFonts w:ascii="Arial" w:eastAsia="Calibri" w:hAnsi="Arial" w:cs="Arial"/>
          <w:lang w:val="en-US"/>
        </w:rPr>
        <w:tab/>
        <w:t xml:space="preserve">skilled reading across languages: A psycholiguistic grain size theory. </w:t>
      </w:r>
      <w:r w:rsidRPr="007B63C0">
        <w:rPr>
          <w:rFonts w:ascii="Arial" w:eastAsia="Calibri" w:hAnsi="Arial" w:cs="Arial"/>
          <w:i/>
          <w:lang w:val="en-US"/>
        </w:rPr>
        <w:t xml:space="preserve">Psychological </w:t>
      </w:r>
      <w:r w:rsidRPr="007B63C0">
        <w:rPr>
          <w:rFonts w:ascii="Arial" w:eastAsia="Calibri" w:hAnsi="Arial" w:cs="Arial"/>
          <w:i/>
          <w:lang w:val="en-US"/>
        </w:rPr>
        <w:tab/>
        <w:t>Bulletin, 131</w:t>
      </w:r>
      <w:r w:rsidRPr="003A0B11">
        <w:rPr>
          <w:rFonts w:ascii="Arial" w:eastAsia="Calibri" w:hAnsi="Arial" w:cs="Arial"/>
          <w:lang w:val="en-US"/>
        </w:rPr>
        <w:t xml:space="preserve">, 3-29. </w:t>
      </w:r>
      <w:r w:rsidRPr="003A0B11">
        <w:rPr>
          <w:rFonts w:ascii="Arial" w:hAnsi="Arial" w:cs="Arial"/>
          <w:lang w:val="en-US"/>
        </w:rPr>
        <w:t>DOI: 10.1037/0033-2909.131.1.3</w:t>
      </w:r>
    </w:p>
    <w:p w14:paraId="69150A09" w14:textId="77777777" w:rsidR="00E778A5" w:rsidRPr="00EB76D8" w:rsidRDefault="00E778A5" w:rsidP="009C30AE">
      <w:pPr>
        <w:pStyle w:val="Normaalweb"/>
        <w:spacing w:before="0" w:beforeAutospacing="0" w:after="0" w:afterAutospacing="0"/>
        <w:textAlignment w:val="baseline"/>
        <w:rPr>
          <w:rStyle w:val="Hyperlink"/>
          <w:rFonts w:ascii="Arial" w:eastAsiaTheme="minorEastAsia" w:hAnsi="Arial" w:cs="Arial"/>
          <w:color w:val="auto"/>
          <w:kern w:val="24"/>
          <w:sz w:val="22"/>
          <w:szCs w:val="22"/>
          <w:u w:val="none"/>
          <w:lang w:val="en-US"/>
        </w:rPr>
      </w:pPr>
    </w:p>
    <w:p w14:paraId="672ED7CE" w14:textId="77777777" w:rsidR="00D72508" w:rsidRPr="00AB0D4B" w:rsidRDefault="00D72508" w:rsidP="00D72508">
      <w:pPr>
        <w:spacing w:after="0" w:line="240" w:lineRule="auto"/>
        <w:rPr>
          <w:rFonts w:ascii="Arial" w:eastAsiaTheme="minorEastAsia" w:hAnsi="Arial" w:cs="Arial"/>
          <w:kern w:val="24"/>
          <w:lang w:val="en-US" w:eastAsia="nl-BE"/>
        </w:rPr>
      </w:pPr>
      <w:r w:rsidRPr="00EB76D8">
        <w:rPr>
          <w:rFonts w:ascii="Arial" w:eastAsiaTheme="minorEastAsia" w:hAnsi="Arial" w:cs="Arial"/>
          <w:kern w:val="24"/>
          <w:lang w:val="en-US" w:eastAsia="nl-BE"/>
        </w:rPr>
        <w:t xml:space="preserve">CAR - Algemeen: </w:t>
      </w:r>
      <w:hyperlink r:id="rId43" w:history="1">
        <w:r w:rsidRPr="00AB0D4B">
          <w:rPr>
            <w:rFonts w:ascii="Arial" w:eastAsiaTheme="minorEastAsia" w:hAnsi="Arial" w:cs="Arial"/>
            <w:kern w:val="24"/>
            <w:lang w:val="en-US" w:eastAsia="nl-BE"/>
          </w:rPr>
          <w:t>https://www.riziv.fgov.be/nl/themas/kost-terugbetaling/ziekten/mentale-neurologische-stoornissen/Paginas/lijsten-tests.aspx</w:t>
        </w:r>
      </w:hyperlink>
    </w:p>
    <w:p w14:paraId="0B19E031" w14:textId="77777777" w:rsidR="00D72508" w:rsidRPr="007B1C41" w:rsidRDefault="00D72508" w:rsidP="00D72508">
      <w:pPr>
        <w:spacing w:after="0" w:line="240" w:lineRule="auto"/>
        <w:rPr>
          <w:rFonts w:ascii="Arial" w:eastAsia="Calibri" w:hAnsi="Arial" w:cs="Arial"/>
          <w:kern w:val="24"/>
          <w:lang w:val="fr-FR"/>
        </w:rPr>
      </w:pPr>
      <w:r w:rsidRPr="007B1C41">
        <w:rPr>
          <w:rStyle w:val="Hyperlink"/>
          <w:rFonts w:ascii="Arial" w:eastAsia="Calibri" w:hAnsi="Arial" w:cs="Arial"/>
          <w:color w:val="auto"/>
          <w:kern w:val="24"/>
          <w:u w:val="none"/>
          <w:lang w:val="fr-FR"/>
        </w:rPr>
        <w:t xml:space="preserve">CAR - Dyslexie: </w:t>
      </w:r>
      <w:hyperlink r:id="rId44" w:history="1">
        <w:r w:rsidRPr="007B1C41">
          <w:rPr>
            <w:rStyle w:val="Hyperlink"/>
            <w:rFonts w:ascii="Arial" w:eastAsia="Calibri" w:hAnsi="Arial" w:cs="Arial"/>
            <w:color w:val="auto"/>
            <w:kern w:val="24"/>
            <w:u w:val="none"/>
            <w:lang w:val="fr-FR"/>
          </w:rPr>
          <w:t>https://www.riziv.fgov.be/SiteCollectionDocuments/lijst-revalidatie-dyslexie.pdf</w:t>
        </w:r>
      </w:hyperlink>
    </w:p>
    <w:p w14:paraId="7ABA6FEB" w14:textId="77777777" w:rsidR="00D72508" w:rsidRPr="007B1C41" w:rsidRDefault="00D72508" w:rsidP="00D72508">
      <w:pPr>
        <w:spacing w:after="0" w:line="240" w:lineRule="auto"/>
        <w:rPr>
          <w:rFonts w:ascii="Arial" w:eastAsia="Calibri" w:hAnsi="Arial" w:cs="Arial"/>
          <w:kern w:val="24"/>
          <w:lang w:val="fr-FR"/>
        </w:rPr>
      </w:pPr>
      <w:r w:rsidRPr="007B1C41">
        <w:rPr>
          <w:rStyle w:val="Hyperlink"/>
          <w:rFonts w:ascii="Arial" w:eastAsia="Calibri" w:hAnsi="Arial" w:cs="Arial"/>
          <w:color w:val="auto"/>
          <w:kern w:val="24"/>
          <w:u w:val="none"/>
          <w:lang w:val="fr-FR"/>
        </w:rPr>
        <w:t xml:space="preserve">CAR - Dysorthografie: </w:t>
      </w:r>
      <w:hyperlink r:id="rId45" w:history="1">
        <w:r w:rsidRPr="007B1C41">
          <w:rPr>
            <w:rStyle w:val="Hyperlink"/>
            <w:rFonts w:ascii="Arial" w:eastAsia="Calibri" w:hAnsi="Arial" w:cs="Arial"/>
            <w:color w:val="auto"/>
            <w:kern w:val="24"/>
            <w:u w:val="none"/>
            <w:lang w:val="fr-FR"/>
          </w:rPr>
          <w:t>https://www.riziv.fgov.be/SiteCollectionDocuments/lijst-revalidatie-dysorthografie.pdf</w:t>
        </w:r>
      </w:hyperlink>
    </w:p>
    <w:p w14:paraId="5D648C72" w14:textId="77777777" w:rsidR="00D72508" w:rsidRPr="007B1C41" w:rsidRDefault="00D72508" w:rsidP="00D72508">
      <w:pPr>
        <w:spacing w:after="0" w:line="240" w:lineRule="auto"/>
        <w:rPr>
          <w:rStyle w:val="Hyperlink"/>
          <w:rFonts w:ascii="Arial" w:eastAsia="Calibri" w:hAnsi="Arial" w:cs="Arial"/>
          <w:color w:val="auto"/>
          <w:kern w:val="24"/>
          <w:u w:val="none"/>
          <w:lang w:val="fr-FR"/>
        </w:rPr>
      </w:pPr>
      <w:r w:rsidRPr="007B1C41">
        <w:rPr>
          <w:rStyle w:val="Hyperlink"/>
          <w:rFonts w:ascii="Arial" w:eastAsia="Calibri" w:hAnsi="Arial" w:cs="Arial"/>
          <w:color w:val="auto"/>
          <w:kern w:val="24"/>
          <w:u w:val="none"/>
          <w:lang w:val="fr-FR"/>
        </w:rPr>
        <w:t xml:space="preserve">CAR - Dyscalculie: </w:t>
      </w:r>
      <w:hyperlink r:id="rId46" w:history="1">
        <w:r w:rsidRPr="007B1C41">
          <w:rPr>
            <w:rStyle w:val="Hyperlink"/>
            <w:rFonts w:ascii="Arial" w:eastAsia="Calibri" w:hAnsi="Arial" w:cs="Arial"/>
            <w:color w:val="auto"/>
            <w:kern w:val="24"/>
            <w:u w:val="none"/>
            <w:lang w:val="fr-FR"/>
          </w:rPr>
          <w:t>https://www.riziv.fgov.be/SiteCollectionDocuments/lijst-revalidatie-dyscalculie.pdf</w:t>
        </w:r>
      </w:hyperlink>
    </w:p>
    <w:p w14:paraId="756CD7D7" w14:textId="77777777" w:rsidR="00D72508" w:rsidRPr="007B1C41" w:rsidRDefault="00D72508" w:rsidP="00D72508">
      <w:pPr>
        <w:spacing w:after="0" w:line="240" w:lineRule="auto"/>
        <w:rPr>
          <w:rStyle w:val="Hyperlink"/>
          <w:rFonts w:ascii="Arial" w:hAnsi="Arial" w:cs="Arial"/>
          <w:color w:val="auto"/>
          <w:u w:val="none"/>
          <w:lang w:val="fr-FR"/>
        </w:rPr>
      </w:pPr>
    </w:p>
    <w:p w14:paraId="6BA1388E" w14:textId="77777777" w:rsidR="007E2C42" w:rsidRPr="007B1C41" w:rsidRDefault="00D72508" w:rsidP="00D72508">
      <w:pPr>
        <w:spacing w:after="0" w:line="240" w:lineRule="auto"/>
        <w:rPr>
          <w:rFonts w:ascii="Arial" w:hAnsi="Arial" w:cs="Arial"/>
        </w:rPr>
      </w:pPr>
      <w:r w:rsidRPr="007B1C41">
        <w:rPr>
          <w:rStyle w:val="Hyperlink"/>
          <w:rFonts w:ascii="Arial" w:hAnsi="Arial" w:cs="Arial"/>
          <w:color w:val="auto"/>
          <w:u w:val="none"/>
        </w:rPr>
        <w:t xml:space="preserve">CLB - Algemeen: </w:t>
      </w:r>
      <w:hyperlink r:id="rId47" w:history="1">
        <w:r w:rsidR="007E2C42" w:rsidRPr="007B1C41">
          <w:rPr>
            <w:rStyle w:val="Hyperlink"/>
            <w:rFonts w:ascii="Arial" w:hAnsi="Arial" w:cs="Arial"/>
            <w:color w:val="auto"/>
            <w:u w:val="none"/>
          </w:rPr>
          <w:t>http://www.prodiagnostiek.be/?q=faq-page/5</w:t>
        </w:r>
      </w:hyperlink>
    </w:p>
    <w:p w14:paraId="23039DB1" w14:textId="77777777" w:rsidR="00D72508" w:rsidRPr="007B1C41" w:rsidRDefault="00D72508" w:rsidP="00D72508">
      <w:pPr>
        <w:spacing w:after="0" w:line="240" w:lineRule="auto"/>
        <w:rPr>
          <w:rFonts w:ascii="Arial" w:hAnsi="Arial" w:cs="Arial"/>
        </w:rPr>
      </w:pPr>
      <w:r w:rsidRPr="007B1C41">
        <w:rPr>
          <w:rFonts w:ascii="Arial" w:hAnsi="Arial" w:cs="Arial"/>
        </w:rPr>
        <w:t xml:space="preserve">CLB - Algemeen: </w:t>
      </w:r>
      <w:hyperlink r:id="rId48" w:history="1">
        <w:r w:rsidRPr="007B1C41">
          <w:rPr>
            <w:rFonts w:ascii="Arial" w:hAnsi="Arial" w:cs="Arial"/>
          </w:rPr>
          <w:t>http://www.prodiagnostiek.be/?q=protocollen</w:t>
        </w:r>
      </w:hyperlink>
    </w:p>
    <w:p w14:paraId="5CC55DC0" w14:textId="77777777" w:rsidR="00D72508" w:rsidRPr="007B1C41" w:rsidRDefault="00D72508" w:rsidP="00D72508">
      <w:pPr>
        <w:spacing w:after="0" w:line="240" w:lineRule="auto"/>
        <w:rPr>
          <w:rFonts w:ascii="Arial" w:hAnsi="Arial" w:cs="Arial"/>
          <w:bCs/>
          <w:lang w:eastAsia="nl-BE"/>
        </w:rPr>
      </w:pPr>
      <w:r w:rsidRPr="007B1C41">
        <w:rPr>
          <w:rFonts w:ascii="Arial" w:hAnsi="Arial" w:cs="Arial"/>
          <w:bCs/>
          <w:lang w:eastAsia="nl-BE"/>
        </w:rPr>
        <w:t>CLB – Algemeen: FAQ: http://www.prodiagnostiek.be/?q=faq-page/5#t5n153</w:t>
      </w:r>
    </w:p>
    <w:p w14:paraId="1AAA6F69" w14:textId="77777777" w:rsidR="00D72508" w:rsidRPr="007B1C41" w:rsidRDefault="00D72508" w:rsidP="00D72508">
      <w:pPr>
        <w:spacing w:after="0" w:line="240" w:lineRule="auto"/>
        <w:rPr>
          <w:rFonts w:ascii="Arial" w:hAnsi="Arial" w:cs="Arial"/>
        </w:rPr>
      </w:pPr>
      <w:r w:rsidRPr="007B1C41">
        <w:rPr>
          <w:rStyle w:val="Hyperlink"/>
          <w:rFonts w:ascii="Arial" w:hAnsi="Arial" w:cs="Arial"/>
          <w:color w:val="auto"/>
          <w:u w:val="none"/>
        </w:rPr>
        <w:t xml:space="preserve">CLB- Algemeen: </w:t>
      </w:r>
      <w:hyperlink r:id="rId49" w:history="1">
        <w:r w:rsidRPr="007B1C41">
          <w:rPr>
            <w:rStyle w:val="Hyperlink"/>
            <w:rFonts w:ascii="Arial" w:hAnsi="Arial" w:cs="Arial"/>
            <w:color w:val="auto"/>
            <w:u w:val="none"/>
          </w:rPr>
          <w:t>http://www.vclb-service.be/?ID=30545&amp;cat=2881&amp;product=3432</w:t>
        </w:r>
      </w:hyperlink>
    </w:p>
    <w:p w14:paraId="1780CEC3" w14:textId="77777777" w:rsidR="007E2C42" w:rsidRPr="0069529A" w:rsidRDefault="00D72508" w:rsidP="00D72508">
      <w:pPr>
        <w:spacing w:after="0" w:line="240" w:lineRule="auto"/>
        <w:rPr>
          <w:rFonts w:ascii="Arial" w:hAnsi="Arial" w:cs="Arial"/>
          <w:lang w:val="de-DE"/>
        </w:rPr>
      </w:pPr>
      <w:r w:rsidRPr="0069529A">
        <w:rPr>
          <w:rStyle w:val="Hyperlink"/>
          <w:rFonts w:ascii="Arial" w:hAnsi="Arial" w:cs="Arial"/>
          <w:color w:val="auto"/>
          <w:u w:val="none"/>
          <w:lang w:val="de-DE"/>
        </w:rPr>
        <w:t xml:space="preserve">CLB - Dyslexie: </w:t>
      </w:r>
      <w:hyperlink r:id="rId50" w:history="1">
        <w:r w:rsidR="007E2C42" w:rsidRPr="0069529A">
          <w:rPr>
            <w:rStyle w:val="Hyperlink"/>
            <w:rFonts w:ascii="Arial" w:hAnsi="Arial" w:cs="Arial"/>
            <w:color w:val="auto"/>
            <w:u w:val="none"/>
            <w:lang w:val="de-DE"/>
          </w:rPr>
          <w:t>http://www.prodiagnostiek.be/?q=lezen-spellen</w:t>
        </w:r>
      </w:hyperlink>
    </w:p>
    <w:p w14:paraId="4388CA7C" w14:textId="77777777" w:rsidR="007E2C42" w:rsidRPr="0069529A" w:rsidRDefault="00D72508" w:rsidP="00D72508">
      <w:pPr>
        <w:spacing w:after="0" w:line="240" w:lineRule="auto"/>
        <w:rPr>
          <w:rStyle w:val="Hyperlink"/>
          <w:rFonts w:ascii="Arial" w:hAnsi="Arial" w:cs="Arial"/>
          <w:color w:val="auto"/>
          <w:u w:val="none"/>
          <w:lang w:val="de-DE"/>
        </w:rPr>
      </w:pPr>
      <w:r w:rsidRPr="0069529A">
        <w:rPr>
          <w:rStyle w:val="Hyperlink"/>
          <w:rFonts w:ascii="Arial" w:hAnsi="Arial" w:cs="Arial"/>
          <w:color w:val="auto"/>
          <w:u w:val="none"/>
          <w:lang w:val="de-DE"/>
        </w:rPr>
        <w:t xml:space="preserve">CLB – Dyslexie: </w:t>
      </w:r>
      <w:hyperlink r:id="rId51" w:history="1">
        <w:r w:rsidR="007E2C42" w:rsidRPr="0069529A">
          <w:rPr>
            <w:rStyle w:val="Hyperlink"/>
            <w:rFonts w:ascii="Arial" w:hAnsi="Arial" w:cs="Arial"/>
            <w:color w:val="auto"/>
            <w:u w:val="none"/>
            <w:lang w:val="de-DE"/>
          </w:rPr>
          <w:t>http://www.prodiagnostiek.be/?q=toolkit-lezen-spellen</w:t>
        </w:r>
      </w:hyperlink>
    </w:p>
    <w:p w14:paraId="71CCC100" w14:textId="77777777" w:rsidR="007E2C42" w:rsidRPr="0069529A" w:rsidRDefault="00D72508" w:rsidP="00D72508">
      <w:pPr>
        <w:spacing w:after="0" w:line="240" w:lineRule="auto"/>
        <w:rPr>
          <w:rFonts w:ascii="Arial" w:hAnsi="Arial" w:cs="Arial"/>
          <w:lang w:val="fr-FR"/>
        </w:rPr>
      </w:pPr>
      <w:r w:rsidRPr="0069529A">
        <w:rPr>
          <w:rStyle w:val="Hyperlink"/>
          <w:rFonts w:ascii="Arial" w:hAnsi="Arial" w:cs="Arial"/>
          <w:color w:val="auto"/>
          <w:u w:val="none"/>
          <w:lang w:val="fr-FR"/>
        </w:rPr>
        <w:t xml:space="preserve">CLB – Dyscalculie: </w:t>
      </w:r>
      <w:hyperlink r:id="rId52" w:history="1">
        <w:r w:rsidR="007E2C42" w:rsidRPr="0069529A">
          <w:rPr>
            <w:rStyle w:val="Hyperlink"/>
            <w:rFonts w:ascii="Arial" w:hAnsi="Arial" w:cs="Arial"/>
            <w:color w:val="auto"/>
            <w:u w:val="none"/>
            <w:lang w:val="fr-FR"/>
          </w:rPr>
          <w:t>http://www.prodiagnostiek.be/?q=toolkit-wiskunde</w:t>
        </w:r>
      </w:hyperlink>
    </w:p>
    <w:p w14:paraId="5715018D" w14:textId="77777777" w:rsidR="007E2C42" w:rsidRPr="007B1C41" w:rsidRDefault="00D72508" w:rsidP="00D72508">
      <w:pPr>
        <w:spacing w:after="0" w:line="240" w:lineRule="auto"/>
        <w:rPr>
          <w:rFonts w:ascii="Arial" w:hAnsi="Arial" w:cs="Arial"/>
          <w:lang w:val="fr-FR"/>
        </w:rPr>
      </w:pPr>
      <w:r w:rsidRPr="007B1C41">
        <w:rPr>
          <w:rStyle w:val="Hyperlink"/>
          <w:rFonts w:ascii="Arial" w:hAnsi="Arial" w:cs="Arial"/>
          <w:color w:val="auto"/>
          <w:u w:val="none"/>
          <w:lang w:val="fr-FR"/>
        </w:rPr>
        <w:t xml:space="preserve">CLB – Dyscalculie: </w:t>
      </w:r>
      <w:hyperlink r:id="rId53" w:history="1">
        <w:r w:rsidR="007E2C42" w:rsidRPr="007B1C41">
          <w:rPr>
            <w:rStyle w:val="Hyperlink"/>
            <w:rFonts w:ascii="Arial" w:hAnsi="Arial" w:cs="Arial"/>
            <w:color w:val="auto"/>
            <w:u w:val="none"/>
            <w:lang w:val="fr-FR"/>
          </w:rPr>
          <w:t>http://www.prodiagnostiek.be/?q=wiskunde</w:t>
        </w:r>
      </w:hyperlink>
    </w:p>
    <w:p w14:paraId="5BE9756F" w14:textId="77777777" w:rsidR="00282F37" w:rsidRPr="007B1C41" w:rsidRDefault="00D72508" w:rsidP="00D72508">
      <w:pPr>
        <w:spacing w:after="0" w:line="240" w:lineRule="auto"/>
        <w:rPr>
          <w:rStyle w:val="Hyperlink"/>
          <w:rFonts w:ascii="Arial" w:hAnsi="Arial" w:cs="Arial"/>
          <w:color w:val="auto"/>
          <w:u w:val="none"/>
          <w:lang w:val="fr-FR"/>
        </w:rPr>
      </w:pPr>
      <w:r w:rsidRPr="007B1C41">
        <w:rPr>
          <w:rStyle w:val="Hyperlink"/>
          <w:rFonts w:ascii="Arial" w:hAnsi="Arial" w:cs="Arial"/>
          <w:color w:val="auto"/>
          <w:u w:val="none"/>
          <w:lang w:val="fr-FR"/>
        </w:rPr>
        <w:t xml:space="preserve">CLB - Dyscalculie: </w:t>
      </w:r>
    </w:p>
    <w:p w14:paraId="264AFCCA" w14:textId="77777777" w:rsidR="007E2C42" w:rsidRPr="007B1C41" w:rsidRDefault="00DF3D3B" w:rsidP="00D72508">
      <w:pPr>
        <w:spacing w:after="0" w:line="240" w:lineRule="auto"/>
        <w:rPr>
          <w:rFonts w:ascii="Arial" w:hAnsi="Arial" w:cs="Arial"/>
          <w:lang w:val="fr-FR"/>
        </w:rPr>
      </w:pPr>
      <w:hyperlink r:id="rId54" w:history="1">
        <w:r w:rsidR="007E2C42" w:rsidRPr="007B1C41">
          <w:rPr>
            <w:rStyle w:val="Hyperlink"/>
            <w:rFonts w:ascii="Arial" w:hAnsi="Arial" w:cs="Arial"/>
            <w:color w:val="auto"/>
            <w:u w:val="none"/>
            <w:lang w:val="fr-FR"/>
          </w:rPr>
          <w:t>http://www.prodiagnostiek.be/sites/default/files/170116%20Aangepast%20onderzoeksschema%20protocol%20Wiskunde.pdf</w:t>
        </w:r>
      </w:hyperlink>
    </w:p>
    <w:p w14:paraId="25D0A694" w14:textId="77777777" w:rsidR="00282F37" w:rsidRPr="007B1C41" w:rsidRDefault="00282F37" w:rsidP="00282F37">
      <w:pPr>
        <w:spacing w:after="0" w:line="240" w:lineRule="auto"/>
        <w:rPr>
          <w:rFonts w:ascii="Arial" w:hAnsi="Arial" w:cs="Arial"/>
          <w:bCs/>
          <w:lang w:val="fr-FR" w:eastAsia="nl-BE"/>
        </w:rPr>
      </w:pPr>
    </w:p>
    <w:p w14:paraId="50934365" w14:textId="77777777" w:rsidR="00282F37" w:rsidRPr="007B1C41" w:rsidRDefault="00DF3D3B" w:rsidP="00282F37">
      <w:pPr>
        <w:spacing w:after="0" w:line="240" w:lineRule="auto"/>
        <w:rPr>
          <w:rFonts w:ascii="Arial" w:hAnsi="Arial" w:cs="Arial"/>
          <w:bCs/>
          <w:lang w:val="fr-FR" w:eastAsia="nl-BE"/>
        </w:rPr>
      </w:pPr>
      <w:hyperlink r:id="rId55" w:history="1">
        <w:r w:rsidR="00282F37" w:rsidRPr="007B1C41">
          <w:rPr>
            <w:rStyle w:val="Hyperlink"/>
            <w:rFonts w:ascii="Arial" w:hAnsi="Arial" w:cs="Arial"/>
            <w:bCs/>
            <w:color w:val="auto"/>
            <w:u w:val="none"/>
            <w:lang w:val="fr-FR" w:eastAsia="nl-BE"/>
          </w:rPr>
          <w:t>https://www.cap-vademecum.be</w:t>
        </w:r>
      </w:hyperlink>
      <w:r w:rsidR="00282F37" w:rsidRPr="007B1C41">
        <w:rPr>
          <w:rFonts w:ascii="Arial" w:hAnsi="Arial" w:cs="Arial"/>
          <w:bCs/>
          <w:lang w:val="fr-FR" w:eastAsia="nl-BE"/>
        </w:rPr>
        <w:t xml:space="preserve"> </w:t>
      </w:r>
    </w:p>
    <w:p w14:paraId="3C8D6C68" w14:textId="77777777" w:rsidR="00282F37" w:rsidRPr="007B1C41" w:rsidRDefault="00282F37" w:rsidP="00282F37">
      <w:pPr>
        <w:spacing w:after="0" w:line="240" w:lineRule="auto"/>
        <w:rPr>
          <w:rFonts w:ascii="Arial" w:hAnsi="Arial" w:cs="Arial"/>
          <w:bCs/>
          <w:lang w:val="fr-FR" w:eastAsia="nl-BE"/>
        </w:rPr>
      </w:pPr>
      <w:r w:rsidRPr="007B1C41">
        <w:rPr>
          <w:rFonts w:ascii="Arial" w:hAnsi="Arial" w:cs="Arial"/>
          <w:bCs/>
          <w:lang w:val="fr-FR" w:eastAsia="nl-BE"/>
        </w:rPr>
        <w:t>https://www.cotandocumentatie.nl/cotan/beoordelingssysteem/</w:t>
      </w:r>
    </w:p>
    <w:p w14:paraId="1884AF25" w14:textId="77777777" w:rsidR="00282F37" w:rsidRPr="007B1C41" w:rsidRDefault="00282F37" w:rsidP="00282F37">
      <w:pPr>
        <w:spacing w:line="240" w:lineRule="auto"/>
        <w:rPr>
          <w:rFonts w:ascii="Arial" w:hAnsi="Arial" w:cs="Arial"/>
          <w:bCs/>
          <w:lang w:val="fr-FR" w:eastAsia="nl-BE"/>
        </w:rPr>
      </w:pPr>
      <w:r w:rsidRPr="007B1C41">
        <w:rPr>
          <w:rFonts w:ascii="Arial" w:hAnsi="Arial" w:cs="Arial"/>
          <w:bCs/>
          <w:lang w:val="fr-FR" w:eastAsia="nl-BE"/>
        </w:rPr>
        <w:lastRenderedPageBreak/>
        <w:t>http://www.vlaamsforumdiagnostiek.be/links.html</w:t>
      </w:r>
    </w:p>
    <w:p w14:paraId="353FDE5B" w14:textId="77777777" w:rsidR="00282F37" w:rsidRPr="007B1C41" w:rsidRDefault="00DF3D3B" w:rsidP="00282F37">
      <w:pPr>
        <w:spacing w:line="240" w:lineRule="auto"/>
        <w:rPr>
          <w:rStyle w:val="Hyperlink"/>
          <w:rFonts w:ascii="Arial" w:hAnsi="Arial" w:cs="Arial"/>
          <w:color w:val="auto"/>
          <w:u w:val="none"/>
          <w:lang w:val="fr-FR"/>
        </w:rPr>
      </w:pPr>
      <w:hyperlink r:id="rId56" w:history="1">
        <w:r w:rsidR="00282F37" w:rsidRPr="007B1C41">
          <w:rPr>
            <w:rStyle w:val="Hyperlink"/>
            <w:rFonts w:ascii="Arial" w:hAnsi="Arial" w:cs="Arial"/>
            <w:color w:val="auto"/>
            <w:u w:val="none"/>
            <w:lang w:val="fr-FR"/>
          </w:rPr>
          <w:t>http://www.stichtingdyslexienederland.nl/images/publicaties/dyslexie_diagnostiek_en_behandeling_2016.pdf</w:t>
        </w:r>
      </w:hyperlink>
    </w:p>
    <w:p w14:paraId="6E422093" w14:textId="77777777" w:rsidR="00D72508" w:rsidRPr="007B1C41" w:rsidRDefault="00D72508" w:rsidP="007E2C42">
      <w:pPr>
        <w:spacing w:line="240" w:lineRule="auto"/>
        <w:rPr>
          <w:rStyle w:val="Hyperlink"/>
          <w:rFonts w:ascii="Arial" w:hAnsi="Arial" w:cs="Arial"/>
          <w:color w:val="auto"/>
          <w:u w:val="none"/>
          <w:lang w:val="fr-FR"/>
        </w:rPr>
      </w:pPr>
    </w:p>
    <w:p w14:paraId="79E8873C" w14:textId="77777777" w:rsidR="007E2C42" w:rsidRPr="007B1C41" w:rsidRDefault="00D72508" w:rsidP="007E2C42">
      <w:pPr>
        <w:spacing w:line="240" w:lineRule="auto"/>
        <w:rPr>
          <w:rFonts w:ascii="Arial" w:hAnsi="Arial" w:cs="Arial"/>
        </w:rPr>
      </w:pPr>
      <w:r w:rsidRPr="007B1C41">
        <w:rPr>
          <w:rStyle w:val="Hyperlink"/>
          <w:rFonts w:ascii="Arial" w:hAnsi="Arial" w:cs="Arial"/>
          <w:color w:val="auto"/>
          <w:u w:val="none"/>
        </w:rPr>
        <w:t xml:space="preserve">Logopedie - Algemeen: </w:t>
      </w:r>
      <w:hyperlink r:id="rId57" w:history="1">
        <w:r w:rsidRPr="007B1C41">
          <w:rPr>
            <w:rStyle w:val="Hyperlink"/>
            <w:rFonts w:ascii="Arial" w:hAnsi="Arial" w:cs="Arial"/>
            <w:color w:val="auto"/>
            <w:u w:val="none"/>
          </w:rPr>
          <w:t>https://www.riziv.fgov.be/nl/professionals/individuelezorgverleners/logopedisten/Paginas/logopedisten-limitatieve-lijst-tests.aspx</w:t>
        </w:r>
      </w:hyperlink>
    </w:p>
    <w:p w14:paraId="6898EEEC" w14:textId="77777777" w:rsidR="009D74EC" w:rsidRPr="007B1C41" w:rsidRDefault="009D74EC" w:rsidP="009D74EC">
      <w:pPr>
        <w:spacing w:after="0" w:line="240" w:lineRule="auto"/>
        <w:rPr>
          <w:rFonts w:ascii="Arial" w:hAnsi="Arial" w:cs="Arial"/>
          <w:lang w:val="de-DE"/>
        </w:rPr>
      </w:pPr>
      <w:r w:rsidRPr="007B1C41">
        <w:rPr>
          <w:rStyle w:val="Hyperlink"/>
          <w:rFonts w:ascii="Arial" w:hAnsi="Arial" w:cs="Arial"/>
          <w:color w:val="auto"/>
          <w:u w:val="none"/>
          <w:lang w:val="de-DE"/>
        </w:rPr>
        <w:t>Logopedie</w:t>
      </w:r>
      <w:r w:rsidR="00D72508" w:rsidRPr="007B1C41">
        <w:rPr>
          <w:rStyle w:val="Hyperlink"/>
          <w:rFonts w:ascii="Arial" w:hAnsi="Arial" w:cs="Arial"/>
          <w:color w:val="auto"/>
          <w:u w:val="none"/>
          <w:lang w:val="de-DE"/>
        </w:rPr>
        <w:t xml:space="preserve"> - Dyslexie</w:t>
      </w:r>
      <w:r w:rsidRPr="007B1C41">
        <w:rPr>
          <w:rStyle w:val="Hyperlink"/>
          <w:rFonts w:ascii="Arial" w:hAnsi="Arial" w:cs="Arial"/>
          <w:color w:val="auto"/>
          <w:u w:val="none"/>
          <w:lang w:val="de-DE"/>
        </w:rPr>
        <w:t xml:space="preserve"> : </w:t>
      </w:r>
      <w:hyperlink r:id="rId58" w:history="1">
        <w:r w:rsidRPr="007B1C41">
          <w:rPr>
            <w:rStyle w:val="Hyperlink"/>
            <w:rFonts w:ascii="Arial" w:hAnsi="Arial" w:cs="Arial"/>
            <w:color w:val="auto"/>
            <w:u w:val="none"/>
            <w:lang w:val="de-DE"/>
          </w:rPr>
          <w:t>https://www.riziv.fgov.be/nl/professionals/individuelezorgverleners/logopedisten/Paginas/logopedisten-limitatieve-lijst-tests.aspx</w:t>
        </w:r>
      </w:hyperlink>
    </w:p>
    <w:p w14:paraId="4E12C3C0" w14:textId="77777777" w:rsidR="00D72508" w:rsidRPr="007B1C41" w:rsidRDefault="00D72508" w:rsidP="009D74EC">
      <w:pPr>
        <w:spacing w:after="0" w:line="240" w:lineRule="auto"/>
        <w:rPr>
          <w:rStyle w:val="Hyperlink"/>
          <w:rFonts w:ascii="Arial" w:hAnsi="Arial" w:cs="Arial"/>
          <w:color w:val="auto"/>
          <w:u w:val="none"/>
          <w:lang w:val="de-DE"/>
        </w:rPr>
      </w:pPr>
    </w:p>
    <w:p w14:paraId="40EC8BCB" w14:textId="77777777" w:rsidR="009D74EC" w:rsidRPr="007B1C41" w:rsidRDefault="009D74EC" w:rsidP="009D74EC">
      <w:pPr>
        <w:spacing w:after="0" w:line="240" w:lineRule="auto"/>
        <w:rPr>
          <w:rFonts w:ascii="Arial" w:hAnsi="Arial" w:cs="Arial"/>
          <w:lang w:val="de-DE"/>
        </w:rPr>
      </w:pPr>
      <w:r w:rsidRPr="007B1C41">
        <w:rPr>
          <w:rStyle w:val="Hyperlink"/>
          <w:rFonts w:ascii="Arial" w:hAnsi="Arial" w:cs="Arial"/>
          <w:color w:val="auto"/>
          <w:u w:val="none"/>
          <w:lang w:val="de-DE"/>
        </w:rPr>
        <w:t>Logopedie</w:t>
      </w:r>
      <w:r w:rsidR="00D72508" w:rsidRPr="007B1C41">
        <w:rPr>
          <w:rStyle w:val="Hyperlink"/>
          <w:rFonts w:ascii="Arial" w:hAnsi="Arial" w:cs="Arial"/>
          <w:color w:val="auto"/>
          <w:u w:val="none"/>
          <w:lang w:val="de-DE"/>
        </w:rPr>
        <w:t xml:space="preserve"> - Dysorthografie</w:t>
      </w:r>
      <w:r w:rsidRPr="007B1C41">
        <w:rPr>
          <w:rStyle w:val="Hyperlink"/>
          <w:rFonts w:ascii="Arial" w:hAnsi="Arial" w:cs="Arial"/>
          <w:color w:val="auto"/>
          <w:u w:val="none"/>
          <w:lang w:val="de-DE"/>
        </w:rPr>
        <w:t xml:space="preserve">: </w:t>
      </w:r>
      <w:hyperlink r:id="rId59" w:history="1">
        <w:r w:rsidRPr="007B1C41">
          <w:rPr>
            <w:rStyle w:val="Hyperlink"/>
            <w:rFonts w:ascii="Arial" w:hAnsi="Arial" w:cs="Arial"/>
            <w:color w:val="auto"/>
            <w:u w:val="none"/>
            <w:lang w:val="de-DE"/>
          </w:rPr>
          <w:t>https://www.riziv.fgov.be/SiteCollectionDocuments/lijst-logopedist-tests-dysorthografie.pdf</w:t>
        </w:r>
      </w:hyperlink>
    </w:p>
    <w:p w14:paraId="4DBBCBED" w14:textId="77777777" w:rsidR="00D72508" w:rsidRPr="007B1C41" w:rsidRDefault="00D72508" w:rsidP="009D74EC">
      <w:pPr>
        <w:spacing w:after="0" w:line="240" w:lineRule="auto"/>
        <w:rPr>
          <w:rFonts w:ascii="Arial" w:hAnsi="Arial" w:cs="Arial"/>
          <w:lang w:val="de-DE"/>
        </w:rPr>
      </w:pPr>
    </w:p>
    <w:p w14:paraId="388B337E" w14:textId="77777777" w:rsidR="009D74EC" w:rsidRPr="007B1C41" w:rsidRDefault="009D74EC" w:rsidP="009D74EC">
      <w:pPr>
        <w:spacing w:after="0" w:line="240" w:lineRule="auto"/>
        <w:rPr>
          <w:rFonts w:ascii="Arial" w:hAnsi="Arial" w:cs="Arial"/>
          <w:lang w:val="de-DE"/>
        </w:rPr>
      </w:pPr>
      <w:r w:rsidRPr="007B1C41">
        <w:rPr>
          <w:rFonts w:ascii="Arial" w:hAnsi="Arial" w:cs="Arial"/>
          <w:lang w:val="de-DE"/>
        </w:rPr>
        <w:t>Logopedie</w:t>
      </w:r>
      <w:r w:rsidR="00D72508" w:rsidRPr="007B1C41">
        <w:rPr>
          <w:rFonts w:ascii="Arial" w:hAnsi="Arial" w:cs="Arial"/>
          <w:lang w:val="de-DE"/>
        </w:rPr>
        <w:t xml:space="preserve"> - Dyscalculie</w:t>
      </w:r>
      <w:r w:rsidRPr="007B1C41">
        <w:rPr>
          <w:rFonts w:ascii="Arial" w:hAnsi="Arial" w:cs="Arial"/>
          <w:lang w:val="de-DE"/>
        </w:rPr>
        <w:t>:  https://www.riziv.fgov.be/SiteCollectionDocuments/lijst-logopedist-tests-dyscalculie.pdf</w:t>
      </w:r>
    </w:p>
    <w:sectPr w:rsidR="009D74EC" w:rsidRPr="007B1C41">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940504" w16cid:durableId="20A3B0B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51F18" w14:textId="77777777" w:rsidR="00DF3D3B" w:rsidRDefault="00DF3D3B" w:rsidP="0019548B">
      <w:pPr>
        <w:spacing w:after="0" w:line="240" w:lineRule="auto"/>
      </w:pPr>
      <w:r>
        <w:separator/>
      </w:r>
    </w:p>
  </w:endnote>
  <w:endnote w:type="continuationSeparator" w:id="0">
    <w:p w14:paraId="13758474" w14:textId="77777777" w:rsidR="00DF3D3B" w:rsidRDefault="00DF3D3B" w:rsidP="00195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altName w:val="Sylfaen"/>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37665" w14:textId="77777777" w:rsidR="00DF3D3B" w:rsidRDefault="00DF3D3B" w:rsidP="0019548B">
      <w:pPr>
        <w:spacing w:after="0" w:line="240" w:lineRule="auto"/>
      </w:pPr>
      <w:r>
        <w:separator/>
      </w:r>
    </w:p>
  </w:footnote>
  <w:footnote w:type="continuationSeparator" w:id="0">
    <w:p w14:paraId="20F16735" w14:textId="77777777" w:rsidR="00DF3D3B" w:rsidRDefault="00DF3D3B" w:rsidP="001954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5BA1"/>
    <w:multiLevelType w:val="multilevel"/>
    <w:tmpl w:val="E6A278B6"/>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8763AF7"/>
    <w:multiLevelType w:val="multilevel"/>
    <w:tmpl w:val="C83C20CA"/>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5062DD6"/>
    <w:multiLevelType w:val="multilevel"/>
    <w:tmpl w:val="50461AA6"/>
    <w:lvl w:ilvl="0">
      <w:start w:val="5"/>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 w15:restartNumberingAfterBreak="0">
    <w:nsid w:val="15A75D4A"/>
    <w:multiLevelType w:val="hybridMultilevel"/>
    <w:tmpl w:val="DF30BB9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B274B69"/>
    <w:multiLevelType w:val="multilevel"/>
    <w:tmpl w:val="E6A278B6"/>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0272E94"/>
    <w:multiLevelType w:val="multilevel"/>
    <w:tmpl w:val="2CA646E0"/>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713074"/>
    <w:multiLevelType w:val="multilevel"/>
    <w:tmpl w:val="71761B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E43FE0"/>
    <w:multiLevelType w:val="hybridMultilevel"/>
    <w:tmpl w:val="9C7E2F00"/>
    <w:lvl w:ilvl="0" w:tplc="B4C6A2BE">
      <w:start w:val="1"/>
      <w:numFmt w:val="decimal"/>
      <w:lvlText w:val="%1."/>
      <w:lvlJc w:val="left"/>
      <w:pPr>
        <w:tabs>
          <w:tab w:val="num" w:pos="907"/>
        </w:tabs>
        <w:ind w:left="907" w:hanging="368"/>
      </w:pPr>
      <w:rPr>
        <w:rFonts w:cs="Wingdings" w:hint="default"/>
        <w:i w:val="0"/>
        <w:color w:val="auto"/>
      </w:rPr>
    </w:lvl>
    <w:lvl w:ilvl="1" w:tplc="DE4A6654">
      <w:start w:val="1"/>
      <w:numFmt w:val="decimal"/>
      <w:lvlText w:val="%2."/>
      <w:lvlJc w:val="left"/>
      <w:pPr>
        <w:tabs>
          <w:tab w:val="num" w:pos="1448"/>
        </w:tabs>
        <w:ind w:left="1448" w:hanging="368"/>
      </w:pPr>
      <w:rPr>
        <w:rFonts w:hint="default"/>
        <w:i w:val="0"/>
        <w:color w:val="auto"/>
        <w:sz w:val="2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2C207A5A"/>
    <w:multiLevelType w:val="multilevel"/>
    <w:tmpl w:val="5BE4991C"/>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4324BE"/>
    <w:multiLevelType w:val="hybridMultilevel"/>
    <w:tmpl w:val="976A2DEE"/>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F2A28E4"/>
    <w:multiLevelType w:val="multilevel"/>
    <w:tmpl w:val="B7EEA8AA"/>
    <w:lvl w:ilvl="0">
      <w:start w:val="3"/>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0451015"/>
    <w:multiLevelType w:val="multilevel"/>
    <w:tmpl w:val="2FA63CE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737F1"/>
    <w:multiLevelType w:val="multilevel"/>
    <w:tmpl w:val="C3CC007A"/>
    <w:lvl w:ilvl="0">
      <w:start w:val="3"/>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15:restartNumberingAfterBreak="0">
    <w:nsid w:val="33A3213F"/>
    <w:multiLevelType w:val="multilevel"/>
    <w:tmpl w:val="409AD50A"/>
    <w:lvl w:ilvl="0">
      <w:start w:val="2"/>
      <w:numFmt w:val="decimal"/>
      <w:lvlText w:val="%1."/>
      <w:lvlJc w:val="left"/>
      <w:pPr>
        <w:ind w:left="720" w:hanging="360"/>
      </w:pPr>
      <w:rPr>
        <w:rFonts w:eastAsia="Perpetua" w:hint="default"/>
        <w:color w:val="181717"/>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B7E75"/>
    <w:multiLevelType w:val="multilevel"/>
    <w:tmpl w:val="335473B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CF2A22"/>
    <w:multiLevelType w:val="multilevel"/>
    <w:tmpl w:val="E6A278B6"/>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3E797567"/>
    <w:multiLevelType w:val="hybridMultilevel"/>
    <w:tmpl w:val="90580C46"/>
    <w:lvl w:ilvl="0" w:tplc="630C492E">
      <w:start w:val="1"/>
      <w:numFmt w:val="decimal"/>
      <w:lvlText w:val="%1."/>
      <w:lvlJc w:val="left"/>
      <w:pPr>
        <w:tabs>
          <w:tab w:val="num" w:pos="907"/>
        </w:tabs>
        <w:ind w:left="907" w:hanging="367"/>
      </w:pPr>
      <w:rPr>
        <w:rFonts w:hint="default"/>
        <w:b w:val="0"/>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41B61A7C"/>
    <w:multiLevelType w:val="multilevel"/>
    <w:tmpl w:val="08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8" w15:restartNumberingAfterBreak="0">
    <w:nsid w:val="43067E76"/>
    <w:multiLevelType w:val="multilevel"/>
    <w:tmpl w:val="867A9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53315B"/>
    <w:multiLevelType w:val="multilevel"/>
    <w:tmpl w:val="73C85EBC"/>
    <w:lvl w:ilvl="0">
      <w:start w:val="4"/>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459D53A5"/>
    <w:multiLevelType w:val="hybridMultilevel"/>
    <w:tmpl w:val="AB78CC0E"/>
    <w:lvl w:ilvl="0" w:tplc="D2045980">
      <w:start w:val="1"/>
      <w:numFmt w:val="decimal"/>
      <w:lvlText w:val="%1."/>
      <w:lvlJc w:val="left"/>
      <w:pPr>
        <w:ind w:left="720" w:hanging="360"/>
      </w:pPr>
      <w:rPr>
        <w:sz w:val="20"/>
        <w:szCs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481767E5"/>
    <w:multiLevelType w:val="hybridMultilevel"/>
    <w:tmpl w:val="50AC65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4C1E52F2"/>
    <w:multiLevelType w:val="hybridMultilevel"/>
    <w:tmpl w:val="B0BEE572"/>
    <w:lvl w:ilvl="0" w:tplc="EDCC5E4E">
      <w:start w:val="1"/>
      <w:numFmt w:val="bullet"/>
      <w:lvlText w:val="•"/>
      <w:lvlJc w:val="left"/>
      <w:pPr>
        <w:tabs>
          <w:tab w:val="num" w:pos="720"/>
        </w:tabs>
        <w:ind w:left="720" w:hanging="360"/>
      </w:pPr>
      <w:rPr>
        <w:rFonts w:ascii="Arial" w:hAnsi="Arial" w:hint="default"/>
      </w:rPr>
    </w:lvl>
    <w:lvl w:ilvl="1" w:tplc="45565FC0" w:tentative="1">
      <w:start w:val="1"/>
      <w:numFmt w:val="bullet"/>
      <w:lvlText w:val="•"/>
      <w:lvlJc w:val="left"/>
      <w:pPr>
        <w:tabs>
          <w:tab w:val="num" w:pos="1440"/>
        </w:tabs>
        <w:ind w:left="1440" w:hanging="360"/>
      </w:pPr>
      <w:rPr>
        <w:rFonts w:ascii="Arial" w:hAnsi="Arial" w:hint="default"/>
      </w:rPr>
    </w:lvl>
    <w:lvl w:ilvl="2" w:tplc="A440AD7E" w:tentative="1">
      <w:start w:val="1"/>
      <w:numFmt w:val="bullet"/>
      <w:lvlText w:val="•"/>
      <w:lvlJc w:val="left"/>
      <w:pPr>
        <w:tabs>
          <w:tab w:val="num" w:pos="2160"/>
        </w:tabs>
        <w:ind w:left="2160" w:hanging="360"/>
      </w:pPr>
      <w:rPr>
        <w:rFonts w:ascii="Arial" w:hAnsi="Arial" w:hint="default"/>
      </w:rPr>
    </w:lvl>
    <w:lvl w:ilvl="3" w:tplc="2F0C3ECC" w:tentative="1">
      <w:start w:val="1"/>
      <w:numFmt w:val="bullet"/>
      <w:lvlText w:val="•"/>
      <w:lvlJc w:val="left"/>
      <w:pPr>
        <w:tabs>
          <w:tab w:val="num" w:pos="2880"/>
        </w:tabs>
        <w:ind w:left="2880" w:hanging="360"/>
      </w:pPr>
      <w:rPr>
        <w:rFonts w:ascii="Arial" w:hAnsi="Arial" w:hint="default"/>
      </w:rPr>
    </w:lvl>
    <w:lvl w:ilvl="4" w:tplc="AB346564" w:tentative="1">
      <w:start w:val="1"/>
      <w:numFmt w:val="bullet"/>
      <w:lvlText w:val="•"/>
      <w:lvlJc w:val="left"/>
      <w:pPr>
        <w:tabs>
          <w:tab w:val="num" w:pos="3600"/>
        </w:tabs>
        <w:ind w:left="3600" w:hanging="360"/>
      </w:pPr>
      <w:rPr>
        <w:rFonts w:ascii="Arial" w:hAnsi="Arial" w:hint="default"/>
      </w:rPr>
    </w:lvl>
    <w:lvl w:ilvl="5" w:tplc="4594AF70" w:tentative="1">
      <w:start w:val="1"/>
      <w:numFmt w:val="bullet"/>
      <w:lvlText w:val="•"/>
      <w:lvlJc w:val="left"/>
      <w:pPr>
        <w:tabs>
          <w:tab w:val="num" w:pos="4320"/>
        </w:tabs>
        <w:ind w:left="4320" w:hanging="360"/>
      </w:pPr>
      <w:rPr>
        <w:rFonts w:ascii="Arial" w:hAnsi="Arial" w:hint="default"/>
      </w:rPr>
    </w:lvl>
    <w:lvl w:ilvl="6" w:tplc="E7680582" w:tentative="1">
      <w:start w:val="1"/>
      <w:numFmt w:val="bullet"/>
      <w:lvlText w:val="•"/>
      <w:lvlJc w:val="left"/>
      <w:pPr>
        <w:tabs>
          <w:tab w:val="num" w:pos="5040"/>
        </w:tabs>
        <w:ind w:left="5040" w:hanging="360"/>
      </w:pPr>
      <w:rPr>
        <w:rFonts w:ascii="Arial" w:hAnsi="Arial" w:hint="default"/>
      </w:rPr>
    </w:lvl>
    <w:lvl w:ilvl="7" w:tplc="C83E9B8E" w:tentative="1">
      <w:start w:val="1"/>
      <w:numFmt w:val="bullet"/>
      <w:lvlText w:val="•"/>
      <w:lvlJc w:val="left"/>
      <w:pPr>
        <w:tabs>
          <w:tab w:val="num" w:pos="5760"/>
        </w:tabs>
        <w:ind w:left="5760" w:hanging="360"/>
      </w:pPr>
      <w:rPr>
        <w:rFonts w:ascii="Arial" w:hAnsi="Arial" w:hint="default"/>
      </w:rPr>
    </w:lvl>
    <w:lvl w:ilvl="8" w:tplc="20B8818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20A1015"/>
    <w:multiLevelType w:val="hybridMultilevel"/>
    <w:tmpl w:val="E2903D58"/>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5228033E"/>
    <w:multiLevelType w:val="multilevel"/>
    <w:tmpl w:val="3A4A81EC"/>
    <w:lvl w:ilvl="0">
      <w:start w:val="4"/>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5" w15:restartNumberingAfterBreak="0">
    <w:nsid w:val="567B6C3E"/>
    <w:multiLevelType w:val="multilevel"/>
    <w:tmpl w:val="9920DBE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AE306AC"/>
    <w:multiLevelType w:val="hybridMultilevel"/>
    <w:tmpl w:val="EC40E0A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62CA3491"/>
    <w:multiLevelType w:val="multilevel"/>
    <w:tmpl w:val="FD4E4290"/>
    <w:lvl w:ilvl="0">
      <w:start w:val="3"/>
      <w:numFmt w:val="decimal"/>
      <w:lvlText w:val="%1."/>
      <w:lvlJc w:val="left"/>
      <w:pPr>
        <w:ind w:left="720" w:hanging="360"/>
      </w:pPr>
      <w:rPr>
        <w:rFonts w:eastAsia="Perpetua" w:hint="default"/>
        <w:color w:val="181717"/>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71FF09FF"/>
    <w:multiLevelType w:val="multilevel"/>
    <w:tmpl w:val="5A1EA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F5566D"/>
    <w:multiLevelType w:val="hybridMultilevel"/>
    <w:tmpl w:val="169CBE34"/>
    <w:lvl w:ilvl="0" w:tplc="8AB829F6">
      <w:start w:val="1"/>
      <w:numFmt w:val="decimal"/>
      <w:lvlText w:val="%1."/>
      <w:lvlJc w:val="left"/>
      <w:pPr>
        <w:ind w:left="720" w:hanging="360"/>
      </w:pPr>
      <w:rPr>
        <w:color w:val="auto"/>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7FF40C00"/>
    <w:multiLevelType w:val="multilevel"/>
    <w:tmpl w:val="409AD50A"/>
    <w:lvl w:ilvl="0">
      <w:start w:val="2"/>
      <w:numFmt w:val="decimal"/>
      <w:lvlText w:val="%1."/>
      <w:lvlJc w:val="left"/>
      <w:pPr>
        <w:ind w:left="720" w:hanging="360"/>
      </w:pPr>
      <w:rPr>
        <w:rFonts w:eastAsia="Perpetua" w:hint="default"/>
        <w:color w:val="181717"/>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6"/>
  </w:num>
  <w:num w:numId="2">
    <w:abstractNumId w:val="7"/>
  </w:num>
  <w:num w:numId="3">
    <w:abstractNumId w:val="29"/>
  </w:num>
  <w:num w:numId="4">
    <w:abstractNumId w:val="3"/>
  </w:num>
  <w:num w:numId="5">
    <w:abstractNumId w:val="6"/>
  </w:num>
  <w:num w:numId="6">
    <w:abstractNumId w:val="22"/>
  </w:num>
  <w:num w:numId="7">
    <w:abstractNumId w:val="20"/>
  </w:num>
  <w:num w:numId="8">
    <w:abstractNumId w:val="18"/>
  </w:num>
  <w:num w:numId="9">
    <w:abstractNumId w:val="23"/>
  </w:num>
  <w:num w:numId="10">
    <w:abstractNumId w:val="9"/>
  </w:num>
  <w:num w:numId="11">
    <w:abstractNumId w:val="13"/>
  </w:num>
  <w:num w:numId="12">
    <w:abstractNumId w:val="30"/>
  </w:num>
  <w:num w:numId="13">
    <w:abstractNumId w:val="12"/>
  </w:num>
  <w:num w:numId="14">
    <w:abstractNumId w:val="27"/>
  </w:num>
  <w:num w:numId="15">
    <w:abstractNumId w:val="24"/>
  </w:num>
  <w:num w:numId="16">
    <w:abstractNumId w:val="2"/>
  </w:num>
  <w:num w:numId="17">
    <w:abstractNumId w:val="0"/>
  </w:num>
  <w:num w:numId="18">
    <w:abstractNumId w:val="1"/>
  </w:num>
  <w:num w:numId="19">
    <w:abstractNumId w:val="19"/>
  </w:num>
  <w:num w:numId="20">
    <w:abstractNumId w:val="25"/>
  </w:num>
  <w:num w:numId="21">
    <w:abstractNumId w:val="15"/>
  </w:num>
  <w:num w:numId="22">
    <w:abstractNumId w:val="4"/>
  </w:num>
  <w:num w:numId="23">
    <w:abstractNumId w:val="14"/>
  </w:num>
  <w:num w:numId="24">
    <w:abstractNumId w:val="21"/>
  </w:num>
  <w:num w:numId="25">
    <w:abstractNumId w:val="8"/>
  </w:num>
  <w:num w:numId="26">
    <w:abstractNumId w:val="5"/>
  </w:num>
  <w:num w:numId="27">
    <w:abstractNumId w:val="11"/>
  </w:num>
  <w:num w:numId="28">
    <w:abstractNumId w:val="17"/>
  </w:num>
  <w:num w:numId="29">
    <w:abstractNumId w:val="10"/>
  </w:num>
  <w:num w:numId="30">
    <w:abstractNumId w:val="26"/>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089"/>
    <w:rsid w:val="00001524"/>
    <w:rsid w:val="000021CC"/>
    <w:rsid w:val="00006E42"/>
    <w:rsid w:val="00013547"/>
    <w:rsid w:val="000160F9"/>
    <w:rsid w:val="00023FD4"/>
    <w:rsid w:val="00025208"/>
    <w:rsid w:val="00030FC3"/>
    <w:rsid w:val="00041408"/>
    <w:rsid w:val="00042947"/>
    <w:rsid w:val="00054F3C"/>
    <w:rsid w:val="00057568"/>
    <w:rsid w:val="00061CD8"/>
    <w:rsid w:val="0006290A"/>
    <w:rsid w:val="00074CEB"/>
    <w:rsid w:val="00081C48"/>
    <w:rsid w:val="0008519A"/>
    <w:rsid w:val="000855DB"/>
    <w:rsid w:val="00087C97"/>
    <w:rsid w:val="00097AA3"/>
    <w:rsid w:val="000A3E08"/>
    <w:rsid w:val="000B11B7"/>
    <w:rsid w:val="000B221B"/>
    <w:rsid w:val="000C147F"/>
    <w:rsid w:val="000C2884"/>
    <w:rsid w:val="000C3866"/>
    <w:rsid w:val="000C4B4F"/>
    <w:rsid w:val="000D33E2"/>
    <w:rsid w:val="000D3B54"/>
    <w:rsid w:val="000D7343"/>
    <w:rsid w:val="000F1575"/>
    <w:rsid w:val="000F55A0"/>
    <w:rsid w:val="0010466D"/>
    <w:rsid w:val="00107AEB"/>
    <w:rsid w:val="00111FE6"/>
    <w:rsid w:val="00120464"/>
    <w:rsid w:val="0012361E"/>
    <w:rsid w:val="00126B83"/>
    <w:rsid w:val="0013037A"/>
    <w:rsid w:val="001320E4"/>
    <w:rsid w:val="001419DB"/>
    <w:rsid w:val="00144EE3"/>
    <w:rsid w:val="001468C3"/>
    <w:rsid w:val="001563E1"/>
    <w:rsid w:val="00156B37"/>
    <w:rsid w:val="00156D6C"/>
    <w:rsid w:val="00160B61"/>
    <w:rsid w:val="00186216"/>
    <w:rsid w:val="00191B91"/>
    <w:rsid w:val="001932D0"/>
    <w:rsid w:val="0019548B"/>
    <w:rsid w:val="001A01EE"/>
    <w:rsid w:val="001A3FBD"/>
    <w:rsid w:val="001A4359"/>
    <w:rsid w:val="001A6089"/>
    <w:rsid w:val="001C089E"/>
    <w:rsid w:val="001E522F"/>
    <w:rsid w:val="001F799C"/>
    <w:rsid w:val="00205CCD"/>
    <w:rsid w:val="00206280"/>
    <w:rsid w:val="00225624"/>
    <w:rsid w:val="00236A56"/>
    <w:rsid w:val="00252261"/>
    <w:rsid w:val="00257BB8"/>
    <w:rsid w:val="0028082E"/>
    <w:rsid w:val="00282F37"/>
    <w:rsid w:val="00283533"/>
    <w:rsid w:val="002A3DCE"/>
    <w:rsid w:val="002B5FA9"/>
    <w:rsid w:val="002C3D05"/>
    <w:rsid w:val="002C6B52"/>
    <w:rsid w:val="002D686E"/>
    <w:rsid w:val="002E61BB"/>
    <w:rsid w:val="00302375"/>
    <w:rsid w:val="00302D8C"/>
    <w:rsid w:val="00304DD6"/>
    <w:rsid w:val="00321CEE"/>
    <w:rsid w:val="00325A6B"/>
    <w:rsid w:val="00330D9E"/>
    <w:rsid w:val="00352E6F"/>
    <w:rsid w:val="00363FB7"/>
    <w:rsid w:val="003753F6"/>
    <w:rsid w:val="00375E48"/>
    <w:rsid w:val="003772CC"/>
    <w:rsid w:val="003778BB"/>
    <w:rsid w:val="00380993"/>
    <w:rsid w:val="00382849"/>
    <w:rsid w:val="00383249"/>
    <w:rsid w:val="003A0B11"/>
    <w:rsid w:val="003B1D4D"/>
    <w:rsid w:val="003B4768"/>
    <w:rsid w:val="003D5BFC"/>
    <w:rsid w:val="003E5787"/>
    <w:rsid w:val="003E71D3"/>
    <w:rsid w:val="0040143E"/>
    <w:rsid w:val="00404F31"/>
    <w:rsid w:val="0040528A"/>
    <w:rsid w:val="004102F1"/>
    <w:rsid w:val="004112C8"/>
    <w:rsid w:val="0042302A"/>
    <w:rsid w:val="00424E03"/>
    <w:rsid w:val="0043425E"/>
    <w:rsid w:val="0043643B"/>
    <w:rsid w:val="00440348"/>
    <w:rsid w:val="00450BF1"/>
    <w:rsid w:val="00456AF9"/>
    <w:rsid w:val="00461353"/>
    <w:rsid w:val="00466E7D"/>
    <w:rsid w:val="0047249B"/>
    <w:rsid w:val="00480EB0"/>
    <w:rsid w:val="00484B17"/>
    <w:rsid w:val="004869A2"/>
    <w:rsid w:val="00494645"/>
    <w:rsid w:val="0049795B"/>
    <w:rsid w:val="004C2CFC"/>
    <w:rsid w:val="004E1A47"/>
    <w:rsid w:val="004E2663"/>
    <w:rsid w:val="004F4772"/>
    <w:rsid w:val="004F7E3F"/>
    <w:rsid w:val="005147E5"/>
    <w:rsid w:val="00522548"/>
    <w:rsid w:val="00541DAA"/>
    <w:rsid w:val="00553D63"/>
    <w:rsid w:val="00565742"/>
    <w:rsid w:val="00566168"/>
    <w:rsid w:val="005702B5"/>
    <w:rsid w:val="005738DF"/>
    <w:rsid w:val="00575E79"/>
    <w:rsid w:val="005768EF"/>
    <w:rsid w:val="0058262C"/>
    <w:rsid w:val="00592202"/>
    <w:rsid w:val="00595863"/>
    <w:rsid w:val="00597F5A"/>
    <w:rsid w:val="005A735F"/>
    <w:rsid w:val="005B1B49"/>
    <w:rsid w:val="005B70E1"/>
    <w:rsid w:val="005C1402"/>
    <w:rsid w:val="005C1B18"/>
    <w:rsid w:val="005C34BF"/>
    <w:rsid w:val="005D6A90"/>
    <w:rsid w:val="005F55CF"/>
    <w:rsid w:val="005F5F4A"/>
    <w:rsid w:val="00600AFF"/>
    <w:rsid w:val="006242A6"/>
    <w:rsid w:val="00624468"/>
    <w:rsid w:val="00626F6C"/>
    <w:rsid w:val="00627A3B"/>
    <w:rsid w:val="00642D1B"/>
    <w:rsid w:val="00643152"/>
    <w:rsid w:val="00645B8A"/>
    <w:rsid w:val="006615CA"/>
    <w:rsid w:val="006670C9"/>
    <w:rsid w:val="00670E67"/>
    <w:rsid w:val="00672EED"/>
    <w:rsid w:val="006760AC"/>
    <w:rsid w:val="00686911"/>
    <w:rsid w:val="006925F5"/>
    <w:rsid w:val="0069433E"/>
    <w:rsid w:val="0069529A"/>
    <w:rsid w:val="006A042D"/>
    <w:rsid w:val="006A1F26"/>
    <w:rsid w:val="006A39C7"/>
    <w:rsid w:val="006D3B13"/>
    <w:rsid w:val="006D60C7"/>
    <w:rsid w:val="006E4FA4"/>
    <w:rsid w:val="006F00A3"/>
    <w:rsid w:val="006F2F11"/>
    <w:rsid w:val="00702495"/>
    <w:rsid w:val="0071554E"/>
    <w:rsid w:val="00716CD8"/>
    <w:rsid w:val="00733B08"/>
    <w:rsid w:val="00733FF7"/>
    <w:rsid w:val="007610C7"/>
    <w:rsid w:val="00761C9A"/>
    <w:rsid w:val="00762CD3"/>
    <w:rsid w:val="00770541"/>
    <w:rsid w:val="007723C8"/>
    <w:rsid w:val="00773F31"/>
    <w:rsid w:val="00775273"/>
    <w:rsid w:val="00786C16"/>
    <w:rsid w:val="00794FB3"/>
    <w:rsid w:val="007A4380"/>
    <w:rsid w:val="007A61CF"/>
    <w:rsid w:val="007B1305"/>
    <w:rsid w:val="007B1C41"/>
    <w:rsid w:val="007B558A"/>
    <w:rsid w:val="007B63C0"/>
    <w:rsid w:val="007B76F4"/>
    <w:rsid w:val="007C2CD8"/>
    <w:rsid w:val="007D558B"/>
    <w:rsid w:val="007D7757"/>
    <w:rsid w:val="007E2C42"/>
    <w:rsid w:val="007E321F"/>
    <w:rsid w:val="00803614"/>
    <w:rsid w:val="00813E84"/>
    <w:rsid w:val="00816D93"/>
    <w:rsid w:val="00816DD2"/>
    <w:rsid w:val="008271A7"/>
    <w:rsid w:val="008308A7"/>
    <w:rsid w:val="0084524B"/>
    <w:rsid w:val="00852E9E"/>
    <w:rsid w:val="00856976"/>
    <w:rsid w:val="00862518"/>
    <w:rsid w:val="008656A8"/>
    <w:rsid w:val="00871DFE"/>
    <w:rsid w:val="00873DC6"/>
    <w:rsid w:val="00885081"/>
    <w:rsid w:val="00885D08"/>
    <w:rsid w:val="008874CB"/>
    <w:rsid w:val="008965BA"/>
    <w:rsid w:val="00897754"/>
    <w:rsid w:val="008A14CF"/>
    <w:rsid w:val="008A7AB4"/>
    <w:rsid w:val="008B08F0"/>
    <w:rsid w:val="008B7415"/>
    <w:rsid w:val="008C1A97"/>
    <w:rsid w:val="008C2F37"/>
    <w:rsid w:val="008D1DB9"/>
    <w:rsid w:val="008D337F"/>
    <w:rsid w:val="008D4FFD"/>
    <w:rsid w:val="008D531A"/>
    <w:rsid w:val="008E099A"/>
    <w:rsid w:val="008E2A43"/>
    <w:rsid w:val="008F0D56"/>
    <w:rsid w:val="008F2F65"/>
    <w:rsid w:val="008F5341"/>
    <w:rsid w:val="009138E7"/>
    <w:rsid w:val="0091458A"/>
    <w:rsid w:val="00930958"/>
    <w:rsid w:val="00936788"/>
    <w:rsid w:val="0095500A"/>
    <w:rsid w:val="0096381F"/>
    <w:rsid w:val="00964331"/>
    <w:rsid w:val="009716A4"/>
    <w:rsid w:val="00982C91"/>
    <w:rsid w:val="00987070"/>
    <w:rsid w:val="00990EA6"/>
    <w:rsid w:val="00993148"/>
    <w:rsid w:val="009A0DF5"/>
    <w:rsid w:val="009B4AA5"/>
    <w:rsid w:val="009B4CE6"/>
    <w:rsid w:val="009B6EFA"/>
    <w:rsid w:val="009C049C"/>
    <w:rsid w:val="009C30AE"/>
    <w:rsid w:val="009C39E3"/>
    <w:rsid w:val="009C5D52"/>
    <w:rsid w:val="009C7599"/>
    <w:rsid w:val="009D0C04"/>
    <w:rsid w:val="009D7140"/>
    <w:rsid w:val="009D74EC"/>
    <w:rsid w:val="009E0A39"/>
    <w:rsid w:val="009E0D5E"/>
    <w:rsid w:val="009E162E"/>
    <w:rsid w:val="009F208B"/>
    <w:rsid w:val="009F5790"/>
    <w:rsid w:val="009F72D1"/>
    <w:rsid w:val="00A043D1"/>
    <w:rsid w:val="00A10D7A"/>
    <w:rsid w:val="00A10E3F"/>
    <w:rsid w:val="00A12885"/>
    <w:rsid w:val="00A12ED4"/>
    <w:rsid w:val="00A149E7"/>
    <w:rsid w:val="00A16588"/>
    <w:rsid w:val="00A31D68"/>
    <w:rsid w:val="00A33C58"/>
    <w:rsid w:val="00A37F3A"/>
    <w:rsid w:val="00A4567D"/>
    <w:rsid w:val="00A511AE"/>
    <w:rsid w:val="00A52DBB"/>
    <w:rsid w:val="00A530A1"/>
    <w:rsid w:val="00A569DA"/>
    <w:rsid w:val="00A60520"/>
    <w:rsid w:val="00A74940"/>
    <w:rsid w:val="00A76EE0"/>
    <w:rsid w:val="00A91D0D"/>
    <w:rsid w:val="00A93757"/>
    <w:rsid w:val="00AB0D4B"/>
    <w:rsid w:val="00AB56DA"/>
    <w:rsid w:val="00AB75C2"/>
    <w:rsid w:val="00AB7B8E"/>
    <w:rsid w:val="00AC24B7"/>
    <w:rsid w:val="00AC2A22"/>
    <w:rsid w:val="00AC4E55"/>
    <w:rsid w:val="00AC6CA5"/>
    <w:rsid w:val="00AD6046"/>
    <w:rsid w:val="00AE413F"/>
    <w:rsid w:val="00AF0E51"/>
    <w:rsid w:val="00B0777D"/>
    <w:rsid w:val="00B1243B"/>
    <w:rsid w:val="00B250DE"/>
    <w:rsid w:val="00B3125C"/>
    <w:rsid w:val="00B312DB"/>
    <w:rsid w:val="00B33180"/>
    <w:rsid w:val="00B34652"/>
    <w:rsid w:val="00B448D3"/>
    <w:rsid w:val="00B51236"/>
    <w:rsid w:val="00B549E2"/>
    <w:rsid w:val="00B55C43"/>
    <w:rsid w:val="00B60865"/>
    <w:rsid w:val="00B7053F"/>
    <w:rsid w:val="00B86785"/>
    <w:rsid w:val="00BA25AE"/>
    <w:rsid w:val="00BB1FB4"/>
    <w:rsid w:val="00BC1702"/>
    <w:rsid w:val="00BC358E"/>
    <w:rsid w:val="00BC7A1E"/>
    <w:rsid w:val="00BD099E"/>
    <w:rsid w:val="00BD1E10"/>
    <w:rsid w:val="00BD284D"/>
    <w:rsid w:val="00BD5A18"/>
    <w:rsid w:val="00BD696E"/>
    <w:rsid w:val="00BE3F96"/>
    <w:rsid w:val="00BE6744"/>
    <w:rsid w:val="00BE7E74"/>
    <w:rsid w:val="00BF4E31"/>
    <w:rsid w:val="00BF6745"/>
    <w:rsid w:val="00BF7B1A"/>
    <w:rsid w:val="00C03C5E"/>
    <w:rsid w:val="00C12225"/>
    <w:rsid w:val="00C166AC"/>
    <w:rsid w:val="00C20F8F"/>
    <w:rsid w:val="00C230D4"/>
    <w:rsid w:val="00C3439E"/>
    <w:rsid w:val="00C57B53"/>
    <w:rsid w:val="00C65C7E"/>
    <w:rsid w:val="00C71A8E"/>
    <w:rsid w:val="00C91285"/>
    <w:rsid w:val="00C94E30"/>
    <w:rsid w:val="00CA585E"/>
    <w:rsid w:val="00CA69AB"/>
    <w:rsid w:val="00CB453B"/>
    <w:rsid w:val="00CB602B"/>
    <w:rsid w:val="00CC3626"/>
    <w:rsid w:val="00CC3BD8"/>
    <w:rsid w:val="00CC5929"/>
    <w:rsid w:val="00CD77EB"/>
    <w:rsid w:val="00CE51F4"/>
    <w:rsid w:val="00CE631D"/>
    <w:rsid w:val="00CF2554"/>
    <w:rsid w:val="00CF7F59"/>
    <w:rsid w:val="00D15DF7"/>
    <w:rsid w:val="00D16193"/>
    <w:rsid w:val="00D21AC9"/>
    <w:rsid w:val="00D22E01"/>
    <w:rsid w:val="00D27EC6"/>
    <w:rsid w:val="00D438E7"/>
    <w:rsid w:val="00D45C7C"/>
    <w:rsid w:val="00D55319"/>
    <w:rsid w:val="00D57033"/>
    <w:rsid w:val="00D61861"/>
    <w:rsid w:val="00D661F5"/>
    <w:rsid w:val="00D72508"/>
    <w:rsid w:val="00D85054"/>
    <w:rsid w:val="00D930CF"/>
    <w:rsid w:val="00D952D5"/>
    <w:rsid w:val="00D96BAB"/>
    <w:rsid w:val="00D96F63"/>
    <w:rsid w:val="00D97213"/>
    <w:rsid w:val="00D97E57"/>
    <w:rsid w:val="00DA0AE1"/>
    <w:rsid w:val="00DA1322"/>
    <w:rsid w:val="00DB1117"/>
    <w:rsid w:val="00DB4319"/>
    <w:rsid w:val="00DC0C1B"/>
    <w:rsid w:val="00DC3CD1"/>
    <w:rsid w:val="00DC77FC"/>
    <w:rsid w:val="00DD17B7"/>
    <w:rsid w:val="00DD395F"/>
    <w:rsid w:val="00DD3F40"/>
    <w:rsid w:val="00DE04A7"/>
    <w:rsid w:val="00DE55D4"/>
    <w:rsid w:val="00DE594C"/>
    <w:rsid w:val="00DE5F51"/>
    <w:rsid w:val="00DF21D4"/>
    <w:rsid w:val="00DF3D3B"/>
    <w:rsid w:val="00DF6AD0"/>
    <w:rsid w:val="00E06B6A"/>
    <w:rsid w:val="00E07DE2"/>
    <w:rsid w:val="00E20D60"/>
    <w:rsid w:val="00E24047"/>
    <w:rsid w:val="00E274E4"/>
    <w:rsid w:val="00E27EC6"/>
    <w:rsid w:val="00E3477C"/>
    <w:rsid w:val="00E477AD"/>
    <w:rsid w:val="00E54CBA"/>
    <w:rsid w:val="00E57233"/>
    <w:rsid w:val="00E7486F"/>
    <w:rsid w:val="00E778A5"/>
    <w:rsid w:val="00E8568D"/>
    <w:rsid w:val="00E8795A"/>
    <w:rsid w:val="00E95E30"/>
    <w:rsid w:val="00EB4FB8"/>
    <w:rsid w:val="00EB622F"/>
    <w:rsid w:val="00EB76D8"/>
    <w:rsid w:val="00EB7748"/>
    <w:rsid w:val="00EC55BD"/>
    <w:rsid w:val="00EC7316"/>
    <w:rsid w:val="00ED5E13"/>
    <w:rsid w:val="00ED6D88"/>
    <w:rsid w:val="00EE1959"/>
    <w:rsid w:val="00EE3FBA"/>
    <w:rsid w:val="00EE50F1"/>
    <w:rsid w:val="00EE527E"/>
    <w:rsid w:val="00EF198F"/>
    <w:rsid w:val="00EF742C"/>
    <w:rsid w:val="00F069C2"/>
    <w:rsid w:val="00F15907"/>
    <w:rsid w:val="00F174D7"/>
    <w:rsid w:val="00F17525"/>
    <w:rsid w:val="00F23422"/>
    <w:rsid w:val="00F45C4B"/>
    <w:rsid w:val="00F56033"/>
    <w:rsid w:val="00F86AB6"/>
    <w:rsid w:val="00F86F95"/>
    <w:rsid w:val="00F914AF"/>
    <w:rsid w:val="00FA42F8"/>
    <w:rsid w:val="00FB445E"/>
    <w:rsid w:val="00FB4FB2"/>
    <w:rsid w:val="00FC0734"/>
    <w:rsid w:val="00FC10C7"/>
    <w:rsid w:val="00FC78F7"/>
    <w:rsid w:val="00FD372C"/>
    <w:rsid w:val="00FD3801"/>
    <w:rsid w:val="00FF1125"/>
    <w:rsid w:val="00FF663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E9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166AC"/>
  </w:style>
  <w:style w:type="paragraph" w:styleId="Kop1">
    <w:name w:val="heading 1"/>
    <w:basedOn w:val="Standaard"/>
    <w:next w:val="Standaard"/>
    <w:link w:val="Kop1Char"/>
    <w:uiPriority w:val="9"/>
    <w:qFormat/>
    <w:rsid w:val="00F86F95"/>
    <w:pPr>
      <w:keepNext/>
      <w:keepLines/>
      <w:numPr>
        <w:numId w:val="28"/>
      </w:numPr>
      <w:spacing w:before="240" w:after="0"/>
      <w:outlineLvl w:val="0"/>
    </w:pPr>
    <w:rPr>
      <w:rFonts w:ascii="Cambria" w:eastAsiaTheme="majorEastAsia" w:hAnsi="Cambria" w:cstheme="majorBidi"/>
      <w:color w:val="2E74B5" w:themeColor="accent1" w:themeShade="BF"/>
      <w:sz w:val="32"/>
      <w:szCs w:val="32"/>
    </w:rPr>
  </w:style>
  <w:style w:type="paragraph" w:styleId="Kop2">
    <w:name w:val="heading 2"/>
    <w:basedOn w:val="Standaard"/>
    <w:next w:val="Standaard"/>
    <w:link w:val="Kop2Char"/>
    <w:uiPriority w:val="9"/>
    <w:unhideWhenUsed/>
    <w:qFormat/>
    <w:rsid w:val="00F86F95"/>
    <w:pPr>
      <w:keepNext/>
      <w:keepLines/>
      <w:numPr>
        <w:ilvl w:val="1"/>
        <w:numId w:val="28"/>
      </w:numPr>
      <w:spacing w:before="40" w:after="0"/>
      <w:outlineLvl w:val="1"/>
    </w:pPr>
    <w:rPr>
      <w:rFonts w:ascii="Cambria" w:eastAsiaTheme="majorEastAsia" w:hAnsi="Cambria" w:cstheme="majorBidi"/>
      <w:color w:val="2E74B5" w:themeColor="accent1" w:themeShade="BF"/>
      <w:sz w:val="26"/>
      <w:szCs w:val="26"/>
    </w:rPr>
  </w:style>
  <w:style w:type="paragraph" w:styleId="Kop3">
    <w:name w:val="heading 3"/>
    <w:basedOn w:val="Standaard"/>
    <w:next w:val="Standaard"/>
    <w:link w:val="Kop3Char"/>
    <w:uiPriority w:val="9"/>
    <w:unhideWhenUsed/>
    <w:qFormat/>
    <w:rsid w:val="00F86F95"/>
    <w:pPr>
      <w:keepNext/>
      <w:keepLines/>
      <w:numPr>
        <w:ilvl w:val="2"/>
        <w:numId w:val="28"/>
      </w:numPr>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qFormat/>
    <w:rsid w:val="00F86F95"/>
    <w:pPr>
      <w:keepNext/>
      <w:keepLines/>
      <w:numPr>
        <w:ilvl w:val="3"/>
        <w:numId w:val="28"/>
      </w:numPr>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unhideWhenUsed/>
    <w:qFormat/>
    <w:rsid w:val="00F86F95"/>
    <w:pPr>
      <w:keepNext/>
      <w:keepLines/>
      <w:numPr>
        <w:ilvl w:val="4"/>
        <w:numId w:val="28"/>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unhideWhenUsed/>
    <w:qFormat/>
    <w:rsid w:val="00F86F95"/>
    <w:pPr>
      <w:keepNext/>
      <w:keepLines/>
      <w:numPr>
        <w:ilvl w:val="5"/>
        <w:numId w:val="28"/>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F86F95"/>
    <w:pPr>
      <w:keepNext/>
      <w:keepLines/>
      <w:numPr>
        <w:ilvl w:val="6"/>
        <w:numId w:val="2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F86F95"/>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F86F95"/>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frlabel1">
    <w:name w:val="fr_label1"/>
    <w:rsid w:val="00363FB7"/>
    <w:rPr>
      <w:b/>
      <w:bCs/>
    </w:rPr>
  </w:style>
  <w:style w:type="paragraph" w:styleId="Lijstalinea">
    <w:name w:val="List Paragraph"/>
    <w:basedOn w:val="Standaard"/>
    <w:uiPriority w:val="34"/>
    <w:qFormat/>
    <w:rsid w:val="00A91D0D"/>
    <w:pPr>
      <w:ind w:left="720"/>
      <w:contextualSpacing/>
    </w:pPr>
  </w:style>
  <w:style w:type="paragraph" w:styleId="Normaalweb">
    <w:name w:val="Normal (Web)"/>
    <w:basedOn w:val="Standaard"/>
    <w:uiPriority w:val="99"/>
    <w:unhideWhenUsed/>
    <w:rsid w:val="00A91D0D"/>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9C30AE"/>
    <w:rPr>
      <w:color w:val="0000FF"/>
      <w:u w:val="single"/>
    </w:rPr>
  </w:style>
  <w:style w:type="character" w:styleId="GevolgdeHyperlink">
    <w:name w:val="FollowedHyperlink"/>
    <w:basedOn w:val="Standaardalinea-lettertype"/>
    <w:uiPriority w:val="99"/>
    <w:semiHidden/>
    <w:unhideWhenUsed/>
    <w:rsid w:val="008D1DB9"/>
    <w:rPr>
      <w:color w:val="954F72" w:themeColor="followedHyperlink"/>
      <w:u w:val="single"/>
    </w:rPr>
  </w:style>
  <w:style w:type="character" w:styleId="Zwaar">
    <w:name w:val="Strong"/>
    <w:basedOn w:val="Standaardalinea-lettertype"/>
    <w:uiPriority w:val="22"/>
    <w:qFormat/>
    <w:rsid w:val="00F17525"/>
    <w:rPr>
      <w:b/>
      <w:bCs/>
    </w:rPr>
  </w:style>
  <w:style w:type="paragraph" w:styleId="Geenafstand">
    <w:name w:val="No Spacing"/>
    <w:link w:val="GeenafstandChar"/>
    <w:uiPriority w:val="1"/>
    <w:qFormat/>
    <w:rsid w:val="008E2A43"/>
    <w:pPr>
      <w:spacing w:after="0" w:line="240" w:lineRule="auto"/>
    </w:pPr>
  </w:style>
  <w:style w:type="table" w:styleId="Tabelraster">
    <w:name w:val="Table Grid"/>
    <w:basedOn w:val="Standaardtabel"/>
    <w:uiPriority w:val="39"/>
    <w:rsid w:val="001C0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35"/>
    <w:qFormat/>
    <w:rsid w:val="00770541"/>
    <w:pPr>
      <w:spacing w:before="40" w:after="40" w:line="240" w:lineRule="auto"/>
      <w:jc w:val="center"/>
    </w:pPr>
    <w:rPr>
      <w:rFonts w:ascii="Arial" w:eastAsia="Times New Roman" w:hAnsi="Arial" w:cs="Arial"/>
      <w:bCs/>
      <w:i/>
      <w:sz w:val="16"/>
      <w:szCs w:val="20"/>
      <w:lang w:eastAsia="nl-NL"/>
    </w:rPr>
  </w:style>
  <w:style w:type="character" w:customStyle="1" w:styleId="Kop1Char">
    <w:name w:val="Kop 1 Char"/>
    <w:basedOn w:val="Standaardalinea-lettertype"/>
    <w:link w:val="Kop1"/>
    <w:uiPriority w:val="9"/>
    <w:rsid w:val="00F86F95"/>
    <w:rPr>
      <w:rFonts w:ascii="Cambria" w:eastAsiaTheme="majorEastAsia" w:hAnsi="Cambria" w:cstheme="majorBidi"/>
      <w:color w:val="2E74B5" w:themeColor="accent1" w:themeShade="BF"/>
      <w:sz w:val="32"/>
      <w:szCs w:val="32"/>
    </w:rPr>
  </w:style>
  <w:style w:type="character" w:customStyle="1" w:styleId="Kop2Char">
    <w:name w:val="Kop 2 Char"/>
    <w:basedOn w:val="Standaardalinea-lettertype"/>
    <w:link w:val="Kop2"/>
    <w:uiPriority w:val="9"/>
    <w:rsid w:val="00F86F95"/>
    <w:rPr>
      <w:rFonts w:ascii="Cambria" w:eastAsiaTheme="majorEastAsia" w:hAnsi="Cambria" w:cstheme="majorBidi"/>
      <w:color w:val="2E74B5" w:themeColor="accent1" w:themeShade="BF"/>
      <w:sz w:val="26"/>
      <w:szCs w:val="26"/>
    </w:rPr>
  </w:style>
  <w:style w:type="character" w:customStyle="1" w:styleId="Kop3Char">
    <w:name w:val="Kop 3 Char"/>
    <w:basedOn w:val="Standaardalinea-lettertype"/>
    <w:link w:val="Kop3"/>
    <w:uiPriority w:val="9"/>
    <w:rsid w:val="00F86F95"/>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rsid w:val="00F86F95"/>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rsid w:val="00F86F95"/>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rsid w:val="00F86F95"/>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F86F95"/>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F86F95"/>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F86F95"/>
    <w:rPr>
      <w:rFonts w:asciiTheme="majorHAnsi" w:eastAsiaTheme="majorEastAsia" w:hAnsiTheme="majorHAnsi" w:cstheme="majorBidi"/>
      <w:i/>
      <w:iCs/>
      <w:color w:val="272727" w:themeColor="text1" w:themeTint="D8"/>
      <w:sz w:val="21"/>
      <w:szCs w:val="21"/>
    </w:rPr>
  </w:style>
  <w:style w:type="character" w:customStyle="1" w:styleId="apple-converted-space">
    <w:name w:val="apple-converted-space"/>
    <w:rsid w:val="00CA585E"/>
  </w:style>
  <w:style w:type="character" w:styleId="Nadruk">
    <w:name w:val="Emphasis"/>
    <w:basedOn w:val="Standaardalinea-lettertype"/>
    <w:uiPriority w:val="20"/>
    <w:qFormat/>
    <w:rsid w:val="00642D1B"/>
    <w:rPr>
      <w:i/>
      <w:iCs/>
    </w:rPr>
  </w:style>
  <w:style w:type="paragraph" w:customStyle="1" w:styleId="Body1">
    <w:name w:val="Body 1"/>
    <w:basedOn w:val="Standaard"/>
    <w:rsid w:val="00FC78F7"/>
    <w:pPr>
      <w:spacing w:after="0" w:line="360" w:lineRule="auto"/>
    </w:pPr>
    <w:rPr>
      <w:rFonts w:ascii="Times New Roman" w:eastAsia="Times New Roman" w:hAnsi="Times New Roman" w:cs="Times New Roman"/>
      <w:sz w:val="24"/>
      <w:szCs w:val="24"/>
    </w:rPr>
  </w:style>
  <w:style w:type="paragraph" w:styleId="Koptekst">
    <w:name w:val="header"/>
    <w:basedOn w:val="Standaard"/>
    <w:link w:val="KoptekstChar"/>
    <w:uiPriority w:val="99"/>
    <w:unhideWhenUsed/>
    <w:rsid w:val="0019548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9548B"/>
  </w:style>
  <w:style w:type="paragraph" w:styleId="Voettekst">
    <w:name w:val="footer"/>
    <w:basedOn w:val="Standaard"/>
    <w:link w:val="VoettekstChar"/>
    <w:uiPriority w:val="99"/>
    <w:unhideWhenUsed/>
    <w:rsid w:val="0019548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9548B"/>
  </w:style>
  <w:style w:type="table" w:customStyle="1" w:styleId="Tabelraster1">
    <w:name w:val="Tabelraster1"/>
    <w:basedOn w:val="Standaardtabel"/>
    <w:next w:val="Tabelraster"/>
    <w:uiPriority w:val="59"/>
    <w:rsid w:val="00025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D5703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57033"/>
    <w:rPr>
      <w:rFonts w:ascii="Segoe UI" w:hAnsi="Segoe UI" w:cs="Segoe UI"/>
      <w:sz w:val="18"/>
      <w:szCs w:val="18"/>
    </w:rPr>
  </w:style>
  <w:style w:type="paragraph" w:styleId="Voetnoottekst">
    <w:name w:val="footnote text"/>
    <w:basedOn w:val="Standaard"/>
    <w:link w:val="VoetnoottekstChar"/>
    <w:uiPriority w:val="99"/>
    <w:semiHidden/>
    <w:unhideWhenUsed/>
    <w:rsid w:val="0028353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83533"/>
    <w:rPr>
      <w:sz w:val="20"/>
      <w:szCs w:val="20"/>
    </w:rPr>
  </w:style>
  <w:style w:type="character" w:styleId="Voetnootmarkering">
    <w:name w:val="footnote reference"/>
    <w:basedOn w:val="Standaardalinea-lettertype"/>
    <w:rsid w:val="00283533"/>
    <w:rPr>
      <w:vertAlign w:val="superscript"/>
    </w:rPr>
  </w:style>
  <w:style w:type="character" w:customStyle="1" w:styleId="GeenafstandChar">
    <w:name w:val="Geen afstand Char"/>
    <w:basedOn w:val="Standaardalinea-lettertype"/>
    <w:link w:val="Geenafstand"/>
    <w:uiPriority w:val="1"/>
    <w:locked/>
    <w:rsid w:val="00375E48"/>
  </w:style>
  <w:style w:type="character" w:styleId="Verwijzingopmerking">
    <w:name w:val="annotation reference"/>
    <w:basedOn w:val="Standaardalinea-lettertype"/>
    <w:uiPriority w:val="99"/>
    <w:semiHidden/>
    <w:unhideWhenUsed/>
    <w:rsid w:val="00D16193"/>
    <w:rPr>
      <w:sz w:val="16"/>
      <w:szCs w:val="16"/>
    </w:rPr>
  </w:style>
  <w:style w:type="paragraph" w:styleId="Tekstopmerking">
    <w:name w:val="annotation text"/>
    <w:basedOn w:val="Standaard"/>
    <w:link w:val="TekstopmerkingChar"/>
    <w:uiPriority w:val="99"/>
    <w:semiHidden/>
    <w:unhideWhenUsed/>
    <w:rsid w:val="00D1619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16193"/>
    <w:rPr>
      <w:sz w:val="20"/>
      <w:szCs w:val="20"/>
    </w:rPr>
  </w:style>
  <w:style w:type="paragraph" w:styleId="Onderwerpvanopmerking">
    <w:name w:val="annotation subject"/>
    <w:basedOn w:val="Tekstopmerking"/>
    <w:next w:val="Tekstopmerking"/>
    <w:link w:val="OnderwerpvanopmerkingChar"/>
    <w:uiPriority w:val="99"/>
    <w:semiHidden/>
    <w:unhideWhenUsed/>
    <w:rsid w:val="00D16193"/>
    <w:rPr>
      <w:b/>
      <w:bCs/>
    </w:rPr>
  </w:style>
  <w:style w:type="character" w:customStyle="1" w:styleId="OnderwerpvanopmerkingChar">
    <w:name w:val="Onderwerp van opmerking Char"/>
    <w:basedOn w:val="TekstopmerkingChar"/>
    <w:link w:val="Onderwerpvanopmerking"/>
    <w:uiPriority w:val="99"/>
    <w:semiHidden/>
    <w:rsid w:val="00D16193"/>
    <w:rPr>
      <w:b/>
      <w:bCs/>
      <w:sz w:val="20"/>
      <w:szCs w:val="20"/>
    </w:rPr>
  </w:style>
  <w:style w:type="paragraph" w:styleId="Revisie">
    <w:name w:val="Revision"/>
    <w:hidden/>
    <w:uiPriority w:val="99"/>
    <w:semiHidden/>
    <w:rsid w:val="001563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49070">
      <w:bodyDiv w:val="1"/>
      <w:marLeft w:val="0"/>
      <w:marRight w:val="0"/>
      <w:marTop w:val="0"/>
      <w:marBottom w:val="0"/>
      <w:divBdr>
        <w:top w:val="none" w:sz="0" w:space="0" w:color="auto"/>
        <w:left w:val="none" w:sz="0" w:space="0" w:color="auto"/>
        <w:bottom w:val="none" w:sz="0" w:space="0" w:color="auto"/>
        <w:right w:val="none" w:sz="0" w:space="0" w:color="auto"/>
      </w:divBdr>
    </w:div>
    <w:div w:id="101656950">
      <w:bodyDiv w:val="1"/>
      <w:marLeft w:val="0"/>
      <w:marRight w:val="0"/>
      <w:marTop w:val="0"/>
      <w:marBottom w:val="0"/>
      <w:divBdr>
        <w:top w:val="none" w:sz="0" w:space="0" w:color="auto"/>
        <w:left w:val="none" w:sz="0" w:space="0" w:color="auto"/>
        <w:bottom w:val="none" w:sz="0" w:space="0" w:color="auto"/>
        <w:right w:val="none" w:sz="0" w:space="0" w:color="auto"/>
      </w:divBdr>
    </w:div>
    <w:div w:id="146092541">
      <w:bodyDiv w:val="1"/>
      <w:marLeft w:val="0"/>
      <w:marRight w:val="0"/>
      <w:marTop w:val="0"/>
      <w:marBottom w:val="0"/>
      <w:divBdr>
        <w:top w:val="none" w:sz="0" w:space="0" w:color="auto"/>
        <w:left w:val="none" w:sz="0" w:space="0" w:color="auto"/>
        <w:bottom w:val="none" w:sz="0" w:space="0" w:color="auto"/>
        <w:right w:val="none" w:sz="0" w:space="0" w:color="auto"/>
      </w:divBdr>
    </w:div>
    <w:div w:id="147551846">
      <w:bodyDiv w:val="1"/>
      <w:marLeft w:val="0"/>
      <w:marRight w:val="0"/>
      <w:marTop w:val="0"/>
      <w:marBottom w:val="0"/>
      <w:divBdr>
        <w:top w:val="none" w:sz="0" w:space="0" w:color="auto"/>
        <w:left w:val="none" w:sz="0" w:space="0" w:color="auto"/>
        <w:bottom w:val="none" w:sz="0" w:space="0" w:color="auto"/>
        <w:right w:val="none" w:sz="0" w:space="0" w:color="auto"/>
      </w:divBdr>
    </w:div>
    <w:div w:id="152185468">
      <w:bodyDiv w:val="1"/>
      <w:marLeft w:val="0"/>
      <w:marRight w:val="0"/>
      <w:marTop w:val="0"/>
      <w:marBottom w:val="0"/>
      <w:divBdr>
        <w:top w:val="none" w:sz="0" w:space="0" w:color="auto"/>
        <w:left w:val="none" w:sz="0" w:space="0" w:color="auto"/>
        <w:bottom w:val="none" w:sz="0" w:space="0" w:color="auto"/>
        <w:right w:val="none" w:sz="0" w:space="0" w:color="auto"/>
      </w:divBdr>
      <w:divsChild>
        <w:div w:id="2111317545">
          <w:marLeft w:val="547"/>
          <w:marRight w:val="0"/>
          <w:marTop w:val="115"/>
          <w:marBottom w:val="0"/>
          <w:divBdr>
            <w:top w:val="none" w:sz="0" w:space="0" w:color="auto"/>
            <w:left w:val="none" w:sz="0" w:space="0" w:color="auto"/>
            <w:bottom w:val="none" w:sz="0" w:space="0" w:color="auto"/>
            <w:right w:val="none" w:sz="0" w:space="0" w:color="auto"/>
          </w:divBdr>
        </w:div>
      </w:divsChild>
    </w:div>
    <w:div w:id="173304719">
      <w:bodyDiv w:val="1"/>
      <w:marLeft w:val="0"/>
      <w:marRight w:val="0"/>
      <w:marTop w:val="0"/>
      <w:marBottom w:val="0"/>
      <w:divBdr>
        <w:top w:val="none" w:sz="0" w:space="0" w:color="auto"/>
        <w:left w:val="none" w:sz="0" w:space="0" w:color="auto"/>
        <w:bottom w:val="none" w:sz="0" w:space="0" w:color="auto"/>
        <w:right w:val="none" w:sz="0" w:space="0" w:color="auto"/>
      </w:divBdr>
    </w:div>
    <w:div w:id="185562369">
      <w:bodyDiv w:val="1"/>
      <w:marLeft w:val="0"/>
      <w:marRight w:val="0"/>
      <w:marTop w:val="0"/>
      <w:marBottom w:val="0"/>
      <w:divBdr>
        <w:top w:val="none" w:sz="0" w:space="0" w:color="auto"/>
        <w:left w:val="none" w:sz="0" w:space="0" w:color="auto"/>
        <w:bottom w:val="none" w:sz="0" w:space="0" w:color="auto"/>
        <w:right w:val="none" w:sz="0" w:space="0" w:color="auto"/>
      </w:divBdr>
    </w:div>
    <w:div w:id="207304538">
      <w:bodyDiv w:val="1"/>
      <w:marLeft w:val="0"/>
      <w:marRight w:val="0"/>
      <w:marTop w:val="0"/>
      <w:marBottom w:val="0"/>
      <w:divBdr>
        <w:top w:val="none" w:sz="0" w:space="0" w:color="auto"/>
        <w:left w:val="none" w:sz="0" w:space="0" w:color="auto"/>
        <w:bottom w:val="none" w:sz="0" w:space="0" w:color="auto"/>
        <w:right w:val="none" w:sz="0" w:space="0" w:color="auto"/>
      </w:divBdr>
    </w:div>
    <w:div w:id="214463792">
      <w:bodyDiv w:val="1"/>
      <w:marLeft w:val="0"/>
      <w:marRight w:val="0"/>
      <w:marTop w:val="0"/>
      <w:marBottom w:val="0"/>
      <w:divBdr>
        <w:top w:val="none" w:sz="0" w:space="0" w:color="auto"/>
        <w:left w:val="none" w:sz="0" w:space="0" w:color="auto"/>
        <w:bottom w:val="none" w:sz="0" w:space="0" w:color="auto"/>
        <w:right w:val="none" w:sz="0" w:space="0" w:color="auto"/>
      </w:divBdr>
    </w:div>
    <w:div w:id="244338682">
      <w:bodyDiv w:val="1"/>
      <w:marLeft w:val="0"/>
      <w:marRight w:val="0"/>
      <w:marTop w:val="0"/>
      <w:marBottom w:val="0"/>
      <w:divBdr>
        <w:top w:val="none" w:sz="0" w:space="0" w:color="auto"/>
        <w:left w:val="none" w:sz="0" w:space="0" w:color="auto"/>
        <w:bottom w:val="none" w:sz="0" w:space="0" w:color="auto"/>
        <w:right w:val="none" w:sz="0" w:space="0" w:color="auto"/>
      </w:divBdr>
    </w:div>
    <w:div w:id="249511173">
      <w:bodyDiv w:val="1"/>
      <w:marLeft w:val="0"/>
      <w:marRight w:val="0"/>
      <w:marTop w:val="0"/>
      <w:marBottom w:val="0"/>
      <w:divBdr>
        <w:top w:val="none" w:sz="0" w:space="0" w:color="auto"/>
        <w:left w:val="none" w:sz="0" w:space="0" w:color="auto"/>
        <w:bottom w:val="none" w:sz="0" w:space="0" w:color="auto"/>
        <w:right w:val="none" w:sz="0" w:space="0" w:color="auto"/>
      </w:divBdr>
      <w:divsChild>
        <w:div w:id="376588248">
          <w:marLeft w:val="0"/>
          <w:marRight w:val="0"/>
          <w:marTop w:val="0"/>
          <w:marBottom w:val="0"/>
          <w:divBdr>
            <w:top w:val="none" w:sz="0" w:space="0" w:color="auto"/>
            <w:left w:val="none" w:sz="0" w:space="0" w:color="auto"/>
            <w:bottom w:val="none" w:sz="0" w:space="0" w:color="auto"/>
            <w:right w:val="none" w:sz="0" w:space="0" w:color="auto"/>
          </w:divBdr>
        </w:div>
        <w:div w:id="1685980537">
          <w:marLeft w:val="0"/>
          <w:marRight w:val="0"/>
          <w:marTop w:val="0"/>
          <w:marBottom w:val="0"/>
          <w:divBdr>
            <w:top w:val="none" w:sz="0" w:space="0" w:color="auto"/>
            <w:left w:val="none" w:sz="0" w:space="0" w:color="auto"/>
            <w:bottom w:val="none" w:sz="0" w:space="0" w:color="auto"/>
            <w:right w:val="none" w:sz="0" w:space="0" w:color="auto"/>
          </w:divBdr>
          <w:divsChild>
            <w:div w:id="678970589">
              <w:marLeft w:val="0"/>
              <w:marRight w:val="0"/>
              <w:marTop w:val="0"/>
              <w:marBottom w:val="0"/>
              <w:divBdr>
                <w:top w:val="none" w:sz="0" w:space="0" w:color="auto"/>
                <w:left w:val="none" w:sz="0" w:space="0" w:color="auto"/>
                <w:bottom w:val="none" w:sz="0" w:space="0" w:color="auto"/>
                <w:right w:val="none" w:sz="0" w:space="0" w:color="auto"/>
              </w:divBdr>
              <w:divsChild>
                <w:div w:id="733889295">
                  <w:marLeft w:val="0"/>
                  <w:marRight w:val="0"/>
                  <w:marTop w:val="0"/>
                  <w:marBottom w:val="0"/>
                  <w:divBdr>
                    <w:top w:val="none" w:sz="0" w:space="0" w:color="auto"/>
                    <w:left w:val="none" w:sz="0" w:space="0" w:color="auto"/>
                    <w:bottom w:val="none" w:sz="0" w:space="0" w:color="auto"/>
                    <w:right w:val="none" w:sz="0" w:space="0" w:color="auto"/>
                  </w:divBdr>
                  <w:divsChild>
                    <w:div w:id="148034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83523">
      <w:bodyDiv w:val="1"/>
      <w:marLeft w:val="0"/>
      <w:marRight w:val="0"/>
      <w:marTop w:val="0"/>
      <w:marBottom w:val="0"/>
      <w:divBdr>
        <w:top w:val="none" w:sz="0" w:space="0" w:color="auto"/>
        <w:left w:val="none" w:sz="0" w:space="0" w:color="auto"/>
        <w:bottom w:val="none" w:sz="0" w:space="0" w:color="auto"/>
        <w:right w:val="none" w:sz="0" w:space="0" w:color="auto"/>
      </w:divBdr>
      <w:divsChild>
        <w:div w:id="919026018">
          <w:marLeft w:val="0"/>
          <w:marRight w:val="0"/>
          <w:marTop w:val="0"/>
          <w:marBottom w:val="0"/>
          <w:divBdr>
            <w:top w:val="none" w:sz="0" w:space="0" w:color="auto"/>
            <w:left w:val="none" w:sz="0" w:space="0" w:color="auto"/>
            <w:bottom w:val="none" w:sz="0" w:space="0" w:color="auto"/>
            <w:right w:val="none" w:sz="0" w:space="0" w:color="auto"/>
          </w:divBdr>
          <w:divsChild>
            <w:div w:id="1354764614">
              <w:marLeft w:val="0"/>
              <w:marRight w:val="0"/>
              <w:marTop w:val="0"/>
              <w:marBottom w:val="0"/>
              <w:divBdr>
                <w:top w:val="none" w:sz="0" w:space="0" w:color="auto"/>
                <w:left w:val="none" w:sz="0" w:space="0" w:color="auto"/>
                <w:bottom w:val="none" w:sz="0" w:space="0" w:color="auto"/>
                <w:right w:val="none" w:sz="0" w:space="0" w:color="auto"/>
              </w:divBdr>
              <w:divsChild>
                <w:div w:id="1475097199">
                  <w:marLeft w:val="0"/>
                  <w:marRight w:val="0"/>
                  <w:marTop w:val="0"/>
                  <w:marBottom w:val="0"/>
                  <w:divBdr>
                    <w:top w:val="none" w:sz="0" w:space="0" w:color="auto"/>
                    <w:left w:val="none" w:sz="0" w:space="0" w:color="auto"/>
                    <w:bottom w:val="none" w:sz="0" w:space="0" w:color="auto"/>
                    <w:right w:val="none" w:sz="0" w:space="0" w:color="auto"/>
                  </w:divBdr>
                  <w:divsChild>
                    <w:div w:id="1329403504">
                      <w:marLeft w:val="0"/>
                      <w:marRight w:val="0"/>
                      <w:marTop w:val="0"/>
                      <w:marBottom w:val="0"/>
                      <w:divBdr>
                        <w:top w:val="none" w:sz="0" w:space="0" w:color="auto"/>
                        <w:left w:val="none" w:sz="0" w:space="0" w:color="auto"/>
                        <w:bottom w:val="none" w:sz="0" w:space="0" w:color="auto"/>
                        <w:right w:val="none" w:sz="0" w:space="0" w:color="auto"/>
                      </w:divBdr>
                      <w:divsChild>
                        <w:div w:id="196700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154795">
      <w:bodyDiv w:val="1"/>
      <w:marLeft w:val="0"/>
      <w:marRight w:val="0"/>
      <w:marTop w:val="0"/>
      <w:marBottom w:val="0"/>
      <w:divBdr>
        <w:top w:val="none" w:sz="0" w:space="0" w:color="auto"/>
        <w:left w:val="none" w:sz="0" w:space="0" w:color="auto"/>
        <w:bottom w:val="none" w:sz="0" w:space="0" w:color="auto"/>
        <w:right w:val="none" w:sz="0" w:space="0" w:color="auto"/>
      </w:divBdr>
    </w:div>
    <w:div w:id="296230319">
      <w:bodyDiv w:val="1"/>
      <w:marLeft w:val="0"/>
      <w:marRight w:val="0"/>
      <w:marTop w:val="0"/>
      <w:marBottom w:val="0"/>
      <w:divBdr>
        <w:top w:val="none" w:sz="0" w:space="0" w:color="auto"/>
        <w:left w:val="none" w:sz="0" w:space="0" w:color="auto"/>
        <w:bottom w:val="none" w:sz="0" w:space="0" w:color="auto"/>
        <w:right w:val="none" w:sz="0" w:space="0" w:color="auto"/>
      </w:divBdr>
    </w:div>
    <w:div w:id="369039676">
      <w:bodyDiv w:val="1"/>
      <w:marLeft w:val="0"/>
      <w:marRight w:val="0"/>
      <w:marTop w:val="0"/>
      <w:marBottom w:val="0"/>
      <w:divBdr>
        <w:top w:val="none" w:sz="0" w:space="0" w:color="auto"/>
        <w:left w:val="none" w:sz="0" w:space="0" w:color="auto"/>
        <w:bottom w:val="none" w:sz="0" w:space="0" w:color="auto"/>
        <w:right w:val="none" w:sz="0" w:space="0" w:color="auto"/>
      </w:divBdr>
    </w:div>
    <w:div w:id="406345594">
      <w:bodyDiv w:val="1"/>
      <w:marLeft w:val="0"/>
      <w:marRight w:val="0"/>
      <w:marTop w:val="0"/>
      <w:marBottom w:val="0"/>
      <w:divBdr>
        <w:top w:val="none" w:sz="0" w:space="0" w:color="auto"/>
        <w:left w:val="none" w:sz="0" w:space="0" w:color="auto"/>
        <w:bottom w:val="none" w:sz="0" w:space="0" w:color="auto"/>
        <w:right w:val="none" w:sz="0" w:space="0" w:color="auto"/>
      </w:divBdr>
      <w:divsChild>
        <w:div w:id="376711182">
          <w:marLeft w:val="0"/>
          <w:marRight w:val="0"/>
          <w:marTop w:val="0"/>
          <w:marBottom w:val="0"/>
          <w:divBdr>
            <w:top w:val="none" w:sz="0" w:space="0" w:color="auto"/>
            <w:left w:val="none" w:sz="0" w:space="0" w:color="auto"/>
            <w:bottom w:val="none" w:sz="0" w:space="0" w:color="auto"/>
            <w:right w:val="none" w:sz="0" w:space="0" w:color="auto"/>
          </w:divBdr>
        </w:div>
        <w:div w:id="224293273">
          <w:marLeft w:val="0"/>
          <w:marRight w:val="0"/>
          <w:marTop w:val="0"/>
          <w:marBottom w:val="0"/>
          <w:divBdr>
            <w:top w:val="none" w:sz="0" w:space="0" w:color="auto"/>
            <w:left w:val="none" w:sz="0" w:space="0" w:color="auto"/>
            <w:bottom w:val="none" w:sz="0" w:space="0" w:color="auto"/>
            <w:right w:val="none" w:sz="0" w:space="0" w:color="auto"/>
          </w:divBdr>
          <w:divsChild>
            <w:div w:id="1010914107">
              <w:marLeft w:val="0"/>
              <w:marRight w:val="0"/>
              <w:marTop w:val="0"/>
              <w:marBottom w:val="0"/>
              <w:divBdr>
                <w:top w:val="none" w:sz="0" w:space="0" w:color="auto"/>
                <w:left w:val="none" w:sz="0" w:space="0" w:color="auto"/>
                <w:bottom w:val="none" w:sz="0" w:space="0" w:color="auto"/>
                <w:right w:val="none" w:sz="0" w:space="0" w:color="auto"/>
              </w:divBdr>
              <w:divsChild>
                <w:div w:id="204760953">
                  <w:marLeft w:val="0"/>
                  <w:marRight w:val="0"/>
                  <w:marTop w:val="0"/>
                  <w:marBottom w:val="0"/>
                  <w:divBdr>
                    <w:top w:val="none" w:sz="0" w:space="0" w:color="auto"/>
                    <w:left w:val="none" w:sz="0" w:space="0" w:color="auto"/>
                    <w:bottom w:val="none" w:sz="0" w:space="0" w:color="auto"/>
                    <w:right w:val="none" w:sz="0" w:space="0" w:color="auto"/>
                  </w:divBdr>
                  <w:divsChild>
                    <w:div w:id="19385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243445">
      <w:bodyDiv w:val="1"/>
      <w:marLeft w:val="0"/>
      <w:marRight w:val="0"/>
      <w:marTop w:val="0"/>
      <w:marBottom w:val="0"/>
      <w:divBdr>
        <w:top w:val="none" w:sz="0" w:space="0" w:color="auto"/>
        <w:left w:val="none" w:sz="0" w:space="0" w:color="auto"/>
        <w:bottom w:val="none" w:sz="0" w:space="0" w:color="auto"/>
        <w:right w:val="none" w:sz="0" w:space="0" w:color="auto"/>
      </w:divBdr>
    </w:div>
    <w:div w:id="505362045">
      <w:bodyDiv w:val="1"/>
      <w:marLeft w:val="0"/>
      <w:marRight w:val="0"/>
      <w:marTop w:val="0"/>
      <w:marBottom w:val="0"/>
      <w:divBdr>
        <w:top w:val="none" w:sz="0" w:space="0" w:color="auto"/>
        <w:left w:val="none" w:sz="0" w:space="0" w:color="auto"/>
        <w:bottom w:val="none" w:sz="0" w:space="0" w:color="auto"/>
        <w:right w:val="none" w:sz="0" w:space="0" w:color="auto"/>
      </w:divBdr>
    </w:div>
    <w:div w:id="531378575">
      <w:bodyDiv w:val="1"/>
      <w:marLeft w:val="0"/>
      <w:marRight w:val="0"/>
      <w:marTop w:val="0"/>
      <w:marBottom w:val="0"/>
      <w:divBdr>
        <w:top w:val="none" w:sz="0" w:space="0" w:color="auto"/>
        <w:left w:val="none" w:sz="0" w:space="0" w:color="auto"/>
        <w:bottom w:val="none" w:sz="0" w:space="0" w:color="auto"/>
        <w:right w:val="none" w:sz="0" w:space="0" w:color="auto"/>
      </w:divBdr>
    </w:div>
    <w:div w:id="701974698">
      <w:bodyDiv w:val="1"/>
      <w:marLeft w:val="0"/>
      <w:marRight w:val="0"/>
      <w:marTop w:val="0"/>
      <w:marBottom w:val="0"/>
      <w:divBdr>
        <w:top w:val="none" w:sz="0" w:space="0" w:color="auto"/>
        <w:left w:val="none" w:sz="0" w:space="0" w:color="auto"/>
        <w:bottom w:val="none" w:sz="0" w:space="0" w:color="auto"/>
        <w:right w:val="none" w:sz="0" w:space="0" w:color="auto"/>
      </w:divBdr>
    </w:div>
    <w:div w:id="701977382">
      <w:bodyDiv w:val="1"/>
      <w:marLeft w:val="0"/>
      <w:marRight w:val="0"/>
      <w:marTop w:val="0"/>
      <w:marBottom w:val="0"/>
      <w:divBdr>
        <w:top w:val="none" w:sz="0" w:space="0" w:color="auto"/>
        <w:left w:val="none" w:sz="0" w:space="0" w:color="auto"/>
        <w:bottom w:val="none" w:sz="0" w:space="0" w:color="auto"/>
        <w:right w:val="none" w:sz="0" w:space="0" w:color="auto"/>
      </w:divBdr>
    </w:div>
    <w:div w:id="708575605">
      <w:bodyDiv w:val="1"/>
      <w:marLeft w:val="0"/>
      <w:marRight w:val="0"/>
      <w:marTop w:val="0"/>
      <w:marBottom w:val="0"/>
      <w:divBdr>
        <w:top w:val="none" w:sz="0" w:space="0" w:color="auto"/>
        <w:left w:val="none" w:sz="0" w:space="0" w:color="auto"/>
        <w:bottom w:val="none" w:sz="0" w:space="0" w:color="auto"/>
        <w:right w:val="none" w:sz="0" w:space="0" w:color="auto"/>
      </w:divBdr>
    </w:div>
    <w:div w:id="756051376">
      <w:bodyDiv w:val="1"/>
      <w:marLeft w:val="0"/>
      <w:marRight w:val="0"/>
      <w:marTop w:val="0"/>
      <w:marBottom w:val="0"/>
      <w:divBdr>
        <w:top w:val="none" w:sz="0" w:space="0" w:color="auto"/>
        <w:left w:val="none" w:sz="0" w:space="0" w:color="auto"/>
        <w:bottom w:val="none" w:sz="0" w:space="0" w:color="auto"/>
        <w:right w:val="none" w:sz="0" w:space="0" w:color="auto"/>
      </w:divBdr>
    </w:div>
    <w:div w:id="772169336">
      <w:bodyDiv w:val="1"/>
      <w:marLeft w:val="0"/>
      <w:marRight w:val="0"/>
      <w:marTop w:val="0"/>
      <w:marBottom w:val="0"/>
      <w:divBdr>
        <w:top w:val="none" w:sz="0" w:space="0" w:color="auto"/>
        <w:left w:val="none" w:sz="0" w:space="0" w:color="auto"/>
        <w:bottom w:val="none" w:sz="0" w:space="0" w:color="auto"/>
        <w:right w:val="none" w:sz="0" w:space="0" w:color="auto"/>
      </w:divBdr>
    </w:div>
    <w:div w:id="772820431">
      <w:bodyDiv w:val="1"/>
      <w:marLeft w:val="0"/>
      <w:marRight w:val="0"/>
      <w:marTop w:val="0"/>
      <w:marBottom w:val="0"/>
      <w:divBdr>
        <w:top w:val="none" w:sz="0" w:space="0" w:color="auto"/>
        <w:left w:val="none" w:sz="0" w:space="0" w:color="auto"/>
        <w:bottom w:val="none" w:sz="0" w:space="0" w:color="auto"/>
        <w:right w:val="none" w:sz="0" w:space="0" w:color="auto"/>
      </w:divBdr>
    </w:div>
    <w:div w:id="802623489">
      <w:bodyDiv w:val="1"/>
      <w:marLeft w:val="0"/>
      <w:marRight w:val="0"/>
      <w:marTop w:val="0"/>
      <w:marBottom w:val="0"/>
      <w:divBdr>
        <w:top w:val="none" w:sz="0" w:space="0" w:color="auto"/>
        <w:left w:val="none" w:sz="0" w:space="0" w:color="auto"/>
        <w:bottom w:val="none" w:sz="0" w:space="0" w:color="auto"/>
        <w:right w:val="none" w:sz="0" w:space="0" w:color="auto"/>
      </w:divBdr>
    </w:div>
    <w:div w:id="817653236">
      <w:bodyDiv w:val="1"/>
      <w:marLeft w:val="0"/>
      <w:marRight w:val="0"/>
      <w:marTop w:val="0"/>
      <w:marBottom w:val="0"/>
      <w:divBdr>
        <w:top w:val="none" w:sz="0" w:space="0" w:color="auto"/>
        <w:left w:val="none" w:sz="0" w:space="0" w:color="auto"/>
        <w:bottom w:val="none" w:sz="0" w:space="0" w:color="auto"/>
        <w:right w:val="none" w:sz="0" w:space="0" w:color="auto"/>
      </w:divBdr>
    </w:div>
    <w:div w:id="828516228">
      <w:bodyDiv w:val="1"/>
      <w:marLeft w:val="0"/>
      <w:marRight w:val="0"/>
      <w:marTop w:val="0"/>
      <w:marBottom w:val="0"/>
      <w:divBdr>
        <w:top w:val="none" w:sz="0" w:space="0" w:color="auto"/>
        <w:left w:val="none" w:sz="0" w:space="0" w:color="auto"/>
        <w:bottom w:val="none" w:sz="0" w:space="0" w:color="auto"/>
        <w:right w:val="none" w:sz="0" w:space="0" w:color="auto"/>
      </w:divBdr>
    </w:div>
    <w:div w:id="860436694">
      <w:bodyDiv w:val="1"/>
      <w:marLeft w:val="0"/>
      <w:marRight w:val="0"/>
      <w:marTop w:val="0"/>
      <w:marBottom w:val="0"/>
      <w:divBdr>
        <w:top w:val="none" w:sz="0" w:space="0" w:color="auto"/>
        <w:left w:val="none" w:sz="0" w:space="0" w:color="auto"/>
        <w:bottom w:val="none" w:sz="0" w:space="0" w:color="auto"/>
        <w:right w:val="none" w:sz="0" w:space="0" w:color="auto"/>
      </w:divBdr>
    </w:div>
    <w:div w:id="877552178">
      <w:bodyDiv w:val="1"/>
      <w:marLeft w:val="0"/>
      <w:marRight w:val="0"/>
      <w:marTop w:val="0"/>
      <w:marBottom w:val="0"/>
      <w:divBdr>
        <w:top w:val="none" w:sz="0" w:space="0" w:color="auto"/>
        <w:left w:val="none" w:sz="0" w:space="0" w:color="auto"/>
        <w:bottom w:val="none" w:sz="0" w:space="0" w:color="auto"/>
        <w:right w:val="none" w:sz="0" w:space="0" w:color="auto"/>
      </w:divBdr>
    </w:div>
    <w:div w:id="881745369">
      <w:bodyDiv w:val="1"/>
      <w:marLeft w:val="0"/>
      <w:marRight w:val="0"/>
      <w:marTop w:val="0"/>
      <w:marBottom w:val="0"/>
      <w:divBdr>
        <w:top w:val="none" w:sz="0" w:space="0" w:color="auto"/>
        <w:left w:val="none" w:sz="0" w:space="0" w:color="auto"/>
        <w:bottom w:val="none" w:sz="0" w:space="0" w:color="auto"/>
        <w:right w:val="none" w:sz="0" w:space="0" w:color="auto"/>
      </w:divBdr>
    </w:div>
    <w:div w:id="983311666">
      <w:bodyDiv w:val="1"/>
      <w:marLeft w:val="0"/>
      <w:marRight w:val="0"/>
      <w:marTop w:val="0"/>
      <w:marBottom w:val="0"/>
      <w:divBdr>
        <w:top w:val="none" w:sz="0" w:space="0" w:color="auto"/>
        <w:left w:val="none" w:sz="0" w:space="0" w:color="auto"/>
        <w:bottom w:val="none" w:sz="0" w:space="0" w:color="auto"/>
        <w:right w:val="none" w:sz="0" w:space="0" w:color="auto"/>
      </w:divBdr>
    </w:div>
    <w:div w:id="1035010082">
      <w:bodyDiv w:val="1"/>
      <w:marLeft w:val="0"/>
      <w:marRight w:val="0"/>
      <w:marTop w:val="0"/>
      <w:marBottom w:val="0"/>
      <w:divBdr>
        <w:top w:val="none" w:sz="0" w:space="0" w:color="auto"/>
        <w:left w:val="none" w:sz="0" w:space="0" w:color="auto"/>
        <w:bottom w:val="none" w:sz="0" w:space="0" w:color="auto"/>
        <w:right w:val="none" w:sz="0" w:space="0" w:color="auto"/>
      </w:divBdr>
    </w:div>
    <w:div w:id="1113404143">
      <w:bodyDiv w:val="1"/>
      <w:marLeft w:val="0"/>
      <w:marRight w:val="0"/>
      <w:marTop w:val="0"/>
      <w:marBottom w:val="0"/>
      <w:divBdr>
        <w:top w:val="none" w:sz="0" w:space="0" w:color="auto"/>
        <w:left w:val="none" w:sz="0" w:space="0" w:color="auto"/>
        <w:bottom w:val="none" w:sz="0" w:space="0" w:color="auto"/>
        <w:right w:val="none" w:sz="0" w:space="0" w:color="auto"/>
      </w:divBdr>
    </w:div>
    <w:div w:id="1148978516">
      <w:bodyDiv w:val="1"/>
      <w:marLeft w:val="0"/>
      <w:marRight w:val="0"/>
      <w:marTop w:val="0"/>
      <w:marBottom w:val="0"/>
      <w:divBdr>
        <w:top w:val="none" w:sz="0" w:space="0" w:color="auto"/>
        <w:left w:val="none" w:sz="0" w:space="0" w:color="auto"/>
        <w:bottom w:val="none" w:sz="0" w:space="0" w:color="auto"/>
        <w:right w:val="none" w:sz="0" w:space="0" w:color="auto"/>
      </w:divBdr>
    </w:div>
    <w:div w:id="1188907943">
      <w:bodyDiv w:val="1"/>
      <w:marLeft w:val="0"/>
      <w:marRight w:val="0"/>
      <w:marTop w:val="0"/>
      <w:marBottom w:val="0"/>
      <w:divBdr>
        <w:top w:val="none" w:sz="0" w:space="0" w:color="auto"/>
        <w:left w:val="none" w:sz="0" w:space="0" w:color="auto"/>
        <w:bottom w:val="none" w:sz="0" w:space="0" w:color="auto"/>
        <w:right w:val="none" w:sz="0" w:space="0" w:color="auto"/>
      </w:divBdr>
    </w:div>
    <w:div w:id="1192767447">
      <w:bodyDiv w:val="1"/>
      <w:marLeft w:val="0"/>
      <w:marRight w:val="0"/>
      <w:marTop w:val="0"/>
      <w:marBottom w:val="0"/>
      <w:divBdr>
        <w:top w:val="none" w:sz="0" w:space="0" w:color="auto"/>
        <w:left w:val="none" w:sz="0" w:space="0" w:color="auto"/>
        <w:bottom w:val="none" w:sz="0" w:space="0" w:color="auto"/>
        <w:right w:val="none" w:sz="0" w:space="0" w:color="auto"/>
      </w:divBdr>
    </w:div>
    <w:div w:id="1203439305">
      <w:bodyDiv w:val="1"/>
      <w:marLeft w:val="0"/>
      <w:marRight w:val="0"/>
      <w:marTop w:val="0"/>
      <w:marBottom w:val="0"/>
      <w:divBdr>
        <w:top w:val="none" w:sz="0" w:space="0" w:color="auto"/>
        <w:left w:val="none" w:sz="0" w:space="0" w:color="auto"/>
        <w:bottom w:val="none" w:sz="0" w:space="0" w:color="auto"/>
        <w:right w:val="none" w:sz="0" w:space="0" w:color="auto"/>
      </w:divBdr>
      <w:divsChild>
        <w:div w:id="1860699809">
          <w:marLeft w:val="547"/>
          <w:marRight w:val="0"/>
          <w:marTop w:val="115"/>
          <w:marBottom w:val="0"/>
          <w:divBdr>
            <w:top w:val="none" w:sz="0" w:space="0" w:color="auto"/>
            <w:left w:val="none" w:sz="0" w:space="0" w:color="auto"/>
            <w:bottom w:val="none" w:sz="0" w:space="0" w:color="auto"/>
            <w:right w:val="none" w:sz="0" w:space="0" w:color="auto"/>
          </w:divBdr>
        </w:div>
      </w:divsChild>
    </w:div>
    <w:div w:id="1411973564">
      <w:bodyDiv w:val="1"/>
      <w:marLeft w:val="0"/>
      <w:marRight w:val="0"/>
      <w:marTop w:val="0"/>
      <w:marBottom w:val="0"/>
      <w:divBdr>
        <w:top w:val="none" w:sz="0" w:space="0" w:color="auto"/>
        <w:left w:val="none" w:sz="0" w:space="0" w:color="auto"/>
        <w:bottom w:val="none" w:sz="0" w:space="0" w:color="auto"/>
        <w:right w:val="none" w:sz="0" w:space="0" w:color="auto"/>
      </w:divBdr>
    </w:div>
    <w:div w:id="1450970769">
      <w:bodyDiv w:val="1"/>
      <w:marLeft w:val="0"/>
      <w:marRight w:val="0"/>
      <w:marTop w:val="0"/>
      <w:marBottom w:val="0"/>
      <w:divBdr>
        <w:top w:val="none" w:sz="0" w:space="0" w:color="auto"/>
        <w:left w:val="none" w:sz="0" w:space="0" w:color="auto"/>
        <w:bottom w:val="none" w:sz="0" w:space="0" w:color="auto"/>
        <w:right w:val="none" w:sz="0" w:space="0" w:color="auto"/>
      </w:divBdr>
    </w:div>
    <w:div w:id="1451971764">
      <w:bodyDiv w:val="1"/>
      <w:marLeft w:val="0"/>
      <w:marRight w:val="0"/>
      <w:marTop w:val="0"/>
      <w:marBottom w:val="0"/>
      <w:divBdr>
        <w:top w:val="none" w:sz="0" w:space="0" w:color="auto"/>
        <w:left w:val="none" w:sz="0" w:space="0" w:color="auto"/>
        <w:bottom w:val="none" w:sz="0" w:space="0" w:color="auto"/>
        <w:right w:val="none" w:sz="0" w:space="0" w:color="auto"/>
      </w:divBdr>
    </w:div>
    <w:div w:id="1460340594">
      <w:bodyDiv w:val="1"/>
      <w:marLeft w:val="0"/>
      <w:marRight w:val="0"/>
      <w:marTop w:val="0"/>
      <w:marBottom w:val="0"/>
      <w:divBdr>
        <w:top w:val="none" w:sz="0" w:space="0" w:color="auto"/>
        <w:left w:val="none" w:sz="0" w:space="0" w:color="auto"/>
        <w:bottom w:val="none" w:sz="0" w:space="0" w:color="auto"/>
        <w:right w:val="none" w:sz="0" w:space="0" w:color="auto"/>
      </w:divBdr>
    </w:div>
    <w:div w:id="1497258805">
      <w:bodyDiv w:val="1"/>
      <w:marLeft w:val="0"/>
      <w:marRight w:val="0"/>
      <w:marTop w:val="0"/>
      <w:marBottom w:val="0"/>
      <w:divBdr>
        <w:top w:val="none" w:sz="0" w:space="0" w:color="auto"/>
        <w:left w:val="none" w:sz="0" w:space="0" w:color="auto"/>
        <w:bottom w:val="none" w:sz="0" w:space="0" w:color="auto"/>
        <w:right w:val="none" w:sz="0" w:space="0" w:color="auto"/>
      </w:divBdr>
    </w:div>
    <w:div w:id="1584799744">
      <w:bodyDiv w:val="1"/>
      <w:marLeft w:val="0"/>
      <w:marRight w:val="0"/>
      <w:marTop w:val="0"/>
      <w:marBottom w:val="0"/>
      <w:divBdr>
        <w:top w:val="none" w:sz="0" w:space="0" w:color="auto"/>
        <w:left w:val="none" w:sz="0" w:space="0" w:color="auto"/>
        <w:bottom w:val="none" w:sz="0" w:space="0" w:color="auto"/>
        <w:right w:val="none" w:sz="0" w:space="0" w:color="auto"/>
      </w:divBdr>
    </w:div>
    <w:div w:id="1618832568">
      <w:bodyDiv w:val="1"/>
      <w:marLeft w:val="0"/>
      <w:marRight w:val="0"/>
      <w:marTop w:val="0"/>
      <w:marBottom w:val="0"/>
      <w:divBdr>
        <w:top w:val="none" w:sz="0" w:space="0" w:color="auto"/>
        <w:left w:val="none" w:sz="0" w:space="0" w:color="auto"/>
        <w:bottom w:val="none" w:sz="0" w:space="0" w:color="auto"/>
        <w:right w:val="none" w:sz="0" w:space="0" w:color="auto"/>
      </w:divBdr>
    </w:div>
    <w:div w:id="1632596427">
      <w:bodyDiv w:val="1"/>
      <w:marLeft w:val="0"/>
      <w:marRight w:val="0"/>
      <w:marTop w:val="0"/>
      <w:marBottom w:val="0"/>
      <w:divBdr>
        <w:top w:val="none" w:sz="0" w:space="0" w:color="auto"/>
        <w:left w:val="none" w:sz="0" w:space="0" w:color="auto"/>
        <w:bottom w:val="none" w:sz="0" w:space="0" w:color="auto"/>
        <w:right w:val="none" w:sz="0" w:space="0" w:color="auto"/>
      </w:divBdr>
      <w:divsChild>
        <w:div w:id="1044670234">
          <w:marLeft w:val="0"/>
          <w:marRight w:val="0"/>
          <w:marTop w:val="0"/>
          <w:marBottom w:val="0"/>
          <w:divBdr>
            <w:top w:val="none" w:sz="0" w:space="0" w:color="auto"/>
            <w:left w:val="none" w:sz="0" w:space="0" w:color="auto"/>
            <w:bottom w:val="none" w:sz="0" w:space="0" w:color="auto"/>
            <w:right w:val="none" w:sz="0" w:space="0" w:color="auto"/>
          </w:divBdr>
        </w:div>
        <w:div w:id="10380491">
          <w:marLeft w:val="0"/>
          <w:marRight w:val="0"/>
          <w:marTop w:val="0"/>
          <w:marBottom w:val="0"/>
          <w:divBdr>
            <w:top w:val="none" w:sz="0" w:space="0" w:color="auto"/>
            <w:left w:val="none" w:sz="0" w:space="0" w:color="auto"/>
            <w:bottom w:val="none" w:sz="0" w:space="0" w:color="auto"/>
            <w:right w:val="none" w:sz="0" w:space="0" w:color="auto"/>
          </w:divBdr>
          <w:divsChild>
            <w:div w:id="133648593">
              <w:marLeft w:val="0"/>
              <w:marRight w:val="0"/>
              <w:marTop w:val="0"/>
              <w:marBottom w:val="0"/>
              <w:divBdr>
                <w:top w:val="none" w:sz="0" w:space="0" w:color="auto"/>
                <w:left w:val="none" w:sz="0" w:space="0" w:color="auto"/>
                <w:bottom w:val="none" w:sz="0" w:space="0" w:color="auto"/>
                <w:right w:val="none" w:sz="0" w:space="0" w:color="auto"/>
              </w:divBdr>
            </w:div>
            <w:div w:id="8601111">
              <w:marLeft w:val="0"/>
              <w:marRight w:val="0"/>
              <w:marTop w:val="0"/>
              <w:marBottom w:val="0"/>
              <w:divBdr>
                <w:top w:val="none" w:sz="0" w:space="0" w:color="auto"/>
                <w:left w:val="none" w:sz="0" w:space="0" w:color="auto"/>
                <w:bottom w:val="none" w:sz="0" w:space="0" w:color="auto"/>
                <w:right w:val="none" w:sz="0" w:space="0" w:color="auto"/>
              </w:divBdr>
              <w:divsChild>
                <w:div w:id="341593267">
                  <w:marLeft w:val="0"/>
                  <w:marRight w:val="0"/>
                  <w:marTop w:val="0"/>
                  <w:marBottom w:val="0"/>
                  <w:divBdr>
                    <w:top w:val="none" w:sz="0" w:space="0" w:color="auto"/>
                    <w:left w:val="none" w:sz="0" w:space="0" w:color="auto"/>
                    <w:bottom w:val="none" w:sz="0" w:space="0" w:color="auto"/>
                    <w:right w:val="none" w:sz="0" w:space="0" w:color="auto"/>
                  </w:divBdr>
                  <w:divsChild>
                    <w:div w:id="188933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477790">
      <w:bodyDiv w:val="1"/>
      <w:marLeft w:val="0"/>
      <w:marRight w:val="0"/>
      <w:marTop w:val="0"/>
      <w:marBottom w:val="0"/>
      <w:divBdr>
        <w:top w:val="none" w:sz="0" w:space="0" w:color="auto"/>
        <w:left w:val="none" w:sz="0" w:space="0" w:color="auto"/>
        <w:bottom w:val="none" w:sz="0" w:space="0" w:color="auto"/>
        <w:right w:val="none" w:sz="0" w:space="0" w:color="auto"/>
      </w:divBdr>
    </w:div>
    <w:div w:id="1637759367">
      <w:bodyDiv w:val="1"/>
      <w:marLeft w:val="0"/>
      <w:marRight w:val="0"/>
      <w:marTop w:val="0"/>
      <w:marBottom w:val="0"/>
      <w:divBdr>
        <w:top w:val="none" w:sz="0" w:space="0" w:color="auto"/>
        <w:left w:val="none" w:sz="0" w:space="0" w:color="auto"/>
        <w:bottom w:val="none" w:sz="0" w:space="0" w:color="auto"/>
        <w:right w:val="none" w:sz="0" w:space="0" w:color="auto"/>
      </w:divBdr>
    </w:div>
    <w:div w:id="1659192407">
      <w:bodyDiv w:val="1"/>
      <w:marLeft w:val="0"/>
      <w:marRight w:val="0"/>
      <w:marTop w:val="0"/>
      <w:marBottom w:val="0"/>
      <w:divBdr>
        <w:top w:val="none" w:sz="0" w:space="0" w:color="auto"/>
        <w:left w:val="none" w:sz="0" w:space="0" w:color="auto"/>
        <w:bottom w:val="none" w:sz="0" w:space="0" w:color="auto"/>
        <w:right w:val="none" w:sz="0" w:space="0" w:color="auto"/>
      </w:divBdr>
    </w:div>
    <w:div w:id="1753964561">
      <w:bodyDiv w:val="1"/>
      <w:marLeft w:val="0"/>
      <w:marRight w:val="0"/>
      <w:marTop w:val="0"/>
      <w:marBottom w:val="0"/>
      <w:divBdr>
        <w:top w:val="none" w:sz="0" w:space="0" w:color="auto"/>
        <w:left w:val="none" w:sz="0" w:space="0" w:color="auto"/>
        <w:bottom w:val="none" w:sz="0" w:space="0" w:color="auto"/>
        <w:right w:val="none" w:sz="0" w:space="0" w:color="auto"/>
      </w:divBdr>
    </w:div>
    <w:div w:id="1823159386">
      <w:bodyDiv w:val="1"/>
      <w:marLeft w:val="0"/>
      <w:marRight w:val="0"/>
      <w:marTop w:val="0"/>
      <w:marBottom w:val="0"/>
      <w:divBdr>
        <w:top w:val="none" w:sz="0" w:space="0" w:color="auto"/>
        <w:left w:val="none" w:sz="0" w:space="0" w:color="auto"/>
        <w:bottom w:val="none" w:sz="0" w:space="0" w:color="auto"/>
        <w:right w:val="none" w:sz="0" w:space="0" w:color="auto"/>
      </w:divBdr>
    </w:div>
    <w:div w:id="1854025570">
      <w:bodyDiv w:val="1"/>
      <w:marLeft w:val="0"/>
      <w:marRight w:val="0"/>
      <w:marTop w:val="0"/>
      <w:marBottom w:val="0"/>
      <w:divBdr>
        <w:top w:val="none" w:sz="0" w:space="0" w:color="auto"/>
        <w:left w:val="none" w:sz="0" w:space="0" w:color="auto"/>
        <w:bottom w:val="none" w:sz="0" w:space="0" w:color="auto"/>
        <w:right w:val="none" w:sz="0" w:space="0" w:color="auto"/>
      </w:divBdr>
    </w:div>
    <w:div w:id="1857500768">
      <w:bodyDiv w:val="1"/>
      <w:marLeft w:val="0"/>
      <w:marRight w:val="0"/>
      <w:marTop w:val="0"/>
      <w:marBottom w:val="0"/>
      <w:divBdr>
        <w:top w:val="none" w:sz="0" w:space="0" w:color="auto"/>
        <w:left w:val="none" w:sz="0" w:space="0" w:color="auto"/>
        <w:bottom w:val="none" w:sz="0" w:space="0" w:color="auto"/>
        <w:right w:val="none" w:sz="0" w:space="0" w:color="auto"/>
      </w:divBdr>
    </w:div>
    <w:div w:id="1860466822">
      <w:bodyDiv w:val="1"/>
      <w:marLeft w:val="0"/>
      <w:marRight w:val="0"/>
      <w:marTop w:val="0"/>
      <w:marBottom w:val="0"/>
      <w:divBdr>
        <w:top w:val="none" w:sz="0" w:space="0" w:color="auto"/>
        <w:left w:val="none" w:sz="0" w:space="0" w:color="auto"/>
        <w:bottom w:val="none" w:sz="0" w:space="0" w:color="auto"/>
        <w:right w:val="none" w:sz="0" w:space="0" w:color="auto"/>
      </w:divBdr>
    </w:div>
    <w:div w:id="1876381860">
      <w:bodyDiv w:val="1"/>
      <w:marLeft w:val="0"/>
      <w:marRight w:val="0"/>
      <w:marTop w:val="0"/>
      <w:marBottom w:val="0"/>
      <w:divBdr>
        <w:top w:val="none" w:sz="0" w:space="0" w:color="auto"/>
        <w:left w:val="none" w:sz="0" w:space="0" w:color="auto"/>
        <w:bottom w:val="none" w:sz="0" w:space="0" w:color="auto"/>
        <w:right w:val="none" w:sz="0" w:space="0" w:color="auto"/>
      </w:divBdr>
    </w:div>
    <w:div w:id="1894075565">
      <w:bodyDiv w:val="1"/>
      <w:marLeft w:val="0"/>
      <w:marRight w:val="0"/>
      <w:marTop w:val="0"/>
      <w:marBottom w:val="0"/>
      <w:divBdr>
        <w:top w:val="none" w:sz="0" w:space="0" w:color="auto"/>
        <w:left w:val="none" w:sz="0" w:space="0" w:color="auto"/>
        <w:bottom w:val="none" w:sz="0" w:space="0" w:color="auto"/>
        <w:right w:val="none" w:sz="0" w:space="0" w:color="auto"/>
      </w:divBdr>
    </w:div>
    <w:div w:id="1912305876">
      <w:bodyDiv w:val="1"/>
      <w:marLeft w:val="0"/>
      <w:marRight w:val="0"/>
      <w:marTop w:val="0"/>
      <w:marBottom w:val="0"/>
      <w:divBdr>
        <w:top w:val="none" w:sz="0" w:space="0" w:color="auto"/>
        <w:left w:val="none" w:sz="0" w:space="0" w:color="auto"/>
        <w:bottom w:val="none" w:sz="0" w:space="0" w:color="auto"/>
        <w:right w:val="none" w:sz="0" w:space="0" w:color="auto"/>
      </w:divBdr>
    </w:div>
    <w:div w:id="1947301931">
      <w:bodyDiv w:val="1"/>
      <w:marLeft w:val="0"/>
      <w:marRight w:val="0"/>
      <w:marTop w:val="0"/>
      <w:marBottom w:val="0"/>
      <w:divBdr>
        <w:top w:val="none" w:sz="0" w:space="0" w:color="auto"/>
        <w:left w:val="none" w:sz="0" w:space="0" w:color="auto"/>
        <w:bottom w:val="none" w:sz="0" w:space="0" w:color="auto"/>
        <w:right w:val="none" w:sz="0" w:space="0" w:color="auto"/>
      </w:divBdr>
    </w:div>
    <w:div w:id="1991132881">
      <w:bodyDiv w:val="1"/>
      <w:marLeft w:val="0"/>
      <w:marRight w:val="0"/>
      <w:marTop w:val="0"/>
      <w:marBottom w:val="0"/>
      <w:divBdr>
        <w:top w:val="none" w:sz="0" w:space="0" w:color="auto"/>
        <w:left w:val="none" w:sz="0" w:space="0" w:color="auto"/>
        <w:bottom w:val="none" w:sz="0" w:space="0" w:color="auto"/>
        <w:right w:val="none" w:sz="0" w:space="0" w:color="auto"/>
      </w:divBdr>
    </w:div>
    <w:div w:id="1992830880">
      <w:bodyDiv w:val="1"/>
      <w:marLeft w:val="0"/>
      <w:marRight w:val="0"/>
      <w:marTop w:val="0"/>
      <w:marBottom w:val="0"/>
      <w:divBdr>
        <w:top w:val="none" w:sz="0" w:space="0" w:color="auto"/>
        <w:left w:val="none" w:sz="0" w:space="0" w:color="auto"/>
        <w:bottom w:val="none" w:sz="0" w:space="0" w:color="auto"/>
        <w:right w:val="none" w:sz="0" w:space="0" w:color="auto"/>
      </w:divBdr>
    </w:div>
    <w:div w:id="1994866436">
      <w:bodyDiv w:val="1"/>
      <w:marLeft w:val="0"/>
      <w:marRight w:val="0"/>
      <w:marTop w:val="0"/>
      <w:marBottom w:val="0"/>
      <w:divBdr>
        <w:top w:val="none" w:sz="0" w:space="0" w:color="auto"/>
        <w:left w:val="none" w:sz="0" w:space="0" w:color="auto"/>
        <w:bottom w:val="none" w:sz="0" w:space="0" w:color="auto"/>
        <w:right w:val="none" w:sz="0" w:space="0" w:color="auto"/>
      </w:divBdr>
      <w:divsChild>
        <w:div w:id="77337902">
          <w:marLeft w:val="0"/>
          <w:marRight w:val="0"/>
          <w:marTop w:val="0"/>
          <w:marBottom w:val="0"/>
          <w:divBdr>
            <w:top w:val="none" w:sz="0" w:space="0" w:color="auto"/>
            <w:left w:val="none" w:sz="0" w:space="0" w:color="auto"/>
            <w:bottom w:val="none" w:sz="0" w:space="0" w:color="auto"/>
            <w:right w:val="none" w:sz="0" w:space="0" w:color="auto"/>
          </w:divBdr>
        </w:div>
        <w:div w:id="50078592">
          <w:marLeft w:val="0"/>
          <w:marRight w:val="0"/>
          <w:marTop w:val="0"/>
          <w:marBottom w:val="0"/>
          <w:divBdr>
            <w:top w:val="none" w:sz="0" w:space="0" w:color="auto"/>
            <w:left w:val="none" w:sz="0" w:space="0" w:color="auto"/>
            <w:bottom w:val="none" w:sz="0" w:space="0" w:color="auto"/>
            <w:right w:val="none" w:sz="0" w:space="0" w:color="auto"/>
          </w:divBdr>
          <w:divsChild>
            <w:div w:id="1080325889">
              <w:marLeft w:val="0"/>
              <w:marRight w:val="0"/>
              <w:marTop w:val="0"/>
              <w:marBottom w:val="0"/>
              <w:divBdr>
                <w:top w:val="none" w:sz="0" w:space="0" w:color="auto"/>
                <w:left w:val="none" w:sz="0" w:space="0" w:color="auto"/>
                <w:bottom w:val="none" w:sz="0" w:space="0" w:color="auto"/>
                <w:right w:val="none" w:sz="0" w:space="0" w:color="auto"/>
              </w:divBdr>
              <w:divsChild>
                <w:div w:id="1869102813">
                  <w:marLeft w:val="0"/>
                  <w:marRight w:val="0"/>
                  <w:marTop w:val="0"/>
                  <w:marBottom w:val="0"/>
                  <w:divBdr>
                    <w:top w:val="none" w:sz="0" w:space="0" w:color="auto"/>
                    <w:left w:val="none" w:sz="0" w:space="0" w:color="auto"/>
                    <w:bottom w:val="none" w:sz="0" w:space="0" w:color="auto"/>
                    <w:right w:val="none" w:sz="0" w:space="0" w:color="auto"/>
                  </w:divBdr>
                  <w:divsChild>
                    <w:div w:id="31260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76463">
      <w:bodyDiv w:val="1"/>
      <w:marLeft w:val="0"/>
      <w:marRight w:val="0"/>
      <w:marTop w:val="0"/>
      <w:marBottom w:val="0"/>
      <w:divBdr>
        <w:top w:val="none" w:sz="0" w:space="0" w:color="auto"/>
        <w:left w:val="none" w:sz="0" w:space="0" w:color="auto"/>
        <w:bottom w:val="none" w:sz="0" w:space="0" w:color="auto"/>
        <w:right w:val="none" w:sz="0" w:space="0" w:color="auto"/>
      </w:divBdr>
    </w:div>
    <w:div w:id="2069061531">
      <w:bodyDiv w:val="1"/>
      <w:marLeft w:val="0"/>
      <w:marRight w:val="0"/>
      <w:marTop w:val="0"/>
      <w:marBottom w:val="0"/>
      <w:divBdr>
        <w:top w:val="none" w:sz="0" w:space="0" w:color="auto"/>
        <w:left w:val="none" w:sz="0" w:space="0" w:color="auto"/>
        <w:bottom w:val="none" w:sz="0" w:space="0" w:color="auto"/>
        <w:right w:val="none" w:sz="0" w:space="0" w:color="auto"/>
      </w:divBdr>
    </w:div>
    <w:div w:id="208171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expertise-logopedie-audiologie.be/downloads---taal-en-leren/?fbclid=IwAR3zR135zAKagLBC3CgS4jgAvxaaO8Y9efE9Wpe3Apr2RTIyCK74alMyajM" TargetMode="External"/><Relationship Id="rId26" Type="http://schemas.openxmlformats.org/officeDocument/2006/relationships/hyperlink" Target="http://doi.org/10.1016/j.cedpsych.2006.09.002" TargetMode="External"/><Relationship Id="rId39" Type="http://schemas.openxmlformats.org/officeDocument/2006/relationships/hyperlink" Target="https://doi.org/10.1177/002221940103400105" TargetMode="External"/><Relationship Id="rId21" Type="http://schemas.openxmlformats.org/officeDocument/2006/relationships/hyperlink" Target="http://www.prodiagnostiek.be/?q=lezen-spellen" TargetMode="External"/><Relationship Id="rId34" Type="http://schemas.openxmlformats.org/officeDocument/2006/relationships/hyperlink" Target="https://doi.org/10.3991/ijep.v5i3.4735" TargetMode="External"/><Relationship Id="rId42" Type="http://schemas.openxmlformats.org/officeDocument/2006/relationships/hyperlink" Target="http://dx.doi.org/10.1016/j.tine.2013.06.004" TargetMode="External"/><Relationship Id="rId47" Type="http://schemas.openxmlformats.org/officeDocument/2006/relationships/hyperlink" Target="http://www.prodiagnostiek.be/?q=faq-page/5" TargetMode="External"/><Relationship Id="rId50" Type="http://schemas.openxmlformats.org/officeDocument/2006/relationships/hyperlink" Target="http://www.prodiagnostiek.be/?q=lezen-spellen" TargetMode="External"/><Relationship Id="rId55" Type="http://schemas.openxmlformats.org/officeDocument/2006/relationships/hyperlink" Target="https://www.cap-vademecum.b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www.prodiagnostiek.be/?q=protocollen" TargetMode="External"/><Relationship Id="rId29" Type="http://schemas.openxmlformats.org/officeDocument/2006/relationships/hyperlink" Target="https://doi.org/10.1177/00222194040370010601" TargetMode="External"/><Relationship Id="rId41" Type="http://schemas.openxmlformats.org/officeDocument/2006/relationships/hyperlink" Target="https://www.frontiersin.org/articles/10.3389/fpsyg.2019.00089" TargetMode="External"/><Relationship Id="rId54" Type="http://schemas.openxmlformats.org/officeDocument/2006/relationships/hyperlink" Target="http://www.prodiagnostiek.be/sites/default/files/170116%20Aangepast%20onderzoeksschema%20protocol%20Wiskunde.pdf" TargetMode="External"/><Relationship Id="rId62"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doi.org/10.1016/J.CEDPSYCH.2006.09.002" TargetMode="External"/><Relationship Id="rId32" Type="http://schemas.openxmlformats.org/officeDocument/2006/relationships/hyperlink" Target="https://doi.org/10.1111/j.1469-8749.1996.tb15029.x" TargetMode="External"/><Relationship Id="rId37" Type="http://schemas.openxmlformats.org/officeDocument/2006/relationships/hyperlink" Target="http://asgb.be/wp-content/uploads/2017/03/Medicomut27032017.NCAZ-2017-26-Budget-bio-rx-anatomo-2017.pdf" TargetMode="External"/><Relationship Id="rId40" Type="http://schemas.openxmlformats.org/officeDocument/2006/relationships/hyperlink" Target="https://doi.org/10.1038/pr.2014.184" TargetMode="External"/><Relationship Id="rId45" Type="http://schemas.openxmlformats.org/officeDocument/2006/relationships/hyperlink" Target="https://www.riziv.fgov.be/SiteCollectionDocuments/lijst-revalidatie-dysorthografie.pdf" TargetMode="External"/><Relationship Id="rId53" Type="http://schemas.openxmlformats.org/officeDocument/2006/relationships/hyperlink" Target="http://www.prodiagnostiek.be/?q=wiskunde" TargetMode="External"/><Relationship Id="rId58" Type="http://schemas.openxmlformats.org/officeDocument/2006/relationships/hyperlink" Target="https://www.riziv.fgov.be/nl/professionals/individuelezorgverleners/logopedisten/Paginas/logopedisten-limitatieve-lijst-tests.aspx"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www.prodiagnostiek.be/?q=wiskunde" TargetMode="External"/><Relationship Id="rId28" Type="http://schemas.openxmlformats.org/officeDocument/2006/relationships/hyperlink" Target="https://doi.org/10.1016/S0160-2896(99)00031-8" TargetMode="External"/><Relationship Id="rId36" Type="http://schemas.openxmlformats.org/officeDocument/2006/relationships/hyperlink" Target="https://doi.org/10.1177/0956797612466268" TargetMode="External"/><Relationship Id="rId49" Type="http://schemas.openxmlformats.org/officeDocument/2006/relationships/hyperlink" Target="http://www.vclb-service.be/?ID=30545&amp;cat=2881&amp;product=3432" TargetMode="External"/><Relationship Id="rId57" Type="http://schemas.openxmlformats.org/officeDocument/2006/relationships/hyperlink" Target="https://www.riziv.fgov.be/nl/professionals/individuelezorgverleners/logopedisten/Paginas/logopedisten-limitatieve-lijst-tests.aspx" TargetMode="External"/><Relationship Id="rId61"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image" Target="media/image6.png"/><Relationship Id="rId31" Type="http://schemas.openxmlformats.org/officeDocument/2006/relationships/hyperlink" Target="https://doi.org/10.1111/j.1469-8749.1996.tb15029.x" TargetMode="External"/><Relationship Id="rId44" Type="http://schemas.openxmlformats.org/officeDocument/2006/relationships/hyperlink" Target="https://www.riziv.fgov.be/SiteCollectionDocuments/lijst-revalidatie-dyslexie.pdf" TargetMode="External"/><Relationship Id="rId52" Type="http://schemas.openxmlformats.org/officeDocument/2006/relationships/hyperlink" Target="http://www.prodiagnostiek.be/?q=toolkit-wiskunde"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hyperlink" Target="http://www.prodiagnostiek.be/?q=lezen-spellen" TargetMode="External"/><Relationship Id="rId27" Type="http://schemas.openxmlformats.org/officeDocument/2006/relationships/hyperlink" Target="http://doi.org/10.1016/j.cedpsych.2009.01.002" TargetMode="External"/><Relationship Id="rId30" Type="http://schemas.openxmlformats.org/officeDocument/2006/relationships/hyperlink" Target="https://doi.org/10.1177/0022219408321128" TargetMode="External"/><Relationship Id="rId35" Type="http://schemas.openxmlformats.org/officeDocument/2006/relationships/hyperlink" Target="https://doi.org/10.1016/j.lindif.2012.03.014" TargetMode="External"/><Relationship Id="rId43" Type="http://schemas.openxmlformats.org/officeDocument/2006/relationships/hyperlink" Target="https://www.riziv.fgov.be/nl/themas/kost-terugbetaling/ziekten/mentale-neurologische-stoornissen/Paginas/lijsten-tests.aspx" TargetMode="External"/><Relationship Id="rId48" Type="http://schemas.openxmlformats.org/officeDocument/2006/relationships/hyperlink" Target="http://www.prodiagnostiek.be/?q=protocollen" TargetMode="External"/><Relationship Id="rId56" Type="http://schemas.openxmlformats.org/officeDocument/2006/relationships/hyperlink" Target="http://www.stichtingdyslexienederland.nl/images/publicaties/dyslexie_diagnostiek_en_behandeling_2016.pdf" TargetMode="External"/><Relationship Id="rId8" Type="http://schemas.openxmlformats.org/officeDocument/2006/relationships/diagramData" Target="diagrams/data1.xml"/><Relationship Id="rId51" Type="http://schemas.openxmlformats.org/officeDocument/2006/relationships/hyperlink" Target="http://www.prodiagnostiek.be/?q=toolkit-lezen-spellen" TargetMode="Externa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image" Target="media/image5.png"/><Relationship Id="rId25" Type="http://schemas.openxmlformats.org/officeDocument/2006/relationships/hyperlink" Target="http://doi.org/10.1016/j.cedpsych.2016.04.002" TargetMode="External"/><Relationship Id="rId33" Type="http://schemas.openxmlformats.org/officeDocument/2006/relationships/hyperlink" Target="https://doi.org/10.1371/journal.pone.0103537" TargetMode="External"/><Relationship Id="rId38" Type="http://schemas.openxmlformats.org/officeDocument/2006/relationships/hyperlink" Target="http://www.stichtingdyslexienederland.nl/images/publicaties/dyslexie_diagnostiek_en_behandeling_2016.pdf" TargetMode="External"/><Relationship Id="rId46" Type="http://schemas.openxmlformats.org/officeDocument/2006/relationships/hyperlink" Target="https://www.riziv.fgov.be/SiteCollectionDocuments/lijst-revalidatie-dyscalculie.pdf" TargetMode="External"/><Relationship Id="rId59" Type="http://schemas.openxmlformats.org/officeDocument/2006/relationships/hyperlink" Target="https://www.riziv.fgov.be/SiteCollectionDocuments/lijst-logopedist-tests-dyscalculie.pdf%20https://www.riziv.fgov.be/SiteCollectionDocuments/lijst-logopedist-tests-dysorthografie.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93AB31-01D5-4662-AD45-0E0AFF69063C}" type="doc">
      <dgm:prSet loTypeId="urn:microsoft.com/office/officeart/2005/8/layout/cycle7" loCatId="cycle" qsTypeId="urn:microsoft.com/office/officeart/2005/8/quickstyle/simple2" qsCatId="simple" csTypeId="urn:microsoft.com/office/officeart/2005/8/colors/accent1_2" csCatId="accent1" phldr="1"/>
      <dgm:spPr/>
      <dgm:t>
        <a:bodyPr/>
        <a:lstStyle/>
        <a:p>
          <a:endParaRPr lang="nl-BE"/>
        </a:p>
      </dgm:t>
    </dgm:pt>
    <dgm:pt modelId="{60FA0E43-504A-4CB6-9478-0E0C8392DF73}">
      <dgm:prSet phldrT="[Tekst]"/>
      <dgm:spPr>
        <a:xfrm>
          <a:off x="2519306" y="107174"/>
          <a:ext cx="1448547" cy="243964"/>
        </a:xfr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nl-BE">
              <a:solidFill>
                <a:sysClr val="window" lastClr="FFFFFF"/>
              </a:solidFill>
              <a:latin typeface="Cambria" panose="02040503050406030204" pitchFamily="18" charset="0"/>
              <a:ea typeface="+mn-ea"/>
              <a:cs typeface="+mn-cs"/>
            </a:rPr>
            <a:t>Opportunity factoren </a:t>
          </a:r>
        </a:p>
      </dgm:t>
    </dgm:pt>
    <dgm:pt modelId="{71785B42-90F9-4C0B-BCE4-CCAA105B6560}" type="parTrans" cxnId="{0C41CE8A-96F1-4F6B-9339-2A32DEA07056}">
      <dgm:prSet/>
      <dgm:spPr/>
      <dgm:t>
        <a:bodyPr/>
        <a:lstStyle/>
        <a:p>
          <a:endParaRPr lang="nl-BE"/>
        </a:p>
      </dgm:t>
    </dgm:pt>
    <dgm:pt modelId="{D406D625-FA66-4C07-AD0A-598B1A26D7EA}" type="sibTrans" cxnId="{0C41CE8A-96F1-4F6B-9339-2A32DEA07056}">
      <dgm:prSet/>
      <dgm:spPr>
        <a:xfrm rot="1346346">
          <a:off x="3620115" y="532755"/>
          <a:ext cx="1044771" cy="135254"/>
        </a:xfrm>
        <a:solidFill>
          <a:srgbClr val="5B9BD5">
            <a:tint val="60000"/>
            <a:hueOff val="0"/>
            <a:satOff val="0"/>
            <a:lumOff val="0"/>
            <a:alphaOff val="0"/>
          </a:srgbClr>
        </a:solidFill>
        <a:ln>
          <a:noFill/>
        </a:ln>
        <a:effectLst/>
      </dgm:spPr>
      <dgm:t>
        <a:bodyPr/>
        <a:lstStyle/>
        <a:p>
          <a:endParaRPr lang="nl-BE">
            <a:solidFill>
              <a:sysClr val="window" lastClr="FFFFFF"/>
            </a:solidFill>
            <a:latin typeface="Calibri" panose="020F0502020204030204"/>
            <a:ea typeface="+mn-ea"/>
            <a:cs typeface="+mn-cs"/>
          </a:endParaRPr>
        </a:p>
      </dgm:t>
    </dgm:pt>
    <dgm:pt modelId="{83C16803-DCE9-4511-AA2D-B27E5E55195A}">
      <dgm:prSet phldrT="[Tekst]"/>
      <dgm:spPr>
        <a:xfrm>
          <a:off x="2519306" y="1592079"/>
          <a:ext cx="1448547" cy="243964"/>
        </a:xfr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nl-BE">
              <a:solidFill>
                <a:sysClr val="window" lastClr="FFFFFF"/>
              </a:solidFill>
              <a:latin typeface="Cambria" panose="02040503050406030204" pitchFamily="18" charset="0"/>
              <a:ea typeface="+mn-ea"/>
              <a:cs typeface="+mn-cs"/>
            </a:rPr>
            <a:t>Propensity factoren </a:t>
          </a:r>
        </a:p>
      </dgm:t>
    </dgm:pt>
    <dgm:pt modelId="{789FBE55-7CE5-4FBD-9E36-DEB8EFE34023}" type="parTrans" cxnId="{0EBF7ECF-A12E-4F63-BE50-AB2D43CAE82A}">
      <dgm:prSet/>
      <dgm:spPr/>
      <dgm:t>
        <a:bodyPr/>
        <a:lstStyle/>
        <a:p>
          <a:endParaRPr lang="nl-BE"/>
        </a:p>
      </dgm:t>
    </dgm:pt>
    <dgm:pt modelId="{B67F0B72-4382-465F-8B58-3ACBB10DD576}" type="sibTrans" cxnId="{0EBF7ECF-A12E-4F63-BE50-AB2D43CAE82A}">
      <dgm:prSet/>
      <dgm:spPr>
        <a:xfrm rot="12127575">
          <a:off x="1808174" y="1275208"/>
          <a:ext cx="1044771" cy="135254"/>
        </a:xfrm>
        <a:solidFill>
          <a:srgbClr val="5B9BD5">
            <a:tint val="60000"/>
            <a:hueOff val="0"/>
            <a:satOff val="0"/>
            <a:lumOff val="0"/>
            <a:alphaOff val="0"/>
          </a:srgbClr>
        </a:solidFill>
        <a:ln>
          <a:noFill/>
        </a:ln>
        <a:effectLst/>
      </dgm:spPr>
      <dgm:t>
        <a:bodyPr/>
        <a:lstStyle/>
        <a:p>
          <a:endParaRPr lang="nl-BE">
            <a:solidFill>
              <a:sysClr val="window" lastClr="FFFFFF"/>
            </a:solidFill>
            <a:latin typeface="Calibri" panose="020F0502020204030204"/>
            <a:ea typeface="+mn-ea"/>
            <a:cs typeface="+mn-cs"/>
          </a:endParaRPr>
        </a:p>
      </dgm:t>
    </dgm:pt>
    <dgm:pt modelId="{E42A3FF7-FC20-4CAC-B242-049985FBE966}">
      <dgm:prSet phldrT="[Tekst]"/>
      <dgm:spPr>
        <a:xfrm>
          <a:off x="693265" y="849626"/>
          <a:ext cx="1448547" cy="243964"/>
        </a:xfr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nl-BE">
              <a:solidFill>
                <a:sysClr val="window" lastClr="FFFFFF"/>
              </a:solidFill>
              <a:latin typeface="Cambria" panose="02040503050406030204" pitchFamily="18" charset="0"/>
              <a:ea typeface="+mn-ea"/>
              <a:cs typeface="+mn-cs"/>
            </a:rPr>
            <a:t>Distale factoren </a:t>
          </a:r>
        </a:p>
      </dgm:t>
    </dgm:pt>
    <dgm:pt modelId="{B18F2312-34C4-4E03-995D-FC1454EC17CE}" type="parTrans" cxnId="{747CF941-6756-4A44-911E-F2E2893008EA}">
      <dgm:prSet/>
      <dgm:spPr/>
      <dgm:t>
        <a:bodyPr/>
        <a:lstStyle/>
        <a:p>
          <a:endParaRPr lang="nl-BE"/>
        </a:p>
      </dgm:t>
    </dgm:pt>
    <dgm:pt modelId="{2522DDE2-1290-42B5-8011-85AA223D6D34}" type="sibTrans" cxnId="{747CF941-6756-4A44-911E-F2E2893008EA}">
      <dgm:prSet/>
      <dgm:spPr>
        <a:xfrm rot="20272425">
          <a:off x="1808174" y="532755"/>
          <a:ext cx="1044771" cy="135254"/>
        </a:xfrm>
        <a:solidFill>
          <a:srgbClr val="5B9BD5">
            <a:tint val="60000"/>
            <a:hueOff val="0"/>
            <a:satOff val="0"/>
            <a:lumOff val="0"/>
            <a:alphaOff val="0"/>
          </a:srgbClr>
        </a:solidFill>
        <a:ln>
          <a:noFill/>
        </a:ln>
        <a:effectLst/>
      </dgm:spPr>
      <dgm:t>
        <a:bodyPr/>
        <a:lstStyle/>
        <a:p>
          <a:endParaRPr lang="nl-BE">
            <a:solidFill>
              <a:sysClr val="window" lastClr="FFFFFF"/>
            </a:solidFill>
            <a:latin typeface="Calibri" panose="020F0502020204030204"/>
            <a:ea typeface="+mn-ea"/>
            <a:cs typeface="+mn-cs"/>
          </a:endParaRPr>
        </a:p>
      </dgm:t>
    </dgm:pt>
    <dgm:pt modelId="{CB6C8CCC-DE78-461C-9EBC-56D85D56704A}">
      <dgm:prSet/>
      <dgm:spPr>
        <a:xfrm>
          <a:off x="4317148" y="849626"/>
          <a:ext cx="1448547" cy="243964"/>
        </a:xfr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nl-BE">
              <a:solidFill>
                <a:sysClr val="window" lastClr="FFFFFF"/>
              </a:solidFill>
              <a:latin typeface="Cambria" panose="02040503050406030204" pitchFamily="18" charset="0"/>
              <a:ea typeface="+mn-ea"/>
              <a:cs typeface="+mn-cs"/>
            </a:rPr>
            <a:t>Leerprestaties</a:t>
          </a:r>
        </a:p>
      </dgm:t>
    </dgm:pt>
    <dgm:pt modelId="{063251C6-5CEA-4D13-9745-7A33B45BBD69}" type="parTrans" cxnId="{58FF03E1-31BA-4161-8CFE-68C579B9E3D6}">
      <dgm:prSet/>
      <dgm:spPr/>
      <dgm:t>
        <a:bodyPr/>
        <a:lstStyle/>
        <a:p>
          <a:endParaRPr lang="nl-BE"/>
        </a:p>
      </dgm:t>
    </dgm:pt>
    <dgm:pt modelId="{3BFC006F-71B7-4B94-82FA-3C7657A4A4D1}" type="sibTrans" cxnId="{58FF03E1-31BA-4161-8CFE-68C579B9E3D6}">
      <dgm:prSet/>
      <dgm:spPr>
        <a:xfrm rot="9453654">
          <a:off x="3620115" y="1275208"/>
          <a:ext cx="1044771" cy="135254"/>
        </a:xfrm>
        <a:solidFill>
          <a:srgbClr val="5B9BD5">
            <a:tint val="60000"/>
            <a:hueOff val="0"/>
            <a:satOff val="0"/>
            <a:lumOff val="0"/>
            <a:alphaOff val="0"/>
          </a:srgbClr>
        </a:solidFill>
        <a:ln>
          <a:noFill/>
        </a:ln>
        <a:effectLst/>
      </dgm:spPr>
      <dgm:t>
        <a:bodyPr/>
        <a:lstStyle/>
        <a:p>
          <a:endParaRPr lang="nl-BE">
            <a:solidFill>
              <a:sysClr val="window" lastClr="FFFFFF"/>
            </a:solidFill>
            <a:latin typeface="Calibri" panose="020F0502020204030204"/>
            <a:ea typeface="+mn-ea"/>
            <a:cs typeface="+mn-cs"/>
          </a:endParaRPr>
        </a:p>
      </dgm:t>
    </dgm:pt>
    <dgm:pt modelId="{148F932B-14A2-4F2E-8178-CB429CE08B8C}" type="pres">
      <dgm:prSet presAssocID="{7493AB31-01D5-4662-AD45-0E0AFF69063C}" presName="Name0" presStyleCnt="0">
        <dgm:presLayoutVars>
          <dgm:dir/>
          <dgm:resizeHandles val="exact"/>
        </dgm:presLayoutVars>
      </dgm:prSet>
      <dgm:spPr/>
      <dgm:t>
        <a:bodyPr/>
        <a:lstStyle/>
        <a:p>
          <a:endParaRPr lang="nl-NL"/>
        </a:p>
      </dgm:t>
    </dgm:pt>
    <dgm:pt modelId="{B6079F2B-81E3-4328-B7A9-450F686668CD}" type="pres">
      <dgm:prSet presAssocID="{60FA0E43-504A-4CB6-9478-0E0C8392DF73}" presName="node" presStyleLbl="node1" presStyleIdx="0" presStyleCnt="4" custScaleX="187421" custScaleY="63131">
        <dgm:presLayoutVars>
          <dgm:bulletEnabled val="1"/>
        </dgm:presLayoutVars>
      </dgm:prSet>
      <dgm:spPr>
        <a:prstGeom prst="roundRect">
          <a:avLst>
            <a:gd name="adj" fmla="val 10000"/>
          </a:avLst>
        </a:prstGeom>
      </dgm:spPr>
      <dgm:t>
        <a:bodyPr/>
        <a:lstStyle/>
        <a:p>
          <a:endParaRPr lang="nl-NL"/>
        </a:p>
      </dgm:t>
    </dgm:pt>
    <dgm:pt modelId="{CF3F8762-8E1C-4CDF-AE4A-DAAF10CE510E}" type="pres">
      <dgm:prSet presAssocID="{D406D625-FA66-4C07-AD0A-598B1A26D7EA}" presName="sibTrans" presStyleLbl="sibTrans2D1" presStyleIdx="0" presStyleCnt="4"/>
      <dgm:spPr>
        <a:prstGeom prst="rightArrow">
          <a:avLst/>
        </a:prstGeom>
      </dgm:spPr>
      <dgm:t>
        <a:bodyPr/>
        <a:lstStyle/>
        <a:p>
          <a:endParaRPr lang="nl-NL"/>
        </a:p>
      </dgm:t>
    </dgm:pt>
    <dgm:pt modelId="{08E5D127-1BA4-4E85-BC11-A2C7AD5B546E}" type="pres">
      <dgm:prSet presAssocID="{D406D625-FA66-4C07-AD0A-598B1A26D7EA}" presName="connectorText" presStyleLbl="sibTrans2D1" presStyleIdx="0" presStyleCnt="4"/>
      <dgm:spPr/>
      <dgm:t>
        <a:bodyPr/>
        <a:lstStyle/>
        <a:p>
          <a:endParaRPr lang="nl-NL"/>
        </a:p>
      </dgm:t>
    </dgm:pt>
    <dgm:pt modelId="{B565FB01-6CA1-47E9-9164-06FE1782330F}" type="pres">
      <dgm:prSet presAssocID="{CB6C8CCC-DE78-461C-9EBC-56D85D56704A}" presName="node" presStyleLbl="node1" presStyleIdx="1" presStyleCnt="4" custScaleX="187421" custScaleY="63131" custRadScaleRad="242149">
        <dgm:presLayoutVars>
          <dgm:bulletEnabled val="1"/>
        </dgm:presLayoutVars>
      </dgm:prSet>
      <dgm:spPr>
        <a:prstGeom prst="roundRect">
          <a:avLst>
            <a:gd name="adj" fmla="val 10000"/>
          </a:avLst>
        </a:prstGeom>
      </dgm:spPr>
      <dgm:t>
        <a:bodyPr/>
        <a:lstStyle/>
        <a:p>
          <a:endParaRPr lang="nl-NL"/>
        </a:p>
      </dgm:t>
    </dgm:pt>
    <dgm:pt modelId="{BED3DB67-7A82-43AF-8B81-6B6C8DE93713}" type="pres">
      <dgm:prSet presAssocID="{3BFC006F-71B7-4B94-82FA-3C7657A4A4D1}" presName="sibTrans" presStyleLbl="sibTrans2D1" presStyleIdx="1" presStyleCnt="4"/>
      <dgm:spPr>
        <a:prstGeom prst="leftArrow">
          <a:avLst/>
        </a:prstGeom>
      </dgm:spPr>
      <dgm:t>
        <a:bodyPr/>
        <a:lstStyle/>
        <a:p>
          <a:endParaRPr lang="nl-NL"/>
        </a:p>
      </dgm:t>
    </dgm:pt>
    <dgm:pt modelId="{B9A09CE9-5C6F-4B2D-83BA-556BBDB90F26}" type="pres">
      <dgm:prSet presAssocID="{3BFC006F-71B7-4B94-82FA-3C7657A4A4D1}" presName="connectorText" presStyleLbl="sibTrans2D1" presStyleIdx="1" presStyleCnt="4"/>
      <dgm:spPr/>
      <dgm:t>
        <a:bodyPr/>
        <a:lstStyle/>
        <a:p>
          <a:endParaRPr lang="nl-NL"/>
        </a:p>
      </dgm:t>
    </dgm:pt>
    <dgm:pt modelId="{9531A1A3-0F72-4034-BE14-8AB8F87D4BAB}" type="pres">
      <dgm:prSet presAssocID="{83C16803-DCE9-4511-AA2D-B27E5E55195A}" presName="node" presStyleLbl="node1" presStyleIdx="2" presStyleCnt="4" custScaleX="187421" custScaleY="63131">
        <dgm:presLayoutVars>
          <dgm:bulletEnabled val="1"/>
        </dgm:presLayoutVars>
      </dgm:prSet>
      <dgm:spPr>
        <a:prstGeom prst="roundRect">
          <a:avLst>
            <a:gd name="adj" fmla="val 10000"/>
          </a:avLst>
        </a:prstGeom>
      </dgm:spPr>
      <dgm:t>
        <a:bodyPr/>
        <a:lstStyle/>
        <a:p>
          <a:endParaRPr lang="nl-NL"/>
        </a:p>
      </dgm:t>
    </dgm:pt>
    <dgm:pt modelId="{60336E51-E0AD-40D9-8B3A-8345AAE4F02A}" type="pres">
      <dgm:prSet presAssocID="{B67F0B72-4382-465F-8B58-3ACBB10DD576}" presName="sibTrans" presStyleLbl="sibTrans2D1" presStyleIdx="2" presStyleCnt="4"/>
      <dgm:spPr>
        <a:prstGeom prst="leftArrow">
          <a:avLst/>
        </a:prstGeom>
      </dgm:spPr>
      <dgm:t>
        <a:bodyPr/>
        <a:lstStyle/>
        <a:p>
          <a:endParaRPr lang="nl-NL"/>
        </a:p>
      </dgm:t>
    </dgm:pt>
    <dgm:pt modelId="{161645FB-1F99-492F-844D-304D90BF1833}" type="pres">
      <dgm:prSet presAssocID="{B67F0B72-4382-465F-8B58-3ACBB10DD576}" presName="connectorText" presStyleLbl="sibTrans2D1" presStyleIdx="2" presStyleCnt="4"/>
      <dgm:spPr/>
      <dgm:t>
        <a:bodyPr/>
        <a:lstStyle/>
        <a:p>
          <a:endParaRPr lang="nl-NL"/>
        </a:p>
      </dgm:t>
    </dgm:pt>
    <dgm:pt modelId="{B6F8FBD3-A194-4565-AA08-1FFE01019024}" type="pres">
      <dgm:prSet presAssocID="{E42A3FF7-FC20-4CAC-B242-049985FBE966}" presName="node" presStyleLbl="node1" presStyleIdx="3" presStyleCnt="4" custScaleX="187421" custScaleY="63131" custRadScaleRad="245947">
        <dgm:presLayoutVars>
          <dgm:bulletEnabled val="1"/>
        </dgm:presLayoutVars>
      </dgm:prSet>
      <dgm:spPr>
        <a:prstGeom prst="roundRect">
          <a:avLst>
            <a:gd name="adj" fmla="val 10000"/>
          </a:avLst>
        </a:prstGeom>
      </dgm:spPr>
      <dgm:t>
        <a:bodyPr/>
        <a:lstStyle/>
        <a:p>
          <a:endParaRPr lang="nl-NL"/>
        </a:p>
      </dgm:t>
    </dgm:pt>
    <dgm:pt modelId="{17345DFC-3367-4C03-847F-9FB60E0D77E2}" type="pres">
      <dgm:prSet presAssocID="{2522DDE2-1290-42B5-8011-85AA223D6D34}" presName="sibTrans" presStyleLbl="sibTrans2D1" presStyleIdx="3" presStyleCnt="4"/>
      <dgm:spPr>
        <a:prstGeom prst="rightArrow">
          <a:avLst/>
        </a:prstGeom>
      </dgm:spPr>
      <dgm:t>
        <a:bodyPr/>
        <a:lstStyle/>
        <a:p>
          <a:endParaRPr lang="nl-NL"/>
        </a:p>
      </dgm:t>
    </dgm:pt>
    <dgm:pt modelId="{46457DE5-3F7A-44BC-B47C-E7208A206F42}" type="pres">
      <dgm:prSet presAssocID="{2522DDE2-1290-42B5-8011-85AA223D6D34}" presName="connectorText" presStyleLbl="sibTrans2D1" presStyleIdx="3" presStyleCnt="4"/>
      <dgm:spPr/>
      <dgm:t>
        <a:bodyPr/>
        <a:lstStyle/>
        <a:p>
          <a:endParaRPr lang="nl-NL"/>
        </a:p>
      </dgm:t>
    </dgm:pt>
  </dgm:ptLst>
  <dgm:cxnLst>
    <dgm:cxn modelId="{A169F8CD-992B-4828-B001-984D17C5A9B6}" type="presOf" srcId="{CB6C8CCC-DE78-461C-9EBC-56D85D56704A}" destId="{B565FB01-6CA1-47E9-9164-06FE1782330F}" srcOrd="0" destOrd="0" presId="urn:microsoft.com/office/officeart/2005/8/layout/cycle7"/>
    <dgm:cxn modelId="{04A32998-828D-45C6-9C6E-F5C64203CB39}" type="presOf" srcId="{D406D625-FA66-4C07-AD0A-598B1A26D7EA}" destId="{CF3F8762-8E1C-4CDF-AE4A-DAAF10CE510E}" srcOrd="0" destOrd="0" presId="urn:microsoft.com/office/officeart/2005/8/layout/cycle7"/>
    <dgm:cxn modelId="{0EBF7ECF-A12E-4F63-BE50-AB2D43CAE82A}" srcId="{7493AB31-01D5-4662-AD45-0E0AFF69063C}" destId="{83C16803-DCE9-4511-AA2D-B27E5E55195A}" srcOrd="2" destOrd="0" parTransId="{789FBE55-7CE5-4FBD-9E36-DEB8EFE34023}" sibTransId="{B67F0B72-4382-465F-8B58-3ACBB10DD576}"/>
    <dgm:cxn modelId="{2D02F7F9-3F64-45BB-8A7A-29A820497299}" type="presOf" srcId="{3BFC006F-71B7-4B94-82FA-3C7657A4A4D1}" destId="{BED3DB67-7A82-43AF-8B81-6B6C8DE93713}" srcOrd="0" destOrd="0" presId="urn:microsoft.com/office/officeart/2005/8/layout/cycle7"/>
    <dgm:cxn modelId="{64E5EC93-C832-4E32-9DA2-0ABCD09F7343}" type="presOf" srcId="{3BFC006F-71B7-4B94-82FA-3C7657A4A4D1}" destId="{B9A09CE9-5C6F-4B2D-83BA-556BBDB90F26}" srcOrd="1" destOrd="0" presId="urn:microsoft.com/office/officeart/2005/8/layout/cycle7"/>
    <dgm:cxn modelId="{DA94957E-986F-42E9-960A-5B53203C9FEC}" type="presOf" srcId="{2522DDE2-1290-42B5-8011-85AA223D6D34}" destId="{17345DFC-3367-4C03-847F-9FB60E0D77E2}" srcOrd="0" destOrd="0" presId="urn:microsoft.com/office/officeart/2005/8/layout/cycle7"/>
    <dgm:cxn modelId="{CC68019D-DCD2-4005-9FCB-A7279D3B23F2}" type="presOf" srcId="{D406D625-FA66-4C07-AD0A-598B1A26D7EA}" destId="{08E5D127-1BA4-4E85-BC11-A2C7AD5B546E}" srcOrd="1" destOrd="0" presId="urn:microsoft.com/office/officeart/2005/8/layout/cycle7"/>
    <dgm:cxn modelId="{0C41CE8A-96F1-4F6B-9339-2A32DEA07056}" srcId="{7493AB31-01D5-4662-AD45-0E0AFF69063C}" destId="{60FA0E43-504A-4CB6-9478-0E0C8392DF73}" srcOrd="0" destOrd="0" parTransId="{71785B42-90F9-4C0B-BCE4-CCAA105B6560}" sibTransId="{D406D625-FA66-4C07-AD0A-598B1A26D7EA}"/>
    <dgm:cxn modelId="{58FF03E1-31BA-4161-8CFE-68C579B9E3D6}" srcId="{7493AB31-01D5-4662-AD45-0E0AFF69063C}" destId="{CB6C8CCC-DE78-461C-9EBC-56D85D56704A}" srcOrd="1" destOrd="0" parTransId="{063251C6-5CEA-4D13-9745-7A33B45BBD69}" sibTransId="{3BFC006F-71B7-4B94-82FA-3C7657A4A4D1}"/>
    <dgm:cxn modelId="{8EDF3067-4BE1-42AA-AEE4-404558A7FE80}" type="presOf" srcId="{B67F0B72-4382-465F-8B58-3ACBB10DD576}" destId="{161645FB-1F99-492F-844D-304D90BF1833}" srcOrd="1" destOrd="0" presId="urn:microsoft.com/office/officeart/2005/8/layout/cycle7"/>
    <dgm:cxn modelId="{261AFA78-08C1-42B7-A870-10E73B91E8F7}" type="presOf" srcId="{83C16803-DCE9-4511-AA2D-B27E5E55195A}" destId="{9531A1A3-0F72-4034-BE14-8AB8F87D4BAB}" srcOrd="0" destOrd="0" presId="urn:microsoft.com/office/officeart/2005/8/layout/cycle7"/>
    <dgm:cxn modelId="{211C91D2-26AC-4A3D-A0EF-18859BA8CDEB}" type="presOf" srcId="{7493AB31-01D5-4662-AD45-0E0AFF69063C}" destId="{148F932B-14A2-4F2E-8178-CB429CE08B8C}" srcOrd="0" destOrd="0" presId="urn:microsoft.com/office/officeart/2005/8/layout/cycle7"/>
    <dgm:cxn modelId="{FE5CB6F9-E705-44EF-AF87-ADF703C5D442}" type="presOf" srcId="{2522DDE2-1290-42B5-8011-85AA223D6D34}" destId="{46457DE5-3F7A-44BC-B47C-E7208A206F42}" srcOrd="1" destOrd="0" presId="urn:microsoft.com/office/officeart/2005/8/layout/cycle7"/>
    <dgm:cxn modelId="{BAC23474-728B-4B14-8DD1-40262E3EA8CF}" type="presOf" srcId="{E42A3FF7-FC20-4CAC-B242-049985FBE966}" destId="{B6F8FBD3-A194-4565-AA08-1FFE01019024}" srcOrd="0" destOrd="0" presId="urn:microsoft.com/office/officeart/2005/8/layout/cycle7"/>
    <dgm:cxn modelId="{3E037E7D-3067-43EE-A922-367F0A68E9C4}" type="presOf" srcId="{B67F0B72-4382-465F-8B58-3ACBB10DD576}" destId="{60336E51-E0AD-40D9-8B3A-8345AAE4F02A}" srcOrd="0" destOrd="0" presId="urn:microsoft.com/office/officeart/2005/8/layout/cycle7"/>
    <dgm:cxn modelId="{FFCFD52A-B1D4-4961-9FD1-EF77437BABBC}" type="presOf" srcId="{60FA0E43-504A-4CB6-9478-0E0C8392DF73}" destId="{B6079F2B-81E3-4328-B7A9-450F686668CD}" srcOrd="0" destOrd="0" presId="urn:microsoft.com/office/officeart/2005/8/layout/cycle7"/>
    <dgm:cxn modelId="{747CF941-6756-4A44-911E-F2E2893008EA}" srcId="{7493AB31-01D5-4662-AD45-0E0AFF69063C}" destId="{E42A3FF7-FC20-4CAC-B242-049985FBE966}" srcOrd="3" destOrd="0" parTransId="{B18F2312-34C4-4E03-995D-FC1454EC17CE}" sibTransId="{2522DDE2-1290-42B5-8011-85AA223D6D34}"/>
    <dgm:cxn modelId="{BC6EBE97-4E6F-436A-A5C6-526DFBD1C412}" type="presParOf" srcId="{148F932B-14A2-4F2E-8178-CB429CE08B8C}" destId="{B6079F2B-81E3-4328-B7A9-450F686668CD}" srcOrd="0" destOrd="0" presId="urn:microsoft.com/office/officeart/2005/8/layout/cycle7"/>
    <dgm:cxn modelId="{7BFE3718-AF4A-4D1A-92FB-52A9587945CC}" type="presParOf" srcId="{148F932B-14A2-4F2E-8178-CB429CE08B8C}" destId="{CF3F8762-8E1C-4CDF-AE4A-DAAF10CE510E}" srcOrd="1" destOrd="0" presId="urn:microsoft.com/office/officeart/2005/8/layout/cycle7"/>
    <dgm:cxn modelId="{35BAAADF-B103-46E7-8915-FF3F5BEF0DA9}" type="presParOf" srcId="{CF3F8762-8E1C-4CDF-AE4A-DAAF10CE510E}" destId="{08E5D127-1BA4-4E85-BC11-A2C7AD5B546E}" srcOrd="0" destOrd="0" presId="urn:microsoft.com/office/officeart/2005/8/layout/cycle7"/>
    <dgm:cxn modelId="{680CB5AD-CCEE-4F00-9274-CCAB30074855}" type="presParOf" srcId="{148F932B-14A2-4F2E-8178-CB429CE08B8C}" destId="{B565FB01-6CA1-47E9-9164-06FE1782330F}" srcOrd="2" destOrd="0" presId="urn:microsoft.com/office/officeart/2005/8/layout/cycle7"/>
    <dgm:cxn modelId="{E93A05CB-1E16-430B-B581-27C9675887F6}" type="presParOf" srcId="{148F932B-14A2-4F2E-8178-CB429CE08B8C}" destId="{BED3DB67-7A82-43AF-8B81-6B6C8DE93713}" srcOrd="3" destOrd="0" presId="urn:microsoft.com/office/officeart/2005/8/layout/cycle7"/>
    <dgm:cxn modelId="{06379DB5-58B8-48F0-BB15-8E4F0C3E10D7}" type="presParOf" srcId="{BED3DB67-7A82-43AF-8B81-6B6C8DE93713}" destId="{B9A09CE9-5C6F-4B2D-83BA-556BBDB90F26}" srcOrd="0" destOrd="0" presId="urn:microsoft.com/office/officeart/2005/8/layout/cycle7"/>
    <dgm:cxn modelId="{00C8A535-2B1F-4D2E-B4D8-0D4579B38E74}" type="presParOf" srcId="{148F932B-14A2-4F2E-8178-CB429CE08B8C}" destId="{9531A1A3-0F72-4034-BE14-8AB8F87D4BAB}" srcOrd="4" destOrd="0" presId="urn:microsoft.com/office/officeart/2005/8/layout/cycle7"/>
    <dgm:cxn modelId="{BAE566FD-1F74-4E04-A78E-6086E8F0B4BF}" type="presParOf" srcId="{148F932B-14A2-4F2E-8178-CB429CE08B8C}" destId="{60336E51-E0AD-40D9-8B3A-8345AAE4F02A}" srcOrd="5" destOrd="0" presId="urn:microsoft.com/office/officeart/2005/8/layout/cycle7"/>
    <dgm:cxn modelId="{42B1DB55-5483-4190-AB11-1A0E1C174EB9}" type="presParOf" srcId="{60336E51-E0AD-40D9-8B3A-8345AAE4F02A}" destId="{161645FB-1F99-492F-844D-304D90BF1833}" srcOrd="0" destOrd="0" presId="urn:microsoft.com/office/officeart/2005/8/layout/cycle7"/>
    <dgm:cxn modelId="{2B40CEC9-B149-4874-BDF8-263C37BC1344}" type="presParOf" srcId="{148F932B-14A2-4F2E-8178-CB429CE08B8C}" destId="{B6F8FBD3-A194-4565-AA08-1FFE01019024}" srcOrd="6" destOrd="0" presId="urn:microsoft.com/office/officeart/2005/8/layout/cycle7"/>
    <dgm:cxn modelId="{D3EAA1AE-317F-46B2-8C4F-94564C1343B1}" type="presParOf" srcId="{148F932B-14A2-4F2E-8178-CB429CE08B8C}" destId="{17345DFC-3367-4C03-847F-9FB60E0D77E2}" srcOrd="7" destOrd="0" presId="urn:microsoft.com/office/officeart/2005/8/layout/cycle7"/>
    <dgm:cxn modelId="{C554051C-F4CE-4ABA-990F-79B7CA86D86C}" type="presParOf" srcId="{17345DFC-3367-4C03-847F-9FB60E0D77E2}" destId="{46457DE5-3F7A-44BC-B47C-E7208A206F42}" srcOrd="0" destOrd="0" presId="urn:microsoft.com/office/officeart/2005/8/layout/cycle7"/>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079F2B-81E3-4328-B7A9-450F686668CD}">
      <dsp:nvSpPr>
        <dsp:cNvPr id="0" name=""/>
        <dsp:cNvSpPr/>
      </dsp:nvSpPr>
      <dsp:spPr>
        <a:xfrm>
          <a:off x="2519306" y="107174"/>
          <a:ext cx="1448547" cy="243964"/>
        </a:xfrm>
        <a:prstGeom prst="roundRect">
          <a:avLst>
            <a:gd name="adj" fmla="val 10000"/>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nl-BE" sz="1000" kern="1200">
              <a:solidFill>
                <a:sysClr val="window" lastClr="FFFFFF"/>
              </a:solidFill>
              <a:latin typeface="Cambria" panose="02040503050406030204" pitchFamily="18" charset="0"/>
              <a:ea typeface="+mn-ea"/>
              <a:cs typeface="+mn-cs"/>
            </a:rPr>
            <a:t>Opportunity factoren </a:t>
          </a:r>
        </a:p>
      </dsp:txBody>
      <dsp:txXfrm>
        <a:off x="2526451" y="114319"/>
        <a:ext cx="1434257" cy="229674"/>
      </dsp:txXfrm>
    </dsp:sp>
    <dsp:sp modelId="{CF3F8762-8E1C-4CDF-AE4A-DAAF10CE510E}">
      <dsp:nvSpPr>
        <dsp:cNvPr id="0" name=""/>
        <dsp:cNvSpPr/>
      </dsp:nvSpPr>
      <dsp:spPr>
        <a:xfrm rot="1346346">
          <a:off x="3620115" y="532755"/>
          <a:ext cx="1044771" cy="135254"/>
        </a:xfrm>
        <a:prstGeom prst="rightArrow">
          <a:avLst/>
        </a:prstGeom>
        <a:solidFill>
          <a:srgbClr val="5B9BD5">
            <a:tint val="60000"/>
            <a:hueOff val="0"/>
            <a:satOff val="0"/>
            <a:lumOff val="0"/>
            <a:alphaOff val="0"/>
          </a:srgb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nl-BE" sz="500" kern="1200">
            <a:solidFill>
              <a:sysClr val="window" lastClr="FFFFFF"/>
            </a:solidFill>
            <a:latin typeface="Calibri" panose="020F0502020204030204"/>
            <a:ea typeface="+mn-ea"/>
            <a:cs typeface="+mn-cs"/>
          </a:endParaRPr>
        </a:p>
      </dsp:txBody>
      <dsp:txXfrm>
        <a:off x="3660691" y="559806"/>
        <a:ext cx="963619" cy="81152"/>
      </dsp:txXfrm>
    </dsp:sp>
    <dsp:sp modelId="{B565FB01-6CA1-47E9-9164-06FE1782330F}">
      <dsp:nvSpPr>
        <dsp:cNvPr id="0" name=""/>
        <dsp:cNvSpPr/>
      </dsp:nvSpPr>
      <dsp:spPr>
        <a:xfrm>
          <a:off x="4317148" y="849626"/>
          <a:ext cx="1448547" cy="243964"/>
        </a:xfrm>
        <a:prstGeom prst="roundRect">
          <a:avLst>
            <a:gd name="adj" fmla="val 10000"/>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nl-BE" sz="1000" kern="1200">
              <a:solidFill>
                <a:sysClr val="window" lastClr="FFFFFF"/>
              </a:solidFill>
              <a:latin typeface="Cambria" panose="02040503050406030204" pitchFamily="18" charset="0"/>
              <a:ea typeface="+mn-ea"/>
              <a:cs typeface="+mn-cs"/>
            </a:rPr>
            <a:t>Leerprestaties</a:t>
          </a:r>
        </a:p>
      </dsp:txBody>
      <dsp:txXfrm>
        <a:off x="4324293" y="856771"/>
        <a:ext cx="1434257" cy="229674"/>
      </dsp:txXfrm>
    </dsp:sp>
    <dsp:sp modelId="{BED3DB67-7A82-43AF-8B81-6B6C8DE93713}">
      <dsp:nvSpPr>
        <dsp:cNvPr id="0" name=""/>
        <dsp:cNvSpPr/>
      </dsp:nvSpPr>
      <dsp:spPr>
        <a:xfrm rot="9453654">
          <a:off x="3620115" y="1275208"/>
          <a:ext cx="1044771" cy="135254"/>
        </a:xfrm>
        <a:prstGeom prst="leftArrow">
          <a:avLst/>
        </a:prstGeom>
        <a:solidFill>
          <a:srgbClr val="5B9BD5">
            <a:tint val="60000"/>
            <a:hueOff val="0"/>
            <a:satOff val="0"/>
            <a:lumOff val="0"/>
            <a:alphaOff val="0"/>
          </a:srgb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nl-BE" sz="500" kern="1200">
            <a:solidFill>
              <a:sysClr val="window" lastClr="FFFFFF"/>
            </a:solidFill>
            <a:latin typeface="Calibri" panose="020F0502020204030204"/>
            <a:ea typeface="+mn-ea"/>
            <a:cs typeface="+mn-cs"/>
          </a:endParaRPr>
        </a:p>
      </dsp:txBody>
      <dsp:txXfrm rot="10800000">
        <a:off x="3660691" y="1302259"/>
        <a:ext cx="963619" cy="81152"/>
      </dsp:txXfrm>
    </dsp:sp>
    <dsp:sp modelId="{9531A1A3-0F72-4034-BE14-8AB8F87D4BAB}">
      <dsp:nvSpPr>
        <dsp:cNvPr id="0" name=""/>
        <dsp:cNvSpPr/>
      </dsp:nvSpPr>
      <dsp:spPr>
        <a:xfrm>
          <a:off x="2519306" y="1592079"/>
          <a:ext cx="1448547" cy="243964"/>
        </a:xfrm>
        <a:prstGeom prst="roundRect">
          <a:avLst>
            <a:gd name="adj" fmla="val 10000"/>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nl-BE" sz="1000" kern="1200">
              <a:solidFill>
                <a:sysClr val="window" lastClr="FFFFFF"/>
              </a:solidFill>
              <a:latin typeface="Cambria" panose="02040503050406030204" pitchFamily="18" charset="0"/>
              <a:ea typeface="+mn-ea"/>
              <a:cs typeface="+mn-cs"/>
            </a:rPr>
            <a:t>Propensity factoren </a:t>
          </a:r>
        </a:p>
      </dsp:txBody>
      <dsp:txXfrm>
        <a:off x="2526451" y="1599224"/>
        <a:ext cx="1434257" cy="229674"/>
      </dsp:txXfrm>
    </dsp:sp>
    <dsp:sp modelId="{60336E51-E0AD-40D9-8B3A-8345AAE4F02A}">
      <dsp:nvSpPr>
        <dsp:cNvPr id="0" name=""/>
        <dsp:cNvSpPr/>
      </dsp:nvSpPr>
      <dsp:spPr>
        <a:xfrm rot="12127575">
          <a:off x="1808174" y="1275208"/>
          <a:ext cx="1044771" cy="135254"/>
        </a:xfrm>
        <a:prstGeom prst="leftArrow">
          <a:avLst/>
        </a:prstGeom>
        <a:solidFill>
          <a:srgbClr val="5B9BD5">
            <a:tint val="60000"/>
            <a:hueOff val="0"/>
            <a:satOff val="0"/>
            <a:lumOff val="0"/>
            <a:alphaOff val="0"/>
          </a:srgb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nl-BE" sz="500" kern="1200">
            <a:solidFill>
              <a:sysClr val="window" lastClr="FFFFFF"/>
            </a:solidFill>
            <a:latin typeface="Calibri" panose="020F0502020204030204"/>
            <a:ea typeface="+mn-ea"/>
            <a:cs typeface="+mn-cs"/>
          </a:endParaRPr>
        </a:p>
      </dsp:txBody>
      <dsp:txXfrm rot="10800000">
        <a:off x="1848750" y="1302259"/>
        <a:ext cx="963619" cy="81152"/>
      </dsp:txXfrm>
    </dsp:sp>
    <dsp:sp modelId="{B6F8FBD3-A194-4565-AA08-1FFE01019024}">
      <dsp:nvSpPr>
        <dsp:cNvPr id="0" name=""/>
        <dsp:cNvSpPr/>
      </dsp:nvSpPr>
      <dsp:spPr>
        <a:xfrm>
          <a:off x="693265" y="849626"/>
          <a:ext cx="1448547" cy="243964"/>
        </a:xfrm>
        <a:prstGeom prst="roundRect">
          <a:avLst>
            <a:gd name="adj" fmla="val 10000"/>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nl-BE" sz="1000" kern="1200">
              <a:solidFill>
                <a:sysClr val="window" lastClr="FFFFFF"/>
              </a:solidFill>
              <a:latin typeface="Cambria" panose="02040503050406030204" pitchFamily="18" charset="0"/>
              <a:ea typeface="+mn-ea"/>
              <a:cs typeface="+mn-cs"/>
            </a:rPr>
            <a:t>Distale factoren </a:t>
          </a:r>
        </a:p>
      </dsp:txBody>
      <dsp:txXfrm>
        <a:off x="700410" y="856771"/>
        <a:ext cx="1434257" cy="229674"/>
      </dsp:txXfrm>
    </dsp:sp>
    <dsp:sp modelId="{17345DFC-3367-4C03-847F-9FB60E0D77E2}">
      <dsp:nvSpPr>
        <dsp:cNvPr id="0" name=""/>
        <dsp:cNvSpPr/>
      </dsp:nvSpPr>
      <dsp:spPr>
        <a:xfrm rot="20272425">
          <a:off x="1808174" y="532755"/>
          <a:ext cx="1044771" cy="135254"/>
        </a:xfrm>
        <a:prstGeom prst="rightArrow">
          <a:avLst/>
        </a:prstGeom>
        <a:solidFill>
          <a:srgbClr val="5B9BD5">
            <a:tint val="60000"/>
            <a:hueOff val="0"/>
            <a:satOff val="0"/>
            <a:lumOff val="0"/>
            <a:alphaOff val="0"/>
          </a:srgb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nl-BE" sz="500" kern="1200">
            <a:solidFill>
              <a:sysClr val="window" lastClr="FFFFFF"/>
            </a:solidFill>
            <a:latin typeface="Calibri" panose="020F0502020204030204"/>
            <a:ea typeface="+mn-ea"/>
            <a:cs typeface="+mn-cs"/>
          </a:endParaRPr>
        </a:p>
      </dsp:txBody>
      <dsp:txXfrm>
        <a:off x="1848750" y="559806"/>
        <a:ext cx="963619" cy="81152"/>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475A3-D03D-4CE6-A680-2B2C09B10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15282</Words>
  <Characters>84052</Characters>
  <Application>Microsoft Office Word</Application>
  <DocSecurity>0</DocSecurity>
  <Lines>700</Lines>
  <Paragraphs>198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2019-06-12T18:05:00Z</dcterms:created>
  <dcterms:modified xsi:type="dcterms:W3CDTF">2019-06-12T18:05:00Z</dcterms:modified>
</cp:coreProperties>
</file>