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36ED" w14:textId="77777777" w:rsidR="009246AD" w:rsidRPr="007E5E9E" w:rsidRDefault="00AD1135" w:rsidP="00AB34C5">
      <w:pPr>
        <w:pStyle w:val="BATitle"/>
        <w:jc w:val="left"/>
        <w:rPr>
          <w:sz w:val="40"/>
          <w:szCs w:val="40"/>
        </w:rPr>
      </w:pPr>
      <w:bookmarkStart w:id="0" w:name="_GoBack"/>
      <w:bookmarkEnd w:id="0"/>
      <w:r w:rsidRPr="007E5E9E">
        <w:rPr>
          <w:sz w:val="40"/>
          <w:szCs w:val="40"/>
        </w:rPr>
        <w:t>Fast healing of polyurethane thermosets using reversible triazolinedione chemistry and shape-memory</w:t>
      </w:r>
    </w:p>
    <w:p w14:paraId="06C1DFD8" w14:textId="77777777" w:rsidR="00F86F13" w:rsidRPr="00F86F13" w:rsidRDefault="00F86F13" w:rsidP="00C6751E">
      <w:pPr>
        <w:pStyle w:val="BBAuthorName"/>
        <w:jc w:val="left"/>
        <w:outlineLvl w:val="0"/>
      </w:pPr>
      <w:r w:rsidRPr="00F86F13">
        <w:t>Niels Van Herck and Filip E. Du Prez*</w:t>
      </w:r>
    </w:p>
    <w:p w14:paraId="56B5085B" w14:textId="09A8804E" w:rsidR="00002B7F" w:rsidRPr="00002B7F" w:rsidRDefault="00D05B2E" w:rsidP="00002B7F">
      <w:pPr>
        <w:pStyle w:val="BCAuthorAddress"/>
        <w:jc w:val="left"/>
      </w:pPr>
      <w:r w:rsidRPr="00002B7F">
        <w:t>Polymer Chemistry Research Group</w:t>
      </w:r>
      <w:r w:rsidR="00002B7F" w:rsidRPr="00002B7F">
        <w:t xml:space="preserve">, Centre of Macromolecular Chemistry, </w:t>
      </w:r>
      <w:r w:rsidRPr="00002B7F">
        <w:t>Department of Organic and Macromolecular Chemistry</w:t>
      </w:r>
      <w:r w:rsidR="00002B7F" w:rsidRPr="00002B7F">
        <w:t>, Ghent University, Krijgslaan 281 S4-bis, B-9000 Ghent, Belgium</w:t>
      </w:r>
    </w:p>
    <w:p w14:paraId="579DC458" w14:textId="77777777" w:rsidR="00EF5D73" w:rsidRDefault="00813504" w:rsidP="00C6751E">
      <w:pPr>
        <w:pStyle w:val="FACorrespondingAuthorFootnote"/>
        <w:spacing w:after="0"/>
        <w:jc w:val="left"/>
        <w:outlineLvl w:val="0"/>
      </w:pPr>
      <w:r w:rsidRPr="0051303F">
        <w:rPr>
          <w:b/>
        </w:rPr>
        <w:t>Keywords</w:t>
      </w:r>
    </w:p>
    <w:p w14:paraId="7A0E6F4F" w14:textId="3B760156" w:rsidR="000C05CC" w:rsidRPr="00A764EF" w:rsidRDefault="00EF5D73" w:rsidP="00C6751E">
      <w:pPr>
        <w:pStyle w:val="FACorrespondingAuthorFootnote"/>
        <w:spacing w:after="0"/>
        <w:jc w:val="left"/>
        <w:outlineLvl w:val="0"/>
      </w:pPr>
      <w:r>
        <w:t>R</w:t>
      </w:r>
      <w:r w:rsidR="00813504">
        <w:t>eversible exchange, dynamic chemistry, self-healing, rheology</w:t>
      </w:r>
    </w:p>
    <w:p w14:paraId="3045CD41" w14:textId="77777777" w:rsidR="00B54A89" w:rsidRDefault="00E56FA2" w:rsidP="007E5E9E">
      <w:pPr>
        <w:pStyle w:val="BDAbstract"/>
        <w:spacing w:after="120"/>
        <w:outlineLvl w:val="0"/>
        <w:rPr>
          <w:b/>
        </w:rPr>
      </w:pPr>
      <w:r w:rsidRPr="0051303F">
        <w:rPr>
          <w:b/>
        </w:rPr>
        <w:t>Abstract</w:t>
      </w:r>
    </w:p>
    <w:p w14:paraId="71751256" w14:textId="74D8D234" w:rsidR="00AB34C5" w:rsidRDefault="00813504" w:rsidP="007E5E9E">
      <w:pPr>
        <w:pStyle w:val="BDAbstract"/>
        <w:spacing w:before="120"/>
        <w:outlineLvl w:val="0"/>
      </w:pPr>
      <w:r w:rsidRPr="00813504">
        <w:t xml:space="preserve">Healable and remoldable polyurethane </w:t>
      </w:r>
      <w:r w:rsidR="004D37D9">
        <w:t>networ</w:t>
      </w:r>
      <w:r w:rsidRPr="00813504">
        <w:t>ks having poly(</w:t>
      </w:r>
      <w:sdt>
        <w:sdtPr>
          <w:rPr>
            <w:rFonts w:ascii="Cambria Math" w:hAnsi="Cambria Math"/>
          </w:rPr>
          <w:id w:val="818768400"/>
          <w:placeholder>
            <w:docPart w:val="F1248BF03E9C8F4DAE80C133A23E7C13"/>
          </w:placeholder>
          <w:temporary/>
          <w:showingPlcHdr/>
          <w:equation/>
        </w:sdtPr>
        <w:sdtEndPr/>
        <w:sdtContent>
          <m:oMath>
            <m:r>
              <m:rPr>
                <m:sty m:val="p"/>
              </m:rPr>
              <w:rPr>
                <w:rFonts w:ascii="Cambria Math" w:hAnsi="Cambria Math"/>
              </w:rPr>
              <m:t>ε</m:t>
            </m:r>
          </m:oMath>
        </w:sdtContent>
      </w:sdt>
      <w:r w:rsidRPr="00813504">
        <w:t>-caprolactone) soft segments were prepared in a one-pot procedure using a thermoreversible crosslinker based on triazolinedione (TAD) chemistry. A single heating step triggers both shape-recovery and reversible TAD chemistry, which allows fast shape-memory assisted healing from large scale damage up to 1 mm. The network compositions were optimized to maximize healing efficiency. The thermomechanical properties of the materials were studied in-depth by thermal analysis, tensile measurements and rheology. This work validates reversible TAD chemistry as a novel, highly effective chemistry for fast intrinsic healing of high-modulus thermosets without loss of structural integrity.</w:t>
      </w:r>
    </w:p>
    <w:p w14:paraId="540A5F1E" w14:textId="5F0663D4" w:rsidR="00F013D6" w:rsidRPr="00AD2AF5" w:rsidRDefault="00F013D6" w:rsidP="000819EA">
      <w:pPr>
        <w:pStyle w:val="TAMainText"/>
        <w:rPr>
          <w:b/>
        </w:rPr>
      </w:pPr>
      <w:r w:rsidRPr="00AD2AF5">
        <w:rPr>
          <w:b/>
        </w:rPr>
        <w:lastRenderedPageBreak/>
        <w:t>Introduction</w:t>
      </w:r>
    </w:p>
    <w:p w14:paraId="5078CB25" w14:textId="7D08D5A5" w:rsidR="00922D32" w:rsidRDefault="00F013D6" w:rsidP="00AD2AF5">
      <w:pPr>
        <w:pStyle w:val="TAMainText"/>
        <w:rPr>
          <w:rFonts w:asciiTheme="minorHAnsi" w:eastAsiaTheme="minorHAnsi" w:hAnsiTheme="minorHAnsi" w:cstheme="minorBidi"/>
          <w:szCs w:val="24"/>
        </w:rPr>
      </w:pPr>
      <w:r w:rsidRPr="00F013D6">
        <w:t>Although the firs</w:t>
      </w:r>
      <w:r w:rsidRPr="00C6751E">
        <w:t>t</w:t>
      </w:r>
      <w:r w:rsidRPr="00F013D6">
        <w:t xml:space="preserve"> reports on self-healing materials emerged in the 1970s</w:t>
      </w:r>
      <w:r w:rsidR="00DB4503" w:rsidRPr="00DB4503">
        <w:rPr>
          <w:vertAlign w:val="superscript"/>
        </w:rPr>
        <w:t>1</w:t>
      </w:r>
      <w:r w:rsidRPr="00F013D6">
        <w:t>, research in this field significantly increased after the introduction of a truly autonomous self-healing polymer composite, approximately 15 years ago.</w:t>
      </w:r>
      <w:r w:rsidR="00DB4503" w:rsidRPr="00DB4503">
        <w:rPr>
          <w:vertAlign w:val="superscript"/>
        </w:rPr>
        <w:t>2,3</w:t>
      </w:r>
      <w:r w:rsidRPr="00F013D6">
        <w:t xml:space="preserve"> Since then, numerous repair systems have been reported, which are classified according to either their necessity for an external stimulus (autonomous and non-autonomous healing) or the presence of healing agents (intrinsic and extrinsic healing).</w:t>
      </w:r>
      <w:r w:rsidR="00DB4503" w:rsidRPr="00DB4503">
        <w:rPr>
          <w:vertAlign w:val="superscript"/>
        </w:rPr>
        <w:t>4-8</w:t>
      </w:r>
      <w:r w:rsidR="00922D32" w:rsidRPr="00922D32">
        <w:rPr>
          <w:rFonts w:asciiTheme="minorHAnsi" w:eastAsiaTheme="minorHAnsi" w:hAnsiTheme="minorHAnsi" w:cstheme="minorBidi"/>
          <w:szCs w:val="24"/>
        </w:rPr>
        <w:t xml:space="preserve"> </w:t>
      </w:r>
    </w:p>
    <w:p w14:paraId="2BB633F8" w14:textId="3BCAAD8C" w:rsidR="00922D32" w:rsidRPr="00922D32" w:rsidRDefault="00922D32" w:rsidP="00AD2AF5">
      <w:pPr>
        <w:pStyle w:val="TAMainText"/>
      </w:pPr>
      <w:r w:rsidRPr="00922D32">
        <w:t>The development of an ‘ideal’ self-healing system, that can repeatedly restore the properties of a damaged material, has been attempted by many researchers in the field of material science. Thus far, self-healing materials that come close to such an ideal system are typically based on hydrogels. Indeed, the increased mobility in these swollen systems aids the restoration of the initial material properties. The most promising intrinsic self-healing systems, however, typically lack mechanical robustness as a result of the increased mobility.</w:t>
      </w:r>
      <w:r w:rsidR="00DB4503" w:rsidRPr="00DB4503">
        <w:rPr>
          <w:vertAlign w:val="superscript"/>
        </w:rPr>
        <w:t>9</w:t>
      </w:r>
      <w:r w:rsidRPr="00922D32">
        <w:t xml:space="preserve"> A remarkable solution to this observation was presented by Guan and coworkers, who combined stiffness and spontaneous healing in phase-separated thermoplastic elastomers.</w:t>
      </w:r>
      <w:r w:rsidR="00DB4503" w:rsidRPr="00DB4503">
        <w:rPr>
          <w:vertAlign w:val="superscript"/>
        </w:rPr>
        <w:t>10</w:t>
      </w:r>
    </w:p>
    <w:p w14:paraId="46C5BB12" w14:textId="7DBF0FE0" w:rsidR="00922D32" w:rsidRPr="00922D32" w:rsidRDefault="00922D32" w:rsidP="00AD2AF5">
      <w:pPr>
        <w:pStyle w:val="TAMainText"/>
      </w:pPr>
      <w:r w:rsidRPr="00922D32">
        <w:t>Considering the (macroscopic) healing of high-modulus polymer materials, such as thermosets and composites, challenges concerning their limited internal mobility and damage volume reduction remain. The extrinsic healing of materials, which have healing agents embedded, is inherently limited by the volume of healing agents that is released upon damage. Indeed, full repair can only occur when the damage volume is smaller than the volume of the released healing agents.</w:t>
      </w:r>
      <w:r w:rsidR="001578E5">
        <w:rPr>
          <w:vertAlign w:val="superscript"/>
        </w:rPr>
        <w:t>7</w:t>
      </w:r>
      <w:r w:rsidRPr="00922D32">
        <w:t xml:space="preserve"> Moreover, newly formed voids in the (micro)container should not diminish the material properties. These issues are solved when using external reservoirs, as proposed by White </w:t>
      </w:r>
      <w:r w:rsidRPr="00922D32">
        <w:rPr>
          <w:i/>
        </w:rPr>
        <w:t>et al</w:t>
      </w:r>
      <w:r w:rsidRPr="00922D32">
        <w:t>.</w:t>
      </w:r>
      <w:r w:rsidR="00DB4503" w:rsidRPr="00DB4503">
        <w:rPr>
          <w:vertAlign w:val="superscript"/>
        </w:rPr>
        <w:t>11</w:t>
      </w:r>
      <w:r w:rsidRPr="00922D32">
        <w:t xml:space="preserve"> By combining this technology with a two-stage polymerization procedure, large </w:t>
      </w:r>
      <w:r w:rsidRPr="00922D32">
        <w:lastRenderedPageBreak/>
        <w:t xml:space="preserve">voids left by damage could be filled with a new strong material. However, because of the large complexity of this system, practical applications are limited. </w:t>
      </w:r>
    </w:p>
    <w:p w14:paraId="51AF74B3" w14:textId="45B04EA8" w:rsidR="00922D32" w:rsidRPr="00922D32" w:rsidRDefault="00922D32" w:rsidP="00AD2AF5">
      <w:pPr>
        <w:pStyle w:val="TAMainText"/>
      </w:pPr>
      <w:r w:rsidRPr="00922D32">
        <w:t xml:space="preserve">Alternatively, intrinsic healing of materials does not depend on the delivery of healing agents. However, as this healing mechanism depends on the reversible exchange of bonds or diffusion of polymer chains, healing is limited to local repair within reach of the reversible bonds. This inhibits the formation of gap-bridging connections when the created damage site becomes too large. Rodriguez </w:t>
      </w:r>
      <w:r w:rsidRPr="00922D32">
        <w:rPr>
          <w:i/>
        </w:rPr>
        <w:t>et al</w:t>
      </w:r>
      <w:r w:rsidRPr="00922D32">
        <w:t>. introduced the concept of shape-memory assisted healing (i.e. SMASH), in which a poly(</w:t>
      </w:r>
      <m:oMath>
        <m:r>
          <w:rPr>
            <w:rFonts w:ascii="Cambria Math" w:hAnsi="Cambria Math"/>
          </w:rPr>
          <m:t>ε</m:t>
        </m:r>
      </m:oMath>
      <w:r w:rsidRPr="00922D32">
        <w:t>-caprolactone) (PCL) network with semi-interpenetrating linear PCL chains is able to close and heal crack damage upon a thermal trigger.</w:t>
      </w:r>
      <w:r w:rsidR="00DB4503" w:rsidRPr="00DB4503">
        <w:rPr>
          <w:vertAlign w:val="superscript"/>
        </w:rPr>
        <w:t>12</w:t>
      </w:r>
      <w:r w:rsidRPr="00922D32">
        <w:t xml:space="preserve"> The thermal energy is used to activate the shape-memory and to restore the mechanical properties by creating new chain entanglements between the diffusing linear </w:t>
      </w:r>
      <w:r w:rsidRPr="00520475">
        <w:t>chains.</w:t>
      </w:r>
      <w:r w:rsidR="00433700" w:rsidRPr="00520475">
        <w:t xml:space="preserve"> </w:t>
      </w:r>
      <w:r w:rsidR="00731013" w:rsidRPr="00520475">
        <w:t xml:space="preserve">A similar system was very recently described by Farhan </w:t>
      </w:r>
      <w:r w:rsidR="00731013" w:rsidRPr="00520475">
        <w:rPr>
          <w:i/>
        </w:rPr>
        <w:t>et al</w:t>
      </w:r>
      <w:r w:rsidR="00731013" w:rsidRPr="00520475">
        <w:t>.</w:t>
      </w:r>
      <w:r w:rsidR="00731013" w:rsidRPr="00520475">
        <w:rPr>
          <w:vertAlign w:val="superscript"/>
        </w:rPr>
        <w:t>13</w:t>
      </w:r>
    </w:p>
    <w:p w14:paraId="15A7CDC0" w14:textId="7C6B43F9" w:rsidR="00922D32" w:rsidRPr="00922D32" w:rsidRDefault="00922D32" w:rsidP="00AD2AF5">
      <w:pPr>
        <w:pStyle w:val="TAMainText"/>
      </w:pPr>
      <w:r w:rsidRPr="00922D32">
        <w:t>Previous work by our group reported on the use of the SMASH concept in polyurethanes (PU) that contain a thermoreversible chemistry.</w:t>
      </w:r>
      <w:r w:rsidR="00DB4503" w:rsidRPr="00DB4503">
        <w:rPr>
          <w:vertAlign w:val="superscript"/>
        </w:rPr>
        <w:t>1</w:t>
      </w:r>
      <w:r w:rsidR="00D45D31">
        <w:rPr>
          <w:vertAlign w:val="superscript"/>
        </w:rPr>
        <w:t>4</w:t>
      </w:r>
      <w:r w:rsidRPr="00922D32">
        <w:t xml:space="preserve"> Besides the closure of the damage site as a result of the shape-memory effect, this design also ensured structural healing by formation of new covalent bonds across the interface of the damage site. To achieve this, furan-maleimide chemistry was used to introduce a thermoreversible covalent bond in the crosslinker. In combination with a PCL soft segment in the PU matrix, this resulted in the development of a furan-based shape-memory PU. Upon scratch damage with a razor blade, heating to 50 °C favors scratch closure as a result of the shape-memory effect. Moreover, this heating triggers the reformation of the reversible bonds, that were mechanically broken during the damage event. Although the shape-memory effect is completed within minutes, the reformation of reversible bonds took up to 24 hours and is </w:t>
      </w:r>
      <w:r w:rsidR="00D05B2E">
        <w:t xml:space="preserve">thus </w:t>
      </w:r>
      <w:r w:rsidRPr="00922D32">
        <w:t>susceptible for improvement</w:t>
      </w:r>
      <w:r w:rsidR="00D05B2E">
        <w:t xml:space="preserve"> to increase the application </w:t>
      </w:r>
      <w:r w:rsidR="00D05B2E">
        <w:lastRenderedPageBreak/>
        <w:t>potential</w:t>
      </w:r>
      <w:r w:rsidRPr="00922D32">
        <w:t>. Furthermore, undesirable oxidation of furan moieties and homopolymerization of maleimide moieties after prolonged exposure above 100 °C, could result in irreversible crosslinking and loss of the dynamic property.</w:t>
      </w:r>
      <w:r w:rsidR="00DB4503" w:rsidRPr="00DB4503">
        <w:rPr>
          <w:vertAlign w:val="superscript"/>
        </w:rPr>
        <w:t>1</w:t>
      </w:r>
      <w:r w:rsidR="00D45D31">
        <w:rPr>
          <w:vertAlign w:val="superscript"/>
        </w:rPr>
        <w:t>5</w:t>
      </w:r>
      <w:r w:rsidR="00DB4503" w:rsidRPr="00DB4503">
        <w:rPr>
          <w:vertAlign w:val="superscript"/>
        </w:rPr>
        <w:t>,1</w:t>
      </w:r>
      <w:r w:rsidR="00D45D31">
        <w:rPr>
          <w:vertAlign w:val="superscript"/>
        </w:rPr>
        <w:t>6</w:t>
      </w:r>
      <w:r w:rsidRPr="00922D32">
        <w:t xml:space="preserve"> The SMASH concept has not only been reported in combination with Diels-Alder (DA) chemistry</w:t>
      </w:r>
      <w:r w:rsidR="00DB4503" w:rsidRPr="00DB4503">
        <w:rPr>
          <w:vertAlign w:val="superscript"/>
        </w:rPr>
        <w:t>1</w:t>
      </w:r>
      <w:r w:rsidR="00D45D31">
        <w:rPr>
          <w:vertAlign w:val="superscript"/>
        </w:rPr>
        <w:t>4</w:t>
      </w:r>
      <w:r w:rsidR="00DB4503" w:rsidRPr="00DB4503">
        <w:rPr>
          <w:vertAlign w:val="superscript"/>
        </w:rPr>
        <w:t>,1</w:t>
      </w:r>
      <w:r w:rsidR="00D45D31">
        <w:rPr>
          <w:vertAlign w:val="superscript"/>
        </w:rPr>
        <w:t>7</w:t>
      </w:r>
      <w:r w:rsidR="00DB4503" w:rsidRPr="00DB4503">
        <w:rPr>
          <w:vertAlign w:val="superscript"/>
        </w:rPr>
        <w:t>-</w:t>
      </w:r>
      <w:r w:rsidR="009F18C7">
        <w:rPr>
          <w:vertAlign w:val="superscript"/>
        </w:rPr>
        <w:t>21</w:t>
      </w:r>
      <w:r w:rsidRPr="00922D32">
        <w:t>, but also using other reversible chemistries, such as disulfide exchange</w:t>
      </w:r>
      <w:r w:rsidR="00DB4503" w:rsidRPr="00DB4503">
        <w:rPr>
          <w:vertAlign w:val="superscript"/>
        </w:rPr>
        <w:t>2</w:t>
      </w:r>
      <w:r w:rsidR="009F18C7">
        <w:rPr>
          <w:vertAlign w:val="superscript"/>
        </w:rPr>
        <w:t>2</w:t>
      </w:r>
      <w:r w:rsidRPr="00922D32">
        <w:t>, ionic</w:t>
      </w:r>
      <w:r w:rsidR="00DB4503" w:rsidRPr="00DB4503">
        <w:rPr>
          <w:vertAlign w:val="superscript"/>
        </w:rPr>
        <w:t>2</w:t>
      </w:r>
      <w:r w:rsidR="009F18C7">
        <w:rPr>
          <w:vertAlign w:val="superscript"/>
        </w:rPr>
        <w:t>3</w:t>
      </w:r>
      <w:r w:rsidR="00DB4503" w:rsidRPr="00DB4503">
        <w:rPr>
          <w:vertAlign w:val="superscript"/>
        </w:rPr>
        <w:t>,2</w:t>
      </w:r>
      <w:r w:rsidR="009F18C7">
        <w:rPr>
          <w:vertAlign w:val="superscript"/>
        </w:rPr>
        <w:t>4</w:t>
      </w:r>
      <w:r w:rsidRPr="00922D32">
        <w:t xml:space="preserve"> and supramolecular interactions</w:t>
      </w:r>
      <w:r w:rsidR="00DB4503" w:rsidRPr="00DB4503">
        <w:rPr>
          <w:vertAlign w:val="superscript"/>
        </w:rPr>
        <w:t>2</w:t>
      </w:r>
      <w:r w:rsidR="009F18C7">
        <w:rPr>
          <w:vertAlign w:val="superscript"/>
        </w:rPr>
        <w:t>5</w:t>
      </w:r>
      <w:r w:rsidR="00DB4503" w:rsidRPr="00DB4503">
        <w:rPr>
          <w:vertAlign w:val="superscript"/>
        </w:rPr>
        <w:t>,2</w:t>
      </w:r>
      <w:r w:rsidR="009F18C7">
        <w:rPr>
          <w:vertAlign w:val="superscript"/>
        </w:rPr>
        <w:t>6</w:t>
      </w:r>
      <w:r w:rsidRPr="00922D32">
        <w:t>.</w:t>
      </w:r>
    </w:p>
    <w:p w14:paraId="7A884675" w14:textId="6BCB3D91" w:rsidR="00922D32" w:rsidRPr="00922D32" w:rsidRDefault="00922D32" w:rsidP="00AD2AF5">
      <w:pPr>
        <w:pStyle w:val="TAMainText"/>
      </w:pPr>
      <w:r w:rsidRPr="00922D32">
        <w:t>Recently, our group described a versatile click-chemistry platform based on the reactivity of 1,2,4-triazoline-3,5-dione (TAD) components.</w:t>
      </w:r>
      <w:r w:rsidR="00DB4503" w:rsidRPr="00DB4503">
        <w:rPr>
          <w:vertAlign w:val="superscript"/>
        </w:rPr>
        <w:t>2</w:t>
      </w:r>
      <w:r w:rsidR="009F18C7">
        <w:rPr>
          <w:vertAlign w:val="superscript"/>
        </w:rPr>
        <w:t>7</w:t>
      </w:r>
      <w:r w:rsidR="00DB4503" w:rsidRPr="00DB4503">
        <w:rPr>
          <w:vertAlign w:val="superscript"/>
        </w:rPr>
        <w:t>,2</w:t>
      </w:r>
      <w:r w:rsidR="009F18C7">
        <w:rPr>
          <w:vertAlign w:val="superscript"/>
        </w:rPr>
        <w:t>8</w:t>
      </w:r>
      <w:r w:rsidRPr="00922D32">
        <w:t xml:space="preserve"> TAD-based molecules are very reactive towards electron-rich π-systems and irreversibly react ultrafast with dienes and enes to form stable adducts through Diels-Alder and Alder-Ene mechanisms respectively. For our research, the most interesting reaction partners are 2,3-substituted indole derivatives as these compounds add a dynamic aspect to the TAD toolbox, since they allow thermoreversible bond exchange. Moreover, TAD-indole adduct formation proceeds very fast at ambient temperatures, whereas reversible exchange occurs between 40 and 140 °C. It has been shown very recently by us that the onset reversibility temperature can be varied by using different substituents on the indole scaffold.</w:t>
      </w:r>
      <w:r w:rsidR="00DB4503" w:rsidRPr="00DB4503">
        <w:rPr>
          <w:vertAlign w:val="superscript"/>
        </w:rPr>
        <w:t>2</w:t>
      </w:r>
      <w:r w:rsidR="009F18C7">
        <w:rPr>
          <w:vertAlign w:val="superscript"/>
        </w:rPr>
        <w:t>9</w:t>
      </w:r>
      <w:r w:rsidRPr="00922D32">
        <w:t xml:space="preserve"> This reversible TAD chemistry was already successfully used for the design of reprocessable shape-memory materials.</w:t>
      </w:r>
      <w:r w:rsidR="009F18C7">
        <w:rPr>
          <w:vertAlign w:val="superscript"/>
        </w:rPr>
        <w:t>30</w:t>
      </w:r>
    </w:p>
    <w:p w14:paraId="440BD4B8" w14:textId="51298E64" w:rsidR="00D05B2E" w:rsidRDefault="00922D32" w:rsidP="003C11D4">
      <w:pPr>
        <w:pStyle w:val="TAMainText"/>
      </w:pPr>
      <w:r w:rsidRPr="00922D32">
        <w:t xml:space="preserve">In this contribution, the development of thermoreversible, high-modulus PU thermosets is discussed using reversible TAD chemistry to allow for fast (30-60 min), shape-memory assisted intrinsic healing of damage up to 1 mm in width. The healable, rigid PU networks were created by the addition of isocyanate and polyol components to a TAD-indole-based crosslinker </w:t>
      </w:r>
      <w:r w:rsidR="00AD2AF5">
        <w:t>(</w:t>
      </w:r>
      <w:r w:rsidR="00981CA4">
        <w:t>Scheme</w:t>
      </w:r>
      <w:r w:rsidR="00AD2AF5">
        <w:t xml:space="preserve"> 1)</w:t>
      </w:r>
      <w:r w:rsidRPr="00922D32">
        <w:t xml:space="preserve">. PCL was chosen as soft segment polyol in order to add the desired shape-memory property. The healing of this system was optimized by variation of the polyol length, hard segment content, crosslink density and amount of free indole. Thermal and mechanical characterization </w:t>
      </w:r>
      <w:r w:rsidRPr="00922D32">
        <w:lastRenderedPageBreak/>
        <w:t>were used to evaluate the material properties and to quantify healing efficiency. Reversible TAD chemistry, with its fast kinetics, was validated as a useful tool in a self-healing context.</w:t>
      </w:r>
    </w:p>
    <w:p w14:paraId="4E1C9C56" w14:textId="6FE8D3D3" w:rsidR="00AD2AF5" w:rsidRPr="00520475" w:rsidRDefault="00AD2AF5" w:rsidP="00AD2AF5">
      <w:pPr>
        <w:pStyle w:val="TAMainText"/>
        <w:ind w:firstLine="0"/>
      </w:pPr>
      <w:r w:rsidRPr="00520475">
        <w:rPr>
          <w:noProof/>
        </w:rPr>
        <w:drawing>
          <wp:inline distT="0" distB="0" distL="0" distR="0" wp14:anchorId="52134541" wp14:editId="2A859926">
            <wp:extent cx="5943600" cy="10483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 PU synthesis 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inline>
        </w:drawing>
      </w:r>
    </w:p>
    <w:p w14:paraId="5A529E5A" w14:textId="3E25575B" w:rsidR="001063B6" w:rsidRDefault="00981CA4" w:rsidP="006A795F">
      <w:pPr>
        <w:pStyle w:val="VAFigureCaption"/>
      </w:pPr>
      <w:r w:rsidRPr="00520475">
        <w:t>Scheme</w:t>
      </w:r>
      <w:r w:rsidR="00AD2AF5" w:rsidRPr="00520475">
        <w:t xml:space="preserve"> 1: </w:t>
      </w:r>
      <w:r w:rsidR="00E91E3D" w:rsidRPr="00520475">
        <w:t>Reaction of a bisfunctional TAD</w:t>
      </w:r>
      <w:r w:rsidR="000A36C7" w:rsidRPr="00520475">
        <w:t>-compound (MDI-based)</w:t>
      </w:r>
      <w:r w:rsidR="00E91E3D" w:rsidRPr="00520475">
        <w:t xml:space="preserve"> with indole diol readily leads to a</w:t>
      </w:r>
      <w:r w:rsidR="00AD2AF5" w:rsidRPr="00520475">
        <w:t xml:space="preserve"> thermoreversible TAD-indole tetrafunctional crosslinker</w:t>
      </w:r>
      <w:r w:rsidR="00E91E3D" w:rsidRPr="00520475">
        <w:t>, which</w:t>
      </w:r>
      <w:r w:rsidR="00365A4A" w:rsidRPr="00520475">
        <w:t xml:space="preserve"> is mixed with</w:t>
      </w:r>
      <w:r w:rsidR="0044065C" w:rsidRPr="00520475">
        <w:t xml:space="preserve"> hexamethylene diisocyanate (HDI), butanediol (BDO)</w:t>
      </w:r>
      <w:r w:rsidR="00365A4A" w:rsidRPr="00520475">
        <w:t xml:space="preserve">, </w:t>
      </w:r>
      <w:r w:rsidR="00365A4A" w:rsidRPr="00520475">
        <w:rPr>
          <w:bCs/>
        </w:rPr>
        <w:t>poly(</w:t>
      </w:r>
      <m:oMath>
        <m:r>
          <w:rPr>
            <w:rFonts w:ascii="Cambria Math" w:hAnsi="Cambria Math"/>
          </w:rPr>
          <m:t>ε</m:t>
        </m:r>
      </m:oMath>
      <w:r w:rsidR="00365A4A" w:rsidRPr="00520475">
        <w:rPr>
          <w:bCs/>
        </w:rPr>
        <w:t xml:space="preserve">-caprolactone) diol (PCL) in the presence of a zirconium(IV) acetylacetonate catalyst to produce </w:t>
      </w:r>
      <w:r w:rsidR="000A36C7" w:rsidRPr="00520475">
        <w:rPr>
          <w:bCs/>
        </w:rPr>
        <w:t xml:space="preserve">the envisaged </w:t>
      </w:r>
      <w:r w:rsidR="00365A4A" w:rsidRPr="00520475">
        <w:rPr>
          <w:bCs/>
        </w:rPr>
        <w:t>PU material.</w:t>
      </w:r>
    </w:p>
    <w:p w14:paraId="1D055A14" w14:textId="77777777" w:rsidR="003C284C" w:rsidRPr="003C284C" w:rsidRDefault="003C284C" w:rsidP="003C284C"/>
    <w:p w14:paraId="0F35EF2C" w14:textId="0CB8C732" w:rsidR="001063B6" w:rsidRPr="001063B6" w:rsidRDefault="001063B6" w:rsidP="001063B6">
      <w:pPr>
        <w:pStyle w:val="TAMainText"/>
        <w:ind w:firstLine="0"/>
        <w:rPr>
          <w:b/>
        </w:rPr>
      </w:pPr>
      <w:r w:rsidRPr="001063B6">
        <w:rPr>
          <w:b/>
        </w:rPr>
        <w:t>Experimental section</w:t>
      </w:r>
    </w:p>
    <w:p w14:paraId="3406FBD7" w14:textId="08CB5C90" w:rsidR="001063B6" w:rsidRPr="00FA51CD" w:rsidRDefault="001063B6" w:rsidP="001063B6">
      <w:pPr>
        <w:pStyle w:val="TAMainText"/>
      </w:pPr>
      <w:r w:rsidRPr="001063B6">
        <w:rPr>
          <w:b/>
          <w:bCs/>
        </w:rPr>
        <w:t>Materials.</w:t>
      </w:r>
      <w:r>
        <w:rPr>
          <w:bCs/>
        </w:rPr>
        <w:t xml:space="preserve"> </w:t>
      </w:r>
      <w:r w:rsidRPr="001063B6">
        <w:rPr>
          <w:bCs/>
        </w:rPr>
        <w:t>2,2-bis-(hydroxymethyl)-propionic acid, 1,4-butanediol (BDO), chloroform (CHCl</w:t>
      </w:r>
      <w:r w:rsidRPr="001063B6">
        <w:rPr>
          <w:bCs/>
          <w:vertAlign w:val="subscript"/>
        </w:rPr>
        <w:t>3</w:t>
      </w:r>
      <w:r w:rsidRPr="001063B6">
        <w:rPr>
          <w:bCs/>
        </w:rPr>
        <w:t xml:space="preserve">), dichloromethane (DCM), </w:t>
      </w:r>
      <w:r w:rsidRPr="001063B6">
        <w:rPr>
          <w:bCs/>
          <w:i/>
        </w:rPr>
        <w:t>N</w:t>
      </w:r>
      <w:r w:rsidRPr="001063B6">
        <w:rPr>
          <w:bCs/>
        </w:rPr>
        <w:t>,</w:t>
      </w:r>
      <w:r w:rsidRPr="001063B6">
        <w:rPr>
          <w:bCs/>
          <w:i/>
        </w:rPr>
        <w:t>N</w:t>
      </w:r>
      <w:r w:rsidRPr="001063B6">
        <w:rPr>
          <w:bCs/>
        </w:rPr>
        <w:t>’-dicyclohexylcarbodiimide (DCC), 3,4-dihydro-2</w:t>
      </w:r>
      <w:r w:rsidRPr="001063B6">
        <w:rPr>
          <w:bCs/>
          <w:i/>
        </w:rPr>
        <w:t>H</w:t>
      </w:r>
      <w:r w:rsidRPr="001063B6">
        <w:rPr>
          <w:bCs/>
        </w:rPr>
        <w:t xml:space="preserve">-pyran, 4-(dimethylamino)pyridine (DMAP), ethyl carbazate, hexamethylene diisocyanate (HDI), </w:t>
      </w:r>
      <w:r w:rsidRPr="001063B6">
        <w:rPr>
          <w:bCs/>
          <w:i/>
        </w:rPr>
        <w:t>trans</w:t>
      </w:r>
      <w:r w:rsidRPr="001063B6">
        <w:rPr>
          <w:bCs/>
        </w:rPr>
        <w:t>,</w:t>
      </w:r>
      <w:r w:rsidRPr="001063B6">
        <w:rPr>
          <w:bCs/>
          <w:i/>
        </w:rPr>
        <w:t>trans</w:t>
      </w:r>
      <w:r w:rsidRPr="001063B6">
        <w:rPr>
          <w:bCs/>
        </w:rPr>
        <w:t>-2,4-hexadien-1-ol (HDEO), methanesulfonyl chloride, methanol (MeOH), 4,4’-methylenebis(phenyl isocyanate) (MDI), palladium 5 wt% on carbon (Pd/C), poly(</w:t>
      </w:r>
      <m:oMath>
        <m:r>
          <w:rPr>
            <w:rFonts w:ascii="Cambria Math" w:hAnsi="Cambria Math"/>
          </w:rPr>
          <m:t>ε</m:t>
        </m:r>
      </m:oMath>
      <w:r w:rsidRPr="001063B6">
        <w:rPr>
          <w:bCs/>
        </w:rPr>
        <w:t xml:space="preserve">-caprolactone) diol 2000 g/mol (PCL2000), poly(ethylene oxide) 2000 g/mol, sodium iodide (NaI), </w:t>
      </w:r>
      <w:r w:rsidRPr="001063B6">
        <w:rPr>
          <w:i/>
          <w:iCs/>
        </w:rPr>
        <w:t>trans</w:t>
      </w:r>
      <w:r w:rsidRPr="001063B6">
        <w:t xml:space="preserve">-2-[3-(4-tert-butylphenyl)-2-methyl-2-propenylidene]malononitrile (DCTB), </w:t>
      </w:r>
      <w:r w:rsidRPr="001063B6">
        <w:rPr>
          <w:bCs/>
        </w:rPr>
        <w:t xml:space="preserve">tetrahydrofuran (THF), </w:t>
      </w:r>
      <w:r w:rsidRPr="001063B6">
        <w:rPr>
          <w:bCs/>
          <w:i/>
        </w:rPr>
        <w:t>p</w:t>
      </w:r>
      <w:r w:rsidRPr="001063B6">
        <w:rPr>
          <w:bCs/>
        </w:rPr>
        <w:t>-toluenesulfonic acid monohydrate, tin(II) 2-ethylhexanoate (SnOct</w:t>
      </w:r>
      <w:r w:rsidRPr="001063B6">
        <w:rPr>
          <w:bCs/>
          <w:vertAlign w:val="subscript"/>
        </w:rPr>
        <w:t>2</w:t>
      </w:r>
      <w:r w:rsidRPr="001063B6">
        <w:rPr>
          <w:bCs/>
        </w:rPr>
        <w:t>) and zirconium(IV) acetylacetonate (ZrAc</w:t>
      </w:r>
      <w:r w:rsidRPr="001063B6">
        <w:rPr>
          <w:bCs/>
          <w:vertAlign w:val="subscript"/>
        </w:rPr>
        <w:t>4</w:t>
      </w:r>
      <w:r w:rsidRPr="001063B6">
        <w:rPr>
          <w:bCs/>
        </w:rPr>
        <w:t>) were purchased from Sigma-Aldrich. Ammonia in methanol (7 N), bromine, 2,2-dimethoxypropane, dimethylformamide (DMF) and triethylamine (</w:t>
      </w:r>
      <w:r w:rsidRPr="001063B6">
        <w:t>Et</w:t>
      </w:r>
      <w:r w:rsidRPr="001063B6">
        <w:rPr>
          <w:vertAlign w:val="subscript"/>
        </w:rPr>
        <w:t>3</w:t>
      </w:r>
      <w:r w:rsidRPr="001063B6">
        <w:t>N</w:t>
      </w:r>
      <w:r w:rsidRPr="001063B6">
        <w:rPr>
          <w:bCs/>
        </w:rPr>
        <w:t>) were purchased from Acros Organics. 2-phenyl-1</w:t>
      </w:r>
      <w:r w:rsidRPr="001063B6">
        <w:rPr>
          <w:bCs/>
          <w:i/>
        </w:rPr>
        <w:t>H</w:t>
      </w:r>
      <w:r w:rsidRPr="001063B6">
        <w:rPr>
          <w:bCs/>
        </w:rPr>
        <w:t>-indole and trifluoroacetic acid were purchased from Alfa Aesar. Magnesium sulfate (MgSO</w:t>
      </w:r>
      <w:r w:rsidRPr="001063B6">
        <w:rPr>
          <w:bCs/>
          <w:vertAlign w:val="subscript"/>
        </w:rPr>
        <w:t>4</w:t>
      </w:r>
      <w:r w:rsidRPr="001063B6">
        <w:rPr>
          <w:bCs/>
        </w:rPr>
        <w:t>), potassium carbonate (K</w:t>
      </w:r>
      <w:r w:rsidRPr="001063B6">
        <w:rPr>
          <w:bCs/>
          <w:vertAlign w:val="subscript"/>
        </w:rPr>
        <w:t>2</w:t>
      </w:r>
      <w:r w:rsidRPr="001063B6">
        <w:rPr>
          <w:bCs/>
        </w:rPr>
        <w:t>CO</w:t>
      </w:r>
      <w:r w:rsidRPr="001063B6">
        <w:rPr>
          <w:bCs/>
          <w:vertAlign w:val="subscript"/>
        </w:rPr>
        <w:t>3</w:t>
      </w:r>
      <w:r w:rsidRPr="001063B6">
        <w:rPr>
          <w:bCs/>
        </w:rPr>
        <w:t xml:space="preserve">) and </w:t>
      </w:r>
      <w:r w:rsidRPr="001063B6">
        <w:rPr>
          <w:bCs/>
        </w:rPr>
        <w:lastRenderedPageBreak/>
        <w:t>potassium hydroxide (KOH) were purchased from Carl Roth. Hydrochloric acid (HCl, 36%) was purchased from Chem-lab. Chloroform-d (CDCl</w:t>
      </w:r>
      <w:r w:rsidRPr="001063B6">
        <w:rPr>
          <w:bCs/>
          <w:vertAlign w:val="subscript"/>
        </w:rPr>
        <w:t>3</w:t>
      </w:r>
      <w:r w:rsidRPr="001063B6">
        <w:rPr>
          <w:bCs/>
        </w:rPr>
        <w:t>) and dimethyl sulfoxide-d</w:t>
      </w:r>
      <w:r w:rsidRPr="001063B6">
        <w:rPr>
          <w:bCs/>
          <w:vertAlign w:val="subscript"/>
        </w:rPr>
        <w:t>6</w:t>
      </w:r>
      <w:r w:rsidRPr="001063B6">
        <w:rPr>
          <w:bCs/>
        </w:rPr>
        <w:t xml:space="preserve"> (DMSO-d</w:t>
      </w:r>
      <w:r w:rsidRPr="001063B6">
        <w:rPr>
          <w:bCs/>
          <w:vertAlign w:val="subscript"/>
        </w:rPr>
        <w:t>6</w:t>
      </w:r>
      <w:r w:rsidRPr="001063B6">
        <w:rPr>
          <w:bCs/>
        </w:rPr>
        <w:t xml:space="preserve">) were purchased from Euriso-top. Ethyl acetate (EtOAc, technical grade) and hexane (technical grade) were purchased from Univar. Acetone (HPLC grade) and toluene (HPLC grade) were purchased from VWR Chemicals. </w:t>
      </w:r>
      <m:oMath>
        <m:r>
          <w:rPr>
            <w:rFonts w:ascii="Cambria Math" w:hAnsi="Cambria Math"/>
          </w:rPr>
          <m:t>ε</m:t>
        </m:r>
      </m:oMath>
      <w:r w:rsidRPr="001063B6">
        <w:rPr>
          <w:bCs/>
        </w:rPr>
        <w:t>-caprolactone (</w:t>
      </w:r>
      <m:oMath>
        <m:r>
          <w:rPr>
            <w:rFonts w:ascii="Cambria Math" w:hAnsi="Cambria Math"/>
          </w:rPr>
          <m:t>ε</m:t>
        </m:r>
      </m:oMath>
      <w:r w:rsidRPr="001063B6">
        <w:rPr>
          <w:bCs/>
        </w:rPr>
        <w:t xml:space="preserve">-CL) and 1,4-diazabicyclo[2.2.2]octane (DABCO) were purchased from TCI. DMF was stored on dried molecular sieves (4 Å). </w:t>
      </w:r>
      <m:oMath>
        <m:r>
          <w:rPr>
            <w:rFonts w:ascii="Cambria Math" w:hAnsi="Cambria Math"/>
          </w:rPr>
          <m:t>ε</m:t>
        </m:r>
      </m:oMath>
      <w:r w:rsidRPr="001063B6">
        <w:rPr>
          <w:bCs/>
        </w:rPr>
        <w:t xml:space="preserve">-CL was distilled before use and stored on dried molecular sieves (4 Å). All other </w:t>
      </w:r>
      <w:r w:rsidRPr="00520475">
        <w:rPr>
          <w:bCs/>
        </w:rPr>
        <w:t>products were used as received.</w:t>
      </w:r>
      <w:r w:rsidR="00871EE6" w:rsidRPr="00520475">
        <w:rPr>
          <w:bCs/>
        </w:rPr>
        <w:t xml:space="preserve"> 5-(2-phenyl-1</w:t>
      </w:r>
      <w:r w:rsidR="00871EE6" w:rsidRPr="00520475">
        <w:rPr>
          <w:bCs/>
          <w:i/>
          <w:iCs/>
        </w:rPr>
        <w:t>H</w:t>
      </w:r>
      <w:r w:rsidR="00871EE6" w:rsidRPr="00520475">
        <w:rPr>
          <w:bCs/>
        </w:rPr>
        <w:t>-indol-3-yl)pentan-1-ol (2-Ph-indole-OH)</w:t>
      </w:r>
      <w:r w:rsidR="00962D6C" w:rsidRPr="00520475">
        <w:rPr>
          <w:bCs/>
          <w:vertAlign w:val="superscript"/>
        </w:rPr>
        <w:t>31</w:t>
      </w:r>
      <w:r w:rsidR="00871EE6" w:rsidRPr="00520475">
        <w:rPr>
          <w:bCs/>
        </w:rPr>
        <w:t>, 5-(2-phenyl-1</w:t>
      </w:r>
      <w:r w:rsidR="00871EE6" w:rsidRPr="00520475">
        <w:rPr>
          <w:bCs/>
          <w:i/>
          <w:iCs/>
        </w:rPr>
        <w:t>H</w:t>
      </w:r>
      <w:r w:rsidR="00871EE6" w:rsidRPr="00520475">
        <w:rPr>
          <w:bCs/>
        </w:rPr>
        <w:t>-indol-3-yl)pentyl methanesulfonate (2-Ph-indole-OMs)</w:t>
      </w:r>
      <w:r w:rsidR="00962D6C" w:rsidRPr="00520475">
        <w:rPr>
          <w:bCs/>
          <w:vertAlign w:val="superscript"/>
        </w:rPr>
        <w:t>31</w:t>
      </w:r>
      <w:r w:rsidR="00871EE6" w:rsidRPr="00520475">
        <w:rPr>
          <w:bCs/>
        </w:rPr>
        <w:t>, 4,4’-(4,4’-diphenylmethylene)-bis-(1,2,4- triazoline-3,5-dione) (MDI-TAD)</w:t>
      </w:r>
      <w:r w:rsidR="00962D6C" w:rsidRPr="00520475">
        <w:rPr>
          <w:bCs/>
          <w:vertAlign w:val="superscript"/>
        </w:rPr>
        <w:t>27</w:t>
      </w:r>
      <w:r w:rsidR="00962D6C" w:rsidRPr="00520475">
        <w:rPr>
          <w:bCs/>
        </w:rPr>
        <w:t xml:space="preserve">, </w:t>
      </w:r>
      <w:r w:rsidR="00871EE6" w:rsidRPr="00520475">
        <w:rPr>
          <w:bCs/>
        </w:rPr>
        <w:t>2,2,5-trimethyl-1,3-dioxane-5-carboxylic acid</w:t>
      </w:r>
      <w:r w:rsidR="00962D6C" w:rsidRPr="00520475">
        <w:rPr>
          <w:bCs/>
          <w:vertAlign w:val="superscript"/>
        </w:rPr>
        <w:t>32</w:t>
      </w:r>
      <w:r w:rsidR="00962D6C" w:rsidRPr="00520475">
        <w:rPr>
          <w:bCs/>
        </w:rPr>
        <w:t>, (2E,4E)-hexa-2,4-dien-1-yl 2,2,5-trimethyl-1,3-dioxane-5-carboxylate</w:t>
      </w:r>
      <w:r w:rsidR="00962D6C" w:rsidRPr="00520475">
        <w:rPr>
          <w:b/>
          <w:bCs/>
        </w:rPr>
        <w:t xml:space="preserve"> (</w:t>
      </w:r>
      <w:r w:rsidR="00962D6C" w:rsidRPr="00520475">
        <w:rPr>
          <w:bCs/>
        </w:rPr>
        <w:t>HDEO ketal)</w:t>
      </w:r>
      <w:r w:rsidR="00962D6C" w:rsidRPr="00520475">
        <w:rPr>
          <w:bCs/>
          <w:vertAlign w:val="superscript"/>
        </w:rPr>
        <w:t>33</w:t>
      </w:r>
      <w:r w:rsidR="00962D6C" w:rsidRPr="00520475">
        <w:rPr>
          <w:bCs/>
        </w:rPr>
        <w:t xml:space="preserve"> and (2</w:t>
      </w:r>
      <w:r w:rsidR="00962D6C" w:rsidRPr="00520475">
        <w:rPr>
          <w:bCs/>
          <w:i/>
          <w:iCs/>
        </w:rPr>
        <w:t>E</w:t>
      </w:r>
      <w:r w:rsidR="00962D6C" w:rsidRPr="00520475">
        <w:rPr>
          <w:bCs/>
        </w:rPr>
        <w:t>,4</w:t>
      </w:r>
      <w:r w:rsidR="00962D6C" w:rsidRPr="00520475">
        <w:rPr>
          <w:bCs/>
          <w:i/>
          <w:iCs/>
        </w:rPr>
        <w:t>E</w:t>
      </w:r>
      <w:r w:rsidR="00962D6C" w:rsidRPr="00520475">
        <w:rPr>
          <w:bCs/>
        </w:rPr>
        <w:t xml:space="preserve">)-hexa-2,4-dien-1-yl 2,2-bis-(hydroxymethyl)-propanoate </w:t>
      </w:r>
      <w:r w:rsidR="00962D6C" w:rsidRPr="00520475">
        <w:rPr>
          <w:b/>
          <w:bCs/>
        </w:rPr>
        <w:t>(</w:t>
      </w:r>
      <w:r w:rsidR="00962D6C" w:rsidRPr="00520475">
        <w:rPr>
          <w:bCs/>
        </w:rPr>
        <w:t>HDEO diol)</w:t>
      </w:r>
      <w:r w:rsidR="00962D6C" w:rsidRPr="00520475">
        <w:rPr>
          <w:bCs/>
          <w:vertAlign w:val="superscript"/>
        </w:rPr>
        <w:t>33</w:t>
      </w:r>
      <w:r w:rsidR="00962D6C" w:rsidRPr="00520475">
        <w:rPr>
          <w:bCs/>
        </w:rPr>
        <w:t xml:space="preserve"> </w:t>
      </w:r>
      <w:r w:rsidR="00871EE6" w:rsidRPr="00520475">
        <w:rPr>
          <w:bCs/>
        </w:rPr>
        <w:t>were synthesized according to known literature procedures and described in the Supporting Information.</w:t>
      </w:r>
    </w:p>
    <w:p w14:paraId="492CB2A4" w14:textId="7AD8FD35" w:rsidR="001063B6" w:rsidRPr="00EE1607" w:rsidRDefault="001063B6" w:rsidP="001063B6">
      <w:pPr>
        <w:pStyle w:val="TAMainText"/>
      </w:pPr>
      <w:r w:rsidRPr="00ED583F">
        <w:rPr>
          <w:b/>
        </w:rPr>
        <w:t>Synthesis of 5-(2-phenyl-1</w:t>
      </w:r>
      <w:r w:rsidRPr="00ED583F">
        <w:rPr>
          <w:b/>
          <w:i/>
          <w:iCs/>
        </w:rPr>
        <w:t>H</w:t>
      </w:r>
      <w:r w:rsidRPr="00ED583F">
        <w:rPr>
          <w:b/>
        </w:rPr>
        <w:t>-indol-3-yl)pentyl 2,2-bis-(hydroxymethyl)-propanoate (2-Ph-indole diol)</w:t>
      </w:r>
      <w:r w:rsidR="00ED583F">
        <w:rPr>
          <w:b/>
        </w:rPr>
        <w:t xml:space="preserve">. </w:t>
      </w:r>
      <w:r w:rsidRPr="001063B6">
        <w:t xml:space="preserve">2,2-bis-(hydroxymethyl)-propionic acid (17.86 g, 133 mmol, 1 eq), </w:t>
      </w:r>
      <w:r w:rsidRPr="001063B6">
        <w:rPr>
          <w:bCs/>
        </w:rPr>
        <w:t>K</w:t>
      </w:r>
      <w:r w:rsidRPr="001063B6">
        <w:rPr>
          <w:bCs/>
          <w:vertAlign w:val="subscript"/>
        </w:rPr>
        <w:t>2</w:t>
      </w:r>
      <w:r w:rsidRPr="001063B6">
        <w:rPr>
          <w:bCs/>
        </w:rPr>
        <w:t>CO</w:t>
      </w:r>
      <w:r w:rsidRPr="001063B6">
        <w:rPr>
          <w:bCs/>
          <w:vertAlign w:val="subscript"/>
        </w:rPr>
        <w:t>3</w:t>
      </w:r>
      <w:r w:rsidRPr="001063B6">
        <w:rPr>
          <w:bCs/>
        </w:rPr>
        <w:t xml:space="preserve"> </w:t>
      </w:r>
      <w:r w:rsidRPr="001063B6">
        <w:t xml:space="preserve">(20.24 g, 146 mmol, 1.1 eq) and dry DMF (400 mL) were added to a round-bottom 2-neck flask and cooled in an ice bath under inert atmosphere. To this mixture, a solution of 2-Ph-indole-OMs (47.59 g, 133 mmol, 1 eq) in dry DMF (400 mL) was added. The mixture was stirred vigorously overnight at 80 °C and the complete conversion was checked by thin layer chromatography (EtOAc:hexane 50:50). The mixture was allowed to cool down to room temperature and the salts were filtered off and washed with DMF, after which the filtrate was concentrated </w:t>
      </w:r>
      <w:r w:rsidRPr="001063B6">
        <w:rPr>
          <w:i/>
        </w:rPr>
        <w:t>in vacuo</w:t>
      </w:r>
      <w:r w:rsidRPr="001063B6">
        <w:t>. To the acquired orange-brown oil 5 vol% Et</w:t>
      </w:r>
      <w:r w:rsidRPr="001063B6">
        <w:rPr>
          <w:vertAlign w:val="subscript"/>
        </w:rPr>
        <w:t>3</w:t>
      </w:r>
      <w:r w:rsidRPr="001063B6">
        <w:t xml:space="preserve">N in EtOAc was added to a dilution of 10 m%. This mixture was placed in an ultrasonic bath for 10 min. The salts were filtered off and washed with </w:t>
      </w:r>
      <w:r w:rsidRPr="001063B6">
        <w:lastRenderedPageBreak/>
        <w:t>5 vol% Et</w:t>
      </w:r>
      <w:r w:rsidRPr="001063B6">
        <w:rPr>
          <w:vertAlign w:val="subscript"/>
        </w:rPr>
        <w:t>3</w:t>
      </w:r>
      <w:r w:rsidRPr="001063B6">
        <w:t xml:space="preserve">N in EtOAc, followed by concentration </w:t>
      </w:r>
      <w:r w:rsidRPr="001063B6">
        <w:rPr>
          <w:i/>
        </w:rPr>
        <w:t>in vacuo</w:t>
      </w:r>
      <w:r w:rsidRPr="001063B6">
        <w:t xml:space="preserve">. The crude product is purified via column chromatography (gradient EtOAc:hexane 20:80 to 50:50) to yield the pure product as a light brown oil. Yield = 90% (47.4 g). </w:t>
      </w:r>
      <m:oMath>
        <m:sSub>
          <m:sSubPr>
            <m:ctrlPr>
              <w:rPr>
                <w:rFonts w:ascii="Cambria Math" w:hAnsi="Cambria Math"/>
                <w:i/>
              </w:rPr>
            </m:ctrlPr>
          </m:sSubPr>
          <m:e>
            <m:r>
              <w:rPr>
                <w:rFonts w:ascii="Cambria Math" w:hAnsi="Cambria Math"/>
              </w:rPr>
              <m:t>M</m:t>
            </m:r>
          </m:e>
          <m:sub>
            <m:r>
              <w:rPr>
                <w:rFonts w:ascii="Cambria Math" w:hAnsi="Cambria Math"/>
              </w:rPr>
              <m:t>w</m:t>
            </m:r>
          </m:sub>
        </m:sSub>
      </m:oMath>
      <w:r w:rsidRPr="001063B6">
        <w:t xml:space="preserve"> = 395.5</w:t>
      </w:r>
      <w:r w:rsidR="008046A9">
        <w:t>0</w:t>
      </w:r>
      <w:r w:rsidRPr="001063B6">
        <w:t xml:space="preserve"> g/mol. LC-MS (m/z) = 396.1 [M</w:t>
      </w:r>
      <w:r w:rsidR="005C2965">
        <w:t>+</w:t>
      </w:r>
      <w:r w:rsidRPr="001063B6">
        <w:t>H</w:t>
      </w:r>
      <w:r w:rsidR="005C2965" w:rsidRPr="00FA51CD">
        <w:rPr>
          <w:vertAlign w:val="superscript"/>
        </w:rPr>
        <w:t>+</w:t>
      </w:r>
      <w:r w:rsidRPr="001063B6">
        <w:t xml:space="preserve">]. </w:t>
      </w:r>
      <w:r w:rsidRPr="001063B6">
        <w:rPr>
          <w:bCs/>
          <w:vertAlign w:val="superscript"/>
        </w:rPr>
        <w:t>1</w:t>
      </w:r>
      <w:r w:rsidRPr="001063B6">
        <w:rPr>
          <w:bCs/>
        </w:rPr>
        <w:t>H-NMR (400 MHz, CDCl</w:t>
      </w:r>
      <w:r w:rsidRPr="001063B6">
        <w:rPr>
          <w:bCs/>
          <w:vertAlign w:val="subscript"/>
        </w:rPr>
        <w:t>3</w:t>
      </w:r>
      <w:r w:rsidRPr="001063B6">
        <w:rPr>
          <w:bCs/>
        </w:rPr>
        <w:t xml:space="preserve">): </w:t>
      </w:r>
      <w:r w:rsidRPr="001063B6">
        <w:t xml:space="preserve">δ (ppm) = 8.05 (br.s, 1H), 7.62 (d, 1H), 7.55 (d, 2H), 7.47 (t, 2H), 7.38 (m, 2H), 7.21 (td, 1H), 7.14 (td, 1H), 4.12 (t, 2H), 3.77 (ddd, 4H), 2.91 (t, 2H), 2.75 (t, 2H), 1.76 (m, 2H), 1.63 (m, 2H), 1.42 (m, 2H), 1.01 (s, 3H). </w:t>
      </w:r>
      <w:r w:rsidRPr="001063B6">
        <w:rPr>
          <w:vertAlign w:val="superscript"/>
        </w:rPr>
        <w:t>13</w:t>
      </w:r>
      <w:r w:rsidRPr="001063B6">
        <w:t xml:space="preserve">C-NMR (100 MHz, </w:t>
      </w:r>
      <w:r w:rsidRPr="001063B6">
        <w:rPr>
          <w:bCs/>
        </w:rPr>
        <w:t>CDCl</w:t>
      </w:r>
      <w:r w:rsidRPr="001063B6">
        <w:rPr>
          <w:bCs/>
          <w:vertAlign w:val="subscript"/>
        </w:rPr>
        <w:t>3</w:t>
      </w:r>
      <w:r w:rsidRPr="001063B6">
        <w:t xml:space="preserve">): δ (ppm) = 176.12 (C), 136.04 (C), 134.39 (C), 133.55 (C), 129.31 (C), 128.98 (CH), 128.11 (CH), 127.71 (CH), 122.35 (CH), 119.64 (CH), 119.33 (CH), 113.60 (C), 110.94 </w:t>
      </w:r>
      <w:r w:rsidRPr="00520475">
        <w:t>(CH), 68.66 (CH</w:t>
      </w:r>
      <w:r w:rsidRPr="00520475">
        <w:rPr>
          <w:vertAlign w:val="subscript"/>
        </w:rPr>
        <w:t>2</w:t>
      </w:r>
      <w:r w:rsidRPr="00520475">
        <w:t>), 65.20 (CH</w:t>
      </w:r>
      <w:r w:rsidRPr="00520475">
        <w:rPr>
          <w:vertAlign w:val="subscript"/>
        </w:rPr>
        <w:t>2</w:t>
      </w:r>
      <w:r w:rsidRPr="00520475">
        <w:t>), 49.16 (C), 30.55 (CH</w:t>
      </w:r>
      <w:r w:rsidRPr="00520475">
        <w:rPr>
          <w:vertAlign w:val="subscript"/>
        </w:rPr>
        <w:t>2</w:t>
      </w:r>
      <w:r w:rsidRPr="00520475">
        <w:t>), 28.52 (CH</w:t>
      </w:r>
      <w:r w:rsidRPr="00520475">
        <w:rPr>
          <w:vertAlign w:val="subscript"/>
        </w:rPr>
        <w:t>2</w:t>
      </w:r>
      <w:r w:rsidRPr="00520475">
        <w:t>), 25.99 (CH</w:t>
      </w:r>
      <w:r w:rsidRPr="00520475">
        <w:rPr>
          <w:vertAlign w:val="subscript"/>
        </w:rPr>
        <w:t>2</w:t>
      </w:r>
      <w:r w:rsidRPr="00520475">
        <w:t>), 24.47 (CH</w:t>
      </w:r>
      <w:r w:rsidRPr="00520475">
        <w:rPr>
          <w:vertAlign w:val="subscript"/>
        </w:rPr>
        <w:t>2</w:t>
      </w:r>
      <w:r w:rsidRPr="00520475">
        <w:t>), 17.23 (CH</w:t>
      </w:r>
      <w:r w:rsidRPr="00520475">
        <w:rPr>
          <w:vertAlign w:val="subscript"/>
        </w:rPr>
        <w:t>3</w:t>
      </w:r>
      <w:r w:rsidRPr="00520475">
        <w:t>).</w:t>
      </w:r>
      <w:r w:rsidR="003A3757" w:rsidRPr="00520475">
        <w:t xml:space="preserve"> IR (solid, ATR)</w:t>
      </w:r>
      <w:r w:rsidR="00D620EA" w:rsidRPr="00520475">
        <w:t>:</w:t>
      </w:r>
      <w:r w:rsidR="00EE1607" w:rsidRPr="00520475">
        <w:t xml:space="preserve"> 3320</w:t>
      </w:r>
      <w:r w:rsidR="003A3757" w:rsidRPr="00520475">
        <w:t xml:space="preserve"> </w:t>
      </w:r>
      <w:r w:rsidR="00EE1607" w:rsidRPr="00520475">
        <w:t>(O-H</w:t>
      </w:r>
      <w:r w:rsidR="002F3B9D" w:rsidRPr="00520475">
        <w:t xml:space="preserve"> and N-H</w:t>
      </w:r>
      <w:r w:rsidR="00EE1607" w:rsidRPr="00520475">
        <w:t xml:space="preserve"> stretch), 3054, 2932, 2858, 1710, 1649</w:t>
      </w:r>
      <w:r w:rsidR="00D620EA" w:rsidRPr="00520475">
        <w:t xml:space="preserve"> (C=C stretch)</w:t>
      </w:r>
      <w:r w:rsidR="00EE1607" w:rsidRPr="00520475">
        <w:t>, 1603,</w:t>
      </w:r>
      <w:r w:rsidR="00D620EA" w:rsidRPr="00520475">
        <w:t xml:space="preserve"> 1488, 1456, 1386, 1306, 1227, 1138, 1099, 1036, 765, 741, 698, 664</w:t>
      </w:r>
      <w:r w:rsidR="00EE1607" w:rsidRPr="00520475">
        <w:t xml:space="preserve"> cm</w:t>
      </w:r>
      <w:r w:rsidR="00EE1607" w:rsidRPr="00520475">
        <w:rPr>
          <w:vertAlign w:val="superscript"/>
        </w:rPr>
        <w:t>-1</w:t>
      </w:r>
      <w:r w:rsidR="00EE1607" w:rsidRPr="00520475">
        <w:t>.</w:t>
      </w:r>
    </w:p>
    <w:p w14:paraId="268E5F21" w14:textId="2EC80EC5" w:rsidR="001063B6" w:rsidRPr="001063B6" w:rsidRDefault="001063B6" w:rsidP="00ED583F">
      <w:pPr>
        <w:pStyle w:val="TAMainText"/>
      </w:pPr>
      <w:r w:rsidRPr="00ED583F">
        <w:rPr>
          <w:b/>
        </w:rPr>
        <w:t xml:space="preserve">Synthesis of </w:t>
      </w:r>
      <w:r w:rsidR="003706F1">
        <w:rPr>
          <w:b/>
        </w:rPr>
        <w:t>p</w:t>
      </w:r>
      <w:r w:rsidRPr="00ED583F">
        <w:rPr>
          <w:b/>
        </w:rPr>
        <w:t>oly(</w:t>
      </w:r>
      <m:oMath>
        <m:r>
          <m:rPr>
            <m:sty m:val="bi"/>
          </m:rPr>
          <w:rPr>
            <w:rFonts w:ascii="Cambria Math" w:hAnsi="Cambria Math"/>
          </w:rPr>
          <m:t>ε</m:t>
        </m:r>
      </m:oMath>
      <w:r w:rsidRPr="00ED583F">
        <w:rPr>
          <w:b/>
        </w:rPr>
        <w:t>-caprolactone) diol 4000 (PCL4000)</w:t>
      </w:r>
      <w:r w:rsidR="00ED583F">
        <w:rPr>
          <w:b/>
        </w:rPr>
        <w:t xml:space="preserve">. </w:t>
      </w:r>
      <m:oMath>
        <m:r>
          <w:rPr>
            <w:rFonts w:ascii="Cambria Math" w:hAnsi="Cambria Math"/>
          </w:rPr>
          <m:t>ε</m:t>
        </m:r>
      </m:oMath>
      <w:r w:rsidRPr="001063B6">
        <w:t>-CL (70.00 g, 613 mmol, 35 eq), BDO (1.58 g, 17.5 mmol, 1 eq) and SnOct</w:t>
      </w:r>
      <w:r w:rsidRPr="001063B6">
        <w:rPr>
          <w:vertAlign w:val="subscript"/>
        </w:rPr>
        <w:t>2</w:t>
      </w:r>
      <w:r w:rsidRPr="001063B6">
        <w:t xml:space="preserve"> (0.36 g, 0.876 mmol, 0.05 eq) were added to a flame-dried round-bottom 2-neck flask. The mixture was brought under inert atmosphere and stirred 2 hours in an oil bath at 120 °C. The obtained polymer was dissolved in DCM and precipitated 3 times in cold MeOH to yield PCL4000 as a white powder. Yield = 93% (66.7 g). </w:t>
      </w:r>
      <w:r w:rsidRPr="001063B6">
        <w:rPr>
          <w:vertAlign w:val="superscript"/>
        </w:rPr>
        <w:t>1</w:t>
      </w:r>
      <w:r w:rsidRPr="001063B6">
        <w:t>H-NMR (400 MHz, CDCl</w:t>
      </w:r>
      <w:r w:rsidRPr="001063B6">
        <w:rPr>
          <w:vertAlign w:val="subscript"/>
        </w:rPr>
        <w:t>3</w:t>
      </w:r>
      <w:r w:rsidRPr="001063B6">
        <w:t xml:space="preserve">) </w:t>
      </w:r>
      <m:oMath>
        <m:r>
          <w:rPr>
            <w:rFonts w:ascii="Cambria Math" w:hAnsi="Cambria Math"/>
          </w:rPr>
          <m:t>δ</m:t>
        </m:r>
      </m:oMath>
      <w:r w:rsidRPr="001063B6">
        <w:t xml:space="preserve"> = 4.05 (t, 70H), 3.63 </w:t>
      </w:r>
      <w:r w:rsidRPr="00520475">
        <w:t xml:space="preserve">(t, 4H), 2.29 (t, 70H), 1.64 (m, 146H), 1.37 (m, 70H).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520475">
        <w:rPr>
          <w:lang w:val="nl-BE"/>
        </w:rPr>
        <w:t xml:space="preserve">(NMR) = 4060 g/mol. MALDI-TOF </w:t>
      </w:r>
      <m:oMath>
        <m:sSub>
          <m:sSubPr>
            <m:ctrlPr>
              <w:rPr>
                <w:rFonts w:ascii="Cambria Math" w:hAnsi="Cambria Math"/>
                <w:i/>
              </w:rPr>
            </m:ctrlPr>
          </m:sSubPr>
          <m:e>
            <m:r>
              <w:rPr>
                <w:rFonts w:ascii="Cambria Math" w:hAnsi="Cambria Math"/>
              </w:rPr>
              <m:t>M</m:t>
            </m:r>
          </m:e>
          <m:sub>
            <m:r>
              <w:rPr>
                <w:rFonts w:ascii="Cambria Math" w:hAnsi="Cambria Math"/>
              </w:rPr>
              <m:t>w</m:t>
            </m:r>
          </m:sub>
        </m:sSub>
      </m:oMath>
      <w:r w:rsidRPr="00520475">
        <w:rPr>
          <w:lang w:val="nl-BE"/>
        </w:rPr>
        <w:t>[PCL+Na</w:t>
      </w:r>
      <w:r w:rsidRPr="00520475">
        <w:rPr>
          <w:vertAlign w:val="superscript"/>
          <w:lang w:val="nl-BE"/>
        </w:rPr>
        <w:t>+</w:t>
      </w:r>
      <w:r w:rsidRPr="00520475">
        <w:rPr>
          <w:lang w:val="nl-BE"/>
        </w:rPr>
        <w:t xml:space="preserve">]: 3993 Da. </w:t>
      </w:r>
      <w:r w:rsidR="00A1656E" w:rsidRPr="00520475">
        <w:t xml:space="preserve">SEC </w:t>
      </w:r>
      <w:r w:rsidRPr="00520475">
        <w:t>(THF</w:t>
      </w:r>
      <w:r w:rsidR="00483733" w:rsidRPr="00520475">
        <w:t>, PS standards</w:t>
      </w:r>
      <w:r w:rsidRPr="00520475">
        <w:t xml:space="preserve">):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00483733" w:rsidRPr="00520475">
        <w:t xml:space="preserve"> = </w:t>
      </w:r>
      <w:r w:rsidR="008B29F7" w:rsidRPr="00520475">
        <w:t xml:space="preserve">10000 g/mol, </w:t>
      </w:r>
      <w:r w:rsidRPr="00520475">
        <w:t>Đ = 1.38.</w:t>
      </w:r>
    </w:p>
    <w:p w14:paraId="3AB13C65" w14:textId="4BEB6585" w:rsidR="001063B6" w:rsidRPr="001063B6" w:rsidRDefault="001063B6" w:rsidP="00ED583F">
      <w:pPr>
        <w:pStyle w:val="TAMainText"/>
      </w:pPr>
      <w:r w:rsidRPr="00ED583F">
        <w:rPr>
          <w:b/>
        </w:rPr>
        <w:t xml:space="preserve">Synthesis of </w:t>
      </w:r>
      <w:r w:rsidR="003706F1">
        <w:rPr>
          <w:b/>
        </w:rPr>
        <w:t>p</w:t>
      </w:r>
      <w:r w:rsidRPr="00ED583F">
        <w:rPr>
          <w:b/>
        </w:rPr>
        <w:t>oly(</w:t>
      </w:r>
      <m:oMath>
        <m:r>
          <m:rPr>
            <m:sty m:val="bi"/>
          </m:rPr>
          <w:rPr>
            <w:rFonts w:ascii="Cambria Math" w:hAnsi="Cambria Math"/>
          </w:rPr>
          <m:t>ε</m:t>
        </m:r>
      </m:oMath>
      <w:r w:rsidRPr="00ED583F">
        <w:rPr>
          <w:b/>
        </w:rPr>
        <w:t>-caprolactone) diol 6000 (PCL6000)</w:t>
      </w:r>
      <w:r w:rsidR="00ED583F">
        <w:rPr>
          <w:b/>
        </w:rPr>
        <w:t xml:space="preserve">. </w:t>
      </w:r>
      <w:r w:rsidRPr="001063B6">
        <w:t xml:space="preserve">Similar to procedure of PCL4000, but using 52 eq of </w:t>
      </w:r>
      <m:oMath>
        <m:r>
          <w:rPr>
            <w:rFonts w:ascii="Cambria Math" w:hAnsi="Cambria Math"/>
          </w:rPr>
          <m:t>ε</m:t>
        </m:r>
      </m:oMath>
      <w:r w:rsidRPr="001063B6">
        <w:t>-CL to yield PCL6000 as a white powder. Yield = 84% (102 g).</w:t>
      </w:r>
      <w:r w:rsidRPr="001063B6">
        <w:rPr>
          <w:vertAlign w:val="superscript"/>
        </w:rPr>
        <w:t xml:space="preserve"> 1</w:t>
      </w:r>
      <w:r w:rsidRPr="001063B6">
        <w:t>H-NMR (400 MHz, CDCl</w:t>
      </w:r>
      <w:r w:rsidRPr="001063B6">
        <w:rPr>
          <w:vertAlign w:val="subscript"/>
        </w:rPr>
        <w:t>3</w:t>
      </w:r>
      <w:r w:rsidRPr="001063B6">
        <w:t xml:space="preserve">) </w:t>
      </w:r>
      <m:oMath>
        <m:r>
          <w:rPr>
            <w:rFonts w:ascii="Cambria Math" w:hAnsi="Cambria Math"/>
          </w:rPr>
          <m:t>δ</m:t>
        </m:r>
      </m:oMath>
      <w:r w:rsidRPr="001063B6">
        <w:t xml:space="preserve"> = 4.03 (t, 104H), 3.61 (t, 4H), 2.28 (t, 104H), 1.62 (m, 214H), 1.35 (m, </w:t>
      </w:r>
      <w:r w:rsidRPr="001063B6">
        <w:lastRenderedPageBreak/>
        <w:t xml:space="preserve">104H).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7E5E9E">
        <w:rPr>
          <w:lang w:val="nl-BE"/>
        </w:rPr>
        <w:t xml:space="preserve">(NMR) = 5989 g/mol. </w:t>
      </w:r>
      <w:r w:rsidRPr="00520475">
        <w:rPr>
          <w:lang w:val="nl-BE"/>
        </w:rPr>
        <w:t xml:space="preserve">MALDI-TOF </w:t>
      </w:r>
      <m:oMath>
        <m:sSub>
          <m:sSubPr>
            <m:ctrlPr>
              <w:rPr>
                <w:rFonts w:ascii="Cambria Math" w:hAnsi="Cambria Math"/>
                <w:i/>
              </w:rPr>
            </m:ctrlPr>
          </m:sSubPr>
          <m:e>
            <m:r>
              <w:rPr>
                <w:rFonts w:ascii="Cambria Math" w:hAnsi="Cambria Math"/>
              </w:rPr>
              <m:t>M</m:t>
            </m:r>
          </m:e>
          <m:sub>
            <m:r>
              <w:rPr>
                <w:rFonts w:ascii="Cambria Math" w:hAnsi="Cambria Math"/>
              </w:rPr>
              <m:t>w</m:t>
            </m:r>
          </m:sub>
        </m:sSub>
      </m:oMath>
      <w:r w:rsidRPr="00520475">
        <w:rPr>
          <w:lang w:val="nl-BE"/>
        </w:rPr>
        <w:t>[PCL+Na</w:t>
      </w:r>
      <w:r w:rsidRPr="00520475">
        <w:rPr>
          <w:vertAlign w:val="superscript"/>
          <w:lang w:val="nl-BE"/>
        </w:rPr>
        <w:t>+</w:t>
      </w:r>
      <w:r w:rsidRPr="00520475">
        <w:rPr>
          <w:lang w:val="nl-BE"/>
        </w:rPr>
        <w:t xml:space="preserve">]: 6047 Da. </w:t>
      </w:r>
      <w:r w:rsidR="00A1656E" w:rsidRPr="00520475">
        <w:t xml:space="preserve">SEC </w:t>
      </w:r>
      <w:r w:rsidRPr="00520475">
        <w:t>(THF</w:t>
      </w:r>
      <w:r w:rsidR="008B29F7" w:rsidRPr="00520475">
        <w:t xml:space="preserve">, PS standards):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008B29F7" w:rsidRPr="00520475">
        <w:t xml:space="preserve"> = 14300 g/mol,</w:t>
      </w:r>
      <w:r w:rsidRPr="00520475">
        <w:t xml:space="preserve"> Đ = 1.35.</w:t>
      </w:r>
    </w:p>
    <w:p w14:paraId="2E56A169" w14:textId="20A283DF" w:rsidR="001063B6" w:rsidRPr="001063B6" w:rsidRDefault="001063B6" w:rsidP="00ED583F">
      <w:pPr>
        <w:pStyle w:val="TAMainText"/>
      </w:pPr>
      <w:r w:rsidRPr="00ED583F">
        <w:rPr>
          <w:b/>
        </w:rPr>
        <w:t>Synthesis of polyurethane networks (PU networks)</w:t>
      </w:r>
      <w:r w:rsidR="00ED583F">
        <w:rPr>
          <w:b/>
        </w:rPr>
        <w:t xml:space="preserve">. </w:t>
      </w:r>
      <w:r w:rsidRPr="001063B6">
        <w:t>All networks were prepared following the procedure below. Variations were made in the molecular weight of PCL (</w:t>
      </w:r>
      <m:oMath>
        <m:sSub>
          <m:sSubPr>
            <m:ctrlPr>
              <w:rPr>
                <w:rFonts w:ascii="Cambria Math" w:hAnsi="Cambria Math"/>
                <w:i/>
              </w:rPr>
            </m:ctrlPr>
          </m:sSubPr>
          <m:e>
            <m:r>
              <w:rPr>
                <w:rFonts w:ascii="Cambria Math" w:hAnsi="Cambria Math"/>
              </w:rPr>
              <m:t>M</m:t>
            </m:r>
          </m:e>
          <m:sub>
            <m:r>
              <w:rPr>
                <w:rFonts w:ascii="Cambria Math" w:hAnsi="Cambria Math"/>
              </w:rPr>
              <m:t>w,PCL</m:t>
            </m:r>
          </m:sub>
        </m:sSub>
      </m:oMath>
      <w:r w:rsidRPr="001063B6">
        <w:t>), wt% hard segment (HS), mol% crosslinker (#), mol% free indole and curing temperature. 2-Ph-indole diol was dissolved in DMF (4 mL). Next, MDI-TAD was added and the mixture was vortexed until the red color disappeared. The mixture was brought to 60 °C and PCL and BDO were added. When the PCL had completely melted, 1.05 eq HDI was added and the mixture was left to stir at 60 °C for 20 min while applying vacuum. After addition of ZrAc</w:t>
      </w:r>
      <w:r w:rsidRPr="001063B6">
        <w:rPr>
          <w:vertAlign w:val="subscript"/>
        </w:rPr>
        <w:t>4</w:t>
      </w:r>
      <w:r w:rsidRPr="001063B6">
        <w:t xml:space="preserve">, the reaction mixture was vortexed for 10 s and poured into a preheated mold. The network was allowed to cure for 2 days, followed by soxhlet extraction (48 h) with acetone and overnight drying under vacuum (40 °C). Each network was left at ambient conditions for at least 1 day before characterization. The compositions of the first batch of PU networks (cf. </w:t>
      </w:r>
      <w:r w:rsidR="00704D0C">
        <w:t>Table 1</w:t>
      </w:r>
      <w:r w:rsidRPr="001063B6">
        <w:t>: PU-1 until PU-11) were chosen following a common 3-level design of experiments (DoE) scheme.</w:t>
      </w:r>
      <w:r w:rsidR="009F18C7">
        <w:rPr>
          <w:vertAlign w:val="superscript"/>
        </w:rPr>
        <w:t>3</w:t>
      </w:r>
      <w:r w:rsidR="00677FAB">
        <w:rPr>
          <w:vertAlign w:val="superscript"/>
        </w:rPr>
        <w:t>4</w:t>
      </w:r>
      <w:r w:rsidRPr="001063B6">
        <w:t xml:space="preserve"> The design outline for 5 factors is given in Table S1. Next, the best performing PU networks were chosen to create a new batch of optimized PU networks PU-</w:t>
      </w:r>
      <w:r w:rsidRPr="001063B6">
        <w:rPr>
          <w:i/>
        </w:rPr>
        <w:t>X</w:t>
      </w:r>
      <w:r w:rsidRPr="001063B6">
        <w:t>-</w:t>
      </w:r>
      <w:r w:rsidRPr="001063B6">
        <w:rPr>
          <w:i/>
        </w:rPr>
        <w:t>Y</w:t>
      </w:r>
      <w:r w:rsidRPr="001063B6">
        <w:t xml:space="preserve">, with </w:t>
      </w:r>
      <w:r w:rsidRPr="001063B6">
        <w:rPr>
          <w:i/>
        </w:rPr>
        <w:t>X</w:t>
      </w:r>
      <w:r w:rsidRPr="001063B6">
        <w:t xml:space="preserve"> the HS content (wt%) and </w:t>
      </w:r>
      <w:r w:rsidRPr="001063B6">
        <w:rPr>
          <w:i/>
        </w:rPr>
        <w:t>Y</w:t>
      </w:r>
      <w:r w:rsidRPr="001063B6">
        <w:t xml:space="preserve"> the free indole content (mol%). Reference polyurethane networks were prepared using HDEO diol instead of 2-Ph-indole diol.</w:t>
      </w:r>
    </w:p>
    <w:p w14:paraId="5CA0233E" w14:textId="77777777" w:rsidR="00ED583F" w:rsidRDefault="001063B6" w:rsidP="001063B6">
      <w:pPr>
        <w:pStyle w:val="TAMainText"/>
      </w:pPr>
      <w:r w:rsidRPr="00ED583F">
        <w:rPr>
          <w:b/>
        </w:rPr>
        <w:t>Methods</w:t>
      </w:r>
      <w:r w:rsidR="00ED583F" w:rsidRPr="00ED583F">
        <w:rPr>
          <w:b/>
        </w:rPr>
        <w:t>.</w:t>
      </w:r>
      <w:r w:rsidR="00ED583F">
        <w:t xml:space="preserve"> </w:t>
      </w:r>
      <w:r w:rsidRPr="001063B6">
        <w:t xml:space="preserve">Thermogravimetric analyses (TGA) were performed on a Mettler Toledo TGA/SDTA 851e in a temperature window of 25 to 800 °C at a heating rate of 10 °C/min under nitrogen atmosphere. </w:t>
      </w:r>
    </w:p>
    <w:p w14:paraId="4D6C20CF" w14:textId="77777777" w:rsidR="00ED583F" w:rsidRDefault="001063B6" w:rsidP="001063B6">
      <w:pPr>
        <w:pStyle w:val="TAMainText"/>
      </w:pPr>
      <w:r w:rsidRPr="001063B6">
        <w:lastRenderedPageBreak/>
        <w:t xml:space="preserve">Differential scanning calorimetry (DSC) was performed on a Mettler Toledo DSC 1 equipped with a liquid nitrogen cooling system in a temperature window of -100 °C to 150 °C at a rate of 10 °C/min. Aluminum crucible (40 µL) and lids were used to analyze a ± 5 mg sample. </w:t>
      </w:r>
    </w:p>
    <w:p w14:paraId="3B14D7C5" w14:textId="07CD2FB4" w:rsidR="007C77F8" w:rsidRPr="00520475" w:rsidRDefault="001063B6" w:rsidP="001063B6">
      <w:pPr>
        <w:pStyle w:val="TAMainText"/>
      </w:pPr>
      <w:r w:rsidRPr="001063B6">
        <w:t xml:space="preserve">Nuclear magnetic resonance (NMR) spectra were recorded on a Bruker Avance 300 (300 MHz) or Bruker Avance 400 (400 MHz) </w:t>
      </w:r>
      <w:r w:rsidRPr="00520475">
        <w:t>NMR spectrometer.</w:t>
      </w:r>
    </w:p>
    <w:p w14:paraId="65ABC556" w14:textId="5A852B1D" w:rsidR="00A1656E" w:rsidRPr="00520475" w:rsidRDefault="00A1656E" w:rsidP="00A1656E">
      <w:pPr>
        <w:pStyle w:val="TAMainText"/>
        <w:rPr>
          <w:lang w:val="nl-BE"/>
        </w:rPr>
      </w:pPr>
      <w:r w:rsidRPr="00520475">
        <w:rPr>
          <w:rFonts w:hint="eastAsia"/>
        </w:rPr>
        <w:t xml:space="preserve">Size Exclusion Chromatography (SEC) </w:t>
      </w:r>
      <w:r w:rsidRPr="00520475">
        <w:t xml:space="preserve">with THF as solvent was performed using a Varian PLGPC50plus instrument, using a refractive index detector, equipped with two Plgel 5 </w:t>
      </w:r>
      <w:r w:rsidRPr="00520475">
        <w:rPr>
          <w:lang w:val="nl-BE"/>
        </w:rPr>
        <w:t>μ</w:t>
      </w:r>
      <w:r w:rsidRPr="00520475">
        <w:t xml:space="preserve">m MIXED-D columns 40 °C. Polystyrene standards were used for calibration and THF as eluent at a flow rate of 1 mL/min. </w:t>
      </w:r>
      <w:r w:rsidRPr="00520475">
        <w:rPr>
          <w:lang w:val="nl-BE"/>
        </w:rPr>
        <w:t xml:space="preserve">Samples were injected using a PL AS RT autosampler. </w:t>
      </w:r>
    </w:p>
    <w:p w14:paraId="7A8F14F3" w14:textId="121654CF" w:rsidR="00ED583F" w:rsidRDefault="007C77F8" w:rsidP="001063B6">
      <w:pPr>
        <w:pStyle w:val="TAMainText"/>
      </w:pPr>
      <w:r w:rsidRPr="00520475">
        <w:t>Infrared (IR) spectra were collected using a Perkin–Elmer Spectrum1000 FTIR infrared spectrometer with a diamond ATR probe from 4000 to 600 cm</w:t>
      </w:r>
      <w:r w:rsidRPr="00520475">
        <w:rPr>
          <w:vertAlign w:val="superscript"/>
        </w:rPr>
        <w:t>-1</w:t>
      </w:r>
      <w:r w:rsidRPr="00520475">
        <w:t>.</w:t>
      </w:r>
      <w:r w:rsidRPr="007C77F8">
        <w:t xml:space="preserve"> </w:t>
      </w:r>
    </w:p>
    <w:p w14:paraId="172EF5C9" w14:textId="77777777" w:rsidR="00ED583F" w:rsidRDefault="001063B6" w:rsidP="001063B6">
      <w:pPr>
        <w:pStyle w:val="TAMainText"/>
      </w:pPr>
      <w:r w:rsidRPr="001063B6">
        <w:t xml:space="preserve">Rheology experiments were performed on an Anton Paar MCR 302. The experiments were performed in parallel plate geometry using 8 mm sample disks. Unless specified, the experiments were performed using a normal force of 5 N, a frequency of 1 Hz and a strain of 1%. For strain sweep experiments, the strain was varied from 0.01 to 100%. For frequency sweep experiments, the frequency was varied from 100 to 0.001 Hz. For stress relaxation experiments, a strain of 10% was applied to the material and the relaxation modulus was followed over time at a constant temperature. The applied strain of 10% was at the border of the LVE region at the elevated temperatures that were used during the measurements. Prestrains of 5% were applied during 100 seconds prior to the measurement. For the temperature sweep measurement, the temperature was varied from 30 to 140 °C within 15 minutes and kept for 5 minutes at 140 °C before returning to the starting temperature. This cycle was performed twice. </w:t>
      </w:r>
    </w:p>
    <w:p w14:paraId="7F209ABA" w14:textId="77777777" w:rsidR="00ED583F" w:rsidRDefault="001063B6" w:rsidP="001063B6">
      <w:pPr>
        <w:pStyle w:val="TAMainText"/>
      </w:pPr>
      <w:r w:rsidRPr="001063B6">
        <w:t xml:space="preserve">Stress-strain measurements were performed on a Tinius-Olsen H10KT tensile tester equipped with a 5000 N load cell using ASTM standard type IV dog bones (ISO 527-2-2B). The dog bone shaped samples had an effective gauge length of 12 mm, a width of 2 mm and a thickness of ± 2 mm and they were cut using a Ray-Ran hand operated cutting press. The tensile measurements were performed using a preload of 0.05 N and a pulling speed of 10 mm/min until sample failure. The stress </w:t>
      </w:r>
      <m:oMath>
        <m:r>
          <w:rPr>
            <w:rFonts w:ascii="Cambria Math" w:hAnsi="Cambria Math"/>
          </w:rPr>
          <m:t>σ</m:t>
        </m:r>
      </m:oMath>
      <w:r w:rsidRPr="001063B6">
        <w:t xml:space="preserve"> was recorded as a function of strain </w:t>
      </w:r>
      <m:oMath>
        <m:r>
          <w:rPr>
            <w:rFonts w:ascii="Cambria Math" w:hAnsi="Cambria Math"/>
          </w:rPr>
          <m:t>ε</m:t>
        </m:r>
      </m:oMath>
      <w:r w:rsidRPr="001063B6">
        <w:t xml:space="preserve">. </w:t>
      </w:r>
    </w:p>
    <w:p w14:paraId="52122E8E" w14:textId="5E2AC4E6" w:rsidR="00ED583F" w:rsidRDefault="001063B6" w:rsidP="001063B6">
      <w:pPr>
        <w:pStyle w:val="TAMainText"/>
      </w:pPr>
      <w:r w:rsidRPr="001063B6">
        <w:t>Healing efficiency experiments were performed using the same equipment and samples as described above for regular stress-strain measurements. A set of 8 dog bones were used, from which 4 were cut through the middle using a razor blade and 4 were kept intact. To create a mold, dog bone shapes were cut from a silic</w:t>
      </w:r>
      <w:r w:rsidR="00704D0C">
        <w:t xml:space="preserve">on spacer with a thickness of ± </w:t>
      </w:r>
      <w:r w:rsidRPr="001063B6">
        <w:t xml:space="preserve">2 mm, which matched the thickness of the examined samples. The 4 reference dog bones and 4 cut dog bones were placed in the designed mold, placed between two steel plates and kept at 120 °C for 1 hour, while applying a slight pressure (0.5 bar). </w:t>
      </w:r>
    </w:p>
    <w:p w14:paraId="37E70847" w14:textId="29D08A7E" w:rsidR="00ED583F" w:rsidRDefault="001063B6" w:rsidP="001063B6">
      <w:pPr>
        <w:pStyle w:val="TAMainText"/>
      </w:pPr>
      <w:r w:rsidRPr="001063B6">
        <w:t>Cyclic shape-memory experiments were performed on a Tinius-Olsen H10KT tensile tester, equipped with a 100 N load cell and an environmental chamber, controlled by a SOLO2 temperature controller and linked to a liquid nitrogen Dewar. During the stress-controlled cyclic measurements, dog bone shaped samples were heated to 70 °C and stretched to ±</w:t>
      </w:r>
      <w:r w:rsidR="00704D0C">
        <w:t xml:space="preserve"> </w:t>
      </w:r>
      <w:r w:rsidRPr="001063B6">
        <w:t xml:space="preserve">50% strain. The stress was registered and kept constant, while lowering the temperature to 20 °C and equilibrating for 20 min. After this stage, the residual stress was unloaded and a fixity ratio was determined. Next, the temperature was again increased to 70 °C, the sample was allowed to recover its original shape and a recovery ratio was determined after 15 min. This procedure was repeated 3 times for each experiment. </w:t>
      </w:r>
    </w:p>
    <w:p w14:paraId="5910917C" w14:textId="77777777" w:rsidR="00ED583F" w:rsidRDefault="001063B6" w:rsidP="001063B6">
      <w:pPr>
        <w:pStyle w:val="TAMainText"/>
      </w:pPr>
      <w:r w:rsidRPr="001063B6">
        <w:t xml:space="preserve">Optical microscopy images were obtained with an Olympus BH-2, equipped with a Canon EOS 1100D, using 2x and 5x objectives. </w:t>
      </w:r>
    </w:p>
    <w:p w14:paraId="7907F91B" w14:textId="77777777" w:rsidR="00ED583F" w:rsidRDefault="001063B6" w:rsidP="001063B6">
      <w:pPr>
        <w:pStyle w:val="TAMainText"/>
      </w:pPr>
      <w:r w:rsidRPr="001063B6">
        <w:t xml:space="preserve">Scanning electron microscopy (SEM) was performed using a Phenom Pro desktop SEM. Samples were secured on the sample holder with carbon tape. </w:t>
      </w:r>
    </w:p>
    <w:p w14:paraId="291E21D7" w14:textId="77777777" w:rsidR="00ED583F" w:rsidRDefault="001063B6" w:rsidP="001063B6">
      <w:pPr>
        <w:pStyle w:val="TAMainText"/>
      </w:pPr>
      <w:r w:rsidRPr="001063B6">
        <w:t xml:space="preserve">Recycling experiments were performed by grinding the materials with a IKA A 10 basic batch mill. The obtained granulates were transferred to a mold and compression molded at 120 °C for 30 minutes. After cooling, the samples were demolded and stress-strain measurements were performed as previously described. </w:t>
      </w:r>
    </w:p>
    <w:p w14:paraId="74CDB5DB" w14:textId="15A9D2B6" w:rsidR="008B5A27" w:rsidRDefault="001063B6" w:rsidP="005F020C">
      <w:pPr>
        <w:pStyle w:val="TAMainText"/>
        <w:rPr>
          <w:b/>
        </w:rPr>
      </w:pPr>
      <w:r w:rsidRPr="001063B6">
        <w:rPr>
          <w:bCs/>
        </w:rPr>
        <w:t>Matrix Assisted Laser Desorption Ionization – Time of Flight (MALDI-TOF)</w:t>
      </w:r>
      <w:r w:rsidRPr="001063B6">
        <w:t xml:space="preserve"> for polymer characterization was performed on an Applied Biosystems Voyager De STR MALDI-TOF spectrometer equipped with 2 m linear and 3 m reflector flight tubes, a nitrogen laser operating at 337 nm, pulsed ion extraction source and reflectron. All mass spectra were obtained with an accelerating potential of 20 kV in positive ion mode and in reflector mode. For measurement of PCL, </w:t>
      </w:r>
      <w:r w:rsidRPr="001063B6">
        <w:rPr>
          <w:i/>
          <w:iCs/>
        </w:rPr>
        <w:t>trans</w:t>
      </w:r>
      <w:r w:rsidRPr="001063B6">
        <w:t>-2-[3-(4-tert-butylphenyl)-2-methyl-2-propenylidene]malononitrile (DCTB) (20 mg/mL in THF) was used as a matrix, NaI (1 mg/mL in THF) was used as a cationizing agent, and polymer samples were dissolved in THF (2 mg/mL). Polymer solutions were prepared by mixing 10 μL of the matrix, 5 μL of the salt, and 5 μL of the polymer solution. Subsequently, 0.5 μL of this mixture was spotted on the sample plate, and the spots were dried in air at room temperature. A poly(ethylene oxide) standard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00704D0C">
        <w:t xml:space="preserve"> </w:t>
      </w:r>
      <w:r w:rsidRPr="001063B6">
        <w:t>= 2000 g/mol) was used for calibration. All data were processed using the Data Explorer 4.0.0.0 (Applied Biosystems) software package.</w:t>
      </w:r>
    </w:p>
    <w:p w14:paraId="66D3B657" w14:textId="77777777" w:rsidR="008B5A27" w:rsidRDefault="008B5A27" w:rsidP="0080605D">
      <w:pPr>
        <w:pStyle w:val="TAMainText"/>
        <w:rPr>
          <w:b/>
        </w:rPr>
      </w:pPr>
    </w:p>
    <w:p w14:paraId="054BAE3A" w14:textId="2924E538" w:rsidR="0080605D" w:rsidRPr="003C284C" w:rsidRDefault="0080605D" w:rsidP="003C284C">
      <w:pPr>
        <w:pStyle w:val="TAMainText"/>
        <w:rPr>
          <w:b/>
        </w:rPr>
      </w:pPr>
      <w:r w:rsidRPr="0080605D">
        <w:rPr>
          <w:b/>
        </w:rPr>
        <w:t>Results and Discussion</w:t>
      </w:r>
    </w:p>
    <w:p w14:paraId="225A2F58" w14:textId="40217B95" w:rsidR="0080605D" w:rsidRPr="0080605D" w:rsidRDefault="0080605D" w:rsidP="00ED75FC">
      <w:pPr>
        <w:pStyle w:val="TAMainText"/>
      </w:pPr>
      <w:r w:rsidRPr="0080605D">
        <w:rPr>
          <w:b/>
        </w:rPr>
        <w:t>TAD-indole crosslinked PU</w:t>
      </w:r>
      <w:r w:rsidR="003C284C">
        <w:rPr>
          <w:b/>
        </w:rPr>
        <w:t xml:space="preserve">. </w:t>
      </w:r>
      <w:r w:rsidRPr="0080605D">
        <w:t xml:space="preserve">Each polyurethane was synthesized following the strategy depicted in </w:t>
      </w:r>
      <w:r w:rsidR="007E5E9E">
        <w:t xml:space="preserve">Scheme </w:t>
      </w:r>
      <w:r w:rsidR="00B10EE1">
        <w:t>1</w:t>
      </w:r>
      <w:r w:rsidRPr="0080605D">
        <w:t xml:space="preserve">. First, a tetrafunctional crosslinker was prepared by reaction of the red </w:t>
      </w:r>
      <w:r w:rsidR="00B10EE1" w:rsidRPr="0080605D">
        <w:t>colored</w:t>
      </w:r>
      <w:r w:rsidRPr="0080605D">
        <w:t>, bisfunctional MDI-TAD with 2-Ph-indole diol. This click reaction was immediately followed by the addition of polyol, diisocyanate (HDI) and catalyst (ZrAc</w:t>
      </w:r>
      <w:r w:rsidRPr="0080605D">
        <w:rPr>
          <w:vertAlign w:val="subscript"/>
        </w:rPr>
        <w:t>4</w:t>
      </w:r>
      <w:r w:rsidRPr="0080605D">
        <w:t xml:space="preserve">) to yield the desired PU network. As the variation of numerous parameters to evaluate the full range of possible PU networks is a quite </w:t>
      </w:r>
      <w:r w:rsidR="004819D6" w:rsidRPr="0080605D">
        <w:t>labor-intensive</w:t>
      </w:r>
      <w:r w:rsidRPr="0080605D">
        <w:t xml:space="preserve"> task, 5 variables (with 3 levels) that can have an influence on the shape-memory and healing capabilities of the networks have been chosen, i.e. the molecular weight of PCL diol (2000-4000-6000 g/mol), the amount of hard segment (35-50-65 wt%), crosslinker content (5-10-15 mol%), free indole content (20-35-50 mol%) and the curing temperature (70-80-90 °C). Here, ‘free indole’ is defined as the indole functional groups that were added in excess and thus remained available within the matrix to allow exchange of the TAD-indole adduct. Although the exact mechanism is not clear yet, it is believed that the proximity of a suitable reaction partner (i.e. free indole) is required to allow the TAD transclick reaction from one adduct to another.</w:t>
      </w:r>
      <w:r w:rsidR="004819D6" w:rsidRPr="004819D6">
        <w:rPr>
          <w:vertAlign w:val="superscript"/>
        </w:rPr>
        <w:t>2</w:t>
      </w:r>
      <w:r w:rsidR="009F18C7">
        <w:rPr>
          <w:vertAlign w:val="superscript"/>
        </w:rPr>
        <w:t>9</w:t>
      </w:r>
      <w:r w:rsidRPr="0080605D">
        <w:t xml:space="preserve"> The combination of fast reaction rates and thermodynamic preference towards the adduct ensures conservation of the crosslinks, and thus structural integrity.</w:t>
      </w:r>
    </w:p>
    <w:p w14:paraId="6B7F2E80" w14:textId="4D431724" w:rsidR="00D05B2E" w:rsidRDefault="0080605D" w:rsidP="008B5A27">
      <w:pPr>
        <w:pStyle w:val="TAMainText"/>
      </w:pPr>
      <w:r w:rsidRPr="0080605D">
        <w:t xml:space="preserve">To reduce the number of experiments that are needed to screen the PU networks for optimal properties, a 3-level design of experiments (DoE) was created. An overview of the first set of performed experiments (PU-1 until PU-11) and their composition is given in the top part of </w:t>
      </w:r>
      <w:r w:rsidR="004819D6">
        <w:t>Table 1</w:t>
      </w:r>
      <w:r w:rsidRPr="0080605D">
        <w:t>. Next, each polyurethane was evaluated by performing cyclic shape-memory and healing efficiency experiments. Here, a good shape-memory property reflects the ability to close the suffered damage, while a good healing efficiency indicates sufficient reversible bond exchange to restore the mechanical properties.</w:t>
      </w:r>
    </w:p>
    <w:p w14:paraId="588F3561" w14:textId="77777777" w:rsidR="00D05B2E" w:rsidRPr="0080605D" w:rsidRDefault="00D05B2E" w:rsidP="0080605D">
      <w:pPr>
        <w:pStyle w:val="TAMainText"/>
      </w:pPr>
    </w:p>
    <w:p w14:paraId="06ED8A3C" w14:textId="1480CECC" w:rsidR="0080605D" w:rsidRPr="0080605D" w:rsidRDefault="0080605D" w:rsidP="006A795F">
      <w:pPr>
        <w:pStyle w:val="VDTableTitle"/>
      </w:pPr>
      <w:bookmarkStart w:id="1" w:name="_Ref495227962"/>
      <w:r w:rsidRPr="0080605D">
        <w:t xml:space="preserve">Table </w:t>
      </w:r>
      <w:bookmarkEnd w:id="1"/>
      <w:r w:rsidR="00BC552C">
        <w:t>1</w:t>
      </w:r>
      <w:r w:rsidRPr="0080605D">
        <w:t xml:space="preserve">: Composition of produced PU networks with results of cyclic shape-memory and healing efficiency experiments. Top: original set of experiments according to DoE (PU-1 </w:t>
      </w:r>
      <w:r w:rsidR="00D05B2E">
        <w:t>to</w:t>
      </w:r>
      <w:r w:rsidR="00D05B2E" w:rsidRPr="0080605D">
        <w:t xml:space="preserve"> </w:t>
      </w:r>
      <w:r w:rsidRPr="0080605D">
        <w:t xml:space="preserve">PU-11). Bottom: additional experiments towards optimization of PU networks (PU-50-20 </w:t>
      </w:r>
      <w:r w:rsidR="00D05B2E">
        <w:t>to</w:t>
      </w:r>
      <w:r w:rsidR="00D05B2E" w:rsidRPr="0080605D">
        <w:t xml:space="preserve"> </w:t>
      </w:r>
      <w:r w:rsidRPr="0080605D">
        <w:t xml:space="preserve">PU-65-50). </w:t>
      </w:r>
    </w:p>
    <w:tbl>
      <w:tblPr>
        <w:tblStyle w:val="Tabelraster"/>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21"/>
        <w:gridCol w:w="705"/>
        <w:gridCol w:w="680"/>
        <w:gridCol w:w="737"/>
        <w:gridCol w:w="737"/>
        <w:gridCol w:w="510"/>
        <w:gridCol w:w="667"/>
        <w:gridCol w:w="666"/>
        <w:gridCol w:w="667"/>
        <w:gridCol w:w="667"/>
        <w:gridCol w:w="666"/>
        <w:gridCol w:w="667"/>
        <w:gridCol w:w="667"/>
      </w:tblGrid>
      <w:tr w:rsidR="0080605D" w:rsidRPr="003C3195" w14:paraId="07EA682D" w14:textId="77777777" w:rsidTr="007E5E9E">
        <w:trPr>
          <w:trHeight w:val="170"/>
        </w:trPr>
        <w:tc>
          <w:tcPr>
            <w:tcW w:w="1021" w:type="dxa"/>
            <w:tcBorders>
              <w:top w:val="single" w:sz="4" w:space="0" w:color="auto"/>
            </w:tcBorders>
          </w:tcPr>
          <w:p w14:paraId="61DCDEF6" w14:textId="77777777" w:rsidR="0080605D" w:rsidRPr="008B5A27" w:rsidRDefault="0080605D" w:rsidP="008B5A27">
            <w:pPr>
              <w:pStyle w:val="TCTableBody"/>
              <w:rPr>
                <w:sz w:val="20"/>
                <w:lang w:val="nl-NL"/>
              </w:rPr>
            </w:pPr>
            <w:r w:rsidRPr="008B5A27">
              <w:rPr>
                <w:sz w:val="20"/>
                <w:lang w:val="nl-NL"/>
              </w:rPr>
              <w:t>Sample</w:t>
            </w:r>
          </w:p>
        </w:tc>
        <w:tc>
          <w:tcPr>
            <w:tcW w:w="705" w:type="dxa"/>
            <w:tcBorders>
              <w:top w:val="single" w:sz="4" w:space="0" w:color="auto"/>
            </w:tcBorders>
          </w:tcPr>
          <w:p w14:paraId="716261ED" w14:textId="11075D8A" w:rsidR="0080605D" w:rsidRPr="008B5A27" w:rsidRDefault="00E72DE5" w:rsidP="008B5A27">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M</m:t>
                    </m:r>
                  </m:e>
                  <m:sub>
                    <m:r>
                      <w:rPr>
                        <w:rFonts w:ascii="Cambria Math" w:hAnsi="Cambria Math"/>
                        <w:sz w:val="20"/>
                        <w:lang w:val="nl-NL"/>
                      </w:rPr>
                      <m:t>w</m:t>
                    </m:r>
                    <m:r>
                      <m:rPr>
                        <m:sty m:val="p"/>
                      </m:rPr>
                      <w:rPr>
                        <w:rFonts w:ascii="Cambria Math" w:hAnsi="Cambria Math"/>
                        <w:sz w:val="20"/>
                        <w:lang w:val="nl-NL"/>
                      </w:rPr>
                      <m:t>,</m:t>
                    </m:r>
                    <m:r>
                      <w:rPr>
                        <w:rFonts w:ascii="Cambria Math" w:hAnsi="Cambria Math"/>
                        <w:sz w:val="20"/>
                        <w:lang w:val="nl-NL"/>
                      </w:rPr>
                      <m:t>PCL</m:t>
                    </m:r>
                  </m:sub>
                </m:sSub>
              </m:oMath>
            </m:oMathPara>
          </w:p>
        </w:tc>
        <w:tc>
          <w:tcPr>
            <w:tcW w:w="680" w:type="dxa"/>
            <w:tcBorders>
              <w:top w:val="single" w:sz="4" w:space="0" w:color="auto"/>
            </w:tcBorders>
          </w:tcPr>
          <w:p w14:paraId="6653A3C7" w14:textId="629C3133" w:rsidR="0080605D" w:rsidRPr="008B5A27" w:rsidRDefault="0080605D" w:rsidP="008B5A27">
            <w:pPr>
              <w:pStyle w:val="TCTableBody"/>
              <w:jc w:val="center"/>
              <w:rPr>
                <w:sz w:val="20"/>
                <w:lang w:val="nl-NL"/>
              </w:rPr>
            </w:pPr>
            <w:r w:rsidRPr="008B5A27">
              <w:rPr>
                <w:sz w:val="20"/>
                <w:lang w:val="nl-NL"/>
              </w:rPr>
              <w:t>HS</w:t>
            </w:r>
          </w:p>
        </w:tc>
        <w:tc>
          <w:tcPr>
            <w:tcW w:w="737" w:type="dxa"/>
            <w:tcBorders>
              <w:top w:val="single" w:sz="4" w:space="0" w:color="auto"/>
            </w:tcBorders>
          </w:tcPr>
          <w:p w14:paraId="31BEEBAD" w14:textId="1D1868F7" w:rsidR="0080605D" w:rsidRPr="008B5A27" w:rsidRDefault="0080605D" w:rsidP="008B5A27">
            <w:pPr>
              <w:pStyle w:val="TCTableBody"/>
              <w:jc w:val="center"/>
              <w:rPr>
                <w:sz w:val="20"/>
                <w:lang w:val="nl-NL"/>
              </w:rPr>
            </w:pPr>
            <w:r w:rsidRPr="008B5A27">
              <w:rPr>
                <w:sz w:val="20"/>
                <w:lang w:val="nl-NL"/>
              </w:rPr>
              <w:t>#</w:t>
            </w:r>
          </w:p>
        </w:tc>
        <w:tc>
          <w:tcPr>
            <w:tcW w:w="737" w:type="dxa"/>
            <w:tcBorders>
              <w:top w:val="single" w:sz="4" w:space="0" w:color="auto"/>
            </w:tcBorders>
          </w:tcPr>
          <w:p w14:paraId="04641249" w14:textId="4C7F93BC" w:rsidR="0080605D" w:rsidRPr="008B5A27" w:rsidRDefault="0080605D" w:rsidP="008B5A27">
            <w:pPr>
              <w:pStyle w:val="TCTableBody"/>
              <w:jc w:val="center"/>
              <w:rPr>
                <w:sz w:val="20"/>
                <w:lang w:val="nl-NL"/>
              </w:rPr>
            </w:pPr>
            <w:r w:rsidRPr="008B5A27">
              <w:rPr>
                <w:sz w:val="20"/>
                <w:lang w:val="nl-NL"/>
              </w:rPr>
              <w:t>Indole</w:t>
            </w:r>
          </w:p>
        </w:tc>
        <w:tc>
          <w:tcPr>
            <w:tcW w:w="510" w:type="dxa"/>
            <w:tcBorders>
              <w:top w:val="single" w:sz="4" w:space="0" w:color="auto"/>
            </w:tcBorders>
          </w:tcPr>
          <w:p w14:paraId="0E1E241C" w14:textId="77777777" w:rsidR="0080605D" w:rsidRPr="008B5A27" w:rsidRDefault="0080605D" w:rsidP="008B5A27">
            <w:pPr>
              <w:pStyle w:val="TCTableBody"/>
              <w:jc w:val="center"/>
              <w:rPr>
                <w:sz w:val="20"/>
                <w:lang w:val="nl-NL"/>
              </w:rPr>
            </w:pPr>
            <w:r w:rsidRPr="008B5A27">
              <w:rPr>
                <w:sz w:val="20"/>
                <w:lang w:val="nl-NL"/>
              </w:rPr>
              <w:t>T</w:t>
            </w:r>
          </w:p>
        </w:tc>
        <w:tc>
          <w:tcPr>
            <w:tcW w:w="2000" w:type="dxa"/>
            <w:gridSpan w:val="3"/>
            <w:tcBorders>
              <w:top w:val="single" w:sz="4" w:space="0" w:color="auto"/>
            </w:tcBorders>
          </w:tcPr>
          <w:p w14:paraId="355BF261" w14:textId="166E3073" w:rsidR="0080605D" w:rsidRPr="008B5A27" w:rsidRDefault="00E72DE5" w:rsidP="008B5A27">
            <w:pPr>
              <w:pStyle w:val="TCTableBody"/>
              <w:jc w:val="center"/>
              <w:rPr>
                <w:sz w:val="20"/>
                <w:lang w:val="nl-NL"/>
              </w:rPr>
            </w:pPr>
            <m:oMath>
              <m:sSub>
                <m:sSubPr>
                  <m:ctrlPr>
                    <w:rPr>
                      <w:rFonts w:ascii="Cambria Math" w:hAnsi="Cambria Math"/>
                      <w:sz w:val="20"/>
                      <w:lang w:val="nl-NL"/>
                    </w:rPr>
                  </m:ctrlPr>
                </m:sSubPr>
                <m:e>
                  <m:r>
                    <w:rPr>
                      <w:rFonts w:ascii="Cambria Math" w:hAnsi="Cambria Math"/>
                      <w:sz w:val="20"/>
                      <w:lang w:val="nl-NL"/>
                    </w:rPr>
                    <m:t>R</m:t>
                  </m:r>
                </m:e>
                <m:sub>
                  <m:r>
                    <w:rPr>
                      <w:rFonts w:ascii="Cambria Math" w:hAnsi="Cambria Math"/>
                      <w:sz w:val="20"/>
                      <w:lang w:val="nl-NL"/>
                    </w:rPr>
                    <m:t>f</m:t>
                  </m:r>
                </m:sub>
              </m:sSub>
              <m:r>
                <m:rPr>
                  <m:sty m:val="p"/>
                </m:rPr>
                <w:rPr>
                  <w:rFonts w:ascii="Cambria Math" w:hAnsi="Cambria Math"/>
                  <w:sz w:val="20"/>
                  <w:lang w:val="nl-NL"/>
                </w:rPr>
                <m:t xml:space="preserve"> </m:t>
              </m:r>
            </m:oMath>
            <w:r w:rsidR="0080605D" w:rsidRPr="008B5A27">
              <w:rPr>
                <w:sz w:val="20"/>
                <w:lang w:val="nl-NL"/>
              </w:rPr>
              <w:t>(%) after cycle</w:t>
            </w:r>
          </w:p>
        </w:tc>
        <w:tc>
          <w:tcPr>
            <w:tcW w:w="2000" w:type="dxa"/>
            <w:gridSpan w:val="3"/>
            <w:tcBorders>
              <w:top w:val="single" w:sz="4" w:space="0" w:color="auto"/>
            </w:tcBorders>
          </w:tcPr>
          <w:p w14:paraId="236E5386" w14:textId="4436F6F7" w:rsidR="0080605D" w:rsidRPr="008B5A27" w:rsidRDefault="00E72DE5" w:rsidP="008B5A27">
            <w:pPr>
              <w:pStyle w:val="TCTableBody"/>
              <w:jc w:val="center"/>
              <w:rPr>
                <w:sz w:val="20"/>
                <w:lang w:val="nl-NL"/>
              </w:rPr>
            </w:pPr>
            <m:oMath>
              <m:sSub>
                <m:sSubPr>
                  <m:ctrlPr>
                    <w:rPr>
                      <w:rFonts w:ascii="Cambria Math" w:hAnsi="Cambria Math"/>
                      <w:sz w:val="20"/>
                      <w:lang w:val="nl-NL"/>
                    </w:rPr>
                  </m:ctrlPr>
                </m:sSubPr>
                <m:e>
                  <m:r>
                    <w:rPr>
                      <w:rFonts w:ascii="Cambria Math" w:hAnsi="Cambria Math"/>
                      <w:sz w:val="20"/>
                      <w:lang w:val="nl-NL"/>
                    </w:rPr>
                    <m:t>R</m:t>
                  </m:r>
                </m:e>
                <m:sub>
                  <m:r>
                    <w:rPr>
                      <w:rFonts w:ascii="Cambria Math" w:hAnsi="Cambria Math"/>
                      <w:sz w:val="20"/>
                      <w:lang w:val="nl-NL"/>
                    </w:rPr>
                    <m:t>r</m:t>
                  </m:r>
                </m:sub>
              </m:sSub>
              <m:r>
                <m:rPr>
                  <m:sty m:val="p"/>
                </m:rPr>
                <w:rPr>
                  <w:rFonts w:ascii="Cambria Math" w:hAnsi="Cambria Math"/>
                  <w:sz w:val="20"/>
                  <w:lang w:val="nl-NL"/>
                </w:rPr>
                <m:t xml:space="preserve"> </m:t>
              </m:r>
            </m:oMath>
            <w:r w:rsidR="0080605D" w:rsidRPr="008B5A27">
              <w:rPr>
                <w:sz w:val="20"/>
                <w:lang w:val="nl-NL"/>
              </w:rPr>
              <w:t>(%) after cycle</w:t>
            </w:r>
          </w:p>
        </w:tc>
        <w:tc>
          <w:tcPr>
            <w:tcW w:w="667" w:type="dxa"/>
            <w:tcBorders>
              <w:top w:val="single" w:sz="4" w:space="0" w:color="auto"/>
            </w:tcBorders>
          </w:tcPr>
          <w:p w14:paraId="5A86FED0" w14:textId="5553827D" w:rsidR="0080605D" w:rsidRPr="008B5A27" w:rsidRDefault="00E72DE5" w:rsidP="008B5A27">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η</m:t>
                    </m:r>
                  </m:e>
                  <m:sub>
                    <m:r>
                      <w:rPr>
                        <w:rFonts w:ascii="Cambria Math" w:hAnsi="Cambria Math"/>
                        <w:sz w:val="20"/>
                        <w:lang w:val="nl-NL"/>
                      </w:rPr>
                      <m:t>σ</m:t>
                    </m:r>
                  </m:sub>
                </m:sSub>
              </m:oMath>
            </m:oMathPara>
          </w:p>
        </w:tc>
      </w:tr>
      <w:tr w:rsidR="0080605D" w:rsidRPr="003C3195" w14:paraId="214B3315" w14:textId="77777777" w:rsidTr="007E5E9E">
        <w:trPr>
          <w:trHeight w:val="170"/>
        </w:trPr>
        <w:tc>
          <w:tcPr>
            <w:tcW w:w="1021" w:type="dxa"/>
            <w:tcBorders>
              <w:bottom w:val="single" w:sz="4" w:space="0" w:color="auto"/>
            </w:tcBorders>
          </w:tcPr>
          <w:p w14:paraId="46AB4E6E" w14:textId="77777777" w:rsidR="0080605D" w:rsidRPr="008B5A27" w:rsidRDefault="0080605D" w:rsidP="008B5A27">
            <w:pPr>
              <w:pStyle w:val="TCTableBody"/>
              <w:rPr>
                <w:sz w:val="20"/>
                <w:lang w:val="nl-NL"/>
              </w:rPr>
            </w:pPr>
          </w:p>
        </w:tc>
        <w:tc>
          <w:tcPr>
            <w:tcW w:w="705" w:type="dxa"/>
            <w:tcBorders>
              <w:bottom w:val="single" w:sz="4" w:space="0" w:color="auto"/>
            </w:tcBorders>
          </w:tcPr>
          <w:p w14:paraId="34ECA1C3" w14:textId="77777777" w:rsidR="0080605D" w:rsidRPr="008B5A27" w:rsidRDefault="0080605D" w:rsidP="008B5A27">
            <w:pPr>
              <w:pStyle w:val="TCTableBody"/>
              <w:jc w:val="center"/>
              <w:rPr>
                <w:sz w:val="20"/>
                <w:lang w:val="nl-NL"/>
              </w:rPr>
            </w:pPr>
            <w:r w:rsidRPr="008B5A27">
              <w:rPr>
                <w:sz w:val="20"/>
                <w:lang w:val="nl-NL"/>
              </w:rPr>
              <w:t>(g/mol)</w:t>
            </w:r>
          </w:p>
        </w:tc>
        <w:tc>
          <w:tcPr>
            <w:tcW w:w="680" w:type="dxa"/>
            <w:tcBorders>
              <w:bottom w:val="single" w:sz="4" w:space="0" w:color="auto"/>
            </w:tcBorders>
          </w:tcPr>
          <w:p w14:paraId="75067A79" w14:textId="77777777" w:rsidR="0080605D" w:rsidRPr="008B5A27" w:rsidRDefault="0080605D" w:rsidP="008B5A27">
            <w:pPr>
              <w:pStyle w:val="TCTableBody"/>
              <w:jc w:val="center"/>
              <w:rPr>
                <w:sz w:val="20"/>
                <w:lang w:val="nl-NL"/>
              </w:rPr>
            </w:pPr>
            <w:r w:rsidRPr="008B5A27">
              <w:rPr>
                <w:sz w:val="20"/>
                <w:lang w:val="nl-NL"/>
              </w:rPr>
              <w:t>(wt%)</w:t>
            </w:r>
          </w:p>
        </w:tc>
        <w:tc>
          <w:tcPr>
            <w:tcW w:w="737" w:type="dxa"/>
            <w:tcBorders>
              <w:bottom w:val="single" w:sz="4" w:space="0" w:color="auto"/>
            </w:tcBorders>
          </w:tcPr>
          <w:p w14:paraId="14955C7C" w14:textId="77777777" w:rsidR="0080605D" w:rsidRPr="008B5A27" w:rsidRDefault="0080605D" w:rsidP="008B5A27">
            <w:pPr>
              <w:pStyle w:val="TCTableBody"/>
              <w:jc w:val="center"/>
              <w:rPr>
                <w:sz w:val="20"/>
                <w:lang w:val="nl-NL"/>
              </w:rPr>
            </w:pPr>
            <w:r w:rsidRPr="008B5A27">
              <w:rPr>
                <w:sz w:val="20"/>
                <w:lang w:val="nl-NL"/>
              </w:rPr>
              <w:t>(mol%)</w:t>
            </w:r>
          </w:p>
        </w:tc>
        <w:tc>
          <w:tcPr>
            <w:tcW w:w="737" w:type="dxa"/>
            <w:tcBorders>
              <w:bottom w:val="single" w:sz="4" w:space="0" w:color="auto"/>
            </w:tcBorders>
          </w:tcPr>
          <w:p w14:paraId="4109C382" w14:textId="77777777" w:rsidR="0080605D" w:rsidRPr="008B5A27" w:rsidRDefault="0080605D" w:rsidP="008B5A27">
            <w:pPr>
              <w:pStyle w:val="TCTableBody"/>
              <w:jc w:val="center"/>
              <w:rPr>
                <w:sz w:val="20"/>
                <w:lang w:val="nl-NL"/>
              </w:rPr>
            </w:pPr>
            <w:r w:rsidRPr="008B5A27">
              <w:rPr>
                <w:sz w:val="20"/>
                <w:lang w:val="nl-NL"/>
              </w:rPr>
              <w:t>(mol%)</w:t>
            </w:r>
          </w:p>
        </w:tc>
        <w:tc>
          <w:tcPr>
            <w:tcW w:w="510" w:type="dxa"/>
            <w:tcBorders>
              <w:bottom w:val="single" w:sz="4" w:space="0" w:color="auto"/>
            </w:tcBorders>
          </w:tcPr>
          <w:p w14:paraId="2E9E307D" w14:textId="77777777" w:rsidR="0080605D" w:rsidRPr="008B5A27" w:rsidRDefault="0080605D" w:rsidP="008B5A27">
            <w:pPr>
              <w:pStyle w:val="TCTableBody"/>
              <w:jc w:val="center"/>
              <w:rPr>
                <w:sz w:val="20"/>
                <w:lang w:val="nl-NL"/>
              </w:rPr>
            </w:pPr>
            <w:r w:rsidRPr="008B5A27">
              <w:rPr>
                <w:sz w:val="20"/>
                <w:lang w:val="nl-NL"/>
              </w:rPr>
              <w:t>(°C)</w:t>
            </w:r>
          </w:p>
        </w:tc>
        <w:tc>
          <w:tcPr>
            <w:tcW w:w="667" w:type="dxa"/>
            <w:tcBorders>
              <w:bottom w:val="single" w:sz="4" w:space="0" w:color="auto"/>
            </w:tcBorders>
          </w:tcPr>
          <w:p w14:paraId="05B6F239" w14:textId="77777777" w:rsidR="0080605D" w:rsidRPr="008B5A27" w:rsidRDefault="0080605D" w:rsidP="008B5A27">
            <w:pPr>
              <w:pStyle w:val="TCTableBody"/>
              <w:jc w:val="center"/>
              <w:rPr>
                <w:sz w:val="20"/>
                <w:lang w:val="nl-NL"/>
              </w:rPr>
            </w:pPr>
            <w:r w:rsidRPr="008B5A27">
              <w:rPr>
                <w:sz w:val="20"/>
                <w:lang w:val="nl-NL"/>
              </w:rPr>
              <w:t>1</w:t>
            </w:r>
          </w:p>
        </w:tc>
        <w:tc>
          <w:tcPr>
            <w:tcW w:w="666" w:type="dxa"/>
            <w:tcBorders>
              <w:bottom w:val="single" w:sz="4" w:space="0" w:color="auto"/>
            </w:tcBorders>
          </w:tcPr>
          <w:p w14:paraId="56771AC5" w14:textId="77777777" w:rsidR="0080605D" w:rsidRPr="008B5A27" w:rsidRDefault="0080605D" w:rsidP="008B5A27">
            <w:pPr>
              <w:pStyle w:val="TCTableBody"/>
              <w:jc w:val="center"/>
              <w:rPr>
                <w:sz w:val="20"/>
                <w:lang w:val="nl-NL"/>
              </w:rPr>
            </w:pPr>
            <w:r w:rsidRPr="008B5A27">
              <w:rPr>
                <w:sz w:val="20"/>
                <w:lang w:val="nl-NL"/>
              </w:rPr>
              <w:t>2</w:t>
            </w:r>
          </w:p>
        </w:tc>
        <w:tc>
          <w:tcPr>
            <w:tcW w:w="667" w:type="dxa"/>
            <w:tcBorders>
              <w:bottom w:val="single" w:sz="4" w:space="0" w:color="auto"/>
            </w:tcBorders>
          </w:tcPr>
          <w:p w14:paraId="324ADBE6" w14:textId="77777777" w:rsidR="0080605D" w:rsidRPr="008B5A27" w:rsidRDefault="0080605D" w:rsidP="008B5A27">
            <w:pPr>
              <w:pStyle w:val="TCTableBody"/>
              <w:jc w:val="center"/>
              <w:rPr>
                <w:sz w:val="20"/>
                <w:lang w:val="nl-NL"/>
              </w:rPr>
            </w:pPr>
            <w:r w:rsidRPr="008B5A27">
              <w:rPr>
                <w:sz w:val="20"/>
                <w:lang w:val="nl-NL"/>
              </w:rPr>
              <w:t>3</w:t>
            </w:r>
          </w:p>
        </w:tc>
        <w:tc>
          <w:tcPr>
            <w:tcW w:w="667" w:type="dxa"/>
            <w:tcBorders>
              <w:bottom w:val="single" w:sz="4" w:space="0" w:color="auto"/>
            </w:tcBorders>
          </w:tcPr>
          <w:p w14:paraId="7CE2C258" w14:textId="77777777" w:rsidR="0080605D" w:rsidRPr="008B5A27" w:rsidRDefault="0080605D" w:rsidP="008B5A27">
            <w:pPr>
              <w:pStyle w:val="TCTableBody"/>
              <w:jc w:val="center"/>
              <w:rPr>
                <w:sz w:val="20"/>
                <w:lang w:val="nl-NL"/>
              </w:rPr>
            </w:pPr>
            <w:r w:rsidRPr="008B5A27">
              <w:rPr>
                <w:sz w:val="20"/>
                <w:lang w:val="nl-NL"/>
              </w:rPr>
              <w:t>1</w:t>
            </w:r>
          </w:p>
        </w:tc>
        <w:tc>
          <w:tcPr>
            <w:tcW w:w="666" w:type="dxa"/>
            <w:tcBorders>
              <w:bottom w:val="single" w:sz="4" w:space="0" w:color="auto"/>
            </w:tcBorders>
          </w:tcPr>
          <w:p w14:paraId="2246A83A" w14:textId="77777777" w:rsidR="0080605D" w:rsidRPr="008B5A27" w:rsidRDefault="0080605D" w:rsidP="008B5A27">
            <w:pPr>
              <w:pStyle w:val="TCTableBody"/>
              <w:jc w:val="center"/>
              <w:rPr>
                <w:sz w:val="20"/>
                <w:lang w:val="nl-NL"/>
              </w:rPr>
            </w:pPr>
            <w:r w:rsidRPr="008B5A27">
              <w:rPr>
                <w:sz w:val="20"/>
                <w:lang w:val="nl-NL"/>
              </w:rPr>
              <w:t>2</w:t>
            </w:r>
          </w:p>
        </w:tc>
        <w:tc>
          <w:tcPr>
            <w:tcW w:w="667" w:type="dxa"/>
            <w:tcBorders>
              <w:bottom w:val="single" w:sz="4" w:space="0" w:color="auto"/>
            </w:tcBorders>
          </w:tcPr>
          <w:p w14:paraId="0BB06F19" w14:textId="77777777" w:rsidR="0080605D" w:rsidRPr="008B5A27" w:rsidRDefault="0080605D" w:rsidP="008B5A27">
            <w:pPr>
              <w:pStyle w:val="TCTableBody"/>
              <w:jc w:val="center"/>
              <w:rPr>
                <w:sz w:val="20"/>
                <w:lang w:val="nl-NL"/>
              </w:rPr>
            </w:pPr>
            <w:r w:rsidRPr="008B5A27">
              <w:rPr>
                <w:sz w:val="20"/>
                <w:lang w:val="nl-NL"/>
              </w:rPr>
              <w:t>3</w:t>
            </w:r>
          </w:p>
        </w:tc>
        <w:tc>
          <w:tcPr>
            <w:tcW w:w="667" w:type="dxa"/>
            <w:tcBorders>
              <w:bottom w:val="single" w:sz="4" w:space="0" w:color="auto"/>
            </w:tcBorders>
          </w:tcPr>
          <w:p w14:paraId="0AA2C423" w14:textId="77777777" w:rsidR="0080605D" w:rsidRPr="008B5A27" w:rsidRDefault="0080605D" w:rsidP="008B5A27">
            <w:pPr>
              <w:pStyle w:val="TCTableBody"/>
              <w:jc w:val="center"/>
              <w:rPr>
                <w:sz w:val="20"/>
                <w:lang w:val="nl-NL"/>
              </w:rPr>
            </w:pPr>
            <w:r w:rsidRPr="008B5A27">
              <w:rPr>
                <w:sz w:val="20"/>
                <w:lang w:val="nl-NL"/>
              </w:rPr>
              <w:t>(%)</w:t>
            </w:r>
          </w:p>
        </w:tc>
      </w:tr>
      <w:tr w:rsidR="0080605D" w:rsidRPr="003C3195" w14:paraId="7D3380FA" w14:textId="77777777" w:rsidTr="007E5E9E">
        <w:trPr>
          <w:trHeight w:val="170"/>
        </w:trPr>
        <w:tc>
          <w:tcPr>
            <w:tcW w:w="1021" w:type="dxa"/>
            <w:tcBorders>
              <w:top w:val="single" w:sz="4" w:space="0" w:color="auto"/>
            </w:tcBorders>
          </w:tcPr>
          <w:p w14:paraId="5CF3613A" w14:textId="77777777" w:rsidR="0080605D" w:rsidRPr="008B5A27" w:rsidRDefault="0080605D" w:rsidP="008B5A27">
            <w:pPr>
              <w:pStyle w:val="TCTableBody"/>
              <w:rPr>
                <w:sz w:val="20"/>
                <w:lang w:val="nl-NL"/>
              </w:rPr>
            </w:pPr>
            <w:r w:rsidRPr="008B5A27">
              <w:rPr>
                <w:sz w:val="20"/>
                <w:lang w:val="nl-NL"/>
              </w:rPr>
              <w:t>PU-1</w:t>
            </w:r>
          </w:p>
        </w:tc>
        <w:tc>
          <w:tcPr>
            <w:tcW w:w="705" w:type="dxa"/>
            <w:tcBorders>
              <w:top w:val="single" w:sz="4" w:space="0" w:color="auto"/>
            </w:tcBorders>
          </w:tcPr>
          <w:p w14:paraId="7FE5DB89"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Borders>
              <w:top w:val="single" w:sz="4" w:space="0" w:color="auto"/>
            </w:tcBorders>
          </w:tcPr>
          <w:p w14:paraId="3024256F" w14:textId="77777777" w:rsidR="0080605D" w:rsidRPr="008B5A27" w:rsidRDefault="0080605D" w:rsidP="008B5A27">
            <w:pPr>
              <w:pStyle w:val="TCTableBody"/>
              <w:jc w:val="center"/>
              <w:rPr>
                <w:sz w:val="20"/>
                <w:lang w:val="nl-NL"/>
              </w:rPr>
            </w:pPr>
            <w:r w:rsidRPr="008B5A27">
              <w:rPr>
                <w:sz w:val="20"/>
                <w:lang w:val="nl-NL"/>
              </w:rPr>
              <w:t>65</w:t>
            </w:r>
          </w:p>
        </w:tc>
        <w:tc>
          <w:tcPr>
            <w:tcW w:w="737" w:type="dxa"/>
            <w:tcBorders>
              <w:top w:val="single" w:sz="4" w:space="0" w:color="auto"/>
            </w:tcBorders>
          </w:tcPr>
          <w:p w14:paraId="75BCE72B" w14:textId="77777777" w:rsidR="0080605D" w:rsidRPr="008B5A27" w:rsidRDefault="0080605D" w:rsidP="008B5A27">
            <w:pPr>
              <w:pStyle w:val="TCTableBody"/>
              <w:jc w:val="center"/>
              <w:rPr>
                <w:sz w:val="20"/>
                <w:lang w:val="nl-NL"/>
              </w:rPr>
            </w:pPr>
            <w:r w:rsidRPr="008B5A27">
              <w:rPr>
                <w:sz w:val="20"/>
                <w:lang w:val="nl-NL"/>
              </w:rPr>
              <w:t>15</w:t>
            </w:r>
          </w:p>
        </w:tc>
        <w:tc>
          <w:tcPr>
            <w:tcW w:w="737" w:type="dxa"/>
            <w:tcBorders>
              <w:top w:val="single" w:sz="4" w:space="0" w:color="auto"/>
            </w:tcBorders>
          </w:tcPr>
          <w:p w14:paraId="6AFD4046" w14:textId="77777777" w:rsidR="0080605D" w:rsidRPr="008B5A27" w:rsidRDefault="0080605D" w:rsidP="008B5A27">
            <w:pPr>
              <w:pStyle w:val="TCTableBody"/>
              <w:jc w:val="center"/>
              <w:rPr>
                <w:sz w:val="20"/>
                <w:lang w:val="nl-NL"/>
              </w:rPr>
            </w:pPr>
            <w:r w:rsidRPr="008B5A27">
              <w:rPr>
                <w:sz w:val="20"/>
                <w:lang w:val="nl-NL"/>
              </w:rPr>
              <w:t>20</w:t>
            </w:r>
          </w:p>
        </w:tc>
        <w:tc>
          <w:tcPr>
            <w:tcW w:w="510" w:type="dxa"/>
            <w:tcBorders>
              <w:top w:val="single" w:sz="4" w:space="0" w:color="auto"/>
            </w:tcBorders>
          </w:tcPr>
          <w:p w14:paraId="1097ADC0" w14:textId="77777777" w:rsidR="0080605D" w:rsidRPr="008B5A27" w:rsidRDefault="0080605D" w:rsidP="008B5A27">
            <w:pPr>
              <w:pStyle w:val="TCTableBody"/>
              <w:jc w:val="center"/>
              <w:rPr>
                <w:sz w:val="20"/>
                <w:lang w:val="nl-NL"/>
              </w:rPr>
            </w:pPr>
            <w:r w:rsidRPr="008B5A27">
              <w:rPr>
                <w:sz w:val="20"/>
                <w:lang w:val="nl-NL"/>
              </w:rPr>
              <w:t>70</w:t>
            </w:r>
          </w:p>
        </w:tc>
        <w:tc>
          <w:tcPr>
            <w:tcW w:w="667" w:type="dxa"/>
            <w:tcBorders>
              <w:top w:val="single" w:sz="4" w:space="0" w:color="auto"/>
            </w:tcBorders>
          </w:tcPr>
          <w:p w14:paraId="25F15D04" w14:textId="77777777" w:rsidR="0080605D" w:rsidRPr="008B5A27" w:rsidRDefault="0080605D" w:rsidP="008B5A27">
            <w:pPr>
              <w:pStyle w:val="TCTableBody"/>
              <w:jc w:val="center"/>
              <w:rPr>
                <w:sz w:val="20"/>
                <w:lang w:val="nl-NL"/>
              </w:rPr>
            </w:pPr>
            <w:r w:rsidRPr="008B5A27">
              <w:rPr>
                <w:sz w:val="20"/>
                <w:lang w:val="nl-NL"/>
              </w:rPr>
              <w:t>98.3</w:t>
            </w:r>
          </w:p>
        </w:tc>
        <w:tc>
          <w:tcPr>
            <w:tcW w:w="666" w:type="dxa"/>
            <w:tcBorders>
              <w:top w:val="single" w:sz="4" w:space="0" w:color="auto"/>
            </w:tcBorders>
          </w:tcPr>
          <w:p w14:paraId="378A3A1F" w14:textId="77777777" w:rsidR="0080605D" w:rsidRPr="008B5A27" w:rsidRDefault="0080605D" w:rsidP="008B5A27">
            <w:pPr>
              <w:pStyle w:val="TCTableBody"/>
              <w:jc w:val="center"/>
              <w:rPr>
                <w:sz w:val="20"/>
                <w:lang w:val="nl-NL"/>
              </w:rPr>
            </w:pPr>
            <w:r w:rsidRPr="008B5A27">
              <w:rPr>
                <w:sz w:val="20"/>
                <w:lang w:val="nl-NL"/>
              </w:rPr>
              <w:t>98.4</w:t>
            </w:r>
          </w:p>
        </w:tc>
        <w:tc>
          <w:tcPr>
            <w:tcW w:w="667" w:type="dxa"/>
            <w:tcBorders>
              <w:top w:val="single" w:sz="4" w:space="0" w:color="auto"/>
            </w:tcBorders>
          </w:tcPr>
          <w:p w14:paraId="4CE47EAB" w14:textId="77777777" w:rsidR="0080605D" w:rsidRPr="008B5A27" w:rsidRDefault="0080605D" w:rsidP="008B5A27">
            <w:pPr>
              <w:pStyle w:val="TCTableBody"/>
              <w:jc w:val="center"/>
              <w:rPr>
                <w:sz w:val="20"/>
                <w:lang w:val="nl-NL"/>
              </w:rPr>
            </w:pPr>
            <w:r w:rsidRPr="008B5A27">
              <w:rPr>
                <w:sz w:val="20"/>
                <w:lang w:val="nl-NL"/>
              </w:rPr>
              <w:t>98.4</w:t>
            </w:r>
          </w:p>
        </w:tc>
        <w:tc>
          <w:tcPr>
            <w:tcW w:w="667" w:type="dxa"/>
            <w:tcBorders>
              <w:top w:val="single" w:sz="4" w:space="0" w:color="auto"/>
            </w:tcBorders>
          </w:tcPr>
          <w:p w14:paraId="74DC43EE" w14:textId="77777777" w:rsidR="0080605D" w:rsidRPr="008B5A27" w:rsidRDefault="0080605D" w:rsidP="008B5A27">
            <w:pPr>
              <w:pStyle w:val="TCTableBody"/>
              <w:jc w:val="center"/>
              <w:rPr>
                <w:sz w:val="20"/>
                <w:lang w:val="nl-NL"/>
              </w:rPr>
            </w:pPr>
            <w:r w:rsidRPr="008B5A27">
              <w:rPr>
                <w:sz w:val="20"/>
                <w:lang w:val="nl-NL"/>
              </w:rPr>
              <w:t>82.1</w:t>
            </w:r>
          </w:p>
        </w:tc>
        <w:tc>
          <w:tcPr>
            <w:tcW w:w="666" w:type="dxa"/>
            <w:tcBorders>
              <w:top w:val="single" w:sz="4" w:space="0" w:color="auto"/>
            </w:tcBorders>
          </w:tcPr>
          <w:p w14:paraId="4126EB2F" w14:textId="77777777" w:rsidR="0080605D" w:rsidRPr="008B5A27" w:rsidRDefault="0080605D" w:rsidP="008B5A27">
            <w:pPr>
              <w:pStyle w:val="TCTableBody"/>
              <w:jc w:val="center"/>
              <w:rPr>
                <w:sz w:val="20"/>
                <w:lang w:val="nl-NL"/>
              </w:rPr>
            </w:pPr>
            <w:r w:rsidRPr="008B5A27">
              <w:rPr>
                <w:sz w:val="20"/>
                <w:lang w:val="nl-NL"/>
              </w:rPr>
              <w:t>97.2</w:t>
            </w:r>
          </w:p>
        </w:tc>
        <w:tc>
          <w:tcPr>
            <w:tcW w:w="667" w:type="dxa"/>
            <w:tcBorders>
              <w:top w:val="single" w:sz="4" w:space="0" w:color="auto"/>
            </w:tcBorders>
          </w:tcPr>
          <w:p w14:paraId="0D194F4E" w14:textId="77777777" w:rsidR="0080605D" w:rsidRPr="008B5A27" w:rsidRDefault="0080605D" w:rsidP="008B5A27">
            <w:pPr>
              <w:pStyle w:val="TCTableBody"/>
              <w:jc w:val="center"/>
              <w:rPr>
                <w:sz w:val="20"/>
                <w:lang w:val="nl-NL"/>
              </w:rPr>
            </w:pPr>
            <w:r w:rsidRPr="008B5A27">
              <w:rPr>
                <w:sz w:val="20"/>
                <w:lang w:val="nl-NL"/>
              </w:rPr>
              <w:t>97.0</w:t>
            </w:r>
          </w:p>
        </w:tc>
        <w:tc>
          <w:tcPr>
            <w:tcW w:w="667" w:type="dxa"/>
            <w:tcBorders>
              <w:top w:val="single" w:sz="4" w:space="0" w:color="auto"/>
            </w:tcBorders>
          </w:tcPr>
          <w:p w14:paraId="1F042606" w14:textId="77777777" w:rsidR="0080605D" w:rsidRPr="008B5A27" w:rsidRDefault="0080605D" w:rsidP="008B5A27">
            <w:pPr>
              <w:pStyle w:val="TCTableBody"/>
              <w:jc w:val="center"/>
              <w:rPr>
                <w:sz w:val="20"/>
                <w:lang w:val="nl-NL"/>
              </w:rPr>
            </w:pPr>
            <w:r w:rsidRPr="008B5A27">
              <w:rPr>
                <w:sz w:val="20"/>
                <w:lang w:val="nl-NL"/>
              </w:rPr>
              <w:t>73.7</w:t>
            </w:r>
          </w:p>
        </w:tc>
      </w:tr>
      <w:tr w:rsidR="0080605D" w:rsidRPr="003C3195" w14:paraId="39CA8C3F" w14:textId="77777777" w:rsidTr="007E5E9E">
        <w:trPr>
          <w:trHeight w:val="170"/>
        </w:trPr>
        <w:tc>
          <w:tcPr>
            <w:tcW w:w="1021" w:type="dxa"/>
          </w:tcPr>
          <w:p w14:paraId="3BE7FDFE" w14:textId="77777777" w:rsidR="0080605D" w:rsidRPr="008B5A27" w:rsidRDefault="0080605D" w:rsidP="008B5A27">
            <w:pPr>
              <w:pStyle w:val="TCTableBody"/>
              <w:rPr>
                <w:sz w:val="20"/>
                <w:lang w:val="nl-NL"/>
              </w:rPr>
            </w:pPr>
            <w:r w:rsidRPr="008B5A27">
              <w:rPr>
                <w:sz w:val="20"/>
                <w:lang w:val="nl-NL"/>
              </w:rPr>
              <w:t>PU-2</w:t>
            </w:r>
          </w:p>
        </w:tc>
        <w:tc>
          <w:tcPr>
            <w:tcW w:w="705" w:type="dxa"/>
          </w:tcPr>
          <w:p w14:paraId="4E07C6D3"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1B63666B" w14:textId="77777777" w:rsidR="0080605D" w:rsidRPr="008B5A27" w:rsidRDefault="0080605D" w:rsidP="008B5A27">
            <w:pPr>
              <w:pStyle w:val="TCTableBody"/>
              <w:jc w:val="center"/>
              <w:rPr>
                <w:sz w:val="20"/>
                <w:lang w:val="nl-NL"/>
              </w:rPr>
            </w:pPr>
            <w:r w:rsidRPr="008B5A27">
              <w:rPr>
                <w:sz w:val="20"/>
                <w:lang w:val="nl-NL"/>
              </w:rPr>
              <w:t>35</w:t>
            </w:r>
          </w:p>
        </w:tc>
        <w:tc>
          <w:tcPr>
            <w:tcW w:w="737" w:type="dxa"/>
          </w:tcPr>
          <w:p w14:paraId="4F5CE193" w14:textId="77777777" w:rsidR="0080605D" w:rsidRPr="008B5A27" w:rsidRDefault="0080605D" w:rsidP="008B5A27">
            <w:pPr>
              <w:pStyle w:val="TCTableBody"/>
              <w:jc w:val="center"/>
              <w:rPr>
                <w:sz w:val="20"/>
                <w:lang w:val="nl-NL"/>
              </w:rPr>
            </w:pPr>
            <w:r w:rsidRPr="008B5A27">
              <w:rPr>
                <w:sz w:val="20"/>
                <w:lang w:val="nl-NL"/>
              </w:rPr>
              <w:t>5</w:t>
            </w:r>
          </w:p>
        </w:tc>
        <w:tc>
          <w:tcPr>
            <w:tcW w:w="737" w:type="dxa"/>
          </w:tcPr>
          <w:p w14:paraId="3946A1EA" w14:textId="77777777" w:rsidR="0080605D" w:rsidRPr="008B5A27" w:rsidRDefault="0080605D" w:rsidP="008B5A27">
            <w:pPr>
              <w:pStyle w:val="TCTableBody"/>
              <w:jc w:val="center"/>
              <w:rPr>
                <w:sz w:val="20"/>
                <w:lang w:val="nl-NL"/>
              </w:rPr>
            </w:pPr>
            <w:r w:rsidRPr="008B5A27">
              <w:rPr>
                <w:sz w:val="20"/>
                <w:lang w:val="nl-NL"/>
              </w:rPr>
              <w:t>50</w:t>
            </w:r>
          </w:p>
        </w:tc>
        <w:tc>
          <w:tcPr>
            <w:tcW w:w="510" w:type="dxa"/>
          </w:tcPr>
          <w:p w14:paraId="65BE5BDB" w14:textId="77777777" w:rsidR="0080605D" w:rsidRPr="008B5A27" w:rsidRDefault="0080605D" w:rsidP="008B5A27">
            <w:pPr>
              <w:pStyle w:val="TCTableBody"/>
              <w:jc w:val="center"/>
              <w:rPr>
                <w:sz w:val="20"/>
                <w:lang w:val="nl-NL"/>
              </w:rPr>
            </w:pPr>
            <w:r w:rsidRPr="008B5A27">
              <w:rPr>
                <w:sz w:val="20"/>
                <w:lang w:val="nl-NL"/>
              </w:rPr>
              <w:t>90</w:t>
            </w:r>
          </w:p>
        </w:tc>
        <w:tc>
          <w:tcPr>
            <w:tcW w:w="667" w:type="dxa"/>
          </w:tcPr>
          <w:p w14:paraId="52D6D632" w14:textId="77777777" w:rsidR="0080605D" w:rsidRPr="008B5A27" w:rsidRDefault="0080605D" w:rsidP="008B5A27">
            <w:pPr>
              <w:pStyle w:val="TCTableBody"/>
              <w:jc w:val="center"/>
              <w:rPr>
                <w:sz w:val="20"/>
                <w:lang w:val="nl-NL"/>
              </w:rPr>
            </w:pPr>
            <w:r w:rsidRPr="008B5A27">
              <w:rPr>
                <w:sz w:val="20"/>
                <w:lang w:val="nl-NL"/>
              </w:rPr>
              <w:t>90.4</w:t>
            </w:r>
          </w:p>
        </w:tc>
        <w:tc>
          <w:tcPr>
            <w:tcW w:w="666" w:type="dxa"/>
          </w:tcPr>
          <w:p w14:paraId="16E41CC0" w14:textId="77777777" w:rsidR="0080605D" w:rsidRPr="008B5A27" w:rsidRDefault="0080605D" w:rsidP="008B5A27">
            <w:pPr>
              <w:pStyle w:val="TCTableBody"/>
              <w:jc w:val="center"/>
              <w:rPr>
                <w:sz w:val="20"/>
                <w:lang w:val="nl-NL"/>
              </w:rPr>
            </w:pPr>
            <w:r w:rsidRPr="008B5A27">
              <w:rPr>
                <w:sz w:val="20"/>
                <w:lang w:val="nl-NL"/>
              </w:rPr>
              <w:t>89.8</w:t>
            </w:r>
          </w:p>
        </w:tc>
        <w:tc>
          <w:tcPr>
            <w:tcW w:w="667" w:type="dxa"/>
          </w:tcPr>
          <w:p w14:paraId="482FAA65" w14:textId="77777777" w:rsidR="0080605D" w:rsidRPr="008B5A27" w:rsidRDefault="0080605D" w:rsidP="008B5A27">
            <w:pPr>
              <w:pStyle w:val="TCTableBody"/>
              <w:jc w:val="center"/>
              <w:rPr>
                <w:sz w:val="20"/>
                <w:lang w:val="nl-NL"/>
              </w:rPr>
            </w:pPr>
            <w:r w:rsidRPr="008B5A27">
              <w:rPr>
                <w:sz w:val="20"/>
                <w:lang w:val="nl-NL"/>
              </w:rPr>
              <w:t>90.1</w:t>
            </w:r>
          </w:p>
        </w:tc>
        <w:tc>
          <w:tcPr>
            <w:tcW w:w="667" w:type="dxa"/>
          </w:tcPr>
          <w:p w14:paraId="67A8CAD1" w14:textId="77777777" w:rsidR="0080605D" w:rsidRPr="008B5A27" w:rsidRDefault="0080605D" w:rsidP="008B5A27">
            <w:pPr>
              <w:pStyle w:val="TCTableBody"/>
              <w:jc w:val="center"/>
              <w:rPr>
                <w:sz w:val="20"/>
                <w:lang w:val="nl-NL"/>
              </w:rPr>
            </w:pPr>
            <w:r w:rsidRPr="008B5A27">
              <w:rPr>
                <w:sz w:val="20"/>
                <w:lang w:val="nl-NL"/>
              </w:rPr>
              <w:t>59.2</w:t>
            </w:r>
          </w:p>
        </w:tc>
        <w:tc>
          <w:tcPr>
            <w:tcW w:w="666" w:type="dxa"/>
          </w:tcPr>
          <w:p w14:paraId="5179A3DE" w14:textId="77777777" w:rsidR="0080605D" w:rsidRPr="008B5A27" w:rsidRDefault="0080605D" w:rsidP="008B5A27">
            <w:pPr>
              <w:pStyle w:val="TCTableBody"/>
              <w:jc w:val="center"/>
              <w:rPr>
                <w:sz w:val="20"/>
                <w:lang w:val="nl-NL"/>
              </w:rPr>
            </w:pPr>
            <w:r w:rsidRPr="008B5A27">
              <w:rPr>
                <w:sz w:val="20"/>
                <w:lang w:val="nl-NL"/>
              </w:rPr>
              <w:t>98.5</w:t>
            </w:r>
          </w:p>
        </w:tc>
        <w:tc>
          <w:tcPr>
            <w:tcW w:w="667" w:type="dxa"/>
          </w:tcPr>
          <w:p w14:paraId="429063B9" w14:textId="77777777" w:rsidR="0080605D" w:rsidRPr="008B5A27" w:rsidRDefault="0080605D" w:rsidP="008B5A27">
            <w:pPr>
              <w:pStyle w:val="TCTableBody"/>
              <w:jc w:val="center"/>
              <w:rPr>
                <w:sz w:val="20"/>
                <w:lang w:val="nl-NL"/>
              </w:rPr>
            </w:pPr>
            <w:r w:rsidRPr="008B5A27">
              <w:rPr>
                <w:sz w:val="20"/>
                <w:lang w:val="nl-NL"/>
              </w:rPr>
              <w:t>97.6</w:t>
            </w:r>
          </w:p>
        </w:tc>
        <w:tc>
          <w:tcPr>
            <w:tcW w:w="667" w:type="dxa"/>
          </w:tcPr>
          <w:p w14:paraId="384E9583" w14:textId="77777777" w:rsidR="0080605D" w:rsidRPr="008B5A27" w:rsidRDefault="0080605D" w:rsidP="008B5A27">
            <w:pPr>
              <w:pStyle w:val="TCTableBody"/>
              <w:jc w:val="center"/>
              <w:rPr>
                <w:sz w:val="20"/>
                <w:lang w:val="nl-NL"/>
              </w:rPr>
            </w:pPr>
            <w:r w:rsidRPr="008B5A27">
              <w:rPr>
                <w:sz w:val="20"/>
                <w:lang w:val="nl-NL"/>
              </w:rPr>
              <w:t>54.8</w:t>
            </w:r>
          </w:p>
        </w:tc>
      </w:tr>
      <w:tr w:rsidR="0080605D" w:rsidRPr="003C3195" w14:paraId="798473DD" w14:textId="77777777" w:rsidTr="007E5E9E">
        <w:trPr>
          <w:trHeight w:val="170"/>
        </w:trPr>
        <w:tc>
          <w:tcPr>
            <w:tcW w:w="1021" w:type="dxa"/>
          </w:tcPr>
          <w:p w14:paraId="2A731592" w14:textId="77777777" w:rsidR="0080605D" w:rsidRPr="008B5A27" w:rsidRDefault="0080605D" w:rsidP="008B5A27">
            <w:pPr>
              <w:pStyle w:val="TCTableBody"/>
              <w:rPr>
                <w:sz w:val="20"/>
                <w:lang w:val="nl-NL"/>
              </w:rPr>
            </w:pPr>
            <w:r w:rsidRPr="008B5A27">
              <w:rPr>
                <w:sz w:val="20"/>
                <w:lang w:val="nl-NL"/>
              </w:rPr>
              <w:t>PU-3</w:t>
            </w:r>
          </w:p>
        </w:tc>
        <w:tc>
          <w:tcPr>
            <w:tcW w:w="705" w:type="dxa"/>
          </w:tcPr>
          <w:p w14:paraId="1C0F3CDC" w14:textId="77777777" w:rsidR="0080605D" w:rsidRPr="008B5A27" w:rsidRDefault="0080605D" w:rsidP="008B5A27">
            <w:pPr>
              <w:pStyle w:val="TCTableBody"/>
              <w:jc w:val="center"/>
              <w:rPr>
                <w:sz w:val="20"/>
                <w:lang w:val="nl-NL"/>
              </w:rPr>
            </w:pPr>
            <w:r w:rsidRPr="008B5A27">
              <w:rPr>
                <w:sz w:val="20"/>
                <w:lang w:val="nl-NL"/>
              </w:rPr>
              <w:t>6000</w:t>
            </w:r>
          </w:p>
        </w:tc>
        <w:tc>
          <w:tcPr>
            <w:tcW w:w="680" w:type="dxa"/>
          </w:tcPr>
          <w:p w14:paraId="0F9E8DF4"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50B88ECC" w14:textId="77777777" w:rsidR="0080605D" w:rsidRPr="008B5A27" w:rsidRDefault="0080605D" w:rsidP="008B5A27">
            <w:pPr>
              <w:pStyle w:val="TCTableBody"/>
              <w:jc w:val="center"/>
              <w:rPr>
                <w:sz w:val="20"/>
                <w:lang w:val="nl-NL"/>
              </w:rPr>
            </w:pPr>
            <w:r w:rsidRPr="008B5A27">
              <w:rPr>
                <w:sz w:val="20"/>
                <w:lang w:val="nl-NL"/>
              </w:rPr>
              <w:t>5</w:t>
            </w:r>
          </w:p>
        </w:tc>
        <w:tc>
          <w:tcPr>
            <w:tcW w:w="737" w:type="dxa"/>
          </w:tcPr>
          <w:p w14:paraId="534B1B0C" w14:textId="77777777" w:rsidR="0080605D" w:rsidRPr="008B5A27" w:rsidRDefault="0080605D" w:rsidP="008B5A27">
            <w:pPr>
              <w:pStyle w:val="TCTableBody"/>
              <w:jc w:val="center"/>
              <w:rPr>
                <w:sz w:val="20"/>
                <w:lang w:val="nl-NL"/>
              </w:rPr>
            </w:pPr>
            <w:r w:rsidRPr="008B5A27">
              <w:rPr>
                <w:sz w:val="20"/>
                <w:lang w:val="nl-NL"/>
              </w:rPr>
              <w:t>20</w:t>
            </w:r>
          </w:p>
        </w:tc>
        <w:tc>
          <w:tcPr>
            <w:tcW w:w="510" w:type="dxa"/>
          </w:tcPr>
          <w:p w14:paraId="03598DA1" w14:textId="77777777" w:rsidR="0080605D" w:rsidRPr="008B5A27" w:rsidRDefault="0080605D" w:rsidP="008B5A27">
            <w:pPr>
              <w:pStyle w:val="TCTableBody"/>
              <w:jc w:val="center"/>
              <w:rPr>
                <w:sz w:val="20"/>
                <w:lang w:val="nl-NL"/>
              </w:rPr>
            </w:pPr>
            <w:r w:rsidRPr="008B5A27">
              <w:rPr>
                <w:sz w:val="20"/>
                <w:lang w:val="nl-NL"/>
              </w:rPr>
              <w:t>90</w:t>
            </w:r>
          </w:p>
        </w:tc>
        <w:tc>
          <w:tcPr>
            <w:tcW w:w="667" w:type="dxa"/>
          </w:tcPr>
          <w:p w14:paraId="1D9B0D0B" w14:textId="77777777" w:rsidR="0080605D" w:rsidRPr="008B5A27" w:rsidRDefault="0080605D" w:rsidP="008B5A27">
            <w:pPr>
              <w:pStyle w:val="TCTableBody"/>
              <w:jc w:val="center"/>
              <w:rPr>
                <w:sz w:val="20"/>
                <w:lang w:val="nl-NL"/>
              </w:rPr>
            </w:pPr>
            <w:r w:rsidRPr="008B5A27">
              <w:rPr>
                <w:sz w:val="20"/>
                <w:lang w:val="nl-NL"/>
              </w:rPr>
              <w:t>92.4</w:t>
            </w:r>
          </w:p>
        </w:tc>
        <w:tc>
          <w:tcPr>
            <w:tcW w:w="666" w:type="dxa"/>
          </w:tcPr>
          <w:p w14:paraId="60501145" w14:textId="77777777" w:rsidR="0080605D" w:rsidRPr="008B5A27" w:rsidRDefault="0080605D" w:rsidP="008B5A27">
            <w:pPr>
              <w:pStyle w:val="TCTableBody"/>
              <w:jc w:val="center"/>
              <w:rPr>
                <w:sz w:val="20"/>
                <w:lang w:val="nl-NL"/>
              </w:rPr>
            </w:pPr>
            <w:r w:rsidRPr="008B5A27">
              <w:rPr>
                <w:sz w:val="20"/>
                <w:lang w:val="nl-NL"/>
              </w:rPr>
              <w:t>92.7</w:t>
            </w:r>
          </w:p>
        </w:tc>
        <w:tc>
          <w:tcPr>
            <w:tcW w:w="667" w:type="dxa"/>
          </w:tcPr>
          <w:p w14:paraId="7AB37FB2" w14:textId="77777777" w:rsidR="0080605D" w:rsidRPr="008B5A27" w:rsidRDefault="0080605D" w:rsidP="008B5A27">
            <w:pPr>
              <w:pStyle w:val="TCTableBody"/>
              <w:jc w:val="center"/>
              <w:rPr>
                <w:sz w:val="20"/>
                <w:lang w:val="nl-NL"/>
              </w:rPr>
            </w:pPr>
            <w:r w:rsidRPr="008B5A27">
              <w:rPr>
                <w:sz w:val="20"/>
                <w:lang w:val="nl-NL"/>
              </w:rPr>
              <w:t>92.8</w:t>
            </w:r>
          </w:p>
        </w:tc>
        <w:tc>
          <w:tcPr>
            <w:tcW w:w="667" w:type="dxa"/>
          </w:tcPr>
          <w:p w14:paraId="5336C4A0" w14:textId="77777777" w:rsidR="0080605D" w:rsidRPr="008B5A27" w:rsidRDefault="0080605D" w:rsidP="008B5A27">
            <w:pPr>
              <w:pStyle w:val="TCTableBody"/>
              <w:jc w:val="center"/>
              <w:rPr>
                <w:sz w:val="20"/>
                <w:lang w:val="nl-NL"/>
              </w:rPr>
            </w:pPr>
            <w:r w:rsidRPr="008B5A27">
              <w:rPr>
                <w:sz w:val="20"/>
                <w:lang w:val="nl-NL"/>
              </w:rPr>
              <w:t>73.8</w:t>
            </w:r>
          </w:p>
        </w:tc>
        <w:tc>
          <w:tcPr>
            <w:tcW w:w="666" w:type="dxa"/>
          </w:tcPr>
          <w:p w14:paraId="77221CCB" w14:textId="77777777" w:rsidR="0080605D" w:rsidRPr="008B5A27" w:rsidRDefault="0080605D" w:rsidP="008B5A27">
            <w:pPr>
              <w:pStyle w:val="TCTableBody"/>
              <w:jc w:val="center"/>
              <w:rPr>
                <w:sz w:val="20"/>
                <w:lang w:val="nl-NL"/>
              </w:rPr>
            </w:pPr>
            <w:r w:rsidRPr="008B5A27">
              <w:rPr>
                <w:sz w:val="20"/>
                <w:lang w:val="nl-NL"/>
              </w:rPr>
              <w:t>96.1</w:t>
            </w:r>
          </w:p>
        </w:tc>
        <w:tc>
          <w:tcPr>
            <w:tcW w:w="667" w:type="dxa"/>
          </w:tcPr>
          <w:p w14:paraId="72B77C72" w14:textId="77777777" w:rsidR="0080605D" w:rsidRPr="008B5A27" w:rsidRDefault="0080605D" w:rsidP="008B5A27">
            <w:pPr>
              <w:pStyle w:val="TCTableBody"/>
              <w:jc w:val="center"/>
              <w:rPr>
                <w:sz w:val="20"/>
                <w:lang w:val="nl-NL"/>
              </w:rPr>
            </w:pPr>
            <w:r w:rsidRPr="008B5A27">
              <w:rPr>
                <w:sz w:val="20"/>
                <w:lang w:val="nl-NL"/>
              </w:rPr>
              <w:t>97.5</w:t>
            </w:r>
          </w:p>
        </w:tc>
        <w:tc>
          <w:tcPr>
            <w:tcW w:w="667" w:type="dxa"/>
          </w:tcPr>
          <w:p w14:paraId="042E266A" w14:textId="77777777" w:rsidR="0080605D" w:rsidRPr="008B5A27" w:rsidRDefault="0080605D" w:rsidP="008B5A27">
            <w:pPr>
              <w:pStyle w:val="TCTableBody"/>
              <w:jc w:val="center"/>
              <w:rPr>
                <w:sz w:val="20"/>
                <w:lang w:val="nl-NL"/>
              </w:rPr>
            </w:pPr>
            <w:r w:rsidRPr="008B5A27">
              <w:rPr>
                <w:sz w:val="20"/>
                <w:lang w:val="nl-NL"/>
              </w:rPr>
              <w:t>83.0</w:t>
            </w:r>
          </w:p>
        </w:tc>
      </w:tr>
      <w:tr w:rsidR="0080605D" w:rsidRPr="003C3195" w14:paraId="482484EC" w14:textId="77777777" w:rsidTr="007E5E9E">
        <w:trPr>
          <w:trHeight w:val="170"/>
        </w:trPr>
        <w:tc>
          <w:tcPr>
            <w:tcW w:w="1021" w:type="dxa"/>
          </w:tcPr>
          <w:p w14:paraId="695DF0CD" w14:textId="77777777" w:rsidR="0080605D" w:rsidRPr="008B5A27" w:rsidRDefault="0080605D" w:rsidP="008B5A27">
            <w:pPr>
              <w:pStyle w:val="TCTableBody"/>
              <w:rPr>
                <w:sz w:val="20"/>
                <w:lang w:val="nl-NL"/>
              </w:rPr>
            </w:pPr>
            <w:r w:rsidRPr="008B5A27">
              <w:rPr>
                <w:sz w:val="20"/>
                <w:lang w:val="nl-NL"/>
              </w:rPr>
              <w:t>PU-4</w:t>
            </w:r>
          </w:p>
        </w:tc>
        <w:tc>
          <w:tcPr>
            <w:tcW w:w="705" w:type="dxa"/>
          </w:tcPr>
          <w:p w14:paraId="53EBCAB4" w14:textId="77777777" w:rsidR="0080605D" w:rsidRPr="008B5A27" w:rsidRDefault="0080605D" w:rsidP="008B5A27">
            <w:pPr>
              <w:pStyle w:val="TCTableBody"/>
              <w:jc w:val="center"/>
              <w:rPr>
                <w:sz w:val="20"/>
                <w:lang w:val="nl-NL"/>
              </w:rPr>
            </w:pPr>
            <w:r w:rsidRPr="008B5A27">
              <w:rPr>
                <w:sz w:val="20"/>
                <w:lang w:val="nl-NL"/>
              </w:rPr>
              <w:t>2000</w:t>
            </w:r>
          </w:p>
        </w:tc>
        <w:tc>
          <w:tcPr>
            <w:tcW w:w="680" w:type="dxa"/>
          </w:tcPr>
          <w:p w14:paraId="17CC3A41"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10E38172"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02E99DE0" w14:textId="77777777" w:rsidR="0080605D" w:rsidRPr="008B5A27" w:rsidRDefault="0080605D" w:rsidP="008B5A27">
            <w:pPr>
              <w:pStyle w:val="TCTableBody"/>
              <w:jc w:val="center"/>
              <w:rPr>
                <w:sz w:val="20"/>
                <w:lang w:val="nl-NL"/>
              </w:rPr>
            </w:pPr>
            <w:r w:rsidRPr="008B5A27">
              <w:rPr>
                <w:sz w:val="20"/>
                <w:lang w:val="nl-NL"/>
              </w:rPr>
              <w:t>50</w:t>
            </w:r>
          </w:p>
        </w:tc>
        <w:tc>
          <w:tcPr>
            <w:tcW w:w="510" w:type="dxa"/>
          </w:tcPr>
          <w:p w14:paraId="575A5B56"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406EDE97" w14:textId="77777777" w:rsidR="0080605D" w:rsidRPr="008B5A27" w:rsidRDefault="0080605D" w:rsidP="008B5A27">
            <w:pPr>
              <w:pStyle w:val="TCTableBody"/>
              <w:jc w:val="center"/>
              <w:rPr>
                <w:sz w:val="20"/>
                <w:lang w:val="nl-NL"/>
              </w:rPr>
            </w:pPr>
            <w:r w:rsidRPr="008B5A27">
              <w:rPr>
                <w:sz w:val="20"/>
                <w:lang w:val="nl-NL"/>
              </w:rPr>
              <w:t>65.9</w:t>
            </w:r>
          </w:p>
        </w:tc>
        <w:tc>
          <w:tcPr>
            <w:tcW w:w="666" w:type="dxa"/>
          </w:tcPr>
          <w:p w14:paraId="785E2A5B" w14:textId="77777777" w:rsidR="0080605D" w:rsidRPr="008B5A27" w:rsidRDefault="0080605D" w:rsidP="008B5A27">
            <w:pPr>
              <w:pStyle w:val="TCTableBody"/>
              <w:jc w:val="center"/>
              <w:rPr>
                <w:sz w:val="20"/>
                <w:lang w:val="nl-NL"/>
              </w:rPr>
            </w:pPr>
            <w:r w:rsidRPr="008B5A27">
              <w:rPr>
                <w:sz w:val="20"/>
                <w:lang w:val="nl-NL"/>
              </w:rPr>
              <w:t>68.5</w:t>
            </w:r>
          </w:p>
        </w:tc>
        <w:tc>
          <w:tcPr>
            <w:tcW w:w="667" w:type="dxa"/>
          </w:tcPr>
          <w:p w14:paraId="4F8BEDA7" w14:textId="77777777" w:rsidR="0080605D" w:rsidRPr="008B5A27" w:rsidRDefault="0080605D" w:rsidP="008B5A27">
            <w:pPr>
              <w:pStyle w:val="TCTableBody"/>
              <w:jc w:val="center"/>
              <w:rPr>
                <w:sz w:val="20"/>
                <w:lang w:val="nl-NL"/>
              </w:rPr>
            </w:pPr>
            <w:r w:rsidRPr="008B5A27">
              <w:rPr>
                <w:sz w:val="20"/>
                <w:lang w:val="nl-NL"/>
              </w:rPr>
              <w:t>70.5</w:t>
            </w:r>
          </w:p>
        </w:tc>
        <w:tc>
          <w:tcPr>
            <w:tcW w:w="667" w:type="dxa"/>
          </w:tcPr>
          <w:p w14:paraId="4628FE9A" w14:textId="77777777" w:rsidR="0080605D" w:rsidRPr="008B5A27" w:rsidRDefault="0080605D" w:rsidP="008B5A27">
            <w:pPr>
              <w:pStyle w:val="TCTableBody"/>
              <w:jc w:val="center"/>
              <w:rPr>
                <w:sz w:val="20"/>
                <w:lang w:val="nl-NL"/>
              </w:rPr>
            </w:pPr>
            <w:r w:rsidRPr="008B5A27">
              <w:rPr>
                <w:sz w:val="20"/>
                <w:lang w:val="nl-NL"/>
              </w:rPr>
              <w:t>93.3</w:t>
            </w:r>
          </w:p>
        </w:tc>
        <w:tc>
          <w:tcPr>
            <w:tcW w:w="666" w:type="dxa"/>
          </w:tcPr>
          <w:p w14:paraId="2DBC391B" w14:textId="77777777" w:rsidR="0080605D" w:rsidRPr="008B5A27" w:rsidRDefault="0080605D" w:rsidP="008B5A27">
            <w:pPr>
              <w:pStyle w:val="TCTableBody"/>
              <w:jc w:val="center"/>
              <w:rPr>
                <w:sz w:val="20"/>
                <w:lang w:val="nl-NL"/>
              </w:rPr>
            </w:pPr>
            <w:r w:rsidRPr="008B5A27">
              <w:rPr>
                <w:sz w:val="20"/>
                <w:lang w:val="nl-NL"/>
              </w:rPr>
              <w:t>98.7</w:t>
            </w:r>
          </w:p>
        </w:tc>
        <w:tc>
          <w:tcPr>
            <w:tcW w:w="667" w:type="dxa"/>
          </w:tcPr>
          <w:p w14:paraId="28E78E83" w14:textId="77777777" w:rsidR="0080605D" w:rsidRPr="008B5A27" w:rsidRDefault="0080605D" w:rsidP="008B5A27">
            <w:pPr>
              <w:pStyle w:val="TCTableBody"/>
              <w:jc w:val="center"/>
              <w:rPr>
                <w:sz w:val="20"/>
                <w:lang w:val="nl-NL"/>
              </w:rPr>
            </w:pPr>
            <w:r w:rsidRPr="008B5A27">
              <w:rPr>
                <w:sz w:val="20"/>
                <w:lang w:val="nl-NL"/>
              </w:rPr>
              <w:t>99.5</w:t>
            </w:r>
          </w:p>
        </w:tc>
        <w:tc>
          <w:tcPr>
            <w:tcW w:w="667" w:type="dxa"/>
          </w:tcPr>
          <w:p w14:paraId="5652F8ED" w14:textId="77777777" w:rsidR="0080605D" w:rsidRPr="008B5A27" w:rsidRDefault="0080605D" w:rsidP="008B5A27">
            <w:pPr>
              <w:pStyle w:val="TCTableBody"/>
              <w:jc w:val="center"/>
              <w:rPr>
                <w:sz w:val="20"/>
                <w:lang w:val="nl-NL"/>
              </w:rPr>
            </w:pPr>
            <w:r w:rsidRPr="008B5A27">
              <w:rPr>
                <w:sz w:val="20"/>
                <w:lang w:val="nl-NL"/>
              </w:rPr>
              <w:t>108.5</w:t>
            </w:r>
          </w:p>
        </w:tc>
      </w:tr>
      <w:tr w:rsidR="0080605D" w:rsidRPr="003C3195" w14:paraId="13029EF5" w14:textId="77777777" w:rsidTr="007E5E9E">
        <w:trPr>
          <w:trHeight w:val="170"/>
        </w:trPr>
        <w:tc>
          <w:tcPr>
            <w:tcW w:w="1021" w:type="dxa"/>
          </w:tcPr>
          <w:p w14:paraId="3C0C2FFF" w14:textId="77777777" w:rsidR="0080605D" w:rsidRPr="008B5A27" w:rsidRDefault="0080605D" w:rsidP="008B5A27">
            <w:pPr>
              <w:pStyle w:val="TCTableBody"/>
              <w:rPr>
                <w:sz w:val="20"/>
                <w:lang w:val="nl-NL"/>
              </w:rPr>
            </w:pPr>
            <w:r w:rsidRPr="008B5A27">
              <w:rPr>
                <w:sz w:val="20"/>
                <w:lang w:val="nl-NL"/>
              </w:rPr>
              <w:t>PU-5</w:t>
            </w:r>
          </w:p>
        </w:tc>
        <w:tc>
          <w:tcPr>
            <w:tcW w:w="705" w:type="dxa"/>
          </w:tcPr>
          <w:p w14:paraId="3A9A1072" w14:textId="77777777" w:rsidR="0080605D" w:rsidRPr="008B5A27" w:rsidRDefault="0080605D" w:rsidP="008B5A27">
            <w:pPr>
              <w:pStyle w:val="TCTableBody"/>
              <w:jc w:val="center"/>
              <w:rPr>
                <w:sz w:val="20"/>
                <w:lang w:val="nl-NL"/>
              </w:rPr>
            </w:pPr>
            <w:r w:rsidRPr="008B5A27">
              <w:rPr>
                <w:sz w:val="20"/>
                <w:lang w:val="nl-NL"/>
              </w:rPr>
              <w:t>6000</w:t>
            </w:r>
          </w:p>
        </w:tc>
        <w:tc>
          <w:tcPr>
            <w:tcW w:w="680" w:type="dxa"/>
          </w:tcPr>
          <w:p w14:paraId="4375B1D7" w14:textId="77777777" w:rsidR="0080605D" w:rsidRPr="008B5A27" w:rsidRDefault="0080605D" w:rsidP="008B5A27">
            <w:pPr>
              <w:pStyle w:val="TCTableBody"/>
              <w:jc w:val="center"/>
              <w:rPr>
                <w:sz w:val="20"/>
                <w:lang w:val="nl-NL"/>
              </w:rPr>
            </w:pPr>
            <w:r w:rsidRPr="008B5A27">
              <w:rPr>
                <w:sz w:val="20"/>
                <w:lang w:val="nl-NL"/>
              </w:rPr>
              <w:t>35</w:t>
            </w:r>
          </w:p>
        </w:tc>
        <w:tc>
          <w:tcPr>
            <w:tcW w:w="737" w:type="dxa"/>
          </w:tcPr>
          <w:p w14:paraId="15346970" w14:textId="77777777" w:rsidR="0080605D" w:rsidRPr="008B5A27" w:rsidRDefault="0080605D" w:rsidP="008B5A27">
            <w:pPr>
              <w:pStyle w:val="TCTableBody"/>
              <w:jc w:val="center"/>
              <w:rPr>
                <w:sz w:val="20"/>
                <w:lang w:val="nl-NL"/>
              </w:rPr>
            </w:pPr>
            <w:r w:rsidRPr="008B5A27">
              <w:rPr>
                <w:sz w:val="20"/>
                <w:lang w:val="nl-NL"/>
              </w:rPr>
              <w:t>10</w:t>
            </w:r>
          </w:p>
        </w:tc>
        <w:tc>
          <w:tcPr>
            <w:tcW w:w="737" w:type="dxa"/>
          </w:tcPr>
          <w:p w14:paraId="16BDA97C" w14:textId="77777777" w:rsidR="0080605D" w:rsidRPr="008B5A27" w:rsidRDefault="0080605D" w:rsidP="008B5A27">
            <w:pPr>
              <w:pStyle w:val="TCTableBody"/>
              <w:jc w:val="center"/>
              <w:rPr>
                <w:sz w:val="20"/>
                <w:lang w:val="nl-NL"/>
              </w:rPr>
            </w:pPr>
            <w:r w:rsidRPr="008B5A27">
              <w:rPr>
                <w:sz w:val="20"/>
                <w:lang w:val="nl-NL"/>
              </w:rPr>
              <w:t>50</w:t>
            </w:r>
          </w:p>
        </w:tc>
        <w:tc>
          <w:tcPr>
            <w:tcW w:w="510" w:type="dxa"/>
          </w:tcPr>
          <w:p w14:paraId="051BAB94"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119202B8" w14:textId="77777777" w:rsidR="0080605D" w:rsidRPr="008B5A27" w:rsidRDefault="0080605D" w:rsidP="008B5A27">
            <w:pPr>
              <w:pStyle w:val="TCTableBody"/>
              <w:jc w:val="center"/>
              <w:rPr>
                <w:sz w:val="20"/>
                <w:lang w:val="nl-NL"/>
              </w:rPr>
            </w:pPr>
            <w:r w:rsidRPr="008B5A27">
              <w:rPr>
                <w:sz w:val="20"/>
                <w:lang w:val="nl-NL"/>
              </w:rPr>
              <w:t>98.8</w:t>
            </w:r>
          </w:p>
        </w:tc>
        <w:tc>
          <w:tcPr>
            <w:tcW w:w="666" w:type="dxa"/>
          </w:tcPr>
          <w:p w14:paraId="297EF7EE" w14:textId="77777777" w:rsidR="0080605D" w:rsidRPr="008B5A27" w:rsidRDefault="0080605D" w:rsidP="008B5A27">
            <w:pPr>
              <w:pStyle w:val="TCTableBody"/>
              <w:jc w:val="center"/>
              <w:rPr>
                <w:sz w:val="20"/>
                <w:lang w:val="nl-NL"/>
              </w:rPr>
            </w:pPr>
            <w:r w:rsidRPr="008B5A27">
              <w:rPr>
                <w:sz w:val="20"/>
                <w:lang w:val="nl-NL"/>
              </w:rPr>
              <w:t>98.7</w:t>
            </w:r>
          </w:p>
        </w:tc>
        <w:tc>
          <w:tcPr>
            <w:tcW w:w="667" w:type="dxa"/>
          </w:tcPr>
          <w:p w14:paraId="06FA29F3" w14:textId="77777777" w:rsidR="0080605D" w:rsidRPr="008B5A27" w:rsidRDefault="0080605D" w:rsidP="008B5A27">
            <w:pPr>
              <w:pStyle w:val="TCTableBody"/>
              <w:jc w:val="center"/>
              <w:rPr>
                <w:sz w:val="20"/>
                <w:lang w:val="nl-NL"/>
              </w:rPr>
            </w:pPr>
            <w:r w:rsidRPr="008B5A27">
              <w:rPr>
                <w:sz w:val="20"/>
                <w:lang w:val="nl-NL"/>
              </w:rPr>
              <w:t>98.9</w:t>
            </w:r>
          </w:p>
        </w:tc>
        <w:tc>
          <w:tcPr>
            <w:tcW w:w="667" w:type="dxa"/>
          </w:tcPr>
          <w:p w14:paraId="46280381" w14:textId="77777777" w:rsidR="0080605D" w:rsidRPr="008B5A27" w:rsidRDefault="0080605D" w:rsidP="008B5A27">
            <w:pPr>
              <w:pStyle w:val="TCTableBody"/>
              <w:jc w:val="center"/>
              <w:rPr>
                <w:sz w:val="20"/>
                <w:lang w:val="nl-NL"/>
              </w:rPr>
            </w:pPr>
            <w:r w:rsidRPr="008B5A27">
              <w:rPr>
                <w:sz w:val="20"/>
                <w:lang w:val="nl-NL"/>
              </w:rPr>
              <w:t>74.1</w:t>
            </w:r>
          </w:p>
        </w:tc>
        <w:tc>
          <w:tcPr>
            <w:tcW w:w="666" w:type="dxa"/>
          </w:tcPr>
          <w:p w14:paraId="081B367F" w14:textId="77777777" w:rsidR="0080605D" w:rsidRPr="008B5A27" w:rsidRDefault="0080605D" w:rsidP="008B5A27">
            <w:pPr>
              <w:pStyle w:val="TCTableBody"/>
              <w:jc w:val="center"/>
              <w:rPr>
                <w:sz w:val="20"/>
                <w:lang w:val="nl-NL"/>
              </w:rPr>
            </w:pPr>
            <w:r w:rsidRPr="008B5A27">
              <w:rPr>
                <w:sz w:val="20"/>
                <w:lang w:val="nl-NL"/>
              </w:rPr>
              <w:t>97.5</w:t>
            </w:r>
          </w:p>
        </w:tc>
        <w:tc>
          <w:tcPr>
            <w:tcW w:w="667" w:type="dxa"/>
          </w:tcPr>
          <w:p w14:paraId="17065652" w14:textId="77777777" w:rsidR="0080605D" w:rsidRPr="008B5A27" w:rsidRDefault="0080605D" w:rsidP="008B5A27">
            <w:pPr>
              <w:pStyle w:val="TCTableBody"/>
              <w:jc w:val="center"/>
              <w:rPr>
                <w:sz w:val="20"/>
                <w:lang w:val="nl-NL"/>
              </w:rPr>
            </w:pPr>
            <w:r w:rsidRPr="008B5A27">
              <w:rPr>
                <w:sz w:val="20"/>
                <w:lang w:val="nl-NL"/>
              </w:rPr>
              <w:t>98.0</w:t>
            </w:r>
          </w:p>
        </w:tc>
        <w:tc>
          <w:tcPr>
            <w:tcW w:w="667" w:type="dxa"/>
          </w:tcPr>
          <w:p w14:paraId="692A3365" w14:textId="77777777" w:rsidR="0080605D" w:rsidRPr="008B5A27" w:rsidRDefault="0080605D" w:rsidP="008B5A27">
            <w:pPr>
              <w:pStyle w:val="TCTableBody"/>
              <w:jc w:val="center"/>
              <w:rPr>
                <w:sz w:val="20"/>
                <w:lang w:val="nl-NL"/>
              </w:rPr>
            </w:pPr>
            <w:r w:rsidRPr="008B5A27">
              <w:rPr>
                <w:sz w:val="20"/>
                <w:lang w:val="nl-NL"/>
              </w:rPr>
              <w:t>111.3</w:t>
            </w:r>
          </w:p>
        </w:tc>
      </w:tr>
      <w:tr w:rsidR="0080605D" w:rsidRPr="003C3195" w14:paraId="424AE77A" w14:textId="77777777" w:rsidTr="007E5E9E">
        <w:trPr>
          <w:trHeight w:val="170"/>
        </w:trPr>
        <w:tc>
          <w:tcPr>
            <w:tcW w:w="1021" w:type="dxa"/>
          </w:tcPr>
          <w:p w14:paraId="6698DABE" w14:textId="77777777" w:rsidR="0080605D" w:rsidRPr="008B5A27" w:rsidRDefault="0080605D" w:rsidP="008B5A27">
            <w:pPr>
              <w:pStyle w:val="TCTableBody"/>
              <w:rPr>
                <w:sz w:val="20"/>
                <w:lang w:val="nl-NL"/>
              </w:rPr>
            </w:pPr>
            <w:r w:rsidRPr="008B5A27">
              <w:rPr>
                <w:sz w:val="20"/>
                <w:lang w:val="nl-NL"/>
              </w:rPr>
              <w:t>PU-6</w:t>
            </w:r>
          </w:p>
        </w:tc>
        <w:tc>
          <w:tcPr>
            <w:tcW w:w="705" w:type="dxa"/>
          </w:tcPr>
          <w:p w14:paraId="110C9EA4" w14:textId="77777777" w:rsidR="0080605D" w:rsidRPr="008B5A27" w:rsidRDefault="0080605D" w:rsidP="008B5A27">
            <w:pPr>
              <w:pStyle w:val="TCTableBody"/>
              <w:jc w:val="center"/>
              <w:rPr>
                <w:sz w:val="20"/>
                <w:lang w:val="nl-NL"/>
              </w:rPr>
            </w:pPr>
            <w:r w:rsidRPr="008B5A27">
              <w:rPr>
                <w:sz w:val="20"/>
                <w:lang w:val="nl-NL"/>
              </w:rPr>
              <w:t>2000</w:t>
            </w:r>
          </w:p>
        </w:tc>
        <w:tc>
          <w:tcPr>
            <w:tcW w:w="680" w:type="dxa"/>
          </w:tcPr>
          <w:p w14:paraId="2C2EB778" w14:textId="77777777" w:rsidR="0080605D" w:rsidRPr="008B5A27" w:rsidRDefault="0080605D" w:rsidP="008B5A27">
            <w:pPr>
              <w:pStyle w:val="TCTableBody"/>
              <w:jc w:val="center"/>
              <w:rPr>
                <w:sz w:val="20"/>
                <w:lang w:val="nl-NL"/>
              </w:rPr>
            </w:pPr>
            <w:r w:rsidRPr="008B5A27">
              <w:rPr>
                <w:sz w:val="20"/>
                <w:lang w:val="nl-NL"/>
              </w:rPr>
              <w:t>65</w:t>
            </w:r>
          </w:p>
        </w:tc>
        <w:tc>
          <w:tcPr>
            <w:tcW w:w="737" w:type="dxa"/>
          </w:tcPr>
          <w:p w14:paraId="174151C9" w14:textId="77777777" w:rsidR="0080605D" w:rsidRPr="008B5A27" w:rsidRDefault="0080605D" w:rsidP="008B5A27">
            <w:pPr>
              <w:pStyle w:val="TCTableBody"/>
              <w:jc w:val="center"/>
              <w:rPr>
                <w:sz w:val="20"/>
                <w:lang w:val="nl-NL"/>
              </w:rPr>
            </w:pPr>
            <w:r w:rsidRPr="008B5A27">
              <w:rPr>
                <w:sz w:val="20"/>
                <w:lang w:val="nl-NL"/>
              </w:rPr>
              <w:t>10</w:t>
            </w:r>
          </w:p>
        </w:tc>
        <w:tc>
          <w:tcPr>
            <w:tcW w:w="737" w:type="dxa"/>
          </w:tcPr>
          <w:p w14:paraId="3FEB41AB" w14:textId="77777777" w:rsidR="0080605D" w:rsidRPr="008B5A27" w:rsidRDefault="0080605D" w:rsidP="008B5A27">
            <w:pPr>
              <w:pStyle w:val="TCTableBody"/>
              <w:jc w:val="center"/>
              <w:rPr>
                <w:sz w:val="20"/>
                <w:lang w:val="nl-NL"/>
              </w:rPr>
            </w:pPr>
            <w:r w:rsidRPr="008B5A27">
              <w:rPr>
                <w:sz w:val="20"/>
                <w:lang w:val="nl-NL"/>
              </w:rPr>
              <w:t>20</w:t>
            </w:r>
          </w:p>
        </w:tc>
        <w:tc>
          <w:tcPr>
            <w:tcW w:w="510" w:type="dxa"/>
          </w:tcPr>
          <w:p w14:paraId="3F43190F" w14:textId="77777777" w:rsidR="0080605D" w:rsidRPr="008B5A27" w:rsidRDefault="0080605D" w:rsidP="008B5A27">
            <w:pPr>
              <w:pStyle w:val="TCTableBody"/>
              <w:jc w:val="center"/>
              <w:rPr>
                <w:sz w:val="20"/>
                <w:lang w:val="nl-NL"/>
              </w:rPr>
            </w:pPr>
            <w:r w:rsidRPr="008B5A27">
              <w:rPr>
                <w:sz w:val="20"/>
                <w:lang w:val="nl-NL"/>
              </w:rPr>
              <w:t>90</w:t>
            </w:r>
          </w:p>
        </w:tc>
        <w:tc>
          <w:tcPr>
            <w:tcW w:w="667" w:type="dxa"/>
          </w:tcPr>
          <w:p w14:paraId="0C25296C" w14:textId="77777777" w:rsidR="0080605D" w:rsidRPr="008B5A27" w:rsidRDefault="0080605D" w:rsidP="008B5A27">
            <w:pPr>
              <w:pStyle w:val="TCTableBody"/>
              <w:jc w:val="center"/>
              <w:rPr>
                <w:sz w:val="20"/>
                <w:lang w:val="nl-NL"/>
              </w:rPr>
            </w:pPr>
            <w:r w:rsidRPr="008B5A27">
              <w:rPr>
                <w:sz w:val="20"/>
                <w:lang w:val="nl-NL"/>
              </w:rPr>
              <w:t>88.1</w:t>
            </w:r>
          </w:p>
        </w:tc>
        <w:tc>
          <w:tcPr>
            <w:tcW w:w="666" w:type="dxa"/>
          </w:tcPr>
          <w:p w14:paraId="08B2C6F7" w14:textId="77777777" w:rsidR="0080605D" w:rsidRPr="008B5A27" w:rsidRDefault="0080605D" w:rsidP="008B5A27">
            <w:pPr>
              <w:pStyle w:val="TCTableBody"/>
              <w:jc w:val="center"/>
              <w:rPr>
                <w:sz w:val="20"/>
                <w:lang w:val="nl-NL"/>
              </w:rPr>
            </w:pPr>
            <w:r w:rsidRPr="008B5A27">
              <w:rPr>
                <w:sz w:val="20"/>
                <w:lang w:val="nl-NL"/>
              </w:rPr>
              <w:t>89.7</w:t>
            </w:r>
          </w:p>
        </w:tc>
        <w:tc>
          <w:tcPr>
            <w:tcW w:w="667" w:type="dxa"/>
          </w:tcPr>
          <w:p w14:paraId="4D87A415" w14:textId="77777777" w:rsidR="0080605D" w:rsidRPr="008B5A27" w:rsidRDefault="0080605D" w:rsidP="008B5A27">
            <w:pPr>
              <w:pStyle w:val="TCTableBody"/>
              <w:jc w:val="center"/>
              <w:rPr>
                <w:sz w:val="20"/>
                <w:lang w:val="nl-NL"/>
              </w:rPr>
            </w:pPr>
            <w:r w:rsidRPr="008B5A27">
              <w:rPr>
                <w:sz w:val="20"/>
                <w:lang w:val="nl-NL"/>
              </w:rPr>
              <w:t>90.0</w:t>
            </w:r>
          </w:p>
        </w:tc>
        <w:tc>
          <w:tcPr>
            <w:tcW w:w="667" w:type="dxa"/>
          </w:tcPr>
          <w:p w14:paraId="67AE95DD" w14:textId="77777777" w:rsidR="0080605D" w:rsidRPr="008B5A27" w:rsidRDefault="0080605D" w:rsidP="008B5A27">
            <w:pPr>
              <w:pStyle w:val="TCTableBody"/>
              <w:jc w:val="center"/>
              <w:rPr>
                <w:sz w:val="20"/>
                <w:lang w:val="nl-NL"/>
              </w:rPr>
            </w:pPr>
            <w:r w:rsidRPr="008B5A27">
              <w:rPr>
                <w:sz w:val="20"/>
                <w:lang w:val="nl-NL"/>
              </w:rPr>
              <w:t>72.8</w:t>
            </w:r>
          </w:p>
        </w:tc>
        <w:tc>
          <w:tcPr>
            <w:tcW w:w="666" w:type="dxa"/>
          </w:tcPr>
          <w:p w14:paraId="2FB83021" w14:textId="77777777" w:rsidR="0080605D" w:rsidRPr="008B5A27" w:rsidRDefault="0080605D" w:rsidP="008B5A27">
            <w:pPr>
              <w:pStyle w:val="TCTableBody"/>
              <w:jc w:val="center"/>
              <w:rPr>
                <w:sz w:val="20"/>
                <w:lang w:val="nl-NL"/>
              </w:rPr>
            </w:pPr>
            <w:r w:rsidRPr="008B5A27">
              <w:rPr>
                <w:sz w:val="20"/>
                <w:lang w:val="nl-NL"/>
              </w:rPr>
              <w:t>94.6</w:t>
            </w:r>
          </w:p>
        </w:tc>
        <w:tc>
          <w:tcPr>
            <w:tcW w:w="667" w:type="dxa"/>
          </w:tcPr>
          <w:p w14:paraId="481B2A98" w14:textId="77777777" w:rsidR="0080605D" w:rsidRPr="008B5A27" w:rsidRDefault="0080605D" w:rsidP="008B5A27">
            <w:pPr>
              <w:pStyle w:val="TCTableBody"/>
              <w:jc w:val="center"/>
              <w:rPr>
                <w:sz w:val="20"/>
                <w:lang w:val="nl-NL"/>
              </w:rPr>
            </w:pPr>
            <w:r w:rsidRPr="008B5A27">
              <w:rPr>
                <w:sz w:val="20"/>
                <w:lang w:val="nl-NL"/>
              </w:rPr>
              <w:t>97.3</w:t>
            </w:r>
          </w:p>
        </w:tc>
        <w:tc>
          <w:tcPr>
            <w:tcW w:w="667" w:type="dxa"/>
          </w:tcPr>
          <w:p w14:paraId="553DE36E" w14:textId="77777777" w:rsidR="0080605D" w:rsidRPr="008B5A27" w:rsidRDefault="0080605D" w:rsidP="008B5A27">
            <w:pPr>
              <w:pStyle w:val="TCTableBody"/>
              <w:jc w:val="center"/>
              <w:rPr>
                <w:sz w:val="20"/>
                <w:lang w:val="nl-NL"/>
              </w:rPr>
            </w:pPr>
            <w:r w:rsidRPr="008B5A27">
              <w:rPr>
                <w:sz w:val="20"/>
                <w:lang w:val="nl-NL"/>
              </w:rPr>
              <w:t>25.5</w:t>
            </w:r>
          </w:p>
        </w:tc>
      </w:tr>
      <w:tr w:rsidR="0080605D" w:rsidRPr="003C3195" w14:paraId="530415F9" w14:textId="77777777" w:rsidTr="007E5E9E">
        <w:trPr>
          <w:trHeight w:val="170"/>
        </w:trPr>
        <w:tc>
          <w:tcPr>
            <w:tcW w:w="1021" w:type="dxa"/>
          </w:tcPr>
          <w:p w14:paraId="4E9EF81B" w14:textId="6D365AB4" w:rsidR="0080605D" w:rsidRPr="008B5A27" w:rsidRDefault="00EE492A" w:rsidP="008B5A27">
            <w:pPr>
              <w:pStyle w:val="TCTableBody"/>
              <w:rPr>
                <w:sz w:val="20"/>
                <w:lang w:val="nl-NL"/>
              </w:rPr>
            </w:pPr>
            <w:r w:rsidRPr="008B5A27">
              <w:rPr>
                <w:sz w:val="20"/>
                <w:lang w:val="nl-NL"/>
              </w:rPr>
              <w:t>PU-7</w:t>
            </w:r>
            <w:r w:rsidRPr="008B5A27">
              <w:rPr>
                <w:sz w:val="20"/>
                <w:vertAlign w:val="superscript"/>
                <w:lang w:val="nl-NL"/>
              </w:rPr>
              <w:t>a</w:t>
            </w:r>
          </w:p>
        </w:tc>
        <w:tc>
          <w:tcPr>
            <w:tcW w:w="705" w:type="dxa"/>
          </w:tcPr>
          <w:p w14:paraId="43A0F3E8" w14:textId="77777777" w:rsidR="0080605D" w:rsidRPr="008B5A27" w:rsidRDefault="0080605D" w:rsidP="008B5A27">
            <w:pPr>
              <w:pStyle w:val="TCTableBody"/>
              <w:jc w:val="center"/>
              <w:rPr>
                <w:sz w:val="20"/>
                <w:lang w:val="nl-NL"/>
              </w:rPr>
            </w:pPr>
            <w:r w:rsidRPr="008B5A27">
              <w:rPr>
                <w:sz w:val="20"/>
                <w:lang w:val="nl-NL"/>
              </w:rPr>
              <w:t>6000</w:t>
            </w:r>
          </w:p>
        </w:tc>
        <w:tc>
          <w:tcPr>
            <w:tcW w:w="680" w:type="dxa"/>
          </w:tcPr>
          <w:p w14:paraId="10B9EBCB" w14:textId="77777777" w:rsidR="0080605D" w:rsidRPr="008B5A27" w:rsidRDefault="0080605D" w:rsidP="008B5A27">
            <w:pPr>
              <w:pStyle w:val="TCTableBody"/>
              <w:jc w:val="center"/>
              <w:rPr>
                <w:sz w:val="20"/>
                <w:lang w:val="nl-NL"/>
              </w:rPr>
            </w:pPr>
            <w:r w:rsidRPr="008B5A27">
              <w:rPr>
                <w:sz w:val="20"/>
                <w:lang w:val="nl-NL"/>
              </w:rPr>
              <w:t>35</w:t>
            </w:r>
          </w:p>
        </w:tc>
        <w:tc>
          <w:tcPr>
            <w:tcW w:w="737" w:type="dxa"/>
          </w:tcPr>
          <w:p w14:paraId="47977C6C"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198D257C" w14:textId="77777777" w:rsidR="0080605D" w:rsidRPr="008B5A27" w:rsidRDefault="0080605D" w:rsidP="008B5A27">
            <w:pPr>
              <w:pStyle w:val="TCTableBody"/>
              <w:jc w:val="center"/>
              <w:rPr>
                <w:sz w:val="20"/>
                <w:lang w:val="nl-NL"/>
              </w:rPr>
            </w:pPr>
            <w:r w:rsidRPr="008B5A27">
              <w:rPr>
                <w:sz w:val="20"/>
                <w:lang w:val="nl-NL"/>
              </w:rPr>
              <w:t>35</w:t>
            </w:r>
          </w:p>
        </w:tc>
        <w:tc>
          <w:tcPr>
            <w:tcW w:w="510" w:type="dxa"/>
          </w:tcPr>
          <w:p w14:paraId="56E3CF40" w14:textId="77777777" w:rsidR="0080605D" w:rsidRPr="008B5A27" w:rsidRDefault="0080605D" w:rsidP="008B5A27">
            <w:pPr>
              <w:pStyle w:val="TCTableBody"/>
              <w:jc w:val="center"/>
              <w:rPr>
                <w:sz w:val="20"/>
                <w:lang w:val="nl-NL"/>
              </w:rPr>
            </w:pPr>
            <w:r w:rsidRPr="008B5A27">
              <w:rPr>
                <w:sz w:val="20"/>
                <w:lang w:val="nl-NL"/>
              </w:rPr>
              <w:t>90</w:t>
            </w:r>
          </w:p>
        </w:tc>
        <w:tc>
          <w:tcPr>
            <w:tcW w:w="667" w:type="dxa"/>
          </w:tcPr>
          <w:p w14:paraId="7C92B5D8" w14:textId="77777777" w:rsidR="0080605D" w:rsidRPr="008B5A27" w:rsidRDefault="0080605D" w:rsidP="008B5A27">
            <w:pPr>
              <w:pStyle w:val="TCTableBody"/>
              <w:jc w:val="center"/>
              <w:rPr>
                <w:sz w:val="20"/>
                <w:lang w:val="nl-NL"/>
              </w:rPr>
            </w:pPr>
            <w:r w:rsidRPr="008B5A27">
              <w:rPr>
                <w:sz w:val="20"/>
                <w:lang w:val="nl-NL"/>
              </w:rPr>
              <w:t>-</w:t>
            </w:r>
          </w:p>
        </w:tc>
        <w:tc>
          <w:tcPr>
            <w:tcW w:w="666" w:type="dxa"/>
          </w:tcPr>
          <w:p w14:paraId="23571961" w14:textId="77777777" w:rsidR="0080605D" w:rsidRPr="008B5A27" w:rsidRDefault="0080605D" w:rsidP="008B5A27">
            <w:pPr>
              <w:pStyle w:val="TCTableBody"/>
              <w:jc w:val="center"/>
              <w:rPr>
                <w:sz w:val="20"/>
                <w:lang w:val="nl-NL"/>
              </w:rPr>
            </w:pPr>
            <w:r w:rsidRPr="008B5A27">
              <w:rPr>
                <w:sz w:val="20"/>
                <w:lang w:val="nl-NL"/>
              </w:rPr>
              <w:t>-</w:t>
            </w:r>
          </w:p>
        </w:tc>
        <w:tc>
          <w:tcPr>
            <w:tcW w:w="667" w:type="dxa"/>
          </w:tcPr>
          <w:p w14:paraId="5F756618" w14:textId="77777777" w:rsidR="0080605D" w:rsidRPr="008B5A27" w:rsidRDefault="0080605D" w:rsidP="008B5A27">
            <w:pPr>
              <w:pStyle w:val="TCTableBody"/>
              <w:jc w:val="center"/>
              <w:rPr>
                <w:sz w:val="20"/>
                <w:lang w:val="nl-NL"/>
              </w:rPr>
            </w:pPr>
            <w:r w:rsidRPr="008B5A27">
              <w:rPr>
                <w:sz w:val="20"/>
                <w:lang w:val="nl-NL"/>
              </w:rPr>
              <w:t>-</w:t>
            </w:r>
          </w:p>
        </w:tc>
        <w:tc>
          <w:tcPr>
            <w:tcW w:w="667" w:type="dxa"/>
          </w:tcPr>
          <w:p w14:paraId="35DA87FA" w14:textId="77777777" w:rsidR="0080605D" w:rsidRPr="008B5A27" w:rsidRDefault="0080605D" w:rsidP="008B5A27">
            <w:pPr>
              <w:pStyle w:val="TCTableBody"/>
              <w:jc w:val="center"/>
              <w:rPr>
                <w:sz w:val="20"/>
                <w:lang w:val="nl-NL"/>
              </w:rPr>
            </w:pPr>
            <w:r w:rsidRPr="008B5A27">
              <w:rPr>
                <w:sz w:val="20"/>
                <w:lang w:val="nl-NL"/>
              </w:rPr>
              <w:t>-</w:t>
            </w:r>
          </w:p>
        </w:tc>
        <w:tc>
          <w:tcPr>
            <w:tcW w:w="666" w:type="dxa"/>
          </w:tcPr>
          <w:p w14:paraId="1B9F52D2" w14:textId="77777777" w:rsidR="0080605D" w:rsidRPr="008B5A27" w:rsidRDefault="0080605D" w:rsidP="008B5A27">
            <w:pPr>
              <w:pStyle w:val="TCTableBody"/>
              <w:jc w:val="center"/>
              <w:rPr>
                <w:sz w:val="20"/>
                <w:lang w:val="nl-NL"/>
              </w:rPr>
            </w:pPr>
            <w:r w:rsidRPr="008B5A27">
              <w:rPr>
                <w:sz w:val="20"/>
                <w:lang w:val="nl-NL"/>
              </w:rPr>
              <w:t>-</w:t>
            </w:r>
          </w:p>
        </w:tc>
        <w:tc>
          <w:tcPr>
            <w:tcW w:w="667" w:type="dxa"/>
          </w:tcPr>
          <w:p w14:paraId="4A390354" w14:textId="77777777" w:rsidR="0080605D" w:rsidRPr="008B5A27" w:rsidRDefault="0080605D" w:rsidP="008B5A27">
            <w:pPr>
              <w:pStyle w:val="TCTableBody"/>
              <w:jc w:val="center"/>
              <w:rPr>
                <w:sz w:val="20"/>
                <w:lang w:val="nl-NL"/>
              </w:rPr>
            </w:pPr>
            <w:r w:rsidRPr="008B5A27">
              <w:rPr>
                <w:sz w:val="20"/>
                <w:lang w:val="nl-NL"/>
              </w:rPr>
              <w:t>-</w:t>
            </w:r>
          </w:p>
        </w:tc>
        <w:tc>
          <w:tcPr>
            <w:tcW w:w="667" w:type="dxa"/>
          </w:tcPr>
          <w:p w14:paraId="08417A79" w14:textId="77777777" w:rsidR="0080605D" w:rsidRPr="008B5A27" w:rsidRDefault="0080605D" w:rsidP="008B5A27">
            <w:pPr>
              <w:pStyle w:val="TCTableBody"/>
              <w:jc w:val="center"/>
              <w:rPr>
                <w:sz w:val="20"/>
                <w:lang w:val="nl-NL"/>
              </w:rPr>
            </w:pPr>
            <w:r w:rsidRPr="008B5A27">
              <w:rPr>
                <w:sz w:val="20"/>
                <w:lang w:val="nl-NL"/>
              </w:rPr>
              <w:t>101.3</w:t>
            </w:r>
          </w:p>
        </w:tc>
      </w:tr>
      <w:tr w:rsidR="0080605D" w:rsidRPr="003C3195" w14:paraId="06BE5859" w14:textId="77777777" w:rsidTr="007E5E9E">
        <w:trPr>
          <w:trHeight w:val="170"/>
        </w:trPr>
        <w:tc>
          <w:tcPr>
            <w:tcW w:w="1021" w:type="dxa"/>
          </w:tcPr>
          <w:p w14:paraId="5ECBDD21" w14:textId="77777777" w:rsidR="0080605D" w:rsidRPr="008B5A27" w:rsidRDefault="0080605D" w:rsidP="008B5A27">
            <w:pPr>
              <w:pStyle w:val="TCTableBody"/>
              <w:rPr>
                <w:sz w:val="20"/>
                <w:lang w:val="nl-NL"/>
              </w:rPr>
            </w:pPr>
            <w:r w:rsidRPr="008B5A27">
              <w:rPr>
                <w:sz w:val="20"/>
                <w:lang w:val="nl-NL"/>
              </w:rPr>
              <w:t>PU-8</w:t>
            </w:r>
          </w:p>
        </w:tc>
        <w:tc>
          <w:tcPr>
            <w:tcW w:w="705" w:type="dxa"/>
          </w:tcPr>
          <w:p w14:paraId="4DEF1580" w14:textId="77777777" w:rsidR="0080605D" w:rsidRPr="008B5A27" w:rsidRDefault="0080605D" w:rsidP="008B5A27">
            <w:pPr>
              <w:pStyle w:val="TCTableBody"/>
              <w:jc w:val="center"/>
              <w:rPr>
                <w:sz w:val="20"/>
                <w:lang w:val="nl-NL"/>
              </w:rPr>
            </w:pPr>
            <w:r w:rsidRPr="008B5A27">
              <w:rPr>
                <w:sz w:val="20"/>
                <w:lang w:val="nl-NL"/>
              </w:rPr>
              <w:t>2000</w:t>
            </w:r>
          </w:p>
        </w:tc>
        <w:tc>
          <w:tcPr>
            <w:tcW w:w="680" w:type="dxa"/>
          </w:tcPr>
          <w:p w14:paraId="6818B985" w14:textId="77777777" w:rsidR="0080605D" w:rsidRPr="008B5A27" w:rsidRDefault="0080605D" w:rsidP="008B5A27">
            <w:pPr>
              <w:pStyle w:val="TCTableBody"/>
              <w:jc w:val="center"/>
              <w:rPr>
                <w:sz w:val="20"/>
                <w:lang w:val="nl-NL"/>
              </w:rPr>
            </w:pPr>
            <w:r w:rsidRPr="008B5A27">
              <w:rPr>
                <w:sz w:val="20"/>
                <w:lang w:val="nl-NL"/>
              </w:rPr>
              <w:t>65</w:t>
            </w:r>
          </w:p>
        </w:tc>
        <w:tc>
          <w:tcPr>
            <w:tcW w:w="737" w:type="dxa"/>
          </w:tcPr>
          <w:p w14:paraId="17922459" w14:textId="77777777" w:rsidR="0080605D" w:rsidRPr="008B5A27" w:rsidRDefault="0080605D" w:rsidP="008B5A27">
            <w:pPr>
              <w:pStyle w:val="TCTableBody"/>
              <w:jc w:val="center"/>
              <w:rPr>
                <w:sz w:val="20"/>
                <w:lang w:val="nl-NL"/>
              </w:rPr>
            </w:pPr>
            <w:r w:rsidRPr="008B5A27">
              <w:rPr>
                <w:sz w:val="20"/>
                <w:lang w:val="nl-NL"/>
              </w:rPr>
              <w:t>5</w:t>
            </w:r>
          </w:p>
        </w:tc>
        <w:tc>
          <w:tcPr>
            <w:tcW w:w="737" w:type="dxa"/>
          </w:tcPr>
          <w:p w14:paraId="5C891590" w14:textId="77777777" w:rsidR="0080605D" w:rsidRPr="008B5A27" w:rsidRDefault="0080605D" w:rsidP="008B5A27">
            <w:pPr>
              <w:pStyle w:val="TCTableBody"/>
              <w:jc w:val="center"/>
              <w:rPr>
                <w:sz w:val="20"/>
                <w:lang w:val="nl-NL"/>
              </w:rPr>
            </w:pPr>
            <w:r w:rsidRPr="008B5A27">
              <w:rPr>
                <w:sz w:val="20"/>
                <w:lang w:val="nl-NL"/>
              </w:rPr>
              <w:t>35</w:t>
            </w:r>
          </w:p>
        </w:tc>
        <w:tc>
          <w:tcPr>
            <w:tcW w:w="510" w:type="dxa"/>
          </w:tcPr>
          <w:p w14:paraId="120D2E1A"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1EAE476E" w14:textId="77777777" w:rsidR="0080605D" w:rsidRPr="008B5A27" w:rsidRDefault="0080605D" w:rsidP="008B5A27">
            <w:pPr>
              <w:pStyle w:val="TCTableBody"/>
              <w:jc w:val="center"/>
              <w:rPr>
                <w:sz w:val="20"/>
                <w:lang w:val="nl-NL"/>
              </w:rPr>
            </w:pPr>
            <w:r w:rsidRPr="008B5A27">
              <w:rPr>
                <w:sz w:val="20"/>
                <w:lang w:val="nl-NL"/>
              </w:rPr>
              <w:t>77.5</w:t>
            </w:r>
          </w:p>
        </w:tc>
        <w:tc>
          <w:tcPr>
            <w:tcW w:w="666" w:type="dxa"/>
          </w:tcPr>
          <w:p w14:paraId="1EF71257" w14:textId="77777777" w:rsidR="0080605D" w:rsidRPr="008B5A27" w:rsidRDefault="0080605D" w:rsidP="008B5A27">
            <w:pPr>
              <w:pStyle w:val="TCTableBody"/>
              <w:jc w:val="center"/>
              <w:rPr>
                <w:sz w:val="20"/>
                <w:lang w:val="nl-NL"/>
              </w:rPr>
            </w:pPr>
            <w:r w:rsidRPr="008B5A27">
              <w:rPr>
                <w:sz w:val="20"/>
                <w:lang w:val="nl-NL"/>
              </w:rPr>
              <w:t>77.0</w:t>
            </w:r>
          </w:p>
        </w:tc>
        <w:tc>
          <w:tcPr>
            <w:tcW w:w="667" w:type="dxa"/>
          </w:tcPr>
          <w:p w14:paraId="0787631C" w14:textId="77777777" w:rsidR="0080605D" w:rsidRPr="008B5A27" w:rsidRDefault="0080605D" w:rsidP="008B5A27">
            <w:pPr>
              <w:pStyle w:val="TCTableBody"/>
              <w:jc w:val="center"/>
              <w:rPr>
                <w:sz w:val="20"/>
                <w:lang w:val="nl-NL"/>
              </w:rPr>
            </w:pPr>
            <w:r w:rsidRPr="008B5A27">
              <w:rPr>
                <w:sz w:val="20"/>
                <w:lang w:val="nl-NL"/>
              </w:rPr>
              <w:t>77.5</w:t>
            </w:r>
          </w:p>
        </w:tc>
        <w:tc>
          <w:tcPr>
            <w:tcW w:w="667" w:type="dxa"/>
          </w:tcPr>
          <w:p w14:paraId="6FF1D1EE" w14:textId="77777777" w:rsidR="0080605D" w:rsidRPr="008B5A27" w:rsidRDefault="0080605D" w:rsidP="008B5A27">
            <w:pPr>
              <w:pStyle w:val="TCTableBody"/>
              <w:jc w:val="center"/>
              <w:rPr>
                <w:sz w:val="20"/>
                <w:lang w:val="nl-NL"/>
              </w:rPr>
            </w:pPr>
            <w:r w:rsidRPr="008B5A27">
              <w:rPr>
                <w:sz w:val="20"/>
                <w:lang w:val="nl-NL"/>
              </w:rPr>
              <w:t>73.2</w:t>
            </w:r>
          </w:p>
        </w:tc>
        <w:tc>
          <w:tcPr>
            <w:tcW w:w="666" w:type="dxa"/>
          </w:tcPr>
          <w:p w14:paraId="2B0F9079" w14:textId="77777777" w:rsidR="0080605D" w:rsidRPr="008B5A27" w:rsidRDefault="0080605D" w:rsidP="008B5A27">
            <w:pPr>
              <w:pStyle w:val="TCTableBody"/>
              <w:jc w:val="center"/>
              <w:rPr>
                <w:sz w:val="20"/>
                <w:lang w:val="nl-NL"/>
              </w:rPr>
            </w:pPr>
            <w:r w:rsidRPr="008B5A27">
              <w:rPr>
                <w:sz w:val="20"/>
                <w:lang w:val="nl-NL"/>
              </w:rPr>
              <w:t>97.8</w:t>
            </w:r>
          </w:p>
        </w:tc>
        <w:tc>
          <w:tcPr>
            <w:tcW w:w="667" w:type="dxa"/>
          </w:tcPr>
          <w:p w14:paraId="0F2632EC" w14:textId="77777777" w:rsidR="0080605D" w:rsidRPr="008B5A27" w:rsidRDefault="0080605D" w:rsidP="008B5A27">
            <w:pPr>
              <w:pStyle w:val="TCTableBody"/>
              <w:jc w:val="center"/>
              <w:rPr>
                <w:sz w:val="20"/>
                <w:lang w:val="nl-NL"/>
              </w:rPr>
            </w:pPr>
            <w:r w:rsidRPr="008B5A27">
              <w:rPr>
                <w:sz w:val="20"/>
                <w:lang w:val="nl-NL"/>
              </w:rPr>
              <w:t>98.3</w:t>
            </w:r>
          </w:p>
        </w:tc>
        <w:tc>
          <w:tcPr>
            <w:tcW w:w="667" w:type="dxa"/>
          </w:tcPr>
          <w:p w14:paraId="477C4DB8" w14:textId="77777777" w:rsidR="0080605D" w:rsidRPr="008B5A27" w:rsidRDefault="0080605D" w:rsidP="008B5A27">
            <w:pPr>
              <w:pStyle w:val="TCTableBody"/>
              <w:jc w:val="center"/>
              <w:rPr>
                <w:sz w:val="20"/>
                <w:lang w:val="nl-NL"/>
              </w:rPr>
            </w:pPr>
            <w:r w:rsidRPr="008B5A27">
              <w:rPr>
                <w:sz w:val="20"/>
                <w:lang w:val="nl-NL"/>
              </w:rPr>
              <w:t>29.0</w:t>
            </w:r>
          </w:p>
        </w:tc>
      </w:tr>
      <w:tr w:rsidR="0080605D" w:rsidRPr="003C3195" w14:paraId="56489F08" w14:textId="77777777" w:rsidTr="007E5E9E">
        <w:trPr>
          <w:trHeight w:val="170"/>
        </w:trPr>
        <w:tc>
          <w:tcPr>
            <w:tcW w:w="1021" w:type="dxa"/>
          </w:tcPr>
          <w:p w14:paraId="4F501344" w14:textId="77777777" w:rsidR="0080605D" w:rsidRPr="008B5A27" w:rsidRDefault="0080605D" w:rsidP="008B5A27">
            <w:pPr>
              <w:pStyle w:val="TCTableBody"/>
              <w:rPr>
                <w:sz w:val="20"/>
                <w:lang w:val="nl-NL"/>
              </w:rPr>
            </w:pPr>
            <w:r w:rsidRPr="008B5A27">
              <w:rPr>
                <w:sz w:val="20"/>
                <w:lang w:val="nl-NL"/>
              </w:rPr>
              <w:t>PU-9</w:t>
            </w:r>
          </w:p>
        </w:tc>
        <w:tc>
          <w:tcPr>
            <w:tcW w:w="705" w:type="dxa"/>
          </w:tcPr>
          <w:p w14:paraId="4DFFF5BD" w14:textId="77777777" w:rsidR="0080605D" w:rsidRPr="008B5A27" w:rsidRDefault="0080605D" w:rsidP="008B5A27">
            <w:pPr>
              <w:pStyle w:val="TCTableBody"/>
              <w:jc w:val="center"/>
              <w:rPr>
                <w:sz w:val="20"/>
                <w:lang w:val="nl-NL"/>
              </w:rPr>
            </w:pPr>
            <w:r w:rsidRPr="008B5A27">
              <w:rPr>
                <w:sz w:val="20"/>
                <w:lang w:val="nl-NL"/>
              </w:rPr>
              <w:t>6000</w:t>
            </w:r>
          </w:p>
        </w:tc>
        <w:tc>
          <w:tcPr>
            <w:tcW w:w="680" w:type="dxa"/>
          </w:tcPr>
          <w:p w14:paraId="6F832BEC" w14:textId="77777777" w:rsidR="0080605D" w:rsidRPr="008B5A27" w:rsidRDefault="0080605D" w:rsidP="008B5A27">
            <w:pPr>
              <w:pStyle w:val="TCTableBody"/>
              <w:jc w:val="center"/>
              <w:rPr>
                <w:sz w:val="20"/>
                <w:lang w:val="nl-NL"/>
              </w:rPr>
            </w:pPr>
            <w:r w:rsidRPr="008B5A27">
              <w:rPr>
                <w:sz w:val="20"/>
                <w:lang w:val="nl-NL"/>
              </w:rPr>
              <w:t>65</w:t>
            </w:r>
          </w:p>
        </w:tc>
        <w:tc>
          <w:tcPr>
            <w:tcW w:w="737" w:type="dxa"/>
          </w:tcPr>
          <w:p w14:paraId="1638FBE4"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232416BF" w14:textId="77777777" w:rsidR="0080605D" w:rsidRPr="008B5A27" w:rsidRDefault="0080605D" w:rsidP="008B5A27">
            <w:pPr>
              <w:pStyle w:val="TCTableBody"/>
              <w:jc w:val="center"/>
              <w:rPr>
                <w:sz w:val="20"/>
                <w:lang w:val="nl-NL"/>
              </w:rPr>
            </w:pPr>
            <w:r w:rsidRPr="008B5A27">
              <w:rPr>
                <w:sz w:val="20"/>
                <w:lang w:val="nl-NL"/>
              </w:rPr>
              <w:t>50</w:t>
            </w:r>
          </w:p>
        </w:tc>
        <w:tc>
          <w:tcPr>
            <w:tcW w:w="510" w:type="dxa"/>
          </w:tcPr>
          <w:p w14:paraId="3A896AB7" w14:textId="77777777" w:rsidR="0080605D" w:rsidRPr="008B5A27" w:rsidRDefault="0080605D" w:rsidP="008B5A27">
            <w:pPr>
              <w:pStyle w:val="TCTableBody"/>
              <w:jc w:val="center"/>
              <w:rPr>
                <w:sz w:val="20"/>
                <w:lang w:val="nl-NL"/>
              </w:rPr>
            </w:pPr>
            <w:r w:rsidRPr="008B5A27">
              <w:rPr>
                <w:sz w:val="20"/>
                <w:lang w:val="nl-NL"/>
              </w:rPr>
              <w:t>80</w:t>
            </w:r>
          </w:p>
        </w:tc>
        <w:tc>
          <w:tcPr>
            <w:tcW w:w="667" w:type="dxa"/>
          </w:tcPr>
          <w:p w14:paraId="44CFB357" w14:textId="77777777" w:rsidR="0080605D" w:rsidRPr="008B5A27" w:rsidRDefault="0080605D" w:rsidP="008B5A27">
            <w:pPr>
              <w:pStyle w:val="TCTableBody"/>
              <w:jc w:val="center"/>
              <w:rPr>
                <w:sz w:val="20"/>
                <w:lang w:val="nl-NL"/>
              </w:rPr>
            </w:pPr>
            <w:r w:rsidRPr="008B5A27">
              <w:rPr>
                <w:sz w:val="20"/>
                <w:lang w:val="nl-NL"/>
              </w:rPr>
              <w:t>99.3</w:t>
            </w:r>
          </w:p>
        </w:tc>
        <w:tc>
          <w:tcPr>
            <w:tcW w:w="666" w:type="dxa"/>
          </w:tcPr>
          <w:p w14:paraId="6F1FE7AB" w14:textId="77777777" w:rsidR="0080605D" w:rsidRPr="008B5A27" w:rsidRDefault="0080605D" w:rsidP="008B5A27">
            <w:pPr>
              <w:pStyle w:val="TCTableBody"/>
              <w:jc w:val="center"/>
              <w:rPr>
                <w:sz w:val="20"/>
                <w:lang w:val="nl-NL"/>
              </w:rPr>
            </w:pPr>
            <w:r w:rsidRPr="008B5A27">
              <w:rPr>
                <w:sz w:val="20"/>
                <w:lang w:val="nl-NL"/>
              </w:rPr>
              <w:t>99.3</w:t>
            </w:r>
          </w:p>
        </w:tc>
        <w:tc>
          <w:tcPr>
            <w:tcW w:w="667" w:type="dxa"/>
          </w:tcPr>
          <w:p w14:paraId="36078DDF" w14:textId="77777777" w:rsidR="0080605D" w:rsidRPr="008B5A27" w:rsidRDefault="0080605D" w:rsidP="008B5A27">
            <w:pPr>
              <w:pStyle w:val="TCTableBody"/>
              <w:jc w:val="center"/>
              <w:rPr>
                <w:sz w:val="20"/>
                <w:lang w:val="nl-NL"/>
              </w:rPr>
            </w:pPr>
            <w:r w:rsidRPr="008B5A27">
              <w:rPr>
                <w:sz w:val="20"/>
                <w:lang w:val="nl-NL"/>
              </w:rPr>
              <w:t>99.3</w:t>
            </w:r>
          </w:p>
        </w:tc>
        <w:tc>
          <w:tcPr>
            <w:tcW w:w="667" w:type="dxa"/>
          </w:tcPr>
          <w:p w14:paraId="5ADA7C80" w14:textId="77777777" w:rsidR="0080605D" w:rsidRPr="008B5A27" w:rsidRDefault="0080605D" w:rsidP="008B5A27">
            <w:pPr>
              <w:pStyle w:val="TCTableBody"/>
              <w:jc w:val="center"/>
              <w:rPr>
                <w:sz w:val="20"/>
                <w:lang w:val="nl-NL"/>
              </w:rPr>
            </w:pPr>
            <w:r w:rsidRPr="008B5A27">
              <w:rPr>
                <w:sz w:val="20"/>
                <w:lang w:val="nl-NL"/>
              </w:rPr>
              <w:t>78.1</w:t>
            </w:r>
          </w:p>
        </w:tc>
        <w:tc>
          <w:tcPr>
            <w:tcW w:w="666" w:type="dxa"/>
          </w:tcPr>
          <w:p w14:paraId="0AE72833" w14:textId="77777777" w:rsidR="0080605D" w:rsidRPr="008B5A27" w:rsidRDefault="0080605D" w:rsidP="008B5A27">
            <w:pPr>
              <w:pStyle w:val="TCTableBody"/>
              <w:jc w:val="center"/>
              <w:rPr>
                <w:sz w:val="20"/>
                <w:lang w:val="nl-NL"/>
              </w:rPr>
            </w:pPr>
            <w:r w:rsidRPr="008B5A27">
              <w:rPr>
                <w:sz w:val="20"/>
                <w:lang w:val="nl-NL"/>
              </w:rPr>
              <w:t>93.0</w:t>
            </w:r>
          </w:p>
        </w:tc>
        <w:tc>
          <w:tcPr>
            <w:tcW w:w="667" w:type="dxa"/>
          </w:tcPr>
          <w:p w14:paraId="60FDDD01" w14:textId="77777777" w:rsidR="0080605D" w:rsidRPr="008B5A27" w:rsidRDefault="0080605D" w:rsidP="008B5A27">
            <w:pPr>
              <w:pStyle w:val="TCTableBody"/>
              <w:jc w:val="center"/>
              <w:rPr>
                <w:sz w:val="20"/>
                <w:lang w:val="nl-NL"/>
              </w:rPr>
            </w:pPr>
            <w:r w:rsidRPr="008B5A27">
              <w:rPr>
                <w:sz w:val="20"/>
                <w:lang w:val="nl-NL"/>
              </w:rPr>
              <w:t>94.2</w:t>
            </w:r>
          </w:p>
        </w:tc>
        <w:tc>
          <w:tcPr>
            <w:tcW w:w="667" w:type="dxa"/>
          </w:tcPr>
          <w:p w14:paraId="06145D36" w14:textId="77777777" w:rsidR="0080605D" w:rsidRPr="008B5A27" w:rsidRDefault="0080605D" w:rsidP="008B5A27">
            <w:pPr>
              <w:pStyle w:val="TCTableBody"/>
              <w:jc w:val="center"/>
              <w:rPr>
                <w:sz w:val="20"/>
                <w:lang w:val="nl-NL"/>
              </w:rPr>
            </w:pPr>
            <w:r w:rsidRPr="008B5A27">
              <w:rPr>
                <w:sz w:val="20"/>
                <w:lang w:val="nl-NL"/>
              </w:rPr>
              <w:t>73.7</w:t>
            </w:r>
          </w:p>
        </w:tc>
      </w:tr>
      <w:tr w:rsidR="0080605D" w:rsidRPr="003C3195" w14:paraId="7D828D9A" w14:textId="77777777" w:rsidTr="007E5E9E">
        <w:trPr>
          <w:trHeight w:val="170"/>
        </w:trPr>
        <w:tc>
          <w:tcPr>
            <w:tcW w:w="1021" w:type="dxa"/>
          </w:tcPr>
          <w:p w14:paraId="3B09DB82" w14:textId="77777777" w:rsidR="0080605D" w:rsidRPr="008B5A27" w:rsidRDefault="0080605D" w:rsidP="008B5A27">
            <w:pPr>
              <w:pStyle w:val="TCTableBody"/>
              <w:rPr>
                <w:sz w:val="20"/>
                <w:lang w:val="nl-NL"/>
              </w:rPr>
            </w:pPr>
            <w:r w:rsidRPr="008B5A27">
              <w:rPr>
                <w:sz w:val="20"/>
                <w:lang w:val="nl-NL"/>
              </w:rPr>
              <w:t>PU-10</w:t>
            </w:r>
          </w:p>
        </w:tc>
        <w:tc>
          <w:tcPr>
            <w:tcW w:w="705" w:type="dxa"/>
          </w:tcPr>
          <w:p w14:paraId="0436EFC2" w14:textId="77777777" w:rsidR="0080605D" w:rsidRPr="008B5A27" w:rsidRDefault="0080605D" w:rsidP="008B5A27">
            <w:pPr>
              <w:pStyle w:val="TCTableBody"/>
              <w:jc w:val="center"/>
              <w:rPr>
                <w:sz w:val="20"/>
                <w:lang w:val="nl-NL"/>
              </w:rPr>
            </w:pPr>
            <w:r w:rsidRPr="008B5A27">
              <w:rPr>
                <w:sz w:val="20"/>
                <w:lang w:val="nl-NL"/>
              </w:rPr>
              <w:t>2000</w:t>
            </w:r>
          </w:p>
        </w:tc>
        <w:tc>
          <w:tcPr>
            <w:tcW w:w="680" w:type="dxa"/>
          </w:tcPr>
          <w:p w14:paraId="4A989DAC" w14:textId="77777777" w:rsidR="0080605D" w:rsidRPr="008B5A27" w:rsidRDefault="0080605D" w:rsidP="008B5A27">
            <w:pPr>
              <w:pStyle w:val="TCTableBody"/>
              <w:jc w:val="center"/>
              <w:rPr>
                <w:sz w:val="20"/>
                <w:lang w:val="nl-NL"/>
              </w:rPr>
            </w:pPr>
            <w:r w:rsidRPr="008B5A27">
              <w:rPr>
                <w:sz w:val="20"/>
                <w:lang w:val="nl-NL"/>
              </w:rPr>
              <w:t>35</w:t>
            </w:r>
          </w:p>
        </w:tc>
        <w:tc>
          <w:tcPr>
            <w:tcW w:w="737" w:type="dxa"/>
          </w:tcPr>
          <w:p w14:paraId="5BE5B22A" w14:textId="77777777" w:rsidR="0080605D" w:rsidRPr="008B5A27" w:rsidRDefault="0080605D" w:rsidP="008B5A27">
            <w:pPr>
              <w:pStyle w:val="TCTableBody"/>
              <w:jc w:val="center"/>
              <w:rPr>
                <w:sz w:val="20"/>
                <w:lang w:val="nl-NL"/>
              </w:rPr>
            </w:pPr>
            <w:r w:rsidRPr="008B5A27">
              <w:rPr>
                <w:sz w:val="20"/>
                <w:lang w:val="nl-NL"/>
              </w:rPr>
              <w:t>5</w:t>
            </w:r>
          </w:p>
        </w:tc>
        <w:tc>
          <w:tcPr>
            <w:tcW w:w="737" w:type="dxa"/>
          </w:tcPr>
          <w:p w14:paraId="15F0D791" w14:textId="77777777" w:rsidR="0080605D" w:rsidRPr="008B5A27" w:rsidRDefault="0080605D" w:rsidP="008B5A27">
            <w:pPr>
              <w:pStyle w:val="TCTableBody"/>
              <w:jc w:val="center"/>
              <w:rPr>
                <w:sz w:val="20"/>
                <w:lang w:val="nl-NL"/>
              </w:rPr>
            </w:pPr>
            <w:r w:rsidRPr="008B5A27">
              <w:rPr>
                <w:sz w:val="20"/>
                <w:lang w:val="nl-NL"/>
              </w:rPr>
              <w:t>20</w:t>
            </w:r>
          </w:p>
        </w:tc>
        <w:tc>
          <w:tcPr>
            <w:tcW w:w="510" w:type="dxa"/>
          </w:tcPr>
          <w:p w14:paraId="538A9524" w14:textId="77777777" w:rsidR="0080605D" w:rsidRPr="008B5A27" w:rsidRDefault="0080605D" w:rsidP="008B5A27">
            <w:pPr>
              <w:pStyle w:val="TCTableBody"/>
              <w:jc w:val="center"/>
              <w:rPr>
                <w:sz w:val="20"/>
                <w:lang w:val="nl-NL"/>
              </w:rPr>
            </w:pPr>
            <w:r w:rsidRPr="008B5A27">
              <w:rPr>
                <w:sz w:val="20"/>
                <w:lang w:val="nl-NL"/>
              </w:rPr>
              <w:t>80</w:t>
            </w:r>
          </w:p>
        </w:tc>
        <w:tc>
          <w:tcPr>
            <w:tcW w:w="667" w:type="dxa"/>
          </w:tcPr>
          <w:p w14:paraId="06885A27" w14:textId="77777777" w:rsidR="0080605D" w:rsidRPr="008B5A27" w:rsidRDefault="0080605D" w:rsidP="008B5A27">
            <w:pPr>
              <w:pStyle w:val="TCTableBody"/>
              <w:jc w:val="center"/>
              <w:rPr>
                <w:sz w:val="20"/>
                <w:lang w:val="nl-NL"/>
              </w:rPr>
            </w:pPr>
            <w:r w:rsidRPr="008B5A27">
              <w:rPr>
                <w:sz w:val="20"/>
                <w:lang w:val="nl-NL"/>
              </w:rPr>
              <w:t>68.5</w:t>
            </w:r>
          </w:p>
        </w:tc>
        <w:tc>
          <w:tcPr>
            <w:tcW w:w="666" w:type="dxa"/>
          </w:tcPr>
          <w:p w14:paraId="37F73600" w14:textId="77777777" w:rsidR="0080605D" w:rsidRPr="008B5A27" w:rsidRDefault="0080605D" w:rsidP="008B5A27">
            <w:pPr>
              <w:pStyle w:val="TCTableBody"/>
              <w:jc w:val="center"/>
              <w:rPr>
                <w:sz w:val="20"/>
                <w:lang w:val="nl-NL"/>
              </w:rPr>
            </w:pPr>
            <w:r w:rsidRPr="008B5A27">
              <w:rPr>
                <w:sz w:val="20"/>
                <w:lang w:val="nl-NL"/>
              </w:rPr>
              <w:t>67.7</w:t>
            </w:r>
          </w:p>
        </w:tc>
        <w:tc>
          <w:tcPr>
            <w:tcW w:w="667" w:type="dxa"/>
          </w:tcPr>
          <w:p w14:paraId="21DF81CF" w14:textId="77777777" w:rsidR="0080605D" w:rsidRPr="008B5A27" w:rsidRDefault="0080605D" w:rsidP="008B5A27">
            <w:pPr>
              <w:pStyle w:val="TCTableBody"/>
              <w:jc w:val="center"/>
              <w:rPr>
                <w:sz w:val="20"/>
                <w:lang w:val="nl-NL"/>
              </w:rPr>
            </w:pPr>
            <w:r w:rsidRPr="008B5A27">
              <w:rPr>
                <w:sz w:val="20"/>
                <w:lang w:val="nl-NL"/>
              </w:rPr>
              <w:t>66.6</w:t>
            </w:r>
          </w:p>
        </w:tc>
        <w:tc>
          <w:tcPr>
            <w:tcW w:w="667" w:type="dxa"/>
          </w:tcPr>
          <w:p w14:paraId="16839394" w14:textId="77777777" w:rsidR="0080605D" w:rsidRPr="008B5A27" w:rsidRDefault="0080605D" w:rsidP="008B5A27">
            <w:pPr>
              <w:pStyle w:val="TCTableBody"/>
              <w:jc w:val="center"/>
              <w:rPr>
                <w:sz w:val="20"/>
                <w:lang w:val="nl-NL"/>
              </w:rPr>
            </w:pPr>
            <w:r w:rsidRPr="008B5A27">
              <w:rPr>
                <w:sz w:val="20"/>
                <w:lang w:val="nl-NL"/>
              </w:rPr>
              <w:t>73.4</w:t>
            </w:r>
          </w:p>
        </w:tc>
        <w:tc>
          <w:tcPr>
            <w:tcW w:w="666" w:type="dxa"/>
          </w:tcPr>
          <w:p w14:paraId="50C16324" w14:textId="77777777" w:rsidR="0080605D" w:rsidRPr="008B5A27" w:rsidRDefault="0080605D" w:rsidP="008B5A27">
            <w:pPr>
              <w:pStyle w:val="TCTableBody"/>
              <w:jc w:val="center"/>
              <w:rPr>
                <w:sz w:val="20"/>
                <w:lang w:val="nl-NL"/>
              </w:rPr>
            </w:pPr>
            <w:r w:rsidRPr="008B5A27">
              <w:rPr>
                <w:sz w:val="20"/>
                <w:lang w:val="nl-NL"/>
              </w:rPr>
              <w:t>96.8</w:t>
            </w:r>
          </w:p>
        </w:tc>
        <w:tc>
          <w:tcPr>
            <w:tcW w:w="667" w:type="dxa"/>
          </w:tcPr>
          <w:p w14:paraId="260535C5" w14:textId="77777777" w:rsidR="0080605D" w:rsidRPr="008B5A27" w:rsidRDefault="0080605D" w:rsidP="008B5A27">
            <w:pPr>
              <w:pStyle w:val="TCTableBody"/>
              <w:jc w:val="center"/>
              <w:rPr>
                <w:sz w:val="20"/>
                <w:lang w:val="nl-NL"/>
              </w:rPr>
            </w:pPr>
            <w:r w:rsidRPr="008B5A27">
              <w:rPr>
                <w:sz w:val="20"/>
                <w:lang w:val="nl-NL"/>
              </w:rPr>
              <w:t>96.5</w:t>
            </w:r>
          </w:p>
        </w:tc>
        <w:tc>
          <w:tcPr>
            <w:tcW w:w="667" w:type="dxa"/>
          </w:tcPr>
          <w:p w14:paraId="30EC8A4E" w14:textId="77777777" w:rsidR="0080605D" w:rsidRPr="008B5A27" w:rsidRDefault="0080605D" w:rsidP="008B5A27">
            <w:pPr>
              <w:pStyle w:val="TCTableBody"/>
              <w:jc w:val="center"/>
              <w:rPr>
                <w:sz w:val="20"/>
                <w:lang w:val="nl-NL"/>
              </w:rPr>
            </w:pPr>
            <w:r w:rsidRPr="008B5A27">
              <w:rPr>
                <w:sz w:val="20"/>
                <w:lang w:val="nl-NL"/>
              </w:rPr>
              <w:t>22.0</w:t>
            </w:r>
          </w:p>
        </w:tc>
      </w:tr>
      <w:tr w:rsidR="0080605D" w:rsidRPr="003C3195" w14:paraId="132105D7" w14:textId="77777777" w:rsidTr="007E5E9E">
        <w:trPr>
          <w:trHeight w:val="170"/>
        </w:trPr>
        <w:tc>
          <w:tcPr>
            <w:tcW w:w="1021" w:type="dxa"/>
          </w:tcPr>
          <w:p w14:paraId="147F40CA" w14:textId="77777777" w:rsidR="0080605D" w:rsidRPr="008B5A27" w:rsidRDefault="0080605D" w:rsidP="008B5A27">
            <w:pPr>
              <w:pStyle w:val="TCTableBody"/>
              <w:rPr>
                <w:sz w:val="20"/>
                <w:lang w:val="nl-NL"/>
              </w:rPr>
            </w:pPr>
            <w:r w:rsidRPr="008B5A27">
              <w:rPr>
                <w:sz w:val="20"/>
                <w:lang w:val="nl-NL"/>
              </w:rPr>
              <w:t>PU-11</w:t>
            </w:r>
          </w:p>
        </w:tc>
        <w:tc>
          <w:tcPr>
            <w:tcW w:w="705" w:type="dxa"/>
          </w:tcPr>
          <w:p w14:paraId="70E531F6"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23BAAD7E"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4B9E8FD1" w14:textId="77777777" w:rsidR="0080605D" w:rsidRPr="008B5A27" w:rsidRDefault="0080605D" w:rsidP="008B5A27">
            <w:pPr>
              <w:pStyle w:val="TCTableBody"/>
              <w:jc w:val="center"/>
              <w:rPr>
                <w:sz w:val="20"/>
                <w:lang w:val="nl-NL"/>
              </w:rPr>
            </w:pPr>
            <w:r w:rsidRPr="008B5A27">
              <w:rPr>
                <w:sz w:val="20"/>
                <w:lang w:val="nl-NL"/>
              </w:rPr>
              <w:t>10</w:t>
            </w:r>
          </w:p>
        </w:tc>
        <w:tc>
          <w:tcPr>
            <w:tcW w:w="737" w:type="dxa"/>
          </w:tcPr>
          <w:p w14:paraId="1D0024FC" w14:textId="77777777" w:rsidR="0080605D" w:rsidRPr="008B5A27" w:rsidRDefault="0080605D" w:rsidP="008B5A27">
            <w:pPr>
              <w:pStyle w:val="TCTableBody"/>
              <w:jc w:val="center"/>
              <w:rPr>
                <w:sz w:val="20"/>
                <w:lang w:val="nl-NL"/>
              </w:rPr>
            </w:pPr>
            <w:r w:rsidRPr="008B5A27">
              <w:rPr>
                <w:sz w:val="20"/>
                <w:lang w:val="nl-NL"/>
              </w:rPr>
              <w:t>35</w:t>
            </w:r>
          </w:p>
        </w:tc>
        <w:tc>
          <w:tcPr>
            <w:tcW w:w="510" w:type="dxa"/>
          </w:tcPr>
          <w:p w14:paraId="2997AC25" w14:textId="77777777" w:rsidR="0080605D" w:rsidRPr="008B5A27" w:rsidRDefault="0080605D" w:rsidP="008B5A27">
            <w:pPr>
              <w:pStyle w:val="TCTableBody"/>
              <w:jc w:val="center"/>
              <w:rPr>
                <w:sz w:val="20"/>
                <w:lang w:val="nl-NL"/>
              </w:rPr>
            </w:pPr>
            <w:r w:rsidRPr="008B5A27">
              <w:rPr>
                <w:sz w:val="20"/>
                <w:lang w:val="nl-NL"/>
              </w:rPr>
              <w:t>80</w:t>
            </w:r>
          </w:p>
        </w:tc>
        <w:tc>
          <w:tcPr>
            <w:tcW w:w="667" w:type="dxa"/>
          </w:tcPr>
          <w:p w14:paraId="3AB3BDB1" w14:textId="77777777" w:rsidR="0080605D" w:rsidRPr="008B5A27" w:rsidRDefault="0080605D" w:rsidP="008B5A27">
            <w:pPr>
              <w:pStyle w:val="TCTableBody"/>
              <w:jc w:val="center"/>
              <w:rPr>
                <w:sz w:val="20"/>
                <w:lang w:val="nl-NL"/>
              </w:rPr>
            </w:pPr>
            <w:r w:rsidRPr="008B5A27">
              <w:rPr>
                <w:sz w:val="20"/>
                <w:lang w:val="nl-NL"/>
              </w:rPr>
              <w:t>96.3</w:t>
            </w:r>
          </w:p>
        </w:tc>
        <w:tc>
          <w:tcPr>
            <w:tcW w:w="666" w:type="dxa"/>
          </w:tcPr>
          <w:p w14:paraId="1C80F643" w14:textId="77777777" w:rsidR="0080605D" w:rsidRPr="008B5A27" w:rsidRDefault="0080605D" w:rsidP="008B5A27">
            <w:pPr>
              <w:pStyle w:val="TCTableBody"/>
              <w:jc w:val="center"/>
              <w:rPr>
                <w:sz w:val="20"/>
                <w:lang w:val="nl-NL"/>
              </w:rPr>
            </w:pPr>
            <w:r w:rsidRPr="008B5A27">
              <w:rPr>
                <w:sz w:val="20"/>
                <w:lang w:val="nl-NL"/>
              </w:rPr>
              <w:t>96.5</w:t>
            </w:r>
          </w:p>
        </w:tc>
        <w:tc>
          <w:tcPr>
            <w:tcW w:w="667" w:type="dxa"/>
          </w:tcPr>
          <w:p w14:paraId="1A741C58" w14:textId="77777777" w:rsidR="0080605D" w:rsidRPr="008B5A27" w:rsidRDefault="0080605D" w:rsidP="008B5A27">
            <w:pPr>
              <w:pStyle w:val="TCTableBody"/>
              <w:jc w:val="center"/>
              <w:rPr>
                <w:sz w:val="20"/>
                <w:lang w:val="nl-NL"/>
              </w:rPr>
            </w:pPr>
            <w:r w:rsidRPr="008B5A27">
              <w:rPr>
                <w:sz w:val="20"/>
                <w:lang w:val="nl-NL"/>
              </w:rPr>
              <w:t>96.5</w:t>
            </w:r>
          </w:p>
        </w:tc>
        <w:tc>
          <w:tcPr>
            <w:tcW w:w="667" w:type="dxa"/>
          </w:tcPr>
          <w:p w14:paraId="737011B1" w14:textId="77777777" w:rsidR="0080605D" w:rsidRPr="008B5A27" w:rsidRDefault="0080605D" w:rsidP="008B5A27">
            <w:pPr>
              <w:pStyle w:val="TCTableBody"/>
              <w:jc w:val="center"/>
              <w:rPr>
                <w:sz w:val="20"/>
                <w:lang w:val="nl-NL"/>
              </w:rPr>
            </w:pPr>
            <w:r w:rsidRPr="008B5A27">
              <w:rPr>
                <w:sz w:val="20"/>
                <w:lang w:val="nl-NL"/>
              </w:rPr>
              <w:t>68.5</w:t>
            </w:r>
          </w:p>
        </w:tc>
        <w:tc>
          <w:tcPr>
            <w:tcW w:w="666" w:type="dxa"/>
          </w:tcPr>
          <w:p w14:paraId="2D639635" w14:textId="77777777" w:rsidR="0080605D" w:rsidRPr="008B5A27" w:rsidRDefault="0080605D" w:rsidP="008B5A27">
            <w:pPr>
              <w:pStyle w:val="TCTableBody"/>
              <w:jc w:val="center"/>
              <w:rPr>
                <w:sz w:val="20"/>
                <w:lang w:val="nl-NL"/>
              </w:rPr>
            </w:pPr>
            <w:r w:rsidRPr="008B5A27">
              <w:rPr>
                <w:sz w:val="20"/>
                <w:lang w:val="nl-NL"/>
              </w:rPr>
              <w:t>94.7</w:t>
            </w:r>
          </w:p>
        </w:tc>
        <w:tc>
          <w:tcPr>
            <w:tcW w:w="667" w:type="dxa"/>
          </w:tcPr>
          <w:p w14:paraId="6086401A" w14:textId="77777777" w:rsidR="0080605D" w:rsidRPr="008B5A27" w:rsidRDefault="0080605D" w:rsidP="008B5A27">
            <w:pPr>
              <w:pStyle w:val="TCTableBody"/>
              <w:jc w:val="center"/>
              <w:rPr>
                <w:sz w:val="20"/>
                <w:lang w:val="nl-NL"/>
              </w:rPr>
            </w:pPr>
            <w:r w:rsidRPr="008B5A27">
              <w:rPr>
                <w:sz w:val="20"/>
                <w:lang w:val="nl-NL"/>
              </w:rPr>
              <w:t>96.8</w:t>
            </w:r>
          </w:p>
        </w:tc>
        <w:tc>
          <w:tcPr>
            <w:tcW w:w="667" w:type="dxa"/>
          </w:tcPr>
          <w:p w14:paraId="1955FEEA" w14:textId="77777777" w:rsidR="0080605D" w:rsidRPr="008B5A27" w:rsidRDefault="0080605D" w:rsidP="008B5A27">
            <w:pPr>
              <w:pStyle w:val="TCTableBody"/>
              <w:jc w:val="center"/>
              <w:rPr>
                <w:sz w:val="20"/>
                <w:lang w:val="nl-NL"/>
              </w:rPr>
            </w:pPr>
            <w:r w:rsidRPr="008B5A27">
              <w:rPr>
                <w:sz w:val="20"/>
                <w:lang w:val="nl-NL"/>
              </w:rPr>
              <w:t>41.3</w:t>
            </w:r>
          </w:p>
        </w:tc>
      </w:tr>
      <w:tr w:rsidR="0080605D" w:rsidRPr="003C3195" w14:paraId="404EF9B8" w14:textId="77777777" w:rsidTr="007E5E9E">
        <w:trPr>
          <w:trHeight w:val="170"/>
        </w:trPr>
        <w:tc>
          <w:tcPr>
            <w:tcW w:w="1021" w:type="dxa"/>
          </w:tcPr>
          <w:p w14:paraId="74E9D0BC" w14:textId="77777777" w:rsidR="0080605D" w:rsidRPr="008B5A27" w:rsidRDefault="0080605D" w:rsidP="008B5A27">
            <w:pPr>
              <w:pStyle w:val="TCTableBody"/>
              <w:rPr>
                <w:sz w:val="20"/>
                <w:lang w:val="nl-NL"/>
              </w:rPr>
            </w:pPr>
          </w:p>
        </w:tc>
        <w:tc>
          <w:tcPr>
            <w:tcW w:w="705" w:type="dxa"/>
          </w:tcPr>
          <w:p w14:paraId="48F9AF03" w14:textId="77777777" w:rsidR="0080605D" w:rsidRPr="008B5A27" w:rsidRDefault="0080605D" w:rsidP="008B5A27">
            <w:pPr>
              <w:pStyle w:val="TCTableBody"/>
              <w:jc w:val="center"/>
              <w:rPr>
                <w:sz w:val="20"/>
                <w:lang w:val="nl-NL"/>
              </w:rPr>
            </w:pPr>
          </w:p>
        </w:tc>
        <w:tc>
          <w:tcPr>
            <w:tcW w:w="680" w:type="dxa"/>
          </w:tcPr>
          <w:p w14:paraId="2DBBE387" w14:textId="77777777" w:rsidR="0080605D" w:rsidRPr="008B5A27" w:rsidRDefault="0080605D" w:rsidP="008B5A27">
            <w:pPr>
              <w:pStyle w:val="TCTableBody"/>
              <w:jc w:val="center"/>
              <w:rPr>
                <w:sz w:val="20"/>
                <w:lang w:val="nl-NL"/>
              </w:rPr>
            </w:pPr>
          </w:p>
        </w:tc>
        <w:tc>
          <w:tcPr>
            <w:tcW w:w="737" w:type="dxa"/>
          </w:tcPr>
          <w:p w14:paraId="1C1478ED" w14:textId="77777777" w:rsidR="0080605D" w:rsidRPr="008B5A27" w:rsidRDefault="0080605D" w:rsidP="008B5A27">
            <w:pPr>
              <w:pStyle w:val="TCTableBody"/>
              <w:jc w:val="center"/>
              <w:rPr>
                <w:sz w:val="20"/>
                <w:lang w:val="nl-NL"/>
              </w:rPr>
            </w:pPr>
          </w:p>
        </w:tc>
        <w:tc>
          <w:tcPr>
            <w:tcW w:w="737" w:type="dxa"/>
          </w:tcPr>
          <w:p w14:paraId="586FEF7E" w14:textId="77777777" w:rsidR="0080605D" w:rsidRPr="008B5A27" w:rsidRDefault="0080605D" w:rsidP="008B5A27">
            <w:pPr>
              <w:pStyle w:val="TCTableBody"/>
              <w:jc w:val="center"/>
              <w:rPr>
                <w:sz w:val="20"/>
                <w:lang w:val="nl-NL"/>
              </w:rPr>
            </w:pPr>
          </w:p>
        </w:tc>
        <w:tc>
          <w:tcPr>
            <w:tcW w:w="510" w:type="dxa"/>
          </w:tcPr>
          <w:p w14:paraId="594394FB" w14:textId="77777777" w:rsidR="0080605D" w:rsidRPr="008B5A27" w:rsidRDefault="0080605D" w:rsidP="008B5A27">
            <w:pPr>
              <w:pStyle w:val="TCTableBody"/>
              <w:jc w:val="center"/>
              <w:rPr>
                <w:sz w:val="20"/>
                <w:lang w:val="nl-NL"/>
              </w:rPr>
            </w:pPr>
          </w:p>
        </w:tc>
        <w:tc>
          <w:tcPr>
            <w:tcW w:w="667" w:type="dxa"/>
          </w:tcPr>
          <w:p w14:paraId="10B743B8" w14:textId="77777777" w:rsidR="0080605D" w:rsidRPr="008B5A27" w:rsidRDefault="0080605D" w:rsidP="008B5A27">
            <w:pPr>
              <w:pStyle w:val="TCTableBody"/>
              <w:jc w:val="center"/>
              <w:rPr>
                <w:sz w:val="20"/>
                <w:lang w:val="nl-NL"/>
              </w:rPr>
            </w:pPr>
          </w:p>
        </w:tc>
        <w:tc>
          <w:tcPr>
            <w:tcW w:w="666" w:type="dxa"/>
          </w:tcPr>
          <w:p w14:paraId="61AD97D9" w14:textId="77777777" w:rsidR="0080605D" w:rsidRPr="008B5A27" w:rsidRDefault="0080605D" w:rsidP="008B5A27">
            <w:pPr>
              <w:pStyle w:val="TCTableBody"/>
              <w:jc w:val="center"/>
              <w:rPr>
                <w:sz w:val="20"/>
                <w:lang w:val="nl-NL"/>
              </w:rPr>
            </w:pPr>
          </w:p>
        </w:tc>
        <w:tc>
          <w:tcPr>
            <w:tcW w:w="667" w:type="dxa"/>
          </w:tcPr>
          <w:p w14:paraId="5BA74DE6" w14:textId="77777777" w:rsidR="0080605D" w:rsidRPr="008B5A27" w:rsidRDefault="0080605D" w:rsidP="008B5A27">
            <w:pPr>
              <w:pStyle w:val="TCTableBody"/>
              <w:jc w:val="center"/>
              <w:rPr>
                <w:sz w:val="20"/>
                <w:lang w:val="nl-NL"/>
              </w:rPr>
            </w:pPr>
          </w:p>
        </w:tc>
        <w:tc>
          <w:tcPr>
            <w:tcW w:w="667" w:type="dxa"/>
          </w:tcPr>
          <w:p w14:paraId="3C646A3D" w14:textId="77777777" w:rsidR="0080605D" w:rsidRPr="008B5A27" w:rsidRDefault="0080605D" w:rsidP="008B5A27">
            <w:pPr>
              <w:pStyle w:val="TCTableBody"/>
              <w:jc w:val="center"/>
              <w:rPr>
                <w:sz w:val="20"/>
                <w:lang w:val="nl-NL"/>
              </w:rPr>
            </w:pPr>
          </w:p>
        </w:tc>
        <w:tc>
          <w:tcPr>
            <w:tcW w:w="666" w:type="dxa"/>
          </w:tcPr>
          <w:p w14:paraId="734C7F66" w14:textId="77777777" w:rsidR="0080605D" w:rsidRPr="008B5A27" w:rsidRDefault="0080605D" w:rsidP="008B5A27">
            <w:pPr>
              <w:pStyle w:val="TCTableBody"/>
              <w:jc w:val="center"/>
              <w:rPr>
                <w:sz w:val="20"/>
                <w:lang w:val="nl-NL"/>
              </w:rPr>
            </w:pPr>
          </w:p>
        </w:tc>
        <w:tc>
          <w:tcPr>
            <w:tcW w:w="667" w:type="dxa"/>
          </w:tcPr>
          <w:p w14:paraId="58C052B5" w14:textId="77777777" w:rsidR="0080605D" w:rsidRPr="008B5A27" w:rsidRDefault="0080605D" w:rsidP="008B5A27">
            <w:pPr>
              <w:pStyle w:val="TCTableBody"/>
              <w:jc w:val="center"/>
              <w:rPr>
                <w:sz w:val="20"/>
                <w:lang w:val="nl-NL"/>
              </w:rPr>
            </w:pPr>
          </w:p>
        </w:tc>
        <w:tc>
          <w:tcPr>
            <w:tcW w:w="667" w:type="dxa"/>
          </w:tcPr>
          <w:p w14:paraId="6531BDE5" w14:textId="77777777" w:rsidR="0080605D" w:rsidRPr="008B5A27" w:rsidRDefault="0080605D" w:rsidP="008B5A27">
            <w:pPr>
              <w:pStyle w:val="TCTableBody"/>
              <w:jc w:val="center"/>
              <w:rPr>
                <w:sz w:val="20"/>
                <w:lang w:val="nl-NL"/>
              </w:rPr>
            </w:pPr>
          </w:p>
        </w:tc>
      </w:tr>
      <w:tr w:rsidR="0080605D" w:rsidRPr="003C3195" w14:paraId="34F54670" w14:textId="77777777" w:rsidTr="007E5E9E">
        <w:trPr>
          <w:trHeight w:val="170"/>
        </w:trPr>
        <w:tc>
          <w:tcPr>
            <w:tcW w:w="1021" w:type="dxa"/>
          </w:tcPr>
          <w:p w14:paraId="30CEE787" w14:textId="77777777" w:rsidR="0080605D" w:rsidRPr="008B5A27" w:rsidRDefault="0080605D" w:rsidP="008B5A27">
            <w:pPr>
              <w:pStyle w:val="TCTableBody"/>
              <w:rPr>
                <w:sz w:val="20"/>
                <w:lang w:val="nl-NL"/>
              </w:rPr>
            </w:pPr>
            <w:r w:rsidRPr="008B5A27">
              <w:rPr>
                <w:sz w:val="20"/>
                <w:lang w:val="nl-NL"/>
              </w:rPr>
              <w:t>PU-50-20</w:t>
            </w:r>
          </w:p>
        </w:tc>
        <w:tc>
          <w:tcPr>
            <w:tcW w:w="705" w:type="dxa"/>
          </w:tcPr>
          <w:p w14:paraId="0C94FE29"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4AE735BF"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2305CBD6"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3069965A" w14:textId="77777777" w:rsidR="0080605D" w:rsidRPr="008B5A27" w:rsidRDefault="0080605D" w:rsidP="008B5A27">
            <w:pPr>
              <w:pStyle w:val="TCTableBody"/>
              <w:jc w:val="center"/>
              <w:rPr>
                <w:sz w:val="20"/>
                <w:lang w:val="nl-NL"/>
              </w:rPr>
            </w:pPr>
            <w:r w:rsidRPr="008B5A27">
              <w:rPr>
                <w:sz w:val="20"/>
                <w:lang w:val="nl-NL"/>
              </w:rPr>
              <w:t>20</w:t>
            </w:r>
          </w:p>
        </w:tc>
        <w:tc>
          <w:tcPr>
            <w:tcW w:w="510" w:type="dxa"/>
          </w:tcPr>
          <w:p w14:paraId="5DB9CAB8"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3BA2CE62" w14:textId="77777777" w:rsidR="0080605D" w:rsidRPr="008B5A27" w:rsidRDefault="0080605D" w:rsidP="008B5A27">
            <w:pPr>
              <w:pStyle w:val="TCTableBody"/>
              <w:jc w:val="center"/>
              <w:rPr>
                <w:sz w:val="20"/>
                <w:lang w:val="nl-NL"/>
              </w:rPr>
            </w:pPr>
            <w:r w:rsidRPr="008B5A27">
              <w:rPr>
                <w:sz w:val="20"/>
                <w:lang w:val="nl-NL"/>
              </w:rPr>
              <w:t>98.9</w:t>
            </w:r>
          </w:p>
        </w:tc>
        <w:tc>
          <w:tcPr>
            <w:tcW w:w="666" w:type="dxa"/>
          </w:tcPr>
          <w:p w14:paraId="6FD461C3" w14:textId="77777777" w:rsidR="0080605D" w:rsidRPr="008B5A27" w:rsidRDefault="0080605D" w:rsidP="008B5A27">
            <w:pPr>
              <w:pStyle w:val="TCTableBody"/>
              <w:jc w:val="center"/>
              <w:rPr>
                <w:sz w:val="20"/>
                <w:lang w:val="nl-NL"/>
              </w:rPr>
            </w:pPr>
            <w:r w:rsidRPr="008B5A27">
              <w:rPr>
                <w:sz w:val="20"/>
                <w:lang w:val="nl-NL"/>
              </w:rPr>
              <w:t>98.9</w:t>
            </w:r>
          </w:p>
        </w:tc>
        <w:tc>
          <w:tcPr>
            <w:tcW w:w="667" w:type="dxa"/>
          </w:tcPr>
          <w:p w14:paraId="41B75FB7" w14:textId="77777777" w:rsidR="0080605D" w:rsidRPr="008B5A27" w:rsidRDefault="0080605D" w:rsidP="008B5A27">
            <w:pPr>
              <w:pStyle w:val="TCTableBody"/>
              <w:jc w:val="center"/>
              <w:rPr>
                <w:sz w:val="20"/>
                <w:lang w:val="nl-NL"/>
              </w:rPr>
            </w:pPr>
            <w:r w:rsidRPr="008B5A27">
              <w:rPr>
                <w:sz w:val="20"/>
                <w:lang w:val="nl-NL"/>
              </w:rPr>
              <w:t>98.8</w:t>
            </w:r>
          </w:p>
        </w:tc>
        <w:tc>
          <w:tcPr>
            <w:tcW w:w="667" w:type="dxa"/>
          </w:tcPr>
          <w:p w14:paraId="32DFBC48" w14:textId="77777777" w:rsidR="0080605D" w:rsidRPr="008B5A27" w:rsidRDefault="0080605D" w:rsidP="008B5A27">
            <w:pPr>
              <w:pStyle w:val="TCTableBody"/>
              <w:jc w:val="center"/>
              <w:rPr>
                <w:sz w:val="20"/>
                <w:lang w:val="nl-NL"/>
              </w:rPr>
            </w:pPr>
            <w:r w:rsidRPr="008B5A27">
              <w:rPr>
                <w:sz w:val="20"/>
                <w:lang w:val="nl-NL"/>
              </w:rPr>
              <w:t>83.6</w:t>
            </w:r>
          </w:p>
        </w:tc>
        <w:tc>
          <w:tcPr>
            <w:tcW w:w="666" w:type="dxa"/>
          </w:tcPr>
          <w:p w14:paraId="4C46F6F7" w14:textId="77777777" w:rsidR="0080605D" w:rsidRPr="008B5A27" w:rsidRDefault="0080605D" w:rsidP="008B5A27">
            <w:pPr>
              <w:pStyle w:val="TCTableBody"/>
              <w:jc w:val="center"/>
              <w:rPr>
                <w:sz w:val="20"/>
                <w:lang w:val="nl-NL"/>
              </w:rPr>
            </w:pPr>
            <w:r w:rsidRPr="008B5A27">
              <w:rPr>
                <w:sz w:val="20"/>
                <w:lang w:val="nl-NL"/>
              </w:rPr>
              <w:t>94.7</w:t>
            </w:r>
          </w:p>
        </w:tc>
        <w:tc>
          <w:tcPr>
            <w:tcW w:w="667" w:type="dxa"/>
          </w:tcPr>
          <w:p w14:paraId="597D2F48" w14:textId="77777777" w:rsidR="0080605D" w:rsidRPr="008B5A27" w:rsidRDefault="0080605D" w:rsidP="008B5A27">
            <w:pPr>
              <w:pStyle w:val="TCTableBody"/>
              <w:jc w:val="center"/>
              <w:rPr>
                <w:sz w:val="20"/>
                <w:lang w:val="nl-NL"/>
              </w:rPr>
            </w:pPr>
            <w:r w:rsidRPr="008B5A27">
              <w:rPr>
                <w:sz w:val="20"/>
                <w:lang w:val="nl-NL"/>
              </w:rPr>
              <w:t>96.2</w:t>
            </w:r>
          </w:p>
        </w:tc>
        <w:tc>
          <w:tcPr>
            <w:tcW w:w="667" w:type="dxa"/>
          </w:tcPr>
          <w:p w14:paraId="328BB6EC" w14:textId="77777777" w:rsidR="0080605D" w:rsidRPr="008B5A27" w:rsidRDefault="0080605D" w:rsidP="008B5A27">
            <w:pPr>
              <w:pStyle w:val="TCTableBody"/>
              <w:jc w:val="center"/>
              <w:rPr>
                <w:sz w:val="20"/>
                <w:lang w:val="nl-NL"/>
              </w:rPr>
            </w:pPr>
            <w:r w:rsidRPr="008B5A27">
              <w:rPr>
                <w:sz w:val="20"/>
                <w:lang w:val="nl-NL"/>
              </w:rPr>
              <w:t>101.6</w:t>
            </w:r>
          </w:p>
        </w:tc>
      </w:tr>
      <w:tr w:rsidR="0080605D" w:rsidRPr="003C3195" w14:paraId="16B10F91" w14:textId="77777777" w:rsidTr="007E5E9E">
        <w:trPr>
          <w:trHeight w:val="170"/>
        </w:trPr>
        <w:tc>
          <w:tcPr>
            <w:tcW w:w="1021" w:type="dxa"/>
          </w:tcPr>
          <w:p w14:paraId="409C1433" w14:textId="77777777" w:rsidR="0080605D" w:rsidRPr="008B5A27" w:rsidRDefault="0080605D" w:rsidP="008B5A27">
            <w:pPr>
              <w:pStyle w:val="TCTableBody"/>
              <w:rPr>
                <w:sz w:val="20"/>
                <w:lang w:val="nl-NL"/>
              </w:rPr>
            </w:pPr>
            <w:r w:rsidRPr="008B5A27">
              <w:rPr>
                <w:sz w:val="20"/>
                <w:lang w:val="nl-NL"/>
              </w:rPr>
              <w:t>PU-50-35</w:t>
            </w:r>
          </w:p>
        </w:tc>
        <w:tc>
          <w:tcPr>
            <w:tcW w:w="705" w:type="dxa"/>
          </w:tcPr>
          <w:p w14:paraId="3EBFB661"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5BC47683"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1B03602D"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6B8D56FE" w14:textId="77777777" w:rsidR="0080605D" w:rsidRPr="008B5A27" w:rsidRDefault="0080605D" w:rsidP="008B5A27">
            <w:pPr>
              <w:pStyle w:val="TCTableBody"/>
              <w:jc w:val="center"/>
              <w:rPr>
                <w:sz w:val="20"/>
                <w:lang w:val="nl-NL"/>
              </w:rPr>
            </w:pPr>
            <w:r w:rsidRPr="008B5A27">
              <w:rPr>
                <w:sz w:val="20"/>
                <w:lang w:val="nl-NL"/>
              </w:rPr>
              <w:t>35</w:t>
            </w:r>
          </w:p>
        </w:tc>
        <w:tc>
          <w:tcPr>
            <w:tcW w:w="510" w:type="dxa"/>
          </w:tcPr>
          <w:p w14:paraId="284F3467"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019A1D14" w14:textId="77777777" w:rsidR="0080605D" w:rsidRPr="008B5A27" w:rsidRDefault="0080605D" w:rsidP="008B5A27">
            <w:pPr>
              <w:pStyle w:val="TCTableBody"/>
              <w:jc w:val="center"/>
              <w:rPr>
                <w:sz w:val="20"/>
                <w:lang w:val="nl-NL"/>
              </w:rPr>
            </w:pPr>
            <w:r w:rsidRPr="008B5A27">
              <w:rPr>
                <w:sz w:val="20"/>
                <w:lang w:val="nl-NL"/>
              </w:rPr>
              <w:t>97.3</w:t>
            </w:r>
          </w:p>
        </w:tc>
        <w:tc>
          <w:tcPr>
            <w:tcW w:w="666" w:type="dxa"/>
          </w:tcPr>
          <w:p w14:paraId="105A2A96" w14:textId="77777777" w:rsidR="0080605D" w:rsidRPr="008B5A27" w:rsidRDefault="0080605D" w:rsidP="008B5A27">
            <w:pPr>
              <w:pStyle w:val="TCTableBody"/>
              <w:jc w:val="center"/>
              <w:rPr>
                <w:sz w:val="20"/>
                <w:lang w:val="nl-NL"/>
              </w:rPr>
            </w:pPr>
            <w:r w:rsidRPr="008B5A27">
              <w:rPr>
                <w:sz w:val="20"/>
                <w:lang w:val="nl-NL"/>
              </w:rPr>
              <w:t>97.2</w:t>
            </w:r>
          </w:p>
        </w:tc>
        <w:tc>
          <w:tcPr>
            <w:tcW w:w="667" w:type="dxa"/>
          </w:tcPr>
          <w:p w14:paraId="6E20774F" w14:textId="77777777" w:rsidR="0080605D" w:rsidRPr="008B5A27" w:rsidRDefault="0080605D" w:rsidP="008B5A27">
            <w:pPr>
              <w:pStyle w:val="TCTableBody"/>
              <w:jc w:val="center"/>
              <w:rPr>
                <w:sz w:val="20"/>
                <w:lang w:val="nl-NL"/>
              </w:rPr>
            </w:pPr>
            <w:r w:rsidRPr="008B5A27">
              <w:rPr>
                <w:sz w:val="20"/>
                <w:lang w:val="nl-NL"/>
              </w:rPr>
              <w:t>97.2</w:t>
            </w:r>
          </w:p>
        </w:tc>
        <w:tc>
          <w:tcPr>
            <w:tcW w:w="667" w:type="dxa"/>
          </w:tcPr>
          <w:p w14:paraId="6E8E0D97" w14:textId="77777777" w:rsidR="0080605D" w:rsidRPr="008B5A27" w:rsidRDefault="0080605D" w:rsidP="008B5A27">
            <w:pPr>
              <w:pStyle w:val="TCTableBody"/>
              <w:jc w:val="center"/>
              <w:rPr>
                <w:sz w:val="20"/>
                <w:lang w:val="nl-NL"/>
              </w:rPr>
            </w:pPr>
            <w:r w:rsidRPr="008B5A27">
              <w:rPr>
                <w:sz w:val="20"/>
                <w:lang w:val="nl-NL"/>
              </w:rPr>
              <w:t>96.0</w:t>
            </w:r>
          </w:p>
        </w:tc>
        <w:tc>
          <w:tcPr>
            <w:tcW w:w="666" w:type="dxa"/>
          </w:tcPr>
          <w:p w14:paraId="5AAC5410" w14:textId="77777777" w:rsidR="0080605D" w:rsidRPr="008B5A27" w:rsidRDefault="0080605D" w:rsidP="008B5A27">
            <w:pPr>
              <w:pStyle w:val="TCTableBody"/>
              <w:jc w:val="center"/>
              <w:rPr>
                <w:sz w:val="20"/>
                <w:lang w:val="nl-NL"/>
              </w:rPr>
            </w:pPr>
            <w:r w:rsidRPr="008B5A27">
              <w:rPr>
                <w:sz w:val="20"/>
                <w:lang w:val="nl-NL"/>
              </w:rPr>
              <w:t>99.8</w:t>
            </w:r>
          </w:p>
        </w:tc>
        <w:tc>
          <w:tcPr>
            <w:tcW w:w="667" w:type="dxa"/>
          </w:tcPr>
          <w:p w14:paraId="2021CD8B" w14:textId="77777777" w:rsidR="0080605D" w:rsidRPr="008B5A27" w:rsidRDefault="0080605D" w:rsidP="008B5A27">
            <w:pPr>
              <w:pStyle w:val="TCTableBody"/>
              <w:jc w:val="center"/>
              <w:rPr>
                <w:sz w:val="20"/>
                <w:lang w:val="nl-NL"/>
              </w:rPr>
            </w:pPr>
            <w:r w:rsidRPr="008B5A27">
              <w:rPr>
                <w:sz w:val="20"/>
                <w:lang w:val="nl-NL"/>
              </w:rPr>
              <w:t>98.4</w:t>
            </w:r>
          </w:p>
        </w:tc>
        <w:tc>
          <w:tcPr>
            <w:tcW w:w="667" w:type="dxa"/>
          </w:tcPr>
          <w:p w14:paraId="4BD71E45" w14:textId="77777777" w:rsidR="0080605D" w:rsidRPr="008B5A27" w:rsidRDefault="0080605D" w:rsidP="008B5A27">
            <w:pPr>
              <w:pStyle w:val="TCTableBody"/>
              <w:jc w:val="center"/>
              <w:rPr>
                <w:sz w:val="20"/>
                <w:lang w:val="nl-NL"/>
              </w:rPr>
            </w:pPr>
            <w:r w:rsidRPr="008B5A27">
              <w:rPr>
                <w:sz w:val="20"/>
                <w:lang w:val="nl-NL"/>
              </w:rPr>
              <w:t>72.2</w:t>
            </w:r>
          </w:p>
        </w:tc>
      </w:tr>
      <w:tr w:rsidR="0080605D" w:rsidRPr="003C3195" w14:paraId="6F1F8973" w14:textId="77777777" w:rsidTr="007E5E9E">
        <w:trPr>
          <w:trHeight w:val="170"/>
        </w:trPr>
        <w:tc>
          <w:tcPr>
            <w:tcW w:w="1021" w:type="dxa"/>
          </w:tcPr>
          <w:p w14:paraId="21AEE0A1" w14:textId="77777777" w:rsidR="0080605D" w:rsidRPr="008B5A27" w:rsidRDefault="0080605D" w:rsidP="008B5A27">
            <w:pPr>
              <w:pStyle w:val="TCTableBody"/>
              <w:rPr>
                <w:sz w:val="20"/>
                <w:lang w:val="nl-NL"/>
              </w:rPr>
            </w:pPr>
            <w:r w:rsidRPr="008B5A27">
              <w:rPr>
                <w:sz w:val="20"/>
                <w:lang w:val="nl-NL"/>
              </w:rPr>
              <w:t>PU-50-50</w:t>
            </w:r>
          </w:p>
        </w:tc>
        <w:tc>
          <w:tcPr>
            <w:tcW w:w="705" w:type="dxa"/>
          </w:tcPr>
          <w:p w14:paraId="4CEC47BF"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1F893A43" w14:textId="77777777" w:rsidR="0080605D" w:rsidRPr="008B5A27" w:rsidRDefault="0080605D" w:rsidP="008B5A27">
            <w:pPr>
              <w:pStyle w:val="TCTableBody"/>
              <w:jc w:val="center"/>
              <w:rPr>
                <w:sz w:val="20"/>
                <w:lang w:val="nl-NL"/>
              </w:rPr>
            </w:pPr>
            <w:r w:rsidRPr="008B5A27">
              <w:rPr>
                <w:sz w:val="20"/>
                <w:lang w:val="nl-NL"/>
              </w:rPr>
              <w:t>50</w:t>
            </w:r>
          </w:p>
        </w:tc>
        <w:tc>
          <w:tcPr>
            <w:tcW w:w="737" w:type="dxa"/>
          </w:tcPr>
          <w:p w14:paraId="6E8CE7F1"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2EAAECF5" w14:textId="77777777" w:rsidR="0080605D" w:rsidRPr="008B5A27" w:rsidRDefault="0080605D" w:rsidP="008B5A27">
            <w:pPr>
              <w:pStyle w:val="TCTableBody"/>
              <w:jc w:val="center"/>
              <w:rPr>
                <w:sz w:val="20"/>
                <w:lang w:val="nl-NL"/>
              </w:rPr>
            </w:pPr>
            <w:r w:rsidRPr="008B5A27">
              <w:rPr>
                <w:sz w:val="20"/>
                <w:lang w:val="nl-NL"/>
              </w:rPr>
              <w:t>50</w:t>
            </w:r>
          </w:p>
        </w:tc>
        <w:tc>
          <w:tcPr>
            <w:tcW w:w="510" w:type="dxa"/>
          </w:tcPr>
          <w:p w14:paraId="6E5135C3"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3C8873F9" w14:textId="77777777" w:rsidR="0080605D" w:rsidRPr="008B5A27" w:rsidRDefault="0080605D" w:rsidP="008B5A27">
            <w:pPr>
              <w:pStyle w:val="TCTableBody"/>
              <w:jc w:val="center"/>
              <w:rPr>
                <w:sz w:val="20"/>
                <w:lang w:val="nl-NL"/>
              </w:rPr>
            </w:pPr>
            <w:r w:rsidRPr="008B5A27">
              <w:rPr>
                <w:sz w:val="20"/>
                <w:lang w:val="nl-NL"/>
              </w:rPr>
              <w:t>87.8</w:t>
            </w:r>
          </w:p>
        </w:tc>
        <w:tc>
          <w:tcPr>
            <w:tcW w:w="666" w:type="dxa"/>
          </w:tcPr>
          <w:p w14:paraId="59D5F44B" w14:textId="77777777" w:rsidR="0080605D" w:rsidRPr="008B5A27" w:rsidRDefault="0080605D" w:rsidP="008B5A27">
            <w:pPr>
              <w:pStyle w:val="TCTableBody"/>
              <w:jc w:val="center"/>
              <w:rPr>
                <w:sz w:val="20"/>
                <w:lang w:val="nl-NL"/>
              </w:rPr>
            </w:pPr>
            <w:r w:rsidRPr="008B5A27">
              <w:rPr>
                <w:sz w:val="20"/>
                <w:lang w:val="nl-NL"/>
              </w:rPr>
              <w:t>89.1</w:t>
            </w:r>
          </w:p>
        </w:tc>
        <w:tc>
          <w:tcPr>
            <w:tcW w:w="667" w:type="dxa"/>
          </w:tcPr>
          <w:p w14:paraId="0009BD1D" w14:textId="77777777" w:rsidR="0080605D" w:rsidRPr="008B5A27" w:rsidRDefault="0080605D" w:rsidP="008B5A27">
            <w:pPr>
              <w:pStyle w:val="TCTableBody"/>
              <w:jc w:val="center"/>
              <w:rPr>
                <w:sz w:val="20"/>
                <w:lang w:val="nl-NL"/>
              </w:rPr>
            </w:pPr>
            <w:r w:rsidRPr="008B5A27">
              <w:rPr>
                <w:sz w:val="20"/>
                <w:lang w:val="nl-NL"/>
              </w:rPr>
              <w:t>89.3</w:t>
            </w:r>
          </w:p>
        </w:tc>
        <w:tc>
          <w:tcPr>
            <w:tcW w:w="667" w:type="dxa"/>
          </w:tcPr>
          <w:p w14:paraId="10A8A92D" w14:textId="77777777" w:rsidR="0080605D" w:rsidRPr="008B5A27" w:rsidRDefault="0080605D" w:rsidP="008B5A27">
            <w:pPr>
              <w:pStyle w:val="TCTableBody"/>
              <w:jc w:val="center"/>
              <w:rPr>
                <w:sz w:val="20"/>
                <w:lang w:val="nl-NL"/>
              </w:rPr>
            </w:pPr>
            <w:r w:rsidRPr="008B5A27">
              <w:rPr>
                <w:sz w:val="20"/>
                <w:lang w:val="nl-NL"/>
              </w:rPr>
              <w:t>100.0</w:t>
            </w:r>
          </w:p>
        </w:tc>
        <w:tc>
          <w:tcPr>
            <w:tcW w:w="666" w:type="dxa"/>
          </w:tcPr>
          <w:p w14:paraId="316EDA33"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Pr>
          <w:p w14:paraId="04B5962A"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Pr>
          <w:p w14:paraId="454E7D09" w14:textId="77777777" w:rsidR="0080605D" w:rsidRPr="008B5A27" w:rsidRDefault="0080605D" w:rsidP="008B5A27">
            <w:pPr>
              <w:pStyle w:val="TCTableBody"/>
              <w:jc w:val="center"/>
              <w:rPr>
                <w:sz w:val="20"/>
                <w:lang w:val="nl-NL"/>
              </w:rPr>
            </w:pPr>
            <w:r w:rsidRPr="008B5A27">
              <w:rPr>
                <w:sz w:val="20"/>
                <w:lang w:val="nl-NL"/>
              </w:rPr>
              <w:t>73.4</w:t>
            </w:r>
          </w:p>
        </w:tc>
      </w:tr>
      <w:tr w:rsidR="0080605D" w:rsidRPr="003C3195" w14:paraId="3164E6A4" w14:textId="77777777" w:rsidTr="007E5E9E">
        <w:trPr>
          <w:trHeight w:val="170"/>
        </w:trPr>
        <w:tc>
          <w:tcPr>
            <w:tcW w:w="1021" w:type="dxa"/>
          </w:tcPr>
          <w:p w14:paraId="27E8F00C" w14:textId="77777777" w:rsidR="0080605D" w:rsidRPr="008B5A27" w:rsidRDefault="0080605D" w:rsidP="008B5A27">
            <w:pPr>
              <w:pStyle w:val="TCTableBody"/>
              <w:rPr>
                <w:sz w:val="20"/>
                <w:lang w:val="nl-NL"/>
              </w:rPr>
            </w:pPr>
            <w:r w:rsidRPr="008B5A27">
              <w:rPr>
                <w:sz w:val="20"/>
                <w:lang w:val="nl-NL"/>
              </w:rPr>
              <w:t>PU-65-20</w:t>
            </w:r>
          </w:p>
        </w:tc>
        <w:tc>
          <w:tcPr>
            <w:tcW w:w="705" w:type="dxa"/>
          </w:tcPr>
          <w:p w14:paraId="2E4DCC29"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799E0587" w14:textId="77777777" w:rsidR="0080605D" w:rsidRPr="008B5A27" w:rsidRDefault="0080605D" w:rsidP="008B5A27">
            <w:pPr>
              <w:pStyle w:val="TCTableBody"/>
              <w:jc w:val="center"/>
              <w:rPr>
                <w:sz w:val="20"/>
                <w:lang w:val="nl-NL"/>
              </w:rPr>
            </w:pPr>
            <w:r w:rsidRPr="008B5A27">
              <w:rPr>
                <w:sz w:val="20"/>
                <w:lang w:val="nl-NL"/>
              </w:rPr>
              <w:t>65</w:t>
            </w:r>
          </w:p>
        </w:tc>
        <w:tc>
          <w:tcPr>
            <w:tcW w:w="737" w:type="dxa"/>
          </w:tcPr>
          <w:p w14:paraId="3E46F492"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43214780" w14:textId="77777777" w:rsidR="0080605D" w:rsidRPr="008B5A27" w:rsidRDefault="0080605D" w:rsidP="008B5A27">
            <w:pPr>
              <w:pStyle w:val="TCTableBody"/>
              <w:jc w:val="center"/>
              <w:rPr>
                <w:sz w:val="20"/>
                <w:lang w:val="nl-NL"/>
              </w:rPr>
            </w:pPr>
            <w:r w:rsidRPr="008B5A27">
              <w:rPr>
                <w:sz w:val="20"/>
                <w:lang w:val="nl-NL"/>
              </w:rPr>
              <w:t>20</w:t>
            </w:r>
          </w:p>
        </w:tc>
        <w:tc>
          <w:tcPr>
            <w:tcW w:w="510" w:type="dxa"/>
          </w:tcPr>
          <w:p w14:paraId="6EC0D7C2"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77221AA5" w14:textId="77777777" w:rsidR="0080605D" w:rsidRPr="008B5A27" w:rsidRDefault="0080605D" w:rsidP="008B5A27">
            <w:pPr>
              <w:pStyle w:val="TCTableBody"/>
              <w:jc w:val="center"/>
              <w:rPr>
                <w:sz w:val="20"/>
                <w:lang w:val="nl-NL"/>
              </w:rPr>
            </w:pPr>
            <w:r w:rsidRPr="008B5A27">
              <w:rPr>
                <w:sz w:val="20"/>
                <w:lang w:val="nl-NL"/>
              </w:rPr>
              <w:t>98.3</w:t>
            </w:r>
          </w:p>
        </w:tc>
        <w:tc>
          <w:tcPr>
            <w:tcW w:w="666" w:type="dxa"/>
          </w:tcPr>
          <w:p w14:paraId="72651ECE" w14:textId="77777777" w:rsidR="0080605D" w:rsidRPr="008B5A27" w:rsidRDefault="0080605D" w:rsidP="008B5A27">
            <w:pPr>
              <w:pStyle w:val="TCTableBody"/>
              <w:jc w:val="center"/>
              <w:rPr>
                <w:sz w:val="20"/>
                <w:lang w:val="nl-NL"/>
              </w:rPr>
            </w:pPr>
            <w:r w:rsidRPr="008B5A27">
              <w:rPr>
                <w:sz w:val="20"/>
                <w:lang w:val="nl-NL"/>
              </w:rPr>
              <w:t>98.4</w:t>
            </w:r>
          </w:p>
        </w:tc>
        <w:tc>
          <w:tcPr>
            <w:tcW w:w="667" w:type="dxa"/>
          </w:tcPr>
          <w:p w14:paraId="2C5BB036" w14:textId="77777777" w:rsidR="0080605D" w:rsidRPr="008B5A27" w:rsidRDefault="0080605D" w:rsidP="008B5A27">
            <w:pPr>
              <w:pStyle w:val="TCTableBody"/>
              <w:jc w:val="center"/>
              <w:rPr>
                <w:sz w:val="20"/>
                <w:lang w:val="nl-NL"/>
              </w:rPr>
            </w:pPr>
            <w:r w:rsidRPr="008B5A27">
              <w:rPr>
                <w:sz w:val="20"/>
                <w:lang w:val="nl-NL"/>
              </w:rPr>
              <w:t>98.4</w:t>
            </w:r>
          </w:p>
        </w:tc>
        <w:tc>
          <w:tcPr>
            <w:tcW w:w="667" w:type="dxa"/>
          </w:tcPr>
          <w:p w14:paraId="5483C655" w14:textId="77777777" w:rsidR="0080605D" w:rsidRPr="008B5A27" w:rsidRDefault="0080605D" w:rsidP="008B5A27">
            <w:pPr>
              <w:pStyle w:val="TCTableBody"/>
              <w:jc w:val="center"/>
              <w:rPr>
                <w:sz w:val="20"/>
                <w:lang w:val="nl-NL"/>
              </w:rPr>
            </w:pPr>
            <w:r w:rsidRPr="008B5A27">
              <w:rPr>
                <w:sz w:val="20"/>
                <w:lang w:val="nl-NL"/>
              </w:rPr>
              <w:t>82.1</w:t>
            </w:r>
          </w:p>
        </w:tc>
        <w:tc>
          <w:tcPr>
            <w:tcW w:w="666" w:type="dxa"/>
          </w:tcPr>
          <w:p w14:paraId="5E5C85FD" w14:textId="77777777" w:rsidR="0080605D" w:rsidRPr="008B5A27" w:rsidRDefault="0080605D" w:rsidP="008B5A27">
            <w:pPr>
              <w:pStyle w:val="TCTableBody"/>
              <w:jc w:val="center"/>
              <w:rPr>
                <w:sz w:val="20"/>
                <w:lang w:val="nl-NL"/>
              </w:rPr>
            </w:pPr>
            <w:r w:rsidRPr="008B5A27">
              <w:rPr>
                <w:sz w:val="20"/>
                <w:lang w:val="nl-NL"/>
              </w:rPr>
              <w:t>97.2</w:t>
            </w:r>
          </w:p>
        </w:tc>
        <w:tc>
          <w:tcPr>
            <w:tcW w:w="667" w:type="dxa"/>
          </w:tcPr>
          <w:p w14:paraId="1E8D3652" w14:textId="77777777" w:rsidR="0080605D" w:rsidRPr="008B5A27" w:rsidRDefault="0080605D" w:rsidP="008B5A27">
            <w:pPr>
              <w:pStyle w:val="TCTableBody"/>
              <w:jc w:val="center"/>
              <w:rPr>
                <w:sz w:val="20"/>
                <w:lang w:val="nl-NL"/>
              </w:rPr>
            </w:pPr>
            <w:r w:rsidRPr="008B5A27">
              <w:rPr>
                <w:sz w:val="20"/>
                <w:lang w:val="nl-NL"/>
              </w:rPr>
              <w:t>97.0</w:t>
            </w:r>
          </w:p>
        </w:tc>
        <w:tc>
          <w:tcPr>
            <w:tcW w:w="667" w:type="dxa"/>
          </w:tcPr>
          <w:p w14:paraId="2A69A17C" w14:textId="77777777" w:rsidR="0080605D" w:rsidRPr="008B5A27" w:rsidRDefault="0080605D" w:rsidP="008B5A27">
            <w:pPr>
              <w:pStyle w:val="TCTableBody"/>
              <w:jc w:val="center"/>
              <w:rPr>
                <w:sz w:val="20"/>
                <w:lang w:val="nl-NL"/>
              </w:rPr>
            </w:pPr>
            <w:r w:rsidRPr="008B5A27">
              <w:rPr>
                <w:sz w:val="20"/>
                <w:lang w:val="nl-NL"/>
              </w:rPr>
              <w:t>73.7</w:t>
            </w:r>
          </w:p>
        </w:tc>
      </w:tr>
      <w:tr w:rsidR="0080605D" w:rsidRPr="003C3195" w14:paraId="15DF2687" w14:textId="77777777" w:rsidTr="007E5E9E">
        <w:trPr>
          <w:trHeight w:val="170"/>
        </w:trPr>
        <w:tc>
          <w:tcPr>
            <w:tcW w:w="1021" w:type="dxa"/>
          </w:tcPr>
          <w:p w14:paraId="06F0FE31" w14:textId="77777777" w:rsidR="0080605D" w:rsidRPr="008B5A27" w:rsidRDefault="0080605D" w:rsidP="008B5A27">
            <w:pPr>
              <w:pStyle w:val="TCTableBody"/>
              <w:rPr>
                <w:sz w:val="20"/>
                <w:lang w:val="nl-NL"/>
              </w:rPr>
            </w:pPr>
            <w:r w:rsidRPr="008B5A27">
              <w:rPr>
                <w:sz w:val="20"/>
                <w:lang w:val="nl-NL"/>
              </w:rPr>
              <w:t>PU-65-35</w:t>
            </w:r>
          </w:p>
        </w:tc>
        <w:tc>
          <w:tcPr>
            <w:tcW w:w="705" w:type="dxa"/>
          </w:tcPr>
          <w:p w14:paraId="665464C2"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Pr>
          <w:p w14:paraId="4EAA40D7" w14:textId="77777777" w:rsidR="0080605D" w:rsidRPr="008B5A27" w:rsidRDefault="0080605D" w:rsidP="008B5A27">
            <w:pPr>
              <w:pStyle w:val="TCTableBody"/>
              <w:jc w:val="center"/>
              <w:rPr>
                <w:sz w:val="20"/>
                <w:lang w:val="nl-NL"/>
              </w:rPr>
            </w:pPr>
            <w:r w:rsidRPr="008B5A27">
              <w:rPr>
                <w:sz w:val="20"/>
                <w:lang w:val="nl-NL"/>
              </w:rPr>
              <w:t>65</w:t>
            </w:r>
          </w:p>
        </w:tc>
        <w:tc>
          <w:tcPr>
            <w:tcW w:w="737" w:type="dxa"/>
          </w:tcPr>
          <w:p w14:paraId="74865431" w14:textId="77777777" w:rsidR="0080605D" w:rsidRPr="008B5A27" w:rsidRDefault="0080605D" w:rsidP="008B5A27">
            <w:pPr>
              <w:pStyle w:val="TCTableBody"/>
              <w:jc w:val="center"/>
              <w:rPr>
                <w:sz w:val="20"/>
                <w:lang w:val="nl-NL"/>
              </w:rPr>
            </w:pPr>
            <w:r w:rsidRPr="008B5A27">
              <w:rPr>
                <w:sz w:val="20"/>
                <w:lang w:val="nl-NL"/>
              </w:rPr>
              <w:t>15</w:t>
            </w:r>
          </w:p>
        </w:tc>
        <w:tc>
          <w:tcPr>
            <w:tcW w:w="737" w:type="dxa"/>
          </w:tcPr>
          <w:p w14:paraId="6058BEB4" w14:textId="77777777" w:rsidR="0080605D" w:rsidRPr="008B5A27" w:rsidRDefault="0080605D" w:rsidP="008B5A27">
            <w:pPr>
              <w:pStyle w:val="TCTableBody"/>
              <w:jc w:val="center"/>
              <w:rPr>
                <w:sz w:val="20"/>
                <w:lang w:val="nl-NL"/>
              </w:rPr>
            </w:pPr>
            <w:r w:rsidRPr="008B5A27">
              <w:rPr>
                <w:sz w:val="20"/>
                <w:lang w:val="nl-NL"/>
              </w:rPr>
              <w:t>35</w:t>
            </w:r>
          </w:p>
        </w:tc>
        <w:tc>
          <w:tcPr>
            <w:tcW w:w="510" w:type="dxa"/>
          </w:tcPr>
          <w:p w14:paraId="4798F69A" w14:textId="77777777" w:rsidR="0080605D" w:rsidRPr="008B5A27" w:rsidRDefault="0080605D" w:rsidP="008B5A27">
            <w:pPr>
              <w:pStyle w:val="TCTableBody"/>
              <w:jc w:val="center"/>
              <w:rPr>
                <w:sz w:val="20"/>
                <w:lang w:val="nl-NL"/>
              </w:rPr>
            </w:pPr>
            <w:r w:rsidRPr="008B5A27">
              <w:rPr>
                <w:sz w:val="20"/>
                <w:lang w:val="nl-NL"/>
              </w:rPr>
              <w:t>70</w:t>
            </w:r>
          </w:p>
        </w:tc>
        <w:tc>
          <w:tcPr>
            <w:tcW w:w="667" w:type="dxa"/>
          </w:tcPr>
          <w:p w14:paraId="52394B69" w14:textId="77777777" w:rsidR="0080605D" w:rsidRPr="008B5A27" w:rsidRDefault="0080605D" w:rsidP="008B5A27">
            <w:pPr>
              <w:pStyle w:val="TCTableBody"/>
              <w:jc w:val="center"/>
              <w:rPr>
                <w:sz w:val="20"/>
                <w:lang w:val="nl-NL"/>
              </w:rPr>
            </w:pPr>
            <w:r w:rsidRPr="008B5A27">
              <w:rPr>
                <w:sz w:val="20"/>
                <w:lang w:val="nl-NL"/>
              </w:rPr>
              <w:t>95.3</w:t>
            </w:r>
          </w:p>
        </w:tc>
        <w:tc>
          <w:tcPr>
            <w:tcW w:w="666" w:type="dxa"/>
          </w:tcPr>
          <w:p w14:paraId="7B0ED056" w14:textId="77777777" w:rsidR="0080605D" w:rsidRPr="008B5A27" w:rsidRDefault="0080605D" w:rsidP="008B5A27">
            <w:pPr>
              <w:pStyle w:val="TCTableBody"/>
              <w:jc w:val="center"/>
              <w:rPr>
                <w:sz w:val="20"/>
                <w:lang w:val="nl-NL"/>
              </w:rPr>
            </w:pPr>
            <w:r w:rsidRPr="008B5A27">
              <w:rPr>
                <w:sz w:val="20"/>
                <w:lang w:val="nl-NL"/>
              </w:rPr>
              <w:t>95.7</w:t>
            </w:r>
          </w:p>
        </w:tc>
        <w:tc>
          <w:tcPr>
            <w:tcW w:w="667" w:type="dxa"/>
          </w:tcPr>
          <w:p w14:paraId="025B613E" w14:textId="77777777" w:rsidR="0080605D" w:rsidRPr="008B5A27" w:rsidRDefault="0080605D" w:rsidP="008B5A27">
            <w:pPr>
              <w:pStyle w:val="TCTableBody"/>
              <w:jc w:val="center"/>
              <w:rPr>
                <w:sz w:val="20"/>
                <w:lang w:val="nl-NL"/>
              </w:rPr>
            </w:pPr>
            <w:r w:rsidRPr="008B5A27">
              <w:rPr>
                <w:sz w:val="20"/>
                <w:lang w:val="nl-NL"/>
              </w:rPr>
              <w:t>96.0</w:t>
            </w:r>
          </w:p>
        </w:tc>
        <w:tc>
          <w:tcPr>
            <w:tcW w:w="667" w:type="dxa"/>
          </w:tcPr>
          <w:p w14:paraId="06AE2D84" w14:textId="77777777" w:rsidR="0080605D" w:rsidRPr="008B5A27" w:rsidRDefault="0080605D" w:rsidP="008B5A27">
            <w:pPr>
              <w:pStyle w:val="TCTableBody"/>
              <w:jc w:val="center"/>
              <w:rPr>
                <w:sz w:val="20"/>
                <w:lang w:val="nl-NL"/>
              </w:rPr>
            </w:pPr>
            <w:r w:rsidRPr="008B5A27">
              <w:rPr>
                <w:sz w:val="20"/>
                <w:lang w:val="nl-NL"/>
              </w:rPr>
              <w:t>92.4</w:t>
            </w:r>
          </w:p>
        </w:tc>
        <w:tc>
          <w:tcPr>
            <w:tcW w:w="666" w:type="dxa"/>
          </w:tcPr>
          <w:p w14:paraId="6314D7F3"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Pr>
          <w:p w14:paraId="31AD828D"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Pr>
          <w:p w14:paraId="68761A63" w14:textId="77777777" w:rsidR="0080605D" w:rsidRPr="008B5A27" w:rsidRDefault="0080605D" w:rsidP="008B5A27">
            <w:pPr>
              <w:pStyle w:val="TCTableBody"/>
              <w:jc w:val="center"/>
              <w:rPr>
                <w:sz w:val="20"/>
                <w:lang w:val="nl-NL"/>
              </w:rPr>
            </w:pPr>
            <w:r w:rsidRPr="008B5A27">
              <w:rPr>
                <w:sz w:val="20"/>
                <w:lang w:val="nl-NL"/>
              </w:rPr>
              <w:t>32.9</w:t>
            </w:r>
          </w:p>
        </w:tc>
      </w:tr>
      <w:tr w:rsidR="0080605D" w:rsidRPr="003C3195" w14:paraId="128A294B" w14:textId="77777777" w:rsidTr="007E5E9E">
        <w:trPr>
          <w:trHeight w:val="170"/>
        </w:trPr>
        <w:tc>
          <w:tcPr>
            <w:tcW w:w="1021" w:type="dxa"/>
            <w:tcBorders>
              <w:bottom w:val="single" w:sz="4" w:space="0" w:color="auto"/>
            </w:tcBorders>
          </w:tcPr>
          <w:p w14:paraId="2CD5C55D" w14:textId="77777777" w:rsidR="0080605D" w:rsidRPr="008B5A27" w:rsidRDefault="0080605D" w:rsidP="008B5A27">
            <w:pPr>
              <w:pStyle w:val="TCTableBody"/>
              <w:rPr>
                <w:sz w:val="20"/>
                <w:lang w:val="nl-NL"/>
              </w:rPr>
            </w:pPr>
            <w:r w:rsidRPr="008B5A27">
              <w:rPr>
                <w:sz w:val="20"/>
                <w:lang w:val="nl-NL"/>
              </w:rPr>
              <w:t>PU-65-50</w:t>
            </w:r>
          </w:p>
        </w:tc>
        <w:tc>
          <w:tcPr>
            <w:tcW w:w="705" w:type="dxa"/>
            <w:tcBorders>
              <w:bottom w:val="single" w:sz="4" w:space="0" w:color="auto"/>
            </w:tcBorders>
          </w:tcPr>
          <w:p w14:paraId="20013CBB" w14:textId="77777777" w:rsidR="0080605D" w:rsidRPr="008B5A27" w:rsidRDefault="0080605D" w:rsidP="008B5A27">
            <w:pPr>
              <w:pStyle w:val="TCTableBody"/>
              <w:jc w:val="center"/>
              <w:rPr>
                <w:sz w:val="20"/>
                <w:lang w:val="nl-NL"/>
              </w:rPr>
            </w:pPr>
            <w:r w:rsidRPr="008B5A27">
              <w:rPr>
                <w:sz w:val="20"/>
                <w:lang w:val="nl-NL"/>
              </w:rPr>
              <w:t>4000</w:t>
            </w:r>
          </w:p>
        </w:tc>
        <w:tc>
          <w:tcPr>
            <w:tcW w:w="680" w:type="dxa"/>
            <w:tcBorders>
              <w:bottom w:val="single" w:sz="4" w:space="0" w:color="auto"/>
            </w:tcBorders>
          </w:tcPr>
          <w:p w14:paraId="6A839165" w14:textId="77777777" w:rsidR="0080605D" w:rsidRPr="008B5A27" w:rsidRDefault="0080605D" w:rsidP="008B5A27">
            <w:pPr>
              <w:pStyle w:val="TCTableBody"/>
              <w:jc w:val="center"/>
              <w:rPr>
                <w:sz w:val="20"/>
                <w:lang w:val="nl-NL"/>
              </w:rPr>
            </w:pPr>
            <w:r w:rsidRPr="008B5A27">
              <w:rPr>
                <w:sz w:val="20"/>
                <w:lang w:val="nl-NL"/>
              </w:rPr>
              <w:t>65</w:t>
            </w:r>
          </w:p>
        </w:tc>
        <w:tc>
          <w:tcPr>
            <w:tcW w:w="737" w:type="dxa"/>
            <w:tcBorders>
              <w:bottom w:val="single" w:sz="4" w:space="0" w:color="auto"/>
            </w:tcBorders>
          </w:tcPr>
          <w:p w14:paraId="546DCA20" w14:textId="77777777" w:rsidR="0080605D" w:rsidRPr="008B5A27" w:rsidRDefault="0080605D" w:rsidP="008B5A27">
            <w:pPr>
              <w:pStyle w:val="TCTableBody"/>
              <w:jc w:val="center"/>
              <w:rPr>
                <w:sz w:val="20"/>
                <w:lang w:val="nl-NL"/>
              </w:rPr>
            </w:pPr>
            <w:r w:rsidRPr="008B5A27">
              <w:rPr>
                <w:sz w:val="20"/>
                <w:lang w:val="nl-NL"/>
              </w:rPr>
              <w:t>15</w:t>
            </w:r>
          </w:p>
        </w:tc>
        <w:tc>
          <w:tcPr>
            <w:tcW w:w="737" w:type="dxa"/>
            <w:tcBorders>
              <w:bottom w:val="single" w:sz="4" w:space="0" w:color="auto"/>
            </w:tcBorders>
          </w:tcPr>
          <w:p w14:paraId="12EFFFD3" w14:textId="77777777" w:rsidR="0080605D" w:rsidRPr="008B5A27" w:rsidRDefault="0080605D" w:rsidP="008B5A27">
            <w:pPr>
              <w:pStyle w:val="TCTableBody"/>
              <w:jc w:val="center"/>
              <w:rPr>
                <w:sz w:val="20"/>
                <w:lang w:val="nl-NL"/>
              </w:rPr>
            </w:pPr>
            <w:r w:rsidRPr="008B5A27">
              <w:rPr>
                <w:sz w:val="20"/>
                <w:lang w:val="nl-NL"/>
              </w:rPr>
              <w:t>20</w:t>
            </w:r>
          </w:p>
        </w:tc>
        <w:tc>
          <w:tcPr>
            <w:tcW w:w="510" w:type="dxa"/>
            <w:tcBorders>
              <w:bottom w:val="single" w:sz="4" w:space="0" w:color="auto"/>
            </w:tcBorders>
          </w:tcPr>
          <w:p w14:paraId="1C35FF19" w14:textId="77777777" w:rsidR="0080605D" w:rsidRPr="008B5A27" w:rsidRDefault="0080605D" w:rsidP="008B5A27">
            <w:pPr>
              <w:pStyle w:val="TCTableBody"/>
              <w:jc w:val="center"/>
              <w:rPr>
                <w:sz w:val="20"/>
                <w:lang w:val="nl-NL"/>
              </w:rPr>
            </w:pPr>
            <w:r w:rsidRPr="008B5A27">
              <w:rPr>
                <w:sz w:val="20"/>
                <w:lang w:val="nl-NL"/>
              </w:rPr>
              <w:t>70</w:t>
            </w:r>
          </w:p>
        </w:tc>
        <w:tc>
          <w:tcPr>
            <w:tcW w:w="667" w:type="dxa"/>
            <w:tcBorders>
              <w:bottom w:val="single" w:sz="4" w:space="0" w:color="auto"/>
            </w:tcBorders>
          </w:tcPr>
          <w:p w14:paraId="5E881375" w14:textId="77777777" w:rsidR="0080605D" w:rsidRPr="008B5A27" w:rsidRDefault="0080605D" w:rsidP="008B5A27">
            <w:pPr>
              <w:pStyle w:val="TCTableBody"/>
              <w:jc w:val="center"/>
              <w:rPr>
                <w:sz w:val="20"/>
                <w:lang w:val="nl-NL"/>
              </w:rPr>
            </w:pPr>
            <w:r w:rsidRPr="008B5A27">
              <w:rPr>
                <w:sz w:val="20"/>
                <w:lang w:val="nl-NL"/>
              </w:rPr>
              <w:t>95.9</w:t>
            </w:r>
          </w:p>
        </w:tc>
        <w:tc>
          <w:tcPr>
            <w:tcW w:w="666" w:type="dxa"/>
            <w:tcBorders>
              <w:bottom w:val="single" w:sz="4" w:space="0" w:color="auto"/>
            </w:tcBorders>
          </w:tcPr>
          <w:p w14:paraId="255F643E" w14:textId="77777777" w:rsidR="0080605D" w:rsidRPr="008B5A27" w:rsidRDefault="0080605D" w:rsidP="008B5A27">
            <w:pPr>
              <w:pStyle w:val="TCTableBody"/>
              <w:jc w:val="center"/>
              <w:rPr>
                <w:sz w:val="20"/>
                <w:lang w:val="nl-NL"/>
              </w:rPr>
            </w:pPr>
            <w:r w:rsidRPr="008B5A27">
              <w:rPr>
                <w:sz w:val="20"/>
                <w:lang w:val="nl-NL"/>
              </w:rPr>
              <w:t>96.5</w:t>
            </w:r>
          </w:p>
        </w:tc>
        <w:tc>
          <w:tcPr>
            <w:tcW w:w="667" w:type="dxa"/>
            <w:tcBorders>
              <w:bottom w:val="single" w:sz="4" w:space="0" w:color="auto"/>
            </w:tcBorders>
          </w:tcPr>
          <w:p w14:paraId="57957836" w14:textId="77777777" w:rsidR="0080605D" w:rsidRPr="008B5A27" w:rsidRDefault="0080605D" w:rsidP="008B5A27">
            <w:pPr>
              <w:pStyle w:val="TCTableBody"/>
              <w:jc w:val="center"/>
              <w:rPr>
                <w:sz w:val="20"/>
                <w:lang w:val="nl-NL"/>
              </w:rPr>
            </w:pPr>
            <w:r w:rsidRPr="008B5A27">
              <w:rPr>
                <w:sz w:val="20"/>
                <w:lang w:val="nl-NL"/>
              </w:rPr>
              <w:t>97.0</w:t>
            </w:r>
          </w:p>
        </w:tc>
        <w:tc>
          <w:tcPr>
            <w:tcW w:w="667" w:type="dxa"/>
            <w:tcBorders>
              <w:bottom w:val="single" w:sz="4" w:space="0" w:color="auto"/>
            </w:tcBorders>
          </w:tcPr>
          <w:p w14:paraId="1C3199B8" w14:textId="77777777" w:rsidR="0080605D" w:rsidRPr="008B5A27" w:rsidRDefault="0080605D" w:rsidP="008B5A27">
            <w:pPr>
              <w:pStyle w:val="TCTableBody"/>
              <w:jc w:val="center"/>
              <w:rPr>
                <w:sz w:val="20"/>
                <w:lang w:val="nl-NL"/>
              </w:rPr>
            </w:pPr>
            <w:r w:rsidRPr="008B5A27">
              <w:rPr>
                <w:sz w:val="20"/>
                <w:lang w:val="nl-NL"/>
              </w:rPr>
              <w:t>100.0</w:t>
            </w:r>
          </w:p>
        </w:tc>
        <w:tc>
          <w:tcPr>
            <w:tcW w:w="666" w:type="dxa"/>
            <w:tcBorders>
              <w:bottom w:val="single" w:sz="4" w:space="0" w:color="auto"/>
            </w:tcBorders>
          </w:tcPr>
          <w:p w14:paraId="35E2E31D"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Borders>
              <w:bottom w:val="single" w:sz="4" w:space="0" w:color="auto"/>
            </w:tcBorders>
          </w:tcPr>
          <w:p w14:paraId="5C2F9D02" w14:textId="77777777" w:rsidR="0080605D" w:rsidRPr="008B5A27" w:rsidRDefault="0080605D" w:rsidP="008B5A27">
            <w:pPr>
              <w:pStyle w:val="TCTableBody"/>
              <w:jc w:val="center"/>
              <w:rPr>
                <w:sz w:val="20"/>
                <w:lang w:val="nl-NL"/>
              </w:rPr>
            </w:pPr>
            <w:r w:rsidRPr="008B5A27">
              <w:rPr>
                <w:sz w:val="20"/>
                <w:lang w:val="nl-NL"/>
              </w:rPr>
              <w:t>100.0</w:t>
            </w:r>
          </w:p>
        </w:tc>
        <w:tc>
          <w:tcPr>
            <w:tcW w:w="667" w:type="dxa"/>
            <w:tcBorders>
              <w:bottom w:val="single" w:sz="4" w:space="0" w:color="auto"/>
            </w:tcBorders>
          </w:tcPr>
          <w:p w14:paraId="29A74EE3" w14:textId="77777777" w:rsidR="0080605D" w:rsidRPr="008B5A27" w:rsidRDefault="0080605D" w:rsidP="008B5A27">
            <w:pPr>
              <w:pStyle w:val="TCTableBody"/>
              <w:jc w:val="center"/>
              <w:rPr>
                <w:sz w:val="20"/>
                <w:lang w:val="nl-NL"/>
              </w:rPr>
            </w:pPr>
            <w:r w:rsidRPr="008B5A27">
              <w:rPr>
                <w:sz w:val="20"/>
                <w:lang w:val="nl-NL"/>
              </w:rPr>
              <w:t>71.8</w:t>
            </w:r>
          </w:p>
        </w:tc>
      </w:tr>
      <w:tr w:rsidR="0080605D" w:rsidRPr="00E020B3" w14:paraId="26B86631" w14:textId="77777777" w:rsidTr="007E5E9E">
        <w:trPr>
          <w:trHeight w:val="170"/>
        </w:trPr>
        <w:tc>
          <w:tcPr>
            <w:tcW w:w="9057" w:type="dxa"/>
            <w:gridSpan w:val="13"/>
            <w:tcBorders>
              <w:top w:val="single" w:sz="4" w:space="0" w:color="auto"/>
            </w:tcBorders>
          </w:tcPr>
          <w:p w14:paraId="5CC1CD39" w14:textId="23AA7BFD" w:rsidR="001578E5" w:rsidRPr="00E020B3" w:rsidRDefault="00EE492A" w:rsidP="001578E5">
            <w:pPr>
              <w:pStyle w:val="TCTableBody"/>
              <w:rPr>
                <w:sz w:val="20"/>
              </w:rPr>
            </w:pPr>
            <w:r w:rsidRPr="00E020B3">
              <w:rPr>
                <w:sz w:val="20"/>
                <w:vertAlign w:val="superscript"/>
              </w:rPr>
              <w:t>a</w:t>
            </w:r>
            <w:r w:rsidR="0080605D" w:rsidRPr="00E020B3">
              <w:rPr>
                <w:sz w:val="20"/>
              </w:rPr>
              <w:t>: did not survive cyclic shape-memory test</w:t>
            </w:r>
            <w:r w:rsidR="001578E5" w:rsidRPr="00E020B3">
              <w:rPr>
                <w:sz w:val="20"/>
              </w:rPr>
              <w:t>. Used abbreviations: molecular weight of PCL (</w:t>
            </w:r>
            <m:oMath>
              <m:sSub>
                <m:sSubPr>
                  <m:ctrlPr>
                    <w:rPr>
                      <w:rFonts w:ascii="Cambria Math" w:hAnsi="Cambria Math"/>
                      <w:sz w:val="20"/>
                    </w:rPr>
                  </m:ctrlPr>
                </m:sSubPr>
                <m:e>
                  <m:r>
                    <w:rPr>
                      <w:rFonts w:ascii="Cambria Math" w:hAnsi="Cambria Math"/>
                      <w:sz w:val="20"/>
                    </w:rPr>
                    <m:t>M</m:t>
                  </m:r>
                </m:e>
                <m:sub>
                  <m:r>
                    <w:rPr>
                      <w:rFonts w:ascii="Cambria Math" w:hAnsi="Cambria Math"/>
                      <w:sz w:val="20"/>
                    </w:rPr>
                    <m:t>w</m:t>
                  </m:r>
                  <m:r>
                    <m:rPr>
                      <m:sty m:val="p"/>
                    </m:rPr>
                    <w:rPr>
                      <w:rFonts w:ascii="Cambria Math" w:hAnsi="Cambria Math"/>
                      <w:sz w:val="20"/>
                    </w:rPr>
                    <m:t>,</m:t>
                  </m:r>
                  <m:r>
                    <w:rPr>
                      <w:rFonts w:ascii="Cambria Math" w:hAnsi="Cambria Math"/>
                      <w:sz w:val="20"/>
                    </w:rPr>
                    <m:t>PCL</m:t>
                  </m:r>
                </m:sub>
              </m:sSub>
            </m:oMath>
            <w:r w:rsidR="001578E5" w:rsidRPr="00E020B3">
              <w:rPr>
                <w:sz w:val="20"/>
              </w:rPr>
              <w:t>), hard segment content (HS), crosslinker content (#), free indole content (Indole), curing temperature (</w:t>
            </w:r>
            <w:r w:rsidR="001578E5" w:rsidRPr="00E020B3">
              <w:rPr>
                <w:i/>
                <w:sz w:val="20"/>
              </w:rPr>
              <w:t>T</w:t>
            </w:r>
            <w:r w:rsidR="001578E5" w:rsidRPr="00E020B3">
              <w:rPr>
                <w:sz w:val="20"/>
              </w:rPr>
              <w:t>), fixity ratio (</w:t>
            </w:r>
            <m:oMath>
              <m:sSub>
                <m:sSubPr>
                  <m:ctrlPr>
                    <w:rPr>
                      <w:rFonts w:ascii="Cambria Math" w:hAnsi="Cambria Math"/>
                      <w:sz w:val="20"/>
                    </w:rPr>
                  </m:ctrlPr>
                </m:sSubPr>
                <m:e>
                  <m:r>
                    <w:rPr>
                      <w:rFonts w:ascii="Cambria Math" w:hAnsi="Cambria Math"/>
                      <w:sz w:val="20"/>
                    </w:rPr>
                    <m:t>R</m:t>
                  </m:r>
                </m:e>
                <m:sub>
                  <m:r>
                    <w:rPr>
                      <w:rFonts w:ascii="Cambria Math" w:hAnsi="Cambria Math"/>
                      <w:sz w:val="20"/>
                    </w:rPr>
                    <m:t>f</m:t>
                  </m:r>
                </m:sub>
              </m:sSub>
            </m:oMath>
            <w:r w:rsidR="001578E5" w:rsidRPr="00E020B3">
              <w:rPr>
                <w:sz w:val="20"/>
              </w:rPr>
              <w:t>), recovery ratio (</w:t>
            </w:r>
            <m:oMath>
              <m:sSub>
                <m:sSubPr>
                  <m:ctrlPr>
                    <w:rPr>
                      <w:rFonts w:ascii="Cambria Math" w:hAnsi="Cambria Math"/>
                      <w:sz w:val="20"/>
                    </w:rPr>
                  </m:ctrlPr>
                </m:sSubPr>
                <m:e>
                  <m:r>
                    <w:rPr>
                      <w:rFonts w:ascii="Cambria Math" w:hAnsi="Cambria Math"/>
                      <w:sz w:val="20"/>
                    </w:rPr>
                    <m:t>R</m:t>
                  </m:r>
                </m:e>
                <m:sub>
                  <m:r>
                    <w:rPr>
                      <w:rFonts w:ascii="Cambria Math" w:hAnsi="Cambria Math"/>
                      <w:sz w:val="20"/>
                    </w:rPr>
                    <m:t>r</m:t>
                  </m:r>
                </m:sub>
              </m:sSub>
            </m:oMath>
            <w:r w:rsidR="001578E5" w:rsidRPr="00E020B3">
              <w:rPr>
                <w:sz w:val="20"/>
              </w:rPr>
              <w:t>), healing efficiency (</w:t>
            </w:r>
            <m:oMath>
              <m:sSub>
                <m:sSubPr>
                  <m:ctrlPr>
                    <w:rPr>
                      <w:rFonts w:ascii="Cambria Math" w:hAnsi="Cambria Math"/>
                      <w:sz w:val="20"/>
                    </w:rPr>
                  </m:ctrlPr>
                </m:sSubPr>
                <m:e>
                  <m:r>
                    <w:rPr>
                      <w:rFonts w:ascii="Cambria Math" w:hAnsi="Cambria Math"/>
                      <w:sz w:val="20"/>
                    </w:rPr>
                    <m:t>η</m:t>
                  </m:r>
                </m:e>
                <m:sub>
                  <m:r>
                    <w:rPr>
                      <w:rFonts w:ascii="Cambria Math" w:hAnsi="Cambria Math"/>
                      <w:sz w:val="20"/>
                    </w:rPr>
                    <m:t>σ</m:t>
                  </m:r>
                </m:sub>
              </m:sSub>
            </m:oMath>
            <w:r w:rsidR="001578E5" w:rsidRPr="00E020B3">
              <w:rPr>
                <w:sz w:val="20"/>
              </w:rPr>
              <w:t>).</w:t>
            </w:r>
          </w:p>
          <w:p w14:paraId="595ED904" w14:textId="4485D178" w:rsidR="0080605D" w:rsidRPr="00E020B3" w:rsidRDefault="0080605D" w:rsidP="00EE492A">
            <w:pPr>
              <w:pStyle w:val="TCTableBody"/>
              <w:rPr>
                <w:sz w:val="20"/>
              </w:rPr>
            </w:pPr>
          </w:p>
        </w:tc>
      </w:tr>
    </w:tbl>
    <w:p w14:paraId="4A6CD701" w14:textId="77777777" w:rsidR="00D05B2E" w:rsidRDefault="00D05B2E" w:rsidP="00EE492A">
      <w:pPr>
        <w:pStyle w:val="TAMainText"/>
        <w:rPr>
          <w:b/>
        </w:rPr>
      </w:pPr>
    </w:p>
    <w:p w14:paraId="6B850A64" w14:textId="77777777" w:rsidR="00825283" w:rsidRDefault="00EE492A" w:rsidP="00EE492A">
      <w:pPr>
        <w:pStyle w:val="TAMainText"/>
      </w:pPr>
      <w:r w:rsidRPr="00EE492A">
        <w:rPr>
          <w:b/>
        </w:rPr>
        <w:t>Cyclic shape-memory experiment</w:t>
      </w:r>
      <w:r>
        <w:rPr>
          <w:b/>
        </w:rPr>
        <w:t xml:space="preserve">. </w:t>
      </w:r>
      <w:r w:rsidRPr="00451C9D">
        <w:t>The efficiency of the shape-memory property was probed by performing a temperature- and stress-controlled cyclic tensile test (</w:t>
      </w:r>
      <w:r w:rsidR="00981CA4">
        <w:t>Figure 1</w:t>
      </w:r>
      <w:r w:rsidRPr="00451C9D">
        <w:t xml:space="preserve">). </w:t>
      </w:r>
    </w:p>
    <w:p w14:paraId="05A52904" w14:textId="77777777" w:rsidR="00825283" w:rsidRPr="00EE492A" w:rsidRDefault="00825283" w:rsidP="00825283">
      <w:pPr>
        <w:pStyle w:val="TAMainText"/>
        <w:ind w:firstLine="0"/>
      </w:pPr>
    </w:p>
    <w:p w14:paraId="2C233A53" w14:textId="77777777" w:rsidR="00825283" w:rsidRPr="00451C9D" w:rsidRDefault="00825283" w:rsidP="00825283">
      <w:pPr>
        <w:pStyle w:val="TAMainText"/>
      </w:pPr>
      <w:r w:rsidRPr="00451C9D">
        <w:rPr>
          <w:noProof/>
        </w:rPr>
        <w:drawing>
          <wp:inline distT="0" distB="0" distL="0" distR="0" wp14:anchorId="1EB3CA7F" wp14:editId="726C3BF5">
            <wp:extent cx="5620040" cy="162813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1 Cyclic SM NVH24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0040" cy="1628139"/>
                    </a:xfrm>
                    <a:prstGeom prst="rect">
                      <a:avLst/>
                    </a:prstGeom>
                  </pic:spPr>
                </pic:pic>
              </a:graphicData>
            </a:graphic>
          </wp:inline>
        </w:drawing>
      </w:r>
    </w:p>
    <w:p w14:paraId="5E813AA6" w14:textId="77777777" w:rsidR="00825283" w:rsidRDefault="00825283" w:rsidP="00825283">
      <w:pPr>
        <w:pStyle w:val="VAFigureCaption"/>
      </w:pPr>
      <w:r w:rsidRPr="00451C9D">
        <w:t xml:space="preserve">Figure </w:t>
      </w:r>
      <w:r>
        <w:t>1</w:t>
      </w:r>
      <w:r w:rsidRPr="00451C9D">
        <w:t>: Graphical representation of the cyclic shape-memory experiments for PU-1. (a) 3D plot (b) Stress-strain-temperature as a function of time.</w:t>
      </w:r>
    </w:p>
    <w:p w14:paraId="34FDBF6B" w14:textId="77777777" w:rsidR="00825283" w:rsidRDefault="00825283" w:rsidP="00EE492A">
      <w:pPr>
        <w:pStyle w:val="TAMainText"/>
      </w:pPr>
    </w:p>
    <w:p w14:paraId="10E5FA07" w14:textId="69EC9ADB" w:rsidR="00EE492A" w:rsidRDefault="00EE492A" w:rsidP="00EE492A">
      <w:pPr>
        <w:pStyle w:val="TAMainText"/>
        <w:rPr>
          <w:rFonts w:eastAsiaTheme="minorEastAsia"/>
        </w:rPr>
      </w:pPr>
      <w:r w:rsidRPr="00451C9D">
        <w:t>The samples were stretched at elevated temperature, followed by cooling below the melting temperature of PCL (</w:t>
      </w:r>
      <m:oMath>
        <m:sSub>
          <m:sSubPr>
            <m:ctrlPr>
              <w:rPr>
                <w:rFonts w:ascii="Cambria Math" w:hAnsi="Cambria Math"/>
                <w:i/>
              </w:rPr>
            </m:ctrlPr>
          </m:sSubPr>
          <m:e>
            <m:r>
              <w:rPr>
                <w:rFonts w:ascii="Cambria Math" w:hAnsi="Cambria Math"/>
              </w:rPr>
              <m:t>T</m:t>
            </m:r>
          </m:e>
          <m:sub>
            <m:r>
              <w:rPr>
                <w:rFonts w:ascii="Cambria Math" w:hAnsi="Cambria Math"/>
              </w:rPr>
              <m:t>m,PCL</m:t>
            </m:r>
          </m:sub>
        </m:sSub>
        <m:r>
          <w:rPr>
            <w:rFonts w:ascii="Cambria Math" w:hAnsi="Cambria Math"/>
          </w:rPr>
          <m:t xml:space="preserve"> </m:t>
        </m:r>
      </m:oMath>
      <w:r>
        <w:rPr>
          <w:rFonts w:eastAsiaTheme="minorEastAsia"/>
        </w:rPr>
        <w:t>= ± 50 °C</w:t>
      </w:r>
      <w:r w:rsidRPr="00451C9D">
        <w:t xml:space="preserve">) to store a temporary shape. When removing the stress, i.e. unloading, the fixity ratio </w:t>
      </w:r>
      <m:oMath>
        <m:sSub>
          <m:sSubPr>
            <m:ctrlPr>
              <w:rPr>
                <w:rFonts w:ascii="Cambria Math" w:hAnsi="Cambria Math"/>
                <w:i/>
              </w:rPr>
            </m:ctrlPr>
          </m:sSubPr>
          <m:e>
            <m:r>
              <w:rPr>
                <w:rFonts w:ascii="Cambria Math" w:hAnsi="Cambria Math"/>
              </w:rPr>
              <m:t>R</m:t>
            </m:r>
          </m:e>
          <m:sub>
            <m:r>
              <w:rPr>
                <w:rFonts w:ascii="Cambria Math" w:hAnsi="Cambria Math"/>
              </w:rPr>
              <m:t>f</m:t>
            </m:r>
          </m:sub>
        </m:sSub>
      </m:oMath>
      <w:r w:rsidRPr="00451C9D">
        <w:rPr>
          <w:rFonts w:eastAsiaTheme="minorEastAsia"/>
        </w:rPr>
        <w:t xml:space="preserve"> is determined</w:t>
      </w:r>
      <w:r w:rsidRPr="00451C9D">
        <w:t xml:space="preserve">, which defines how good the material can store this temporary shape. This value was determined according to Equation (1), where </w:t>
      </w:r>
      <m:oMath>
        <m:sSub>
          <m:sSubPr>
            <m:ctrlPr>
              <w:rPr>
                <w:rFonts w:ascii="Cambria Math" w:hAnsi="Cambria Math"/>
                <w:i/>
              </w:rPr>
            </m:ctrlPr>
          </m:sSubPr>
          <m:e>
            <m:r>
              <w:rPr>
                <w:rFonts w:ascii="Cambria Math" w:hAnsi="Cambria Math"/>
              </w:rPr>
              <m:t>ε</m:t>
            </m:r>
          </m:e>
          <m:sub>
            <m:r>
              <w:rPr>
                <w:rFonts w:ascii="Cambria Math" w:hAnsi="Cambria Math"/>
              </w:rPr>
              <m:t>m</m:t>
            </m:r>
          </m:sub>
        </m:sSub>
      </m:oMath>
      <w:r w:rsidRPr="00451C9D">
        <w:rPr>
          <w:rFonts w:eastAsiaTheme="minorEastAsia"/>
        </w:rPr>
        <w:t xml:space="preserve"> is the targeted maximum strain and </w:t>
      </w:r>
      <m:oMath>
        <m:sSub>
          <m:sSubPr>
            <m:ctrlPr>
              <w:rPr>
                <w:rFonts w:ascii="Cambria Math" w:hAnsi="Cambria Math"/>
                <w:i/>
              </w:rPr>
            </m:ctrlPr>
          </m:sSubPr>
          <m:e>
            <m:r>
              <w:rPr>
                <w:rFonts w:ascii="Cambria Math" w:hAnsi="Cambria Math"/>
              </w:rPr>
              <m:t>ε</m:t>
            </m:r>
          </m:e>
          <m:sub>
            <m:r>
              <w:rPr>
                <w:rFonts w:ascii="Cambria Math" w:hAnsi="Cambria Math"/>
              </w:rPr>
              <m:t>f</m:t>
            </m:r>
          </m:sub>
        </m:sSub>
      </m:oMath>
      <w:r w:rsidRPr="00451C9D">
        <w:rPr>
          <w:rFonts w:eastAsiaTheme="minorEastAsia"/>
        </w:rPr>
        <w:t xml:space="preserve"> is the strain after unloading. </w:t>
      </w:r>
      <w:r w:rsidRPr="00451C9D">
        <w:t xml:space="preserve">Next, the sample was heated above </w:t>
      </w:r>
      <m:oMath>
        <m:sSub>
          <m:sSubPr>
            <m:ctrlPr>
              <w:rPr>
                <w:rFonts w:ascii="Cambria Math" w:hAnsi="Cambria Math"/>
                <w:i/>
              </w:rPr>
            </m:ctrlPr>
          </m:sSubPr>
          <m:e>
            <m:r>
              <w:rPr>
                <w:rFonts w:ascii="Cambria Math" w:hAnsi="Cambria Math"/>
              </w:rPr>
              <m:t>T</m:t>
            </m:r>
          </m:e>
          <m:sub>
            <m:r>
              <w:rPr>
                <w:rFonts w:ascii="Cambria Math" w:hAnsi="Cambria Math"/>
              </w:rPr>
              <m:t>m,PCL</m:t>
            </m:r>
          </m:sub>
        </m:sSub>
      </m:oMath>
      <w:r w:rsidRPr="00451C9D">
        <w:t xml:space="preserve"> and allowed to restore its original shape, i.e. shape-recovery. At this point, a recovery ratio </w:t>
      </w:r>
      <m:oMath>
        <m:sSub>
          <m:sSubPr>
            <m:ctrlPr>
              <w:rPr>
                <w:rFonts w:ascii="Cambria Math" w:hAnsi="Cambria Math"/>
                <w:i/>
              </w:rPr>
            </m:ctrlPr>
          </m:sSubPr>
          <m:e>
            <m:r>
              <w:rPr>
                <w:rFonts w:ascii="Cambria Math" w:hAnsi="Cambria Math"/>
              </w:rPr>
              <m:t>R</m:t>
            </m:r>
          </m:e>
          <m:sub>
            <m:r>
              <w:rPr>
                <w:rFonts w:ascii="Cambria Math" w:hAnsi="Cambria Math"/>
              </w:rPr>
              <m:t>r</m:t>
            </m:r>
          </m:sub>
        </m:sSub>
      </m:oMath>
      <w:r w:rsidRPr="00451C9D">
        <w:t xml:space="preserve"> can be determined, which defines how well the material can restore the original shape. This value was determined according to Equation (2), where </w:t>
      </w:r>
      <m:oMath>
        <m:sSub>
          <m:sSubPr>
            <m:ctrlPr>
              <w:rPr>
                <w:rFonts w:ascii="Cambria Math" w:hAnsi="Cambria Math"/>
                <w:i/>
              </w:rPr>
            </m:ctrlPr>
          </m:sSubPr>
          <m:e>
            <m:r>
              <w:rPr>
                <w:rFonts w:ascii="Cambria Math" w:hAnsi="Cambria Math"/>
              </w:rPr>
              <m:t>ε</m:t>
            </m:r>
          </m:e>
          <m:sub>
            <m:r>
              <w:rPr>
                <w:rFonts w:ascii="Cambria Math" w:hAnsi="Cambria Math"/>
              </w:rPr>
              <m:t>0</m:t>
            </m:r>
          </m:sub>
        </m:sSub>
      </m:oMath>
      <w:r w:rsidRPr="00451C9D">
        <w:rPr>
          <w:rFonts w:eastAsiaTheme="minorEastAsia"/>
        </w:rPr>
        <w:t xml:space="preserve"> is the original strain and </w:t>
      </w:r>
      <m:oMath>
        <m:sSub>
          <m:sSubPr>
            <m:ctrlPr>
              <w:rPr>
                <w:rFonts w:ascii="Cambria Math" w:hAnsi="Cambria Math"/>
                <w:i/>
              </w:rPr>
            </m:ctrlPr>
          </m:sSubPr>
          <m:e>
            <m:r>
              <w:rPr>
                <w:rFonts w:ascii="Cambria Math" w:hAnsi="Cambria Math"/>
              </w:rPr>
              <m:t>ε</m:t>
            </m:r>
          </m:e>
          <m:sub>
            <m:r>
              <w:rPr>
                <w:rFonts w:ascii="Cambria Math" w:hAnsi="Cambria Math"/>
              </w:rPr>
              <m:t>r</m:t>
            </m:r>
          </m:sub>
        </m:sSub>
      </m:oMath>
      <w:r w:rsidRPr="00451C9D">
        <w:rPr>
          <w:rFonts w:eastAsiaTheme="minorEastAsia"/>
        </w:rPr>
        <w:t xml:space="preserve"> is the strain after shape-recovery. These steps were repeated for at least 3 cycles.</w:t>
      </w:r>
    </w:p>
    <w:p w14:paraId="3FE10AA4" w14:textId="4CD3BF43" w:rsidR="004819D6" w:rsidRPr="004819D6" w:rsidRDefault="00E72DE5" w:rsidP="00E020B3">
      <w:pPr>
        <w:spacing w:line="480" w:lineRule="auto"/>
        <w:jc w:val="center"/>
      </w:pPr>
      <m:oMath>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f</m:t>
                </m:r>
              </m:sub>
            </m:sSub>
          </m:num>
          <m:den>
            <m:sSub>
              <m:sSubPr>
                <m:ctrlPr>
                  <w:rPr>
                    <w:rFonts w:ascii="Cambria Math" w:hAnsi="Cambria Math"/>
                    <w:i/>
                  </w:rPr>
                </m:ctrlPr>
              </m:sSubPr>
              <m:e>
                <m:r>
                  <w:rPr>
                    <w:rFonts w:ascii="Cambria Math" w:hAnsi="Cambria Math"/>
                  </w:rPr>
                  <m:t>ε</m:t>
                </m:r>
              </m:e>
              <m:sub>
                <m:r>
                  <w:rPr>
                    <w:rFonts w:ascii="Cambria Math" w:hAnsi="Cambria Math"/>
                  </w:rPr>
                  <m:t>m</m:t>
                </m:r>
              </m:sub>
            </m:sSub>
          </m:den>
        </m:f>
        <m:r>
          <w:rPr>
            <w:rFonts w:ascii="Cambria Math" w:hAnsi="Cambria Math"/>
          </w:rPr>
          <m:t xml:space="preserve"> × 100%</m:t>
        </m:r>
      </m:oMath>
      <w:r w:rsidR="00E8264B">
        <w:t xml:space="preserve">   (1)</w:t>
      </w:r>
    </w:p>
    <w:p w14:paraId="74FAC77E" w14:textId="1EDC1111" w:rsidR="004819D6" w:rsidRPr="004819D6" w:rsidRDefault="00E72DE5" w:rsidP="00E020B3">
      <w:pPr>
        <w:spacing w:line="480" w:lineRule="auto"/>
        <w:jc w:val="center"/>
      </w:pPr>
      <m:oMath>
        <m:sSub>
          <m:sSubPr>
            <m:ctrlPr>
              <w:rPr>
                <w:rFonts w:ascii="Cambria Math" w:hAnsi="Cambria Math"/>
                <w:i/>
              </w:rPr>
            </m:ctrlPr>
          </m:sSubPr>
          <m:e>
            <m:r>
              <w:rPr>
                <w:rFonts w:ascii="Cambria Math" w:hAnsi="Cambria Math"/>
              </w:rPr>
              <m:t>R</m:t>
            </m:r>
          </m:e>
          <m:sub>
            <m:r>
              <w:rPr>
                <w:rFonts w:ascii="Cambria Math" w:hAnsi="Cambria Math"/>
              </w:rPr>
              <m:t>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r</m:t>
                </m:r>
              </m:sub>
            </m:sSub>
          </m:num>
          <m:den>
            <m:sSub>
              <m:sSubPr>
                <m:ctrlPr>
                  <w:rPr>
                    <w:rFonts w:ascii="Cambria Math" w:hAnsi="Cambria Math"/>
                    <w:i/>
                  </w:rPr>
                </m:ctrlPr>
              </m:sSubPr>
              <m:e>
                <m:r>
                  <w:rPr>
                    <w:rFonts w:ascii="Cambria Math" w:hAnsi="Cambria Math"/>
                  </w:rPr>
                  <m:t>ε</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0</m:t>
                </m:r>
              </m:sub>
            </m:sSub>
          </m:den>
        </m:f>
        <m:r>
          <w:rPr>
            <w:rFonts w:ascii="Cambria Math" w:hAnsi="Cambria Math"/>
          </w:rPr>
          <m:t xml:space="preserve"> × 100%</m:t>
        </m:r>
      </m:oMath>
      <w:r w:rsidR="00E8264B">
        <w:t xml:space="preserve">   (2)</w:t>
      </w:r>
    </w:p>
    <w:p w14:paraId="105BD6FE" w14:textId="5F8ECAC2" w:rsidR="00EE492A" w:rsidRPr="00451C9D" w:rsidRDefault="004819D6" w:rsidP="00EE492A">
      <w:pPr>
        <w:pStyle w:val="TAMainText"/>
      </w:pPr>
      <w:r>
        <w:rPr>
          <w:rFonts w:eastAsiaTheme="minorEastAsia"/>
        </w:rPr>
        <w:t xml:space="preserve">Table 1 </w:t>
      </w:r>
      <w:r w:rsidR="00EE492A" w:rsidRPr="00451C9D">
        <w:rPr>
          <w:rFonts w:eastAsiaTheme="minorEastAsia"/>
        </w:rPr>
        <w:t>shows the fixity and recovery ratios obtained during this cyclic test for PU-1 to PU-11. R</w:t>
      </w:r>
      <w:r w:rsidR="00EE492A" w:rsidRPr="00451C9D">
        <w:t xml:space="preserve">easonable to excellent shape-memory properties were obtained for almost all samples. When comparing the different cycles, it is evident that the fixity ratio is very reproducible in each cycle, whereas the recovery ratio in the first cycle is typically lower than the other cycles. This ‘learning step’ can be attributed to the testing method, where a longitudinal force is applied and polymer chains creep slightly to reduce the stress. This leads to a permanent deformation that cannot be restored upon heating the sample and thus results in a lower recovery ratio. This effect is enhanced in the used </w:t>
      </w:r>
      <w:r w:rsidR="00EE492A" w:rsidRPr="00520475">
        <w:t>cyclic tensile test as a result of the large deformations</w:t>
      </w:r>
      <w:r w:rsidR="00CD3CE8" w:rsidRPr="00520475">
        <w:t xml:space="preserve"> (cm range)</w:t>
      </w:r>
      <w:r w:rsidR="00EE492A" w:rsidRPr="00520475">
        <w:t xml:space="preserve"> that are applied and will not be problematic for </w:t>
      </w:r>
      <w:r w:rsidR="000A36C7" w:rsidRPr="00520475">
        <w:t xml:space="preserve">typical </w:t>
      </w:r>
      <w:r w:rsidR="00EA7FF9" w:rsidRPr="00520475">
        <w:t xml:space="preserve">final </w:t>
      </w:r>
      <w:r w:rsidR="00EE492A" w:rsidRPr="00520475">
        <w:t>application</w:t>
      </w:r>
      <w:r w:rsidR="000A36C7" w:rsidRPr="00520475">
        <w:t>s</w:t>
      </w:r>
      <w:r w:rsidR="00EE492A" w:rsidRPr="00520475">
        <w:t xml:space="preserve">, </w:t>
      </w:r>
      <w:r w:rsidR="00EA7FF9" w:rsidRPr="00520475">
        <w:t>where</w:t>
      </w:r>
      <w:r w:rsidR="00EE492A" w:rsidRPr="00520475">
        <w:t xml:space="preserve"> smaller deformations</w:t>
      </w:r>
      <w:r w:rsidR="00CD3CE8" w:rsidRPr="00520475">
        <w:t xml:space="preserve"> (µm-mm range)</w:t>
      </w:r>
      <w:r w:rsidR="00EE492A" w:rsidRPr="00520475">
        <w:t xml:space="preserve"> are targeted.</w:t>
      </w:r>
    </w:p>
    <w:p w14:paraId="2E5385B9" w14:textId="77777777" w:rsidR="00EE492A" w:rsidRPr="00451C9D" w:rsidRDefault="00EE492A" w:rsidP="00EE492A">
      <w:pPr>
        <w:pStyle w:val="TAMainText"/>
      </w:pPr>
      <w:r w:rsidRPr="00451C9D">
        <w:t xml:space="preserve">To understand which sample shows the best combination of fixity and recovery ratios, first the events during a damage and healing event are explained. When cutting the PU with a knife, covalent bonds will be broken and part of the material will be pushed away perpendicular from the cutting direction. Since this process occurs below </w:t>
      </w:r>
      <m:oMath>
        <m:sSub>
          <m:sSubPr>
            <m:ctrlPr>
              <w:rPr>
                <w:rFonts w:ascii="Cambria Math" w:hAnsi="Cambria Math"/>
                <w:i/>
              </w:rPr>
            </m:ctrlPr>
          </m:sSubPr>
          <m:e>
            <m:r>
              <w:rPr>
                <w:rFonts w:ascii="Cambria Math" w:hAnsi="Cambria Math"/>
              </w:rPr>
              <m:t>T</m:t>
            </m:r>
          </m:e>
          <m:sub>
            <m:r>
              <w:rPr>
                <w:rFonts w:ascii="Cambria Math" w:hAnsi="Cambria Math"/>
              </w:rPr>
              <m:t>m,PCL</m:t>
            </m:r>
          </m:sub>
        </m:sSub>
      </m:oMath>
      <w:r w:rsidRPr="00451C9D">
        <w:t xml:space="preserve">, it leads to plastic deformation of the material and a new temporary (damaged) shape is fixed. However, part of the dissipated energy is stored as elastic energy, which can be released upon heating the material above </w:t>
      </w:r>
      <m:oMath>
        <m:sSub>
          <m:sSubPr>
            <m:ctrlPr>
              <w:rPr>
                <w:rFonts w:ascii="Cambria Math" w:hAnsi="Cambria Math"/>
                <w:i/>
              </w:rPr>
            </m:ctrlPr>
          </m:sSubPr>
          <m:e>
            <m:r>
              <w:rPr>
                <w:rFonts w:ascii="Cambria Math" w:hAnsi="Cambria Math"/>
              </w:rPr>
              <m:t>T</m:t>
            </m:r>
          </m:e>
          <m:sub>
            <m:r>
              <w:rPr>
                <w:rFonts w:ascii="Cambria Math" w:hAnsi="Cambria Math"/>
              </w:rPr>
              <m:t>m,PCL</m:t>
            </m:r>
          </m:sub>
        </m:sSub>
      </m:oMath>
      <w:r w:rsidRPr="00451C9D">
        <w:t xml:space="preserve">. When the crystalline fraction melts, the built-up tension is released and the original shape will be recovered. Therefore, the most important parameter in the context of healing is the recovery ratio. </w:t>
      </w:r>
    </w:p>
    <w:p w14:paraId="133C04C7" w14:textId="33172BB9" w:rsidR="00EE492A" w:rsidRDefault="00EE492A" w:rsidP="00D067C4">
      <w:pPr>
        <w:pStyle w:val="TAMainText"/>
      </w:pPr>
      <w:r w:rsidRPr="00451C9D">
        <w:t xml:space="preserve">It could be assumed through the data presented in </w:t>
      </w:r>
      <w:r w:rsidR="00E8264B">
        <w:t>Table 1</w:t>
      </w:r>
      <w:r w:rsidRPr="00451C9D">
        <w:t xml:space="preserve">, that PU-4, with a recovery ratio </w:t>
      </w:r>
      <m:oMath>
        <m:sSub>
          <m:sSubPr>
            <m:ctrlPr>
              <w:rPr>
                <w:rFonts w:ascii="Cambria Math" w:hAnsi="Cambria Math"/>
                <w:i/>
              </w:rPr>
            </m:ctrlPr>
          </m:sSubPr>
          <m:e>
            <m:r>
              <w:rPr>
                <w:rFonts w:ascii="Cambria Math" w:hAnsi="Cambria Math"/>
              </w:rPr>
              <m:t>R</m:t>
            </m:r>
          </m:e>
          <m:sub>
            <m:r>
              <w:rPr>
                <w:rFonts w:ascii="Cambria Math" w:hAnsi="Cambria Math"/>
              </w:rPr>
              <m:t>r</m:t>
            </m:r>
          </m:sub>
        </m:sSub>
      </m:oMath>
      <w:r>
        <w:t xml:space="preserve"> of 93.3</w:t>
      </w:r>
      <w:r w:rsidRPr="00451C9D">
        <w:t xml:space="preserve">%, would be the </w:t>
      </w:r>
      <w:r>
        <w:t>most optimal</w:t>
      </w:r>
      <w:r w:rsidRPr="00451C9D">
        <w:t xml:space="preserve"> material. However, it is important to note that the fixity ratio </w:t>
      </w:r>
      <m:oMath>
        <m:sSub>
          <m:sSubPr>
            <m:ctrlPr>
              <w:rPr>
                <w:rFonts w:ascii="Cambria Math" w:hAnsi="Cambria Math"/>
                <w:i/>
              </w:rPr>
            </m:ctrlPr>
          </m:sSubPr>
          <m:e>
            <m:r>
              <w:rPr>
                <w:rFonts w:ascii="Cambria Math" w:hAnsi="Cambria Math"/>
              </w:rPr>
              <m:t>R</m:t>
            </m:r>
          </m:e>
          <m:sub>
            <m:r>
              <w:rPr>
                <w:rFonts w:ascii="Cambria Math" w:hAnsi="Cambria Math"/>
              </w:rPr>
              <m:t>f</m:t>
            </m:r>
          </m:sub>
        </m:sSub>
      </m:oMath>
      <w:r w:rsidRPr="00451C9D">
        <w:rPr>
          <w:rFonts w:eastAsiaTheme="minorEastAsia"/>
        </w:rPr>
        <w:t xml:space="preserve"> of PU-4 is very low compared to the other samples, which indicates poor shape-memory properties. This is due to the </w:t>
      </w:r>
      <w:r>
        <w:rPr>
          <w:rFonts w:eastAsiaTheme="minorEastAsia"/>
        </w:rPr>
        <w:t xml:space="preserve">use of </w:t>
      </w:r>
      <w:r w:rsidRPr="00451C9D">
        <w:rPr>
          <w:rFonts w:eastAsiaTheme="minorEastAsia"/>
        </w:rPr>
        <w:t xml:space="preserve">short PCL chains (2000 g/mol), which are less suited to form strong crystalline domains compared to </w:t>
      </w:r>
      <w:r>
        <w:rPr>
          <w:rFonts w:eastAsiaTheme="minorEastAsia"/>
        </w:rPr>
        <w:t>higher molar mass</w:t>
      </w:r>
      <w:r w:rsidRPr="00451C9D">
        <w:rPr>
          <w:rFonts w:eastAsiaTheme="minorEastAsia"/>
        </w:rPr>
        <w:t xml:space="preserve"> PCL chains. Indeed, the good </w:t>
      </w:r>
      <m:oMath>
        <m:sSub>
          <m:sSubPr>
            <m:ctrlPr>
              <w:rPr>
                <w:rFonts w:ascii="Cambria Math" w:hAnsi="Cambria Math"/>
                <w:i/>
              </w:rPr>
            </m:ctrlPr>
          </m:sSubPr>
          <m:e>
            <m:r>
              <w:rPr>
                <w:rFonts w:ascii="Cambria Math" w:hAnsi="Cambria Math"/>
              </w:rPr>
              <m:t>R</m:t>
            </m:r>
          </m:e>
          <m:sub>
            <m:r>
              <w:rPr>
                <w:rFonts w:ascii="Cambria Math" w:hAnsi="Cambria Math"/>
              </w:rPr>
              <m:t>r</m:t>
            </m:r>
          </m:sub>
        </m:sSub>
      </m:oMath>
      <w:r w:rsidRPr="00451C9D">
        <w:rPr>
          <w:rFonts w:eastAsiaTheme="minorEastAsia"/>
        </w:rPr>
        <w:t xml:space="preserve"> suggests that the suffered damage will be closed immediately and without heating as a result of elastic behavior. However, </w:t>
      </w:r>
      <w:r>
        <w:rPr>
          <w:rFonts w:eastAsiaTheme="minorEastAsia"/>
        </w:rPr>
        <w:t>as we aimed for</w:t>
      </w:r>
      <w:r w:rsidRPr="00451C9D">
        <w:rPr>
          <w:rFonts w:eastAsiaTheme="minorEastAsia"/>
        </w:rPr>
        <w:t xml:space="preserve"> the production of high-modulus healable materials</w:t>
      </w:r>
      <w:r>
        <w:rPr>
          <w:rFonts w:eastAsiaTheme="minorEastAsia"/>
        </w:rPr>
        <w:t xml:space="preserve">, not </w:t>
      </w:r>
      <w:r w:rsidRPr="00451C9D">
        <w:rPr>
          <w:rFonts w:eastAsiaTheme="minorEastAsia"/>
        </w:rPr>
        <w:t>PU-4 with poor mechanical strength</w:t>
      </w:r>
      <w:r>
        <w:rPr>
          <w:rFonts w:eastAsiaTheme="minorEastAsia"/>
        </w:rPr>
        <w:t xml:space="preserve"> but</w:t>
      </w:r>
      <w:r w:rsidRPr="00451C9D">
        <w:rPr>
          <w:rFonts w:eastAsiaTheme="minorEastAsia"/>
        </w:rPr>
        <w:t xml:space="preserve"> PU-1 was evaluated as the best material with a recovery </w:t>
      </w:r>
      <w:r w:rsidRPr="00451C9D">
        <w:t xml:space="preserve">ratio </w:t>
      </w:r>
      <m:oMath>
        <m:sSub>
          <m:sSubPr>
            <m:ctrlPr>
              <w:rPr>
                <w:rFonts w:ascii="Cambria Math" w:hAnsi="Cambria Math"/>
                <w:i/>
              </w:rPr>
            </m:ctrlPr>
          </m:sSubPr>
          <m:e>
            <m:r>
              <w:rPr>
                <w:rFonts w:ascii="Cambria Math" w:hAnsi="Cambria Math"/>
              </w:rPr>
              <m:t>R</m:t>
            </m:r>
          </m:e>
          <m:sub>
            <m:r>
              <w:rPr>
                <w:rFonts w:ascii="Cambria Math" w:hAnsi="Cambria Math"/>
              </w:rPr>
              <m:t>r</m:t>
            </m:r>
          </m:sub>
        </m:sSub>
      </m:oMath>
      <w:r>
        <w:t xml:space="preserve"> of 82.1</w:t>
      </w:r>
      <w:r w:rsidRPr="00451C9D">
        <w:t xml:space="preserve">%, and a fixity ratio </w:t>
      </w:r>
      <m:oMath>
        <m:sSub>
          <m:sSubPr>
            <m:ctrlPr>
              <w:rPr>
                <w:rFonts w:ascii="Cambria Math" w:hAnsi="Cambria Math"/>
                <w:i/>
              </w:rPr>
            </m:ctrlPr>
          </m:sSubPr>
          <m:e>
            <m:r>
              <w:rPr>
                <w:rFonts w:ascii="Cambria Math" w:hAnsi="Cambria Math"/>
              </w:rPr>
              <m:t>R</m:t>
            </m:r>
          </m:e>
          <m:sub>
            <m:r>
              <w:rPr>
                <w:rFonts w:ascii="Cambria Math" w:hAnsi="Cambria Math"/>
              </w:rPr>
              <m:t>f</m:t>
            </m:r>
          </m:sub>
        </m:sSub>
      </m:oMath>
      <w:r>
        <w:t xml:space="preserve"> of 98.3</w:t>
      </w:r>
      <w:r w:rsidRPr="00451C9D">
        <w:t xml:space="preserve">%. While PU-3, PU-5 and PU-9 also showed good shape-memory properties, their synthesis was troublesome due to difficult homogenization and fast gelation, presumably caused by the high </w:t>
      </w:r>
      <m:oMath>
        <m:sSub>
          <m:sSubPr>
            <m:ctrlPr>
              <w:rPr>
                <w:rFonts w:ascii="Cambria Math" w:hAnsi="Cambria Math"/>
                <w:i/>
              </w:rPr>
            </m:ctrlPr>
          </m:sSubPr>
          <m:e>
            <m:r>
              <w:rPr>
                <w:rFonts w:ascii="Cambria Math" w:hAnsi="Cambria Math"/>
              </w:rPr>
              <m:t>M</m:t>
            </m:r>
          </m:e>
          <m:sub>
            <m:r>
              <w:rPr>
                <w:rFonts w:ascii="Cambria Math" w:hAnsi="Cambria Math"/>
              </w:rPr>
              <m:t>w</m:t>
            </m:r>
          </m:sub>
        </m:sSub>
      </m:oMath>
      <w:r w:rsidRPr="00451C9D">
        <w:t xml:space="preserve"> of the used PCL diol (6000 g/mol).</w:t>
      </w:r>
    </w:p>
    <w:p w14:paraId="01CF0DE2" w14:textId="47189B60" w:rsidR="00D067C4" w:rsidRPr="00D067C4" w:rsidRDefault="00D067C4" w:rsidP="00D067C4">
      <w:pPr>
        <w:pStyle w:val="TAMainText"/>
      </w:pPr>
      <w:r w:rsidRPr="00D067C4">
        <w:rPr>
          <w:b/>
        </w:rPr>
        <w:t>Healing efficiency experiment</w:t>
      </w:r>
      <w:r>
        <w:rPr>
          <w:b/>
        </w:rPr>
        <w:t xml:space="preserve">. </w:t>
      </w:r>
      <w:r w:rsidRPr="00D067C4">
        <w:t xml:space="preserve">The ability to reversibly exchange chemical bonds and restore mechanical properties, was studied by performing healing efficiency experiments. Samples were cut in half and placed in silicon molds together with uncut reference samples. Next, they were submitted to a healing step at elevated temperatures (120 °C) while applying a modest pressure of 0.5 bar to ensure reproducibility through good contact between the cut surfaces. After the healing procedure, the healed and reference samples were tested mechanically. The healing efficiency </w:t>
      </w:r>
      <m:oMath>
        <m:sSub>
          <m:sSubPr>
            <m:ctrlPr>
              <w:rPr>
                <w:rFonts w:ascii="Cambria Math" w:hAnsi="Cambria Math"/>
                <w:i/>
              </w:rPr>
            </m:ctrlPr>
          </m:sSubPr>
          <m:e>
            <m:r>
              <w:rPr>
                <w:rFonts w:ascii="Cambria Math" w:hAnsi="Cambria Math"/>
              </w:rPr>
              <m:t>η</m:t>
            </m:r>
          </m:e>
          <m:sub>
            <m:r>
              <w:rPr>
                <w:rFonts w:ascii="Cambria Math" w:hAnsi="Cambria Math"/>
              </w:rPr>
              <m:t>σ</m:t>
            </m:r>
          </m:sub>
        </m:sSub>
      </m:oMath>
      <w:r w:rsidRPr="00D067C4">
        <w:t xml:space="preserve"> was determined as the ratio of the maximum stress </w:t>
      </w:r>
      <m:oMath>
        <m:r>
          <w:rPr>
            <w:rFonts w:ascii="Cambria Math" w:hAnsi="Cambria Math"/>
          </w:rPr>
          <m:t>σ</m:t>
        </m:r>
      </m:oMath>
      <w:r w:rsidRPr="00D067C4">
        <w:t xml:space="preserve"> of the healed sample to the reference sample, according to Equation (3). The results are listed in </w:t>
      </w:r>
      <w:r w:rsidR="00E8264B">
        <w:t>Table 1</w:t>
      </w:r>
      <w:r w:rsidRPr="00D067C4">
        <w:t>.</w:t>
      </w:r>
    </w:p>
    <w:p w14:paraId="2CAE5842" w14:textId="5695003B" w:rsidR="00E8264B" w:rsidRDefault="00E72DE5" w:rsidP="00CD5A03">
      <w:pPr>
        <w:pStyle w:val="TAMainText"/>
        <w:jc w:val="center"/>
      </w:pPr>
      <m:oMath>
        <m:sSub>
          <m:sSubPr>
            <m:ctrlPr>
              <w:rPr>
                <w:rFonts w:ascii="Cambria Math" w:hAnsi="Cambria Math"/>
                <w:i/>
              </w:rPr>
            </m:ctrlPr>
          </m:sSubPr>
          <m:e>
            <m:r>
              <w:rPr>
                <w:rFonts w:ascii="Cambria Math" w:hAnsi="Cambria Math"/>
              </w:rPr>
              <m:t>η</m:t>
            </m:r>
          </m:e>
          <m:sub>
            <m:r>
              <w:rPr>
                <w:rFonts w:ascii="Cambria Math" w:hAnsi="Cambria Math"/>
              </w:rPr>
              <m:t>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healed</m:t>
                </m:r>
              </m:sub>
            </m:sSub>
          </m:num>
          <m:den>
            <m:sSub>
              <m:sSubPr>
                <m:ctrlPr>
                  <w:rPr>
                    <w:rFonts w:ascii="Cambria Math" w:hAnsi="Cambria Math"/>
                    <w:i/>
                  </w:rPr>
                </m:ctrlPr>
              </m:sSubPr>
              <m:e>
                <m:r>
                  <w:rPr>
                    <w:rFonts w:ascii="Cambria Math" w:hAnsi="Cambria Math"/>
                  </w:rPr>
                  <m:t>σ</m:t>
                </m:r>
              </m:e>
              <m:sub>
                <m:r>
                  <w:rPr>
                    <w:rFonts w:ascii="Cambria Math" w:hAnsi="Cambria Math"/>
                  </w:rPr>
                  <m:t>ref</m:t>
                </m:r>
              </m:sub>
            </m:sSub>
          </m:den>
        </m:f>
      </m:oMath>
      <w:r w:rsidR="00E8264B">
        <w:t xml:space="preserve">   (3)</w:t>
      </w:r>
    </w:p>
    <w:p w14:paraId="566DF493" w14:textId="52FA16F1" w:rsidR="00D067C4" w:rsidRDefault="00D067C4" w:rsidP="00D067C4">
      <w:pPr>
        <w:pStyle w:val="TAMainText"/>
      </w:pPr>
      <w:r w:rsidRPr="00D067C4">
        <w:t xml:space="preserve">It is clear that the healing efficiency varies significantly for different compositions. The best results were obtained for PU-3, PU-4, PU-5, PU-7 and PU-9 with efficiencies over 100%, indicating toughening of the matrix. However, bearing in mind the aforementioned troublesome synthesis and unsatisfactory shape-memory properties, these materials were not of interest. Therefore, PU-1 was evaluated as the best all-round material with excellent shape-memory properties and a high healing efficiency </w:t>
      </w:r>
      <m:oMath>
        <m:sSub>
          <m:sSubPr>
            <m:ctrlPr>
              <w:rPr>
                <w:rFonts w:ascii="Cambria Math" w:hAnsi="Cambria Math"/>
                <w:i/>
              </w:rPr>
            </m:ctrlPr>
          </m:sSubPr>
          <m:e>
            <m:r>
              <w:rPr>
                <w:rFonts w:ascii="Cambria Math" w:hAnsi="Cambria Math"/>
              </w:rPr>
              <m:t>η</m:t>
            </m:r>
          </m:e>
          <m:sub>
            <m:r>
              <w:rPr>
                <w:rFonts w:ascii="Cambria Math" w:hAnsi="Cambria Math"/>
              </w:rPr>
              <m:t>σ</m:t>
            </m:r>
          </m:sub>
        </m:sSub>
      </m:oMath>
      <w:r w:rsidRPr="00D067C4">
        <w:t xml:space="preserve"> of 73.7%. In what follows, the aim was to further optimize PU-1 in terms of shape-memory and healing efficiency.</w:t>
      </w:r>
    </w:p>
    <w:p w14:paraId="76E5978C" w14:textId="2F055BA5" w:rsidR="00D067C4" w:rsidRPr="00D067C4" w:rsidRDefault="00D067C4" w:rsidP="00D067C4">
      <w:pPr>
        <w:pStyle w:val="TAMainText"/>
      </w:pPr>
      <w:r w:rsidRPr="00D067C4">
        <w:rPr>
          <w:b/>
        </w:rPr>
        <w:t>Optimization of healable PU networks</w:t>
      </w:r>
      <w:r>
        <w:rPr>
          <w:b/>
        </w:rPr>
        <w:t xml:space="preserve">. </w:t>
      </w:r>
      <w:r w:rsidRPr="00D067C4">
        <w:t xml:space="preserve">The design of experiments was chosen according to a common 3-level Definitive </w:t>
      </w:r>
      <w:r w:rsidRPr="00520475">
        <w:t>Screening Design (DSD).</w:t>
      </w:r>
      <w:r w:rsidR="009F18C7" w:rsidRPr="00520475">
        <w:rPr>
          <w:vertAlign w:val="superscript"/>
        </w:rPr>
        <w:t>3</w:t>
      </w:r>
      <w:r w:rsidR="00677FAB" w:rsidRPr="00520475">
        <w:rPr>
          <w:vertAlign w:val="superscript"/>
        </w:rPr>
        <w:t>4</w:t>
      </w:r>
      <w:r w:rsidRPr="00520475">
        <w:t xml:space="preserve"> </w:t>
      </w:r>
      <w:r w:rsidR="000F5F3B" w:rsidRPr="00520475">
        <w:t xml:space="preserve">Initially, we envisioned data analysis with statistical software to calculate a theoretical model and predict the composition of the ultimate PU network. </w:t>
      </w:r>
      <w:r w:rsidRPr="00520475">
        <w:t xml:space="preserve">However, on a critical note, data analysis </w:t>
      </w:r>
      <w:r w:rsidR="00FA51CD" w:rsidRPr="00520475">
        <w:t xml:space="preserve">would be </w:t>
      </w:r>
      <w:r w:rsidRPr="00520475">
        <w:t>inappropriate since th</w:t>
      </w:r>
      <w:r w:rsidR="000F5F3B" w:rsidRPr="00520475">
        <w:t>e used</w:t>
      </w:r>
      <w:r w:rsidRPr="00520475">
        <w:t xml:space="preserve"> model assume</w:t>
      </w:r>
      <w:r w:rsidR="000F5F3B" w:rsidRPr="00520475">
        <w:t>d</w:t>
      </w:r>
      <w:r w:rsidRPr="00520475">
        <w:t xml:space="preserve"> independent factors. This</w:t>
      </w:r>
      <w:r w:rsidRPr="00D067C4">
        <w:t xml:space="preserve"> means that, due to excessive parameter correlation, a reliable theoretical model could not be created. Nevertheless, optimization of the PU materials is still feasible by fine-tuning of the critical parameters. </w:t>
      </w:r>
    </w:p>
    <w:p w14:paraId="03B8C8F6" w14:textId="66F649BF" w:rsidR="00D067C4" w:rsidRPr="00D067C4" w:rsidRDefault="00D067C4" w:rsidP="00D067C4">
      <w:pPr>
        <w:pStyle w:val="TAMainText"/>
      </w:pPr>
      <w:r w:rsidRPr="00D067C4">
        <w:t xml:space="preserve">As can be seen from </w:t>
      </w:r>
      <w:r w:rsidR="00E8264B">
        <w:t>Table 1</w:t>
      </w:r>
      <w:r w:rsidRPr="00D067C4">
        <w:t xml:space="preserve">, PU-1 was composed of a PCL diol with a </w:t>
      </w:r>
      <m:oMath>
        <m:sSub>
          <m:sSubPr>
            <m:ctrlPr>
              <w:rPr>
                <w:rFonts w:ascii="Cambria Math" w:hAnsi="Cambria Math"/>
                <w:i/>
              </w:rPr>
            </m:ctrlPr>
          </m:sSubPr>
          <m:e>
            <m:r>
              <w:rPr>
                <w:rFonts w:ascii="Cambria Math" w:hAnsi="Cambria Math"/>
              </w:rPr>
              <m:t>M</m:t>
            </m:r>
          </m:e>
          <m:sub>
            <m:r>
              <w:rPr>
                <w:rFonts w:ascii="Cambria Math" w:hAnsi="Cambria Math"/>
              </w:rPr>
              <m:t>w</m:t>
            </m:r>
          </m:sub>
        </m:sSub>
      </m:oMath>
      <w:r w:rsidRPr="00D067C4">
        <w:t xml:space="preserve"> of 4000 g/mol (PCL4000), which appeared the ideal molar mass to achieve the desired shape-memory properties. As the curing temperature did not significantly affect the shape-memory or healing efficiency, this parameter was fixed at 70 °C. The amount of thermoreversible crosslinker was kept constant at 15 mol%, as changing this parameter would result in an unpredictable variation of the material properties. For example, the number of crosslinks has an effect on the stiffness of the material, which in turn influences the shape-memory property. In addition, the number of crosslinks is inherently linked to the number of reversible covalent bonds that are available for exchange. Thus, besides the shape-memory property, also the healing efficiency would be affected by changing the number of crosslinks.</w:t>
      </w:r>
      <w:r>
        <w:t xml:space="preserve"> </w:t>
      </w:r>
      <w:r w:rsidRPr="00D067C4">
        <w:t xml:space="preserve">On the other hand, the hard segment (HS) and free indole content were chosen as variables in this part of the study. </w:t>
      </w:r>
    </w:p>
    <w:p w14:paraId="630243B5" w14:textId="1A42EEC3" w:rsidR="00D067C4" w:rsidRPr="00D067C4" w:rsidRDefault="00D067C4" w:rsidP="00D067C4">
      <w:pPr>
        <w:pStyle w:val="TAMainText"/>
      </w:pPr>
      <w:r w:rsidRPr="00D067C4">
        <w:t xml:space="preserve">For PU-1, these parameters were 65 wt% HS and 20 mol% free indole respectively. Lowering the hard segment content was believed to enhance the shape-memory property, since the accompanied increase of soft segment content leads to the formation of larger crystalline domains and a higher degree of crystallization. Furthermore, the healing efficiency should be improved by increasing the amount of free indole groups present in the material, which might allow for faster exchange and thus better healing. To investigate this, a new series of 6 PU compositions was prepared with varying hard segment (50-65 wt%) and free indole (20-35-50 mol%) content. The new PU compositions and the experimental results are listed in the bottom part </w:t>
      </w:r>
      <w:r w:rsidR="00E8264B">
        <w:t>of Table 1</w:t>
      </w:r>
      <w:r w:rsidRPr="00D067C4">
        <w:t xml:space="preserve">. It is important to note that PU-1 in the original PU series is the same material as PU-65-20 in the optimization series. Therefore, the properties of PU-65-20 were selected as benchmark for future comparison. </w:t>
      </w:r>
    </w:p>
    <w:p w14:paraId="68EC5563" w14:textId="6E60417C" w:rsidR="00D067C4" w:rsidRPr="00D067C4" w:rsidRDefault="00D067C4" w:rsidP="00D067C4">
      <w:pPr>
        <w:pStyle w:val="TAMainText"/>
      </w:pPr>
      <w:r w:rsidRPr="00D067C4">
        <w:t>With respect to the optimization of the shape-memory property, lowering the hard segment content provided a slight improvement when comparing the samples with equal free indole content. Indeed, PU-50-20 showed slightly higher fixity and recovery ratios compared to the benchmark material PU-65-20. Unexpectedly, the healing efficiency was also positively affected by the lower hard segment content (</w:t>
      </w:r>
      <w:r w:rsidR="00E8264B">
        <w:t xml:space="preserve">Figure </w:t>
      </w:r>
      <w:r w:rsidR="00981CA4">
        <w:t>2</w:t>
      </w:r>
      <w:r w:rsidRPr="00D067C4">
        <w:t xml:space="preserve">). Indeed, the PU networks with 50 wt% HS showed better restoration of the initial properties after healing (dashed lines), compared to the networks with 65 wt% HS. Furthermore, an interesting behavior emerged from the variation of the free indole content. While the assumption that an increasing amount of free indole content (from 20 to 50 mol%) would improve the healing efficiency, was not confirmed, the resulting materials reached higher strain values and showed lower Young’s moduli during the tensile experiments. This reduced stiffness is ascribed to the fact that the free indole groups act as internal plasticizers. </w:t>
      </w:r>
    </w:p>
    <w:p w14:paraId="4D94A09D" w14:textId="77777777" w:rsidR="00D067C4" w:rsidRPr="00D067C4" w:rsidRDefault="00D067C4" w:rsidP="00D067C4">
      <w:pPr>
        <w:pStyle w:val="TAMainText"/>
      </w:pPr>
    </w:p>
    <w:p w14:paraId="59E28538" w14:textId="77777777" w:rsidR="00D067C4" w:rsidRPr="00D067C4" w:rsidRDefault="00D067C4" w:rsidP="00D067C4">
      <w:pPr>
        <w:pStyle w:val="TAMainText"/>
        <w:jc w:val="center"/>
      </w:pPr>
      <w:r w:rsidRPr="00D067C4">
        <w:rPr>
          <w:noProof/>
        </w:rPr>
        <w:drawing>
          <wp:inline distT="0" distB="0" distL="0" distR="0" wp14:anchorId="0526E194" wp14:editId="3FA895B3">
            <wp:extent cx="3057144" cy="2910840"/>
            <wp:effectExtent l="0" t="0" r="0" b="1016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 2 Healing efficiency NVH24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7144" cy="2910840"/>
                    </a:xfrm>
                    <a:prstGeom prst="rect">
                      <a:avLst/>
                    </a:prstGeom>
                  </pic:spPr>
                </pic:pic>
              </a:graphicData>
            </a:graphic>
          </wp:inline>
        </w:drawing>
      </w:r>
    </w:p>
    <w:p w14:paraId="621D9B8B" w14:textId="7E4C6559" w:rsidR="00D067C4" w:rsidRPr="00D067C4" w:rsidRDefault="00D067C4" w:rsidP="006A795F">
      <w:pPr>
        <w:pStyle w:val="VAFigureCaption"/>
      </w:pPr>
      <w:bookmarkStart w:id="2" w:name="_Ref495406236"/>
      <w:r w:rsidRPr="00D067C4">
        <w:t xml:space="preserve">Figure </w:t>
      </w:r>
      <w:bookmarkEnd w:id="2"/>
      <w:r w:rsidR="00981CA4">
        <w:t>2</w:t>
      </w:r>
      <w:r w:rsidRPr="00D067C4">
        <w:t>: Stress-strain measurements of the reference (solid lines) and healed (dashed lines) samples acquired during healing efficiency experiments. (a) PU networks with a HS content of 50 wt%, (b) PU networks with a HS content of 65 wt%.</w:t>
      </w:r>
    </w:p>
    <w:p w14:paraId="0432EBBD" w14:textId="7437F1E2" w:rsidR="00D067C4" w:rsidRPr="00D067C4" w:rsidRDefault="00D067C4" w:rsidP="00D067C4">
      <w:pPr>
        <w:pStyle w:val="TAMainText"/>
      </w:pPr>
      <w:r w:rsidRPr="00D067C4">
        <w:t>In conclusion, lowering the HS content to 50 wt% had a beneficial effect on the shape-memory and healing efficiency. Variation of the indole content resulted in minimal changes of these properties, yet the mechanical properties were affected considerably. The most optimal composition in terms of shape-memory and healing efficiency was PU-50-20 but in fact any material composition between PU-50-20 and PU-50-50 is considered being useful as PU materials that can heal fast from large scale damage.</w:t>
      </w:r>
    </w:p>
    <w:p w14:paraId="10A0DBB0" w14:textId="77777777" w:rsidR="00825283" w:rsidRDefault="00D067C4" w:rsidP="00D067C4">
      <w:pPr>
        <w:pStyle w:val="TAMainText"/>
      </w:pPr>
      <w:r w:rsidRPr="00D067C4">
        <w:t>A qualitative assessment of the healing performance was performed by imaging the damage site before and after healing (30 min at 120 °C). To this purpose, two types of damage - respectively a 1 mm deep cut (50 µm width) and a puncture of 1 mm diameter - were applied to the material and examined using optical microscopy and scanning electron microscopy (SEM) (</w:t>
      </w:r>
      <w:r w:rsidR="00981CA4">
        <w:t>Figure 3</w:t>
      </w:r>
      <w:r w:rsidR="00E8264B">
        <w:t xml:space="preserve"> </w:t>
      </w:r>
      <w:r w:rsidRPr="00D067C4">
        <w:t xml:space="preserve">and Figures S1-S2). </w:t>
      </w:r>
    </w:p>
    <w:p w14:paraId="0010DE35" w14:textId="77777777" w:rsidR="00825283" w:rsidRPr="00D067C4" w:rsidRDefault="00825283" w:rsidP="00825283">
      <w:pPr>
        <w:pStyle w:val="TAMainText"/>
        <w:jc w:val="center"/>
      </w:pPr>
      <w:r w:rsidRPr="00D067C4">
        <w:rPr>
          <w:noProof/>
        </w:rPr>
        <w:drawing>
          <wp:inline distT="0" distB="0" distL="0" distR="0" wp14:anchorId="258C34F4" wp14:editId="0ED83A67">
            <wp:extent cx="3060192" cy="155143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4 Healing performance OM SE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0192" cy="1551432"/>
                    </a:xfrm>
                    <a:prstGeom prst="rect">
                      <a:avLst/>
                    </a:prstGeom>
                  </pic:spPr>
                </pic:pic>
              </a:graphicData>
            </a:graphic>
          </wp:inline>
        </w:drawing>
      </w:r>
    </w:p>
    <w:p w14:paraId="22294D6E" w14:textId="77777777" w:rsidR="00825283" w:rsidRDefault="00825283" w:rsidP="00825283">
      <w:pPr>
        <w:pStyle w:val="VAFigureCaption"/>
      </w:pPr>
      <w:r w:rsidRPr="00D067C4">
        <w:t xml:space="preserve">Figure </w:t>
      </w:r>
      <w:r>
        <w:t>3</w:t>
      </w:r>
      <w:r w:rsidRPr="00D067C4">
        <w:t>: Optical microscopy image before and after healing sample PU-50-20 from a cut (a) or a puncture (b). Scanning electron microscopy image before and after healing of a cross cut in sample PU-50-35 (c) and PU-65-35 (d).</w:t>
      </w:r>
    </w:p>
    <w:p w14:paraId="7A85F4E5" w14:textId="77777777" w:rsidR="00825283" w:rsidRDefault="00825283" w:rsidP="00D067C4">
      <w:pPr>
        <w:pStyle w:val="TAMainText"/>
      </w:pPr>
    </w:p>
    <w:p w14:paraId="4A1CECF4" w14:textId="442422FC" w:rsidR="00D067C4" w:rsidRPr="00D067C4" w:rsidRDefault="00D067C4" w:rsidP="00D067C4">
      <w:pPr>
        <w:pStyle w:val="TAMainText"/>
      </w:pPr>
      <w:r w:rsidRPr="00D067C4">
        <w:t xml:space="preserve">While the optical microscopy images seem to demonstrate that each material was able to restore completely from the applied large damage, SEM revealed the importance of the shape-memory property on the healing ability, since ligation of the damage edges is only possible when the damage is closed sufficiently. For example, </w:t>
      </w:r>
      <w:r w:rsidR="00981CA4">
        <w:t>Figure 3</w:t>
      </w:r>
      <w:r w:rsidR="00A712E7">
        <w:t>c shows that sample PU-50-35</w:t>
      </w:r>
      <w:r w:rsidR="00304B7B">
        <w:t xml:space="preserve"> was able to close and heal the applied damage, leaving only a scar on the surface, whereas sample PU-65-35 did not show complete healing (Figure 3d). </w:t>
      </w:r>
      <w:r w:rsidRPr="00D067C4">
        <w:t>When stretching this imperfectly healed sample, the damage site was opened up, whereas the damage sites on the other samples remained sealed. These observations were in line with the results obtained during the healing efficiency experiments, which showed poor healing efficiencies for PU-65-35. It should be noted, however, that the damage on sample PU-65-35 was not closed, even though this sample showed reasonable shape-memory properties. We therefore assume that the two simultaneous processes of shape-recovery and bond exchange are cooperating to yield the best result. This implies that upon damage reduction (i.e. shape-recovery), new bonds are formed at the interphase (i.e. reversible exchange), which in turn aid in further reducing the damage. As the materials were able to repair relatively large damage (up to 1 mm), this is going beyond the current state-of-the-art for intrinsic healing.</w:t>
      </w:r>
      <w:r w:rsidR="00E8264B" w:rsidRPr="00E8264B">
        <w:rPr>
          <w:vertAlign w:val="superscript"/>
        </w:rPr>
        <w:t>5</w:t>
      </w:r>
    </w:p>
    <w:p w14:paraId="2B8C6021" w14:textId="6F912B2B" w:rsidR="00D067C4" w:rsidRPr="00D067C4" w:rsidRDefault="00D067C4" w:rsidP="00D067C4">
      <w:pPr>
        <w:pStyle w:val="TAMainText"/>
      </w:pPr>
      <w:r w:rsidRPr="00D067C4">
        <w:rPr>
          <w:b/>
        </w:rPr>
        <w:t>Healing efficiency experiments on reference materials</w:t>
      </w:r>
      <w:r>
        <w:rPr>
          <w:b/>
        </w:rPr>
        <w:t xml:space="preserve">. </w:t>
      </w:r>
      <w:r w:rsidRPr="00D067C4">
        <w:t>Reference experiments were performed to prove that the observed intrinsic healing was induced by action of reversible TAD-indole chemistry. To this purpose, an irreversible analogue of PU-50-35 was prepared by replacing the indole with</w:t>
      </w:r>
      <w:r w:rsidRPr="00D067C4">
        <w:rPr>
          <w:bCs/>
          <w:i/>
        </w:rPr>
        <w:t xml:space="preserve"> </w:t>
      </w:r>
      <w:r w:rsidRPr="00D067C4">
        <w:rPr>
          <w:bCs/>
        </w:rPr>
        <w:t>2,4-hexadien-1-ol (HDEO)</w:t>
      </w:r>
      <w:r w:rsidRPr="00D067C4">
        <w:t>, which is known to form an irreversible Diels-Alder adduct with TAD (Figure S3).</w:t>
      </w:r>
      <w:r w:rsidR="00BC552C" w:rsidRPr="00BC552C">
        <w:rPr>
          <w:vertAlign w:val="superscript"/>
        </w:rPr>
        <w:t>2</w:t>
      </w:r>
      <w:r w:rsidR="009F18C7">
        <w:rPr>
          <w:vertAlign w:val="superscript"/>
        </w:rPr>
        <w:t>7</w:t>
      </w:r>
      <w:r w:rsidRPr="00D067C4">
        <w:t xml:space="preserve"> This reference PU network, referred to as PU-50-35 irrev, had exactly the same composition as PU-50-35, but contained irreversible TAD-HDEO crosslinks. </w:t>
      </w:r>
    </w:p>
    <w:p w14:paraId="05DA585A" w14:textId="78289893" w:rsidR="00D067C4" w:rsidRPr="00D067C4" w:rsidRDefault="00D067C4" w:rsidP="00D067C4">
      <w:pPr>
        <w:pStyle w:val="TAMainText"/>
      </w:pPr>
      <w:r w:rsidRPr="00D067C4">
        <w:t xml:space="preserve">The stress-strain curves (solid lines) in </w:t>
      </w:r>
      <w:r w:rsidR="00BC552C">
        <w:t xml:space="preserve">Figure </w:t>
      </w:r>
      <w:r w:rsidR="00981CA4">
        <w:t>4</w:t>
      </w:r>
      <w:r w:rsidRPr="00D067C4">
        <w:t xml:space="preserve"> show that the properties of the irreversible PU were similar to those of the reversible PU. After performing the healing test on both samples, the reversible PU network showed the ability to restore its mechanical properties (dashed lines), whereas the irreversible PU network showed hardly any healing. </w:t>
      </w:r>
    </w:p>
    <w:p w14:paraId="247C1FA2" w14:textId="77777777" w:rsidR="00D067C4" w:rsidRPr="00D067C4" w:rsidRDefault="00D067C4" w:rsidP="00D067C4">
      <w:pPr>
        <w:pStyle w:val="TAMainText"/>
        <w:jc w:val="center"/>
      </w:pPr>
      <w:r w:rsidRPr="00D067C4">
        <w:rPr>
          <w:noProof/>
        </w:rPr>
        <w:drawing>
          <wp:inline distT="0" distB="0" distL="0" distR="0" wp14:anchorId="484F4E45" wp14:editId="257A8CD4">
            <wp:extent cx="3059674" cy="1528312"/>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5. Healing efficiency NVH245-2 NVH25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9674" cy="1528312"/>
                    </a:xfrm>
                    <a:prstGeom prst="rect">
                      <a:avLst/>
                    </a:prstGeom>
                  </pic:spPr>
                </pic:pic>
              </a:graphicData>
            </a:graphic>
          </wp:inline>
        </w:drawing>
      </w:r>
    </w:p>
    <w:p w14:paraId="48D64066" w14:textId="5E923693" w:rsidR="00D067C4" w:rsidRPr="00D067C4" w:rsidRDefault="00D067C4" w:rsidP="006A795F">
      <w:pPr>
        <w:pStyle w:val="VAFigureCaption"/>
      </w:pPr>
      <w:bookmarkStart w:id="3" w:name="_Ref496133145"/>
      <w:r w:rsidRPr="00D067C4">
        <w:t xml:space="preserve">Figure </w:t>
      </w:r>
      <w:bookmarkEnd w:id="3"/>
      <w:r w:rsidR="00981CA4">
        <w:t>4</w:t>
      </w:r>
      <w:r w:rsidRPr="00D067C4">
        <w:t>: Comparison of stress-strain measurements acquired during healing efficiency experiments of PU-50-35 and its irreversible analogue (PU-50-35 irrev).</w:t>
      </w:r>
    </w:p>
    <w:p w14:paraId="5C7292B8" w14:textId="77777777" w:rsidR="00D067C4" w:rsidRDefault="00D067C4" w:rsidP="00D067C4">
      <w:pPr>
        <w:pStyle w:val="TAMainText"/>
      </w:pPr>
    </w:p>
    <w:p w14:paraId="4044AD58" w14:textId="3273945B" w:rsidR="00D067C4" w:rsidRPr="00D067C4" w:rsidRDefault="00D067C4" w:rsidP="00D067C4">
      <w:pPr>
        <w:pStyle w:val="TAMainText"/>
      </w:pPr>
      <w:r w:rsidRPr="00D067C4">
        <w:t>Since the irreversible PU network did not have the ability to exchange bonds, the slight restoration of its properties was attributed to intermolecular forces, originating from PCL crystallization at the interface of the cut samples, that prevented immediate breaking of the sample during testing. In conclusion, this reference experiment proves that the exchange of reversible TAD-indole adducts is essential to generate new covalent bonds that span the damage interface, which leads to ligation and healing of the previously separated parts.</w:t>
      </w:r>
    </w:p>
    <w:p w14:paraId="3C3522EF" w14:textId="4FC0CDB6" w:rsidR="00D067C4" w:rsidRDefault="00D067C4" w:rsidP="00D067C4">
      <w:pPr>
        <w:pStyle w:val="TAMainText"/>
      </w:pPr>
      <w:r w:rsidRPr="00D067C4">
        <w:rPr>
          <w:b/>
        </w:rPr>
        <w:t>Thermal and mechanical characterization of PU networks</w:t>
      </w:r>
      <w:r>
        <w:rPr>
          <w:b/>
        </w:rPr>
        <w:t xml:space="preserve">. </w:t>
      </w:r>
      <w:r w:rsidRPr="00D067C4">
        <w:t xml:space="preserve">In </w:t>
      </w:r>
      <w:r w:rsidR="00BC552C">
        <w:t>Table 2</w:t>
      </w:r>
      <w:r w:rsidRPr="00D067C4">
        <w:t xml:space="preserve">, the results of thermal and mechanical characterization are shown. </w:t>
      </w:r>
    </w:p>
    <w:p w14:paraId="758AD7F7" w14:textId="77777777" w:rsidR="00D067C4" w:rsidRDefault="00D067C4" w:rsidP="00D067C4">
      <w:pPr>
        <w:pStyle w:val="TAMainText"/>
      </w:pPr>
    </w:p>
    <w:p w14:paraId="5D8A0BC8" w14:textId="59183E25" w:rsidR="00D067C4" w:rsidRPr="00D067C4" w:rsidRDefault="00D067C4" w:rsidP="006A795F">
      <w:pPr>
        <w:pStyle w:val="VDTableTitle"/>
      </w:pPr>
      <w:bookmarkStart w:id="4" w:name="_Ref502846537"/>
      <w:r w:rsidRPr="00D067C4">
        <w:t xml:space="preserve">Table </w:t>
      </w:r>
      <w:bookmarkEnd w:id="4"/>
      <w:r w:rsidR="00BC552C">
        <w:t>2</w:t>
      </w:r>
      <w:r w:rsidRPr="00D067C4">
        <w:t>: Thermal and mechanical characterization of PU networks.</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999"/>
        <w:gridCol w:w="688"/>
        <w:gridCol w:w="835"/>
        <w:gridCol w:w="692"/>
        <w:gridCol w:w="1254"/>
        <w:gridCol w:w="1132"/>
        <w:gridCol w:w="1132"/>
      </w:tblGrid>
      <w:tr w:rsidR="00D067C4" w:rsidRPr="00D067C4" w14:paraId="555EC3FD" w14:textId="77777777" w:rsidTr="003C11D4">
        <w:trPr>
          <w:jc w:val="center"/>
        </w:trPr>
        <w:tc>
          <w:tcPr>
            <w:tcW w:w="0" w:type="auto"/>
            <w:tcBorders>
              <w:top w:val="single" w:sz="4" w:space="0" w:color="auto"/>
              <w:bottom w:val="single" w:sz="4" w:space="0" w:color="auto"/>
            </w:tcBorders>
            <w:vAlign w:val="center"/>
          </w:tcPr>
          <w:p w14:paraId="13F2D326" w14:textId="77777777" w:rsidR="00D067C4" w:rsidRPr="008B5A27" w:rsidRDefault="00D067C4" w:rsidP="003C11D4">
            <w:pPr>
              <w:pStyle w:val="TCTableBody"/>
              <w:jc w:val="center"/>
              <w:rPr>
                <w:sz w:val="20"/>
                <w:lang w:val="nl-NL"/>
              </w:rPr>
            </w:pPr>
            <w:r w:rsidRPr="008B5A27">
              <w:rPr>
                <w:sz w:val="20"/>
                <w:lang w:val="nl-NL"/>
              </w:rPr>
              <w:t>Sample</w:t>
            </w:r>
          </w:p>
        </w:tc>
        <w:tc>
          <w:tcPr>
            <w:tcW w:w="0" w:type="auto"/>
            <w:tcBorders>
              <w:top w:val="single" w:sz="4" w:space="0" w:color="auto"/>
              <w:bottom w:val="single" w:sz="4" w:space="0" w:color="auto"/>
            </w:tcBorders>
            <w:vAlign w:val="center"/>
          </w:tcPr>
          <w:p w14:paraId="659B03F6" w14:textId="149AFF8E" w:rsidR="00D067C4" w:rsidRPr="008B5A27" w:rsidRDefault="00E72DE5" w:rsidP="003C11D4">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T</m:t>
                    </m:r>
                  </m:e>
                  <m:sub>
                    <m:r>
                      <w:rPr>
                        <w:rFonts w:ascii="Cambria Math" w:hAnsi="Cambria Math"/>
                        <w:sz w:val="20"/>
                        <w:lang w:val="nl-NL"/>
                      </w:rPr>
                      <m:t>deg</m:t>
                    </m:r>
                    <m:r>
                      <m:rPr>
                        <m:sty m:val="p"/>
                      </m:rPr>
                      <w:rPr>
                        <w:rFonts w:ascii="Cambria Math" w:hAnsi="Cambria Math"/>
                        <w:sz w:val="20"/>
                        <w:lang w:val="nl-NL"/>
                      </w:rPr>
                      <m:t>,  5%</m:t>
                    </m:r>
                  </m:sub>
                </m:sSub>
              </m:oMath>
            </m:oMathPara>
          </w:p>
          <w:p w14:paraId="06F3E630" w14:textId="77777777" w:rsidR="00D067C4" w:rsidRPr="008B5A27" w:rsidRDefault="00D067C4" w:rsidP="003C11D4">
            <w:pPr>
              <w:pStyle w:val="TCTableBody"/>
              <w:jc w:val="center"/>
              <w:rPr>
                <w:sz w:val="20"/>
                <w:lang w:val="nl-NL"/>
              </w:rPr>
            </w:pPr>
            <w:r w:rsidRPr="008B5A27">
              <w:rPr>
                <w:sz w:val="20"/>
                <w:lang w:val="nl-NL"/>
              </w:rPr>
              <w:t>(°C)</w:t>
            </w:r>
          </w:p>
        </w:tc>
        <w:tc>
          <w:tcPr>
            <w:tcW w:w="0" w:type="auto"/>
            <w:tcBorders>
              <w:top w:val="single" w:sz="4" w:space="0" w:color="auto"/>
              <w:bottom w:val="single" w:sz="4" w:space="0" w:color="auto"/>
            </w:tcBorders>
            <w:vAlign w:val="center"/>
          </w:tcPr>
          <w:p w14:paraId="55D26F8A" w14:textId="6115946B" w:rsidR="00D067C4" w:rsidRPr="008B5A27" w:rsidRDefault="00E72DE5" w:rsidP="003C11D4">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T</m:t>
                    </m:r>
                  </m:e>
                  <m:sub>
                    <m:r>
                      <w:rPr>
                        <w:rFonts w:ascii="Cambria Math" w:hAnsi="Cambria Math"/>
                        <w:sz w:val="20"/>
                        <w:lang w:val="nl-NL"/>
                      </w:rPr>
                      <m:t>g</m:t>
                    </m:r>
                  </m:sub>
                </m:sSub>
              </m:oMath>
            </m:oMathPara>
          </w:p>
          <w:p w14:paraId="050DF281" w14:textId="77777777" w:rsidR="00D067C4" w:rsidRPr="008B5A27" w:rsidRDefault="00D067C4" w:rsidP="003C11D4">
            <w:pPr>
              <w:pStyle w:val="TCTableBody"/>
              <w:jc w:val="center"/>
              <w:rPr>
                <w:sz w:val="20"/>
                <w:lang w:val="nl-NL"/>
              </w:rPr>
            </w:pPr>
            <w:r w:rsidRPr="008B5A27">
              <w:rPr>
                <w:sz w:val="20"/>
                <w:lang w:val="nl-NL"/>
              </w:rPr>
              <w:t>(°C)</w:t>
            </w:r>
          </w:p>
        </w:tc>
        <w:tc>
          <w:tcPr>
            <w:tcW w:w="0" w:type="auto"/>
            <w:tcBorders>
              <w:top w:val="single" w:sz="4" w:space="0" w:color="auto"/>
              <w:bottom w:val="single" w:sz="4" w:space="0" w:color="auto"/>
            </w:tcBorders>
            <w:vAlign w:val="center"/>
          </w:tcPr>
          <w:p w14:paraId="031CEB86" w14:textId="37EBA37F" w:rsidR="00D067C4" w:rsidRPr="008B5A27" w:rsidRDefault="00E72DE5" w:rsidP="003C11D4">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T</m:t>
                    </m:r>
                  </m:e>
                  <m:sub>
                    <m:r>
                      <w:rPr>
                        <w:rFonts w:ascii="Cambria Math" w:hAnsi="Cambria Math"/>
                        <w:sz w:val="20"/>
                        <w:lang w:val="nl-NL"/>
                      </w:rPr>
                      <m:t>m</m:t>
                    </m:r>
                  </m:sub>
                </m:sSub>
              </m:oMath>
            </m:oMathPara>
          </w:p>
          <w:p w14:paraId="0784310D" w14:textId="77777777" w:rsidR="00D067C4" w:rsidRPr="008B5A27" w:rsidRDefault="00D067C4" w:rsidP="003C11D4">
            <w:pPr>
              <w:pStyle w:val="TCTableBody"/>
              <w:jc w:val="center"/>
              <w:rPr>
                <w:sz w:val="20"/>
                <w:lang w:val="nl-NL"/>
              </w:rPr>
            </w:pPr>
            <w:r w:rsidRPr="008B5A27">
              <w:rPr>
                <w:sz w:val="20"/>
                <w:lang w:val="nl-NL"/>
              </w:rPr>
              <w:t>(°C)</w:t>
            </w:r>
          </w:p>
        </w:tc>
        <w:tc>
          <w:tcPr>
            <w:tcW w:w="0" w:type="auto"/>
            <w:tcBorders>
              <w:top w:val="single" w:sz="4" w:space="0" w:color="auto"/>
              <w:bottom w:val="single" w:sz="4" w:space="0" w:color="auto"/>
            </w:tcBorders>
            <w:vAlign w:val="center"/>
          </w:tcPr>
          <w:p w14:paraId="755A6A22" w14:textId="4A200BBA" w:rsidR="00D067C4" w:rsidRPr="008B5A27" w:rsidRDefault="00E72DE5" w:rsidP="003C11D4">
            <w:pPr>
              <w:pStyle w:val="TCTableBody"/>
              <w:jc w:val="center"/>
              <w:rPr>
                <w:sz w:val="20"/>
                <w:lang w:val="nl-NL"/>
              </w:rPr>
            </w:pPr>
            <m:oMath>
              <m:sSub>
                <m:sSubPr>
                  <m:ctrlPr>
                    <w:rPr>
                      <w:rFonts w:ascii="Cambria Math" w:hAnsi="Cambria Math"/>
                      <w:sz w:val="20"/>
                      <w:lang w:val="nl-NL"/>
                    </w:rPr>
                  </m:ctrlPr>
                </m:sSubPr>
                <m:e>
                  <m:r>
                    <w:rPr>
                      <w:rFonts w:ascii="Cambria Math" w:hAnsi="Cambria Math"/>
                      <w:sz w:val="20"/>
                      <w:lang w:val="nl-NL"/>
                    </w:rPr>
                    <m:t>χ</m:t>
                  </m:r>
                </m:e>
                <m:sub>
                  <m:r>
                    <w:rPr>
                      <w:rFonts w:ascii="Cambria Math" w:hAnsi="Cambria Math"/>
                      <w:sz w:val="20"/>
                      <w:lang w:val="nl-NL"/>
                    </w:rPr>
                    <m:t>c</m:t>
                  </m:r>
                </m:sub>
              </m:sSub>
            </m:oMath>
            <w:r w:rsidR="00D067C4" w:rsidRPr="008B5A27">
              <w:rPr>
                <w:sz w:val="20"/>
                <w:vertAlign w:val="superscript"/>
                <w:lang w:val="nl-NL"/>
              </w:rPr>
              <w:t>a</w:t>
            </w:r>
          </w:p>
          <w:p w14:paraId="28A683D8" w14:textId="77777777" w:rsidR="00D067C4" w:rsidRPr="008B5A27" w:rsidRDefault="00D067C4" w:rsidP="003C11D4">
            <w:pPr>
              <w:pStyle w:val="TCTableBody"/>
              <w:jc w:val="center"/>
              <w:rPr>
                <w:sz w:val="20"/>
                <w:lang w:val="nl-NL"/>
              </w:rPr>
            </w:pPr>
            <w:r w:rsidRPr="008B5A27">
              <w:rPr>
                <w:sz w:val="20"/>
                <w:lang w:val="nl-NL"/>
              </w:rPr>
              <w:t>(%)</w:t>
            </w:r>
          </w:p>
        </w:tc>
        <w:tc>
          <w:tcPr>
            <w:tcW w:w="0" w:type="auto"/>
            <w:tcBorders>
              <w:top w:val="single" w:sz="4" w:space="0" w:color="auto"/>
              <w:bottom w:val="single" w:sz="4" w:space="0" w:color="auto"/>
            </w:tcBorders>
            <w:vAlign w:val="center"/>
          </w:tcPr>
          <w:p w14:paraId="171CB696" w14:textId="49FE2EAF" w:rsidR="00D067C4" w:rsidRPr="008B5A27" w:rsidRDefault="00E72DE5" w:rsidP="003C11D4">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σ</m:t>
                    </m:r>
                  </m:e>
                  <m:sub>
                    <m:r>
                      <w:rPr>
                        <w:rFonts w:ascii="Cambria Math" w:hAnsi="Cambria Math"/>
                        <w:sz w:val="20"/>
                        <w:lang w:val="nl-NL"/>
                      </w:rPr>
                      <m:t>max</m:t>
                    </m:r>
                  </m:sub>
                </m:sSub>
              </m:oMath>
            </m:oMathPara>
          </w:p>
          <w:p w14:paraId="4395460C" w14:textId="77777777" w:rsidR="00D067C4" w:rsidRPr="008B5A27" w:rsidRDefault="00D067C4" w:rsidP="003C11D4">
            <w:pPr>
              <w:pStyle w:val="TCTableBody"/>
              <w:jc w:val="center"/>
              <w:rPr>
                <w:sz w:val="20"/>
                <w:lang w:val="nl-NL"/>
              </w:rPr>
            </w:pPr>
            <w:r w:rsidRPr="008B5A27">
              <w:rPr>
                <w:sz w:val="20"/>
                <w:lang w:val="nl-NL"/>
              </w:rPr>
              <w:t>(MPa)</w:t>
            </w:r>
          </w:p>
        </w:tc>
        <w:tc>
          <w:tcPr>
            <w:tcW w:w="0" w:type="auto"/>
            <w:tcBorders>
              <w:top w:val="single" w:sz="4" w:space="0" w:color="auto"/>
              <w:bottom w:val="single" w:sz="4" w:space="0" w:color="auto"/>
            </w:tcBorders>
            <w:vAlign w:val="center"/>
          </w:tcPr>
          <w:p w14:paraId="50AD24FB" w14:textId="4692728F" w:rsidR="00D067C4" w:rsidRPr="008B5A27" w:rsidRDefault="00E72DE5" w:rsidP="003C11D4">
            <w:pPr>
              <w:pStyle w:val="TCTableBody"/>
              <w:jc w:val="center"/>
              <w:rPr>
                <w:sz w:val="20"/>
                <w:lang w:val="nl-NL"/>
              </w:rPr>
            </w:pPr>
            <m:oMathPara>
              <m:oMath>
                <m:sSub>
                  <m:sSubPr>
                    <m:ctrlPr>
                      <w:rPr>
                        <w:rFonts w:ascii="Cambria Math" w:hAnsi="Cambria Math"/>
                        <w:sz w:val="20"/>
                        <w:lang w:val="nl-NL"/>
                      </w:rPr>
                    </m:ctrlPr>
                  </m:sSubPr>
                  <m:e>
                    <m:r>
                      <w:rPr>
                        <w:rFonts w:ascii="Cambria Math" w:hAnsi="Cambria Math"/>
                        <w:sz w:val="20"/>
                        <w:lang w:val="nl-NL"/>
                      </w:rPr>
                      <m:t>ε</m:t>
                    </m:r>
                  </m:e>
                  <m:sub>
                    <m:r>
                      <w:rPr>
                        <w:rFonts w:ascii="Cambria Math" w:hAnsi="Cambria Math"/>
                        <w:sz w:val="20"/>
                        <w:lang w:val="nl-NL"/>
                      </w:rPr>
                      <m:t>max</m:t>
                    </m:r>
                  </m:sub>
                </m:sSub>
              </m:oMath>
            </m:oMathPara>
          </w:p>
          <w:p w14:paraId="1D709D3C" w14:textId="77777777" w:rsidR="00D067C4" w:rsidRPr="008B5A27" w:rsidRDefault="00D067C4" w:rsidP="003C11D4">
            <w:pPr>
              <w:pStyle w:val="TCTableBody"/>
              <w:jc w:val="center"/>
              <w:rPr>
                <w:sz w:val="20"/>
                <w:lang w:val="nl-NL"/>
              </w:rPr>
            </w:pPr>
            <w:r w:rsidRPr="008B5A27">
              <w:rPr>
                <w:sz w:val="20"/>
                <w:lang w:val="nl-NL"/>
              </w:rPr>
              <w:t>(%)</w:t>
            </w:r>
          </w:p>
        </w:tc>
        <w:tc>
          <w:tcPr>
            <w:tcW w:w="0" w:type="auto"/>
            <w:tcBorders>
              <w:top w:val="single" w:sz="4" w:space="0" w:color="auto"/>
              <w:bottom w:val="single" w:sz="4" w:space="0" w:color="auto"/>
            </w:tcBorders>
            <w:vAlign w:val="center"/>
          </w:tcPr>
          <w:p w14:paraId="044CB76E" w14:textId="240ECFE2" w:rsidR="00D067C4" w:rsidRPr="008B5A27" w:rsidRDefault="00D067C4" w:rsidP="003C11D4">
            <w:pPr>
              <w:pStyle w:val="TCTableBody"/>
              <w:jc w:val="center"/>
              <w:rPr>
                <w:sz w:val="20"/>
                <w:lang w:val="nl-NL"/>
              </w:rPr>
            </w:pPr>
            <m:oMathPara>
              <m:oMath>
                <m:r>
                  <w:rPr>
                    <w:rFonts w:ascii="Cambria Math" w:hAnsi="Cambria Math"/>
                    <w:sz w:val="20"/>
                    <w:lang w:val="nl-NL"/>
                  </w:rPr>
                  <m:t>E</m:t>
                </m:r>
              </m:oMath>
            </m:oMathPara>
          </w:p>
          <w:p w14:paraId="0E25A605" w14:textId="77777777" w:rsidR="00D067C4" w:rsidRPr="008B5A27" w:rsidRDefault="00D067C4" w:rsidP="003C11D4">
            <w:pPr>
              <w:pStyle w:val="TCTableBody"/>
              <w:jc w:val="center"/>
              <w:rPr>
                <w:sz w:val="20"/>
                <w:lang w:val="nl-NL"/>
              </w:rPr>
            </w:pPr>
            <w:r w:rsidRPr="008B5A27">
              <w:rPr>
                <w:sz w:val="20"/>
                <w:lang w:val="nl-NL"/>
              </w:rPr>
              <w:t>(MPa)</w:t>
            </w:r>
          </w:p>
        </w:tc>
      </w:tr>
      <w:tr w:rsidR="00D067C4" w:rsidRPr="00D067C4" w14:paraId="176B5133" w14:textId="77777777" w:rsidTr="003C11D4">
        <w:trPr>
          <w:jc w:val="center"/>
        </w:trPr>
        <w:tc>
          <w:tcPr>
            <w:tcW w:w="0" w:type="auto"/>
            <w:tcBorders>
              <w:top w:val="single" w:sz="4" w:space="0" w:color="auto"/>
            </w:tcBorders>
            <w:vAlign w:val="center"/>
          </w:tcPr>
          <w:p w14:paraId="2F91A743" w14:textId="77777777" w:rsidR="00D067C4" w:rsidRPr="008B5A27" w:rsidRDefault="00D067C4" w:rsidP="003C11D4">
            <w:pPr>
              <w:pStyle w:val="TCTableBody"/>
              <w:jc w:val="center"/>
              <w:rPr>
                <w:sz w:val="20"/>
                <w:lang w:val="nl-NL"/>
              </w:rPr>
            </w:pPr>
            <w:r w:rsidRPr="008B5A27">
              <w:rPr>
                <w:sz w:val="20"/>
                <w:lang w:val="nl-NL"/>
              </w:rPr>
              <w:t>PU-50-20</w:t>
            </w:r>
          </w:p>
        </w:tc>
        <w:tc>
          <w:tcPr>
            <w:tcW w:w="0" w:type="auto"/>
            <w:tcBorders>
              <w:top w:val="single" w:sz="4" w:space="0" w:color="auto"/>
            </w:tcBorders>
            <w:vAlign w:val="center"/>
          </w:tcPr>
          <w:p w14:paraId="01CA93D4" w14:textId="77777777" w:rsidR="00D067C4" w:rsidRPr="008B5A27" w:rsidRDefault="00D067C4" w:rsidP="003C11D4">
            <w:pPr>
              <w:pStyle w:val="TCTableBody"/>
              <w:jc w:val="center"/>
              <w:rPr>
                <w:sz w:val="20"/>
                <w:lang w:val="nl-NL"/>
              </w:rPr>
            </w:pPr>
            <w:r w:rsidRPr="008B5A27">
              <w:rPr>
                <w:sz w:val="20"/>
                <w:lang w:val="nl-NL"/>
              </w:rPr>
              <w:t>313</w:t>
            </w:r>
          </w:p>
        </w:tc>
        <w:tc>
          <w:tcPr>
            <w:tcW w:w="0" w:type="auto"/>
            <w:tcBorders>
              <w:top w:val="single" w:sz="4" w:space="0" w:color="auto"/>
            </w:tcBorders>
            <w:vAlign w:val="center"/>
          </w:tcPr>
          <w:p w14:paraId="5395E15D" w14:textId="77777777" w:rsidR="00D067C4" w:rsidRPr="008B5A27" w:rsidRDefault="00D067C4" w:rsidP="003C11D4">
            <w:pPr>
              <w:pStyle w:val="TCTableBody"/>
              <w:jc w:val="center"/>
              <w:rPr>
                <w:sz w:val="20"/>
                <w:lang w:val="nl-NL"/>
              </w:rPr>
            </w:pPr>
            <w:r w:rsidRPr="008B5A27">
              <w:rPr>
                <w:sz w:val="20"/>
                <w:lang w:val="nl-NL"/>
              </w:rPr>
              <w:t>-53</w:t>
            </w:r>
          </w:p>
        </w:tc>
        <w:tc>
          <w:tcPr>
            <w:tcW w:w="0" w:type="auto"/>
            <w:tcBorders>
              <w:top w:val="single" w:sz="4" w:space="0" w:color="auto"/>
            </w:tcBorders>
            <w:vAlign w:val="center"/>
          </w:tcPr>
          <w:p w14:paraId="37F39337" w14:textId="77777777" w:rsidR="00D067C4" w:rsidRPr="008B5A27" w:rsidRDefault="00D067C4" w:rsidP="003C11D4">
            <w:pPr>
              <w:pStyle w:val="TCTableBody"/>
              <w:jc w:val="center"/>
              <w:rPr>
                <w:sz w:val="20"/>
                <w:lang w:val="nl-NL"/>
              </w:rPr>
            </w:pPr>
            <w:r w:rsidRPr="008B5A27">
              <w:rPr>
                <w:sz w:val="20"/>
                <w:lang w:val="nl-NL"/>
              </w:rPr>
              <w:t>43-62</w:t>
            </w:r>
          </w:p>
        </w:tc>
        <w:tc>
          <w:tcPr>
            <w:tcW w:w="0" w:type="auto"/>
            <w:tcBorders>
              <w:top w:val="single" w:sz="4" w:space="0" w:color="auto"/>
            </w:tcBorders>
            <w:vAlign w:val="center"/>
          </w:tcPr>
          <w:p w14:paraId="16637B13" w14:textId="77777777" w:rsidR="00D067C4" w:rsidRPr="008B5A27" w:rsidRDefault="00D067C4" w:rsidP="003C11D4">
            <w:pPr>
              <w:pStyle w:val="TCTableBody"/>
              <w:jc w:val="center"/>
              <w:rPr>
                <w:sz w:val="20"/>
                <w:lang w:val="nl-NL"/>
              </w:rPr>
            </w:pPr>
            <w:r w:rsidRPr="008B5A27">
              <w:rPr>
                <w:sz w:val="20"/>
                <w:lang w:val="nl-NL"/>
              </w:rPr>
              <w:t>22.6</w:t>
            </w:r>
          </w:p>
        </w:tc>
        <w:tc>
          <w:tcPr>
            <w:tcW w:w="0" w:type="auto"/>
            <w:tcBorders>
              <w:top w:val="single" w:sz="4" w:space="0" w:color="auto"/>
            </w:tcBorders>
            <w:vAlign w:val="center"/>
          </w:tcPr>
          <w:p w14:paraId="0175566E" w14:textId="77777777" w:rsidR="00D067C4" w:rsidRPr="008B5A27" w:rsidRDefault="00D067C4" w:rsidP="003C11D4">
            <w:pPr>
              <w:pStyle w:val="TCTableBody"/>
              <w:jc w:val="center"/>
              <w:rPr>
                <w:sz w:val="20"/>
                <w:lang w:val="nl-NL"/>
              </w:rPr>
            </w:pPr>
            <w:r w:rsidRPr="008B5A27">
              <w:rPr>
                <w:sz w:val="20"/>
                <w:lang w:val="nl-NL"/>
              </w:rPr>
              <w:t>8.9 ± 0.6</w:t>
            </w:r>
          </w:p>
        </w:tc>
        <w:tc>
          <w:tcPr>
            <w:tcW w:w="0" w:type="auto"/>
            <w:tcBorders>
              <w:top w:val="single" w:sz="4" w:space="0" w:color="auto"/>
            </w:tcBorders>
            <w:vAlign w:val="center"/>
          </w:tcPr>
          <w:p w14:paraId="0D817B3A" w14:textId="77777777" w:rsidR="00D067C4" w:rsidRPr="008B5A27" w:rsidRDefault="00D067C4" w:rsidP="003C11D4">
            <w:pPr>
              <w:pStyle w:val="TCTableBody"/>
              <w:jc w:val="center"/>
              <w:rPr>
                <w:sz w:val="20"/>
                <w:lang w:val="nl-NL"/>
              </w:rPr>
            </w:pPr>
            <w:r w:rsidRPr="008B5A27">
              <w:rPr>
                <w:sz w:val="20"/>
                <w:lang w:val="nl-NL"/>
              </w:rPr>
              <w:t>40 ± 17</w:t>
            </w:r>
          </w:p>
        </w:tc>
        <w:tc>
          <w:tcPr>
            <w:tcW w:w="0" w:type="auto"/>
            <w:tcBorders>
              <w:top w:val="single" w:sz="4" w:space="0" w:color="auto"/>
            </w:tcBorders>
            <w:vAlign w:val="center"/>
          </w:tcPr>
          <w:p w14:paraId="3B611B91" w14:textId="77777777" w:rsidR="00D067C4" w:rsidRPr="008B5A27" w:rsidRDefault="00D067C4" w:rsidP="003C11D4">
            <w:pPr>
              <w:pStyle w:val="TCTableBody"/>
              <w:jc w:val="center"/>
              <w:rPr>
                <w:sz w:val="20"/>
                <w:lang w:val="nl-NL"/>
              </w:rPr>
            </w:pPr>
            <w:r w:rsidRPr="008B5A27">
              <w:rPr>
                <w:sz w:val="20"/>
                <w:lang w:val="nl-NL"/>
              </w:rPr>
              <w:t>199 ± 8</w:t>
            </w:r>
          </w:p>
        </w:tc>
      </w:tr>
      <w:tr w:rsidR="00D067C4" w:rsidRPr="00D067C4" w14:paraId="1F86F52B" w14:textId="77777777" w:rsidTr="003C11D4">
        <w:trPr>
          <w:jc w:val="center"/>
        </w:trPr>
        <w:tc>
          <w:tcPr>
            <w:tcW w:w="0" w:type="auto"/>
            <w:vAlign w:val="center"/>
          </w:tcPr>
          <w:p w14:paraId="0B16C049" w14:textId="77777777" w:rsidR="00D067C4" w:rsidRPr="008B5A27" w:rsidRDefault="00D067C4" w:rsidP="003C11D4">
            <w:pPr>
              <w:pStyle w:val="TCTableBody"/>
              <w:jc w:val="center"/>
              <w:rPr>
                <w:sz w:val="20"/>
                <w:lang w:val="nl-NL"/>
              </w:rPr>
            </w:pPr>
            <w:r w:rsidRPr="008B5A27">
              <w:rPr>
                <w:sz w:val="20"/>
                <w:lang w:val="nl-NL"/>
              </w:rPr>
              <w:t>PU-50-35</w:t>
            </w:r>
          </w:p>
        </w:tc>
        <w:tc>
          <w:tcPr>
            <w:tcW w:w="0" w:type="auto"/>
            <w:vAlign w:val="center"/>
          </w:tcPr>
          <w:p w14:paraId="02DB7130" w14:textId="77777777" w:rsidR="00D067C4" w:rsidRPr="008B5A27" w:rsidRDefault="00D067C4" w:rsidP="003C11D4">
            <w:pPr>
              <w:pStyle w:val="TCTableBody"/>
              <w:jc w:val="center"/>
              <w:rPr>
                <w:sz w:val="20"/>
                <w:lang w:val="nl-NL"/>
              </w:rPr>
            </w:pPr>
            <w:r w:rsidRPr="008B5A27">
              <w:rPr>
                <w:sz w:val="20"/>
                <w:lang w:val="nl-NL"/>
              </w:rPr>
              <w:t>321</w:t>
            </w:r>
          </w:p>
        </w:tc>
        <w:tc>
          <w:tcPr>
            <w:tcW w:w="0" w:type="auto"/>
            <w:vAlign w:val="center"/>
          </w:tcPr>
          <w:p w14:paraId="3791E88C" w14:textId="77777777" w:rsidR="00D067C4" w:rsidRPr="008B5A27" w:rsidRDefault="00D067C4" w:rsidP="003C11D4">
            <w:pPr>
              <w:pStyle w:val="TCTableBody"/>
              <w:jc w:val="center"/>
              <w:rPr>
                <w:sz w:val="20"/>
                <w:lang w:val="nl-NL"/>
              </w:rPr>
            </w:pPr>
            <w:r w:rsidRPr="008B5A27">
              <w:rPr>
                <w:sz w:val="20"/>
                <w:lang w:val="nl-NL"/>
              </w:rPr>
              <w:t>-53</w:t>
            </w:r>
          </w:p>
        </w:tc>
        <w:tc>
          <w:tcPr>
            <w:tcW w:w="0" w:type="auto"/>
            <w:vAlign w:val="center"/>
          </w:tcPr>
          <w:p w14:paraId="73931FD8" w14:textId="77777777" w:rsidR="00D067C4" w:rsidRPr="008B5A27" w:rsidRDefault="00D067C4" w:rsidP="003C11D4">
            <w:pPr>
              <w:pStyle w:val="TCTableBody"/>
              <w:jc w:val="center"/>
              <w:rPr>
                <w:sz w:val="20"/>
                <w:lang w:val="nl-NL"/>
              </w:rPr>
            </w:pPr>
            <w:r w:rsidRPr="008B5A27">
              <w:rPr>
                <w:sz w:val="20"/>
                <w:lang w:val="nl-NL"/>
              </w:rPr>
              <w:t>41-64</w:t>
            </w:r>
          </w:p>
        </w:tc>
        <w:tc>
          <w:tcPr>
            <w:tcW w:w="0" w:type="auto"/>
            <w:vAlign w:val="center"/>
          </w:tcPr>
          <w:p w14:paraId="6E39A245" w14:textId="77777777" w:rsidR="00D067C4" w:rsidRPr="008B5A27" w:rsidRDefault="00D067C4" w:rsidP="003C11D4">
            <w:pPr>
              <w:pStyle w:val="TCTableBody"/>
              <w:jc w:val="center"/>
              <w:rPr>
                <w:sz w:val="20"/>
                <w:lang w:val="nl-NL"/>
              </w:rPr>
            </w:pPr>
            <w:r w:rsidRPr="008B5A27">
              <w:rPr>
                <w:sz w:val="20"/>
                <w:lang w:val="nl-NL"/>
              </w:rPr>
              <w:t>34.9</w:t>
            </w:r>
          </w:p>
        </w:tc>
        <w:tc>
          <w:tcPr>
            <w:tcW w:w="0" w:type="auto"/>
            <w:vAlign w:val="center"/>
          </w:tcPr>
          <w:p w14:paraId="34131433" w14:textId="77777777" w:rsidR="00D067C4" w:rsidRPr="008B5A27" w:rsidRDefault="00D067C4" w:rsidP="003C11D4">
            <w:pPr>
              <w:pStyle w:val="TCTableBody"/>
              <w:jc w:val="center"/>
              <w:rPr>
                <w:sz w:val="20"/>
                <w:lang w:val="nl-NL"/>
              </w:rPr>
            </w:pPr>
            <w:r w:rsidRPr="008B5A27">
              <w:rPr>
                <w:sz w:val="20"/>
                <w:lang w:val="nl-NL"/>
              </w:rPr>
              <w:t>18.6 ± 2.6</w:t>
            </w:r>
          </w:p>
        </w:tc>
        <w:tc>
          <w:tcPr>
            <w:tcW w:w="0" w:type="auto"/>
            <w:vAlign w:val="center"/>
          </w:tcPr>
          <w:p w14:paraId="5AFAA7FE" w14:textId="77777777" w:rsidR="00D067C4" w:rsidRPr="008B5A27" w:rsidRDefault="00D067C4" w:rsidP="003C11D4">
            <w:pPr>
              <w:pStyle w:val="TCTableBody"/>
              <w:jc w:val="center"/>
              <w:rPr>
                <w:sz w:val="20"/>
                <w:lang w:val="nl-NL"/>
              </w:rPr>
            </w:pPr>
            <w:r w:rsidRPr="008B5A27">
              <w:rPr>
                <w:sz w:val="20"/>
                <w:lang w:val="nl-NL"/>
              </w:rPr>
              <w:t>429 ± 34</w:t>
            </w:r>
          </w:p>
        </w:tc>
        <w:tc>
          <w:tcPr>
            <w:tcW w:w="0" w:type="auto"/>
            <w:vAlign w:val="center"/>
          </w:tcPr>
          <w:p w14:paraId="5D0B8F57" w14:textId="7AB4C6D5" w:rsidR="00D067C4" w:rsidRPr="008B5A27" w:rsidRDefault="00D067C4" w:rsidP="003C11D4">
            <w:pPr>
              <w:pStyle w:val="TCTableBody"/>
              <w:jc w:val="center"/>
              <w:rPr>
                <w:sz w:val="20"/>
                <w:lang w:val="nl-NL"/>
              </w:rPr>
            </w:pPr>
            <w:r w:rsidRPr="008B5A27">
              <w:rPr>
                <w:sz w:val="20"/>
                <w:lang w:val="nl-NL"/>
              </w:rPr>
              <w:t>48 ± 3</w:t>
            </w:r>
          </w:p>
        </w:tc>
      </w:tr>
      <w:tr w:rsidR="00D067C4" w:rsidRPr="00D067C4" w14:paraId="16195B7B" w14:textId="77777777" w:rsidTr="003C11D4">
        <w:trPr>
          <w:jc w:val="center"/>
        </w:trPr>
        <w:tc>
          <w:tcPr>
            <w:tcW w:w="0" w:type="auto"/>
            <w:vAlign w:val="center"/>
          </w:tcPr>
          <w:p w14:paraId="17783011" w14:textId="77777777" w:rsidR="00D067C4" w:rsidRPr="008B5A27" w:rsidRDefault="00D067C4" w:rsidP="003C11D4">
            <w:pPr>
              <w:pStyle w:val="TCTableBody"/>
              <w:jc w:val="center"/>
              <w:rPr>
                <w:sz w:val="20"/>
                <w:lang w:val="nl-NL"/>
              </w:rPr>
            </w:pPr>
            <w:r w:rsidRPr="008B5A27">
              <w:rPr>
                <w:sz w:val="20"/>
                <w:lang w:val="nl-NL"/>
              </w:rPr>
              <w:t>PU-50-50</w:t>
            </w:r>
          </w:p>
        </w:tc>
        <w:tc>
          <w:tcPr>
            <w:tcW w:w="0" w:type="auto"/>
            <w:vAlign w:val="center"/>
          </w:tcPr>
          <w:p w14:paraId="78D8AD8D" w14:textId="77777777" w:rsidR="00D067C4" w:rsidRPr="008B5A27" w:rsidRDefault="00D067C4" w:rsidP="003C11D4">
            <w:pPr>
              <w:pStyle w:val="TCTableBody"/>
              <w:jc w:val="center"/>
              <w:rPr>
                <w:sz w:val="20"/>
                <w:lang w:val="nl-NL"/>
              </w:rPr>
            </w:pPr>
            <w:r w:rsidRPr="008B5A27">
              <w:rPr>
                <w:sz w:val="20"/>
                <w:lang w:val="nl-NL"/>
              </w:rPr>
              <w:t>321</w:t>
            </w:r>
          </w:p>
        </w:tc>
        <w:tc>
          <w:tcPr>
            <w:tcW w:w="0" w:type="auto"/>
            <w:vAlign w:val="center"/>
          </w:tcPr>
          <w:p w14:paraId="2B86EEF6" w14:textId="77777777" w:rsidR="00D067C4" w:rsidRPr="008B5A27" w:rsidRDefault="00D067C4" w:rsidP="003C11D4">
            <w:pPr>
              <w:pStyle w:val="TCTableBody"/>
              <w:jc w:val="center"/>
              <w:rPr>
                <w:sz w:val="20"/>
                <w:lang w:val="nl-NL"/>
              </w:rPr>
            </w:pPr>
            <w:r w:rsidRPr="008B5A27">
              <w:rPr>
                <w:sz w:val="20"/>
                <w:lang w:val="nl-NL"/>
              </w:rPr>
              <w:t>-47</w:t>
            </w:r>
          </w:p>
        </w:tc>
        <w:tc>
          <w:tcPr>
            <w:tcW w:w="0" w:type="auto"/>
            <w:vAlign w:val="center"/>
          </w:tcPr>
          <w:p w14:paraId="728A2D34" w14:textId="77777777" w:rsidR="00D067C4" w:rsidRPr="008B5A27" w:rsidRDefault="00D067C4" w:rsidP="003C11D4">
            <w:pPr>
              <w:pStyle w:val="TCTableBody"/>
              <w:jc w:val="center"/>
              <w:rPr>
                <w:sz w:val="20"/>
                <w:lang w:val="nl-NL"/>
              </w:rPr>
            </w:pPr>
            <w:r w:rsidRPr="008B5A27">
              <w:rPr>
                <w:sz w:val="20"/>
                <w:lang w:val="nl-NL"/>
              </w:rPr>
              <w:t>37-63</w:t>
            </w:r>
          </w:p>
        </w:tc>
        <w:tc>
          <w:tcPr>
            <w:tcW w:w="0" w:type="auto"/>
            <w:vAlign w:val="center"/>
          </w:tcPr>
          <w:p w14:paraId="39F51BED" w14:textId="77777777" w:rsidR="00D067C4" w:rsidRPr="008B5A27" w:rsidRDefault="00D067C4" w:rsidP="003C11D4">
            <w:pPr>
              <w:pStyle w:val="TCTableBody"/>
              <w:jc w:val="center"/>
              <w:rPr>
                <w:sz w:val="20"/>
                <w:lang w:val="nl-NL"/>
              </w:rPr>
            </w:pPr>
            <w:r w:rsidRPr="008B5A27">
              <w:rPr>
                <w:sz w:val="20"/>
                <w:lang w:val="nl-NL"/>
              </w:rPr>
              <w:t>29.6</w:t>
            </w:r>
          </w:p>
        </w:tc>
        <w:tc>
          <w:tcPr>
            <w:tcW w:w="0" w:type="auto"/>
            <w:vAlign w:val="center"/>
          </w:tcPr>
          <w:p w14:paraId="0B3D2CA4" w14:textId="77777777" w:rsidR="00D067C4" w:rsidRPr="008B5A27" w:rsidRDefault="00D067C4" w:rsidP="003C11D4">
            <w:pPr>
              <w:pStyle w:val="TCTableBody"/>
              <w:jc w:val="center"/>
              <w:rPr>
                <w:sz w:val="20"/>
                <w:lang w:val="nl-NL"/>
              </w:rPr>
            </w:pPr>
            <w:r w:rsidRPr="008B5A27">
              <w:rPr>
                <w:sz w:val="20"/>
                <w:lang w:val="nl-NL"/>
              </w:rPr>
              <w:t>19.8 ± 1.8</w:t>
            </w:r>
          </w:p>
        </w:tc>
        <w:tc>
          <w:tcPr>
            <w:tcW w:w="0" w:type="auto"/>
            <w:vAlign w:val="center"/>
          </w:tcPr>
          <w:p w14:paraId="44E64560" w14:textId="77777777" w:rsidR="00D067C4" w:rsidRPr="008B5A27" w:rsidRDefault="00D067C4" w:rsidP="003C11D4">
            <w:pPr>
              <w:pStyle w:val="TCTableBody"/>
              <w:jc w:val="center"/>
              <w:rPr>
                <w:sz w:val="20"/>
                <w:lang w:val="nl-NL"/>
              </w:rPr>
            </w:pPr>
            <w:r w:rsidRPr="008B5A27">
              <w:rPr>
                <w:sz w:val="20"/>
                <w:lang w:val="nl-NL"/>
              </w:rPr>
              <w:t>685 ± 32</w:t>
            </w:r>
          </w:p>
        </w:tc>
        <w:tc>
          <w:tcPr>
            <w:tcW w:w="0" w:type="auto"/>
            <w:vAlign w:val="center"/>
          </w:tcPr>
          <w:p w14:paraId="51005DBF" w14:textId="3B5790C7" w:rsidR="00D067C4" w:rsidRPr="008B5A27" w:rsidRDefault="00D067C4" w:rsidP="003C11D4">
            <w:pPr>
              <w:pStyle w:val="TCTableBody"/>
              <w:jc w:val="center"/>
              <w:rPr>
                <w:sz w:val="20"/>
                <w:lang w:val="nl-NL"/>
              </w:rPr>
            </w:pPr>
            <w:r w:rsidRPr="008B5A27">
              <w:rPr>
                <w:sz w:val="20"/>
                <w:lang w:val="nl-NL"/>
              </w:rPr>
              <w:t>12 ± 2</w:t>
            </w:r>
          </w:p>
        </w:tc>
      </w:tr>
      <w:tr w:rsidR="00D067C4" w:rsidRPr="00D067C4" w14:paraId="76A9267D" w14:textId="77777777" w:rsidTr="003C11D4">
        <w:trPr>
          <w:jc w:val="center"/>
        </w:trPr>
        <w:tc>
          <w:tcPr>
            <w:tcW w:w="0" w:type="auto"/>
            <w:vAlign w:val="center"/>
          </w:tcPr>
          <w:p w14:paraId="65D73128" w14:textId="77777777" w:rsidR="00D067C4" w:rsidRPr="008B5A27" w:rsidRDefault="00D067C4" w:rsidP="003C11D4">
            <w:pPr>
              <w:pStyle w:val="TCTableBody"/>
              <w:jc w:val="center"/>
              <w:rPr>
                <w:sz w:val="20"/>
                <w:lang w:val="nl-NL"/>
              </w:rPr>
            </w:pPr>
            <w:r w:rsidRPr="008B5A27">
              <w:rPr>
                <w:sz w:val="20"/>
                <w:lang w:val="nl-NL"/>
              </w:rPr>
              <w:t>PU-65-20</w:t>
            </w:r>
          </w:p>
        </w:tc>
        <w:tc>
          <w:tcPr>
            <w:tcW w:w="0" w:type="auto"/>
            <w:vAlign w:val="center"/>
          </w:tcPr>
          <w:p w14:paraId="0B85C392" w14:textId="77777777" w:rsidR="00D067C4" w:rsidRPr="008B5A27" w:rsidRDefault="00D067C4" w:rsidP="003C11D4">
            <w:pPr>
              <w:pStyle w:val="TCTableBody"/>
              <w:jc w:val="center"/>
              <w:rPr>
                <w:sz w:val="20"/>
                <w:lang w:val="nl-NL"/>
              </w:rPr>
            </w:pPr>
            <w:r w:rsidRPr="008B5A27">
              <w:rPr>
                <w:sz w:val="20"/>
                <w:lang w:val="nl-NL"/>
              </w:rPr>
              <w:t>312</w:t>
            </w:r>
          </w:p>
        </w:tc>
        <w:tc>
          <w:tcPr>
            <w:tcW w:w="0" w:type="auto"/>
            <w:vAlign w:val="center"/>
          </w:tcPr>
          <w:p w14:paraId="25AC6B11" w14:textId="77777777" w:rsidR="00D067C4" w:rsidRPr="008B5A27" w:rsidRDefault="00D067C4" w:rsidP="003C11D4">
            <w:pPr>
              <w:pStyle w:val="TCTableBody"/>
              <w:jc w:val="center"/>
              <w:rPr>
                <w:sz w:val="20"/>
                <w:lang w:val="nl-NL"/>
              </w:rPr>
            </w:pPr>
            <w:r w:rsidRPr="008B5A27">
              <w:rPr>
                <w:sz w:val="20"/>
                <w:lang w:val="nl-NL"/>
              </w:rPr>
              <w:t>-50</w:t>
            </w:r>
          </w:p>
        </w:tc>
        <w:tc>
          <w:tcPr>
            <w:tcW w:w="0" w:type="auto"/>
            <w:vAlign w:val="center"/>
          </w:tcPr>
          <w:p w14:paraId="62943966" w14:textId="77777777" w:rsidR="00D067C4" w:rsidRPr="008B5A27" w:rsidRDefault="00D067C4" w:rsidP="003C11D4">
            <w:pPr>
              <w:pStyle w:val="TCTableBody"/>
              <w:jc w:val="center"/>
              <w:rPr>
                <w:sz w:val="20"/>
                <w:lang w:val="nl-NL"/>
              </w:rPr>
            </w:pPr>
            <w:r w:rsidRPr="008B5A27">
              <w:rPr>
                <w:sz w:val="20"/>
                <w:lang w:val="nl-NL"/>
              </w:rPr>
              <w:t>39-64</w:t>
            </w:r>
          </w:p>
        </w:tc>
        <w:tc>
          <w:tcPr>
            <w:tcW w:w="0" w:type="auto"/>
            <w:vAlign w:val="center"/>
          </w:tcPr>
          <w:p w14:paraId="6B6AF02B" w14:textId="77777777" w:rsidR="00D067C4" w:rsidRPr="008B5A27" w:rsidRDefault="00D067C4" w:rsidP="003C11D4">
            <w:pPr>
              <w:pStyle w:val="TCTableBody"/>
              <w:jc w:val="center"/>
              <w:rPr>
                <w:sz w:val="20"/>
                <w:lang w:val="nl-NL"/>
              </w:rPr>
            </w:pPr>
            <w:r w:rsidRPr="008B5A27">
              <w:rPr>
                <w:sz w:val="20"/>
                <w:lang w:val="nl-NL"/>
              </w:rPr>
              <w:t>29.4</w:t>
            </w:r>
          </w:p>
        </w:tc>
        <w:tc>
          <w:tcPr>
            <w:tcW w:w="0" w:type="auto"/>
            <w:vAlign w:val="center"/>
          </w:tcPr>
          <w:p w14:paraId="008C93F7" w14:textId="77777777" w:rsidR="00D067C4" w:rsidRPr="008B5A27" w:rsidRDefault="00D067C4" w:rsidP="003C11D4">
            <w:pPr>
              <w:pStyle w:val="TCTableBody"/>
              <w:jc w:val="center"/>
              <w:rPr>
                <w:sz w:val="20"/>
                <w:lang w:val="nl-NL"/>
              </w:rPr>
            </w:pPr>
            <w:r w:rsidRPr="008B5A27">
              <w:rPr>
                <w:sz w:val="20"/>
                <w:lang w:val="nl-NL"/>
              </w:rPr>
              <w:t>23.7 ± 2.7</w:t>
            </w:r>
          </w:p>
        </w:tc>
        <w:tc>
          <w:tcPr>
            <w:tcW w:w="0" w:type="auto"/>
            <w:vAlign w:val="center"/>
          </w:tcPr>
          <w:p w14:paraId="2C152567" w14:textId="77777777" w:rsidR="00D067C4" w:rsidRPr="008B5A27" w:rsidRDefault="00D067C4" w:rsidP="003C11D4">
            <w:pPr>
              <w:pStyle w:val="TCTableBody"/>
              <w:jc w:val="center"/>
              <w:rPr>
                <w:sz w:val="20"/>
                <w:lang w:val="nl-NL"/>
              </w:rPr>
            </w:pPr>
            <w:r w:rsidRPr="008B5A27">
              <w:rPr>
                <w:sz w:val="20"/>
                <w:lang w:val="nl-NL"/>
              </w:rPr>
              <w:t>204 ± 29</w:t>
            </w:r>
          </w:p>
        </w:tc>
        <w:tc>
          <w:tcPr>
            <w:tcW w:w="0" w:type="auto"/>
            <w:vAlign w:val="center"/>
          </w:tcPr>
          <w:p w14:paraId="42489C83" w14:textId="2959F265" w:rsidR="00D067C4" w:rsidRPr="008B5A27" w:rsidRDefault="00D067C4" w:rsidP="003C11D4">
            <w:pPr>
              <w:pStyle w:val="TCTableBody"/>
              <w:jc w:val="center"/>
              <w:rPr>
                <w:sz w:val="20"/>
                <w:lang w:val="nl-NL"/>
              </w:rPr>
            </w:pPr>
            <w:r w:rsidRPr="008B5A27">
              <w:rPr>
                <w:sz w:val="20"/>
                <w:lang w:val="nl-NL"/>
              </w:rPr>
              <w:t>349 ± 68</w:t>
            </w:r>
          </w:p>
        </w:tc>
      </w:tr>
      <w:tr w:rsidR="00D067C4" w:rsidRPr="00D067C4" w14:paraId="5C529C28" w14:textId="77777777" w:rsidTr="003C11D4">
        <w:trPr>
          <w:jc w:val="center"/>
        </w:trPr>
        <w:tc>
          <w:tcPr>
            <w:tcW w:w="0" w:type="auto"/>
            <w:vAlign w:val="center"/>
          </w:tcPr>
          <w:p w14:paraId="52368A49" w14:textId="77777777" w:rsidR="00D067C4" w:rsidRPr="008B5A27" w:rsidRDefault="00D067C4" w:rsidP="003C11D4">
            <w:pPr>
              <w:pStyle w:val="TCTableBody"/>
              <w:jc w:val="center"/>
              <w:rPr>
                <w:sz w:val="20"/>
                <w:lang w:val="nl-NL"/>
              </w:rPr>
            </w:pPr>
            <w:r w:rsidRPr="008B5A27">
              <w:rPr>
                <w:sz w:val="20"/>
                <w:lang w:val="nl-NL"/>
              </w:rPr>
              <w:t>PU-65-35</w:t>
            </w:r>
          </w:p>
        </w:tc>
        <w:tc>
          <w:tcPr>
            <w:tcW w:w="0" w:type="auto"/>
            <w:vAlign w:val="center"/>
          </w:tcPr>
          <w:p w14:paraId="1163FC8C" w14:textId="77777777" w:rsidR="00D067C4" w:rsidRPr="008B5A27" w:rsidRDefault="00D067C4" w:rsidP="003C11D4">
            <w:pPr>
              <w:pStyle w:val="TCTableBody"/>
              <w:jc w:val="center"/>
              <w:rPr>
                <w:sz w:val="20"/>
                <w:lang w:val="nl-NL"/>
              </w:rPr>
            </w:pPr>
            <w:r w:rsidRPr="008B5A27">
              <w:rPr>
                <w:sz w:val="20"/>
                <w:lang w:val="nl-NL"/>
              </w:rPr>
              <w:t>314</w:t>
            </w:r>
          </w:p>
        </w:tc>
        <w:tc>
          <w:tcPr>
            <w:tcW w:w="0" w:type="auto"/>
            <w:vAlign w:val="center"/>
          </w:tcPr>
          <w:p w14:paraId="43DC3B29" w14:textId="77777777" w:rsidR="00D067C4" w:rsidRPr="008B5A27" w:rsidRDefault="00D067C4" w:rsidP="003C11D4">
            <w:pPr>
              <w:pStyle w:val="TCTableBody"/>
              <w:jc w:val="center"/>
              <w:rPr>
                <w:sz w:val="20"/>
                <w:lang w:val="nl-NL"/>
              </w:rPr>
            </w:pPr>
            <w:r w:rsidRPr="008B5A27">
              <w:rPr>
                <w:sz w:val="20"/>
                <w:lang w:val="nl-NL"/>
              </w:rPr>
              <w:t>-53</w:t>
            </w:r>
          </w:p>
        </w:tc>
        <w:tc>
          <w:tcPr>
            <w:tcW w:w="0" w:type="auto"/>
            <w:vAlign w:val="center"/>
          </w:tcPr>
          <w:p w14:paraId="72D6657D" w14:textId="77777777" w:rsidR="00D067C4" w:rsidRPr="008B5A27" w:rsidRDefault="00D067C4" w:rsidP="003C11D4">
            <w:pPr>
              <w:pStyle w:val="TCTableBody"/>
              <w:jc w:val="center"/>
              <w:rPr>
                <w:sz w:val="20"/>
                <w:lang w:val="nl-NL"/>
              </w:rPr>
            </w:pPr>
            <w:r w:rsidRPr="008B5A27">
              <w:rPr>
                <w:sz w:val="20"/>
                <w:lang w:val="nl-NL"/>
              </w:rPr>
              <w:t>36-62</w:t>
            </w:r>
          </w:p>
        </w:tc>
        <w:tc>
          <w:tcPr>
            <w:tcW w:w="0" w:type="auto"/>
            <w:vAlign w:val="center"/>
          </w:tcPr>
          <w:p w14:paraId="26006532" w14:textId="77777777" w:rsidR="00D067C4" w:rsidRPr="008B5A27" w:rsidRDefault="00D067C4" w:rsidP="003C11D4">
            <w:pPr>
              <w:pStyle w:val="TCTableBody"/>
              <w:jc w:val="center"/>
              <w:rPr>
                <w:sz w:val="20"/>
                <w:lang w:val="nl-NL"/>
              </w:rPr>
            </w:pPr>
            <w:r w:rsidRPr="008B5A27">
              <w:rPr>
                <w:sz w:val="20"/>
                <w:lang w:val="nl-NL"/>
              </w:rPr>
              <w:t>26.6</w:t>
            </w:r>
          </w:p>
        </w:tc>
        <w:tc>
          <w:tcPr>
            <w:tcW w:w="0" w:type="auto"/>
            <w:vAlign w:val="center"/>
          </w:tcPr>
          <w:p w14:paraId="78370182" w14:textId="77777777" w:rsidR="00D067C4" w:rsidRPr="008B5A27" w:rsidRDefault="00D067C4" w:rsidP="003C11D4">
            <w:pPr>
              <w:pStyle w:val="TCTableBody"/>
              <w:jc w:val="center"/>
              <w:rPr>
                <w:sz w:val="20"/>
                <w:lang w:val="nl-NL"/>
              </w:rPr>
            </w:pPr>
            <w:r w:rsidRPr="008B5A27">
              <w:rPr>
                <w:sz w:val="20"/>
                <w:lang w:val="nl-NL"/>
              </w:rPr>
              <w:t>20.1 ± 3.7</w:t>
            </w:r>
          </w:p>
        </w:tc>
        <w:tc>
          <w:tcPr>
            <w:tcW w:w="0" w:type="auto"/>
            <w:vAlign w:val="center"/>
          </w:tcPr>
          <w:p w14:paraId="7141C9F7" w14:textId="77777777" w:rsidR="00D067C4" w:rsidRPr="008B5A27" w:rsidRDefault="00D067C4" w:rsidP="003C11D4">
            <w:pPr>
              <w:pStyle w:val="TCTableBody"/>
              <w:jc w:val="center"/>
              <w:rPr>
                <w:sz w:val="20"/>
                <w:lang w:val="nl-NL"/>
              </w:rPr>
            </w:pPr>
            <w:r w:rsidRPr="008B5A27">
              <w:rPr>
                <w:sz w:val="20"/>
                <w:lang w:val="nl-NL"/>
              </w:rPr>
              <w:t>375 ± 37</w:t>
            </w:r>
          </w:p>
        </w:tc>
        <w:tc>
          <w:tcPr>
            <w:tcW w:w="0" w:type="auto"/>
            <w:vAlign w:val="center"/>
          </w:tcPr>
          <w:p w14:paraId="03EDFEBF" w14:textId="043CD7C9" w:rsidR="00D067C4" w:rsidRPr="008B5A27" w:rsidRDefault="00D067C4" w:rsidP="003C11D4">
            <w:pPr>
              <w:pStyle w:val="TCTableBody"/>
              <w:jc w:val="center"/>
              <w:rPr>
                <w:sz w:val="20"/>
                <w:lang w:val="nl-NL"/>
              </w:rPr>
            </w:pPr>
            <w:r w:rsidRPr="008B5A27">
              <w:rPr>
                <w:sz w:val="20"/>
                <w:lang w:val="nl-NL"/>
              </w:rPr>
              <w:t>37 ± 6</w:t>
            </w:r>
          </w:p>
        </w:tc>
      </w:tr>
      <w:tr w:rsidR="00D067C4" w:rsidRPr="00D067C4" w14:paraId="51859F44" w14:textId="77777777" w:rsidTr="003C11D4">
        <w:trPr>
          <w:trHeight w:val="190"/>
          <w:jc w:val="center"/>
        </w:trPr>
        <w:tc>
          <w:tcPr>
            <w:tcW w:w="0" w:type="auto"/>
            <w:tcBorders>
              <w:bottom w:val="single" w:sz="4" w:space="0" w:color="auto"/>
            </w:tcBorders>
            <w:vAlign w:val="center"/>
          </w:tcPr>
          <w:p w14:paraId="683DA244" w14:textId="77777777" w:rsidR="00D067C4" w:rsidRPr="008B5A27" w:rsidRDefault="00D067C4" w:rsidP="003C11D4">
            <w:pPr>
              <w:pStyle w:val="TCTableBody"/>
              <w:jc w:val="center"/>
              <w:rPr>
                <w:sz w:val="20"/>
                <w:lang w:val="nl-NL"/>
              </w:rPr>
            </w:pPr>
            <w:r w:rsidRPr="008B5A27">
              <w:rPr>
                <w:sz w:val="20"/>
                <w:lang w:val="nl-NL"/>
              </w:rPr>
              <w:t>PU-65-50</w:t>
            </w:r>
          </w:p>
        </w:tc>
        <w:tc>
          <w:tcPr>
            <w:tcW w:w="0" w:type="auto"/>
            <w:tcBorders>
              <w:bottom w:val="single" w:sz="4" w:space="0" w:color="auto"/>
            </w:tcBorders>
            <w:vAlign w:val="center"/>
          </w:tcPr>
          <w:p w14:paraId="1F86EE96" w14:textId="77777777" w:rsidR="00D067C4" w:rsidRPr="008B5A27" w:rsidRDefault="00D067C4" w:rsidP="003C11D4">
            <w:pPr>
              <w:pStyle w:val="TCTableBody"/>
              <w:jc w:val="center"/>
              <w:rPr>
                <w:sz w:val="20"/>
                <w:lang w:val="nl-NL"/>
              </w:rPr>
            </w:pPr>
            <w:r w:rsidRPr="008B5A27">
              <w:rPr>
                <w:sz w:val="20"/>
                <w:lang w:val="nl-NL"/>
              </w:rPr>
              <w:t>315</w:t>
            </w:r>
          </w:p>
        </w:tc>
        <w:tc>
          <w:tcPr>
            <w:tcW w:w="0" w:type="auto"/>
            <w:tcBorders>
              <w:bottom w:val="single" w:sz="4" w:space="0" w:color="auto"/>
            </w:tcBorders>
            <w:vAlign w:val="center"/>
          </w:tcPr>
          <w:p w14:paraId="167BA8D7" w14:textId="77777777" w:rsidR="00D067C4" w:rsidRPr="008B5A27" w:rsidRDefault="00D067C4" w:rsidP="003C11D4">
            <w:pPr>
              <w:pStyle w:val="TCTableBody"/>
              <w:jc w:val="center"/>
              <w:rPr>
                <w:sz w:val="20"/>
                <w:lang w:val="nl-NL"/>
              </w:rPr>
            </w:pPr>
            <w:r w:rsidRPr="008B5A27">
              <w:rPr>
                <w:sz w:val="20"/>
                <w:lang w:val="nl-NL"/>
              </w:rPr>
              <w:t>-49</w:t>
            </w:r>
          </w:p>
        </w:tc>
        <w:tc>
          <w:tcPr>
            <w:tcW w:w="0" w:type="auto"/>
            <w:tcBorders>
              <w:bottom w:val="single" w:sz="4" w:space="0" w:color="auto"/>
            </w:tcBorders>
            <w:vAlign w:val="center"/>
          </w:tcPr>
          <w:p w14:paraId="21090A5D" w14:textId="77777777" w:rsidR="00D067C4" w:rsidRPr="008B5A27" w:rsidRDefault="00D067C4" w:rsidP="003C11D4">
            <w:pPr>
              <w:pStyle w:val="TCTableBody"/>
              <w:jc w:val="center"/>
              <w:rPr>
                <w:sz w:val="20"/>
                <w:lang w:val="nl-NL"/>
              </w:rPr>
            </w:pPr>
            <w:r w:rsidRPr="008B5A27">
              <w:rPr>
                <w:sz w:val="20"/>
                <w:lang w:val="nl-NL"/>
              </w:rPr>
              <w:t>39-63</w:t>
            </w:r>
          </w:p>
        </w:tc>
        <w:tc>
          <w:tcPr>
            <w:tcW w:w="0" w:type="auto"/>
            <w:tcBorders>
              <w:bottom w:val="single" w:sz="4" w:space="0" w:color="auto"/>
            </w:tcBorders>
            <w:vAlign w:val="center"/>
          </w:tcPr>
          <w:p w14:paraId="72DF457C" w14:textId="77777777" w:rsidR="00D067C4" w:rsidRPr="008B5A27" w:rsidRDefault="00D067C4" w:rsidP="003C11D4">
            <w:pPr>
              <w:pStyle w:val="TCTableBody"/>
              <w:jc w:val="center"/>
              <w:rPr>
                <w:sz w:val="20"/>
                <w:lang w:val="nl-NL"/>
              </w:rPr>
            </w:pPr>
            <w:r w:rsidRPr="008B5A27">
              <w:rPr>
                <w:sz w:val="20"/>
                <w:lang w:val="nl-NL"/>
              </w:rPr>
              <w:t>28.0</w:t>
            </w:r>
          </w:p>
        </w:tc>
        <w:tc>
          <w:tcPr>
            <w:tcW w:w="0" w:type="auto"/>
            <w:tcBorders>
              <w:bottom w:val="single" w:sz="4" w:space="0" w:color="auto"/>
            </w:tcBorders>
            <w:vAlign w:val="center"/>
          </w:tcPr>
          <w:p w14:paraId="7A798C9F" w14:textId="77777777" w:rsidR="00D067C4" w:rsidRPr="008B5A27" w:rsidRDefault="00D067C4" w:rsidP="003C11D4">
            <w:pPr>
              <w:pStyle w:val="TCTableBody"/>
              <w:jc w:val="center"/>
              <w:rPr>
                <w:sz w:val="20"/>
                <w:lang w:val="nl-NL"/>
              </w:rPr>
            </w:pPr>
            <w:r w:rsidRPr="008B5A27">
              <w:rPr>
                <w:sz w:val="20"/>
                <w:lang w:val="nl-NL"/>
              </w:rPr>
              <w:t>7.6 ± 1.3</w:t>
            </w:r>
          </w:p>
        </w:tc>
        <w:tc>
          <w:tcPr>
            <w:tcW w:w="0" w:type="auto"/>
            <w:tcBorders>
              <w:bottom w:val="single" w:sz="4" w:space="0" w:color="auto"/>
            </w:tcBorders>
            <w:vAlign w:val="center"/>
          </w:tcPr>
          <w:p w14:paraId="2414A33A" w14:textId="77777777" w:rsidR="00D067C4" w:rsidRPr="008B5A27" w:rsidRDefault="00D067C4" w:rsidP="003C11D4">
            <w:pPr>
              <w:pStyle w:val="TCTableBody"/>
              <w:jc w:val="center"/>
              <w:rPr>
                <w:sz w:val="20"/>
                <w:lang w:val="nl-NL"/>
              </w:rPr>
            </w:pPr>
            <w:r w:rsidRPr="008B5A27">
              <w:rPr>
                <w:sz w:val="20"/>
                <w:lang w:val="nl-NL"/>
              </w:rPr>
              <w:t>314 ± 44</w:t>
            </w:r>
          </w:p>
        </w:tc>
        <w:tc>
          <w:tcPr>
            <w:tcW w:w="0" w:type="auto"/>
            <w:tcBorders>
              <w:bottom w:val="single" w:sz="4" w:space="0" w:color="auto"/>
            </w:tcBorders>
            <w:vAlign w:val="center"/>
          </w:tcPr>
          <w:p w14:paraId="46C6BE76" w14:textId="2D2EFDFB" w:rsidR="00D067C4" w:rsidRPr="008B5A27" w:rsidRDefault="00D067C4" w:rsidP="003C11D4">
            <w:pPr>
              <w:pStyle w:val="TCTableBody"/>
              <w:jc w:val="center"/>
              <w:rPr>
                <w:sz w:val="20"/>
                <w:lang w:val="nl-NL"/>
              </w:rPr>
            </w:pPr>
            <w:r w:rsidRPr="008B5A27">
              <w:rPr>
                <w:sz w:val="20"/>
                <w:lang w:val="nl-NL"/>
              </w:rPr>
              <w:t>31 ± 11</w:t>
            </w:r>
          </w:p>
        </w:tc>
      </w:tr>
      <w:tr w:rsidR="00D067C4" w:rsidRPr="00E020B3" w14:paraId="4CC29004" w14:textId="77777777" w:rsidTr="003C11D4">
        <w:trPr>
          <w:trHeight w:val="190"/>
          <w:jc w:val="center"/>
        </w:trPr>
        <w:tc>
          <w:tcPr>
            <w:tcW w:w="0" w:type="auto"/>
            <w:gridSpan w:val="8"/>
            <w:tcBorders>
              <w:top w:val="single" w:sz="4" w:space="0" w:color="auto"/>
            </w:tcBorders>
            <w:vAlign w:val="center"/>
          </w:tcPr>
          <w:p w14:paraId="0E3BCAD9" w14:textId="2A947EFB" w:rsidR="00D067C4" w:rsidRPr="003C11D4" w:rsidRDefault="00D067C4" w:rsidP="008B5A27">
            <w:pPr>
              <w:pStyle w:val="TCTableBody"/>
              <w:rPr>
                <w:sz w:val="22"/>
              </w:rPr>
            </w:pPr>
            <w:r w:rsidRPr="003C11D4">
              <w:rPr>
                <w:sz w:val="22"/>
                <w:vertAlign w:val="superscript"/>
              </w:rPr>
              <w:t>a</w:t>
            </w:r>
            <w:r w:rsidR="001578E5" w:rsidRPr="003C11D4">
              <w:rPr>
                <w:sz w:val="22"/>
              </w:rPr>
              <w:t>:</w:t>
            </w:r>
            <w:r w:rsidRPr="003C11D4">
              <w:rPr>
                <w:sz w:val="22"/>
              </w:rPr>
              <w:t>Degree of PCL crystallinity, based on enthalpy of fusion (</w:t>
            </w:r>
            <m:oMath>
              <m:sSub>
                <m:sSubPr>
                  <m:ctrlPr>
                    <w:rPr>
                      <w:rFonts w:ascii="Cambria Math" w:hAnsi="Cambria Math"/>
                      <w:i/>
                      <w:sz w:val="22"/>
                    </w:rPr>
                  </m:ctrlPr>
                </m:sSubPr>
                <m:e>
                  <m:r>
                    <w:rPr>
                      <w:rFonts w:ascii="Cambria Math" w:hAnsi="Cambria Math"/>
                      <w:sz w:val="22"/>
                    </w:rPr>
                    <m:t>∆H</m:t>
                  </m:r>
                </m:e>
                <m:sub>
                  <m:r>
                    <w:rPr>
                      <w:rFonts w:ascii="Cambria Math" w:hAnsi="Cambria Math"/>
                      <w:sz w:val="22"/>
                    </w:rPr>
                    <m:t>f</m:t>
                  </m:r>
                </m:sub>
              </m:sSub>
            </m:oMath>
            <w:r w:rsidRPr="003C11D4">
              <w:rPr>
                <w:sz w:val="22"/>
              </w:rPr>
              <w:t>) from DSC experiments</w:t>
            </w:r>
          </w:p>
          <w:p w14:paraId="3956A9F3" w14:textId="7B99A660" w:rsidR="00D067C4" w:rsidRPr="003C11D4" w:rsidRDefault="00D067C4" w:rsidP="003C11D4">
            <w:pPr>
              <w:pStyle w:val="TCTableBody"/>
              <w:rPr>
                <w:sz w:val="22"/>
              </w:rPr>
            </w:pPr>
            <w:r w:rsidRPr="003C11D4">
              <w:rPr>
                <w:sz w:val="22"/>
              </w:rPr>
              <w:t xml:space="preserve">and theoretical value of </w:t>
            </w:r>
            <m:oMath>
              <m:sSubSup>
                <m:sSubSupPr>
                  <m:ctrlPr>
                    <w:rPr>
                      <w:rFonts w:ascii="Cambria Math" w:hAnsi="Cambria Math"/>
                      <w:i/>
                      <w:sz w:val="22"/>
                    </w:rPr>
                  </m:ctrlPr>
                </m:sSubSupPr>
                <m:e>
                  <m:r>
                    <w:rPr>
                      <w:rFonts w:ascii="Cambria Math" w:hAnsi="Cambria Math"/>
                      <w:sz w:val="22"/>
                    </w:rPr>
                    <m:t>∆H</m:t>
                  </m:r>
                </m:e>
                <m:sub>
                  <m:r>
                    <w:rPr>
                      <w:rFonts w:ascii="Cambria Math" w:hAnsi="Cambria Math"/>
                      <w:sz w:val="22"/>
                    </w:rPr>
                    <m:t>f</m:t>
                  </m:r>
                </m:sub>
                <m:sup>
                  <m:r>
                    <w:rPr>
                      <w:rFonts w:ascii="Cambria Math" w:hAnsi="Cambria Math"/>
                      <w:sz w:val="22"/>
                    </w:rPr>
                    <m:t>0</m:t>
                  </m:r>
                </m:sup>
              </m:sSubSup>
            </m:oMath>
            <w:r w:rsidRPr="003C11D4">
              <w:rPr>
                <w:sz w:val="22"/>
              </w:rPr>
              <w:t xml:space="preserve"> = 139,3 J/g for 100% crystalline PCL.</w:t>
            </w:r>
            <w:r w:rsidR="00BC552C" w:rsidRPr="003C11D4">
              <w:rPr>
                <w:sz w:val="22"/>
                <w:vertAlign w:val="superscript"/>
              </w:rPr>
              <w:t>3</w:t>
            </w:r>
            <w:r w:rsidR="00677FAB">
              <w:rPr>
                <w:sz w:val="22"/>
                <w:vertAlign w:val="superscript"/>
              </w:rPr>
              <w:t>5</w:t>
            </w:r>
          </w:p>
        </w:tc>
      </w:tr>
    </w:tbl>
    <w:p w14:paraId="6647C888" w14:textId="77777777" w:rsidR="00D067C4" w:rsidRDefault="00D067C4" w:rsidP="001578E5">
      <w:pPr>
        <w:pStyle w:val="TAMainText"/>
      </w:pPr>
    </w:p>
    <w:p w14:paraId="5F1BC0E5" w14:textId="2E632456" w:rsidR="00D067C4" w:rsidRPr="00D067C4" w:rsidRDefault="00D067C4" w:rsidP="00D067C4">
      <w:pPr>
        <w:pStyle w:val="TAMainText"/>
      </w:pPr>
      <w:r w:rsidRPr="00D067C4">
        <w:t>TGA analysis showed a degradation temperature at 5% mass loss (</w:t>
      </w:r>
      <m:oMath>
        <m:sSub>
          <m:sSubPr>
            <m:ctrlPr>
              <w:rPr>
                <w:rFonts w:ascii="Cambria Math" w:hAnsi="Cambria Math"/>
                <w:i/>
                <w:vertAlign w:val="subscript"/>
              </w:rPr>
            </m:ctrlPr>
          </m:sSubPr>
          <m:e>
            <m:r>
              <w:rPr>
                <w:rFonts w:ascii="Cambria Math" w:hAnsi="Cambria Math"/>
                <w:vertAlign w:val="subscript"/>
              </w:rPr>
              <m:t>T</m:t>
            </m:r>
          </m:e>
          <m:sub>
            <m:r>
              <w:rPr>
                <w:rFonts w:ascii="Cambria Math" w:hAnsi="Cambria Math"/>
                <w:vertAlign w:val="subscript"/>
              </w:rPr>
              <m:t>deg,  5%</m:t>
            </m:r>
          </m:sub>
        </m:sSub>
      </m:oMath>
      <w:r w:rsidRPr="00D067C4">
        <w:t>) of about 315 °C and a maximal degradation rate at 360 °C for all samples (Figure S4). The two-step degradation profile of the PU network was attributed to an initial decomposition of urethane groups, followed by total degradation of the polyol. DSC thermograms (Figure S5) all showed a glass transition, melting and crystallization peak that can be assigned to the presence of the PCL soft segments. It should be noted that the presence of a melting transition does not indicate that the PU material started to flow. On the contrary, the material remains crosslinked (cf. rheological measurements below), but the chain mobility and exchange rate are enhanced. In contrast to the retro Diels-Alder (rDA) reaction observed for furan-maleimide chemistry for example,</w:t>
      </w:r>
      <w:r w:rsidR="00027C5F" w:rsidRPr="00027C5F">
        <w:rPr>
          <w:vertAlign w:val="superscript"/>
        </w:rPr>
        <w:t>1</w:t>
      </w:r>
      <w:r w:rsidR="00D45D31">
        <w:rPr>
          <w:vertAlign w:val="superscript"/>
        </w:rPr>
        <w:t>4</w:t>
      </w:r>
      <w:r w:rsidRPr="00D067C4">
        <w:t xml:space="preserve"> the theoretical endothermic peak as a result of the retro Alder-Ene reaction of the TAD-indole adduct, could not be observed in any DSC thermogram. This is a direct consequence of the fast kinetics that are typical for TAD chemistry. Indeed, when the reversible reaction occurs, released TAD moieties quickly react with suitable binding partners nearby, which means the DSC instrument is unable to register a netto change in heat capacity.</w:t>
      </w:r>
    </w:p>
    <w:p w14:paraId="46C3EA0E" w14:textId="599ACEA3" w:rsidR="00D067C4" w:rsidRPr="00D067C4" w:rsidRDefault="00D067C4" w:rsidP="00D067C4">
      <w:pPr>
        <w:pStyle w:val="TAMainText"/>
      </w:pPr>
      <w:r w:rsidRPr="00D067C4">
        <w:t xml:space="preserve">Beneficial to obtain good shape-memory properties is the formation of PCL crystalline domains, which can be verified by determination of the degree of crystallinity </w:t>
      </w:r>
      <m:oMath>
        <m:sSub>
          <m:sSubPr>
            <m:ctrlPr>
              <w:rPr>
                <w:rFonts w:ascii="Cambria Math" w:hAnsi="Cambria Math"/>
                <w:i/>
              </w:rPr>
            </m:ctrlPr>
          </m:sSubPr>
          <m:e>
            <m:r>
              <w:rPr>
                <w:rFonts w:ascii="Cambria Math" w:hAnsi="Cambria Math"/>
              </w:rPr>
              <m:t>χ</m:t>
            </m:r>
          </m:e>
          <m:sub>
            <m:r>
              <w:rPr>
                <w:rFonts w:ascii="Cambria Math" w:hAnsi="Cambria Math"/>
              </w:rPr>
              <m:t>c</m:t>
            </m:r>
          </m:sub>
        </m:sSub>
      </m:oMath>
      <w:r w:rsidRPr="00D067C4">
        <w:t xml:space="preserve"> (</w:t>
      </w:r>
      <w:r w:rsidR="00027C5F">
        <w:t>Table 2</w:t>
      </w:r>
      <w:r w:rsidRPr="00D067C4">
        <w:t xml:space="preserve">). The PU materials showed a degree of PCL crystallinity ranging from 22.6 until 34.9%, which is rather low considering the high weight percentage of PCL (cf. </w:t>
      </w:r>
      <w:r w:rsidR="00027C5F">
        <w:t>Table 1</w:t>
      </w:r>
      <w:r w:rsidRPr="00D067C4">
        <w:t>). Nevertheless, the aforementioned shape-memory experiments showed that it was sufficient to exhibit a good shape-memory effect.</w:t>
      </w:r>
    </w:p>
    <w:p w14:paraId="73919D93" w14:textId="77273132" w:rsidR="00D067C4" w:rsidRPr="00D067C4" w:rsidRDefault="00D067C4" w:rsidP="00D067C4">
      <w:pPr>
        <w:pStyle w:val="TAMainText"/>
      </w:pPr>
      <w:r w:rsidRPr="00D067C4">
        <w:t>Tensile measurements revealed that the mechanical properties of the PU materials ranged from hard and brittle to soft and tough (</w:t>
      </w:r>
      <w:r w:rsidR="009402A7">
        <w:t>Table 2</w:t>
      </w:r>
      <w:r w:rsidRPr="00D067C4">
        <w:t xml:space="preserve"> and Figure S6). The main contributor to this versatility in mechanical behavior was the free indole content, which had an effect on the stiffness of the material as evidenced by the decreasing Young’s modulus </w:t>
      </w:r>
      <m:oMath>
        <m:r>
          <w:rPr>
            <w:rFonts w:ascii="Cambria Math" w:hAnsi="Cambria Math"/>
          </w:rPr>
          <m:t>E</m:t>
        </m:r>
      </m:oMath>
      <w:r w:rsidRPr="00D067C4">
        <w:t xml:space="preserve">. When considering the PU samples with a 50 wt% HS content, a clear trend of increasing stress </w:t>
      </w:r>
      <m:oMath>
        <m:r>
          <w:rPr>
            <w:rFonts w:ascii="Cambria Math" w:hAnsi="Cambria Math"/>
          </w:rPr>
          <m:t>σ</m:t>
        </m:r>
      </m:oMath>
      <w:r w:rsidRPr="00D067C4">
        <w:t xml:space="preserve"> and strain </w:t>
      </w:r>
      <m:oMath>
        <m:r>
          <w:rPr>
            <w:rFonts w:ascii="Cambria Math" w:hAnsi="Cambria Math"/>
          </w:rPr>
          <m:t>ε</m:t>
        </m:r>
      </m:oMath>
      <w:r w:rsidRPr="00D067C4">
        <w:t xml:space="preserve"> values upon increasing free indole content could be observed. </w:t>
      </w:r>
    </w:p>
    <w:p w14:paraId="5B97E57F" w14:textId="1279FF29" w:rsidR="00D067C4" w:rsidRPr="00D067C4" w:rsidRDefault="00D067C4" w:rsidP="00D067C4">
      <w:pPr>
        <w:pStyle w:val="TAMainText"/>
      </w:pPr>
      <w:r w:rsidRPr="00D067C4">
        <w:rPr>
          <w:b/>
        </w:rPr>
        <w:t>Rheological characterization of exchange processes</w:t>
      </w:r>
      <w:r>
        <w:rPr>
          <w:b/>
        </w:rPr>
        <w:t xml:space="preserve">. </w:t>
      </w:r>
      <w:r w:rsidRPr="00D067C4">
        <w:t xml:space="preserve">Rheological measurements were performed to gain insight into the behavior of the healable PU samples at elevated temperature. </w:t>
      </w:r>
      <w:r w:rsidR="00981CA4">
        <w:t>Figure 5</w:t>
      </w:r>
      <w:r w:rsidRPr="00D067C4">
        <w:t xml:space="preserve">a shows the results of a frequency sweep at 120 °C using a strain of 10%. </w:t>
      </w:r>
    </w:p>
    <w:p w14:paraId="6D4C23E8" w14:textId="77777777" w:rsidR="00D067C4" w:rsidRPr="00D067C4" w:rsidRDefault="00D067C4" w:rsidP="00D067C4">
      <w:pPr>
        <w:pStyle w:val="TAMainText"/>
      </w:pPr>
    </w:p>
    <w:p w14:paraId="1D0A7544" w14:textId="77777777" w:rsidR="00D067C4" w:rsidRPr="00D067C4" w:rsidRDefault="00D067C4" w:rsidP="00D067C4">
      <w:pPr>
        <w:pStyle w:val="TAMainText"/>
      </w:pPr>
      <w:r w:rsidRPr="00D067C4">
        <w:rPr>
          <w:noProof/>
        </w:rPr>
        <w:drawing>
          <wp:inline distT="0" distB="0" distL="0" distR="0" wp14:anchorId="69796533" wp14:editId="712C3A9A">
            <wp:extent cx="5837425" cy="3600000"/>
            <wp:effectExtent l="0" t="0" r="508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 6 rheolo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37425" cy="3600000"/>
                    </a:xfrm>
                    <a:prstGeom prst="rect">
                      <a:avLst/>
                    </a:prstGeom>
                  </pic:spPr>
                </pic:pic>
              </a:graphicData>
            </a:graphic>
          </wp:inline>
        </w:drawing>
      </w:r>
    </w:p>
    <w:p w14:paraId="35418074" w14:textId="379CA3C6" w:rsidR="00D067C4" w:rsidRPr="00D067C4" w:rsidRDefault="00D067C4" w:rsidP="006A795F">
      <w:pPr>
        <w:pStyle w:val="VAFigureCaption"/>
      </w:pPr>
      <w:bookmarkStart w:id="5" w:name="_Ref502905714"/>
      <w:r w:rsidRPr="00D067C4">
        <w:t xml:space="preserve">Figure </w:t>
      </w:r>
      <w:bookmarkEnd w:id="5"/>
      <w:r w:rsidR="00981CA4">
        <w:t>5</w:t>
      </w:r>
      <w:r w:rsidRPr="00D067C4">
        <w:t>: Results from dynamic rheology experiments. (a) Frequency sweep of PU-50-20, PU-50-35 and PU-50-50 at 120 °C. (b) Stress-relaxation of PU-50-50. (c) Influence of indole content on stress-relaxation at 120 °C. (d) Reference experiment with irreversible sample.</w:t>
      </w:r>
    </w:p>
    <w:p w14:paraId="06F529B7" w14:textId="570EDECE" w:rsidR="00825283" w:rsidRPr="00D067C4" w:rsidRDefault="00825283" w:rsidP="00825283">
      <w:pPr>
        <w:pStyle w:val="TAMainText"/>
      </w:pPr>
      <w:r w:rsidRPr="00D067C4">
        <w:t xml:space="preserve">Within the examined frequency range, the storage modulus </w:t>
      </w:r>
      <m:oMath>
        <m:r>
          <w:rPr>
            <w:rFonts w:ascii="Cambria Math" w:hAnsi="Cambria Math"/>
          </w:rPr>
          <m:t>G'</m:t>
        </m:r>
      </m:oMath>
      <w:r w:rsidRPr="00D067C4">
        <w:t xml:space="preserve"> exceeded the loss modulus </w:t>
      </w:r>
      <m:oMath>
        <m:r>
          <w:rPr>
            <w:rFonts w:ascii="Cambria Math" w:hAnsi="Cambria Math"/>
          </w:rPr>
          <m:t>G"</m:t>
        </m:r>
      </m:oMath>
      <w:r w:rsidRPr="00D067C4">
        <w:t>, indicating that the material did not flow or adopt a liquid state during the healing experiments, even though the reversibility temperature of this specific TAD-indole system (</w:t>
      </w:r>
      <m:oMath>
        <m:sSub>
          <m:sSubPr>
            <m:ctrlPr>
              <w:rPr>
                <w:rFonts w:ascii="Cambria Math" w:hAnsi="Cambria Math"/>
                <w:i/>
              </w:rPr>
            </m:ctrlPr>
          </m:sSubPr>
          <m:e>
            <m:r>
              <w:rPr>
                <w:rFonts w:ascii="Cambria Math" w:hAnsi="Cambria Math"/>
              </w:rPr>
              <m:t>T</m:t>
            </m:r>
          </m:e>
          <m:sub>
            <m:r>
              <w:rPr>
                <w:rFonts w:ascii="Cambria Math" w:hAnsi="Cambria Math"/>
              </w:rPr>
              <m:t>rev</m:t>
            </m:r>
          </m:sub>
        </m:sSub>
      </m:oMath>
      <w:r w:rsidRPr="00D067C4">
        <w:t xml:space="preserve"> = 95 °C)</w:t>
      </w:r>
      <w:r w:rsidRPr="009402A7">
        <w:rPr>
          <w:vertAlign w:val="superscript"/>
        </w:rPr>
        <w:t>2</w:t>
      </w:r>
      <w:r w:rsidR="009F18C7">
        <w:rPr>
          <w:vertAlign w:val="superscript"/>
        </w:rPr>
        <w:t>9</w:t>
      </w:r>
      <w:r w:rsidRPr="00D067C4">
        <w:t xml:space="preserve"> was exceeded. A hypothesis for this phenomenon is the fact that reversible exchange of the adduct shows ultrafast kinetics and is only favored when a suitable TAD binding partner is in close proximity, resulting in exchange with associative characteristics. This means that the reversible crosslinks are able to preserve the structural integrity of the material unless a continuous deformation is applied to deliver new suitable binding partners close to the adduct and allow for exchange. In other words, the crosslink density will remain constant and thus the material could in theory show vitrimer-like properties, such as a temperature dependence of the relaxation time described by the Arrhenius equation.</w:t>
      </w:r>
      <w:r w:rsidRPr="009402A7">
        <w:rPr>
          <w:vertAlign w:val="superscript"/>
        </w:rPr>
        <w:t>3</w:t>
      </w:r>
      <w:r w:rsidR="00677FAB">
        <w:rPr>
          <w:vertAlign w:val="superscript"/>
        </w:rPr>
        <w:t>6</w:t>
      </w:r>
      <w:r w:rsidRPr="009402A7">
        <w:rPr>
          <w:vertAlign w:val="superscript"/>
        </w:rPr>
        <w:t>,3</w:t>
      </w:r>
      <w:r w:rsidR="00677FAB">
        <w:rPr>
          <w:vertAlign w:val="superscript"/>
        </w:rPr>
        <w:t>7</w:t>
      </w:r>
    </w:p>
    <w:p w14:paraId="34EC2F4E" w14:textId="708672FA" w:rsidR="00D067C4" w:rsidRPr="00D067C4" w:rsidRDefault="00D067C4" w:rsidP="00D067C4">
      <w:pPr>
        <w:pStyle w:val="TAMainText"/>
      </w:pPr>
      <w:r w:rsidRPr="00D067C4">
        <w:t xml:space="preserve">To verify this statement, stress-relaxation experiments were performed. The relaxation modulus was determined as a function of time and at different temperatures to demonstrate a faster exchange rate with increasing temperature. </w:t>
      </w:r>
      <w:r w:rsidR="00981CA4">
        <w:t>Figure 5</w:t>
      </w:r>
      <w:r w:rsidRPr="00D067C4">
        <w:t xml:space="preserve">b shows the stress-relaxation of PU-50-50 as an example. When a deformation of 10% strain was applied at 80 °C (below </w:t>
      </w:r>
      <m:oMath>
        <m:sSub>
          <m:sSubPr>
            <m:ctrlPr>
              <w:rPr>
                <w:rFonts w:ascii="Cambria Math" w:hAnsi="Cambria Math"/>
                <w:i/>
              </w:rPr>
            </m:ctrlPr>
          </m:sSubPr>
          <m:e>
            <m:r>
              <w:rPr>
                <w:rFonts w:ascii="Cambria Math" w:hAnsi="Cambria Math"/>
              </w:rPr>
              <m:t>T</m:t>
            </m:r>
          </m:e>
          <m:sub>
            <m:r>
              <w:rPr>
                <w:rFonts w:ascii="Cambria Math" w:hAnsi="Cambria Math"/>
              </w:rPr>
              <m:t>rev</m:t>
            </m:r>
          </m:sub>
        </m:sSub>
      </m:oMath>
      <w:r w:rsidRPr="00D067C4">
        <w:t xml:space="preserve">), the material did not relax, but the modulus evolved towards a plateau. When increasing the temperature (above </w:t>
      </w:r>
      <m:oMath>
        <m:sSub>
          <m:sSubPr>
            <m:ctrlPr>
              <w:rPr>
                <w:rFonts w:ascii="Cambria Math" w:hAnsi="Cambria Math"/>
                <w:i/>
              </w:rPr>
            </m:ctrlPr>
          </m:sSubPr>
          <m:e>
            <m:r>
              <w:rPr>
                <w:rFonts w:ascii="Cambria Math" w:hAnsi="Cambria Math"/>
              </w:rPr>
              <m:t>T</m:t>
            </m:r>
          </m:e>
          <m:sub>
            <m:r>
              <w:rPr>
                <w:rFonts w:ascii="Cambria Math" w:hAnsi="Cambria Math"/>
              </w:rPr>
              <m:t>rev</m:t>
            </m:r>
          </m:sub>
        </m:sSub>
      </m:oMath>
      <w:r w:rsidRPr="00D067C4">
        <w:t xml:space="preserve">), reversible bond exchange allowed relaxation of the applied stress. It should be noted however that an initial fast relaxation at short time scale was observed, which was found in all stress-relaxation experiments and attributed to rearrangement of hydrogen bonds in the PU networks and creep of the long polymer chains. This observation had consequences for the investigation of the vitrimer-like behavior of the TAD-indole exchange, since the presence of multiple relaxation processes did not allow to fit the results with a typical Maxwell model. Thus, determination of a relaxation time </w:t>
      </w:r>
      <m:oMath>
        <m:sSub>
          <m:sSubPr>
            <m:ctrlPr>
              <w:rPr>
                <w:rFonts w:ascii="Cambria Math" w:hAnsi="Cambria Math"/>
                <w:i/>
              </w:rPr>
            </m:ctrlPr>
          </m:sSubPr>
          <m:e>
            <m:r>
              <w:rPr>
                <w:rFonts w:ascii="Cambria Math" w:hAnsi="Cambria Math"/>
              </w:rPr>
              <m:t>τ</m:t>
            </m:r>
          </m:e>
          <m:sub>
            <m:r>
              <w:rPr>
                <w:rFonts w:ascii="Cambria Math" w:hAnsi="Cambria Math"/>
              </w:rPr>
              <m:t>rel</m:t>
            </m:r>
          </m:sub>
        </m:sSub>
      </m:oMath>
      <w:r w:rsidRPr="00D067C4">
        <w:t xml:space="preserve"> at 37% (</w:t>
      </w:r>
      <m:oMath>
        <m:r>
          <w:rPr>
            <w:rFonts w:ascii="Cambria Math" w:hAnsi="Cambria Math"/>
          </w:rPr>
          <m:t>=1/e</m:t>
        </m:r>
      </m:oMath>
      <w:r w:rsidRPr="00D067C4">
        <w:t xml:space="preserve">) of the normalized relaxation modulus was not feasible. However, the relaxation time </w:t>
      </w:r>
      <m:oMath>
        <m:sSub>
          <m:sSubPr>
            <m:ctrlPr>
              <w:rPr>
                <w:rFonts w:ascii="Cambria Math" w:hAnsi="Cambria Math"/>
                <w:i/>
              </w:rPr>
            </m:ctrlPr>
          </m:sSubPr>
          <m:e>
            <m:r>
              <w:rPr>
                <w:rFonts w:ascii="Cambria Math" w:hAnsi="Cambria Math"/>
              </w:rPr>
              <m:t>τ</m:t>
            </m:r>
          </m:e>
          <m:sub>
            <m:r>
              <w:rPr>
                <w:rFonts w:ascii="Cambria Math" w:hAnsi="Cambria Math"/>
              </w:rPr>
              <m:t>rel</m:t>
            </m:r>
          </m:sub>
        </m:sSub>
      </m:oMath>
      <w:r w:rsidRPr="00D067C4">
        <w:t xml:space="preserve"> could be obtained by integration of the rheological data according to equation (4)</w:t>
      </w:r>
      <w:r w:rsidR="009402A7" w:rsidRPr="009402A7">
        <w:rPr>
          <w:vertAlign w:val="superscript"/>
        </w:rPr>
        <w:t>3</w:t>
      </w:r>
      <w:r w:rsidR="003C11D4">
        <w:rPr>
          <w:vertAlign w:val="superscript"/>
        </w:rPr>
        <w:t>8</w:t>
      </w:r>
      <w:r w:rsidRPr="00D067C4">
        <w:t>:</w:t>
      </w:r>
    </w:p>
    <w:p w14:paraId="19DB8CFC" w14:textId="3641200C" w:rsidR="009402A7" w:rsidRDefault="00E72DE5" w:rsidP="009402A7">
      <w:pPr>
        <w:pStyle w:val="TAMainText"/>
        <w:jc w:val="center"/>
      </w:pPr>
      <m:oMath>
        <m:sSub>
          <m:sSubPr>
            <m:ctrlPr>
              <w:rPr>
                <w:rFonts w:ascii="Cambria Math" w:hAnsi="Cambria Math"/>
                <w:i/>
              </w:rPr>
            </m:ctrlPr>
          </m:sSubPr>
          <m:e>
            <m:r>
              <w:rPr>
                <w:rFonts w:ascii="Cambria Math" w:hAnsi="Cambria Math"/>
              </w:rPr>
              <m:t>τ</m:t>
            </m:r>
          </m:e>
          <m:sub>
            <m:r>
              <w:rPr>
                <w:rFonts w:ascii="Cambria Math" w:hAnsi="Cambria Math"/>
              </w:rPr>
              <m:t>rel</m:t>
            </m:r>
          </m:sub>
        </m:sSub>
        <m:r>
          <w:rPr>
            <w:rFonts w:ascii="Cambria Math" w:hAnsi="Cambria Math"/>
          </w:rPr>
          <m:t>=</m:t>
        </m:r>
        <m:f>
          <m:fPr>
            <m:ctrlPr>
              <w:rPr>
                <w:rFonts w:ascii="Cambria Math" w:hAnsi="Cambria Math"/>
                <w:i/>
              </w:rPr>
            </m:ctrlPr>
          </m:fPr>
          <m:num>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tG</m:t>
                </m:r>
                <m:d>
                  <m:dPr>
                    <m:ctrlPr>
                      <w:rPr>
                        <w:rFonts w:ascii="Cambria Math" w:hAnsi="Cambria Math"/>
                        <w:i/>
                      </w:rPr>
                    </m:ctrlPr>
                  </m:dPr>
                  <m:e>
                    <m:r>
                      <w:rPr>
                        <w:rFonts w:ascii="Cambria Math" w:hAnsi="Cambria Math"/>
                      </w:rPr>
                      <m:t>t</m:t>
                    </m:r>
                  </m:e>
                </m:d>
                <m:r>
                  <w:rPr>
                    <w:rFonts w:ascii="Cambria Math" w:hAnsi="Cambria Math"/>
                  </w:rPr>
                  <m:t>dt</m:t>
                </m:r>
              </m:e>
            </m:nary>
          </m:num>
          <m:den>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dt</m:t>
                </m:r>
              </m:e>
            </m:nary>
          </m:den>
        </m:f>
      </m:oMath>
      <w:r w:rsidR="009402A7">
        <w:t xml:space="preserve">   (4)</w:t>
      </w:r>
    </w:p>
    <w:p w14:paraId="7920C92F" w14:textId="252703E0" w:rsidR="00D067C4" w:rsidRPr="00D067C4" w:rsidRDefault="00D067C4" w:rsidP="00D067C4">
      <w:pPr>
        <w:pStyle w:val="TAMainText"/>
      </w:pPr>
      <w:r w:rsidRPr="00D067C4">
        <w:t xml:space="preserve">Extracting </w:t>
      </w:r>
      <m:oMath>
        <m:sSub>
          <m:sSubPr>
            <m:ctrlPr>
              <w:rPr>
                <w:rFonts w:ascii="Cambria Math" w:hAnsi="Cambria Math"/>
                <w:i/>
              </w:rPr>
            </m:ctrlPr>
          </m:sSubPr>
          <m:e>
            <m:r>
              <w:rPr>
                <w:rFonts w:ascii="Cambria Math" w:hAnsi="Cambria Math"/>
              </w:rPr>
              <m:t>τ</m:t>
            </m:r>
          </m:e>
          <m:sub>
            <m:r>
              <w:rPr>
                <w:rFonts w:ascii="Cambria Math" w:hAnsi="Cambria Math"/>
              </w:rPr>
              <m:t>rel</m:t>
            </m:r>
          </m:sub>
        </m:sSub>
      </m:oMath>
      <w:r w:rsidRPr="00D067C4">
        <w:t xml:space="preserve"> for each temperature allowed to create an Arrhenius plot (Figure S7), which showed a linear dependence within the temperature window of 120-150 °C with an activation energy </w:t>
      </w:r>
      <m:oMath>
        <m:sSub>
          <m:sSubPr>
            <m:ctrlPr>
              <w:rPr>
                <w:rFonts w:ascii="Cambria Math" w:hAnsi="Cambria Math"/>
                <w:i/>
              </w:rPr>
            </m:ctrlPr>
          </m:sSubPr>
          <m:e>
            <m:r>
              <w:rPr>
                <w:rFonts w:ascii="Cambria Math" w:hAnsi="Cambria Math"/>
              </w:rPr>
              <m:t>E</m:t>
            </m:r>
          </m:e>
          <m:sub>
            <m:r>
              <w:rPr>
                <w:rFonts w:ascii="Cambria Math" w:hAnsi="Cambria Math"/>
              </w:rPr>
              <m:t>a</m:t>
            </m:r>
          </m:sub>
        </m:sSub>
      </m:oMath>
      <w:r w:rsidRPr="00D067C4">
        <w:t xml:space="preserve"> = 108 kJ/mol, which fits very well to data from kinetic reversibility tests (</w:t>
      </w:r>
      <m:oMath>
        <m:sSub>
          <m:sSubPr>
            <m:ctrlPr>
              <w:rPr>
                <w:rFonts w:ascii="Cambria Math" w:hAnsi="Cambria Math"/>
                <w:i/>
              </w:rPr>
            </m:ctrlPr>
          </m:sSubPr>
          <m:e>
            <m:r>
              <w:rPr>
                <w:rFonts w:ascii="Cambria Math" w:hAnsi="Cambria Math"/>
              </w:rPr>
              <m:t>E</m:t>
            </m:r>
          </m:e>
          <m:sub>
            <m:r>
              <w:rPr>
                <w:rFonts w:ascii="Cambria Math" w:hAnsi="Cambria Math"/>
              </w:rPr>
              <m:t>a</m:t>
            </m:r>
          </m:sub>
        </m:sSub>
      </m:oMath>
      <w:r w:rsidRPr="00D067C4">
        <w:t xml:space="preserve"> = 108.9 ± 4.0 kJ/mol)</w:t>
      </w:r>
      <w:r w:rsidR="009402A7" w:rsidRPr="009402A7">
        <w:rPr>
          <w:vertAlign w:val="superscript"/>
        </w:rPr>
        <w:t>2</w:t>
      </w:r>
      <w:r w:rsidR="009F18C7">
        <w:rPr>
          <w:vertAlign w:val="superscript"/>
        </w:rPr>
        <w:t>9</w:t>
      </w:r>
      <w:r w:rsidRPr="00D067C4">
        <w:t>. Relaxation times at temperatures below 120 °C were not considered, since full relaxation was not achieved within the examined time scale. Furthermore, data above 150 °C were not measured to avoid potential degradation (dimerization) of TAD moieties.</w:t>
      </w:r>
      <w:r w:rsidR="009402A7" w:rsidRPr="009402A7">
        <w:rPr>
          <w:vertAlign w:val="superscript"/>
        </w:rPr>
        <w:t>2</w:t>
      </w:r>
      <w:r w:rsidR="009F18C7">
        <w:rPr>
          <w:vertAlign w:val="superscript"/>
        </w:rPr>
        <w:t>8</w:t>
      </w:r>
      <w:r w:rsidRPr="00D067C4">
        <w:t xml:space="preserve"> Kuang </w:t>
      </w:r>
      <w:r w:rsidRPr="00D067C4">
        <w:rPr>
          <w:i/>
        </w:rPr>
        <w:t>et al</w:t>
      </w:r>
      <w:r w:rsidRPr="00D067C4">
        <w:t>. recently showed a similar vitrimer-like behavior for the dissociative furan-maleimide system in the specific temperature range where a DA/rDA reaction equilibrium is established (70-100 °C).</w:t>
      </w:r>
      <w:r w:rsidR="009402A7" w:rsidRPr="009402A7">
        <w:rPr>
          <w:vertAlign w:val="superscript"/>
        </w:rPr>
        <w:t>3</w:t>
      </w:r>
      <w:r w:rsidR="003C11D4">
        <w:rPr>
          <w:vertAlign w:val="superscript"/>
        </w:rPr>
        <w:t>9</w:t>
      </w:r>
      <w:r w:rsidRPr="00D067C4">
        <w:t xml:space="preserve"> Within this temperature range, the incomplete dissociation of the adducts ensured conservation of the crosslink density and thus a vitrimer-like behavior could be observed. However, complete adduct decomposition is typically already reached above 110 °C.</w:t>
      </w:r>
      <w:r w:rsidR="003C11D4">
        <w:rPr>
          <w:vertAlign w:val="superscript"/>
        </w:rPr>
        <w:t>40</w:t>
      </w:r>
      <w:r w:rsidRPr="00D067C4">
        <w:t xml:space="preserve"> In contrast, even at the temperature limit of 150 °C, the TAD-indole system showed a thermodynamic preference towards the adduct, thereby ensuring structural integrity. To show the fundamental difference between reversible TAD-indole chemistry and furan-maleimide chemistry, a temperature sweep was performed. In this experiment, the moduli were followed in a temperature range of 30 until 140 °C. Whereas materials containing furan-maleimide crosslinks would typically exhibit a liquid state above 110 °C (</w:t>
      </w:r>
      <m:oMath>
        <m:r>
          <w:rPr>
            <w:rFonts w:ascii="Cambria Math" w:hAnsi="Cambria Math"/>
          </w:rPr>
          <m:t>G"</m:t>
        </m:r>
      </m:oMath>
      <w:r w:rsidRPr="00D067C4">
        <w:t xml:space="preserve"> &gt; </w:t>
      </w:r>
      <m:oMath>
        <m:sSup>
          <m:sSupPr>
            <m:ctrlPr>
              <w:rPr>
                <w:rFonts w:ascii="Cambria Math" w:hAnsi="Cambria Math"/>
                <w:i/>
              </w:rPr>
            </m:ctrlPr>
          </m:sSupPr>
          <m:e>
            <m:r>
              <w:rPr>
                <w:rFonts w:ascii="Cambria Math" w:hAnsi="Cambria Math"/>
              </w:rPr>
              <m:t>G</m:t>
            </m:r>
          </m:e>
          <m:sup>
            <m:r>
              <w:rPr>
                <w:rFonts w:ascii="Cambria Math" w:hAnsi="Cambria Math"/>
              </w:rPr>
              <m:t>'</m:t>
            </m:r>
          </m:sup>
        </m:sSup>
      </m:oMath>
      <w:r w:rsidRPr="00D067C4">
        <w:t>)</w:t>
      </w:r>
      <w:r w:rsidR="009402A7" w:rsidRPr="009402A7">
        <w:rPr>
          <w:vertAlign w:val="superscript"/>
        </w:rPr>
        <w:t>1</w:t>
      </w:r>
      <w:r w:rsidR="00D45D31">
        <w:rPr>
          <w:vertAlign w:val="superscript"/>
        </w:rPr>
        <w:t>6</w:t>
      </w:r>
      <w:r w:rsidRPr="00D067C4">
        <w:t xml:space="preserve"> as a result of adduct decomposition, materials crosslinked with TAD-indole chemistry do not show loss of structure (</w:t>
      </w:r>
      <m:oMath>
        <m:r>
          <w:rPr>
            <w:rFonts w:ascii="Cambria Math" w:hAnsi="Cambria Math"/>
          </w:rPr>
          <m:t>G'</m:t>
        </m:r>
      </m:oMath>
      <w:r w:rsidRPr="00D067C4">
        <w:t xml:space="preserve"> &gt; </w:t>
      </w:r>
      <m:oMath>
        <m:r>
          <w:rPr>
            <w:rFonts w:ascii="Cambria Math" w:hAnsi="Cambria Math"/>
          </w:rPr>
          <m:t>G"</m:t>
        </m:r>
      </m:oMath>
      <w:r w:rsidRPr="00D067C4">
        <w:t>) upon heating within the examined time scale (Figure S8).</w:t>
      </w:r>
    </w:p>
    <w:p w14:paraId="2F2A5C4D" w14:textId="4E6F99F4" w:rsidR="00D067C4" w:rsidRPr="00D067C4" w:rsidRDefault="00981CA4" w:rsidP="001C6FEA">
      <w:pPr>
        <w:pStyle w:val="TAMainText"/>
      </w:pPr>
      <w:r>
        <w:t>Figure 5</w:t>
      </w:r>
      <w:r w:rsidR="00D067C4" w:rsidRPr="00D067C4">
        <w:t>c shows how the free indole content affects the kinetics of bond exchange. When increasing the free indole content from 20 mol% to 50 mol%, faster relaxation was observed. All samples were prepared with 15 mol% of crosslinker, which means that they contain the same amount of TAD functional groups in the network. Therefore, the faster exchange should be ascribed to the increasing free i</w:t>
      </w:r>
      <w:r w:rsidR="001C6FEA">
        <w:t>ndole content of the materials.</w:t>
      </w:r>
    </w:p>
    <w:p w14:paraId="045B2B11" w14:textId="5C4C7D08" w:rsidR="00D067C4" w:rsidRPr="00D067C4" w:rsidRDefault="00D067C4" w:rsidP="00981CA4">
      <w:pPr>
        <w:pStyle w:val="TAMainText"/>
      </w:pPr>
      <w:r w:rsidRPr="00D067C4">
        <w:t>Since polyurethanes are known to show a certain degree of stress-relaxation in the presence of a catalyst at elevated temperature by the action of transcarbamoylation</w:t>
      </w:r>
      <w:r w:rsidR="003C11D4">
        <w:rPr>
          <w:vertAlign w:val="superscript"/>
        </w:rPr>
        <w:t>41</w:t>
      </w:r>
      <w:r w:rsidR="009402A7" w:rsidRPr="009402A7">
        <w:rPr>
          <w:vertAlign w:val="superscript"/>
        </w:rPr>
        <w:t>,</w:t>
      </w:r>
      <w:r w:rsidR="003C11D4">
        <w:rPr>
          <w:vertAlign w:val="superscript"/>
        </w:rPr>
        <w:t>42</w:t>
      </w:r>
      <w:r w:rsidRPr="00D067C4">
        <w:t xml:space="preserve">, a reference experiment was essential to prove that the observed stress-relaxation was indeed caused by action of reversible TAD chemistry. Therefore, the stress-relaxation experiment was repeated with the irreversible PU material analogue. </w:t>
      </w:r>
      <w:r w:rsidR="00981CA4">
        <w:t>Figure 5</w:t>
      </w:r>
      <w:r w:rsidRPr="00D067C4">
        <w:t xml:space="preserve">d shows clearly that the irreversible network is not able to relax the applied stress. However, one can observe a slight stress-relaxation in the irreversible network at large time scales and high temperature, which might be attributed to transcarbamoylation. Nevertheless, this measurement demonstrates that the observed exchange at 140 °C is primarily caused by the action of reversible TAD chemistry. By repeating the frequency sweep measurement with the irreversible PU analogue (Figure S9), the absence of reversible exchange could also be proven since </w:t>
      </w:r>
      <m:oMath>
        <m:r>
          <w:rPr>
            <w:rFonts w:ascii="Cambria Math" w:hAnsi="Cambria Math"/>
          </w:rPr>
          <m:t>G'</m:t>
        </m:r>
      </m:oMath>
      <w:r w:rsidRPr="00D067C4">
        <w:t xml:space="preserve"> did not exceed </w:t>
      </w:r>
      <m:oMath>
        <m:r>
          <w:rPr>
            <w:rFonts w:ascii="Cambria Math" w:hAnsi="Cambria Math"/>
          </w:rPr>
          <m:t>G"</m:t>
        </m:r>
      </m:oMath>
      <w:r w:rsidR="001C6FEA">
        <w:t>.</w:t>
      </w:r>
    </w:p>
    <w:p w14:paraId="536DE67D" w14:textId="76907F64" w:rsidR="001C6FEA" w:rsidRDefault="00D067C4" w:rsidP="001C6FEA">
      <w:pPr>
        <w:pStyle w:val="TAMainText"/>
      </w:pPr>
      <w:r w:rsidRPr="00D067C4">
        <w:rPr>
          <w:b/>
        </w:rPr>
        <w:t>Recycling experiment</w:t>
      </w:r>
      <w:r w:rsidR="001C6FEA">
        <w:rPr>
          <w:b/>
        </w:rPr>
        <w:t xml:space="preserve">. </w:t>
      </w:r>
      <w:r w:rsidRPr="00D067C4">
        <w:t>To investigate the effect of several healing cycles on the materials, a recycling experiment was performed, i.e. the material was grinded and remolded in a cyclic way to mimic a very drastic damage/healing cycle. During the first three cycles, healing conditions of 30 min at 120 °C were used, whereas a longer healing time of 2 hours was used in the fourth cycle to verify if a longer healing time is desired. After each cycle, tensile measurements were performed to evaluate the change in mechanical properties and the results are depicted in Figure S10. With the exception of samples PU-65-20 and PU-65-35</w:t>
      </w:r>
      <w:r w:rsidR="004A7E7E">
        <w:t xml:space="preserve"> (Figure S10</w:t>
      </w:r>
      <w:r w:rsidR="00984F7B">
        <w:t>d and S10e)</w:t>
      </w:r>
      <w:r w:rsidRPr="00D067C4">
        <w:t>, a good restoration of mechanical properties was found for all samples after multiple recycling steps.  However, a change in toughness was observed, which was mostly reflected by an increase of the Young’s modulus. This increase might be a consequence of the density rise that develops during the compression molding step, which makes comparison with the original materials inappropriate. Nevertheless, these measurements show that multiple healing cycles could be applied and remolding was possible without severe change of properties. Although the materials showed a slight discoloration, infrared spectroscopy did not show chemical degradation upon recycling (Figure S11). A longer healing time of 2 hours logically resulted in improved results in some cases. However, for most samples, a good restoration of properties could be obtained alrea</w:t>
      </w:r>
      <w:r w:rsidR="001C6FEA">
        <w:t>dy after 30 minutes of healing.</w:t>
      </w:r>
    </w:p>
    <w:p w14:paraId="734CD161" w14:textId="241EC93E" w:rsidR="001C6FEA" w:rsidRPr="001C6FEA" w:rsidRDefault="001C6FEA" w:rsidP="001C6FEA">
      <w:pPr>
        <w:pStyle w:val="TAMainText"/>
        <w:rPr>
          <w:b/>
        </w:rPr>
      </w:pPr>
      <w:r w:rsidRPr="001C6FEA">
        <w:rPr>
          <w:b/>
        </w:rPr>
        <w:t>Conclusion</w:t>
      </w:r>
    </w:p>
    <w:p w14:paraId="65097C95" w14:textId="77777777" w:rsidR="001C6FEA" w:rsidRPr="001C6FEA" w:rsidRDefault="001C6FEA" w:rsidP="001C6FEA">
      <w:pPr>
        <w:pStyle w:val="TAMainText"/>
      </w:pPr>
      <w:r w:rsidRPr="001C6FEA">
        <w:t>Polyurethanes containing a thermoreversible TAD-indole crosslinker were successfully synthesized and optimized in terms of healing efficiency. The composition of the PU and its ability to recover the original shape, proved to be essential for good healing. The networks were able to heal from a deep cut (1 mm deep, 50 µm wide) or puncture damage (1 mm diameter) by thermal treatment at 120 °C for 30 minutes with healing efficiencies up to 100%. With these results, the described polyurethanes expand the current state-of-the-art for intrinsic healing of high-modulus materials. Rheological measurements revealed interesting vitrimer-like behavior of reversible TAD chemistry, leading to fast bond exchange without flow of material. An activation energy of 108 kJ/mol was found for the reversible exchange reaction of TAD-indole, which coincided with previous reported data from kinetic reversibility tests. Reference polyurethane networks allowed to conclude that the outstanding properties were indeed caused by the use of the TAD-indole crosslinker. Finally, the materials were able to withstand multiple recycling steps.</w:t>
      </w:r>
    </w:p>
    <w:p w14:paraId="37FD5432" w14:textId="77777777" w:rsidR="001C6FEA" w:rsidRPr="001C6FEA" w:rsidRDefault="001C6FEA" w:rsidP="001C6FEA">
      <w:pPr>
        <w:pStyle w:val="TAMainText"/>
      </w:pPr>
    </w:p>
    <w:p w14:paraId="3DBE2829" w14:textId="6B12228A" w:rsidR="001C6FEA" w:rsidRPr="00981CA4" w:rsidRDefault="001C6FEA" w:rsidP="00981CA4">
      <w:pPr>
        <w:pStyle w:val="TESupportingInformation"/>
        <w:rPr>
          <w:b/>
        </w:rPr>
      </w:pPr>
      <w:r w:rsidRPr="00981CA4">
        <w:rPr>
          <w:b/>
        </w:rPr>
        <w:t>Author information</w:t>
      </w:r>
    </w:p>
    <w:p w14:paraId="43177A25" w14:textId="77777777" w:rsidR="001C6FEA" w:rsidRPr="00981CA4" w:rsidRDefault="001C6FEA" w:rsidP="00981CA4">
      <w:pPr>
        <w:pStyle w:val="TESupportingInformation"/>
        <w:rPr>
          <w:b/>
        </w:rPr>
      </w:pPr>
      <w:r w:rsidRPr="00981CA4">
        <w:rPr>
          <w:b/>
        </w:rPr>
        <w:t>Corresponding Author</w:t>
      </w:r>
    </w:p>
    <w:p w14:paraId="76B5C1B1" w14:textId="77777777" w:rsidR="001C6FEA" w:rsidRDefault="001C6FEA" w:rsidP="00981CA4">
      <w:pPr>
        <w:pStyle w:val="TESupportingInformation"/>
      </w:pPr>
      <w:r w:rsidRPr="001C6FEA">
        <w:t xml:space="preserve">*E-mail: </w:t>
      </w:r>
      <w:hyperlink r:id="rId14" w:history="1">
        <w:r w:rsidRPr="001C6FEA">
          <w:rPr>
            <w:rStyle w:val="Hyperlink"/>
          </w:rPr>
          <w:t>filip.duprez@ugent.be</w:t>
        </w:r>
      </w:hyperlink>
      <w:r w:rsidRPr="001C6FEA">
        <w:t>.</w:t>
      </w:r>
    </w:p>
    <w:p w14:paraId="0118F63D" w14:textId="35AB248E" w:rsidR="006A795F" w:rsidRPr="00981CA4" w:rsidRDefault="006A795F" w:rsidP="00981CA4">
      <w:pPr>
        <w:pStyle w:val="TESupportingInformation"/>
        <w:rPr>
          <w:b/>
        </w:rPr>
      </w:pPr>
      <w:r w:rsidRPr="00981CA4">
        <w:rPr>
          <w:b/>
        </w:rPr>
        <w:t>Notes</w:t>
      </w:r>
    </w:p>
    <w:p w14:paraId="01A61D61" w14:textId="1F4A757A" w:rsidR="006A795F" w:rsidRDefault="006A795F" w:rsidP="00981CA4">
      <w:pPr>
        <w:pStyle w:val="TESupportingInformation"/>
      </w:pPr>
      <w:r>
        <w:t>The authors declare no competing financial interest.</w:t>
      </w:r>
    </w:p>
    <w:p w14:paraId="1AE65382" w14:textId="77777777" w:rsidR="006A795F" w:rsidRPr="00981CA4" w:rsidRDefault="006A795F" w:rsidP="00981CA4">
      <w:pPr>
        <w:pStyle w:val="TDAcknowledgments"/>
        <w:rPr>
          <w:b/>
        </w:rPr>
      </w:pPr>
      <w:r w:rsidRPr="00981CA4">
        <w:rPr>
          <w:b/>
        </w:rPr>
        <w:t>Acknowledgements</w:t>
      </w:r>
    </w:p>
    <w:p w14:paraId="7A90A103" w14:textId="75583387" w:rsidR="001C6FEA" w:rsidRDefault="006A795F" w:rsidP="00981CA4">
      <w:pPr>
        <w:pStyle w:val="TDAcknowledgments"/>
      </w:pPr>
      <w:r w:rsidRPr="001C6FEA">
        <w:t xml:space="preserve">N. Van Herck thanks the Research Foundation – Flanders (Fonds Wetenschappelijk Onderzoek – Vlaanderen) for a Ph.D. scholarship. </w:t>
      </w:r>
      <w:r w:rsidR="00825283" w:rsidRPr="00825283">
        <w:t>F.D.P acknowledges UGent funding (BOF-GOA).</w:t>
      </w:r>
      <w:r w:rsidR="00825283">
        <w:t xml:space="preserve"> </w:t>
      </w:r>
      <w:r w:rsidRPr="001C6FEA">
        <w:t>B. De Meyer, T. Courtin and J. Alves Anjos are thanked for their technical support. S. Vandewalle is acknowledged for MALDI-TOF experiments.</w:t>
      </w:r>
    </w:p>
    <w:p w14:paraId="10CF6A26" w14:textId="77777777" w:rsidR="0073017F" w:rsidRPr="00981CA4" w:rsidRDefault="0073017F" w:rsidP="0073017F">
      <w:pPr>
        <w:pStyle w:val="TESupportingInformation"/>
        <w:rPr>
          <w:b/>
        </w:rPr>
      </w:pPr>
      <w:r w:rsidRPr="00981CA4">
        <w:rPr>
          <w:b/>
        </w:rPr>
        <w:t>Associated Content</w:t>
      </w:r>
    </w:p>
    <w:p w14:paraId="10502D5B" w14:textId="1D0EEB92" w:rsidR="008A374A" w:rsidRPr="00520475" w:rsidRDefault="0073017F" w:rsidP="008A374A">
      <w:pPr>
        <w:pStyle w:val="TESupportingInformation"/>
      </w:pPr>
      <w:r w:rsidRPr="001C6FEA">
        <w:t xml:space="preserve">Supporting Information available. This material is available free of charge </w:t>
      </w:r>
      <w:r w:rsidR="008A374A">
        <w:t xml:space="preserve">on the ACS Publications </w:t>
      </w:r>
      <w:r w:rsidR="008A374A" w:rsidRPr="00520475">
        <w:t>website:</w:t>
      </w:r>
      <w:r w:rsidRPr="00520475">
        <w:t xml:space="preserve"> </w:t>
      </w:r>
      <w:hyperlink r:id="rId15" w:history="1">
        <w:r w:rsidRPr="00520475">
          <w:rPr>
            <w:rStyle w:val="Hyperlink"/>
          </w:rPr>
          <w:t>http://pubs.acs.org</w:t>
        </w:r>
      </w:hyperlink>
      <w:r w:rsidRPr="00520475">
        <w:t>.</w:t>
      </w:r>
    </w:p>
    <w:p w14:paraId="606FF157" w14:textId="1228E445" w:rsidR="008A374A" w:rsidRPr="003C11D4" w:rsidRDefault="008A374A" w:rsidP="003604A1">
      <w:pPr>
        <w:ind w:firstLine="187"/>
        <w:rPr>
          <w:lang w:val="en-US"/>
        </w:rPr>
      </w:pPr>
      <w:r w:rsidRPr="00520475">
        <w:rPr>
          <w:lang w:val="en-US"/>
        </w:rPr>
        <w:t>Table S1, Figure S1-S11, NMR spectra</w:t>
      </w:r>
      <w:r w:rsidR="005E152D" w:rsidRPr="00520475">
        <w:rPr>
          <w:lang w:val="en-US"/>
        </w:rPr>
        <w:t xml:space="preserve"> (Figure S12-S20)</w:t>
      </w:r>
      <w:r w:rsidRPr="00520475">
        <w:rPr>
          <w:lang w:val="en-US"/>
        </w:rPr>
        <w:t xml:space="preserve"> and SEC traces</w:t>
      </w:r>
      <w:r w:rsidR="005E152D" w:rsidRPr="00520475">
        <w:rPr>
          <w:lang w:val="en-US"/>
        </w:rPr>
        <w:t xml:space="preserve"> (Figure S21)</w:t>
      </w:r>
      <w:r w:rsidRPr="00520475">
        <w:rPr>
          <w:lang w:val="en-US"/>
        </w:rPr>
        <w:t xml:space="preserve"> of synthesized compounds.</w:t>
      </w:r>
    </w:p>
    <w:p w14:paraId="4F1A7C0A" w14:textId="77777777" w:rsidR="003604A1" w:rsidRPr="003C11D4" w:rsidRDefault="003604A1" w:rsidP="003604A1">
      <w:pPr>
        <w:ind w:firstLine="187"/>
        <w:rPr>
          <w:lang w:val="en-US"/>
        </w:rPr>
      </w:pPr>
    </w:p>
    <w:p w14:paraId="523E41D6" w14:textId="1629639D" w:rsidR="001C6FEA" w:rsidRPr="001C6FEA" w:rsidRDefault="001C6FEA" w:rsidP="001C6FEA">
      <w:pPr>
        <w:pStyle w:val="TFReferencesSection"/>
        <w:rPr>
          <w:b/>
        </w:rPr>
      </w:pPr>
      <w:r w:rsidRPr="001C6FEA">
        <w:rPr>
          <w:b/>
        </w:rPr>
        <w:t>References</w:t>
      </w:r>
    </w:p>
    <w:p w14:paraId="3970843C" w14:textId="60A8B2A5" w:rsidR="001C6FEA" w:rsidRPr="001C6FEA" w:rsidRDefault="001C6FEA" w:rsidP="001C6FEA">
      <w:pPr>
        <w:pStyle w:val="TFReferencesSection"/>
      </w:pPr>
      <w:r w:rsidRPr="001C6FEA">
        <w:t xml:space="preserve">(1) </w:t>
      </w:r>
      <w:r w:rsidRPr="001C6FEA">
        <w:tab/>
        <w:t>Wiederhorn, S. M.; Townsend, P. R.</w:t>
      </w:r>
      <w:r w:rsidR="001A3212">
        <w:t xml:space="preserve"> Crack</w:t>
      </w:r>
      <w:r w:rsidR="000A3AEE">
        <w:t xml:space="preserve"> Healing in Glass.</w:t>
      </w:r>
      <w:r w:rsidRPr="001C6FEA">
        <w:t xml:space="preserve"> </w:t>
      </w:r>
      <w:r w:rsidRPr="001C6FEA">
        <w:rPr>
          <w:i/>
          <w:iCs/>
        </w:rPr>
        <w:t>J. Am. Ceram. Soc.</w:t>
      </w:r>
      <w:r w:rsidRPr="001C6FEA">
        <w:t xml:space="preserve"> </w:t>
      </w:r>
      <w:r w:rsidRPr="0085177B">
        <w:rPr>
          <w:b/>
          <w:bCs/>
        </w:rPr>
        <w:t>1970</w:t>
      </w:r>
      <w:r w:rsidRPr="001C6FEA">
        <w:t xml:space="preserve">, </w:t>
      </w:r>
      <w:r w:rsidRPr="001C6FEA">
        <w:rPr>
          <w:i/>
          <w:iCs/>
        </w:rPr>
        <w:t>53</w:t>
      </w:r>
      <w:r w:rsidRPr="001C6FEA">
        <w:t xml:space="preserve"> (9), 486–489.</w:t>
      </w:r>
    </w:p>
    <w:p w14:paraId="2C8DD54E" w14:textId="7166A039" w:rsidR="001C6FEA" w:rsidRPr="001C6FEA" w:rsidRDefault="001C6FEA" w:rsidP="001C6FEA">
      <w:pPr>
        <w:pStyle w:val="TFReferencesSection"/>
      </w:pPr>
      <w:r w:rsidRPr="001C6FEA">
        <w:t xml:space="preserve">(2) </w:t>
      </w:r>
      <w:r w:rsidRPr="001C6FEA">
        <w:tab/>
        <w:t xml:space="preserve">White, S. R.; Sottos, N. R.; Geubelle, P. H.; Moore, J. S.; Kessler, M. R.; Sriram, S. R.; Brown, E. N.; Viswanathan, S. </w:t>
      </w:r>
      <w:r w:rsidR="000A3AEE">
        <w:t xml:space="preserve">Autonomic healing of polymer composites. </w:t>
      </w:r>
      <w:r w:rsidRPr="001C6FEA">
        <w:rPr>
          <w:i/>
          <w:iCs/>
        </w:rPr>
        <w:t>Nature</w:t>
      </w:r>
      <w:r w:rsidRPr="001C6FEA">
        <w:t xml:space="preserve"> </w:t>
      </w:r>
      <w:r w:rsidRPr="0085177B">
        <w:rPr>
          <w:b/>
          <w:bCs/>
        </w:rPr>
        <w:t>2001</w:t>
      </w:r>
      <w:r w:rsidRPr="001C6FEA">
        <w:t xml:space="preserve">, </w:t>
      </w:r>
      <w:r w:rsidRPr="001C6FEA">
        <w:rPr>
          <w:i/>
          <w:iCs/>
        </w:rPr>
        <w:t>409</w:t>
      </w:r>
      <w:r w:rsidRPr="001C6FEA">
        <w:t xml:space="preserve"> (6822), 794–797.</w:t>
      </w:r>
    </w:p>
    <w:p w14:paraId="583CCD34" w14:textId="7A84E930" w:rsidR="001C6FEA" w:rsidRPr="001C6FEA" w:rsidRDefault="001C6FEA" w:rsidP="001C6FEA">
      <w:pPr>
        <w:pStyle w:val="TFReferencesSection"/>
      </w:pPr>
      <w:r w:rsidRPr="001C6FEA">
        <w:t xml:space="preserve">(3) </w:t>
      </w:r>
      <w:r w:rsidRPr="001C6FEA">
        <w:tab/>
        <w:t>Kessler, M.</w:t>
      </w:r>
      <w:r w:rsidR="000A3AEE">
        <w:t xml:space="preserve"> R</w:t>
      </w:r>
      <w:r w:rsidRPr="001C6FEA">
        <w:t xml:space="preserve">.; Sottos, N. </w:t>
      </w:r>
      <w:r w:rsidR="000A3AEE">
        <w:t>R</w:t>
      </w:r>
      <w:r w:rsidRPr="001C6FEA">
        <w:t xml:space="preserve">.; White, S. </w:t>
      </w:r>
      <w:r w:rsidR="000A3AEE">
        <w:t>R</w:t>
      </w:r>
      <w:r w:rsidRPr="001C6FEA">
        <w:t>.</w:t>
      </w:r>
      <w:r w:rsidR="000A3AEE">
        <w:t xml:space="preserve"> </w:t>
      </w:r>
      <w:r w:rsidR="000A3AEE" w:rsidRPr="000A3AEE">
        <w:t>Self-healing structural composite materials</w:t>
      </w:r>
      <w:r w:rsidR="000A3AEE">
        <w:t>.</w:t>
      </w:r>
      <w:r w:rsidRPr="001C6FEA">
        <w:t xml:space="preserve"> </w:t>
      </w:r>
      <w:r w:rsidRPr="00D45D31">
        <w:rPr>
          <w:i/>
          <w:iCs/>
        </w:rPr>
        <w:t xml:space="preserve">Compos. Part A Appl. Sci. </w:t>
      </w:r>
      <w:r w:rsidRPr="001C6FEA">
        <w:rPr>
          <w:i/>
          <w:iCs/>
        </w:rPr>
        <w:t>Manuf.</w:t>
      </w:r>
      <w:r w:rsidRPr="001C6FEA">
        <w:t xml:space="preserve"> </w:t>
      </w:r>
      <w:r w:rsidRPr="0085177B">
        <w:rPr>
          <w:b/>
          <w:bCs/>
        </w:rPr>
        <w:t>2003</w:t>
      </w:r>
      <w:r w:rsidRPr="001C6FEA">
        <w:t xml:space="preserve">, </w:t>
      </w:r>
      <w:r w:rsidRPr="001C6FEA">
        <w:rPr>
          <w:i/>
          <w:iCs/>
        </w:rPr>
        <w:t>34</w:t>
      </w:r>
      <w:r w:rsidRPr="001C6FEA">
        <w:t xml:space="preserve"> (8), 743–753.</w:t>
      </w:r>
    </w:p>
    <w:p w14:paraId="2F9922C0" w14:textId="77777777" w:rsidR="001C6FEA" w:rsidRPr="001C6FEA" w:rsidRDefault="001C6FEA" w:rsidP="001C6FEA">
      <w:pPr>
        <w:pStyle w:val="TFReferencesSection"/>
      </w:pPr>
      <w:r w:rsidRPr="001C6FEA">
        <w:t xml:space="preserve">(4) </w:t>
      </w:r>
      <w:r w:rsidRPr="001C6FEA">
        <w:tab/>
        <w:t xml:space="preserve">van der Zwaag, S. </w:t>
      </w:r>
      <w:r w:rsidRPr="001C6FEA">
        <w:rPr>
          <w:i/>
          <w:iCs/>
        </w:rPr>
        <w:t>Self Healing Materials: an Alternative Approach to 20 Centuries of Materials Science</w:t>
      </w:r>
      <w:r w:rsidRPr="001C6FEA">
        <w:t xml:space="preserve">; Springer, </w:t>
      </w:r>
      <w:r w:rsidRPr="0085177B">
        <w:rPr>
          <w:b/>
        </w:rPr>
        <w:t>2007</w:t>
      </w:r>
      <w:r w:rsidRPr="001C6FEA">
        <w:t>.</w:t>
      </w:r>
    </w:p>
    <w:p w14:paraId="20D6F7F1" w14:textId="6201C2DB" w:rsidR="001C6FEA" w:rsidRPr="008A374A" w:rsidRDefault="001C6FEA" w:rsidP="000A3AEE">
      <w:pPr>
        <w:pStyle w:val="TFReferencesSection"/>
      </w:pPr>
      <w:r w:rsidRPr="0073017F">
        <w:t xml:space="preserve">(5) </w:t>
      </w:r>
      <w:r w:rsidRPr="0073017F">
        <w:tab/>
        <w:t>Blaiszik, B.</w:t>
      </w:r>
      <w:r w:rsidR="000A3AEE" w:rsidRPr="0073017F">
        <w:t xml:space="preserve"> J.</w:t>
      </w:r>
      <w:r w:rsidRPr="0073017F">
        <w:t>; Kramer, S.</w:t>
      </w:r>
      <w:r w:rsidR="000A3AEE" w:rsidRPr="0073017F">
        <w:t xml:space="preserve"> L. B.; </w:t>
      </w:r>
      <w:r w:rsidR="000A3AEE" w:rsidRPr="0085177B">
        <w:t>Olugebefola, S.</w:t>
      </w:r>
      <w:r w:rsidR="000A3AEE">
        <w:t xml:space="preserve"> </w:t>
      </w:r>
      <w:r w:rsidR="000A3AEE" w:rsidRPr="0085177B">
        <w:t>C.</w:t>
      </w:r>
      <w:r w:rsidR="000A3AEE">
        <w:t>; M</w:t>
      </w:r>
      <w:r w:rsidR="000A3AEE" w:rsidRPr="000A3AEE">
        <w:t>oore, J</w:t>
      </w:r>
      <w:r w:rsidR="000A3AEE">
        <w:t>.</w:t>
      </w:r>
      <w:r w:rsidR="000A3AEE" w:rsidRPr="0085177B">
        <w:t xml:space="preserve"> S.</w:t>
      </w:r>
      <w:r w:rsidR="000A3AEE">
        <w:t>; Sottos, N.</w:t>
      </w:r>
      <w:r w:rsidR="000A3AEE" w:rsidRPr="0085177B">
        <w:t xml:space="preserve"> R.</w:t>
      </w:r>
      <w:r w:rsidR="000A3AEE">
        <w:t xml:space="preserve">; </w:t>
      </w:r>
      <w:r w:rsidR="000A3AEE" w:rsidRPr="0085177B">
        <w:t>White, S. R.</w:t>
      </w:r>
      <w:r w:rsidR="000A3AEE">
        <w:t xml:space="preserve"> </w:t>
      </w:r>
      <w:r w:rsidR="000A3AEE" w:rsidRPr="000A3AEE">
        <w:t>Self-Healing Polymers and Composites</w:t>
      </w:r>
      <w:r w:rsidR="000A3AEE">
        <w:t>.</w:t>
      </w:r>
      <w:r w:rsidRPr="0073017F">
        <w:t xml:space="preserve"> </w:t>
      </w:r>
      <w:r w:rsidRPr="008A374A">
        <w:rPr>
          <w:i/>
          <w:iCs/>
        </w:rPr>
        <w:t>Annu. Rev. Mater. Res.</w:t>
      </w:r>
      <w:r w:rsidRPr="008A374A">
        <w:t xml:space="preserve"> </w:t>
      </w:r>
      <w:r w:rsidRPr="008A374A">
        <w:rPr>
          <w:b/>
          <w:bCs/>
        </w:rPr>
        <w:t>2010</w:t>
      </w:r>
      <w:r w:rsidRPr="008A374A">
        <w:t xml:space="preserve">, </w:t>
      </w:r>
      <w:r w:rsidRPr="008A374A">
        <w:rPr>
          <w:i/>
          <w:iCs/>
        </w:rPr>
        <w:t>40</w:t>
      </w:r>
      <w:r w:rsidRPr="008A374A">
        <w:t>, 179–211.</w:t>
      </w:r>
    </w:p>
    <w:p w14:paraId="71F2AA5F" w14:textId="60621381" w:rsidR="001C6FEA" w:rsidRPr="008A374A" w:rsidRDefault="001C6FEA" w:rsidP="001C6FEA">
      <w:pPr>
        <w:pStyle w:val="TFReferencesSection"/>
      </w:pPr>
      <w:r w:rsidRPr="0073017F">
        <w:t xml:space="preserve">(6) </w:t>
      </w:r>
      <w:r w:rsidRPr="0073017F">
        <w:tab/>
        <w:t>Billiet, S.; Hillewaere, X. K.; Teixeira, R. F.; Du Prez, F. E.</w:t>
      </w:r>
      <w:r w:rsidR="000A3AEE" w:rsidRPr="0073017F">
        <w:t xml:space="preserve"> </w:t>
      </w:r>
      <w:r w:rsidR="000A3AEE" w:rsidRPr="000A3AEE">
        <w:t>Chemistry of Crosslinking Processes for Self</w:t>
      </w:r>
      <w:r w:rsidR="000A3AEE" w:rsidRPr="000A3AEE">
        <w:rPr>
          <w:rFonts w:ascii="Cambria Math" w:hAnsi="Cambria Math" w:cs="Cambria Math"/>
        </w:rPr>
        <w:t>‐</w:t>
      </w:r>
      <w:r w:rsidR="000A3AEE" w:rsidRPr="000A3AEE">
        <w:t>Healing Polymers</w:t>
      </w:r>
      <w:r w:rsidR="000A3AEE">
        <w:t>.</w:t>
      </w:r>
      <w:r w:rsidRPr="0073017F">
        <w:t xml:space="preserve"> </w:t>
      </w:r>
      <w:r w:rsidRPr="008A374A">
        <w:rPr>
          <w:i/>
          <w:iCs/>
        </w:rPr>
        <w:t>Macromol. Rapid Commun.</w:t>
      </w:r>
      <w:r w:rsidRPr="008A374A">
        <w:t xml:space="preserve"> </w:t>
      </w:r>
      <w:r w:rsidRPr="008A374A">
        <w:rPr>
          <w:b/>
          <w:bCs/>
        </w:rPr>
        <w:t>2013</w:t>
      </w:r>
      <w:r w:rsidRPr="008A374A">
        <w:t xml:space="preserve">, </w:t>
      </w:r>
      <w:r w:rsidRPr="008A374A">
        <w:rPr>
          <w:i/>
          <w:iCs/>
        </w:rPr>
        <w:t>34</w:t>
      </w:r>
      <w:r w:rsidRPr="008A374A">
        <w:t xml:space="preserve"> (4), 290–309.</w:t>
      </w:r>
    </w:p>
    <w:p w14:paraId="057EE5D7" w14:textId="544CD06A" w:rsidR="001C6FEA" w:rsidRPr="0073017F" w:rsidRDefault="001C6FEA" w:rsidP="001C6FEA">
      <w:pPr>
        <w:pStyle w:val="TFReferencesSection"/>
      </w:pPr>
      <w:r w:rsidRPr="0073017F">
        <w:t xml:space="preserve">(7) </w:t>
      </w:r>
      <w:r w:rsidRPr="0073017F">
        <w:tab/>
        <w:t>Hillewaere, X. K. D.; Du Prez, F. E.</w:t>
      </w:r>
      <w:r w:rsidR="000A3AEE" w:rsidRPr="0073017F">
        <w:t xml:space="preserve"> </w:t>
      </w:r>
      <w:r w:rsidR="000A3AEE" w:rsidRPr="000A3AEE">
        <w:t>Fifteen chemistries for autonomous external self-healing polymers and composites</w:t>
      </w:r>
      <w:r w:rsidR="000A3AEE">
        <w:t>.</w:t>
      </w:r>
      <w:r w:rsidRPr="0073017F">
        <w:t xml:space="preserve"> </w:t>
      </w:r>
      <w:r w:rsidRPr="0073017F">
        <w:rPr>
          <w:i/>
          <w:iCs/>
        </w:rPr>
        <w:t>Prog. Polym. Sci.</w:t>
      </w:r>
      <w:r w:rsidRPr="0073017F">
        <w:t xml:space="preserve"> </w:t>
      </w:r>
      <w:r w:rsidRPr="0073017F">
        <w:rPr>
          <w:b/>
          <w:bCs/>
        </w:rPr>
        <w:t>2015</w:t>
      </w:r>
      <w:r w:rsidRPr="0073017F">
        <w:t xml:space="preserve">, </w:t>
      </w:r>
      <w:r w:rsidRPr="0073017F">
        <w:rPr>
          <w:i/>
          <w:iCs/>
        </w:rPr>
        <w:t>49</w:t>
      </w:r>
      <w:r w:rsidRPr="0073017F">
        <w:t>–</w:t>
      </w:r>
      <w:r w:rsidRPr="0073017F">
        <w:rPr>
          <w:i/>
          <w:iCs/>
        </w:rPr>
        <w:t>50</w:t>
      </w:r>
      <w:r w:rsidRPr="0073017F">
        <w:t>, 121–153.</w:t>
      </w:r>
    </w:p>
    <w:p w14:paraId="70442F29" w14:textId="23243D66" w:rsidR="001C6FEA" w:rsidRPr="001C6FEA" w:rsidRDefault="001C6FEA" w:rsidP="001C6FEA">
      <w:pPr>
        <w:pStyle w:val="TFReferencesSection"/>
      </w:pPr>
      <w:r w:rsidRPr="0085177B">
        <w:t xml:space="preserve">(8) </w:t>
      </w:r>
      <w:r w:rsidRPr="0085177B">
        <w:tab/>
        <w:t>Urdl, K.; Kandelbauer, A.; Kern, W.; Müller, U.; Thebault, M.; Zikulnig-Rusch, E.</w:t>
      </w:r>
      <w:r w:rsidR="000A3AEE" w:rsidRPr="0085177B">
        <w:t xml:space="preserve"> </w:t>
      </w:r>
      <w:r w:rsidR="000A3AEE" w:rsidRPr="000A3AEE">
        <w:t>Self-healing of densely crosslinked thermoset polymers - a critical review</w:t>
      </w:r>
      <w:r w:rsidR="000A3AEE">
        <w:t>.</w:t>
      </w:r>
      <w:r w:rsidRPr="0085177B">
        <w:t xml:space="preserve"> </w:t>
      </w:r>
      <w:r w:rsidRPr="0085177B">
        <w:rPr>
          <w:i/>
          <w:iCs/>
        </w:rPr>
        <w:t xml:space="preserve">Prog. Org. </w:t>
      </w:r>
      <w:r w:rsidRPr="001C6FEA">
        <w:rPr>
          <w:i/>
          <w:iCs/>
        </w:rPr>
        <w:t>Coatings</w:t>
      </w:r>
      <w:r w:rsidRPr="001C6FEA">
        <w:t xml:space="preserve"> </w:t>
      </w:r>
      <w:r w:rsidRPr="0085177B">
        <w:rPr>
          <w:b/>
          <w:bCs/>
        </w:rPr>
        <w:t>2017</w:t>
      </w:r>
      <w:r w:rsidRPr="001C6FEA">
        <w:t xml:space="preserve">, </w:t>
      </w:r>
      <w:r w:rsidRPr="001C6FEA">
        <w:rPr>
          <w:i/>
          <w:iCs/>
        </w:rPr>
        <w:t>104</w:t>
      </w:r>
      <w:r w:rsidRPr="001C6FEA">
        <w:t>, 232–249.</w:t>
      </w:r>
    </w:p>
    <w:p w14:paraId="02D231BB" w14:textId="72BC878B" w:rsidR="001C6FEA" w:rsidRPr="001C6FEA" w:rsidRDefault="001C6FEA" w:rsidP="001C6FEA">
      <w:pPr>
        <w:pStyle w:val="TFReferencesSection"/>
      </w:pPr>
      <w:r w:rsidRPr="00433700">
        <w:rPr>
          <w:lang w:val="nl-BE"/>
        </w:rPr>
        <w:t xml:space="preserve">(9) </w:t>
      </w:r>
      <w:r w:rsidRPr="00433700">
        <w:rPr>
          <w:lang w:val="nl-BE"/>
        </w:rPr>
        <w:tab/>
        <w:t>Taylor, D. L.; in het Panhuis, M.</w:t>
      </w:r>
      <w:r w:rsidR="000A3AEE" w:rsidRPr="00731013">
        <w:rPr>
          <w:lang w:val="nl-BE"/>
        </w:rPr>
        <w:t xml:space="preserve"> Self-Healing Hydrogels.</w:t>
      </w:r>
      <w:r w:rsidRPr="00731013">
        <w:rPr>
          <w:lang w:val="nl-BE"/>
        </w:rPr>
        <w:t xml:space="preserve"> </w:t>
      </w:r>
      <w:r w:rsidRPr="001C6FEA">
        <w:rPr>
          <w:i/>
          <w:iCs/>
        </w:rPr>
        <w:t>Adv. Mater.</w:t>
      </w:r>
      <w:r w:rsidRPr="001C6FEA">
        <w:t xml:space="preserve"> </w:t>
      </w:r>
      <w:r w:rsidRPr="0085177B">
        <w:rPr>
          <w:b/>
          <w:bCs/>
        </w:rPr>
        <w:t>2016</w:t>
      </w:r>
      <w:r w:rsidRPr="001C6FEA">
        <w:t xml:space="preserve">, </w:t>
      </w:r>
      <w:r w:rsidRPr="001C6FEA">
        <w:rPr>
          <w:i/>
          <w:iCs/>
        </w:rPr>
        <w:t>28</w:t>
      </w:r>
      <w:r w:rsidRPr="001C6FEA">
        <w:t xml:space="preserve"> (41), 9060–9093.</w:t>
      </w:r>
    </w:p>
    <w:p w14:paraId="54CA93E5" w14:textId="68789CBE" w:rsidR="001C6FEA" w:rsidRPr="001C6FEA" w:rsidRDefault="001C6FEA" w:rsidP="001C6FEA">
      <w:pPr>
        <w:pStyle w:val="TFReferencesSection"/>
      </w:pPr>
      <w:r w:rsidRPr="001C6FEA">
        <w:t xml:space="preserve">(10) </w:t>
      </w:r>
      <w:r w:rsidRPr="001C6FEA">
        <w:tab/>
        <w:t>Mozhdehi, D.; Ayala, S.; Cromwell, O. R.; Guan, Z.</w:t>
      </w:r>
      <w:r w:rsidR="000A3AEE">
        <w:t xml:space="preserve"> </w:t>
      </w:r>
      <w:r w:rsidR="000A3AEE" w:rsidRPr="000A3AEE">
        <w:t>Self-Healing Multiphase Polymers via Dynamic Metal − Ligand Interactions</w:t>
      </w:r>
      <w:r w:rsidR="000A3AEE">
        <w:t>.</w:t>
      </w:r>
      <w:r w:rsidRPr="001C6FEA">
        <w:t xml:space="preserve"> </w:t>
      </w:r>
      <w:r w:rsidRPr="001C6FEA">
        <w:rPr>
          <w:i/>
          <w:iCs/>
        </w:rPr>
        <w:t>J. Am. Chem. Soc.</w:t>
      </w:r>
      <w:r w:rsidRPr="001C6FEA">
        <w:t xml:space="preserve"> </w:t>
      </w:r>
      <w:r w:rsidRPr="0085177B">
        <w:rPr>
          <w:b/>
          <w:bCs/>
        </w:rPr>
        <w:t>2014</w:t>
      </w:r>
      <w:r w:rsidRPr="001C6FEA">
        <w:t>, No. 136, 16128–16131.</w:t>
      </w:r>
    </w:p>
    <w:p w14:paraId="7A98A489" w14:textId="17584367" w:rsidR="001C6FEA" w:rsidRPr="001C6FEA" w:rsidRDefault="001C6FEA" w:rsidP="001C6FEA">
      <w:pPr>
        <w:pStyle w:val="TFReferencesSection"/>
      </w:pPr>
      <w:r w:rsidRPr="001C6FEA">
        <w:t xml:space="preserve">(11) </w:t>
      </w:r>
      <w:r w:rsidRPr="001C6FEA">
        <w:tab/>
        <w:t xml:space="preserve">White, S. R.; Moore, J. S.; Sottos, N. R.; Krull, B. P.; Santa Cruz, W. </w:t>
      </w:r>
      <w:r w:rsidR="000A3AEE">
        <w:t>A.</w:t>
      </w:r>
      <w:r w:rsidRPr="001C6FEA">
        <w:t xml:space="preserve"> Gergely, R. C. R.</w:t>
      </w:r>
      <w:r w:rsidR="000A3AEE">
        <w:t xml:space="preserve"> </w:t>
      </w:r>
      <w:r w:rsidR="000A3AEE" w:rsidRPr="000A3AEE">
        <w:t>Restoration of Large Damage Volumes in Polymers</w:t>
      </w:r>
      <w:r w:rsidR="000A3AEE">
        <w:t>.</w:t>
      </w:r>
      <w:r w:rsidRPr="001C6FEA">
        <w:t xml:space="preserve"> </w:t>
      </w:r>
      <w:r w:rsidRPr="001C6FEA">
        <w:rPr>
          <w:i/>
          <w:iCs/>
        </w:rPr>
        <w:t>Science</w:t>
      </w:r>
      <w:r w:rsidRPr="001C6FEA">
        <w:t xml:space="preserve"> </w:t>
      </w:r>
      <w:r w:rsidRPr="0085177B">
        <w:rPr>
          <w:b/>
          <w:bCs/>
        </w:rPr>
        <w:t>2014</w:t>
      </w:r>
      <w:r w:rsidRPr="001C6FEA">
        <w:t xml:space="preserve">, </w:t>
      </w:r>
      <w:r w:rsidRPr="001C6FEA">
        <w:rPr>
          <w:i/>
          <w:iCs/>
        </w:rPr>
        <w:t>344</w:t>
      </w:r>
      <w:r w:rsidRPr="001C6FEA">
        <w:t xml:space="preserve"> (6184), 620–623.</w:t>
      </w:r>
    </w:p>
    <w:p w14:paraId="4CED25A3" w14:textId="4F85BEEC" w:rsidR="001C6FEA" w:rsidRPr="00520475" w:rsidRDefault="001C6FEA" w:rsidP="001C6FEA">
      <w:pPr>
        <w:pStyle w:val="TFReferencesSection"/>
      </w:pPr>
      <w:r w:rsidRPr="0073017F">
        <w:t xml:space="preserve">(12) </w:t>
      </w:r>
      <w:r w:rsidRPr="0073017F">
        <w:tab/>
        <w:t>Rodriguez, E. D.; Luo, X.; Mather, P. T.</w:t>
      </w:r>
      <w:r w:rsidR="000A3AEE" w:rsidRPr="0073017F">
        <w:t xml:space="preserve"> </w:t>
      </w:r>
      <w:r w:rsidR="000A3AEE" w:rsidRPr="000A3AEE">
        <w:t>Linear/network poly(ε-caprolactone) blends exhibiting shape memory assisted self-healing (SMASH)</w:t>
      </w:r>
      <w:r w:rsidR="000A3AEE">
        <w:t>.</w:t>
      </w:r>
      <w:r w:rsidRPr="0073017F">
        <w:t xml:space="preserve"> </w:t>
      </w:r>
      <w:r w:rsidRPr="008A374A">
        <w:rPr>
          <w:i/>
          <w:iCs/>
        </w:rPr>
        <w:t>ACS Appl. Mater. Interfaces</w:t>
      </w:r>
      <w:r w:rsidRPr="008A374A">
        <w:t xml:space="preserve"> </w:t>
      </w:r>
      <w:r w:rsidRPr="008A374A">
        <w:rPr>
          <w:b/>
          <w:bCs/>
        </w:rPr>
        <w:t>2011</w:t>
      </w:r>
      <w:r w:rsidRPr="008A374A">
        <w:t xml:space="preserve">, </w:t>
      </w:r>
      <w:r w:rsidRPr="008A374A">
        <w:rPr>
          <w:i/>
          <w:iCs/>
        </w:rPr>
        <w:t>3</w:t>
      </w:r>
      <w:r w:rsidRPr="008A374A">
        <w:t xml:space="preserve"> (2), </w:t>
      </w:r>
      <w:r w:rsidRPr="00520475">
        <w:t>152–161.</w:t>
      </w:r>
    </w:p>
    <w:p w14:paraId="58FA381A" w14:textId="19739CB0" w:rsidR="00731013" w:rsidRPr="00731013" w:rsidRDefault="00731013" w:rsidP="001C6FEA">
      <w:pPr>
        <w:pStyle w:val="TFReferencesSection"/>
      </w:pPr>
      <w:r w:rsidRPr="00520475">
        <w:t>(13) Farhan, M.; Rudolph, T.; Nöchel, U.; Kratz, K.; Lendlein, A. Extractable Free Polymer Chains Enhance Actuation Performance of Crystallizable Poly(</w:t>
      </w:r>
      <w:r w:rsidRPr="00520475">
        <w:rPr>
          <w:lang w:val="nl-BE"/>
        </w:rPr>
        <w:t>ε</w:t>
      </w:r>
      <w:r w:rsidRPr="00520475">
        <w:t xml:space="preserve">-caprolactone) Networks and Enable Self-Healing. </w:t>
      </w:r>
      <w:r w:rsidRPr="00520475">
        <w:rPr>
          <w:i/>
        </w:rPr>
        <w:t>Polymers</w:t>
      </w:r>
      <w:r w:rsidRPr="00520475">
        <w:t xml:space="preserve"> </w:t>
      </w:r>
      <w:r w:rsidRPr="00520475">
        <w:rPr>
          <w:b/>
        </w:rPr>
        <w:t>2018</w:t>
      </w:r>
      <w:r w:rsidRPr="00520475">
        <w:t xml:space="preserve">, </w:t>
      </w:r>
      <w:r w:rsidRPr="00520475">
        <w:rPr>
          <w:i/>
        </w:rPr>
        <w:t>10</w:t>
      </w:r>
      <w:r w:rsidRPr="00520475">
        <w:t xml:space="preserve"> (3), </w:t>
      </w:r>
      <w:r w:rsidR="00386A21" w:rsidRPr="00520475">
        <w:t>255.</w:t>
      </w:r>
    </w:p>
    <w:p w14:paraId="40C9C072" w14:textId="292CDB9C" w:rsidR="001C6FEA" w:rsidRPr="0073017F" w:rsidRDefault="001C6FEA" w:rsidP="001C6FEA">
      <w:pPr>
        <w:pStyle w:val="TFReferencesSection"/>
      </w:pPr>
      <w:r w:rsidRPr="0073017F">
        <w:t>(1</w:t>
      </w:r>
      <w:r w:rsidR="00D45D31">
        <w:t>4</w:t>
      </w:r>
      <w:r w:rsidRPr="0073017F">
        <w:t xml:space="preserve">) </w:t>
      </w:r>
      <w:r w:rsidRPr="0073017F">
        <w:tab/>
        <w:t>Rivero, G.; Nguyen, L. T. T.; Hillewaere, X. K. D.; Du Prez, F. E.</w:t>
      </w:r>
      <w:r w:rsidR="000A3AEE" w:rsidRPr="0073017F">
        <w:t xml:space="preserve"> </w:t>
      </w:r>
      <w:r w:rsidR="000A3AEE" w:rsidRPr="000A3AEE">
        <w:t>One-Pot Thermo-Remendable Shape Memory Polyurethanes</w:t>
      </w:r>
      <w:r w:rsidR="000A3AEE">
        <w:t>.</w:t>
      </w:r>
      <w:r w:rsidRPr="0073017F">
        <w:t xml:space="preserve"> </w:t>
      </w:r>
      <w:r w:rsidRPr="0073017F">
        <w:rPr>
          <w:i/>
          <w:iCs/>
        </w:rPr>
        <w:t>Macromolecules</w:t>
      </w:r>
      <w:r w:rsidRPr="0073017F">
        <w:t xml:space="preserve"> </w:t>
      </w:r>
      <w:r w:rsidRPr="0073017F">
        <w:rPr>
          <w:b/>
          <w:bCs/>
        </w:rPr>
        <w:t>2014</w:t>
      </w:r>
      <w:r w:rsidRPr="0073017F">
        <w:t xml:space="preserve">, </w:t>
      </w:r>
      <w:r w:rsidRPr="0073017F">
        <w:rPr>
          <w:i/>
          <w:iCs/>
        </w:rPr>
        <w:t>47</w:t>
      </w:r>
      <w:r w:rsidRPr="0073017F">
        <w:t xml:space="preserve"> (6), 2010–2018.</w:t>
      </w:r>
    </w:p>
    <w:p w14:paraId="16E8B447" w14:textId="38F1A9AB" w:rsidR="001C6FEA" w:rsidRPr="0073017F" w:rsidRDefault="001C6FEA" w:rsidP="001C6FEA">
      <w:pPr>
        <w:pStyle w:val="TFReferencesSection"/>
      </w:pPr>
      <w:r w:rsidRPr="0073017F">
        <w:t>(1</w:t>
      </w:r>
      <w:r w:rsidR="00D45D31">
        <w:t>5</w:t>
      </w:r>
      <w:r w:rsidRPr="0073017F">
        <w:t xml:space="preserve">) </w:t>
      </w:r>
      <w:r w:rsidRPr="0073017F">
        <w:tab/>
        <w:t>Gandini, A.; Belgacem, M. N.</w:t>
      </w:r>
      <w:r w:rsidR="000A3AEE" w:rsidRPr="0073017F">
        <w:t xml:space="preserve"> </w:t>
      </w:r>
      <w:r w:rsidR="000A3AEE" w:rsidRPr="000A3AEE">
        <w:t>Furans in polymer chemistry</w:t>
      </w:r>
      <w:r w:rsidR="000A3AEE">
        <w:t>.</w:t>
      </w:r>
      <w:r w:rsidRPr="0073017F">
        <w:t xml:space="preserve"> </w:t>
      </w:r>
      <w:r w:rsidRPr="0073017F">
        <w:rPr>
          <w:i/>
          <w:iCs/>
        </w:rPr>
        <w:t xml:space="preserve">Prog. </w:t>
      </w:r>
      <w:r w:rsidRPr="008B6FDD">
        <w:rPr>
          <w:i/>
          <w:iCs/>
        </w:rPr>
        <w:t xml:space="preserve">Polym. </w:t>
      </w:r>
      <w:r w:rsidRPr="0073017F">
        <w:rPr>
          <w:i/>
          <w:iCs/>
        </w:rPr>
        <w:t>Sci.</w:t>
      </w:r>
      <w:r w:rsidRPr="0073017F">
        <w:t xml:space="preserve"> </w:t>
      </w:r>
      <w:r w:rsidRPr="0073017F">
        <w:rPr>
          <w:b/>
          <w:bCs/>
        </w:rPr>
        <w:t>1997</w:t>
      </w:r>
      <w:r w:rsidRPr="0073017F">
        <w:t xml:space="preserve">, </w:t>
      </w:r>
      <w:r w:rsidRPr="0073017F">
        <w:rPr>
          <w:i/>
          <w:iCs/>
        </w:rPr>
        <w:t>22</w:t>
      </w:r>
      <w:r w:rsidRPr="0073017F">
        <w:t xml:space="preserve"> (6), 1203–1379.</w:t>
      </w:r>
    </w:p>
    <w:p w14:paraId="7858B99E" w14:textId="2A06CF3A" w:rsidR="001C6FEA" w:rsidRPr="008A374A" w:rsidRDefault="001C6FEA" w:rsidP="001C6FEA">
      <w:pPr>
        <w:pStyle w:val="TFReferencesSection"/>
      </w:pPr>
      <w:r w:rsidRPr="0085177B">
        <w:t>(1</w:t>
      </w:r>
      <w:r w:rsidR="00D45D31">
        <w:t>6</w:t>
      </w:r>
      <w:r w:rsidRPr="0085177B">
        <w:t xml:space="preserve">) </w:t>
      </w:r>
      <w:r w:rsidRPr="0085177B">
        <w:tab/>
        <w:t>Bose, R. K.; Kötteritzsch, J.; Garcia, S. J.; Hager, M. D.; Schubert, U. S.; Van Der Zwaag, S.</w:t>
      </w:r>
      <w:r w:rsidR="003C368C" w:rsidRPr="0085177B">
        <w:t xml:space="preserve"> </w:t>
      </w:r>
      <w:r w:rsidR="003C368C" w:rsidRPr="003C368C">
        <w:t>A Rheological and Spectroscopic Study on the Kinetics of Self-Healing in a Single-Component Diels-Alder Copolymer and Its Underlying Chemical Reaction</w:t>
      </w:r>
      <w:r w:rsidR="003C368C">
        <w:t>.</w:t>
      </w:r>
      <w:r w:rsidRPr="0085177B">
        <w:t xml:space="preserve"> </w:t>
      </w:r>
      <w:r w:rsidRPr="0085177B">
        <w:rPr>
          <w:i/>
          <w:iCs/>
        </w:rPr>
        <w:t xml:space="preserve">J. Polym. </w:t>
      </w:r>
      <w:r w:rsidRPr="008A374A">
        <w:rPr>
          <w:i/>
          <w:iCs/>
        </w:rPr>
        <w:t>Sci. Part A Polym. Chem.</w:t>
      </w:r>
      <w:r w:rsidRPr="008A374A">
        <w:t xml:space="preserve"> </w:t>
      </w:r>
      <w:r w:rsidRPr="008A374A">
        <w:rPr>
          <w:b/>
          <w:bCs/>
        </w:rPr>
        <w:t>2014</w:t>
      </w:r>
      <w:r w:rsidRPr="008A374A">
        <w:t xml:space="preserve">, </w:t>
      </w:r>
      <w:r w:rsidRPr="008A374A">
        <w:rPr>
          <w:i/>
          <w:iCs/>
        </w:rPr>
        <w:t>52</w:t>
      </w:r>
      <w:r w:rsidRPr="008A374A">
        <w:t xml:space="preserve"> (12), 1669–1675.</w:t>
      </w:r>
    </w:p>
    <w:p w14:paraId="7ED5DA94" w14:textId="6248B032" w:rsidR="001C6FEA" w:rsidRPr="001C6FEA" w:rsidRDefault="001C6FEA" w:rsidP="001C6FEA">
      <w:pPr>
        <w:pStyle w:val="TFReferencesSection"/>
      </w:pPr>
      <w:r w:rsidRPr="0073017F">
        <w:t>(1</w:t>
      </w:r>
      <w:r w:rsidR="00D45D31">
        <w:t>7</w:t>
      </w:r>
      <w:r w:rsidRPr="0073017F">
        <w:t xml:space="preserve">) </w:t>
      </w:r>
      <w:r w:rsidRPr="0073017F">
        <w:tab/>
        <w:t>Nguyen, L.-T. T.; Truong, T.; Nguyen, H.</w:t>
      </w:r>
      <w:r w:rsidR="00C84528" w:rsidRPr="0073017F">
        <w:t xml:space="preserve"> T.</w:t>
      </w:r>
      <w:r w:rsidRPr="0073017F">
        <w:t>; Le, L.; Nguyen, V. Q.; Le, T. V</w:t>
      </w:r>
      <w:r w:rsidR="00C84528" w:rsidRPr="0073017F">
        <w:t>.</w:t>
      </w:r>
      <w:r w:rsidRPr="0073017F">
        <w:t>; Luu, A. T.</w:t>
      </w:r>
      <w:r w:rsidR="00C84528" w:rsidRPr="0073017F">
        <w:t xml:space="preserve"> </w:t>
      </w:r>
      <w:r w:rsidR="00C84528" w:rsidRPr="00C84528">
        <w:t>Healable shape-memory (thio)urethane thermosets</w:t>
      </w:r>
      <w:r w:rsidR="00C84528">
        <w:t>.</w:t>
      </w:r>
      <w:r w:rsidRPr="0073017F">
        <w:t xml:space="preserve"> </w:t>
      </w:r>
      <w:r w:rsidRPr="0073017F">
        <w:rPr>
          <w:i/>
          <w:iCs/>
        </w:rPr>
        <w:t xml:space="preserve">Polym. </w:t>
      </w:r>
      <w:r w:rsidRPr="001C6FEA">
        <w:rPr>
          <w:i/>
          <w:iCs/>
        </w:rPr>
        <w:t>Chem.</w:t>
      </w:r>
      <w:r w:rsidRPr="001C6FEA">
        <w:t xml:space="preserve"> </w:t>
      </w:r>
      <w:r w:rsidRPr="0085177B">
        <w:rPr>
          <w:b/>
          <w:bCs/>
        </w:rPr>
        <w:t>2015</w:t>
      </w:r>
      <w:r w:rsidRPr="001C6FEA">
        <w:t xml:space="preserve">, </w:t>
      </w:r>
      <w:r w:rsidRPr="001C6FEA">
        <w:rPr>
          <w:i/>
          <w:iCs/>
        </w:rPr>
        <w:t>6</w:t>
      </w:r>
      <w:r w:rsidRPr="001C6FEA">
        <w:t>, 3143–3154.</w:t>
      </w:r>
    </w:p>
    <w:p w14:paraId="6D2F6D74" w14:textId="199C5CFC" w:rsidR="001C6FEA" w:rsidRPr="001C6FEA" w:rsidRDefault="001C6FEA" w:rsidP="001C6FEA">
      <w:pPr>
        <w:pStyle w:val="TFReferencesSection"/>
      </w:pPr>
      <w:r w:rsidRPr="001C6FEA">
        <w:t>(1</w:t>
      </w:r>
      <w:r w:rsidR="00D45D31">
        <w:t>8</w:t>
      </w:r>
      <w:r w:rsidRPr="001C6FEA">
        <w:t xml:space="preserve">) </w:t>
      </w:r>
      <w:r w:rsidRPr="001C6FEA">
        <w:tab/>
        <w:t>Lu, X.; Fei, G.; Xia, H.; Zhao, Y.</w:t>
      </w:r>
      <w:r w:rsidR="00C84528">
        <w:t xml:space="preserve"> </w:t>
      </w:r>
      <w:r w:rsidR="00C84528" w:rsidRPr="00C84528">
        <w:t>Ultrasound healable shape memory dynamic polymers</w:t>
      </w:r>
      <w:r w:rsidR="00C84528">
        <w:t>.</w:t>
      </w:r>
      <w:r w:rsidRPr="001C6FEA">
        <w:t xml:space="preserve"> </w:t>
      </w:r>
      <w:r w:rsidRPr="001C6FEA">
        <w:rPr>
          <w:i/>
          <w:iCs/>
        </w:rPr>
        <w:t>J. Mater. Chem. A</w:t>
      </w:r>
      <w:r w:rsidRPr="001C6FEA">
        <w:t xml:space="preserve"> </w:t>
      </w:r>
      <w:r w:rsidRPr="0085177B">
        <w:rPr>
          <w:b/>
          <w:bCs/>
        </w:rPr>
        <w:t>2014</w:t>
      </w:r>
      <w:r w:rsidRPr="001C6FEA">
        <w:t xml:space="preserve">, </w:t>
      </w:r>
      <w:r w:rsidRPr="001C6FEA">
        <w:rPr>
          <w:i/>
          <w:iCs/>
        </w:rPr>
        <w:t>2</w:t>
      </w:r>
      <w:r w:rsidRPr="001C6FEA">
        <w:t xml:space="preserve"> (38), 16051–16060.</w:t>
      </w:r>
    </w:p>
    <w:p w14:paraId="4F86E790" w14:textId="1EA7FBD4" w:rsidR="001C6FEA" w:rsidRPr="001C6FEA" w:rsidRDefault="001C6FEA" w:rsidP="001C6FEA">
      <w:pPr>
        <w:pStyle w:val="TFReferencesSection"/>
      </w:pPr>
      <w:r w:rsidRPr="0085177B">
        <w:t>(1</w:t>
      </w:r>
      <w:r w:rsidR="00D45D31">
        <w:t>9</w:t>
      </w:r>
      <w:r w:rsidRPr="0085177B">
        <w:t xml:space="preserve">) </w:t>
      </w:r>
      <w:r w:rsidRPr="0085177B">
        <w:tab/>
        <w:t>Zhang, J.; Niu, Y.; Huang, C.; Xiao, L.; Chen, Z.; Yang, K.; Wang, Y.</w:t>
      </w:r>
      <w:r w:rsidR="00C84528" w:rsidRPr="0085177B">
        <w:t xml:space="preserve"> </w:t>
      </w:r>
      <w:r w:rsidR="00C84528" w:rsidRPr="00C84528">
        <w:t>Self-healable and recyclable triple-shape PPDO–PTMEG co-network constructed through thermoreversible Diels–Alder reaction</w:t>
      </w:r>
      <w:r w:rsidR="00C84528">
        <w:t>.</w:t>
      </w:r>
      <w:r w:rsidRPr="0085177B">
        <w:t xml:space="preserve"> </w:t>
      </w:r>
      <w:r w:rsidRPr="0085177B">
        <w:rPr>
          <w:i/>
          <w:iCs/>
        </w:rPr>
        <w:t xml:space="preserve">Polym. </w:t>
      </w:r>
      <w:r w:rsidRPr="001C6FEA">
        <w:rPr>
          <w:i/>
          <w:iCs/>
        </w:rPr>
        <w:t>Chem.</w:t>
      </w:r>
      <w:r w:rsidRPr="001C6FEA">
        <w:t xml:space="preserve"> </w:t>
      </w:r>
      <w:r w:rsidRPr="0085177B">
        <w:rPr>
          <w:b/>
          <w:bCs/>
        </w:rPr>
        <w:t>2012</w:t>
      </w:r>
      <w:r w:rsidRPr="001C6FEA">
        <w:t xml:space="preserve">, </w:t>
      </w:r>
      <w:r w:rsidRPr="001C6FEA">
        <w:rPr>
          <w:i/>
          <w:iCs/>
        </w:rPr>
        <w:t>3</w:t>
      </w:r>
      <w:r w:rsidRPr="001C6FEA">
        <w:t xml:space="preserve"> (6), 1390.</w:t>
      </w:r>
    </w:p>
    <w:p w14:paraId="056E52DD" w14:textId="6EC62464" w:rsidR="001C6FEA" w:rsidRPr="00520475" w:rsidRDefault="001C6FEA" w:rsidP="001C6FEA">
      <w:pPr>
        <w:pStyle w:val="TFReferencesSection"/>
      </w:pPr>
      <w:r w:rsidRPr="001C6FEA">
        <w:t>(</w:t>
      </w:r>
      <w:r w:rsidR="00D45D31">
        <w:t>20</w:t>
      </w:r>
      <w:r w:rsidRPr="001C6FEA">
        <w:t xml:space="preserve">) </w:t>
      </w:r>
      <w:r w:rsidRPr="001C6FEA">
        <w:tab/>
        <w:t xml:space="preserve">Heo, Y.; Sodano, H. </w:t>
      </w:r>
      <w:r w:rsidR="009601C7">
        <w:t>A</w:t>
      </w:r>
      <w:r w:rsidRPr="001C6FEA">
        <w:t>.</w:t>
      </w:r>
      <w:r w:rsidR="009601C7">
        <w:t xml:space="preserve"> </w:t>
      </w:r>
      <w:r w:rsidR="009601C7" w:rsidRPr="009601C7">
        <w:t>Self-Healing Polyurethanes with Shape Recovery</w:t>
      </w:r>
      <w:r w:rsidR="009601C7">
        <w:t>.</w:t>
      </w:r>
      <w:r w:rsidRPr="001C6FEA">
        <w:t xml:space="preserve"> </w:t>
      </w:r>
      <w:r w:rsidRPr="001C6FEA">
        <w:rPr>
          <w:i/>
          <w:iCs/>
        </w:rPr>
        <w:t>Adv. Funct. Mater.</w:t>
      </w:r>
      <w:r w:rsidRPr="001C6FEA">
        <w:t xml:space="preserve"> </w:t>
      </w:r>
      <w:r w:rsidRPr="0085177B">
        <w:rPr>
          <w:b/>
          <w:bCs/>
        </w:rPr>
        <w:t>2014</w:t>
      </w:r>
      <w:r w:rsidRPr="001C6FEA">
        <w:t xml:space="preserve">, </w:t>
      </w:r>
      <w:r w:rsidRPr="001C6FEA">
        <w:rPr>
          <w:i/>
          <w:iCs/>
        </w:rPr>
        <w:t>24</w:t>
      </w:r>
      <w:r w:rsidRPr="001C6FEA">
        <w:t xml:space="preserve"> (</w:t>
      </w:r>
      <w:r w:rsidRPr="00520475">
        <w:t>33), 5261–5268.</w:t>
      </w:r>
    </w:p>
    <w:p w14:paraId="69820BEB" w14:textId="78DD20EB" w:rsidR="00386A21" w:rsidRPr="009F18C7" w:rsidRDefault="009F18C7" w:rsidP="009F18C7">
      <w:pPr>
        <w:pStyle w:val="TFReferencesSection"/>
      </w:pPr>
      <w:r w:rsidRPr="00520475">
        <w:t>(21</w:t>
      </w:r>
      <w:r w:rsidR="00386A21" w:rsidRPr="00520475">
        <w:t>)</w:t>
      </w:r>
      <w:r w:rsidRPr="00520475">
        <w:t xml:space="preserve"> Zhang, G.; Zhao, Q.; Yang, L.; Zou, W.; Xi, X.; Xie, T. Exploring Dynamic Equilibrium of Diels−Alder Reaction for Solid State Plasticity in Remoldable Shape Memory Polymer Network. </w:t>
      </w:r>
      <w:r w:rsidRPr="00520475">
        <w:rPr>
          <w:i/>
        </w:rPr>
        <w:t>ACS Macro Lett</w:t>
      </w:r>
      <w:r w:rsidRPr="00520475">
        <w:t xml:space="preserve">. </w:t>
      </w:r>
      <w:r w:rsidRPr="00520475">
        <w:rPr>
          <w:b/>
        </w:rPr>
        <w:t>2016</w:t>
      </w:r>
      <w:r w:rsidRPr="00520475">
        <w:t xml:space="preserve">, </w:t>
      </w:r>
      <w:r w:rsidRPr="00520475">
        <w:rPr>
          <w:i/>
        </w:rPr>
        <w:t>5</w:t>
      </w:r>
      <w:r w:rsidRPr="00520475">
        <w:t xml:space="preserve"> (7), 805-808.</w:t>
      </w:r>
    </w:p>
    <w:p w14:paraId="746D89B3" w14:textId="426F0DD5" w:rsidR="001C6FEA" w:rsidRPr="001C6FEA" w:rsidRDefault="001C6FEA" w:rsidP="001C6FEA">
      <w:pPr>
        <w:pStyle w:val="TFReferencesSection"/>
      </w:pPr>
      <w:r w:rsidRPr="001C6FEA">
        <w:t>(2</w:t>
      </w:r>
      <w:r w:rsidR="009F18C7">
        <w:t>2</w:t>
      </w:r>
      <w:r w:rsidRPr="001C6FEA">
        <w:t xml:space="preserve">) </w:t>
      </w:r>
      <w:r w:rsidRPr="001C6FEA">
        <w:tab/>
        <w:t>Michal, B. T.; Jaye, C. A.; Spencer, E. J.; Rowan, S. J.</w:t>
      </w:r>
      <w:r w:rsidR="009601C7">
        <w:t xml:space="preserve"> </w:t>
      </w:r>
      <w:r w:rsidR="009601C7" w:rsidRPr="009601C7">
        <w:t>Inherently Photohealable and Thermal Shape-Memory Polydisulfide Networks</w:t>
      </w:r>
      <w:r w:rsidR="009601C7">
        <w:t>.</w:t>
      </w:r>
      <w:r w:rsidRPr="001C6FEA">
        <w:t xml:space="preserve"> </w:t>
      </w:r>
      <w:r w:rsidRPr="001C6FEA">
        <w:rPr>
          <w:i/>
          <w:iCs/>
        </w:rPr>
        <w:t>ACS Macro Lett.</w:t>
      </w:r>
      <w:r w:rsidRPr="001C6FEA">
        <w:t xml:space="preserve"> </w:t>
      </w:r>
      <w:r w:rsidRPr="0085177B">
        <w:rPr>
          <w:b/>
          <w:bCs/>
        </w:rPr>
        <w:t>2013</w:t>
      </w:r>
      <w:r w:rsidRPr="001C6FEA">
        <w:t xml:space="preserve">, </w:t>
      </w:r>
      <w:r w:rsidRPr="001C6FEA">
        <w:rPr>
          <w:i/>
          <w:iCs/>
        </w:rPr>
        <w:t>2</w:t>
      </w:r>
      <w:r w:rsidRPr="001C6FEA">
        <w:t xml:space="preserve"> (8), 694–699.</w:t>
      </w:r>
    </w:p>
    <w:p w14:paraId="294898AE" w14:textId="397287CF" w:rsidR="001C6FEA" w:rsidRPr="0085177B" w:rsidRDefault="001C6FEA" w:rsidP="001C6FEA">
      <w:pPr>
        <w:pStyle w:val="TFReferencesSection"/>
      </w:pPr>
      <w:r w:rsidRPr="0085177B">
        <w:t>(2</w:t>
      </w:r>
      <w:r w:rsidR="009F18C7">
        <w:t>3</w:t>
      </w:r>
      <w:r w:rsidRPr="0085177B">
        <w:t xml:space="preserve">) </w:t>
      </w:r>
      <w:r w:rsidRPr="0085177B">
        <w:tab/>
        <w:t>Raidt, T.; Hoeher, R.; Meuris, M.; Katzenberg, F.; Tiller, J. C.</w:t>
      </w:r>
      <w:r w:rsidR="001D5F01" w:rsidRPr="0085177B">
        <w:t xml:space="preserve"> </w:t>
      </w:r>
      <w:r w:rsidR="001D5F01" w:rsidRPr="001D5F01">
        <w:t>Ionically Cross-Linked Shape Memory Polypropylene</w:t>
      </w:r>
      <w:r w:rsidR="001D5F01">
        <w:t>.</w:t>
      </w:r>
      <w:r w:rsidRPr="0085177B">
        <w:t xml:space="preserve"> </w:t>
      </w:r>
      <w:r w:rsidRPr="0085177B">
        <w:rPr>
          <w:i/>
          <w:iCs/>
        </w:rPr>
        <w:t>Macromolecules</w:t>
      </w:r>
      <w:r w:rsidRPr="0085177B">
        <w:t xml:space="preserve"> </w:t>
      </w:r>
      <w:r w:rsidRPr="0085177B">
        <w:rPr>
          <w:b/>
          <w:bCs/>
        </w:rPr>
        <w:t>2016</w:t>
      </w:r>
      <w:r w:rsidRPr="0085177B">
        <w:t xml:space="preserve">, </w:t>
      </w:r>
      <w:r w:rsidRPr="0085177B">
        <w:rPr>
          <w:i/>
          <w:iCs/>
        </w:rPr>
        <w:t>49</w:t>
      </w:r>
      <w:r w:rsidRPr="0085177B">
        <w:t xml:space="preserve"> (18), 6918–6927.</w:t>
      </w:r>
    </w:p>
    <w:p w14:paraId="61162067" w14:textId="79D0EB75" w:rsidR="001C6FEA" w:rsidRPr="001C6FEA" w:rsidRDefault="001C6FEA" w:rsidP="001C6FEA">
      <w:pPr>
        <w:pStyle w:val="TFReferencesSection"/>
      </w:pPr>
      <w:r w:rsidRPr="0085177B">
        <w:t>(2</w:t>
      </w:r>
      <w:r w:rsidR="009F18C7">
        <w:t>4</w:t>
      </w:r>
      <w:r w:rsidRPr="0085177B">
        <w:t xml:space="preserve">) </w:t>
      </w:r>
      <w:r w:rsidRPr="0085177B">
        <w:tab/>
        <w:t>Wang, D.; Guo, J.; Zhang, H.; Cheng, B.; Shen, H.; Zhao, N.; Xu, J.</w:t>
      </w:r>
      <w:r w:rsidR="001D5F01" w:rsidRPr="0085177B">
        <w:t xml:space="preserve"> </w:t>
      </w:r>
      <w:r w:rsidR="001D5F01" w:rsidRPr="001D5F01">
        <w:t>Intelligent Rubber with Tailored Properties for Self-Healing and Shape Memory</w:t>
      </w:r>
      <w:r w:rsidR="001D5F01">
        <w:t>.</w:t>
      </w:r>
      <w:r w:rsidRPr="0085177B">
        <w:t xml:space="preserve"> </w:t>
      </w:r>
      <w:r w:rsidRPr="0085177B">
        <w:rPr>
          <w:i/>
          <w:iCs/>
        </w:rPr>
        <w:t xml:space="preserve">J. Mater. </w:t>
      </w:r>
      <w:r w:rsidRPr="001C6FEA">
        <w:rPr>
          <w:i/>
          <w:iCs/>
        </w:rPr>
        <w:t>Chem. A</w:t>
      </w:r>
      <w:r w:rsidRPr="001C6FEA">
        <w:t xml:space="preserve"> </w:t>
      </w:r>
      <w:r w:rsidRPr="0085177B">
        <w:rPr>
          <w:b/>
          <w:bCs/>
        </w:rPr>
        <w:t>2015</w:t>
      </w:r>
      <w:r w:rsidRPr="001C6FEA">
        <w:t xml:space="preserve">, </w:t>
      </w:r>
      <w:r w:rsidRPr="001C6FEA">
        <w:rPr>
          <w:i/>
          <w:iCs/>
        </w:rPr>
        <w:t>3</w:t>
      </w:r>
      <w:r w:rsidRPr="001C6FEA">
        <w:t xml:space="preserve"> (24), 12864–12872.</w:t>
      </w:r>
    </w:p>
    <w:p w14:paraId="28E5FD6A" w14:textId="5EE5F0D9" w:rsidR="001C6FEA" w:rsidRPr="008B6FDD" w:rsidRDefault="001C6FEA" w:rsidP="001C6FEA">
      <w:pPr>
        <w:pStyle w:val="TFReferencesSection"/>
      </w:pPr>
      <w:r w:rsidRPr="0085177B">
        <w:t>(2</w:t>
      </w:r>
      <w:r w:rsidR="009F18C7">
        <w:t>5</w:t>
      </w:r>
      <w:r w:rsidRPr="0085177B">
        <w:t xml:space="preserve">) </w:t>
      </w:r>
      <w:r w:rsidRPr="0085177B">
        <w:tab/>
        <w:t>Meng, H.; Xiao, P.; Gu, J.; Wen, X.; Xu, J.; Zhao, C.; Zhang, J.; Chen, T.</w:t>
      </w:r>
      <w:r w:rsidR="009D3B23" w:rsidRPr="0085177B">
        <w:t xml:space="preserve"> </w:t>
      </w:r>
      <w:r w:rsidR="009D3B23" w:rsidRPr="009D3B23">
        <w:t>Self-healable macro-/microscopic shape memory hydrogels based on supramolecular interactions</w:t>
      </w:r>
      <w:r w:rsidR="009D3B23">
        <w:t>.</w:t>
      </w:r>
      <w:r w:rsidRPr="0085177B">
        <w:t xml:space="preserve"> </w:t>
      </w:r>
      <w:r w:rsidRPr="0085177B">
        <w:rPr>
          <w:i/>
          <w:iCs/>
        </w:rPr>
        <w:t xml:space="preserve">Chem. </w:t>
      </w:r>
      <w:r w:rsidRPr="001C6FEA">
        <w:rPr>
          <w:i/>
          <w:iCs/>
        </w:rPr>
        <w:t>Commun.</w:t>
      </w:r>
      <w:r w:rsidRPr="001C6FEA">
        <w:t xml:space="preserve"> </w:t>
      </w:r>
      <w:r w:rsidRPr="0085177B">
        <w:rPr>
          <w:b/>
          <w:bCs/>
        </w:rPr>
        <w:t>2014</w:t>
      </w:r>
      <w:r w:rsidRPr="008B6FDD">
        <w:t xml:space="preserve">, </w:t>
      </w:r>
      <w:r w:rsidRPr="008B6FDD">
        <w:rPr>
          <w:i/>
          <w:iCs/>
        </w:rPr>
        <w:t>50</w:t>
      </w:r>
      <w:r w:rsidRPr="008B6FDD">
        <w:t xml:space="preserve"> (82), 12277–12280.</w:t>
      </w:r>
    </w:p>
    <w:p w14:paraId="1A3797DD" w14:textId="36558CB9" w:rsidR="001C6FEA" w:rsidRPr="008B6FDD" w:rsidRDefault="001C6FEA" w:rsidP="001C6FEA">
      <w:pPr>
        <w:pStyle w:val="TFReferencesSection"/>
      </w:pPr>
      <w:r w:rsidRPr="008B6FDD">
        <w:t>(2</w:t>
      </w:r>
      <w:r w:rsidR="009F18C7">
        <w:t>6</w:t>
      </w:r>
      <w:r w:rsidRPr="008B6FDD">
        <w:t xml:space="preserve">) </w:t>
      </w:r>
      <w:r w:rsidRPr="008B6FDD">
        <w:tab/>
        <w:t>Wang, Z.; Fan, W.; Tong, R.; Lu, X.; Xia, H.</w:t>
      </w:r>
      <w:r w:rsidR="00764E32">
        <w:t xml:space="preserve"> </w:t>
      </w:r>
      <w:r w:rsidR="00764E32" w:rsidRPr="00764E32">
        <w:t>Thermal-healable and shape memory metallosupramolecular poly(n-butyl acrylate-co-methyl methacrylate) materials</w:t>
      </w:r>
      <w:r w:rsidR="00764E32">
        <w:t>.</w:t>
      </w:r>
      <w:r w:rsidRPr="008B6FDD">
        <w:t xml:space="preserve"> </w:t>
      </w:r>
      <w:r w:rsidRPr="008B6FDD">
        <w:rPr>
          <w:i/>
          <w:iCs/>
        </w:rPr>
        <w:t>RSC Adv.</w:t>
      </w:r>
      <w:r w:rsidRPr="008B6FDD">
        <w:t xml:space="preserve"> </w:t>
      </w:r>
      <w:r w:rsidRPr="0085177B">
        <w:rPr>
          <w:b/>
          <w:bCs/>
        </w:rPr>
        <w:t>2014</w:t>
      </w:r>
      <w:r w:rsidRPr="008B6FDD">
        <w:t xml:space="preserve">, </w:t>
      </w:r>
      <w:r w:rsidRPr="008B6FDD">
        <w:rPr>
          <w:i/>
          <w:iCs/>
        </w:rPr>
        <w:t>4</w:t>
      </w:r>
      <w:r w:rsidRPr="008B6FDD">
        <w:t xml:space="preserve"> (49), 25486–25493.</w:t>
      </w:r>
    </w:p>
    <w:p w14:paraId="61C9B048" w14:textId="0B047186" w:rsidR="001C6FEA" w:rsidRPr="0085177B" w:rsidRDefault="001C6FEA" w:rsidP="001C6FEA">
      <w:pPr>
        <w:pStyle w:val="TFReferencesSection"/>
      </w:pPr>
      <w:r w:rsidRPr="0085177B">
        <w:t>(2</w:t>
      </w:r>
      <w:r w:rsidR="009F18C7">
        <w:t>7</w:t>
      </w:r>
      <w:r w:rsidRPr="0085177B">
        <w:t xml:space="preserve">) </w:t>
      </w:r>
      <w:r w:rsidRPr="0085177B">
        <w:tab/>
        <w:t>Billiet, S.; De Bruycker, K.; Driessen, F.; Goossens, H.; Van Speybroeck, V.; Winne, J. M.; Du Prez, F. E.</w:t>
      </w:r>
      <w:r w:rsidR="00764E32" w:rsidRPr="0085177B">
        <w:t xml:space="preserve"> </w:t>
      </w:r>
      <w:r w:rsidR="00764E32" w:rsidRPr="00764E32">
        <w:t>Triazolinediones enable ultrafast and reversible click chemistry for the design of dynamic polymer systems</w:t>
      </w:r>
      <w:r w:rsidR="00764E32">
        <w:t>.</w:t>
      </w:r>
      <w:r w:rsidRPr="0085177B">
        <w:t xml:space="preserve"> </w:t>
      </w:r>
      <w:r w:rsidRPr="0085177B">
        <w:rPr>
          <w:i/>
          <w:iCs/>
        </w:rPr>
        <w:t>Nat. Chem.</w:t>
      </w:r>
      <w:r w:rsidRPr="0085177B">
        <w:t xml:space="preserve"> </w:t>
      </w:r>
      <w:r w:rsidRPr="0085177B">
        <w:rPr>
          <w:b/>
          <w:bCs/>
        </w:rPr>
        <w:t>2014</w:t>
      </w:r>
      <w:r w:rsidRPr="0085177B">
        <w:t xml:space="preserve">, </w:t>
      </w:r>
      <w:r w:rsidRPr="0085177B">
        <w:rPr>
          <w:i/>
          <w:iCs/>
        </w:rPr>
        <w:t>6</w:t>
      </w:r>
      <w:r w:rsidRPr="0085177B">
        <w:t>, 815–821.</w:t>
      </w:r>
    </w:p>
    <w:p w14:paraId="117CA070" w14:textId="4483CCC3" w:rsidR="001C6FEA" w:rsidRPr="0073017F" w:rsidRDefault="001C6FEA" w:rsidP="001C6FEA">
      <w:pPr>
        <w:pStyle w:val="TFReferencesSection"/>
      </w:pPr>
      <w:r w:rsidRPr="0085177B">
        <w:t>(2</w:t>
      </w:r>
      <w:r w:rsidR="009F18C7">
        <w:t>8</w:t>
      </w:r>
      <w:r w:rsidRPr="0085177B">
        <w:t xml:space="preserve">) </w:t>
      </w:r>
      <w:r w:rsidRPr="0085177B">
        <w:tab/>
        <w:t>De Bruycker, K.; Billiet, S.; Houck, H. A.; Chattopadhyay, S.; Winne, J. M.; Du Prez, F. E.</w:t>
      </w:r>
      <w:r w:rsidR="00764E32" w:rsidRPr="0085177B">
        <w:t xml:space="preserve"> </w:t>
      </w:r>
      <w:r w:rsidR="00764E32" w:rsidRPr="00764E32">
        <w:t>Triazolinediones as Highly Enabling Synthetic Tools</w:t>
      </w:r>
      <w:r w:rsidR="00764E32">
        <w:t>.</w:t>
      </w:r>
      <w:r w:rsidRPr="0085177B">
        <w:t xml:space="preserve"> </w:t>
      </w:r>
      <w:r w:rsidRPr="0073017F">
        <w:rPr>
          <w:i/>
          <w:iCs/>
        </w:rPr>
        <w:t>Chem. Rev.</w:t>
      </w:r>
      <w:r w:rsidRPr="0073017F">
        <w:t xml:space="preserve"> </w:t>
      </w:r>
      <w:r w:rsidRPr="0073017F">
        <w:rPr>
          <w:b/>
          <w:bCs/>
        </w:rPr>
        <w:t>2016</w:t>
      </w:r>
      <w:r w:rsidRPr="0073017F">
        <w:t xml:space="preserve">, </w:t>
      </w:r>
      <w:r w:rsidRPr="0073017F">
        <w:rPr>
          <w:i/>
          <w:iCs/>
        </w:rPr>
        <w:t>116</w:t>
      </w:r>
      <w:r w:rsidRPr="0073017F">
        <w:t xml:space="preserve"> (6), 3919–3974.</w:t>
      </w:r>
    </w:p>
    <w:p w14:paraId="752399D6" w14:textId="0F533FB1" w:rsidR="001C6FEA" w:rsidRPr="0085177B" w:rsidRDefault="001C6FEA" w:rsidP="001C6FEA">
      <w:pPr>
        <w:pStyle w:val="TFReferencesSection"/>
      </w:pPr>
      <w:r w:rsidRPr="0085177B">
        <w:t>(2</w:t>
      </w:r>
      <w:r w:rsidR="009F18C7">
        <w:t>9</w:t>
      </w:r>
      <w:r w:rsidRPr="0085177B">
        <w:t xml:space="preserve">) </w:t>
      </w:r>
      <w:r w:rsidRPr="0085177B">
        <w:tab/>
        <w:t>Houck, H. A.; De Bruycker, K.; Billiet, S.; Dhanis, B.; Goossens, H.; Catak, S.; Van Speybroeck, V.; Winne, J. M.; Du Prez, F. E.</w:t>
      </w:r>
      <w:r w:rsidR="00764E32" w:rsidRPr="0085177B">
        <w:t xml:space="preserve"> </w:t>
      </w:r>
      <w:r w:rsidR="00764E32" w:rsidRPr="00764E32">
        <w:t>Design of a thermally controlled sequence of triazolinedione-based click and transclick reactions</w:t>
      </w:r>
      <w:r w:rsidR="00764E32">
        <w:t>.</w:t>
      </w:r>
      <w:r w:rsidRPr="0085177B">
        <w:t xml:space="preserve"> </w:t>
      </w:r>
      <w:r w:rsidRPr="0085177B">
        <w:rPr>
          <w:i/>
          <w:iCs/>
        </w:rPr>
        <w:t>Chem. Sci.</w:t>
      </w:r>
      <w:r w:rsidRPr="0085177B">
        <w:t xml:space="preserve"> </w:t>
      </w:r>
      <w:r w:rsidRPr="0085177B">
        <w:rPr>
          <w:b/>
          <w:bCs/>
        </w:rPr>
        <w:t>2017</w:t>
      </w:r>
      <w:r w:rsidRPr="0085177B">
        <w:t xml:space="preserve">, </w:t>
      </w:r>
      <w:r w:rsidRPr="0085177B">
        <w:rPr>
          <w:i/>
          <w:iCs/>
        </w:rPr>
        <w:t>8</w:t>
      </w:r>
      <w:r w:rsidRPr="0085177B">
        <w:t xml:space="preserve"> (4), 3098–3108.</w:t>
      </w:r>
    </w:p>
    <w:p w14:paraId="71D1ACF0" w14:textId="139B7AC4" w:rsidR="001C6FEA" w:rsidRPr="00520475" w:rsidRDefault="001C6FEA" w:rsidP="001C6FEA">
      <w:pPr>
        <w:pStyle w:val="TFReferencesSection"/>
      </w:pPr>
      <w:r w:rsidRPr="0073017F">
        <w:t>(</w:t>
      </w:r>
      <w:r w:rsidR="009F18C7">
        <w:t>30</w:t>
      </w:r>
      <w:r w:rsidRPr="0073017F">
        <w:t xml:space="preserve">) </w:t>
      </w:r>
      <w:r w:rsidRPr="0073017F">
        <w:tab/>
        <w:t>Defize, T.; Riva, R.; Thomassin, J.-M.; Alexandre, M.; Van Herck, N.; Du Prez, F.</w:t>
      </w:r>
      <w:r w:rsidR="00764E32" w:rsidRPr="0073017F">
        <w:t xml:space="preserve"> E.</w:t>
      </w:r>
      <w:r w:rsidRPr="0073017F">
        <w:t>; Jérôme, C.</w:t>
      </w:r>
      <w:r w:rsidR="00764E32" w:rsidRPr="0073017F">
        <w:t xml:space="preserve"> </w:t>
      </w:r>
      <w:r w:rsidR="00764E32" w:rsidRPr="00764E32">
        <w:t xml:space="preserve">Reversible TAD Chemistry as a Convenient Tool for the Design of (Re)processable PCL-Based </w:t>
      </w:r>
      <w:r w:rsidR="00764E32" w:rsidRPr="00520475">
        <w:t>Shape-Memory Materials.</w:t>
      </w:r>
      <w:r w:rsidRPr="00520475">
        <w:t xml:space="preserve"> </w:t>
      </w:r>
      <w:r w:rsidRPr="00520475">
        <w:rPr>
          <w:i/>
          <w:iCs/>
        </w:rPr>
        <w:t>Macromol. Rapid Commun.</w:t>
      </w:r>
      <w:r w:rsidRPr="00520475">
        <w:t xml:space="preserve"> </w:t>
      </w:r>
      <w:r w:rsidRPr="00520475">
        <w:rPr>
          <w:b/>
          <w:bCs/>
        </w:rPr>
        <w:t>2016</w:t>
      </w:r>
      <w:r w:rsidRPr="00520475">
        <w:t>,</w:t>
      </w:r>
      <w:r w:rsidR="00764E32" w:rsidRPr="00520475">
        <w:t xml:space="preserve"> </w:t>
      </w:r>
      <w:r w:rsidR="00764E32" w:rsidRPr="00520475">
        <w:rPr>
          <w:i/>
        </w:rPr>
        <w:t>38</w:t>
      </w:r>
      <w:r w:rsidR="00764E32" w:rsidRPr="00520475">
        <w:t>,</w:t>
      </w:r>
      <w:r w:rsidRPr="00520475">
        <w:t xml:space="preserve"> </w:t>
      </w:r>
      <w:r w:rsidR="00764E32" w:rsidRPr="00520475">
        <w:t>1600517</w:t>
      </w:r>
      <w:r w:rsidRPr="00520475">
        <w:t>.</w:t>
      </w:r>
    </w:p>
    <w:p w14:paraId="6F457617" w14:textId="5713B8DB" w:rsidR="00532403" w:rsidRPr="00520475" w:rsidRDefault="00962D6C" w:rsidP="00532403">
      <w:pPr>
        <w:pStyle w:val="TFReferencesSection"/>
      </w:pPr>
      <w:r w:rsidRPr="00520475">
        <w:t>(31</w:t>
      </w:r>
      <w:r w:rsidR="00532403" w:rsidRPr="00520475">
        <w:t xml:space="preserve">) Roling, O.; De Bruycker, K.; Vonhören, B.; Stricker, L.; Körsgen, M.; Arlinghaus, H. F.; Ravoo, B. J.; Du Prez, F. E. Rewritable Polymer Brush Micropatterns Grafted by Triazolinedione Click Chemistry. </w:t>
      </w:r>
      <w:r w:rsidR="00532403" w:rsidRPr="00520475">
        <w:rPr>
          <w:i/>
        </w:rPr>
        <w:t>Angew. Chem. Int. Ed</w:t>
      </w:r>
      <w:r w:rsidR="00532403" w:rsidRPr="00520475">
        <w:t xml:space="preserve">. </w:t>
      </w:r>
      <w:r w:rsidR="00532403" w:rsidRPr="00520475">
        <w:rPr>
          <w:b/>
        </w:rPr>
        <w:t>2015</w:t>
      </w:r>
      <w:r w:rsidR="00532403" w:rsidRPr="00520475">
        <w:t xml:space="preserve">, </w:t>
      </w:r>
      <w:r w:rsidR="00532403" w:rsidRPr="00520475">
        <w:rPr>
          <w:i/>
        </w:rPr>
        <w:t>54</w:t>
      </w:r>
      <w:r w:rsidR="00532403" w:rsidRPr="00520475">
        <w:t>, 13126-13129.</w:t>
      </w:r>
    </w:p>
    <w:p w14:paraId="4EC178D6" w14:textId="0F3DADBF" w:rsidR="00532403" w:rsidRPr="00520475" w:rsidRDefault="00962D6C" w:rsidP="00962D6C">
      <w:pPr>
        <w:pStyle w:val="TFReferencesSection"/>
      </w:pPr>
      <w:r w:rsidRPr="00520475">
        <w:t>(32</w:t>
      </w:r>
      <w:r w:rsidR="00532403" w:rsidRPr="00520475">
        <w:t>)</w:t>
      </w:r>
      <w:r w:rsidR="00532403" w:rsidRPr="00520475">
        <w:tab/>
        <w:t xml:space="preserve">Yim, S. H.; Huh, J.; Ahn, C. H.; Park, T. G. Development of a Novel Synthetic Method for Aliphatic Ester Dendrimers. </w:t>
      </w:r>
      <w:r w:rsidR="00532403" w:rsidRPr="00520475">
        <w:rPr>
          <w:i/>
        </w:rPr>
        <w:t>Macromolecules</w:t>
      </w:r>
      <w:r w:rsidR="00532403" w:rsidRPr="00520475">
        <w:t xml:space="preserve"> </w:t>
      </w:r>
      <w:r w:rsidR="00532403" w:rsidRPr="00520475">
        <w:rPr>
          <w:b/>
        </w:rPr>
        <w:t>2007</w:t>
      </w:r>
      <w:r w:rsidR="00532403" w:rsidRPr="00520475">
        <w:t xml:space="preserve">, </w:t>
      </w:r>
      <w:r w:rsidR="00532403" w:rsidRPr="00520475">
        <w:rPr>
          <w:i/>
        </w:rPr>
        <w:t>40</w:t>
      </w:r>
      <w:r w:rsidR="00532403" w:rsidRPr="00520475">
        <w:t xml:space="preserve"> (2), 205–210.</w:t>
      </w:r>
    </w:p>
    <w:p w14:paraId="3B241C57" w14:textId="4D3E762D" w:rsidR="00962D6C" w:rsidRPr="00520475" w:rsidRDefault="00962D6C" w:rsidP="00962D6C">
      <w:pPr>
        <w:pStyle w:val="TFReferencesSection"/>
      </w:pPr>
      <w:r w:rsidRPr="00520475">
        <w:t xml:space="preserve">(33) Houck, H. A.; De Bruycker, K.; Barner-Kowollik, C.; Winne, J. M.; Du Prez, F. E. Tunable Blocking Agents for Temperature-Controlled Triazolinedione-Based Cross-Linking Reactions. </w:t>
      </w:r>
      <w:r w:rsidRPr="00520475">
        <w:rPr>
          <w:i/>
        </w:rPr>
        <w:t>Macromolecules</w:t>
      </w:r>
      <w:r w:rsidRPr="00520475">
        <w:t xml:space="preserve"> </w:t>
      </w:r>
      <w:r w:rsidRPr="00520475">
        <w:rPr>
          <w:b/>
        </w:rPr>
        <w:t>2018</w:t>
      </w:r>
      <w:r w:rsidRPr="00520475">
        <w:t>, DOI: 10.1021/acs.macromol.7b02526.</w:t>
      </w:r>
    </w:p>
    <w:p w14:paraId="414AE84F" w14:textId="7D658D7E" w:rsidR="001C6FEA" w:rsidRPr="008A374A" w:rsidRDefault="001C6FEA" w:rsidP="001C6FEA">
      <w:pPr>
        <w:pStyle w:val="TFReferencesSection"/>
      </w:pPr>
      <w:r w:rsidRPr="00520475">
        <w:t>(</w:t>
      </w:r>
      <w:r w:rsidR="009F18C7" w:rsidRPr="00520475">
        <w:t>3</w:t>
      </w:r>
      <w:r w:rsidR="00677FAB" w:rsidRPr="00520475">
        <w:t>4</w:t>
      </w:r>
      <w:r w:rsidRPr="00520475">
        <w:t xml:space="preserve">) </w:t>
      </w:r>
      <w:r w:rsidRPr="00520475">
        <w:tab/>
        <w:t>Jones, B.; Nachtsheim, C. J.</w:t>
      </w:r>
      <w:r w:rsidR="00764E32" w:rsidRPr="00520475">
        <w:t xml:space="preserve"> A Class</w:t>
      </w:r>
      <w:r w:rsidR="00764E32" w:rsidRPr="00764E32">
        <w:t xml:space="preserve"> of Three-Level Designs for Definitive Screening in the Presence of Second-Order Effects</w:t>
      </w:r>
      <w:r w:rsidR="00764E32">
        <w:t>.</w:t>
      </w:r>
      <w:r w:rsidRPr="0085177B">
        <w:t xml:space="preserve"> </w:t>
      </w:r>
      <w:r w:rsidRPr="0085177B">
        <w:rPr>
          <w:i/>
          <w:iCs/>
        </w:rPr>
        <w:t xml:space="preserve">J. Qual. </w:t>
      </w:r>
      <w:r w:rsidRPr="008A374A">
        <w:rPr>
          <w:i/>
          <w:iCs/>
        </w:rPr>
        <w:t>Technol.</w:t>
      </w:r>
      <w:r w:rsidRPr="008A374A">
        <w:t xml:space="preserve"> </w:t>
      </w:r>
      <w:r w:rsidRPr="008A374A">
        <w:rPr>
          <w:b/>
          <w:bCs/>
        </w:rPr>
        <w:t>2011</w:t>
      </w:r>
      <w:r w:rsidRPr="008A374A">
        <w:t xml:space="preserve">, </w:t>
      </w:r>
      <w:r w:rsidRPr="008A374A">
        <w:rPr>
          <w:i/>
          <w:iCs/>
        </w:rPr>
        <w:t>43</w:t>
      </w:r>
      <w:r w:rsidRPr="008A374A">
        <w:t xml:space="preserve"> (1), 1–15.</w:t>
      </w:r>
    </w:p>
    <w:p w14:paraId="71BEFFE1" w14:textId="3BF22910" w:rsidR="001C6FEA" w:rsidRPr="008A374A" w:rsidRDefault="001C6FEA" w:rsidP="001C6FEA">
      <w:pPr>
        <w:pStyle w:val="TFReferencesSection"/>
      </w:pPr>
      <w:r w:rsidRPr="0073017F">
        <w:t>(3</w:t>
      </w:r>
      <w:r w:rsidR="00677FAB">
        <w:t>5</w:t>
      </w:r>
      <w:r w:rsidRPr="0073017F">
        <w:t xml:space="preserve">) </w:t>
      </w:r>
      <w:r w:rsidRPr="0073017F">
        <w:tab/>
        <w:t>Crescenzi, V.; Manzini, G.; Calzolari, G.; Borri, C.</w:t>
      </w:r>
      <w:r w:rsidR="00D60557" w:rsidRPr="0073017F">
        <w:t xml:space="preserve"> </w:t>
      </w:r>
      <w:r w:rsidR="00D60557" w:rsidRPr="00D60557">
        <w:t>Thermodynamics of fusion of poly-β-propiolactone and poly-ε-caprolactone. comparative analysis of the melting of aliphatic polylactone and polyester chains</w:t>
      </w:r>
      <w:r w:rsidR="00D60557">
        <w:t>.</w:t>
      </w:r>
      <w:r w:rsidRPr="0073017F">
        <w:t xml:space="preserve"> </w:t>
      </w:r>
      <w:r w:rsidRPr="008A374A">
        <w:rPr>
          <w:i/>
          <w:iCs/>
        </w:rPr>
        <w:t>Eur. Polym. J.</w:t>
      </w:r>
      <w:r w:rsidRPr="008A374A">
        <w:t xml:space="preserve"> </w:t>
      </w:r>
      <w:r w:rsidRPr="008A374A">
        <w:rPr>
          <w:b/>
          <w:bCs/>
        </w:rPr>
        <w:t>1972</w:t>
      </w:r>
      <w:r w:rsidRPr="008A374A">
        <w:t xml:space="preserve">, </w:t>
      </w:r>
      <w:r w:rsidRPr="008A374A">
        <w:rPr>
          <w:i/>
          <w:iCs/>
        </w:rPr>
        <w:t>8</w:t>
      </w:r>
      <w:r w:rsidRPr="008A374A">
        <w:t>, 449–463.</w:t>
      </w:r>
    </w:p>
    <w:p w14:paraId="476B4B21" w14:textId="541E2241" w:rsidR="001C6FEA" w:rsidRPr="008A374A" w:rsidRDefault="001C6FEA" w:rsidP="001C6FEA">
      <w:pPr>
        <w:pStyle w:val="TFReferencesSection"/>
      </w:pPr>
      <w:r w:rsidRPr="0073017F">
        <w:t>(3</w:t>
      </w:r>
      <w:r w:rsidR="00677FAB">
        <w:t>6</w:t>
      </w:r>
      <w:r w:rsidRPr="0073017F">
        <w:t xml:space="preserve">) </w:t>
      </w:r>
      <w:r w:rsidRPr="0073017F">
        <w:tab/>
        <w:t>Denissen, W.; Winne, J. M.; Du Prez, F. E.</w:t>
      </w:r>
      <w:r w:rsidR="00D60557" w:rsidRPr="0073017F">
        <w:t xml:space="preserve"> </w:t>
      </w:r>
      <w:r w:rsidR="00D60557" w:rsidRPr="00D60557">
        <w:t>Vitrimers: permanent organic networks with glass-like fluidity</w:t>
      </w:r>
      <w:r w:rsidR="00D60557">
        <w:t>.</w:t>
      </w:r>
      <w:r w:rsidRPr="0073017F">
        <w:t xml:space="preserve"> </w:t>
      </w:r>
      <w:r w:rsidRPr="008A374A">
        <w:rPr>
          <w:i/>
          <w:iCs/>
        </w:rPr>
        <w:t>Chem. Sci.</w:t>
      </w:r>
      <w:r w:rsidRPr="008A374A">
        <w:t xml:space="preserve"> </w:t>
      </w:r>
      <w:r w:rsidRPr="008A374A">
        <w:rPr>
          <w:b/>
          <w:bCs/>
        </w:rPr>
        <w:t>2016</w:t>
      </w:r>
      <w:r w:rsidRPr="008A374A">
        <w:t xml:space="preserve">, </w:t>
      </w:r>
      <w:r w:rsidRPr="008A374A">
        <w:rPr>
          <w:i/>
          <w:iCs/>
        </w:rPr>
        <w:t>7</w:t>
      </w:r>
      <w:r w:rsidRPr="008A374A">
        <w:t xml:space="preserve"> (1), 30–38.</w:t>
      </w:r>
    </w:p>
    <w:p w14:paraId="7A2E1C82" w14:textId="2314F07B" w:rsidR="001C6FEA" w:rsidRPr="0073017F" w:rsidRDefault="001C6FEA" w:rsidP="001C6FEA">
      <w:pPr>
        <w:pStyle w:val="TFReferencesSection"/>
      </w:pPr>
      <w:r w:rsidRPr="0073017F">
        <w:t>(3</w:t>
      </w:r>
      <w:r w:rsidR="00677FAB">
        <w:t>7</w:t>
      </w:r>
      <w:r w:rsidRPr="0073017F">
        <w:t xml:space="preserve">) </w:t>
      </w:r>
      <w:r w:rsidRPr="0073017F">
        <w:tab/>
        <w:t>Obadia, M. M.; Jourdain, A.; Cassagnau, P.; Montarnal, D.; Drockenmuller, E.</w:t>
      </w:r>
      <w:r w:rsidR="00D60557" w:rsidRPr="0073017F">
        <w:t xml:space="preserve"> </w:t>
      </w:r>
      <w:r w:rsidR="00D60557" w:rsidRPr="00D60557">
        <w:t>Tuning the Viscosity Profile of Ionic Vitrimers Incorporating 1,2,3-Triazolium Cross-Links</w:t>
      </w:r>
      <w:r w:rsidR="00D60557">
        <w:t>.</w:t>
      </w:r>
      <w:r w:rsidRPr="0073017F">
        <w:t xml:space="preserve"> </w:t>
      </w:r>
      <w:r w:rsidRPr="0073017F">
        <w:rPr>
          <w:i/>
          <w:iCs/>
        </w:rPr>
        <w:t xml:space="preserve">Adv. </w:t>
      </w:r>
      <w:r w:rsidRPr="0085177B">
        <w:rPr>
          <w:i/>
          <w:iCs/>
        </w:rPr>
        <w:t xml:space="preserve">Funct. </w:t>
      </w:r>
      <w:r w:rsidRPr="0073017F">
        <w:rPr>
          <w:i/>
          <w:iCs/>
        </w:rPr>
        <w:t>Mater.</w:t>
      </w:r>
      <w:r w:rsidRPr="0073017F">
        <w:t xml:space="preserve"> </w:t>
      </w:r>
      <w:r w:rsidRPr="0073017F">
        <w:rPr>
          <w:b/>
          <w:bCs/>
        </w:rPr>
        <w:t>2017</w:t>
      </w:r>
      <w:r w:rsidRPr="0073017F">
        <w:t xml:space="preserve">, </w:t>
      </w:r>
      <w:r w:rsidRPr="0073017F">
        <w:rPr>
          <w:i/>
          <w:iCs/>
        </w:rPr>
        <w:t>27</w:t>
      </w:r>
      <w:r w:rsidRPr="0073017F">
        <w:t>, 1703258.</w:t>
      </w:r>
    </w:p>
    <w:p w14:paraId="56089A2A" w14:textId="755A627E" w:rsidR="001C6FEA" w:rsidRPr="0085177B" w:rsidRDefault="001C6FEA" w:rsidP="001C6FEA">
      <w:pPr>
        <w:pStyle w:val="TFReferencesSection"/>
      </w:pPr>
      <w:r w:rsidRPr="0085177B">
        <w:t>(3</w:t>
      </w:r>
      <w:r w:rsidR="003C11D4">
        <w:t>8</w:t>
      </w:r>
      <w:r w:rsidRPr="0085177B">
        <w:t xml:space="preserve">) </w:t>
      </w:r>
      <w:r w:rsidRPr="0085177B">
        <w:tab/>
        <w:t>Röttger, M.; Domenech, T.; van der Weegen, R.; Breuillac, A.; Nicolaÿ, R.; Leibler, L.</w:t>
      </w:r>
      <w:r w:rsidR="00D60557" w:rsidRPr="0085177B">
        <w:t xml:space="preserve"> </w:t>
      </w:r>
      <w:r w:rsidR="00D60557" w:rsidRPr="00D60557">
        <w:t>High-performance vitrimers from commodity thermoplastics through dioxaborolane metathesis</w:t>
      </w:r>
      <w:r w:rsidR="00D60557">
        <w:t>.</w:t>
      </w:r>
      <w:r w:rsidRPr="0085177B">
        <w:t xml:space="preserve"> </w:t>
      </w:r>
      <w:r w:rsidRPr="0085177B">
        <w:rPr>
          <w:i/>
          <w:iCs/>
        </w:rPr>
        <w:t>Science</w:t>
      </w:r>
      <w:r w:rsidRPr="0085177B">
        <w:t xml:space="preserve"> </w:t>
      </w:r>
      <w:r w:rsidRPr="0085177B">
        <w:rPr>
          <w:b/>
          <w:bCs/>
        </w:rPr>
        <w:t>2017</w:t>
      </w:r>
      <w:r w:rsidRPr="0085177B">
        <w:t xml:space="preserve">, </w:t>
      </w:r>
      <w:r w:rsidRPr="0085177B">
        <w:rPr>
          <w:i/>
          <w:iCs/>
        </w:rPr>
        <w:t>356</w:t>
      </w:r>
      <w:r w:rsidRPr="0085177B">
        <w:t xml:space="preserve"> (6333), 62–65.</w:t>
      </w:r>
    </w:p>
    <w:p w14:paraId="230F2FAD" w14:textId="27816460" w:rsidR="001C6FEA" w:rsidRPr="008A374A" w:rsidRDefault="001C6FEA" w:rsidP="001C6FEA">
      <w:pPr>
        <w:pStyle w:val="TFReferencesSection"/>
      </w:pPr>
      <w:r w:rsidRPr="0085177B">
        <w:t>(3</w:t>
      </w:r>
      <w:r w:rsidR="003C11D4">
        <w:t>9</w:t>
      </w:r>
      <w:r w:rsidRPr="0085177B">
        <w:t xml:space="preserve">) </w:t>
      </w:r>
      <w:r w:rsidRPr="0085177B">
        <w:tab/>
        <w:t>Kuang, X.; Liu, G.; Dong, X.; Wang, D.</w:t>
      </w:r>
      <w:r w:rsidR="00D60557" w:rsidRPr="0085177B">
        <w:t xml:space="preserve"> </w:t>
      </w:r>
      <w:r w:rsidR="00D60557" w:rsidRPr="00D60557">
        <w:t>Correlation between stress relaxation dynamics and thermochemistry for covalent adaptive networks polymers</w:t>
      </w:r>
      <w:r w:rsidR="00D60557">
        <w:t>.</w:t>
      </w:r>
      <w:r w:rsidRPr="0085177B">
        <w:t xml:space="preserve"> </w:t>
      </w:r>
      <w:r w:rsidRPr="0085177B">
        <w:rPr>
          <w:i/>
          <w:iCs/>
        </w:rPr>
        <w:t xml:space="preserve">Mater. </w:t>
      </w:r>
      <w:r w:rsidRPr="008A374A">
        <w:rPr>
          <w:i/>
          <w:iCs/>
        </w:rPr>
        <w:t>Chem. Front.</w:t>
      </w:r>
      <w:r w:rsidRPr="008A374A">
        <w:t xml:space="preserve"> </w:t>
      </w:r>
      <w:r w:rsidRPr="008A374A">
        <w:rPr>
          <w:b/>
          <w:bCs/>
        </w:rPr>
        <w:t>2017</w:t>
      </w:r>
      <w:r w:rsidRPr="008A374A">
        <w:t xml:space="preserve">, </w:t>
      </w:r>
      <w:r w:rsidRPr="008A374A">
        <w:rPr>
          <w:i/>
          <w:iCs/>
        </w:rPr>
        <w:t>1</w:t>
      </w:r>
      <w:r w:rsidRPr="008A374A">
        <w:t>, 111–118.</w:t>
      </w:r>
    </w:p>
    <w:p w14:paraId="18A4C156" w14:textId="23E82A9B" w:rsidR="001C6FEA" w:rsidRPr="0073017F" w:rsidRDefault="001C6FEA" w:rsidP="001C6FEA">
      <w:pPr>
        <w:pStyle w:val="TFReferencesSection"/>
      </w:pPr>
      <w:r w:rsidRPr="0073017F">
        <w:t>(</w:t>
      </w:r>
      <w:r w:rsidR="003C11D4">
        <w:t>40</w:t>
      </w:r>
      <w:r w:rsidRPr="0073017F">
        <w:t xml:space="preserve">) </w:t>
      </w:r>
      <w:r w:rsidRPr="0073017F">
        <w:tab/>
        <w:t>Gandini, A.</w:t>
      </w:r>
      <w:r w:rsidR="00D60557" w:rsidRPr="0073017F">
        <w:t xml:space="preserve"> </w:t>
      </w:r>
      <w:r w:rsidR="00D60557" w:rsidRPr="00D60557">
        <w:t>The furan/maleimide Diels–Alder reaction: A versatile click–unclick tool in macromolecular synthesis</w:t>
      </w:r>
      <w:r w:rsidR="00D60557">
        <w:t>.</w:t>
      </w:r>
      <w:r w:rsidRPr="0073017F">
        <w:t xml:space="preserve"> </w:t>
      </w:r>
      <w:r w:rsidRPr="0073017F">
        <w:rPr>
          <w:i/>
          <w:iCs/>
        </w:rPr>
        <w:t>Prog. Polym. Sci.</w:t>
      </w:r>
      <w:r w:rsidRPr="0073017F">
        <w:t xml:space="preserve"> </w:t>
      </w:r>
      <w:r w:rsidRPr="0073017F">
        <w:rPr>
          <w:b/>
          <w:bCs/>
        </w:rPr>
        <w:t>2013</w:t>
      </w:r>
      <w:r w:rsidRPr="0073017F">
        <w:t xml:space="preserve">, </w:t>
      </w:r>
      <w:r w:rsidRPr="0073017F">
        <w:rPr>
          <w:i/>
          <w:iCs/>
        </w:rPr>
        <w:t>38</w:t>
      </w:r>
      <w:r w:rsidRPr="0073017F">
        <w:t xml:space="preserve"> (1), 1–29.</w:t>
      </w:r>
    </w:p>
    <w:p w14:paraId="0399D0A5" w14:textId="3E431A91" w:rsidR="001C6FEA" w:rsidRPr="001C6FEA" w:rsidRDefault="001C6FEA" w:rsidP="001C6FEA">
      <w:pPr>
        <w:pStyle w:val="TFReferencesSection"/>
      </w:pPr>
      <w:r w:rsidRPr="0085177B">
        <w:t>(</w:t>
      </w:r>
      <w:r w:rsidR="003C11D4">
        <w:t>41</w:t>
      </w:r>
      <w:r w:rsidRPr="0085177B">
        <w:t xml:space="preserve">) </w:t>
      </w:r>
      <w:r w:rsidRPr="0085177B">
        <w:tab/>
        <w:t>Zheng, N.; Fang, Z.; Zou, W.; Zhao, Q.; Xie, T.</w:t>
      </w:r>
      <w:r w:rsidR="00D60557" w:rsidRPr="0085177B">
        <w:t xml:space="preserve"> </w:t>
      </w:r>
      <w:r w:rsidR="00D60557" w:rsidRPr="00D60557">
        <w:t>Thermoset Shape-Memory Polyurethane with Intrinsic Plasticity Enabled by Transcarbamoylation</w:t>
      </w:r>
      <w:r w:rsidR="00D60557">
        <w:t>.</w:t>
      </w:r>
      <w:r w:rsidRPr="0085177B">
        <w:t xml:space="preserve"> </w:t>
      </w:r>
      <w:r w:rsidRPr="0085177B">
        <w:rPr>
          <w:i/>
          <w:iCs/>
        </w:rPr>
        <w:t xml:space="preserve">Angew. </w:t>
      </w:r>
      <w:r w:rsidRPr="001C6FEA">
        <w:rPr>
          <w:i/>
          <w:iCs/>
        </w:rPr>
        <w:t>Chem</w:t>
      </w:r>
      <w:r w:rsidR="00D60557">
        <w:rPr>
          <w:i/>
          <w:iCs/>
        </w:rPr>
        <w:t>.</w:t>
      </w:r>
      <w:r w:rsidRPr="001C6FEA">
        <w:rPr>
          <w:i/>
          <w:iCs/>
        </w:rPr>
        <w:t xml:space="preserve"> Int. Ed.</w:t>
      </w:r>
      <w:r w:rsidRPr="001C6FEA">
        <w:t xml:space="preserve"> </w:t>
      </w:r>
      <w:r w:rsidRPr="0085177B">
        <w:rPr>
          <w:b/>
          <w:bCs/>
        </w:rPr>
        <w:t>2016</w:t>
      </w:r>
      <w:r w:rsidRPr="001C6FEA">
        <w:t>,</w:t>
      </w:r>
      <w:r w:rsidR="00D60557">
        <w:t xml:space="preserve"> </w:t>
      </w:r>
      <w:r w:rsidR="00D60557" w:rsidRPr="0085177B">
        <w:rPr>
          <w:i/>
        </w:rPr>
        <w:t>55</w:t>
      </w:r>
      <w:r w:rsidRPr="001C6FEA">
        <w:t xml:space="preserve"> 11421–11425.</w:t>
      </w:r>
    </w:p>
    <w:p w14:paraId="7ED2AACA" w14:textId="6A8CD301" w:rsidR="00DD6DBB" w:rsidRDefault="001C6FEA" w:rsidP="0026650B">
      <w:pPr>
        <w:pStyle w:val="TFReferencesSection"/>
      </w:pPr>
      <w:r w:rsidRPr="001C6FEA">
        <w:t>(</w:t>
      </w:r>
      <w:r w:rsidR="003C11D4">
        <w:t>42</w:t>
      </w:r>
      <w:r w:rsidRPr="001C6FEA">
        <w:t xml:space="preserve">) </w:t>
      </w:r>
      <w:r w:rsidRPr="001C6FEA">
        <w:tab/>
        <w:t>Fortman, D. J.; Brutman, J. P.; Cramer, C. J.; Hillmyer, M. A.; Dichtel, W. R.</w:t>
      </w:r>
      <w:r w:rsidR="00D60557">
        <w:t xml:space="preserve"> </w:t>
      </w:r>
      <w:r w:rsidR="00D60557" w:rsidRPr="00D60557">
        <w:t>Mechanically Activated, Catalyst-Free Polyhydroxyurethane Vitrimers</w:t>
      </w:r>
      <w:r w:rsidR="00D60557">
        <w:t>.</w:t>
      </w:r>
      <w:r w:rsidRPr="001C6FEA">
        <w:t xml:space="preserve"> </w:t>
      </w:r>
      <w:r w:rsidRPr="001C6FEA">
        <w:rPr>
          <w:i/>
          <w:iCs/>
        </w:rPr>
        <w:t xml:space="preserve">J. Am. </w:t>
      </w:r>
      <w:r w:rsidRPr="006A795F">
        <w:rPr>
          <w:i/>
          <w:iCs/>
        </w:rPr>
        <w:t>Chem. Soc.</w:t>
      </w:r>
      <w:r w:rsidRPr="006A795F">
        <w:t xml:space="preserve"> </w:t>
      </w:r>
      <w:r w:rsidRPr="0085177B">
        <w:rPr>
          <w:b/>
          <w:bCs/>
        </w:rPr>
        <w:t>2015</w:t>
      </w:r>
      <w:r w:rsidRPr="006A795F">
        <w:t xml:space="preserve">, </w:t>
      </w:r>
      <w:r w:rsidRPr="006A795F">
        <w:rPr>
          <w:i/>
          <w:iCs/>
        </w:rPr>
        <w:t>137</w:t>
      </w:r>
      <w:r w:rsidRPr="006A795F">
        <w:t xml:space="preserve"> (44), 14019–14022.</w:t>
      </w:r>
    </w:p>
    <w:sectPr w:rsidR="00DD6DBB" w:rsidSect="000B5610">
      <w:footerReference w:type="even" r:id="rId16"/>
      <w:footerReference w:type="default" r:id="rId17"/>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E23C" w14:textId="77777777" w:rsidR="00540A29" w:rsidRDefault="00540A29">
      <w:r>
        <w:separator/>
      </w:r>
    </w:p>
  </w:endnote>
  <w:endnote w:type="continuationSeparator" w:id="0">
    <w:p w14:paraId="07B2E7FF" w14:textId="77777777" w:rsidR="00540A29" w:rsidRDefault="0054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A6B" w14:textId="77777777" w:rsidR="00433700" w:rsidRDefault="004337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B552499" w14:textId="77777777" w:rsidR="00433700" w:rsidRDefault="004337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DE97" w14:textId="77777777" w:rsidR="00433700" w:rsidRDefault="004337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30</w:t>
    </w:r>
    <w:r>
      <w:rPr>
        <w:rStyle w:val="Paginanummer"/>
      </w:rPr>
      <w:fldChar w:fldCharType="end"/>
    </w:r>
  </w:p>
  <w:p w14:paraId="5C393E24" w14:textId="77777777" w:rsidR="00433700" w:rsidRDefault="0043370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4DF1" w14:textId="77777777" w:rsidR="00540A29" w:rsidRDefault="00540A29">
      <w:r>
        <w:separator/>
      </w:r>
    </w:p>
  </w:footnote>
  <w:footnote w:type="continuationSeparator" w:id="0">
    <w:p w14:paraId="2270EA8D" w14:textId="77777777" w:rsidR="00540A29" w:rsidRDefault="0054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3"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6"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7"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32"/>
    <w:rsid w:val="00002B7F"/>
    <w:rsid w:val="00027C5F"/>
    <w:rsid w:val="00046E37"/>
    <w:rsid w:val="0005660F"/>
    <w:rsid w:val="000702AD"/>
    <w:rsid w:val="000819EA"/>
    <w:rsid w:val="000A1F03"/>
    <w:rsid w:val="000A36C7"/>
    <w:rsid w:val="000A3AEE"/>
    <w:rsid w:val="000B54C1"/>
    <w:rsid w:val="000B5610"/>
    <w:rsid w:val="000C05CC"/>
    <w:rsid w:val="000C0714"/>
    <w:rsid w:val="000D41D2"/>
    <w:rsid w:val="000F5F3B"/>
    <w:rsid w:val="001063B6"/>
    <w:rsid w:val="00107832"/>
    <w:rsid w:val="00132FE8"/>
    <w:rsid w:val="001578E5"/>
    <w:rsid w:val="001A3212"/>
    <w:rsid w:val="001A7A90"/>
    <w:rsid w:val="001B27E6"/>
    <w:rsid w:val="001C2E1A"/>
    <w:rsid w:val="001C6FEA"/>
    <w:rsid w:val="001D5F01"/>
    <w:rsid w:val="00212B1D"/>
    <w:rsid w:val="00235458"/>
    <w:rsid w:val="0026650B"/>
    <w:rsid w:val="00296D76"/>
    <w:rsid w:val="002A7493"/>
    <w:rsid w:val="002C18AF"/>
    <w:rsid w:val="002C3431"/>
    <w:rsid w:val="002C34CC"/>
    <w:rsid w:val="002F3B9D"/>
    <w:rsid w:val="0030464A"/>
    <w:rsid w:val="00304B7B"/>
    <w:rsid w:val="0034321D"/>
    <w:rsid w:val="003604A1"/>
    <w:rsid w:val="00365A4A"/>
    <w:rsid w:val="003664E9"/>
    <w:rsid w:val="003679A1"/>
    <w:rsid w:val="003706F1"/>
    <w:rsid w:val="00386A21"/>
    <w:rsid w:val="00393BA0"/>
    <w:rsid w:val="003A3757"/>
    <w:rsid w:val="003B4AF3"/>
    <w:rsid w:val="003B61E0"/>
    <w:rsid w:val="003C11D4"/>
    <w:rsid w:val="003C284C"/>
    <w:rsid w:val="003C3195"/>
    <w:rsid w:val="003C368C"/>
    <w:rsid w:val="003C48A0"/>
    <w:rsid w:val="003D78BD"/>
    <w:rsid w:val="00424ADE"/>
    <w:rsid w:val="00433700"/>
    <w:rsid w:val="0044065C"/>
    <w:rsid w:val="00464601"/>
    <w:rsid w:val="004657F2"/>
    <w:rsid w:val="00475AC3"/>
    <w:rsid w:val="00475FD2"/>
    <w:rsid w:val="004814CD"/>
    <w:rsid w:val="004819D6"/>
    <w:rsid w:val="00483733"/>
    <w:rsid w:val="004A7E7E"/>
    <w:rsid w:val="004B162D"/>
    <w:rsid w:val="004D37D9"/>
    <w:rsid w:val="004E7185"/>
    <w:rsid w:val="004F395C"/>
    <w:rsid w:val="0051189C"/>
    <w:rsid w:val="0051303F"/>
    <w:rsid w:val="00520475"/>
    <w:rsid w:val="00532403"/>
    <w:rsid w:val="00540A29"/>
    <w:rsid w:val="00591A57"/>
    <w:rsid w:val="005C2965"/>
    <w:rsid w:val="005D0C10"/>
    <w:rsid w:val="005E152D"/>
    <w:rsid w:val="005E4855"/>
    <w:rsid w:val="005F020C"/>
    <w:rsid w:val="006455A5"/>
    <w:rsid w:val="00661BED"/>
    <w:rsid w:val="006633AE"/>
    <w:rsid w:val="00677FAB"/>
    <w:rsid w:val="006A795F"/>
    <w:rsid w:val="006B2581"/>
    <w:rsid w:val="006C6403"/>
    <w:rsid w:val="00704D0C"/>
    <w:rsid w:val="0073017F"/>
    <w:rsid w:val="00731013"/>
    <w:rsid w:val="00731A8E"/>
    <w:rsid w:val="007629D3"/>
    <w:rsid w:val="00764E32"/>
    <w:rsid w:val="00793EF2"/>
    <w:rsid w:val="007C77F8"/>
    <w:rsid w:val="007D050F"/>
    <w:rsid w:val="007E5E9E"/>
    <w:rsid w:val="008046A9"/>
    <w:rsid w:val="008047DE"/>
    <w:rsid w:val="0080605D"/>
    <w:rsid w:val="00812CB6"/>
    <w:rsid w:val="00813504"/>
    <w:rsid w:val="0081779A"/>
    <w:rsid w:val="00824A69"/>
    <w:rsid w:val="00825283"/>
    <w:rsid w:val="0085177B"/>
    <w:rsid w:val="008655C0"/>
    <w:rsid w:val="00871EE6"/>
    <w:rsid w:val="008A374A"/>
    <w:rsid w:val="008B29F7"/>
    <w:rsid w:val="008B5A27"/>
    <w:rsid w:val="008B6FDD"/>
    <w:rsid w:val="00901C9D"/>
    <w:rsid w:val="00912169"/>
    <w:rsid w:val="0092037A"/>
    <w:rsid w:val="00922D32"/>
    <w:rsid w:val="009246AD"/>
    <w:rsid w:val="009402A7"/>
    <w:rsid w:val="009601C7"/>
    <w:rsid w:val="00962D6C"/>
    <w:rsid w:val="00981CA4"/>
    <w:rsid w:val="00984F7B"/>
    <w:rsid w:val="009D3B23"/>
    <w:rsid w:val="009F058C"/>
    <w:rsid w:val="009F18C7"/>
    <w:rsid w:val="009F2E7E"/>
    <w:rsid w:val="009F6A49"/>
    <w:rsid w:val="009F7B9D"/>
    <w:rsid w:val="00A01556"/>
    <w:rsid w:val="00A02D62"/>
    <w:rsid w:val="00A0701B"/>
    <w:rsid w:val="00A1656E"/>
    <w:rsid w:val="00A20EB5"/>
    <w:rsid w:val="00A31B86"/>
    <w:rsid w:val="00A712E7"/>
    <w:rsid w:val="00A764EF"/>
    <w:rsid w:val="00A944D9"/>
    <w:rsid w:val="00AA1208"/>
    <w:rsid w:val="00AA652C"/>
    <w:rsid w:val="00AB34C5"/>
    <w:rsid w:val="00AD1135"/>
    <w:rsid w:val="00AD2AF5"/>
    <w:rsid w:val="00B10EE1"/>
    <w:rsid w:val="00B4091F"/>
    <w:rsid w:val="00B54A89"/>
    <w:rsid w:val="00B73527"/>
    <w:rsid w:val="00B7618D"/>
    <w:rsid w:val="00B83028"/>
    <w:rsid w:val="00BC552C"/>
    <w:rsid w:val="00BD2C44"/>
    <w:rsid w:val="00BF7137"/>
    <w:rsid w:val="00C017A9"/>
    <w:rsid w:val="00C10EE0"/>
    <w:rsid w:val="00C12556"/>
    <w:rsid w:val="00C6751E"/>
    <w:rsid w:val="00C84528"/>
    <w:rsid w:val="00C90FA2"/>
    <w:rsid w:val="00C9167F"/>
    <w:rsid w:val="00CD3CE8"/>
    <w:rsid w:val="00CD5A03"/>
    <w:rsid w:val="00CF7480"/>
    <w:rsid w:val="00D05B2E"/>
    <w:rsid w:val="00D067C4"/>
    <w:rsid w:val="00D1547A"/>
    <w:rsid w:val="00D2061A"/>
    <w:rsid w:val="00D21014"/>
    <w:rsid w:val="00D32E24"/>
    <w:rsid w:val="00D45D31"/>
    <w:rsid w:val="00D52100"/>
    <w:rsid w:val="00D60557"/>
    <w:rsid w:val="00D620EA"/>
    <w:rsid w:val="00D93C83"/>
    <w:rsid w:val="00DA6890"/>
    <w:rsid w:val="00DB4503"/>
    <w:rsid w:val="00DC3A56"/>
    <w:rsid w:val="00DD6DBB"/>
    <w:rsid w:val="00E020B3"/>
    <w:rsid w:val="00E074F2"/>
    <w:rsid w:val="00E42D44"/>
    <w:rsid w:val="00E514AE"/>
    <w:rsid w:val="00E56FA2"/>
    <w:rsid w:val="00E64432"/>
    <w:rsid w:val="00E72DE5"/>
    <w:rsid w:val="00E8264B"/>
    <w:rsid w:val="00E91482"/>
    <w:rsid w:val="00E91E3D"/>
    <w:rsid w:val="00E95FEB"/>
    <w:rsid w:val="00E96302"/>
    <w:rsid w:val="00EA7FF9"/>
    <w:rsid w:val="00EB4948"/>
    <w:rsid w:val="00ED583F"/>
    <w:rsid w:val="00ED75FC"/>
    <w:rsid w:val="00EE1607"/>
    <w:rsid w:val="00EE492A"/>
    <w:rsid w:val="00EF1661"/>
    <w:rsid w:val="00EF5D73"/>
    <w:rsid w:val="00F013D6"/>
    <w:rsid w:val="00F134F5"/>
    <w:rsid w:val="00F30699"/>
    <w:rsid w:val="00F47B85"/>
    <w:rsid w:val="00F5645C"/>
    <w:rsid w:val="00F86F13"/>
    <w:rsid w:val="00FA51CD"/>
    <w:rsid w:val="00FB5F7C"/>
    <w:rsid w:val="00FD7517"/>
    <w:rsid w:val="00FE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3AA806"/>
  <w15:docId w15:val="{3DAE9C35-D14B-2649-B558-CB1F419E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D6C"/>
    <w:rPr>
      <w:rFonts w:ascii="Times New Roman" w:hAnsi="Times New Roman"/>
      <w:sz w:val="24"/>
      <w:szCs w:val="24"/>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Pr>
      <w:color w:val="800080"/>
      <w:u w:val="single"/>
    </w:rPr>
  </w:style>
  <w:style w:type="paragraph" w:styleId="Plattetekst">
    <w:name w:val="Body Text"/>
    <w:basedOn w:val="Standaard"/>
    <w:pPr>
      <w:spacing w:after="200"/>
      <w:jc w:val="center"/>
    </w:pPr>
    <w:rPr>
      <w:rFonts w:ascii="Times" w:hAnsi="Times"/>
      <w:b/>
      <w:sz w:val="40"/>
      <w:szCs w:val="20"/>
      <w:lang w:val="en-US" w:eastAsia="en-US"/>
    </w:rPr>
  </w:style>
  <w:style w:type="paragraph" w:styleId="Voetnoottekst">
    <w:name w:val="footnote text"/>
    <w:basedOn w:val="Standaard"/>
    <w:next w:val="TFReferencesSection"/>
    <w:semiHidden/>
    <w:pPr>
      <w:spacing w:after="200"/>
      <w:jc w:val="both"/>
    </w:pPr>
    <w:rPr>
      <w:rFonts w:ascii="Times" w:hAnsi="Times"/>
      <w:szCs w:val="20"/>
      <w:lang w:val="en-US" w:eastAsia="en-US"/>
    </w:rPr>
  </w:style>
  <w:style w:type="paragraph" w:customStyle="1" w:styleId="TFReferencesSection">
    <w:name w:val="TF_References_Section"/>
    <w:basedOn w:val="Standaard"/>
    <w:pPr>
      <w:spacing w:after="200" w:line="480" w:lineRule="auto"/>
      <w:ind w:firstLine="187"/>
      <w:jc w:val="both"/>
    </w:pPr>
    <w:rPr>
      <w:rFonts w:ascii="Times" w:hAnsi="Times"/>
      <w:szCs w:val="20"/>
      <w:lang w:val="en-US" w:eastAsia="en-US"/>
    </w:rPr>
  </w:style>
  <w:style w:type="paragraph" w:customStyle="1" w:styleId="TAMainText">
    <w:name w:val="TA_Main_Text"/>
    <w:basedOn w:val="Standaard"/>
    <w:pPr>
      <w:spacing w:line="480" w:lineRule="auto"/>
      <w:ind w:firstLine="202"/>
      <w:jc w:val="both"/>
    </w:pPr>
    <w:rPr>
      <w:rFonts w:ascii="Times" w:hAnsi="Times"/>
      <w:szCs w:val="20"/>
      <w:lang w:val="en-US" w:eastAsia="en-US"/>
    </w:rPr>
  </w:style>
  <w:style w:type="paragraph" w:customStyle="1" w:styleId="BATitle">
    <w:name w:val="BA_Title"/>
    <w:basedOn w:val="Standaard"/>
    <w:next w:val="BBAuthorName"/>
    <w:pPr>
      <w:spacing w:before="720" w:after="360" w:line="480" w:lineRule="auto"/>
      <w:jc w:val="center"/>
    </w:pPr>
    <w:rPr>
      <w:sz w:val="44"/>
      <w:szCs w:val="20"/>
      <w:lang w:val="en-US" w:eastAsia="en-US"/>
    </w:rPr>
  </w:style>
  <w:style w:type="paragraph" w:customStyle="1" w:styleId="BBAuthorName">
    <w:name w:val="BB_Author_Name"/>
    <w:basedOn w:val="Standaard"/>
    <w:next w:val="BCAuthorAddress"/>
    <w:pPr>
      <w:spacing w:after="240" w:line="480" w:lineRule="auto"/>
      <w:jc w:val="center"/>
    </w:pPr>
    <w:rPr>
      <w:rFonts w:ascii="Times" w:hAnsi="Times"/>
      <w:i/>
      <w:szCs w:val="20"/>
      <w:lang w:val="en-US" w:eastAsia="en-US"/>
    </w:rPr>
  </w:style>
  <w:style w:type="paragraph" w:customStyle="1" w:styleId="BCAuthorAddress">
    <w:name w:val="BC_Author_Address"/>
    <w:basedOn w:val="Standaard"/>
    <w:next w:val="BIEmailAddress"/>
    <w:pPr>
      <w:spacing w:after="240" w:line="480" w:lineRule="auto"/>
      <w:jc w:val="center"/>
    </w:pPr>
    <w:rPr>
      <w:rFonts w:ascii="Times" w:hAnsi="Times"/>
      <w:szCs w:val="20"/>
      <w:lang w:val="en-US" w:eastAsia="en-US"/>
    </w:rPr>
  </w:style>
  <w:style w:type="paragraph" w:customStyle="1" w:styleId="BIEmailAddress">
    <w:name w:val="BI_Email_Address"/>
    <w:basedOn w:val="Standaard"/>
    <w:next w:val="AIReceivedDate"/>
    <w:pPr>
      <w:spacing w:after="200" w:line="480" w:lineRule="auto"/>
      <w:jc w:val="both"/>
    </w:pPr>
    <w:rPr>
      <w:rFonts w:ascii="Times" w:hAnsi="Times"/>
      <w:szCs w:val="20"/>
      <w:lang w:val="en-US" w:eastAsia="en-US"/>
    </w:rPr>
  </w:style>
  <w:style w:type="paragraph" w:customStyle="1" w:styleId="AIReceivedDate">
    <w:name w:val="AI_Received_Date"/>
    <w:basedOn w:val="Standaard"/>
    <w:next w:val="BDAbstract"/>
    <w:pPr>
      <w:spacing w:after="240" w:line="480" w:lineRule="auto"/>
      <w:jc w:val="both"/>
    </w:pPr>
    <w:rPr>
      <w:rFonts w:ascii="Times" w:hAnsi="Times"/>
      <w:b/>
      <w:szCs w:val="20"/>
      <w:lang w:val="en-US" w:eastAsia="en-US"/>
    </w:rPr>
  </w:style>
  <w:style w:type="paragraph" w:customStyle="1" w:styleId="BDAbstract">
    <w:name w:val="BD_Abstract"/>
    <w:basedOn w:val="Standaard"/>
    <w:next w:val="TAMainText"/>
    <w:pPr>
      <w:spacing w:before="360" w:after="360" w:line="480" w:lineRule="auto"/>
      <w:jc w:val="both"/>
    </w:pPr>
    <w:rPr>
      <w:rFonts w:ascii="Times" w:hAnsi="Times"/>
      <w:szCs w:val="20"/>
      <w:lang w:val="en-US" w:eastAsia="en-US"/>
    </w:rPr>
  </w:style>
  <w:style w:type="paragraph" w:customStyle="1" w:styleId="TDAcknowledgments">
    <w:name w:val="TD_Acknowledgments"/>
    <w:basedOn w:val="Standaard"/>
    <w:next w:val="Standaard"/>
    <w:pPr>
      <w:spacing w:before="200" w:after="200" w:line="480" w:lineRule="auto"/>
      <w:ind w:firstLine="202"/>
      <w:jc w:val="both"/>
    </w:pPr>
    <w:rPr>
      <w:rFonts w:ascii="Times" w:hAnsi="Times"/>
      <w:szCs w:val="20"/>
      <w:lang w:val="en-US" w:eastAsia="en-US"/>
    </w:rPr>
  </w:style>
  <w:style w:type="paragraph" w:customStyle="1" w:styleId="TESupportingInformation">
    <w:name w:val="TE_Supporting_Information"/>
    <w:basedOn w:val="Standaard"/>
    <w:next w:val="Standaard"/>
    <w:pPr>
      <w:spacing w:after="200" w:line="480" w:lineRule="auto"/>
      <w:ind w:firstLine="187"/>
      <w:jc w:val="both"/>
    </w:pPr>
    <w:rPr>
      <w:rFonts w:ascii="Times" w:hAnsi="Times"/>
      <w:szCs w:val="20"/>
      <w:lang w:val="en-US" w:eastAsia="en-US"/>
    </w:rPr>
  </w:style>
  <w:style w:type="paragraph" w:customStyle="1" w:styleId="VCSchemeTitle">
    <w:name w:val="VC_Scheme_Title"/>
    <w:basedOn w:val="Standaard"/>
    <w:next w:val="Standaard"/>
    <w:pPr>
      <w:spacing w:after="200" w:line="480" w:lineRule="auto"/>
      <w:jc w:val="both"/>
    </w:pPr>
    <w:rPr>
      <w:rFonts w:ascii="Times" w:hAnsi="Times"/>
      <w:szCs w:val="20"/>
      <w:lang w:val="en-US" w:eastAsia="en-US"/>
    </w:rPr>
  </w:style>
  <w:style w:type="paragraph" w:customStyle="1" w:styleId="VDTableTitle">
    <w:name w:val="VD_Table_Title"/>
    <w:basedOn w:val="Standaard"/>
    <w:next w:val="Standaard"/>
    <w:pPr>
      <w:spacing w:after="200" w:line="480" w:lineRule="auto"/>
      <w:jc w:val="both"/>
    </w:pPr>
    <w:rPr>
      <w:rFonts w:ascii="Times" w:hAnsi="Times"/>
      <w:szCs w:val="20"/>
      <w:lang w:val="en-US" w:eastAsia="en-US"/>
    </w:rPr>
  </w:style>
  <w:style w:type="paragraph" w:customStyle="1" w:styleId="VAFigureCaption">
    <w:name w:val="VA_Figure_Caption"/>
    <w:basedOn w:val="Standaard"/>
    <w:next w:val="Standaard"/>
    <w:pPr>
      <w:spacing w:after="200" w:line="480" w:lineRule="auto"/>
      <w:jc w:val="both"/>
    </w:pPr>
    <w:rPr>
      <w:rFonts w:ascii="Times" w:hAnsi="Times"/>
      <w:szCs w:val="20"/>
      <w:lang w:val="en-US" w:eastAsia="en-US"/>
    </w:rPr>
  </w:style>
  <w:style w:type="paragraph" w:customStyle="1" w:styleId="VBChartTitle">
    <w:name w:val="VB_Chart_Title"/>
    <w:basedOn w:val="Standaard"/>
    <w:next w:val="Standaard"/>
    <w:pPr>
      <w:spacing w:after="200" w:line="480" w:lineRule="auto"/>
      <w:jc w:val="both"/>
    </w:pPr>
    <w:rPr>
      <w:rFonts w:ascii="Times" w:hAnsi="Times"/>
      <w:szCs w:val="20"/>
      <w:lang w:val="en-US" w:eastAsia="en-US"/>
    </w:rPr>
  </w:style>
  <w:style w:type="paragraph" w:customStyle="1" w:styleId="FETableFootnote">
    <w:name w:val="FE_Table_Footnote"/>
    <w:basedOn w:val="Standaard"/>
    <w:next w:val="Standaard"/>
    <w:pPr>
      <w:spacing w:after="200"/>
      <w:ind w:firstLine="187"/>
      <w:jc w:val="both"/>
    </w:pPr>
    <w:rPr>
      <w:rFonts w:ascii="Times" w:hAnsi="Times"/>
      <w:szCs w:val="20"/>
      <w:lang w:val="en-US" w:eastAsia="en-US"/>
    </w:rPr>
  </w:style>
  <w:style w:type="paragraph" w:customStyle="1" w:styleId="FCChartFootnote">
    <w:name w:val="FC_Chart_Footnote"/>
    <w:basedOn w:val="Standaard"/>
    <w:next w:val="Standaard"/>
    <w:pPr>
      <w:spacing w:after="200"/>
      <w:ind w:firstLine="187"/>
      <w:jc w:val="both"/>
    </w:pPr>
    <w:rPr>
      <w:rFonts w:ascii="Times" w:hAnsi="Times"/>
      <w:szCs w:val="20"/>
      <w:lang w:val="en-US" w:eastAsia="en-US"/>
    </w:rPr>
  </w:style>
  <w:style w:type="paragraph" w:customStyle="1" w:styleId="FDSchemeFootnote">
    <w:name w:val="FD_Scheme_Footnote"/>
    <w:basedOn w:val="Standaard"/>
    <w:next w:val="Standaard"/>
    <w:pPr>
      <w:spacing w:after="200"/>
      <w:ind w:firstLine="187"/>
      <w:jc w:val="both"/>
    </w:pPr>
    <w:rPr>
      <w:rFonts w:ascii="Times" w:hAnsi="Times"/>
      <w:szCs w:val="20"/>
      <w:lang w:val="en-US" w:eastAsia="en-US"/>
    </w:rPr>
  </w:style>
  <w:style w:type="paragraph" w:customStyle="1" w:styleId="TCTableBody">
    <w:name w:val="TC_Table_Body"/>
    <w:basedOn w:val="Standaard"/>
    <w:pPr>
      <w:spacing w:after="200"/>
      <w:jc w:val="both"/>
    </w:pPr>
    <w:rPr>
      <w:rFonts w:ascii="Times" w:hAnsi="Times"/>
      <w:szCs w:val="20"/>
      <w:lang w:val="en-US" w:eastAsia="en-US"/>
    </w:rPr>
  </w:style>
  <w:style w:type="paragraph" w:customStyle="1" w:styleId="AFTitleRunningHead">
    <w:name w:val="AF_Title_Running_Head"/>
    <w:basedOn w:val="Standaard"/>
    <w:next w:val="TAMainText"/>
    <w:pPr>
      <w:spacing w:after="200" w:line="480" w:lineRule="auto"/>
      <w:jc w:val="both"/>
    </w:pPr>
    <w:rPr>
      <w:rFonts w:ascii="Times" w:hAnsi="Times"/>
      <w:szCs w:val="20"/>
      <w:lang w:val="en-US" w:eastAsia="en-US"/>
    </w:rPr>
  </w:style>
  <w:style w:type="paragraph" w:customStyle="1" w:styleId="BEAuthorBiography">
    <w:name w:val="BE_Author_Biography"/>
    <w:basedOn w:val="Standaard"/>
    <w:pPr>
      <w:spacing w:after="200" w:line="480" w:lineRule="auto"/>
      <w:jc w:val="both"/>
    </w:pPr>
    <w:rPr>
      <w:rFonts w:ascii="Times" w:hAnsi="Times"/>
      <w:szCs w:val="20"/>
      <w:lang w:val="en-US" w:eastAsia="en-US"/>
    </w:rPr>
  </w:style>
  <w:style w:type="paragraph" w:customStyle="1" w:styleId="FACorrespondingAuthorFootnote">
    <w:name w:val="FA_Corresponding_Author_Footnote"/>
    <w:basedOn w:val="Standaard"/>
    <w:next w:val="TAMainText"/>
    <w:pPr>
      <w:spacing w:after="200" w:line="480" w:lineRule="auto"/>
      <w:jc w:val="both"/>
    </w:pPr>
    <w:rPr>
      <w:rFonts w:ascii="Times" w:hAnsi="Times"/>
      <w:szCs w:val="20"/>
      <w:lang w:val="en-US" w:eastAsia="en-US"/>
    </w:rPr>
  </w:style>
  <w:style w:type="paragraph" w:customStyle="1" w:styleId="SNSynopsisTOC">
    <w:name w:val="SN_Synopsis_TOC"/>
    <w:basedOn w:val="Standaard"/>
    <w:pPr>
      <w:spacing w:after="200" w:line="480" w:lineRule="auto"/>
      <w:jc w:val="both"/>
    </w:pPr>
    <w:rPr>
      <w:rFonts w:ascii="Times" w:hAnsi="Times"/>
      <w:szCs w:val="20"/>
      <w:lang w:val="en-US" w:eastAsia="en-US"/>
    </w:rPr>
  </w:style>
  <w:style w:type="character" w:styleId="Hyperlink">
    <w:name w:val="Hyperlink"/>
    <w:rPr>
      <w:color w:val="0000FF"/>
      <w:u w:val="single"/>
    </w:rPr>
  </w:style>
  <w:style w:type="paragraph" w:styleId="Voettekst">
    <w:name w:val="footer"/>
    <w:basedOn w:val="Standaard"/>
    <w:pPr>
      <w:tabs>
        <w:tab w:val="center" w:pos="4320"/>
        <w:tab w:val="right" w:pos="8640"/>
      </w:tabs>
      <w:spacing w:after="200"/>
      <w:jc w:val="both"/>
    </w:pPr>
    <w:rPr>
      <w:rFonts w:ascii="Times" w:hAnsi="Times"/>
      <w:szCs w:val="20"/>
      <w:lang w:val="en-US" w:eastAsia="en-US"/>
    </w:rPr>
  </w:style>
  <w:style w:type="paragraph" w:customStyle="1" w:styleId="BGKeywords">
    <w:name w:val="BG_Keywords"/>
    <w:basedOn w:val="Standaard"/>
    <w:pPr>
      <w:spacing w:after="200" w:line="480" w:lineRule="auto"/>
      <w:jc w:val="both"/>
    </w:pPr>
    <w:rPr>
      <w:rFonts w:ascii="Times" w:hAnsi="Times"/>
      <w:szCs w:val="20"/>
      <w:lang w:val="en-US" w:eastAsia="en-US"/>
    </w:rPr>
  </w:style>
  <w:style w:type="paragraph" w:customStyle="1" w:styleId="BHBriefs">
    <w:name w:val="BH_Briefs"/>
    <w:basedOn w:val="Standaard"/>
    <w:pPr>
      <w:spacing w:after="200" w:line="480" w:lineRule="auto"/>
      <w:jc w:val="both"/>
    </w:pPr>
    <w:rPr>
      <w:rFonts w:ascii="Times" w:hAnsi="Times"/>
      <w:szCs w:val="20"/>
      <w:lang w:val="en-US" w:eastAsia="en-US"/>
    </w:rPr>
  </w:style>
  <w:style w:type="character" w:styleId="Paginanummer">
    <w:name w:val="page number"/>
    <w:basedOn w:val="Standaardalinea-lettertype"/>
  </w:style>
  <w:style w:type="paragraph" w:styleId="Ballontekst">
    <w:name w:val="Balloon Text"/>
    <w:basedOn w:val="Standaard"/>
    <w:semiHidden/>
    <w:rsid w:val="00E96302"/>
    <w:pPr>
      <w:spacing w:after="200"/>
      <w:jc w:val="both"/>
    </w:pPr>
    <w:rPr>
      <w:rFonts w:ascii="Tahoma" w:hAnsi="Tahoma" w:cs="Tahoma"/>
      <w:sz w:val="16"/>
      <w:szCs w:val="16"/>
      <w:lang w:val="en-US" w:eastAsia="en-US"/>
    </w:rPr>
  </w:style>
  <w:style w:type="paragraph" w:customStyle="1" w:styleId="StyleFACorrespondingAuthorFootnote7pt">
    <w:name w:val="Style FA_Corresponding_Author_Footnote + 7 pt"/>
    <w:basedOn w:val="Standaard"/>
    <w:next w:val="BGKeywords"/>
    <w:link w:val="StyleFACorrespondingAuthorFootnote7ptChar"/>
    <w:autoRedefine/>
    <w:rsid w:val="00C10EE0"/>
    <w:rPr>
      <w:rFonts w:ascii="Arno Pro" w:hAnsi="Arno Pro"/>
      <w:kern w:val="20"/>
      <w:sz w:val="18"/>
      <w:szCs w:val="20"/>
      <w:lang w:val="en-US" w:eastAsia="en-US"/>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Standaard"/>
    <w:link w:val="FAAuthorInfoSubtitleChar"/>
    <w:autoRedefine/>
    <w:rsid w:val="00DD6DBB"/>
    <w:pPr>
      <w:spacing w:before="120" w:after="60" w:line="480" w:lineRule="auto"/>
    </w:pPr>
    <w:rPr>
      <w:rFonts w:ascii="Times" w:hAnsi="Times"/>
      <w:b/>
      <w:szCs w:val="20"/>
      <w:lang w:val="en-US" w:eastAsia="en-US"/>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table" w:styleId="Tabelraster">
    <w:name w:val="Table Grid"/>
    <w:basedOn w:val="Standaardtabel"/>
    <w:uiPriority w:val="39"/>
    <w:rsid w:val="0080605D"/>
    <w:rPr>
      <w:rFonts w:asciiTheme="minorHAnsi" w:eastAsiaTheme="minorHAnsi" w:hAnsiTheme="minorHAnsi" w:cstheme="minorBidi"/>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EE492A"/>
    <w:pPr>
      <w:spacing w:after="200"/>
    </w:pPr>
    <w:rPr>
      <w:rFonts w:asciiTheme="minorHAnsi" w:eastAsiaTheme="minorHAnsi" w:hAnsiTheme="minorHAnsi" w:cstheme="minorBidi"/>
      <w:i/>
      <w:iCs/>
      <w:color w:val="1F497D" w:themeColor="text2"/>
      <w:sz w:val="18"/>
      <w:szCs w:val="18"/>
      <w:lang w:val="nl-NL" w:eastAsia="en-US"/>
    </w:rPr>
  </w:style>
  <w:style w:type="character" w:styleId="Verwijzingopmerking">
    <w:name w:val="annotation reference"/>
    <w:basedOn w:val="Standaardalinea-lettertype"/>
    <w:semiHidden/>
    <w:unhideWhenUsed/>
    <w:rsid w:val="001C2E1A"/>
    <w:rPr>
      <w:sz w:val="18"/>
      <w:szCs w:val="18"/>
    </w:rPr>
  </w:style>
  <w:style w:type="paragraph" w:styleId="Tekstopmerking">
    <w:name w:val="annotation text"/>
    <w:basedOn w:val="Standaard"/>
    <w:link w:val="TekstopmerkingChar"/>
    <w:semiHidden/>
    <w:unhideWhenUsed/>
    <w:rsid w:val="001C2E1A"/>
    <w:pPr>
      <w:spacing w:after="200"/>
      <w:jc w:val="both"/>
    </w:pPr>
    <w:rPr>
      <w:rFonts w:ascii="Times" w:hAnsi="Times"/>
      <w:lang w:val="en-US" w:eastAsia="en-US"/>
    </w:rPr>
  </w:style>
  <w:style w:type="character" w:customStyle="1" w:styleId="TekstopmerkingChar">
    <w:name w:val="Tekst opmerking Char"/>
    <w:basedOn w:val="Standaardalinea-lettertype"/>
    <w:link w:val="Tekstopmerking"/>
    <w:semiHidden/>
    <w:rsid w:val="001C2E1A"/>
    <w:rPr>
      <w:rFonts w:ascii="Times" w:hAnsi="Times"/>
      <w:sz w:val="24"/>
      <w:szCs w:val="24"/>
    </w:rPr>
  </w:style>
  <w:style w:type="paragraph" w:styleId="Onderwerpvanopmerking">
    <w:name w:val="annotation subject"/>
    <w:basedOn w:val="Tekstopmerking"/>
    <w:next w:val="Tekstopmerking"/>
    <w:link w:val="OnderwerpvanopmerkingChar"/>
    <w:semiHidden/>
    <w:unhideWhenUsed/>
    <w:rsid w:val="001C2E1A"/>
    <w:rPr>
      <w:b/>
      <w:bCs/>
      <w:sz w:val="20"/>
      <w:szCs w:val="20"/>
    </w:rPr>
  </w:style>
  <w:style w:type="character" w:customStyle="1" w:styleId="OnderwerpvanopmerkingChar">
    <w:name w:val="Onderwerp van opmerking Char"/>
    <w:basedOn w:val="TekstopmerkingChar"/>
    <w:link w:val="Onderwerpvanopmerking"/>
    <w:semiHidden/>
    <w:rsid w:val="001C2E1A"/>
    <w:rPr>
      <w:rFonts w:ascii="Times" w:hAnsi="Times"/>
      <w:b/>
      <w:bCs/>
      <w:sz w:val="24"/>
      <w:szCs w:val="24"/>
    </w:rPr>
  </w:style>
  <w:style w:type="paragraph" w:styleId="Normaalweb">
    <w:name w:val="Normal (Web)"/>
    <w:basedOn w:val="Standaard"/>
    <w:uiPriority w:val="99"/>
    <w:semiHidden/>
    <w:unhideWhenUsed/>
    <w:rsid w:val="000A3AEE"/>
    <w:pPr>
      <w:spacing w:after="200"/>
      <w:jc w:val="both"/>
    </w:pPr>
    <w:rPr>
      <w:lang w:val="en-US" w:eastAsia="en-US"/>
    </w:rPr>
  </w:style>
  <w:style w:type="paragraph" w:styleId="Revisie">
    <w:name w:val="Revision"/>
    <w:hidden/>
    <w:uiPriority w:val="99"/>
    <w:semiHidden/>
    <w:rsid w:val="000A36C7"/>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809">
      <w:bodyDiv w:val="1"/>
      <w:marLeft w:val="0"/>
      <w:marRight w:val="0"/>
      <w:marTop w:val="0"/>
      <w:marBottom w:val="0"/>
      <w:divBdr>
        <w:top w:val="none" w:sz="0" w:space="0" w:color="auto"/>
        <w:left w:val="none" w:sz="0" w:space="0" w:color="auto"/>
        <w:bottom w:val="none" w:sz="0" w:space="0" w:color="auto"/>
        <w:right w:val="none" w:sz="0" w:space="0" w:color="auto"/>
      </w:divBdr>
      <w:divsChild>
        <w:div w:id="364138909">
          <w:marLeft w:val="0"/>
          <w:marRight w:val="0"/>
          <w:marTop w:val="0"/>
          <w:marBottom w:val="0"/>
          <w:divBdr>
            <w:top w:val="none" w:sz="0" w:space="0" w:color="auto"/>
            <w:left w:val="none" w:sz="0" w:space="0" w:color="auto"/>
            <w:bottom w:val="none" w:sz="0" w:space="0" w:color="auto"/>
            <w:right w:val="none" w:sz="0" w:space="0" w:color="auto"/>
          </w:divBdr>
          <w:divsChild>
            <w:div w:id="173036734">
              <w:marLeft w:val="0"/>
              <w:marRight w:val="0"/>
              <w:marTop w:val="0"/>
              <w:marBottom w:val="0"/>
              <w:divBdr>
                <w:top w:val="none" w:sz="0" w:space="0" w:color="auto"/>
                <w:left w:val="none" w:sz="0" w:space="0" w:color="auto"/>
                <w:bottom w:val="none" w:sz="0" w:space="0" w:color="auto"/>
                <w:right w:val="none" w:sz="0" w:space="0" w:color="auto"/>
              </w:divBdr>
              <w:divsChild>
                <w:div w:id="20998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4357">
      <w:bodyDiv w:val="1"/>
      <w:marLeft w:val="0"/>
      <w:marRight w:val="0"/>
      <w:marTop w:val="0"/>
      <w:marBottom w:val="0"/>
      <w:divBdr>
        <w:top w:val="none" w:sz="0" w:space="0" w:color="auto"/>
        <w:left w:val="none" w:sz="0" w:space="0" w:color="auto"/>
        <w:bottom w:val="none" w:sz="0" w:space="0" w:color="auto"/>
        <w:right w:val="none" w:sz="0" w:space="0" w:color="auto"/>
      </w:divBdr>
    </w:div>
    <w:div w:id="798453109">
      <w:bodyDiv w:val="1"/>
      <w:marLeft w:val="0"/>
      <w:marRight w:val="0"/>
      <w:marTop w:val="0"/>
      <w:marBottom w:val="0"/>
      <w:divBdr>
        <w:top w:val="none" w:sz="0" w:space="0" w:color="auto"/>
        <w:left w:val="none" w:sz="0" w:space="0" w:color="auto"/>
        <w:bottom w:val="none" w:sz="0" w:space="0" w:color="auto"/>
        <w:right w:val="none" w:sz="0" w:space="0" w:color="auto"/>
      </w:divBdr>
      <w:divsChild>
        <w:div w:id="132526775">
          <w:marLeft w:val="0"/>
          <w:marRight w:val="0"/>
          <w:marTop w:val="0"/>
          <w:marBottom w:val="0"/>
          <w:divBdr>
            <w:top w:val="none" w:sz="0" w:space="0" w:color="auto"/>
            <w:left w:val="none" w:sz="0" w:space="0" w:color="auto"/>
            <w:bottom w:val="none" w:sz="0" w:space="0" w:color="auto"/>
            <w:right w:val="none" w:sz="0" w:space="0" w:color="auto"/>
          </w:divBdr>
          <w:divsChild>
            <w:div w:id="169023920">
              <w:marLeft w:val="0"/>
              <w:marRight w:val="0"/>
              <w:marTop w:val="0"/>
              <w:marBottom w:val="0"/>
              <w:divBdr>
                <w:top w:val="none" w:sz="0" w:space="0" w:color="auto"/>
                <w:left w:val="none" w:sz="0" w:space="0" w:color="auto"/>
                <w:bottom w:val="none" w:sz="0" w:space="0" w:color="auto"/>
                <w:right w:val="none" w:sz="0" w:space="0" w:color="auto"/>
              </w:divBdr>
              <w:divsChild>
                <w:div w:id="19013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pubs.acs.org"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ilip.duprez@ugen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48BF03E9C8F4DAE80C133A23E7C13"/>
        <w:category>
          <w:name w:val="Algemeen"/>
          <w:gallery w:val="placeholder"/>
        </w:category>
        <w:types>
          <w:type w:val="bbPlcHdr"/>
        </w:types>
        <w:behaviors>
          <w:behavior w:val="content"/>
        </w:behaviors>
        <w:guid w:val="{712C75BF-0CAA-4C4F-A665-D0CEE18D0A96}"/>
      </w:docPartPr>
      <w:docPartBody>
        <w:p w:rsidR="00B5104A" w:rsidRDefault="00B5104A" w:rsidP="00B5104A">
          <w:pPr>
            <w:pStyle w:val="F1248BF03E9C8F4DAE80C133A23E7C13"/>
          </w:pPr>
          <w:r w:rsidRPr="00712260">
            <w:rPr>
              <w:rStyle w:val="Tekstvantijdelijkeaanduiding"/>
            </w:rPr>
            <w:t>Typ hier uw vergelijking.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04A"/>
    <w:rsid w:val="00032B83"/>
    <w:rsid w:val="00244296"/>
    <w:rsid w:val="002C43AF"/>
    <w:rsid w:val="00485644"/>
    <w:rsid w:val="006856D4"/>
    <w:rsid w:val="006D049E"/>
    <w:rsid w:val="00B266CC"/>
    <w:rsid w:val="00B5104A"/>
    <w:rsid w:val="00C204D4"/>
    <w:rsid w:val="00DB7103"/>
    <w:rsid w:val="00FD0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104A"/>
    <w:rPr>
      <w:color w:val="808080"/>
    </w:rPr>
  </w:style>
  <w:style w:type="paragraph" w:customStyle="1" w:styleId="F1248BF03E9C8F4DAE80C133A23E7C13">
    <w:name w:val="F1248BF03E9C8F4DAE80C133A23E7C13"/>
    <w:rsid w:val="00B51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13B3CB-8130-4DD9-B81F-2504D062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8897</Words>
  <Characters>48939</Characters>
  <Application>Microsoft Office Word</Application>
  <DocSecurity>0</DocSecurity>
  <Lines>407</Lines>
  <Paragraphs>115</Paragraphs>
  <ScaleCrop>false</ScaleCrop>
  <HeadingPairs>
    <vt:vector size="2" baseType="variant">
      <vt:variant>
        <vt:lpstr>Titel</vt:lpstr>
      </vt:variant>
      <vt:variant>
        <vt:i4>1</vt:i4>
      </vt:variant>
    </vt:vector>
  </HeadingPairs>
  <TitlesOfParts>
    <vt:vector size="1" baseType="lpstr">
      <vt:lpstr>Template for Electronic Submission to ACS Journals</vt:lpstr>
    </vt:vector>
  </TitlesOfParts>
  <Company>ACS</Company>
  <LinksUpToDate>false</LinksUpToDate>
  <CharactersWithSpaces>57721</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Niels Van Herck</dc:creator>
  <cp:lastModifiedBy>Filip Du Prez</cp:lastModifiedBy>
  <cp:revision>2</cp:revision>
  <cp:lastPrinted>2018-04-12T09:02:00Z</cp:lastPrinted>
  <dcterms:created xsi:type="dcterms:W3CDTF">2019-06-01T16:02:00Z</dcterms:created>
  <dcterms:modified xsi:type="dcterms:W3CDTF">2019-06-01T16:02:00Z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ce87244f-31b0-3dd2-92bf-79f5ead5bedf</vt:lpwstr>
  </property>
</Properties>
</file>