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61D30" w14:textId="45E582BC" w:rsidR="00F86FE5" w:rsidRDefault="00F86FE5">
      <w:pPr>
        <w:rPr>
          <w:lang w:val="en-GB"/>
        </w:rPr>
      </w:pPr>
      <w:r>
        <w:rPr>
          <w:lang w:val="en-GB"/>
        </w:rPr>
        <w:t>This is a pre-peer-review version of the article that will be published in the Legal History Review 2018, no. 3-4 (December 2018)</w:t>
      </w:r>
      <w:bookmarkStart w:id="0" w:name="_GoBack"/>
      <w:bookmarkEnd w:id="0"/>
    </w:p>
    <w:p w14:paraId="757BA162" w14:textId="77777777" w:rsidR="00F86FE5" w:rsidRPr="00F86FE5" w:rsidRDefault="00F86FE5" w:rsidP="00F86FE5">
      <w:pPr>
        <w:pBdr>
          <w:bottom w:val="single" w:sz="4" w:space="1" w:color="auto"/>
        </w:pBdr>
        <w:rPr>
          <w:lang w:val="en-GB"/>
        </w:rPr>
      </w:pPr>
    </w:p>
    <w:p w14:paraId="6D4A8DFB" w14:textId="77777777" w:rsidR="00F86FE5" w:rsidRDefault="00F86FE5">
      <w:pPr>
        <w:rPr>
          <w:b/>
          <w:lang w:val="en-GB"/>
        </w:rPr>
      </w:pPr>
    </w:p>
    <w:p w14:paraId="057BA9D5" w14:textId="77777777" w:rsidR="001D7701" w:rsidRDefault="00D976CD">
      <w:pPr>
        <w:rPr>
          <w:b/>
          <w:lang w:val="en-GB"/>
        </w:rPr>
      </w:pPr>
      <w:r>
        <w:rPr>
          <w:b/>
          <w:lang w:val="en-GB"/>
        </w:rPr>
        <w:t xml:space="preserve">“Strasbourg was something new, it was an adventure”: a history of the Belgian cases before the European Court of Human Rights in the </w:t>
      </w:r>
      <w:proofErr w:type="spellStart"/>
      <w:r>
        <w:rPr>
          <w:b/>
          <w:lang w:val="en-GB"/>
        </w:rPr>
        <w:t>1960s</w:t>
      </w:r>
      <w:proofErr w:type="spellEnd"/>
      <w:r>
        <w:rPr>
          <w:b/>
          <w:lang w:val="en-GB"/>
        </w:rPr>
        <w:t xml:space="preserve">, </w:t>
      </w:r>
      <w:proofErr w:type="spellStart"/>
      <w:r>
        <w:rPr>
          <w:b/>
          <w:lang w:val="en-GB"/>
        </w:rPr>
        <w:t>1970s</w:t>
      </w:r>
      <w:proofErr w:type="spellEnd"/>
      <w:r>
        <w:rPr>
          <w:b/>
          <w:lang w:val="en-GB"/>
        </w:rPr>
        <w:t xml:space="preserve"> and </w:t>
      </w:r>
      <w:proofErr w:type="spellStart"/>
      <w:r>
        <w:rPr>
          <w:b/>
          <w:lang w:val="en-GB"/>
        </w:rPr>
        <w:t>1980s</w:t>
      </w:r>
      <w:proofErr w:type="spellEnd"/>
    </w:p>
    <w:p w14:paraId="6FF160EA" w14:textId="77777777" w:rsidR="00097A97" w:rsidRDefault="00097A97" w:rsidP="00097A97">
      <w:pPr>
        <w:jc w:val="right"/>
        <w:rPr>
          <w:lang w:val="en-GB"/>
        </w:rPr>
      </w:pPr>
    </w:p>
    <w:p w14:paraId="44FF33B1" w14:textId="77777777" w:rsidR="00097A97" w:rsidRPr="00E1343E" w:rsidRDefault="00097A97" w:rsidP="00097A97">
      <w:pPr>
        <w:jc w:val="right"/>
        <w:rPr>
          <w:lang w:val="en-GB"/>
        </w:rPr>
      </w:pPr>
      <w:r w:rsidRPr="00E1343E">
        <w:rPr>
          <w:lang w:val="en-GB"/>
        </w:rPr>
        <w:t>Laurens Lavrysen</w:t>
      </w:r>
      <w:r>
        <w:rPr>
          <w:rStyle w:val="Voetnootmarkering"/>
          <w:lang w:val="en-GB"/>
        </w:rPr>
        <w:footnoteReference w:id="1"/>
      </w:r>
    </w:p>
    <w:p w14:paraId="01166315" w14:textId="77777777" w:rsidR="007A5A90" w:rsidRDefault="007A5A90" w:rsidP="00E1343E">
      <w:pPr>
        <w:jc w:val="right"/>
        <w:rPr>
          <w:lang w:val="en-GB"/>
        </w:rPr>
      </w:pPr>
    </w:p>
    <w:p w14:paraId="52E3CE88" w14:textId="6ACFB043" w:rsidR="007A5A90" w:rsidRPr="00097A97" w:rsidRDefault="007A5A90" w:rsidP="007A5A90">
      <w:pPr>
        <w:rPr>
          <w:b/>
          <w:lang w:val="en-GB"/>
        </w:rPr>
      </w:pPr>
      <w:r w:rsidRPr="00097A97">
        <w:rPr>
          <w:b/>
          <w:lang w:val="en-GB"/>
        </w:rPr>
        <w:t>Abstract</w:t>
      </w:r>
    </w:p>
    <w:p w14:paraId="54E9AD7B" w14:textId="411C5FDF" w:rsidR="00097A97" w:rsidRPr="00097A97" w:rsidRDefault="00E64040" w:rsidP="00B11821">
      <w:pPr>
        <w:jc w:val="both"/>
        <w:rPr>
          <w:lang w:val="en-GB"/>
        </w:rPr>
      </w:pPr>
      <w:r w:rsidRPr="00097A97">
        <w:rPr>
          <w:lang w:val="en-GB"/>
        </w:rPr>
        <w:t xml:space="preserve">In recent years, a burgeoning literature has focused on the history of human rights in general and the history of the European Convention on Human Rights </w:t>
      </w:r>
      <w:r w:rsidR="00097A97" w:rsidRPr="00097A97">
        <w:rPr>
          <w:lang w:val="en-GB"/>
        </w:rPr>
        <w:t xml:space="preserve">(ECHR) </w:t>
      </w:r>
      <w:r w:rsidRPr="00097A97">
        <w:rPr>
          <w:lang w:val="en-GB"/>
        </w:rPr>
        <w:t xml:space="preserve">in particular. In order to understand how the ECHR gradually managed to gain authority in diverse national settings, it is necessary to complement transnational </w:t>
      </w:r>
      <w:r w:rsidR="00097A97" w:rsidRPr="00097A97">
        <w:rPr>
          <w:lang w:val="en-GB"/>
        </w:rPr>
        <w:t xml:space="preserve">historical </w:t>
      </w:r>
      <w:r w:rsidRPr="00097A97">
        <w:rPr>
          <w:lang w:val="en-GB"/>
        </w:rPr>
        <w:t>perspectives with</w:t>
      </w:r>
      <w:r w:rsidR="00B11821" w:rsidRPr="00097A97">
        <w:rPr>
          <w:lang w:val="en-GB"/>
        </w:rPr>
        <w:t xml:space="preserve"> studies of national reception histories. The present article approaches the history of the ECHR in Belgium by focusing on the history of the Belgian cases in Strasbourg, which have played an important role in contributing to the “discovery” of the ECHR in the Belgian legal system.</w:t>
      </w:r>
      <w:r w:rsidR="00097A97" w:rsidRPr="00097A97">
        <w:rPr>
          <w:lang w:val="en-GB"/>
        </w:rPr>
        <w:t xml:space="preserve"> On the basis of interviews with actors involved in the early cases against Belgium, it was possible to determine their position in the Belgian legal landscape as well as their motivations and aspirations in going to Strasbourg. Moreover, these interviews allowed gaining insight into the circumstances out of which litigation against Belgium arose.</w:t>
      </w:r>
    </w:p>
    <w:p w14:paraId="1A1FEC7E" w14:textId="77777777" w:rsidR="00097A97" w:rsidRDefault="00097A97" w:rsidP="007A5A90">
      <w:pPr>
        <w:rPr>
          <w:b/>
          <w:lang w:val="en-GB"/>
        </w:rPr>
      </w:pPr>
    </w:p>
    <w:p w14:paraId="3CA9E410" w14:textId="66A52560" w:rsidR="007A5A90" w:rsidRPr="00097A97" w:rsidRDefault="007A5A90" w:rsidP="007A5A90">
      <w:pPr>
        <w:rPr>
          <w:b/>
          <w:lang w:val="en-GB"/>
        </w:rPr>
      </w:pPr>
      <w:r w:rsidRPr="00097A97">
        <w:rPr>
          <w:b/>
          <w:lang w:val="en-GB"/>
        </w:rPr>
        <w:t>Keywords</w:t>
      </w:r>
    </w:p>
    <w:p w14:paraId="5F76ABAE" w14:textId="17E6A360" w:rsidR="007A5A90" w:rsidRPr="00097A97" w:rsidRDefault="00BC018B" w:rsidP="00097A97">
      <w:pPr>
        <w:jc w:val="both"/>
        <w:rPr>
          <w:lang w:val="en-GB"/>
        </w:rPr>
      </w:pPr>
      <w:r w:rsidRPr="00097A97">
        <w:rPr>
          <w:lang w:val="en-GB"/>
        </w:rPr>
        <w:t xml:space="preserve">European Convention on Human Rights – European Court of Human Rights </w:t>
      </w:r>
      <w:r w:rsidR="00E64040" w:rsidRPr="00097A97">
        <w:rPr>
          <w:lang w:val="en-GB"/>
        </w:rPr>
        <w:t xml:space="preserve">– reception history – Belgium </w:t>
      </w:r>
      <w:r w:rsidRPr="00097A97">
        <w:rPr>
          <w:lang w:val="en-GB"/>
        </w:rPr>
        <w:t xml:space="preserve">– oral </w:t>
      </w:r>
      <w:r w:rsidR="00097A97">
        <w:rPr>
          <w:lang w:val="en-GB"/>
        </w:rPr>
        <w:t>history</w:t>
      </w:r>
    </w:p>
    <w:p w14:paraId="08771033" w14:textId="77777777" w:rsidR="007A5A90" w:rsidRDefault="007A5A90" w:rsidP="00E1343E">
      <w:pPr>
        <w:jc w:val="right"/>
        <w:rPr>
          <w:lang w:val="en-GB"/>
        </w:rPr>
      </w:pPr>
    </w:p>
    <w:p w14:paraId="48805394" w14:textId="77777777" w:rsidR="0036593A" w:rsidRPr="001D7701" w:rsidRDefault="005476A0" w:rsidP="001D7701">
      <w:pPr>
        <w:pStyle w:val="Lijstalinea"/>
        <w:numPr>
          <w:ilvl w:val="0"/>
          <w:numId w:val="6"/>
        </w:numPr>
        <w:ind w:left="0" w:firstLine="0"/>
        <w:rPr>
          <w:b/>
          <w:lang w:val="en-GB"/>
        </w:rPr>
      </w:pPr>
      <w:r w:rsidRPr="001D7701">
        <w:rPr>
          <w:b/>
          <w:lang w:val="en-GB"/>
        </w:rPr>
        <w:t>Introduction</w:t>
      </w:r>
    </w:p>
    <w:p w14:paraId="7E133066" w14:textId="34EEE509" w:rsidR="004C11B2" w:rsidRDefault="00BA3D86" w:rsidP="001A19D0">
      <w:pPr>
        <w:ind w:firstLine="708"/>
        <w:jc w:val="both"/>
        <w:rPr>
          <w:lang w:val="en-GB"/>
        </w:rPr>
      </w:pPr>
      <w:r>
        <w:rPr>
          <w:lang w:val="en-GB"/>
        </w:rPr>
        <w:t>In recent years, research in human rights has known a historical turn, para</w:t>
      </w:r>
      <w:r w:rsidR="004C43F9">
        <w:rPr>
          <w:lang w:val="en-GB"/>
        </w:rPr>
        <w:t xml:space="preserve">digmatically illustrated by the intensity of the scholarly debate sparked by the publication of Samuel </w:t>
      </w:r>
      <w:proofErr w:type="spellStart"/>
      <w:r w:rsidR="004C43F9">
        <w:rPr>
          <w:lang w:val="en-GB"/>
        </w:rPr>
        <w:t>Moyn’s</w:t>
      </w:r>
      <w:proofErr w:type="spellEnd"/>
      <w:r w:rsidR="004C43F9">
        <w:rPr>
          <w:lang w:val="en-GB"/>
        </w:rPr>
        <w:t xml:space="preserve"> </w:t>
      </w:r>
      <w:r w:rsidR="00817C3C">
        <w:rPr>
          <w:i/>
          <w:lang w:val="en-GB"/>
        </w:rPr>
        <w:t>The Last Utopia</w:t>
      </w:r>
      <w:r w:rsidR="004C43F9" w:rsidRPr="004C43F9">
        <w:rPr>
          <w:rStyle w:val="Voetnootmarkering"/>
          <w:lang w:val="en-GB"/>
        </w:rPr>
        <w:footnoteReference w:id="2"/>
      </w:r>
      <w:r w:rsidR="00817C3C">
        <w:rPr>
          <w:i/>
          <w:lang w:val="en-GB"/>
        </w:rPr>
        <w:t>.</w:t>
      </w:r>
      <w:r w:rsidR="00533B7A">
        <w:rPr>
          <w:lang w:val="en-GB"/>
        </w:rPr>
        <w:t xml:space="preserve"> </w:t>
      </w:r>
      <w:r w:rsidR="005A23AE">
        <w:rPr>
          <w:lang w:val="en-GB"/>
        </w:rPr>
        <w:t>Unsurprisingly</w:t>
      </w:r>
      <w:r w:rsidR="00897F80">
        <w:rPr>
          <w:lang w:val="en-GB"/>
        </w:rPr>
        <w:t xml:space="preserve">, since it </w:t>
      </w:r>
      <w:r w:rsidR="00533B7A">
        <w:rPr>
          <w:lang w:val="en-GB"/>
        </w:rPr>
        <w:t xml:space="preserve">is considered as “the most effective system of international </w:t>
      </w:r>
      <w:r w:rsidR="00533B7A">
        <w:rPr>
          <w:lang w:val="en-GB"/>
        </w:rPr>
        <w:lastRenderedPageBreak/>
        <w:t>protection of human rights in existence”</w:t>
      </w:r>
      <w:r w:rsidR="00533B7A">
        <w:rPr>
          <w:rStyle w:val="Voetnootmarkering"/>
          <w:lang w:val="en-GB"/>
        </w:rPr>
        <w:footnoteReference w:id="3"/>
      </w:r>
      <w:r w:rsidR="00533B7A">
        <w:rPr>
          <w:lang w:val="en-GB"/>
        </w:rPr>
        <w:t>, quite some scholarly interest has focused in particular on the history of the European Convention on Human Rights (ECHR)</w:t>
      </w:r>
      <w:r w:rsidR="009B4556">
        <w:rPr>
          <w:lang w:val="en-GB"/>
        </w:rPr>
        <w:t>, signed in 1950,</w:t>
      </w:r>
      <w:r w:rsidR="00533B7A">
        <w:rPr>
          <w:lang w:val="en-GB"/>
        </w:rPr>
        <w:t xml:space="preserve"> and the European Court of Human Rights (ECtHR) in Strasbourg, </w:t>
      </w:r>
      <w:r w:rsidR="009B4556">
        <w:rPr>
          <w:lang w:val="en-GB"/>
        </w:rPr>
        <w:t>established in 1959, which is</w:t>
      </w:r>
      <w:r w:rsidR="00533B7A">
        <w:rPr>
          <w:lang w:val="en-GB"/>
        </w:rPr>
        <w:t xml:space="preserve"> competent to rule on allegations of violations of this Convention and its additional protocol</w:t>
      </w:r>
      <w:r w:rsidR="009B4556">
        <w:rPr>
          <w:lang w:val="en-GB"/>
        </w:rPr>
        <w:t>s</w:t>
      </w:r>
      <w:r w:rsidR="00533B7A">
        <w:rPr>
          <w:lang w:val="en-GB"/>
        </w:rPr>
        <w:t xml:space="preserve"> by any of the now 47 member </w:t>
      </w:r>
      <w:r w:rsidR="00817C3C">
        <w:rPr>
          <w:lang w:val="en-GB"/>
        </w:rPr>
        <w:t>States of the Council of Europe</w:t>
      </w:r>
      <w:r w:rsidR="00B21960">
        <w:rPr>
          <w:rStyle w:val="Voetnootmarkering"/>
          <w:lang w:val="en-GB"/>
        </w:rPr>
        <w:footnoteReference w:id="4"/>
      </w:r>
      <w:r w:rsidR="00817C3C">
        <w:rPr>
          <w:lang w:val="en-GB"/>
        </w:rPr>
        <w:t>.</w:t>
      </w:r>
    </w:p>
    <w:p w14:paraId="4134BEE0" w14:textId="63ADBB24" w:rsidR="002C4595" w:rsidRDefault="009B4556" w:rsidP="001A19D0">
      <w:pPr>
        <w:ind w:firstLine="708"/>
        <w:jc w:val="both"/>
        <w:rPr>
          <w:lang w:val="en-GB"/>
        </w:rPr>
      </w:pPr>
      <w:r>
        <w:rPr>
          <w:lang w:val="en-GB"/>
        </w:rPr>
        <w:t>When examining the history of the ECHR</w:t>
      </w:r>
      <w:r w:rsidR="002C4595">
        <w:rPr>
          <w:lang w:val="en-GB"/>
        </w:rPr>
        <w:t xml:space="preserve"> and the </w:t>
      </w:r>
      <w:r w:rsidR="005C07AC">
        <w:rPr>
          <w:lang w:val="en-GB"/>
        </w:rPr>
        <w:t>Court’s case law</w:t>
      </w:r>
      <w:r>
        <w:rPr>
          <w:lang w:val="en-GB"/>
        </w:rPr>
        <w:t xml:space="preserve">, it must be taken into account that European Convention law has not </w:t>
      </w:r>
      <w:r w:rsidR="00B71E42">
        <w:rPr>
          <w:lang w:val="en-GB"/>
        </w:rPr>
        <w:t xml:space="preserve">evolved </w:t>
      </w:r>
      <w:r>
        <w:rPr>
          <w:lang w:val="en-GB"/>
        </w:rPr>
        <w:t xml:space="preserve">in isolation, but </w:t>
      </w:r>
      <w:r w:rsidR="00B71E42">
        <w:rPr>
          <w:lang w:val="en-GB"/>
        </w:rPr>
        <w:t>has rather developed from the interaction between the national and the international spheres</w:t>
      </w:r>
      <w:r w:rsidR="00B71E42">
        <w:rPr>
          <w:rStyle w:val="Voetnootmarkering"/>
          <w:lang w:val="en-GB"/>
        </w:rPr>
        <w:footnoteReference w:id="5"/>
      </w:r>
      <w:r w:rsidR="00817C3C">
        <w:rPr>
          <w:lang w:val="en-GB"/>
        </w:rPr>
        <w:t>.</w:t>
      </w:r>
      <w:r w:rsidR="00B71E42">
        <w:rPr>
          <w:lang w:val="en-GB"/>
        </w:rPr>
        <w:t xml:space="preserve"> </w:t>
      </w:r>
      <w:r w:rsidR="002C4595">
        <w:rPr>
          <w:lang w:val="en-GB"/>
        </w:rPr>
        <w:t xml:space="preserve">This interaction is apparent from the existing histories of the ECtHR. In an initial period, the ECHR and the </w:t>
      </w:r>
      <w:r w:rsidR="005C07AC">
        <w:rPr>
          <w:lang w:val="en-GB"/>
        </w:rPr>
        <w:t xml:space="preserve">Court’s case law had limited normative impact on the domestic level as a result of the ECtHR’s very small caseload </w:t>
      </w:r>
      <w:r w:rsidR="00AB5062">
        <w:rPr>
          <w:lang w:val="en-GB"/>
        </w:rPr>
        <w:t xml:space="preserve">in which </w:t>
      </w:r>
      <w:r w:rsidR="005C07AC">
        <w:rPr>
          <w:lang w:val="en-GB"/>
        </w:rPr>
        <w:t xml:space="preserve">the Court </w:t>
      </w:r>
      <w:r w:rsidR="00AB5062">
        <w:rPr>
          <w:lang w:val="en-GB"/>
        </w:rPr>
        <w:t>deployed “</w:t>
      </w:r>
      <w:r w:rsidR="005C07AC">
        <w:rPr>
          <w:lang w:val="en-GB"/>
        </w:rPr>
        <w:t>a relatively restrictive and often-state friendly interpretation of the Convention to facilitate states’ acceptance of the s</w:t>
      </w:r>
      <w:r w:rsidR="00817C3C">
        <w:rPr>
          <w:lang w:val="en-GB"/>
        </w:rPr>
        <w:t>ystem</w:t>
      </w:r>
      <w:r w:rsidR="005C07AC">
        <w:rPr>
          <w:lang w:val="en-GB"/>
        </w:rPr>
        <w:t>”</w:t>
      </w:r>
      <w:r w:rsidR="005C07AC">
        <w:rPr>
          <w:rStyle w:val="Voetnootmarkering"/>
          <w:lang w:val="en-GB"/>
        </w:rPr>
        <w:footnoteReference w:id="6"/>
      </w:r>
      <w:r w:rsidR="00817C3C">
        <w:rPr>
          <w:lang w:val="en-GB"/>
        </w:rPr>
        <w:t>.</w:t>
      </w:r>
      <w:r w:rsidR="00AB5062">
        <w:rPr>
          <w:lang w:val="en-GB"/>
        </w:rPr>
        <w:t xml:space="preserve"> It was only in the </w:t>
      </w:r>
      <w:proofErr w:type="spellStart"/>
      <w:r w:rsidR="00AB5062">
        <w:rPr>
          <w:lang w:val="en-GB"/>
        </w:rPr>
        <w:t>1970s</w:t>
      </w:r>
      <w:proofErr w:type="spellEnd"/>
      <w:r w:rsidR="00AB5062">
        <w:rPr>
          <w:lang w:val="en-GB"/>
        </w:rPr>
        <w:t>, when it became established that member states were willing to</w:t>
      </w:r>
      <w:r w:rsidR="00817C3C">
        <w:rPr>
          <w:lang w:val="en-GB"/>
        </w:rPr>
        <w:t xml:space="preserve"> comply with Strasbourg rulings</w:t>
      </w:r>
      <w:r w:rsidR="00AB5062">
        <w:rPr>
          <w:rStyle w:val="Voetnootmarkering"/>
          <w:lang w:val="en-GB"/>
        </w:rPr>
        <w:footnoteReference w:id="7"/>
      </w:r>
      <w:r w:rsidR="00817C3C">
        <w:rPr>
          <w:lang w:val="en-GB"/>
        </w:rPr>
        <w:t>,</w:t>
      </w:r>
      <w:r w:rsidR="00AB5062">
        <w:rPr>
          <w:lang w:val="en-GB"/>
        </w:rPr>
        <w:t xml:space="preserve"> that the Court felt confident to become a bo</w:t>
      </w:r>
      <w:r w:rsidR="00817C3C">
        <w:rPr>
          <w:lang w:val="en-GB"/>
        </w:rPr>
        <w:t>lder, more activist institution</w:t>
      </w:r>
      <w:r w:rsidR="00AB5062">
        <w:rPr>
          <w:rStyle w:val="Voetnootmarkering"/>
          <w:lang w:val="en-GB"/>
        </w:rPr>
        <w:footnoteReference w:id="8"/>
      </w:r>
      <w:r w:rsidR="00817C3C">
        <w:rPr>
          <w:lang w:val="en-GB"/>
        </w:rPr>
        <w:t>.</w:t>
      </w:r>
      <w:r w:rsidR="00AB5062">
        <w:rPr>
          <w:lang w:val="en-GB"/>
        </w:rPr>
        <w:t xml:space="preserve"> The progressive empowerment of the Strasbourg Court cannot theref</w:t>
      </w:r>
      <w:r w:rsidR="008A369F">
        <w:rPr>
          <w:lang w:val="en-GB"/>
        </w:rPr>
        <w:t>ore be seen in isolation from the progressive reception of the ECHR and the Strasbourg case law in the member states and vice versa. Given this interaction between the national and international spheres,</w:t>
      </w:r>
      <w:r w:rsidR="006A03F9">
        <w:rPr>
          <w:lang w:val="en-GB"/>
        </w:rPr>
        <w:t xml:space="preserve"> instead of talking about one singular “transnatio</w:t>
      </w:r>
      <w:r w:rsidR="00B71E42">
        <w:rPr>
          <w:lang w:val="en-GB"/>
        </w:rPr>
        <w:t>nal” history of the ECtHR, it may be</w:t>
      </w:r>
      <w:r w:rsidR="006A03F9">
        <w:rPr>
          <w:lang w:val="en-GB"/>
        </w:rPr>
        <w:t xml:space="preserve"> more appropriate to talk about the history of the ECtHR in terms of a plurality of different national histories of the </w:t>
      </w:r>
      <w:r w:rsidR="0017081D">
        <w:rPr>
          <w:lang w:val="en-GB"/>
        </w:rPr>
        <w:t>reception</w:t>
      </w:r>
      <w:r w:rsidR="006A03F9">
        <w:rPr>
          <w:lang w:val="en-GB"/>
        </w:rPr>
        <w:t xml:space="preserve"> of the </w:t>
      </w:r>
      <w:r w:rsidR="008A369F">
        <w:rPr>
          <w:lang w:val="en-GB"/>
        </w:rPr>
        <w:t>European Convention law</w:t>
      </w:r>
      <w:r w:rsidR="006A03F9">
        <w:rPr>
          <w:lang w:val="en-GB"/>
        </w:rPr>
        <w:t xml:space="preserve"> at the national level and of the respective interactions of the national and the international spheres</w:t>
      </w:r>
      <w:r w:rsidR="00B71E42">
        <w:rPr>
          <w:rStyle w:val="Voetnootmarkering"/>
          <w:lang w:val="en-GB"/>
        </w:rPr>
        <w:footnoteReference w:id="9"/>
      </w:r>
      <w:r w:rsidR="00817C3C">
        <w:rPr>
          <w:lang w:val="en-GB"/>
        </w:rPr>
        <w:t>.</w:t>
      </w:r>
      <w:r w:rsidR="004C11B2">
        <w:rPr>
          <w:lang w:val="en-GB"/>
        </w:rPr>
        <w:t xml:space="preserve"> For this reason, </w:t>
      </w:r>
      <w:r w:rsidR="00793CB9">
        <w:rPr>
          <w:lang w:val="en-GB"/>
        </w:rPr>
        <w:t>there is a need for research to</w:t>
      </w:r>
      <w:r w:rsidR="004C11B2">
        <w:rPr>
          <w:lang w:val="en-GB"/>
        </w:rPr>
        <w:t xml:space="preserve"> focus on these national </w:t>
      </w:r>
      <w:r w:rsidR="00825A25">
        <w:rPr>
          <w:lang w:val="en-GB"/>
        </w:rPr>
        <w:t>reception histories as well,</w:t>
      </w:r>
      <w:r w:rsidR="00825A25" w:rsidRPr="00C04F26">
        <w:rPr>
          <w:lang w:val="en-GB"/>
        </w:rPr>
        <w:t xml:space="preserve"> in order to explain how </w:t>
      </w:r>
      <w:r w:rsidR="0091001C" w:rsidRPr="00C04F26">
        <w:rPr>
          <w:lang w:val="en-GB"/>
        </w:rPr>
        <w:t>this</w:t>
      </w:r>
      <w:r w:rsidR="00825A25" w:rsidRPr="00C04F26">
        <w:rPr>
          <w:lang w:val="en-GB"/>
        </w:rPr>
        <w:t xml:space="preserve"> new layer of</w:t>
      </w:r>
      <w:r w:rsidR="0091001C" w:rsidRPr="00C04F26">
        <w:rPr>
          <w:lang w:val="en-GB"/>
        </w:rPr>
        <w:t xml:space="preserve"> international law gradually managed to gain authorit</w:t>
      </w:r>
      <w:r w:rsidR="002C4595">
        <w:rPr>
          <w:lang w:val="en-GB"/>
        </w:rPr>
        <w:t>y in diverse national settings.</w:t>
      </w:r>
    </w:p>
    <w:p w14:paraId="1F8B811A" w14:textId="0FD64667" w:rsidR="006C7687" w:rsidRDefault="00423B84" w:rsidP="001A19D0">
      <w:pPr>
        <w:ind w:firstLine="708"/>
        <w:jc w:val="both"/>
        <w:rPr>
          <w:lang w:val="en-GB"/>
        </w:rPr>
      </w:pPr>
      <w:r>
        <w:rPr>
          <w:lang w:val="en-GB"/>
        </w:rPr>
        <w:t>The available</w:t>
      </w:r>
      <w:r w:rsidR="004B3ABB">
        <w:rPr>
          <w:lang w:val="en-GB"/>
        </w:rPr>
        <w:t xml:space="preserve"> legal</w:t>
      </w:r>
      <w:r>
        <w:rPr>
          <w:lang w:val="en-GB"/>
        </w:rPr>
        <w:t xml:space="preserve"> histories of this kind are however typically written from an internal point of view, focusing on the normative and institutio</w:t>
      </w:r>
      <w:r w:rsidR="00ED40F9">
        <w:rPr>
          <w:lang w:val="en-GB"/>
        </w:rPr>
        <w:t xml:space="preserve">nal development of the field per se, rather than on how these evolutions are embedded in broader social, </w:t>
      </w:r>
      <w:r w:rsidR="00172465">
        <w:rPr>
          <w:lang w:val="en-GB"/>
        </w:rPr>
        <w:t>political and legal</w:t>
      </w:r>
      <w:r w:rsidR="00ED40F9">
        <w:rPr>
          <w:lang w:val="en-GB"/>
        </w:rPr>
        <w:t xml:space="preserve"> </w:t>
      </w:r>
      <w:r w:rsidR="0004103E">
        <w:rPr>
          <w:lang w:val="en-GB"/>
        </w:rPr>
        <w:t>contexts</w:t>
      </w:r>
      <w:r w:rsidR="00817C3C">
        <w:rPr>
          <w:lang w:val="en-GB"/>
        </w:rPr>
        <w:t xml:space="preserve"> that undergo changes over time</w:t>
      </w:r>
      <w:r w:rsidR="0004103E">
        <w:rPr>
          <w:rStyle w:val="Voetnootmarkering"/>
          <w:lang w:val="en-GB"/>
        </w:rPr>
        <w:footnoteReference w:id="10"/>
      </w:r>
      <w:r w:rsidR="00817C3C">
        <w:rPr>
          <w:lang w:val="en-GB"/>
        </w:rPr>
        <w:t>.</w:t>
      </w:r>
      <w:r w:rsidR="0004103E">
        <w:rPr>
          <w:lang w:val="en-GB"/>
        </w:rPr>
        <w:t xml:space="preserve"> With respect to Belgium, </w:t>
      </w:r>
      <w:r w:rsidR="004B3ABB">
        <w:rPr>
          <w:lang w:val="en-GB"/>
        </w:rPr>
        <w:t>the object of the present study</w:t>
      </w:r>
      <w:r w:rsidR="0004103E">
        <w:rPr>
          <w:lang w:val="en-GB"/>
        </w:rPr>
        <w:t>, the available research is strictly of the first kind, focusing for example on questions such as the legal significance of the Belgian cases in Strasbourg for the development of Belgian law</w:t>
      </w:r>
      <w:r w:rsidR="0004103E">
        <w:rPr>
          <w:rStyle w:val="Voetnootmarkering"/>
          <w:lang w:val="en-GB"/>
        </w:rPr>
        <w:footnoteReference w:id="11"/>
      </w:r>
      <w:r w:rsidR="0004103E">
        <w:rPr>
          <w:lang w:val="en-GB"/>
        </w:rPr>
        <w:t xml:space="preserve"> or on the application by Belgian </w:t>
      </w:r>
      <w:r w:rsidR="0004103E">
        <w:rPr>
          <w:lang w:val="en-GB"/>
        </w:rPr>
        <w:lastRenderedPageBreak/>
        <w:t xml:space="preserve">courts of the </w:t>
      </w:r>
      <w:r w:rsidR="00817C3C">
        <w:rPr>
          <w:lang w:val="en-GB"/>
        </w:rPr>
        <w:t>ECHR</w:t>
      </w:r>
      <w:r w:rsidR="0004103E">
        <w:rPr>
          <w:rStyle w:val="Voetnootmarkering"/>
          <w:lang w:val="en-GB"/>
        </w:rPr>
        <w:footnoteReference w:id="12"/>
      </w:r>
      <w:r w:rsidR="00817C3C">
        <w:rPr>
          <w:lang w:val="en-GB"/>
        </w:rPr>
        <w:t>,</w:t>
      </w:r>
      <w:r w:rsidR="004B3ABB">
        <w:rPr>
          <w:lang w:val="en-GB"/>
        </w:rPr>
        <w:t xml:space="preserve"> including questions such </w:t>
      </w:r>
      <w:r w:rsidR="0004103E">
        <w:rPr>
          <w:lang w:val="en-GB"/>
        </w:rPr>
        <w:t>as the evolution in the application of the doctrine of direct ef</w:t>
      </w:r>
      <w:r w:rsidR="00817C3C">
        <w:rPr>
          <w:lang w:val="en-GB"/>
        </w:rPr>
        <w:t>fect to the ECHR in Belgian law</w:t>
      </w:r>
      <w:r w:rsidR="0004103E">
        <w:rPr>
          <w:rStyle w:val="Voetnootmarkering"/>
          <w:lang w:val="en-GB"/>
        </w:rPr>
        <w:footnoteReference w:id="13"/>
      </w:r>
      <w:r w:rsidR="00817C3C">
        <w:rPr>
          <w:lang w:val="en-GB"/>
        </w:rPr>
        <w:t>.</w:t>
      </w:r>
    </w:p>
    <w:p w14:paraId="45E4813C" w14:textId="7BC1BE78" w:rsidR="006C7687" w:rsidRPr="001842CF" w:rsidRDefault="006C7687" w:rsidP="001A19D0">
      <w:pPr>
        <w:ind w:firstLine="708"/>
        <w:jc w:val="both"/>
        <w:rPr>
          <w:lang w:val="en-GB"/>
        </w:rPr>
      </w:pPr>
      <w:r>
        <w:rPr>
          <w:lang w:val="en-GB"/>
        </w:rPr>
        <w:t xml:space="preserve">Belgium constitutes an interesting case study for a number of reasons. Belgium was one of the ECHR’s founding States and one of the first to accept both the right </w:t>
      </w:r>
      <w:r w:rsidR="004A0A88">
        <w:rPr>
          <w:lang w:val="en-GB"/>
        </w:rPr>
        <w:t xml:space="preserve">of </w:t>
      </w:r>
      <w:r>
        <w:rPr>
          <w:lang w:val="en-GB"/>
        </w:rPr>
        <w:t>individual petition and the jurisdiction of the Court. During the first decades of the operation of the Convention system, a relative high number of applicati</w:t>
      </w:r>
      <w:r w:rsidR="00817C3C">
        <w:rPr>
          <w:lang w:val="en-GB"/>
        </w:rPr>
        <w:t>ons were lodged against Belgium</w:t>
      </w:r>
      <w:r>
        <w:rPr>
          <w:rStyle w:val="Voetnootmarkering"/>
          <w:lang w:val="en-GB"/>
        </w:rPr>
        <w:footnoteReference w:id="14"/>
      </w:r>
      <w:r w:rsidR="00817C3C">
        <w:rPr>
          <w:lang w:val="en-GB"/>
        </w:rPr>
        <w:t>.</w:t>
      </w:r>
      <w:r>
        <w:rPr>
          <w:lang w:val="en-GB"/>
        </w:rPr>
        <w:t xml:space="preserve"> In addition, the history of the early Belgian cases will be of interest to many lawyers with an interest in the Convention system, since, despite being a small country, Belgium was involved in a significant number of early landmark cases by the ECtHR such as the 1968 </w:t>
      </w:r>
      <w:r>
        <w:rPr>
          <w:i/>
          <w:lang w:val="en-GB"/>
        </w:rPr>
        <w:t xml:space="preserve">Belgian Linguistics </w:t>
      </w:r>
      <w:r>
        <w:rPr>
          <w:lang w:val="en-GB"/>
        </w:rPr>
        <w:t xml:space="preserve">case and the 1979 </w:t>
      </w:r>
      <w:r>
        <w:rPr>
          <w:i/>
          <w:lang w:val="en-GB"/>
        </w:rPr>
        <w:t xml:space="preserve">Marckx </w:t>
      </w:r>
      <w:r>
        <w:rPr>
          <w:lang w:val="en-GB"/>
        </w:rPr>
        <w:t>case</w:t>
      </w:r>
      <w:r w:rsidR="006035E0">
        <w:rPr>
          <w:lang w:val="en-GB"/>
        </w:rPr>
        <w:t>.</w:t>
      </w:r>
      <w:r>
        <w:rPr>
          <w:lang w:val="en-GB"/>
        </w:rPr>
        <w:t xml:space="preserve"> Moreover, from a comparative perspective, Belgium is an interesting country, it being located at the juncture of northern and southern European (legal)</w:t>
      </w:r>
      <w:r>
        <w:rPr>
          <w:rStyle w:val="Voetnootmarkering"/>
          <w:lang w:val="en-GB"/>
        </w:rPr>
        <w:footnoteReference w:id="15"/>
      </w:r>
      <w:r w:rsidR="00817C3C">
        <w:rPr>
          <w:lang w:val="en-GB"/>
        </w:rPr>
        <w:t xml:space="preserve"> culture</w:t>
      </w:r>
      <w:r>
        <w:rPr>
          <w:rStyle w:val="Voetnootmarkering"/>
          <w:lang w:val="en-GB"/>
        </w:rPr>
        <w:footnoteReference w:id="16"/>
      </w:r>
      <w:r w:rsidR="00817C3C">
        <w:rPr>
          <w:lang w:val="en-GB"/>
        </w:rPr>
        <w:t>.</w:t>
      </w:r>
    </w:p>
    <w:p w14:paraId="6A3EBCE0" w14:textId="6F7B95AC" w:rsidR="00FB1011" w:rsidRDefault="00817C3C" w:rsidP="001A19D0">
      <w:pPr>
        <w:ind w:firstLine="708"/>
        <w:jc w:val="both"/>
        <w:rPr>
          <w:lang w:val="en-GB"/>
        </w:rPr>
      </w:pPr>
      <w:r>
        <w:rPr>
          <w:lang w:val="en-GB"/>
        </w:rPr>
        <w:t>As in other States</w:t>
      </w:r>
      <w:r w:rsidR="00731E37" w:rsidRPr="00D26DAC">
        <w:rPr>
          <w:rStyle w:val="Voetnootmarkering"/>
          <w:lang w:val="en-GB"/>
        </w:rPr>
        <w:footnoteReference w:id="17"/>
      </w:r>
      <w:r>
        <w:rPr>
          <w:lang w:val="en-GB"/>
        </w:rPr>
        <w:t>,</w:t>
      </w:r>
      <w:r w:rsidR="00731E37" w:rsidRPr="00D26DAC">
        <w:rPr>
          <w:lang w:val="en-GB"/>
        </w:rPr>
        <w:t xml:space="preserve"> it took quite some time for the ECHR and the ECtHR to find a place in the Belgian legal landscape and to impose their authority.</w:t>
      </w:r>
      <w:r w:rsidR="00D26DAC" w:rsidRPr="00D26DAC">
        <w:rPr>
          <w:lang w:val="en-GB"/>
        </w:rPr>
        <w:t xml:space="preserve"> </w:t>
      </w:r>
      <w:r w:rsidR="007F6059" w:rsidRPr="00D26DAC">
        <w:rPr>
          <w:lang w:val="en-GB"/>
        </w:rPr>
        <w:t xml:space="preserve">While there are many ways in which one can approach the Belgian history of the </w:t>
      </w:r>
      <w:r w:rsidR="0017081D">
        <w:rPr>
          <w:lang w:val="en-GB"/>
        </w:rPr>
        <w:t>reception</w:t>
      </w:r>
      <w:r w:rsidR="007F6059" w:rsidRPr="00D26DAC">
        <w:rPr>
          <w:lang w:val="en-GB"/>
        </w:rPr>
        <w:t xml:space="preserve"> of the ECHR, </w:t>
      </w:r>
      <w:r w:rsidR="00D26DAC" w:rsidRPr="00D26DAC">
        <w:rPr>
          <w:lang w:val="en-GB"/>
        </w:rPr>
        <w:t xml:space="preserve">successful </w:t>
      </w:r>
      <w:r w:rsidR="007F6059" w:rsidRPr="00D26DAC">
        <w:rPr>
          <w:lang w:val="en-GB"/>
        </w:rPr>
        <w:t>litigation in Strasbourg</w:t>
      </w:r>
      <w:r w:rsidR="00731E37" w:rsidRPr="00D26DAC">
        <w:rPr>
          <w:lang w:val="en-GB"/>
        </w:rPr>
        <w:t xml:space="preserve"> seems to have</w:t>
      </w:r>
      <w:r w:rsidR="007F6059" w:rsidRPr="00D26DAC">
        <w:rPr>
          <w:lang w:val="en-GB"/>
        </w:rPr>
        <w:t xml:space="preserve"> </w:t>
      </w:r>
      <w:r w:rsidR="00731E37" w:rsidRPr="00D26DAC">
        <w:rPr>
          <w:lang w:val="en-GB"/>
        </w:rPr>
        <w:t>been a major factor contributing</w:t>
      </w:r>
      <w:r w:rsidR="007F6059" w:rsidRPr="00D26DAC">
        <w:rPr>
          <w:lang w:val="en-GB"/>
        </w:rPr>
        <w:t xml:space="preserve"> to the “discovery” of the E</w:t>
      </w:r>
      <w:r>
        <w:rPr>
          <w:lang w:val="en-GB"/>
        </w:rPr>
        <w:t>CHR in the Belgian legal system</w:t>
      </w:r>
      <w:r w:rsidR="00D26DAC" w:rsidRPr="00D26DAC">
        <w:rPr>
          <w:rStyle w:val="Voetnootmarkering"/>
          <w:lang w:val="en-GB"/>
        </w:rPr>
        <w:footnoteReference w:id="18"/>
      </w:r>
      <w:r>
        <w:rPr>
          <w:lang w:val="en-GB"/>
        </w:rPr>
        <w:t>.</w:t>
      </w:r>
      <w:r w:rsidR="00D26DAC">
        <w:rPr>
          <w:lang w:val="en-GB"/>
        </w:rPr>
        <w:t xml:space="preserve"> Therefore, the choice is made to approach the history of </w:t>
      </w:r>
      <w:r w:rsidR="004A0A88">
        <w:rPr>
          <w:lang w:val="en-GB"/>
        </w:rPr>
        <w:t xml:space="preserve">the </w:t>
      </w:r>
      <w:r w:rsidR="00D26DAC">
        <w:rPr>
          <w:lang w:val="en-GB"/>
        </w:rPr>
        <w:t xml:space="preserve">ECHR in Belgium by focusing on the history of the Belgian cases </w:t>
      </w:r>
      <w:r w:rsidR="009E5A54">
        <w:rPr>
          <w:lang w:val="en-GB"/>
        </w:rPr>
        <w:t>in Strasbourg</w:t>
      </w:r>
      <w:r w:rsidR="00D26DAC">
        <w:rPr>
          <w:lang w:val="en-GB"/>
        </w:rPr>
        <w:t xml:space="preserve">. </w:t>
      </w:r>
      <w:r w:rsidR="00E54A3E">
        <w:rPr>
          <w:lang w:val="en-GB"/>
        </w:rPr>
        <w:t xml:space="preserve">The present study </w:t>
      </w:r>
      <w:r w:rsidR="00D26DAC">
        <w:rPr>
          <w:lang w:val="en-GB"/>
        </w:rPr>
        <w:t>approaches this history adopting</w:t>
      </w:r>
      <w:r w:rsidR="00E54A3E">
        <w:rPr>
          <w:lang w:val="en-GB"/>
        </w:rPr>
        <w:t xml:space="preserve"> a</w:t>
      </w:r>
      <w:r w:rsidR="002A7C75">
        <w:rPr>
          <w:lang w:val="en-GB"/>
        </w:rPr>
        <w:t>n actor-centred and</w:t>
      </w:r>
      <w:r w:rsidR="00E54A3E">
        <w:rPr>
          <w:lang w:val="en-GB"/>
        </w:rPr>
        <w:t xml:space="preserve"> “</w:t>
      </w:r>
      <w:proofErr w:type="spellStart"/>
      <w:r w:rsidR="00E54A3E">
        <w:rPr>
          <w:lang w:val="en-GB"/>
        </w:rPr>
        <w:t>microjudicial</w:t>
      </w:r>
      <w:proofErr w:type="spellEnd"/>
      <w:r w:rsidR="00E54A3E">
        <w:rPr>
          <w:lang w:val="en-GB"/>
        </w:rPr>
        <w:t xml:space="preserve">” </w:t>
      </w:r>
      <w:r w:rsidR="002A7C75">
        <w:rPr>
          <w:lang w:val="en-GB"/>
        </w:rPr>
        <w:t xml:space="preserve">perspective </w:t>
      </w:r>
      <w:r w:rsidR="00E54A3E">
        <w:rPr>
          <w:lang w:val="en-GB"/>
        </w:rPr>
        <w:t xml:space="preserve">– </w:t>
      </w:r>
      <w:r w:rsidR="002A7C75">
        <w:rPr>
          <w:lang w:val="en-GB"/>
        </w:rPr>
        <w:t xml:space="preserve">the latter implying the preference for </w:t>
      </w:r>
      <w:r w:rsidR="00E54A3E">
        <w:rPr>
          <w:lang w:val="en-GB"/>
        </w:rPr>
        <w:t>“a subjective, case-specific view on the law</w:t>
      </w:r>
      <w:r w:rsidR="002A7C75">
        <w:rPr>
          <w:lang w:val="en-GB"/>
        </w:rPr>
        <w:t>” over</w:t>
      </w:r>
      <w:r w:rsidR="00E54A3E">
        <w:rPr>
          <w:lang w:val="en-GB"/>
        </w:rPr>
        <w:t xml:space="preserve"> </w:t>
      </w:r>
      <w:r w:rsidR="002A7C75">
        <w:rPr>
          <w:lang w:val="en-GB"/>
        </w:rPr>
        <w:t>“</w:t>
      </w:r>
      <w:r w:rsidR="00E54A3E">
        <w:rPr>
          <w:lang w:val="en-GB"/>
        </w:rPr>
        <w:t>a focus on legal order”</w:t>
      </w:r>
      <w:r w:rsidR="00E54A3E">
        <w:rPr>
          <w:rStyle w:val="Voetnootmarkering"/>
          <w:lang w:val="en-GB"/>
        </w:rPr>
        <w:footnoteReference w:id="19"/>
      </w:r>
      <w:r w:rsidR="00E54A3E">
        <w:rPr>
          <w:lang w:val="en-GB"/>
        </w:rPr>
        <w:t xml:space="preserve"> –</w:t>
      </w:r>
      <w:r w:rsidR="00A1727C">
        <w:rPr>
          <w:lang w:val="en-GB"/>
        </w:rPr>
        <w:t>Law in general and European Convention law in particular cannot in themselves</w:t>
      </w:r>
      <w:r w:rsidR="00304D1A">
        <w:rPr>
          <w:lang w:val="en-GB"/>
        </w:rPr>
        <w:t xml:space="preserve"> achieve anything, but need individual actors to mobilize it and to “pull” or “push” </w:t>
      </w:r>
      <w:r w:rsidR="004568D1">
        <w:rPr>
          <w:lang w:val="en-GB"/>
        </w:rPr>
        <w:t>it</w:t>
      </w:r>
      <w:r w:rsidR="00A1727C">
        <w:rPr>
          <w:lang w:val="en-GB"/>
        </w:rPr>
        <w:t xml:space="preserve"> in</w:t>
      </w:r>
      <w:r w:rsidR="00304D1A">
        <w:rPr>
          <w:lang w:val="en-GB"/>
        </w:rPr>
        <w:t xml:space="preserve"> certain direction</w:t>
      </w:r>
      <w:r w:rsidR="00A1727C">
        <w:rPr>
          <w:lang w:val="en-GB"/>
        </w:rPr>
        <w:t>s</w:t>
      </w:r>
      <w:r w:rsidR="00304D1A">
        <w:rPr>
          <w:rStyle w:val="Voetnootmarkering"/>
          <w:lang w:val="en-GB"/>
        </w:rPr>
        <w:footnoteReference w:id="20"/>
      </w:r>
      <w:r>
        <w:rPr>
          <w:lang w:val="en-GB"/>
        </w:rPr>
        <w:t>.</w:t>
      </w:r>
      <w:r w:rsidR="00A1727C">
        <w:rPr>
          <w:lang w:val="en-GB"/>
        </w:rPr>
        <w:t xml:space="preserve"> European Convention</w:t>
      </w:r>
      <w:r w:rsidR="00A90DBB">
        <w:rPr>
          <w:lang w:val="en-GB"/>
        </w:rPr>
        <w:t xml:space="preserve"> law</w:t>
      </w:r>
      <w:r w:rsidR="00A1727C">
        <w:rPr>
          <w:lang w:val="en-GB"/>
        </w:rPr>
        <w:t xml:space="preserve"> would not have developed</w:t>
      </w:r>
      <w:r w:rsidR="00A90DBB">
        <w:rPr>
          <w:lang w:val="en-GB"/>
        </w:rPr>
        <w:t xml:space="preserve"> the way it did, were it not for the individual actors </w:t>
      </w:r>
      <w:r w:rsidR="00172465">
        <w:rPr>
          <w:lang w:val="en-GB"/>
        </w:rPr>
        <w:t xml:space="preserve">– against the background of a particular social, political and legal context – </w:t>
      </w:r>
      <w:r w:rsidR="00A90DBB">
        <w:rPr>
          <w:lang w:val="en-GB"/>
        </w:rPr>
        <w:t xml:space="preserve">that decided at a </w:t>
      </w:r>
      <w:r w:rsidR="00172465">
        <w:rPr>
          <w:lang w:val="en-GB"/>
        </w:rPr>
        <w:t>certain</w:t>
      </w:r>
      <w:r w:rsidR="00A90DBB">
        <w:rPr>
          <w:lang w:val="en-GB"/>
        </w:rPr>
        <w:t xml:space="preserve"> </w:t>
      </w:r>
      <w:r w:rsidR="00172465">
        <w:rPr>
          <w:lang w:val="en-GB"/>
        </w:rPr>
        <w:t>point i</w:t>
      </w:r>
      <w:r w:rsidR="00A90DBB">
        <w:rPr>
          <w:lang w:val="en-GB"/>
        </w:rPr>
        <w:t>n time to “go to Strasbourg”</w:t>
      </w:r>
      <w:r w:rsidR="00A90DBB">
        <w:rPr>
          <w:rStyle w:val="Voetnootmarkering"/>
          <w:lang w:val="en-GB"/>
        </w:rPr>
        <w:footnoteReference w:id="21"/>
      </w:r>
      <w:r w:rsidR="00A90DBB">
        <w:rPr>
          <w:lang w:val="en-GB"/>
        </w:rPr>
        <w:t xml:space="preserve"> and to claim that </w:t>
      </w:r>
      <w:r>
        <w:rPr>
          <w:lang w:val="en-GB"/>
        </w:rPr>
        <w:t>a human right had been violated</w:t>
      </w:r>
      <w:r w:rsidR="00A90DBB">
        <w:rPr>
          <w:rStyle w:val="Voetnootmarkering"/>
          <w:lang w:val="en-GB"/>
        </w:rPr>
        <w:footnoteReference w:id="22"/>
      </w:r>
      <w:r>
        <w:rPr>
          <w:lang w:val="en-GB"/>
        </w:rPr>
        <w:t>.</w:t>
      </w:r>
      <w:r w:rsidR="00FB1011">
        <w:rPr>
          <w:lang w:val="en-GB"/>
        </w:rPr>
        <w:t xml:space="preserve"> </w:t>
      </w:r>
      <w:r w:rsidR="002A3354">
        <w:rPr>
          <w:lang w:val="en-GB"/>
        </w:rPr>
        <w:t xml:space="preserve">According to Johnson, “it is, first </w:t>
      </w:r>
      <w:r w:rsidR="002A3354">
        <w:rPr>
          <w:lang w:val="en-GB"/>
        </w:rPr>
        <w:lastRenderedPageBreak/>
        <w:t>and foremost, the experience of individual applicants that is the foun</w:t>
      </w:r>
      <w:r>
        <w:rPr>
          <w:lang w:val="en-GB"/>
        </w:rPr>
        <w:t>dation of Strasbourg litigation</w:t>
      </w:r>
      <w:r w:rsidR="002A3354">
        <w:rPr>
          <w:lang w:val="en-GB"/>
        </w:rPr>
        <w:t>”</w:t>
      </w:r>
      <w:r w:rsidR="002A3354">
        <w:rPr>
          <w:rStyle w:val="Voetnootmarkering"/>
          <w:lang w:val="en-GB"/>
        </w:rPr>
        <w:footnoteReference w:id="23"/>
      </w:r>
      <w:r>
        <w:rPr>
          <w:lang w:val="en-GB"/>
        </w:rPr>
        <w:t>.</w:t>
      </w:r>
      <w:r w:rsidR="002A3354" w:rsidRPr="002A3354">
        <w:rPr>
          <w:lang w:val="en-GB"/>
        </w:rPr>
        <w:t xml:space="preserve"> </w:t>
      </w:r>
      <w:r w:rsidR="002A3354">
        <w:rPr>
          <w:lang w:val="en-GB"/>
        </w:rPr>
        <w:t>By focusing on the experiences of the actors involved in these cases, one can gain “</w:t>
      </w:r>
      <w:r w:rsidR="00FB1011">
        <w:rPr>
          <w:lang w:val="en-GB"/>
        </w:rPr>
        <w:t>a unique insight into the circumstances</w:t>
      </w:r>
      <w:r>
        <w:rPr>
          <w:lang w:val="en-GB"/>
        </w:rPr>
        <w:t xml:space="preserve"> out of which litigation arises</w:t>
      </w:r>
      <w:r w:rsidR="00FB1011">
        <w:rPr>
          <w:lang w:val="en-GB"/>
        </w:rPr>
        <w:t>”</w:t>
      </w:r>
      <w:r w:rsidR="00FB1011">
        <w:rPr>
          <w:rStyle w:val="Voetnootmarkering"/>
          <w:lang w:val="en-GB"/>
        </w:rPr>
        <w:footnoteReference w:id="24"/>
      </w:r>
      <w:r>
        <w:rPr>
          <w:lang w:val="en-GB"/>
        </w:rPr>
        <w:t>.</w:t>
      </w:r>
    </w:p>
    <w:p w14:paraId="03E0D4AA" w14:textId="19BB2C5D" w:rsidR="0017081D" w:rsidRDefault="0017081D" w:rsidP="001A19D0">
      <w:pPr>
        <w:ind w:firstLine="708"/>
        <w:jc w:val="both"/>
        <w:rPr>
          <w:lang w:val="en-GB"/>
        </w:rPr>
      </w:pPr>
      <w:r>
        <w:rPr>
          <w:lang w:val="en-GB"/>
        </w:rPr>
        <w:t xml:space="preserve">The aim of the present study is to examine which actors and factors contributed to the “discovery” of the ECHR and the ECtHR in Belgium. It aims to identify the actors that were involved in the early Belgian cases </w:t>
      </w:r>
      <w:r w:rsidR="009E5A54">
        <w:rPr>
          <w:lang w:val="en-GB"/>
        </w:rPr>
        <w:t xml:space="preserve">– i.e. the cases from the </w:t>
      </w:r>
      <w:proofErr w:type="spellStart"/>
      <w:r w:rsidR="009E5A54">
        <w:rPr>
          <w:lang w:val="en-GB"/>
        </w:rPr>
        <w:t>1960s</w:t>
      </w:r>
      <w:proofErr w:type="spellEnd"/>
      <w:r w:rsidR="009E5A54">
        <w:rPr>
          <w:lang w:val="en-GB"/>
        </w:rPr>
        <w:t xml:space="preserve">, </w:t>
      </w:r>
      <w:proofErr w:type="spellStart"/>
      <w:r w:rsidR="009E5A54">
        <w:rPr>
          <w:lang w:val="en-GB"/>
        </w:rPr>
        <w:t>1970s</w:t>
      </w:r>
      <w:proofErr w:type="spellEnd"/>
      <w:r w:rsidR="009E5A54">
        <w:rPr>
          <w:lang w:val="en-GB"/>
        </w:rPr>
        <w:t xml:space="preserve"> and </w:t>
      </w:r>
      <w:proofErr w:type="spellStart"/>
      <w:r w:rsidR="009E5A54">
        <w:rPr>
          <w:lang w:val="en-GB"/>
        </w:rPr>
        <w:t>1980s</w:t>
      </w:r>
      <w:proofErr w:type="spellEnd"/>
      <w:r w:rsidR="009E5A54">
        <w:rPr>
          <w:lang w:val="en-GB"/>
        </w:rPr>
        <w:t xml:space="preserve"> – before the ECtHR,</w:t>
      </w:r>
      <w:r>
        <w:rPr>
          <w:lang w:val="en-GB"/>
        </w:rPr>
        <w:t xml:space="preserve"> to determine their position</w:t>
      </w:r>
      <w:r>
        <w:rPr>
          <w:rStyle w:val="Voetnootmarkering"/>
          <w:lang w:val="en-GB"/>
        </w:rPr>
        <w:footnoteReference w:id="25"/>
      </w:r>
      <w:r>
        <w:rPr>
          <w:lang w:val="en-GB"/>
        </w:rPr>
        <w:t xml:space="preserve"> within the Belgian legal landscape as well as th</w:t>
      </w:r>
      <w:r w:rsidR="00817C3C">
        <w:rPr>
          <w:lang w:val="en-GB"/>
        </w:rPr>
        <w:t>eir motivations and aspirations</w:t>
      </w:r>
      <w:r>
        <w:rPr>
          <w:rStyle w:val="Voetnootmarkering"/>
          <w:lang w:val="en-GB"/>
        </w:rPr>
        <w:footnoteReference w:id="26"/>
      </w:r>
      <w:r w:rsidR="00817C3C">
        <w:rPr>
          <w:lang w:val="en-GB"/>
        </w:rPr>
        <w:t>.</w:t>
      </w:r>
      <w:r>
        <w:rPr>
          <w:lang w:val="en-GB"/>
        </w:rPr>
        <w:t xml:space="preserve"> Moreover, it aims to determine how and from what contexts and circumstan</w:t>
      </w:r>
      <w:r w:rsidR="00817C3C">
        <w:rPr>
          <w:lang w:val="en-GB"/>
        </w:rPr>
        <w:t>ces cases against Belgium arose</w:t>
      </w:r>
      <w:r>
        <w:rPr>
          <w:rStyle w:val="Voetnootmarkering"/>
          <w:lang w:val="en-GB"/>
        </w:rPr>
        <w:footnoteReference w:id="27"/>
      </w:r>
      <w:r w:rsidR="00817C3C">
        <w:rPr>
          <w:lang w:val="en-GB"/>
        </w:rPr>
        <w:t>.</w:t>
      </w:r>
      <w:r w:rsidR="009E5A54">
        <w:rPr>
          <w:lang w:val="en-GB"/>
        </w:rPr>
        <w:t xml:space="preserve"> </w:t>
      </w:r>
    </w:p>
    <w:p w14:paraId="634B37D3" w14:textId="5C0F51F9" w:rsidR="00DF1E12" w:rsidRPr="005141C4" w:rsidRDefault="00793CB9" w:rsidP="001A19D0">
      <w:pPr>
        <w:ind w:firstLine="708"/>
        <w:jc w:val="both"/>
        <w:rPr>
          <w:lang w:val="en-GB"/>
        </w:rPr>
      </w:pPr>
      <w:r>
        <w:rPr>
          <w:lang w:val="en-GB"/>
        </w:rPr>
        <w:t>Research of this type has been conducted with respect to other countries</w:t>
      </w:r>
      <w:r w:rsidR="00865B00">
        <w:rPr>
          <w:lang w:val="en-GB"/>
        </w:rPr>
        <w:t>, albeit with a smaller scope</w:t>
      </w:r>
      <w:r w:rsidR="002216CE">
        <w:rPr>
          <w:lang w:val="en-GB"/>
        </w:rPr>
        <w:t xml:space="preserve"> of inquiry</w:t>
      </w:r>
      <w:r>
        <w:rPr>
          <w:lang w:val="en-GB"/>
        </w:rPr>
        <w:t>.</w:t>
      </w:r>
      <w:r w:rsidR="00414F63">
        <w:rPr>
          <w:lang w:val="en-GB"/>
        </w:rPr>
        <w:t xml:space="preserve"> </w:t>
      </w:r>
      <w:r>
        <w:rPr>
          <w:lang w:val="en-GB"/>
        </w:rPr>
        <w:t xml:space="preserve">In </w:t>
      </w:r>
      <w:r>
        <w:rPr>
          <w:i/>
          <w:lang w:val="en-GB"/>
        </w:rPr>
        <w:t>Going to Strasbourg</w:t>
      </w:r>
      <w:r w:rsidR="005141C4">
        <w:rPr>
          <w:rStyle w:val="Voetnootmarkering"/>
          <w:lang w:val="en-GB"/>
        </w:rPr>
        <w:footnoteReference w:id="28"/>
      </w:r>
      <w:r w:rsidR="00817C3C" w:rsidRPr="00817C3C">
        <w:rPr>
          <w:lang w:val="en-GB"/>
        </w:rPr>
        <w:t>,</w:t>
      </w:r>
      <w:r w:rsidR="005141C4" w:rsidRPr="00817C3C">
        <w:rPr>
          <w:lang w:val="en-GB"/>
        </w:rPr>
        <w:t xml:space="preserve"> </w:t>
      </w:r>
      <w:r>
        <w:rPr>
          <w:lang w:val="en-GB"/>
        </w:rPr>
        <w:t xml:space="preserve">Paul Johnson </w:t>
      </w:r>
      <w:r w:rsidR="00DF1E12">
        <w:rPr>
          <w:lang w:val="en-GB"/>
        </w:rPr>
        <w:t>has described the history of sexual orientation litigation against the United Kingdom in Strasbourg on the basis of oral history accounts of applicants, legal professionals and campaigners. With respect to the Netherlands, Wibo van Rossum has written an article in which he sets ou</w:t>
      </w:r>
      <w:r w:rsidR="003F514B">
        <w:rPr>
          <w:lang w:val="en-GB"/>
        </w:rPr>
        <w:t xml:space="preserve">t the history behind the </w:t>
      </w:r>
      <w:r w:rsidR="003F514B">
        <w:rPr>
          <w:i/>
          <w:lang w:val="en-GB"/>
        </w:rPr>
        <w:t xml:space="preserve">Engel </w:t>
      </w:r>
      <w:r w:rsidR="003F514B">
        <w:rPr>
          <w:lang w:val="en-GB"/>
        </w:rPr>
        <w:t>case</w:t>
      </w:r>
      <w:r w:rsidR="003F514B">
        <w:rPr>
          <w:rStyle w:val="Voetnootmarkering"/>
          <w:lang w:val="en-GB"/>
        </w:rPr>
        <w:footnoteReference w:id="29"/>
      </w:r>
      <w:r w:rsidR="003F514B">
        <w:rPr>
          <w:i/>
          <w:lang w:val="en-GB"/>
        </w:rPr>
        <w:t xml:space="preserve"> </w:t>
      </w:r>
      <w:r w:rsidR="003F514B">
        <w:rPr>
          <w:lang w:val="en-GB"/>
        </w:rPr>
        <w:t>before the ECtHR</w:t>
      </w:r>
      <w:r w:rsidR="003F514B">
        <w:rPr>
          <w:rStyle w:val="Voetnootmarkering"/>
          <w:lang w:val="en-GB"/>
        </w:rPr>
        <w:footnoteReference w:id="30"/>
      </w:r>
      <w:r w:rsidR="00817C3C">
        <w:rPr>
          <w:lang w:val="en-GB"/>
        </w:rPr>
        <w:t>.</w:t>
      </w:r>
      <w:r w:rsidR="005141C4">
        <w:rPr>
          <w:lang w:val="en-GB"/>
        </w:rPr>
        <w:t xml:space="preserve"> </w:t>
      </w:r>
      <w:r w:rsidR="005141C4" w:rsidRPr="005141C4">
        <w:rPr>
          <w:i/>
          <w:lang w:val="en-GB"/>
        </w:rPr>
        <w:t xml:space="preserve">La </w:t>
      </w:r>
      <w:proofErr w:type="spellStart"/>
      <w:r w:rsidR="005141C4" w:rsidRPr="005141C4">
        <w:rPr>
          <w:i/>
          <w:lang w:val="en-GB"/>
        </w:rPr>
        <w:t>genèse</w:t>
      </w:r>
      <w:proofErr w:type="spellEnd"/>
      <w:r w:rsidR="005141C4" w:rsidRPr="005141C4">
        <w:rPr>
          <w:i/>
          <w:lang w:val="en-GB"/>
        </w:rPr>
        <w:t xml:space="preserve"> de </w:t>
      </w:r>
      <w:proofErr w:type="spellStart"/>
      <w:r w:rsidR="005141C4" w:rsidRPr="005141C4">
        <w:rPr>
          <w:i/>
          <w:lang w:val="en-GB"/>
        </w:rPr>
        <w:t>l’Europe</w:t>
      </w:r>
      <w:proofErr w:type="spellEnd"/>
      <w:r w:rsidR="005141C4" w:rsidRPr="005141C4">
        <w:rPr>
          <w:i/>
          <w:lang w:val="en-GB"/>
        </w:rPr>
        <w:t xml:space="preserve"> des droits de </w:t>
      </w:r>
      <w:proofErr w:type="spellStart"/>
      <w:r w:rsidR="005141C4" w:rsidRPr="005141C4">
        <w:rPr>
          <w:i/>
          <w:lang w:val="en-GB"/>
        </w:rPr>
        <w:t>l’Homme</w:t>
      </w:r>
      <w:proofErr w:type="spellEnd"/>
      <w:r w:rsidR="005141C4" w:rsidRPr="005141C4">
        <w:rPr>
          <w:lang w:val="en-GB"/>
        </w:rPr>
        <w:t xml:space="preserve"> by Mikael Rask Madsen</w:t>
      </w:r>
      <w:r w:rsidR="005141C4">
        <w:rPr>
          <w:rStyle w:val="Voetnootmarkering"/>
          <w:lang w:val="fr-BE"/>
        </w:rPr>
        <w:footnoteReference w:id="31"/>
      </w:r>
      <w:r w:rsidR="005141C4" w:rsidRPr="005141C4">
        <w:rPr>
          <w:lang w:val="en-GB"/>
        </w:rPr>
        <w:t xml:space="preserve"> must also be mentioned. Without specifically focussing on actors involved in Strasbourg litigation, Madsen </w:t>
      </w:r>
      <w:r w:rsidR="005141C4">
        <w:rPr>
          <w:lang w:val="en-GB"/>
        </w:rPr>
        <w:t xml:space="preserve">does adopt an actor-centred approach to the history of human rights in France, the United Kingdom and the Scandinavian countries, focusing on the actors involved in the genesis of “a Europe of Human Rights” against the </w:t>
      </w:r>
      <w:r w:rsidR="001D458C">
        <w:rPr>
          <w:lang w:val="en-GB"/>
        </w:rPr>
        <w:t xml:space="preserve">background of social, </w:t>
      </w:r>
      <w:r w:rsidR="00172465">
        <w:rPr>
          <w:lang w:val="en-GB"/>
        </w:rPr>
        <w:t>political and legal</w:t>
      </w:r>
      <w:r w:rsidR="001D458C">
        <w:rPr>
          <w:lang w:val="en-GB"/>
        </w:rPr>
        <w:t xml:space="preserve"> developments in the period 1945-1970.</w:t>
      </w:r>
    </w:p>
    <w:p w14:paraId="57A99116" w14:textId="77777777" w:rsidR="001D7701" w:rsidRDefault="001D7701" w:rsidP="001A19D0">
      <w:pPr>
        <w:ind w:firstLine="708"/>
        <w:jc w:val="both"/>
        <w:rPr>
          <w:lang w:val="en-GB"/>
        </w:rPr>
      </w:pPr>
      <w:r>
        <w:rPr>
          <w:lang w:val="en-GB"/>
        </w:rPr>
        <w:t>In what follows, I will first set out the methodology applied in the present study. Thereafter, I will provide a brief overview of how the ECHR and the case law of the ECtHR gradually managed to find a place in the Belgian legal landscape. This is required in order to understand the legal background against which</w:t>
      </w:r>
      <w:r w:rsidR="009E5A54">
        <w:rPr>
          <w:lang w:val="en-GB"/>
        </w:rPr>
        <w:t xml:space="preserve"> the cases discussed arose. Subsequently, </w:t>
      </w:r>
      <w:r w:rsidR="00C34868">
        <w:rPr>
          <w:lang w:val="en-GB"/>
        </w:rPr>
        <w:t>I will set out the main findings concerning the actors involved in Strasbourg litigation during the period under consideration, as well as the factors that explain how litigation against Belgium arose.</w:t>
      </w:r>
    </w:p>
    <w:p w14:paraId="1F2FE75D" w14:textId="77777777" w:rsidR="001D7701" w:rsidRDefault="001D7701" w:rsidP="006A03F9">
      <w:pPr>
        <w:rPr>
          <w:lang w:val="en-GB"/>
        </w:rPr>
      </w:pPr>
    </w:p>
    <w:p w14:paraId="0BCBA39E" w14:textId="77777777" w:rsidR="00096A39" w:rsidRPr="001D7701" w:rsidRDefault="008A369F" w:rsidP="001D7701">
      <w:pPr>
        <w:pStyle w:val="Lijstalinea"/>
        <w:numPr>
          <w:ilvl w:val="0"/>
          <w:numId w:val="6"/>
        </w:numPr>
        <w:ind w:left="0" w:firstLine="0"/>
        <w:rPr>
          <w:b/>
          <w:lang w:val="en-GB"/>
        </w:rPr>
      </w:pPr>
      <w:r w:rsidRPr="001D7701">
        <w:rPr>
          <w:b/>
          <w:lang w:val="en-GB"/>
        </w:rPr>
        <w:t>A word on methodology</w:t>
      </w:r>
    </w:p>
    <w:p w14:paraId="1E50AD28" w14:textId="31EAB790" w:rsidR="009E5A54" w:rsidRPr="009E5A54" w:rsidRDefault="009E5A54" w:rsidP="001A19D0">
      <w:pPr>
        <w:ind w:firstLine="708"/>
        <w:jc w:val="both"/>
        <w:rPr>
          <w:color w:val="FF0000"/>
          <w:lang w:val="en-GB"/>
        </w:rPr>
      </w:pPr>
      <w:r w:rsidRPr="009E5A54">
        <w:rPr>
          <w:lang w:val="en-GB"/>
        </w:rPr>
        <w:t>For feasibility reasons, given the sheer volume of the Belgian case law – by 2016, the ECtHR has delivered 229 judgments against Belgium</w:t>
      </w:r>
      <w:r>
        <w:rPr>
          <w:rStyle w:val="Voetnootmarkering"/>
          <w:lang w:val="en-GB"/>
        </w:rPr>
        <w:footnoteReference w:id="32"/>
      </w:r>
      <w:r w:rsidRPr="009E5A54">
        <w:rPr>
          <w:lang w:val="en-GB"/>
        </w:rPr>
        <w:t xml:space="preserve"> and this number rapidly grows every year – it was </w:t>
      </w:r>
      <w:r w:rsidRPr="009E5A54">
        <w:rPr>
          <w:lang w:val="en-GB"/>
        </w:rPr>
        <w:lastRenderedPageBreak/>
        <w:t xml:space="preserve">necessary to delineate the scope of </w:t>
      </w:r>
      <w:r w:rsidR="002216CE">
        <w:rPr>
          <w:lang w:val="en-GB"/>
        </w:rPr>
        <w:t>i</w:t>
      </w:r>
      <w:r w:rsidRPr="009E5A54">
        <w:rPr>
          <w:lang w:val="en-GB"/>
        </w:rPr>
        <w:t xml:space="preserve">nquiry. The choice was made to focus on the cases from the </w:t>
      </w:r>
      <w:proofErr w:type="spellStart"/>
      <w:r w:rsidRPr="009E5A54">
        <w:rPr>
          <w:lang w:val="en-GB"/>
        </w:rPr>
        <w:t>1960s</w:t>
      </w:r>
      <w:proofErr w:type="spellEnd"/>
      <w:r w:rsidRPr="009E5A54">
        <w:rPr>
          <w:lang w:val="en-GB"/>
        </w:rPr>
        <w:t xml:space="preserve">, </w:t>
      </w:r>
      <w:proofErr w:type="spellStart"/>
      <w:r w:rsidRPr="009E5A54">
        <w:rPr>
          <w:lang w:val="en-GB"/>
        </w:rPr>
        <w:t>1970s</w:t>
      </w:r>
      <w:proofErr w:type="spellEnd"/>
      <w:r w:rsidRPr="009E5A54">
        <w:rPr>
          <w:lang w:val="en-GB"/>
        </w:rPr>
        <w:t xml:space="preserve"> and </w:t>
      </w:r>
      <w:proofErr w:type="spellStart"/>
      <w:r w:rsidRPr="009E5A54">
        <w:rPr>
          <w:lang w:val="en-GB"/>
        </w:rPr>
        <w:t>1980s</w:t>
      </w:r>
      <w:proofErr w:type="spellEnd"/>
      <w:r w:rsidRPr="009E5A54">
        <w:rPr>
          <w:lang w:val="en-GB"/>
        </w:rPr>
        <w:t>. Using 1990 as a cut-off point is justified in the light of a number of parallel and interrelated developments at the international and national level. From a quantitative point of view, this choice allows to cover the interesting period in which the ECtHR jumped from what Greer calls the dormancy phase (mid-</w:t>
      </w:r>
      <w:proofErr w:type="spellStart"/>
      <w:r w:rsidRPr="009E5A54">
        <w:rPr>
          <w:lang w:val="en-GB"/>
        </w:rPr>
        <w:t>1950s</w:t>
      </w:r>
      <w:proofErr w:type="spellEnd"/>
      <w:r w:rsidRPr="009E5A54">
        <w:rPr>
          <w:lang w:val="en-GB"/>
        </w:rPr>
        <w:t xml:space="preserve"> to mid-</w:t>
      </w:r>
      <w:proofErr w:type="spellStart"/>
      <w:r w:rsidRPr="009E5A54">
        <w:rPr>
          <w:lang w:val="en-GB"/>
        </w:rPr>
        <w:t>1980s</w:t>
      </w:r>
      <w:proofErr w:type="spellEnd"/>
      <w:r w:rsidRPr="009E5A54">
        <w:rPr>
          <w:lang w:val="en-GB"/>
        </w:rPr>
        <w:t>) to the activation phase (mid-</w:t>
      </w:r>
      <w:proofErr w:type="spellStart"/>
      <w:r w:rsidRPr="009E5A54">
        <w:rPr>
          <w:lang w:val="en-GB"/>
        </w:rPr>
        <w:t>1980s</w:t>
      </w:r>
      <w:proofErr w:type="spellEnd"/>
      <w:r w:rsidRPr="009E5A54">
        <w:rPr>
          <w:lang w:val="en-GB"/>
        </w:rPr>
        <w:t xml:space="preserve"> to late-</w:t>
      </w:r>
      <w:proofErr w:type="spellStart"/>
      <w:r w:rsidRPr="009E5A54">
        <w:rPr>
          <w:lang w:val="en-GB"/>
        </w:rPr>
        <w:t>1990s</w:t>
      </w:r>
      <w:proofErr w:type="spellEnd"/>
      <w:r w:rsidRPr="009E5A54">
        <w:rPr>
          <w:lang w:val="en-GB"/>
        </w:rPr>
        <w:t xml:space="preserve">), characterised by a dramatic </w:t>
      </w:r>
      <w:r w:rsidR="00817C3C">
        <w:rPr>
          <w:lang w:val="en-GB"/>
        </w:rPr>
        <w:t>rise in individual applications</w:t>
      </w:r>
      <w:r>
        <w:rPr>
          <w:rStyle w:val="Voetnootmarkering"/>
          <w:lang w:val="en-GB"/>
        </w:rPr>
        <w:footnoteReference w:id="33"/>
      </w:r>
      <w:r w:rsidR="00817C3C">
        <w:rPr>
          <w:lang w:val="en-GB"/>
        </w:rPr>
        <w:t>.</w:t>
      </w:r>
      <w:r w:rsidRPr="009E5A54">
        <w:rPr>
          <w:lang w:val="en-GB"/>
        </w:rPr>
        <w:t xml:space="preserve"> In qualitative terms, after an initial, prudent period in which the Court gradually </w:t>
      </w:r>
      <w:r w:rsidRPr="00C12B61">
        <w:rPr>
          <w:lang w:val="en-GB"/>
        </w:rPr>
        <w:t xml:space="preserve">built the trust of the national authorities, it embarked on a more progressive, activist jurisprudence in the </w:t>
      </w:r>
      <w:proofErr w:type="spellStart"/>
      <w:r w:rsidRPr="00C12B61">
        <w:rPr>
          <w:lang w:val="en-GB"/>
        </w:rPr>
        <w:t>1970s</w:t>
      </w:r>
      <w:proofErr w:type="spellEnd"/>
      <w:r w:rsidRPr="00C12B61">
        <w:rPr>
          <w:lang w:val="en-GB"/>
        </w:rPr>
        <w:t xml:space="preserve"> which raised the profile of the Strasbourg Court which by the end of the </w:t>
      </w:r>
      <w:proofErr w:type="spellStart"/>
      <w:r w:rsidRPr="00C12B61">
        <w:rPr>
          <w:lang w:val="en-GB"/>
        </w:rPr>
        <w:t>1980s</w:t>
      </w:r>
      <w:proofErr w:type="spellEnd"/>
      <w:r w:rsidRPr="00C12B61">
        <w:rPr>
          <w:lang w:val="en-GB"/>
        </w:rPr>
        <w:t xml:space="preserve"> had developed from an esoteric institution of international law</w:t>
      </w:r>
      <w:r w:rsidR="0098282C" w:rsidRPr="00C12B61">
        <w:rPr>
          <w:rStyle w:val="Voetnootmarkering"/>
          <w:lang w:val="en-GB"/>
        </w:rPr>
        <w:footnoteReference w:id="34"/>
      </w:r>
      <w:r w:rsidRPr="00C12B61">
        <w:rPr>
          <w:lang w:val="en-GB"/>
        </w:rPr>
        <w:t xml:space="preserve"> into an authoritative, quasi-</w:t>
      </w:r>
      <w:r w:rsidR="00817C3C">
        <w:rPr>
          <w:lang w:val="en-GB"/>
        </w:rPr>
        <w:t>constitutional Court for Europe</w:t>
      </w:r>
      <w:r w:rsidRPr="00C12B61">
        <w:rPr>
          <w:rStyle w:val="Voetnootmarkering"/>
          <w:lang w:val="en-GB"/>
        </w:rPr>
        <w:footnoteReference w:id="35"/>
      </w:r>
      <w:r w:rsidR="00817C3C">
        <w:rPr>
          <w:lang w:val="en-GB"/>
        </w:rPr>
        <w:t>.</w:t>
      </w:r>
      <w:r w:rsidRPr="00C12B61">
        <w:rPr>
          <w:lang w:val="en-GB"/>
        </w:rPr>
        <w:t xml:space="preserve"> </w:t>
      </w:r>
      <w:r w:rsidRPr="009E5A54">
        <w:rPr>
          <w:lang w:val="en-GB"/>
        </w:rPr>
        <w:t xml:space="preserve">In 1990, this evolution was affirmed by </w:t>
      </w:r>
      <w:proofErr w:type="spellStart"/>
      <w:r w:rsidRPr="009E5A54">
        <w:rPr>
          <w:lang w:val="en-GB"/>
        </w:rPr>
        <w:t>Rolv</w:t>
      </w:r>
      <w:proofErr w:type="spellEnd"/>
      <w:r w:rsidRPr="009E5A54">
        <w:rPr>
          <w:lang w:val="en-GB"/>
        </w:rPr>
        <w:t xml:space="preserve"> </w:t>
      </w:r>
      <w:proofErr w:type="spellStart"/>
      <w:r w:rsidRPr="009E5A54">
        <w:rPr>
          <w:lang w:val="en-GB"/>
        </w:rPr>
        <w:t>Ryssdal</w:t>
      </w:r>
      <w:proofErr w:type="spellEnd"/>
      <w:r w:rsidRPr="009E5A54">
        <w:rPr>
          <w:lang w:val="en-GB"/>
        </w:rPr>
        <w:t>, the then president of the ECtHR, holding that the ECtHR “had slowly, but surely, become a permanent part of the constitutional landscape of Europe” and that it was “gradually assuming the mantle of a European constitutional court”</w:t>
      </w:r>
      <w:r>
        <w:rPr>
          <w:rStyle w:val="Voetnootmarkering"/>
          <w:lang w:val="en-GB"/>
        </w:rPr>
        <w:footnoteReference w:id="36"/>
      </w:r>
      <w:r w:rsidR="00817C3C">
        <w:rPr>
          <w:lang w:val="en-GB"/>
        </w:rPr>
        <w:t>.</w:t>
      </w:r>
      <w:r w:rsidRPr="009E5A54">
        <w:rPr>
          <w:lang w:val="en-GB"/>
        </w:rPr>
        <w:t xml:space="preserve"> Meanwhile, on the national level, in Belgium, after initial judicial resistance, by the early </w:t>
      </w:r>
      <w:proofErr w:type="spellStart"/>
      <w:r w:rsidRPr="009E5A54">
        <w:rPr>
          <w:lang w:val="en-GB"/>
        </w:rPr>
        <w:t>1990s</w:t>
      </w:r>
      <w:proofErr w:type="spellEnd"/>
      <w:r w:rsidRPr="009E5A54">
        <w:rPr>
          <w:lang w:val="en-GB"/>
        </w:rPr>
        <w:t>, it was accepted that the ECHR and the ECtHR case law penetrated ba</w:t>
      </w:r>
      <w:r w:rsidR="00817C3C">
        <w:rPr>
          <w:lang w:val="en-GB"/>
        </w:rPr>
        <w:t>sically any area of Belgian law</w:t>
      </w:r>
      <w:r>
        <w:rPr>
          <w:rStyle w:val="Voetnootmarkering"/>
          <w:lang w:val="en-GB"/>
        </w:rPr>
        <w:footnoteReference w:id="37"/>
      </w:r>
      <w:r w:rsidR="00817C3C">
        <w:rPr>
          <w:lang w:val="en-GB"/>
        </w:rPr>
        <w:t>.</w:t>
      </w:r>
      <w:r w:rsidRPr="009E5A54">
        <w:rPr>
          <w:lang w:val="en-GB"/>
        </w:rPr>
        <w:t xml:space="preserve"> The rise of the interest in the ECHR in Belgium by 1990 is also apparent from the publication in this year of the first real Belgian handbook on the ECHR, </w:t>
      </w:r>
      <w:r w:rsidRPr="009E5A54">
        <w:rPr>
          <w:i/>
          <w:lang w:val="en-GB"/>
        </w:rPr>
        <w:t xml:space="preserve">La Convention </w:t>
      </w:r>
      <w:proofErr w:type="spellStart"/>
      <w:r w:rsidRPr="009E5A54">
        <w:rPr>
          <w:i/>
          <w:lang w:val="en-GB"/>
        </w:rPr>
        <w:t>européenne</w:t>
      </w:r>
      <w:proofErr w:type="spellEnd"/>
      <w:r w:rsidRPr="009E5A54">
        <w:rPr>
          <w:i/>
          <w:lang w:val="en-GB"/>
        </w:rPr>
        <w:t xml:space="preserve"> des droits de </w:t>
      </w:r>
      <w:proofErr w:type="spellStart"/>
      <w:r w:rsidRPr="009E5A54">
        <w:rPr>
          <w:i/>
          <w:lang w:val="en-GB"/>
        </w:rPr>
        <w:t>l’homme</w:t>
      </w:r>
      <w:proofErr w:type="spellEnd"/>
      <w:r w:rsidRPr="009E5A54">
        <w:rPr>
          <w:i/>
          <w:lang w:val="en-GB"/>
        </w:rPr>
        <w:t xml:space="preserve"> </w:t>
      </w:r>
      <w:r w:rsidRPr="009E5A54">
        <w:rPr>
          <w:lang w:val="en-GB"/>
        </w:rPr>
        <w:t xml:space="preserve">by Jacques </w:t>
      </w:r>
      <w:proofErr w:type="spellStart"/>
      <w:r w:rsidRPr="009E5A54">
        <w:rPr>
          <w:lang w:val="en-GB"/>
        </w:rPr>
        <w:t>Vélu</w:t>
      </w:r>
      <w:proofErr w:type="spellEnd"/>
      <w:r w:rsidRPr="009E5A54">
        <w:rPr>
          <w:lang w:val="en-GB"/>
        </w:rPr>
        <w:t xml:space="preserve"> and </w:t>
      </w:r>
      <w:proofErr w:type="spellStart"/>
      <w:r w:rsidRPr="009E5A54">
        <w:rPr>
          <w:lang w:val="en-GB"/>
        </w:rPr>
        <w:t>Rusen</w:t>
      </w:r>
      <w:proofErr w:type="spellEnd"/>
      <w:r w:rsidRPr="009E5A54">
        <w:rPr>
          <w:lang w:val="en-GB"/>
        </w:rPr>
        <w:t xml:space="preserve"> </w:t>
      </w:r>
      <w:proofErr w:type="spellStart"/>
      <w:r w:rsidRPr="009E5A54">
        <w:rPr>
          <w:lang w:val="en-GB"/>
        </w:rPr>
        <w:t>Ergec</w:t>
      </w:r>
      <w:proofErr w:type="spellEnd"/>
      <w:r w:rsidRPr="009E5A54">
        <w:rPr>
          <w:lang w:val="en-GB"/>
        </w:rPr>
        <w:t xml:space="preserve">, </w:t>
      </w:r>
      <w:r w:rsidR="00817C3C">
        <w:rPr>
          <w:lang w:val="en-GB"/>
        </w:rPr>
        <w:t>a monumental work of 1185 pages</w:t>
      </w:r>
      <w:r>
        <w:rPr>
          <w:rStyle w:val="Voetnootmarkering"/>
          <w:lang w:val="en-GB"/>
        </w:rPr>
        <w:footnoteReference w:id="38"/>
      </w:r>
      <w:r w:rsidR="00817C3C">
        <w:rPr>
          <w:lang w:val="en-GB"/>
        </w:rPr>
        <w:t>.</w:t>
      </w:r>
    </w:p>
    <w:p w14:paraId="180F9952" w14:textId="1729EAFC" w:rsidR="00412A7B" w:rsidRDefault="00E20299" w:rsidP="001A19D0">
      <w:pPr>
        <w:ind w:firstLine="708"/>
        <w:jc w:val="both"/>
        <w:rPr>
          <w:lang w:val="en-GB"/>
        </w:rPr>
      </w:pPr>
      <w:r>
        <w:rPr>
          <w:lang w:val="en-GB"/>
        </w:rPr>
        <w:t xml:space="preserve">It must be noted that during </w:t>
      </w:r>
      <w:r w:rsidR="009E5A54">
        <w:rPr>
          <w:lang w:val="en-GB"/>
        </w:rPr>
        <w:t xml:space="preserve">the period under consideration, </w:t>
      </w:r>
      <w:r>
        <w:rPr>
          <w:lang w:val="en-GB"/>
        </w:rPr>
        <w:t xml:space="preserve">the old system of supervision applied. </w:t>
      </w:r>
      <w:r w:rsidR="00412A7B">
        <w:rPr>
          <w:lang w:val="en-GB"/>
        </w:rPr>
        <w:t xml:space="preserve">It was only when Protocol 11 entered into </w:t>
      </w:r>
      <w:proofErr w:type="gramStart"/>
      <w:r w:rsidR="00412A7B">
        <w:rPr>
          <w:lang w:val="en-GB"/>
        </w:rPr>
        <w:t>force</w:t>
      </w:r>
      <w:proofErr w:type="gramEnd"/>
      <w:r w:rsidR="00412A7B">
        <w:rPr>
          <w:lang w:val="en-GB"/>
        </w:rPr>
        <w:t xml:space="preserve"> in 1998 that the individual was granted direct access to the European Court. Before, a two-tiered system was in place, with a central place for the now-abolished European Commission of Human Rights that first had to examine the admissibility of an application. If an application was decl</w:t>
      </w:r>
      <w:r w:rsidR="007257D9">
        <w:rPr>
          <w:lang w:val="en-GB"/>
        </w:rPr>
        <w:t>ared admissible and if no friendly settlement was reached, the Commission would then deliver its opinion on the case in a report. The Commission could then decide to refer the case to the Court</w:t>
      </w:r>
      <w:r w:rsidR="002216CE">
        <w:rPr>
          <w:lang w:val="en-GB"/>
        </w:rPr>
        <w:t>;</w:t>
      </w:r>
      <w:r w:rsidR="007257D9">
        <w:rPr>
          <w:lang w:val="en-GB"/>
        </w:rPr>
        <w:t xml:space="preserve"> if not the Committee of Ministers, a political Council of Europe body, would have the final say on whether there had bee</w:t>
      </w:r>
      <w:r w:rsidR="00817C3C">
        <w:rPr>
          <w:lang w:val="en-GB"/>
        </w:rPr>
        <w:t>n a violation of the Convention</w:t>
      </w:r>
      <w:r w:rsidR="007257D9">
        <w:rPr>
          <w:rStyle w:val="Voetnootmarkering"/>
          <w:lang w:val="en-GB"/>
        </w:rPr>
        <w:footnoteReference w:id="39"/>
      </w:r>
      <w:r w:rsidR="00817C3C">
        <w:rPr>
          <w:lang w:val="en-GB"/>
        </w:rPr>
        <w:t>.</w:t>
      </w:r>
    </w:p>
    <w:p w14:paraId="2979A4B3" w14:textId="3144B207" w:rsidR="007257D9" w:rsidRDefault="007257D9" w:rsidP="001A19D0">
      <w:pPr>
        <w:ind w:firstLine="708"/>
        <w:jc w:val="both"/>
        <w:rPr>
          <w:lang w:val="en-GB"/>
        </w:rPr>
      </w:pPr>
      <w:r>
        <w:rPr>
          <w:lang w:val="en-GB"/>
        </w:rPr>
        <w:t>For the purposes of the present study, the choice was made to focus on those cases that have resulted in a judgment by the Court.</w:t>
      </w:r>
      <w:r w:rsidR="00432810">
        <w:rPr>
          <w:lang w:val="en-GB"/>
        </w:rPr>
        <w:t xml:space="preserve"> There are a number of pragmatic reasons for this choice</w:t>
      </w:r>
      <w:r w:rsidR="001C376F">
        <w:rPr>
          <w:rStyle w:val="Voetnootmarkering"/>
          <w:lang w:val="en-GB"/>
        </w:rPr>
        <w:footnoteReference w:id="40"/>
      </w:r>
      <w:r w:rsidR="00817C3C">
        <w:rPr>
          <w:lang w:val="en-GB"/>
        </w:rPr>
        <w:t>.</w:t>
      </w:r>
      <w:r w:rsidR="00432810">
        <w:rPr>
          <w:lang w:val="en-GB"/>
        </w:rPr>
        <w:t xml:space="preserve"> I</w:t>
      </w:r>
      <w:r w:rsidR="00852305">
        <w:rPr>
          <w:lang w:val="en-GB"/>
        </w:rPr>
        <w:t xml:space="preserve">nstead of examining all applications that were lodged against Belgium in this period, it is more </w:t>
      </w:r>
      <w:r w:rsidR="00852305">
        <w:rPr>
          <w:lang w:val="en-GB"/>
        </w:rPr>
        <w:lastRenderedPageBreak/>
        <w:t xml:space="preserve">feasible to focus on the smaller set of cases that ended up before the Court and that are likely to be of more interest for the readership, since </w:t>
      </w:r>
      <w:r w:rsidR="00FA1BA0">
        <w:rPr>
          <w:lang w:val="en-GB"/>
        </w:rPr>
        <w:t>they</w:t>
      </w:r>
      <w:r w:rsidR="00852305">
        <w:rPr>
          <w:lang w:val="en-GB"/>
        </w:rPr>
        <w:t xml:space="preserve"> are more well-known than cases that were declared inadmissible by the Commission.</w:t>
      </w:r>
      <w:r w:rsidR="00432810">
        <w:rPr>
          <w:lang w:val="en-GB"/>
        </w:rPr>
        <w:t xml:space="preserve"> </w:t>
      </w:r>
      <w:r w:rsidR="00852305">
        <w:rPr>
          <w:lang w:val="en-GB"/>
        </w:rPr>
        <w:t>Also</w:t>
      </w:r>
      <w:r w:rsidR="00432810">
        <w:rPr>
          <w:lang w:val="en-GB"/>
        </w:rPr>
        <w:t>, with respect to Court cases, there is better documentation available in the Court’s HUDOC database. For example, with respect to cases that were declared inadmissible by the Commission, the applicants and the attorneys are often non-identifiable and there is typically less information available on the background of the case than with respect to Court cases.</w:t>
      </w:r>
      <w:r w:rsidR="00852305">
        <w:rPr>
          <w:lang w:val="en-GB"/>
        </w:rPr>
        <w:t xml:space="preserve"> Moreover,</w:t>
      </w:r>
      <w:r w:rsidR="00FA1BA0">
        <w:rPr>
          <w:lang w:val="en-GB"/>
        </w:rPr>
        <w:t xml:space="preserve"> while inadmissible cases were dealt with summarily by the Commission, people involved in cases that passed the admissibility hurdle are more likely to have invested more in these cases, including the experience of actually going to Strasbourg to attend hearings. As a result, they are more likely to have vivid memories of these cases. </w:t>
      </w:r>
      <w:r w:rsidR="00F50D4A">
        <w:rPr>
          <w:lang w:val="en-GB"/>
        </w:rPr>
        <w:t>However, when discussing the results, it must be taken into account that the experience of passing the Commission and ending up at the level of the Court, or even winning before the Court, may be a more positive one than when a case ended at the admissibility stage before the Commission, and that this may possibly affect the recollections of the persons interviewed. For example, this may lead them to overestimate the extent to which they held positive expectations at the moment of introducing the case. In addition, it must be taken into account that the set of relevant actors identified is not necessarily</w:t>
      </w:r>
      <w:r w:rsidR="00FA1BA0">
        <w:rPr>
          <w:lang w:val="en-GB"/>
        </w:rPr>
        <w:t xml:space="preserve"> representative of the full set of actors that have been involved in applications lodged against Belgium in Strasbourg in the period under consideration.</w:t>
      </w:r>
    </w:p>
    <w:p w14:paraId="3AB02C90" w14:textId="528D36E6" w:rsidR="007257D9" w:rsidRDefault="007257D9" w:rsidP="001A19D0">
      <w:pPr>
        <w:ind w:firstLine="708"/>
        <w:jc w:val="both"/>
        <w:rPr>
          <w:lang w:val="en-GB"/>
        </w:rPr>
      </w:pPr>
      <w:r w:rsidRPr="004D5E7E">
        <w:rPr>
          <w:lang w:val="en-GB"/>
        </w:rPr>
        <w:t>In the period under consideration</w:t>
      </w:r>
      <w:r>
        <w:rPr>
          <w:lang w:val="en-GB"/>
        </w:rPr>
        <w:t xml:space="preserve">, </w:t>
      </w:r>
      <w:r w:rsidRPr="004D5E7E">
        <w:rPr>
          <w:lang w:val="en-GB"/>
        </w:rPr>
        <w:t>the Court issued 23 judgments against Belgium in 21 cases</w:t>
      </w:r>
      <w:r>
        <w:rPr>
          <w:rStyle w:val="Voetnootmarkering"/>
          <w:lang w:val="en-GB"/>
        </w:rPr>
        <w:footnoteReference w:id="41"/>
      </w:r>
      <w:r w:rsidR="00817C3C">
        <w:rPr>
          <w:lang w:val="en-GB"/>
        </w:rPr>
        <w:t>.</w:t>
      </w:r>
      <w:r w:rsidRPr="004D5E7E">
        <w:rPr>
          <w:lang w:val="en-GB"/>
        </w:rPr>
        <w:t xml:space="preserve"> </w:t>
      </w:r>
      <w:r>
        <w:rPr>
          <w:lang w:val="en-GB"/>
        </w:rPr>
        <w:t>In fourteen of these cases the Court found at least a part</w:t>
      </w:r>
      <w:r w:rsidR="00817C3C">
        <w:rPr>
          <w:lang w:val="en-GB"/>
        </w:rPr>
        <w:t>ial violation of the Convention</w:t>
      </w:r>
      <w:r>
        <w:rPr>
          <w:rStyle w:val="Voetnootmarkering"/>
          <w:lang w:val="en-GB"/>
        </w:rPr>
        <w:footnoteReference w:id="42"/>
      </w:r>
      <w:r w:rsidR="00817C3C">
        <w:rPr>
          <w:lang w:val="en-GB"/>
        </w:rPr>
        <w:t>;</w:t>
      </w:r>
      <w:r>
        <w:rPr>
          <w:lang w:val="en-GB"/>
        </w:rPr>
        <w:t xml:space="preserve"> in fo</w:t>
      </w:r>
      <w:r w:rsidR="00817C3C">
        <w:rPr>
          <w:lang w:val="en-GB"/>
        </w:rPr>
        <w:t>ur, it did not find a violation</w:t>
      </w:r>
      <w:r>
        <w:rPr>
          <w:rStyle w:val="Voetnootmarkering"/>
          <w:lang w:val="en-GB"/>
        </w:rPr>
        <w:footnoteReference w:id="43"/>
      </w:r>
      <w:r w:rsidR="00817C3C">
        <w:rPr>
          <w:lang w:val="en-GB"/>
        </w:rPr>
        <w:t>;</w:t>
      </w:r>
      <w:r>
        <w:rPr>
          <w:lang w:val="en-GB"/>
        </w:rPr>
        <w:t xml:space="preserve"> one case was declared inadmissible for non-exhaustion of domestic remedies, despite it having been declared admissible by the </w:t>
      </w:r>
      <w:r w:rsidR="00817C3C">
        <w:rPr>
          <w:lang w:val="en-GB"/>
        </w:rPr>
        <w:t>Commission before</w:t>
      </w:r>
      <w:r>
        <w:rPr>
          <w:rStyle w:val="Voetnootmarkering"/>
          <w:lang w:val="en-GB"/>
        </w:rPr>
        <w:footnoteReference w:id="44"/>
      </w:r>
      <w:r w:rsidR="00817C3C">
        <w:rPr>
          <w:lang w:val="en-GB"/>
        </w:rPr>
        <w:t>;</w:t>
      </w:r>
      <w:r>
        <w:rPr>
          <w:lang w:val="en-GB"/>
        </w:rPr>
        <w:t xml:space="preserve"> one case ende</w:t>
      </w:r>
      <w:r w:rsidR="00817C3C">
        <w:rPr>
          <w:lang w:val="en-GB"/>
        </w:rPr>
        <w:t>d by way of friendly settlement</w:t>
      </w:r>
      <w:r>
        <w:rPr>
          <w:rStyle w:val="Voetnootmarkering"/>
          <w:lang w:val="en-GB"/>
        </w:rPr>
        <w:footnoteReference w:id="45"/>
      </w:r>
      <w:r w:rsidR="00817C3C">
        <w:rPr>
          <w:lang w:val="en-GB"/>
        </w:rPr>
        <w:t>;</w:t>
      </w:r>
      <w:r>
        <w:rPr>
          <w:lang w:val="en-GB"/>
        </w:rPr>
        <w:t xml:space="preserve"> and one case was struck off the list because the applicant considered it unnecessary to proceed with his case</w:t>
      </w:r>
      <w:r w:rsidR="00817C3C">
        <w:rPr>
          <w:lang w:val="en-GB"/>
        </w:rPr>
        <w:t xml:space="preserve"> after a change in domestic law</w:t>
      </w:r>
      <w:r>
        <w:rPr>
          <w:rStyle w:val="Voetnootmarkering"/>
          <w:lang w:val="en-GB"/>
        </w:rPr>
        <w:footnoteReference w:id="46"/>
      </w:r>
      <w:r w:rsidR="00817C3C">
        <w:rPr>
          <w:lang w:val="en-GB"/>
        </w:rPr>
        <w:t>.</w:t>
      </w:r>
    </w:p>
    <w:p w14:paraId="13AA595F" w14:textId="5755079C" w:rsidR="003D38F3" w:rsidRDefault="006D6270" w:rsidP="001A19D0">
      <w:pPr>
        <w:ind w:firstLine="708"/>
        <w:jc w:val="both"/>
        <w:rPr>
          <w:lang w:val="en-GB"/>
        </w:rPr>
      </w:pPr>
      <w:r w:rsidRPr="00F50D4A">
        <w:rPr>
          <w:lang w:val="en-GB"/>
        </w:rPr>
        <w:t xml:space="preserve">Of those 21 cases, </w:t>
      </w:r>
      <w:r w:rsidR="00F24AE0" w:rsidRPr="00F50D4A">
        <w:rPr>
          <w:lang w:val="en-GB"/>
        </w:rPr>
        <w:t xml:space="preserve">I </w:t>
      </w:r>
      <w:r w:rsidR="00F67F0E" w:rsidRPr="00F50D4A">
        <w:rPr>
          <w:lang w:val="en-GB"/>
        </w:rPr>
        <w:t>was able to interview</w:t>
      </w:r>
      <w:r w:rsidR="00F24AE0" w:rsidRPr="00F50D4A">
        <w:rPr>
          <w:lang w:val="en-GB"/>
        </w:rPr>
        <w:t xml:space="preserve"> 15 actors involved in 13 cases</w:t>
      </w:r>
      <w:r w:rsidR="003D38F3" w:rsidRPr="00F50D4A">
        <w:rPr>
          <w:lang w:val="en-GB"/>
        </w:rPr>
        <w:t xml:space="preserve"> between May 2016 and March 2017</w:t>
      </w:r>
      <w:r w:rsidR="007D7B15" w:rsidRPr="00F50D4A">
        <w:rPr>
          <w:lang w:val="en-GB"/>
        </w:rPr>
        <w:t xml:space="preserve">: </w:t>
      </w:r>
      <w:r w:rsidR="007D7B15" w:rsidRPr="00A96F1D">
        <w:rPr>
          <w:i/>
          <w:lang w:val="en-GB"/>
        </w:rPr>
        <w:t xml:space="preserve">De Wilde, </w:t>
      </w:r>
      <w:proofErr w:type="spellStart"/>
      <w:r w:rsidR="007D7B15" w:rsidRPr="00A96F1D">
        <w:rPr>
          <w:i/>
          <w:lang w:val="en-GB"/>
        </w:rPr>
        <w:t>Ooms</w:t>
      </w:r>
      <w:proofErr w:type="spellEnd"/>
      <w:r w:rsidR="007D7B15" w:rsidRPr="00A96F1D">
        <w:rPr>
          <w:i/>
          <w:lang w:val="en-GB"/>
        </w:rPr>
        <w:t xml:space="preserve"> and </w:t>
      </w:r>
      <w:proofErr w:type="spellStart"/>
      <w:r w:rsidR="007D7B15" w:rsidRPr="00A96F1D">
        <w:rPr>
          <w:i/>
          <w:lang w:val="en-GB"/>
        </w:rPr>
        <w:t>Versyp</w:t>
      </w:r>
      <w:proofErr w:type="spellEnd"/>
      <w:r w:rsidR="007D7B15" w:rsidRPr="00F50D4A">
        <w:rPr>
          <w:lang w:val="en-GB"/>
        </w:rPr>
        <w:t xml:space="preserve"> (Vagrancy case) (1971), </w:t>
      </w:r>
      <w:r w:rsidR="007D7B15" w:rsidRPr="00A96F1D">
        <w:rPr>
          <w:i/>
          <w:lang w:val="en-GB"/>
        </w:rPr>
        <w:t>National Union of Belgian Police</w:t>
      </w:r>
      <w:r w:rsidR="007D7B15" w:rsidRPr="00F50D4A">
        <w:rPr>
          <w:lang w:val="en-GB"/>
        </w:rPr>
        <w:t xml:space="preserve"> (1975), </w:t>
      </w:r>
      <w:r w:rsidR="007D7B15" w:rsidRPr="00A96F1D">
        <w:rPr>
          <w:i/>
          <w:lang w:val="en-GB"/>
        </w:rPr>
        <w:t>Marckx</w:t>
      </w:r>
      <w:r w:rsidR="007D7B15" w:rsidRPr="00F50D4A">
        <w:rPr>
          <w:lang w:val="en-GB"/>
        </w:rPr>
        <w:t xml:space="preserve"> (1979), </w:t>
      </w:r>
      <w:r w:rsidR="007D7B15" w:rsidRPr="00A96F1D">
        <w:rPr>
          <w:i/>
          <w:lang w:val="en-GB"/>
        </w:rPr>
        <w:t xml:space="preserve">Van </w:t>
      </w:r>
      <w:proofErr w:type="spellStart"/>
      <w:r w:rsidR="007D7B15" w:rsidRPr="00A96F1D">
        <w:rPr>
          <w:i/>
          <w:lang w:val="en-GB"/>
        </w:rPr>
        <w:t>Oosterwijck</w:t>
      </w:r>
      <w:proofErr w:type="spellEnd"/>
      <w:r w:rsidR="007D7B15" w:rsidRPr="00F50D4A">
        <w:rPr>
          <w:lang w:val="en-GB"/>
        </w:rPr>
        <w:t xml:space="preserve"> (1980), </w:t>
      </w:r>
      <w:r w:rsidR="007D7B15" w:rsidRPr="00A96F1D">
        <w:rPr>
          <w:i/>
          <w:lang w:val="en-GB"/>
        </w:rPr>
        <w:t xml:space="preserve">Le </w:t>
      </w:r>
      <w:proofErr w:type="spellStart"/>
      <w:r w:rsidR="007D7B15" w:rsidRPr="00A96F1D">
        <w:rPr>
          <w:i/>
          <w:lang w:val="en-GB"/>
        </w:rPr>
        <w:t>Compte</w:t>
      </w:r>
      <w:proofErr w:type="spellEnd"/>
      <w:r w:rsidR="007D7B15" w:rsidRPr="00A96F1D">
        <w:rPr>
          <w:i/>
          <w:lang w:val="en-GB"/>
        </w:rPr>
        <w:t>, Van Leuven and De Meyere</w:t>
      </w:r>
      <w:r w:rsidR="007D7B15" w:rsidRPr="00F50D4A">
        <w:rPr>
          <w:lang w:val="en-GB"/>
        </w:rPr>
        <w:t xml:space="preserve"> (1981), </w:t>
      </w:r>
      <w:r w:rsidR="007D7B15" w:rsidRPr="00A96F1D">
        <w:rPr>
          <w:i/>
          <w:lang w:val="en-GB"/>
        </w:rPr>
        <w:t xml:space="preserve">Albert and Le </w:t>
      </w:r>
      <w:proofErr w:type="spellStart"/>
      <w:r w:rsidR="007D7B15" w:rsidRPr="00A96F1D">
        <w:rPr>
          <w:i/>
          <w:lang w:val="en-GB"/>
        </w:rPr>
        <w:t>Compte</w:t>
      </w:r>
      <w:proofErr w:type="spellEnd"/>
      <w:r w:rsidR="007D7B15" w:rsidRPr="00F50D4A">
        <w:rPr>
          <w:lang w:val="en-GB"/>
        </w:rPr>
        <w:t xml:space="preserve"> (1983), </w:t>
      </w:r>
      <w:r w:rsidR="00C72488">
        <w:rPr>
          <w:i/>
          <w:lang w:val="en-GB"/>
        </w:rPr>
        <w:t>Van d</w:t>
      </w:r>
      <w:r w:rsidR="007D7B15" w:rsidRPr="00A96F1D">
        <w:rPr>
          <w:i/>
          <w:lang w:val="en-GB"/>
        </w:rPr>
        <w:t xml:space="preserve">er </w:t>
      </w:r>
      <w:proofErr w:type="spellStart"/>
      <w:r w:rsidR="007D7B15" w:rsidRPr="00A96F1D">
        <w:rPr>
          <w:i/>
          <w:lang w:val="en-GB"/>
        </w:rPr>
        <w:t>Mussele</w:t>
      </w:r>
      <w:proofErr w:type="spellEnd"/>
      <w:r w:rsidR="007D7B15" w:rsidRPr="00F50D4A">
        <w:rPr>
          <w:lang w:val="en-GB"/>
        </w:rPr>
        <w:t xml:space="preserve"> (1983), </w:t>
      </w:r>
      <w:r w:rsidR="007D7B15" w:rsidRPr="00A96F1D">
        <w:rPr>
          <w:i/>
          <w:lang w:val="en-GB"/>
        </w:rPr>
        <w:t xml:space="preserve">De </w:t>
      </w:r>
      <w:proofErr w:type="spellStart"/>
      <w:r w:rsidR="007D7B15" w:rsidRPr="00A96F1D">
        <w:rPr>
          <w:i/>
          <w:lang w:val="en-GB"/>
        </w:rPr>
        <w:t>Cubber</w:t>
      </w:r>
      <w:proofErr w:type="spellEnd"/>
      <w:r w:rsidR="007D7B15" w:rsidRPr="00F50D4A">
        <w:rPr>
          <w:lang w:val="en-GB"/>
        </w:rPr>
        <w:t xml:space="preserve"> (1984), </w:t>
      </w:r>
      <w:r w:rsidR="007D7B15" w:rsidRPr="00A96F1D">
        <w:rPr>
          <w:i/>
          <w:lang w:val="en-GB"/>
        </w:rPr>
        <w:t>Mathieu-</w:t>
      </w:r>
      <w:proofErr w:type="spellStart"/>
      <w:r w:rsidR="007D7B15" w:rsidRPr="00A96F1D">
        <w:rPr>
          <w:i/>
          <w:lang w:val="en-GB"/>
        </w:rPr>
        <w:t>Mohin</w:t>
      </w:r>
      <w:proofErr w:type="spellEnd"/>
      <w:r w:rsidR="007D7B15" w:rsidRPr="00A96F1D">
        <w:rPr>
          <w:i/>
          <w:lang w:val="en-GB"/>
        </w:rPr>
        <w:t xml:space="preserve"> and </w:t>
      </w:r>
      <w:proofErr w:type="spellStart"/>
      <w:r w:rsidR="007D7B15" w:rsidRPr="00A96F1D">
        <w:rPr>
          <w:i/>
          <w:lang w:val="en-GB"/>
        </w:rPr>
        <w:t>Clerfayt</w:t>
      </w:r>
      <w:proofErr w:type="spellEnd"/>
      <w:r w:rsidR="007D7B15" w:rsidRPr="00F50D4A">
        <w:rPr>
          <w:lang w:val="en-GB"/>
        </w:rPr>
        <w:t xml:space="preserve"> </w:t>
      </w:r>
      <w:r w:rsidR="007D7B15" w:rsidRPr="00F50D4A">
        <w:rPr>
          <w:lang w:val="en-GB"/>
        </w:rPr>
        <w:lastRenderedPageBreak/>
        <w:t xml:space="preserve">(1987), </w:t>
      </w:r>
      <w:proofErr w:type="spellStart"/>
      <w:r w:rsidR="007D7B15" w:rsidRPr="00A96F1D">
        <w:rPr>
          <w:i/>
          <w:lang w:val="en-GB"/>
        </w:rPr>
        <w:t>Bouamar</w:t>
      </w:r>
      <w:proofErr w:type="spellEnd"/>
      <w:r w:rsidR="007D7B15" w:rsidRPr="00F50D4A">
        <w:rPr>
          <w:lang w:val="en-GB"/>
        </w:rPr>
        <w:t xml:space="preserve"> (1988), </w:t>
      </w:r>
      <w:proofErr w:type="spellStart"/>
      <w:r w:rsidR="007D7B15" w:rsidRPr="00A96F1D">
        <w:rPr>
          <w:i/>
          <w:lang w:val="en-GB"/>
        </w:rPr>
        <w:t>Pauwels</w:t>
      </w:r>
      <w:proofErr w:type="spellEnd"/>
      <w:r w:rsidR="007D7B15" w:rsidRPr="00F50D4A">
        <w:rPr>
          <w:lang w:val="en-GB"/>
        </w:rPr>
        <w:t xml:space="preserve"> (1988) and </w:t>
      </w:r>
      <w:proofErr w:type="spellStart"/>
      <w:r w:rsidR="007D7B15" w:rsidRPr="00A96F1D">
        <w:rPr>
          <w:i/>
          <w:lang w:val="en-GB"/>
        </w:rPr>
        <w:t>Lamy</w:t>
      </w:r>
      <w:proofErr w:type="spellEnd"/>
      <w:r w:rsidR="007D7B15" w:rsidRPr="00F50D4A">
        <w:rPr>
          <w:lang w:val="en-GB"/>
        </w:rPr>
        <w:t xml:space="preserve"> (1988).</w:t>
      </w:r>
      <w:r w:rsidR="00F50D4A">
        <w:rPr>
          <w:lang w:val="en-GB"/>
        </w:rPr>
        <w:t xml:space="preserve"> </w:t>
      </w:r>
      <w:r w:rsidR="00F24AE0">
        <w:rPr>
          <w:lang w:val="en-GB"/>
        </w:rPr>
        <w:t>In principle, the most relevant actor for the purposes of the present research is the applicant’s attorney, since he or she has most likely played the most active role in cons</w:t>
      </w:r>
      <w:r w:rsidR="00817C3C">
        <w:rPr>
          <w:lang w:val="en-GB"/>
        </w:rPr>
        <w:t>tructing the case in Strasbourg</w:t>
      </w:r>
      <w:r w:rsidR="007225B1">
        <w:rPr>
          <w:rStyle w:val="Voetnootmarkering"/>
          <w:lang w:val="en-GB"/>
        </w:rPr>
        <w:footnoteReference w:id="47"/>
      </w:r>
      <w:r w:rsidR="00817C3C">
        <w:rPr>
          <w:lang w:val="en-GB"/>
        </w:rPr>
        <w:t>.</w:t>
      </w:r>
      <w:r w:rsidR="00F24AE0">
        <w:rPr>
          <w:lang w:val="en-GB"/>
        </w:rPr>
        <w:t xml:space="preserve"> In total 11 attorneys</w:t>
      </w:r>
      <w:r w:rsidR="007D7B15">
        <w:rPr>
          <w:lang w:val="en-GB"/>
        </w:rPr>
        <w:t xml:space="preserve"> involved in 12 cases where interviewed</w:t>
      </w:r>
      <w:r w:rsidR="00A96F1D">
        <w:rPr>
          <w:rStyle w:val="Voetnootmarkering"/>
          <w:lang w:val="en-GB"/>
        </w:rPr>
        <w:footnoteReference w:id="48"/>
      </w:r>
      <w:r w:rsidR="00817C3C">
        <w:rPr>
          <w:lang w:val="en-GB"/>
        </w:rPr>
        <w:t>.</w:t>
      </w:r>
      <w:r w:rsidR="007D7B15">
        <w:rPr>
          <w:lang w:val="en-GB"/>
        </w:rPr>
        <w:t xml:space="preserve"> </w:t>
      </w:r>
      <w:r w:rsidR="00A96E3B">
        <w:rPr>
          <w:lang w:val="en-GB"/>
        </w:rPr>
        <w:t>Of those 11 attorneys, 10 were the applicant’s main attorney while the 11</w:t>
      </w:r>
      <w:r w:rsidR="00A96E3B" w:rsidRPr="00A96E3B">
        <w:rPr>
          <w:vertAlign w:val="superscript"/>
          <w:lang w:val="en-GB"/>
        </w:rPr>
        <w:t>th</w:t>
      </w:r>
      <w:r w:rsidR="00A96E3B">
        <w:rPr>
          <w:lang w:val="en-GB"/>
        </w:rPr>
        <w:t xml:space="preserve"> one had been involved in the case as </w:t>
      </w:r>
      <w:r w:rsidR="002216CE">
        <w:rPr>
          <w:lang w:val="en-GB"/>
        </w:rPr>
        <w:t>a pupil lawyer working for</w:t>
      </w:r>
      <w:r w:rsidR="00A96E3B">
        <w:rPr>
          <w:lang w:val="en-GB"/>
        </w:rPr>
        <w:t xml:space="preserve"> the applicant’s main attorney</w:t>
      </w:r>
      <w:r w:rsidR="00A96F1D">
        <w:rPr>
          <w:rStyle w:val="Voetnootmarkering"/>
          <w:lang w:val="en-GB"/>
        </w:rPr>
        <w:footnoteReference w:id="49"/>
      </w:r>
      <w:r w:rsidR="00817C3C">
        <w:rPr>
          <w:lang w:val="en-GB"/>
        </w:rPr>
        <w:t>.</w:t>
      </w:r>
      <w:r w:rsidR="003D38F3">
        <w:rPr>
          <w:lang w:val="en-GB"/>
        </w:rPr>
        <w:t xml:space="preserve"> </w:t>
      </w:r>
      <w:proofErr w:type="gramStart"/>
      <w:r w:rsidR="00A96E3B">
        <w:rPr>
          <w:lang w:val="en-GB"/>
        </w:rPr>
        <w:t>A 12</w:t>
      </w:r>
      <w:r w:rsidR="00A96E3B" w:rsidRPr="00A96E3B">
        <w:rPr>
          <w:vertAlign w:val="superscript"/>
          <w:lang w:val="en-GB"/>
        </w:rPr>
        <w:t>th</w:t>
      </w:r>
      <w:r w:rsidR="00A96E3B">
        <w:rPr>
          <w:lang w:val="en-GB"/>
        </w:rPr>
        <w:t xml:space="preserve"> lawyer, an academic who had represented the applicant – who otherwise defended himself – solely on the question of admissibility, wa</w:t>
      </w:r>
      <w:r w:rsidR="003D38F3">
        <w:rPr>
          <w:lang w:val="en-GB"/>
        </w:rPr>
        <w:t>s also interviewed</w:t>
      </w:r>
      <w:r w:rsidR="00A96F1D">
        <w:rPr>
          <w:rStyle w:val="Voetnootmarkering"/>
          <w:lang w:val="en-GB"/>
        </w:rPr>
        <w:footnoteReference w:id="50"/>
      </w:r>
      <w:r w:rsidR="00817C3C">
        <w:rPr>
          <w:lang w:val="en-GB"/>
        </w:rPr>
        <w:t>.</w:t>
      </w:r>
      <w:proofErr w:type="gramEnd"/>
      <w:r w:rsidR="00A96F1D">
        <w:rPr>
          <w:lang w:val="en-GB"/>
        </w:rPr>
        <w:t xml:space="preserve"> </w:t>
      </w:r>
      <w:r w:rsidR="00A96E3B" w:rsidRPr="003D38F3">
        <w:rPr>
          <w:lang w:val="en-GB"/>
        </w:rPr>
        <w:t xml:space="preserve">In addition, </w:t>
      </w:r>
      <w:r w:rsidR="003D38F3" w:rsidRPr="003D38F3">
        <w:rPr>
          <w:lang w:val="en-GB"/>
        </w:rPr>
        <w:t xml:space="preserve">applicants were contacted with a view to interviewing them in cases where, on the basis of the factual circumstances and the profile of the applicants, it could be assumed that they might have played a crucial driving role behind the case in Strasbourg. This resulted in three more interviews with the applicants in the cases of </w:t>
      </w:r>
      <w:r w:rsidR="003D38F3" w:rsidRPr="007225B1">
        <w:rPr>
          <w:i/>
          <w:lang w:val="en-GB"/>
        </w:rPr>
        <w:t>Marckx</w:t>
      </w:r>
      <w:r w:rsidR="003D38F3" w:rsidRPr="003D38F3">
        <w:rPr>
          <w:lang w:val="en-GB"/>
        </w:rPr>
        <w:t xml:space="preserve">; </w:t>
      </w:r>
      <w:r w:rsidR="003D38F3" w:rsidRPr="007225B1">
        <w:rPr>
          <w:i/>
          <w:lang w:val="en-GB"/>
        </w:rPr>
        <w:t xml:space="preserve">Le </w:t>
      </w:r>
      <w:proofErr w:type="spellStart"/>
      <w:r w:rsidR="003D38F3" w:rsidRPr="007225B1">
        <w:rPr>
          <w:i/>
          <w:lang w:val="en-GB"/>
        </w:rPr>
        <w:t>Compte</w:t>
      </w:r>
      <w:proofErr w:type="spellEnd"/>
      <w:r w:rsidR="003D38F3" w:rsidRPr="007225B1">
        <w:rPr>
          <w:i/>
          <w:lang w:val="en-GB"/>
        </w:rPr>
        <w:t>, De Meyere and Van Leuven</w:t>
      </w:r>
      <w:r w:rsidR="003D38F3" w:rsidRPr="003D38F3">
        <w:rPr>
          <w:lang w:val="en-GB"/>
        </w:rPr>
        <w:t xml:space="preserve"> (applicant De Meyere); and </w:t>
      </w:r>
      <w:r w:rsidR="00C72488">
        <w:rPr>
          <w:i/>
          <w:lang w:val="en-GB"/>
        </w:rPr>
        <w:t>Van d</w:t>
      </w:r>
      <w:r w:rsidR="003D38F3" w:rsidRPr="007225B1">
        <w:rPr>
          <w:i/>
          <w:lang w:val="en-GB"/>
        </w:rPr>
        <w:t xml:space="preserve">er </w:t>
      </w:r>
      <w:proofErr w:type="spellStart"/>
      <w:r w:rsidR="003D38F3" w:rsidRPr="007225B1">
        <w:rPr>
          <w:i/>
          <w:lang w:val="en-GB"/>
        </w:rPr>
        <w:t>Mussele</w:t>
      </w:r>
      <w:proofErr w:type="spellEnd"/>
      <w:r w:rsidR="003D38F3" w:rsidRPr="003D38F3">
        <w:rPr>
          <w:lang w:val="en-GB"/>
        </w:rPr>
        <w:t>.</w:t>
      </w:r>
      <w:r w:rsidR="003D38F3">
        <w:rPr>
          <w:lang w:val="en-GB"/>
        </w:rPr>
        <w:t xml:space="preserve"> In all three cases, both applicants and attorneys were interviewed.</w:t>
      </w:r>
      <w:r w:rsidR="007225B1">
        <w:rPr>
          <w:lang w:val="en-GB"/>
        </w:rPr>
        <w:t xml:space="preserve"> </w:t>
      </w:r>
      <w:r w:rsidR="00587CA1">
        <w:rPr>
          <w:lang w:val="en-GB"/>
        </w:rPr>
        <w:t>With respect to the eight other cases</w:t>
      </w:r>
      <w:r w:rsidR="007225B1">
        <w:rPr>
          <w:lang w:val="en-GB"/>
        </w:rPr>
        <w:t>,</w:t>
      </w:r>
      <w:r w:rsidR="00587CA1">
        <w:rPr>
          <w:lang w:val="en-GB"/>
        </w:rPr>
        <w:t xml:space="preserve"> </w:t>
      </w:r>
      <w:r w:rsidR="007225B1">
        <w:rPr>
          <w:lang w:val="en-GB"/>
        </w:rPr>
        <w:t xml:space="preserve">it was not possible to interview any actor involved in the case, either because the actors concerned are deceased, because it was not possible to find any recent contact details – possibly but not necessarily because they are deceased – and, in one case, because the actor concerned refused to participate in the research: </w:t>
      </w:r>
      <w:r w:rsidR="007225B1" w:rsidRPr="007225B1">
        <w:rPr>
          <w:i/>
          <w:lang w:val="en-GB"/>
        </w:rPr>
        <w:t>D</w:t>
      </w:r>
      <w:r w:rsidR="00587CA1" w:rsidRPr="007225B1">
        <w:rPr>
          <w:i/>
          <w:lang w:val="en-GB"/>
        </w:rPr>
        <w:t>e Becker</w:t>
      </w:r>
      <w:r w:rsidR="00587CA1">
        <w:rPr>
          <w:lang w:val="en-GB"/>
        </w:rPr>
        <w:t xml:space="preserve"> (1962), </w:t>
      </w:r>
      <w:r w:rsidR="00587CA1" w:rsidRPr="007225B1">
        <w:rPr>
          <w:i/>
          <w:lang w:val="en-GB"/>
        </w:rPr>
        <w:t>Belgian Linguistics case</w:t>
      </w:r>
      <w:r w:rsidR="00587CA1">
        <w:rPr>
          <w:lang w:val="en-GB"/>
        </w:rPr>
        <w:t xml:space="preserve"> (1968), </w:t>
      </w:r>
      <w:proofErr w:type="spellStart"/>
      <w:r w:rsidR="00587CA1" w:rsidRPr="007225B1">
        <w:rPr>
          <w:i/>
          <w:lang w:val="en-GB"/>
        </w:rPr>
        <w:t>Delcourt</w:t>
      </w:r>
      <w:proofErr w:type="spellEnd"/>
      <w:r w:rsidR="00587CA1" w:rsidRPr="007225B1">
        <w:rPr>
          <w:i/>
          <w:lang w:val="en-GB"/>
        </w:rPr>
        <w:t xml:space="preserve"> </w:t>
      </w:r>
      <w:r w:rsidR="00587CA1">
        <w:rPr>
          <w:lang w:val="en-GB"/>
        </w:rPr>
        <w:t xml:space="preserve">(1970), </w:t>
      </w:r>
      <w:proofErr w:type="spellStart"/>
      <w:r w:rsidR="00587CA1" w:rsidRPr="007225B1">
        <w:rPr>
          <w:i/>
          <w:lang w:val="en-GB"/>
        </w:rPr>
        <w:t>Deweer</w:t>
      </w:r>
      <w:proofErr w:type="spellEnd"/>
      <w:r w:rsidR="007225B1">
        <w:rPr>
          <w:lang w:val="en-GB"/>
        </w:rPr>
        <w:t xml:space="preserve"> (1980), </w:t>
      </w:r>
      <w:r w:rsidR="007225B1" w:rsidRPr="007225B1">
        <w:rPr>
          <w:i/>
          <w:lang w:val="en-GB"/>
        </w:rPr>
        <w:t xml:space="preserve">Van </w:t>
      </w:r>
      <w:proofErr w:type="spellStart"/>
      <w:r w:rsidR="007225B1" w:rsidRPr="007225B1">
        <w:rPr>
          <w:i/>
          <w:lang w:val="en-GB"/>
        </w:rPr>
        <w:t>Droog</w:t>
      </w:r>
      <w:r w:rsidR="00587CA1" w:rsidRPr="007225B1">
        <w:rPr>
          <w:i/>
          <w:lang w:val="en-GB"/>
        </w:rPr>
        <w:t>enbroeck</w:t>
      </w:r>
      <w:proofErr w:type="spellEnd"/>
      <w:r w:rsidR="00587CA1">
        <w:rPr>
          <w:lang w:val="en-GB"/>
        </w:rPr>
        <w:t xml:space="preserve"> (1982), </w:t>
      </w:r>
      <w:proofErr w:type="spellStart"/>
      <w:r w:rsidR="00587CA1" w:rsidRPr="007225B1">
        <w:rPr>
          <w:i/>
          <w:lang w:val="en-GB"/>
        </w:rPr>
        <w:t>Piersack</w:t>
      </w:r>
      <w:proofErr w:type="spellEnd"/>
      <w:r w:rsidR="00587CA1" w:rsidRPr="007225B1">
        <w:rPr>
          <w:i/>
          <w:lang w:val="en-GB"/>
        </w:rPr>
        <w:t xml:space="preserve"> </w:t>
      </w:r>
      <w:r w:rsidR="00587CA1">
        <w:rPr>
          <w:lang w:val="en-GB"/>
        </w:rPr>
        <w:t xml:space="preserve">(1982), </w:t>
      </w:r>
      <w:r w:rsidR="00587CA1" w:rsidRPr="007225B1">
        <w:rPr>
          <w:i/>
          <w:lang w:val="en-GB"/>
        </w:rPr>
        <w:t>H.</w:t>
      </w:r>
      <w:r w:rsidR="00587CA1">
        <w:rPr>
          <w:lang w:val="en-GB"/>
        </w:rPr>
        <w:t xml:space="preserve"> (1987) and </w:t>
      </w:r>
      <w:proofErr w:type="spellStart"/>
      <w:r w:rsidR="00587CA1" w:rsidRPr="007225B1">
        <w:rPr>
          <w:i/>
          <w:lang w:val="en-GB"/>
        </w:rPr>
        <w:t>Bricmont</w:t>
      </w:r>
      <w:proofErr w:type="spellEnd"/>
      <w:r w:rsidR="007225B1">
        <w:rPr>
          <w:lang w:val="en-GB"/>
        </w:rPr>
        <w:t xml:space="preserve"> (1989).</w:t>
      </w:r>
    </w:p>
    <w:p w14:paraId="093348D0" w14:textId="497196A0" w:rsidR="00DE778E" w:rsidRDefault="001C376F" w:rsidP="001A19D0">
      <w:pPr>
        <w:ind w:firstLine="708"/>
        <w:jc w:val="both"/>
        <w:rPr>
          <w:lang w:val="en-GB"/>
        </w:rPr>
      </w:pPr>
      <w:r>
        <w:rPr>
          <w:lang w:val="en-GB"/>
        </w:rPr>
        <w:t>The present study is based on the method of oral history.</w:t>
      </w:r>
      <w:r w:rsidR="00DE778E">
        <w:rPr>
          <w:lang w:val="en-GB"/>
        </w:rPr>
        <w:t xml:space="preserve"> Just like written sources, oral history </w:t>
      </w:r>
      <w:r w:rsidR="00817C3C">
        <w:rPr>
          <w:lang w:val="en-GB"/>
        </w:rPr>
        <w:t>can tell us things about events</w:t>
      </w:r>
      <w:r w:rsidR="00DE778E">
        <w:rPr>
          <w:rStyle w:val="Voetnootmarkering"/>
          <w:lang w:val="en-GB"/>
        </w:rPr>
        <w:footnoteReference w:id="51"/>
      </w:r>
      <w:r w:rsidR="00817C3C">
        <w:rPr>
          <w:lang w:val="en-GB"/>
        </w:rPr>
        <w:t>.</w:t>
      </w:r>
      <w:r w:rsidR="00DE778E">
        <w:rPr>
          <w:lang w:val="en-GB"/>
        </w:rPr>
        <w:t xml:space="preserve"> The added value in this respect is that</w:t>
      </w:r>
      <w:r w:rsidR="005879EF">
        <w:rPr>
          <w:lang w:val="en-GB"/>
        </w:rPr>
        <w:t xml:space="preserve"> these oral history accounts </w:t>
      </w:r>
      <w:r w:rsidR="00DE778E">
        <w:rPr>
          <w:lang w:val="en-GB"/>
        </w:rPr>
        <w:t>tell us things about the history of and behind thes</w:t>
      </w:r>
      <w:r w:rsidR="005879EF">
        <w:rPr>
          <w:lang w:val="en-GB"/>
        </w:rPr>
        <w:t>e cases that cannot necessarily be deduced from the available legal documentation on these cases, since the information contained in these documents has been gathered and reproduced with specific procedural purposes in mind that do not necessarily align with the legal historian’s interest.</w:t>
      </w:r>
      <w:r w:rsidR="0084500C">
        <w:rPr>
          <w:rStyle w:val="Voetnootmarkering"/>
          <w:lang w:val="en-GB"/>
        </w:rPr>
        <w:footnoteReference w:id="52"/>
      </w:r>
      <w:r w:rsidR="005879EF">
        <w:rPr>
          <w:lang w:val="en-GB"/>
        </w:rPr>
        <w:t xml:space="preserve"> In addition, what</w:t>
      </w:r>
      <w:r w:rsidR="004A0A88">
        <w:rPr>
          <w:lang w:val="en-GB"/>
        </w:rPr>
        <w:t xml:space="preserve"> i</w:t>
      </w:r>
      <w:r w:rsidR="005879EF">
        <w:rPr>
          <w:lang w:val="en-GB"/>
        </w:rPr>
        <w:t>s unique to oral history as a method is that it allows the historian to focus not only on events, but also on the meaning given to those events by the persons concerned: “[o]</w:t>
      </w:r>
      <w:proofErr w:type="spellStart"/>
      <w:r w:rsidR="005879EF">
        <w:rPr>
          <w:lang w:val="en-GB"/>
        </w:rPr>
        <w:t>ral</w:t>
      </w:r>
      <w:proofErr w:type="spellEnd"/>
      <w:r w:rsidR="005879EF">
        <w:rPr>
          <w:lang w:val="en-GB"/>
        </w:rPr>
        <w:t xml:space="preserve"> sources tell us not just what people did, but what they wanted to do, what they believed they were doing, a</w:t>
      </w:r>
      <w:r w:rsidR="00817C3C">
        <w:rPr>
          <w:lang w:val="en-GB"/>
        </w:rPr>
        <w:t>nd what they now think they did</w:t>
      </w:r>
      <w:r w:rsidR="005879EF">
        <w:rPr>
          <w:lang w:val="en-GB"/>
        </w:rPr>
        <w:t>”</w:t>
      </w:r>
      <w:r w:rsidR="005879EF">
        <w:rPr>
          <w:rStyle w:val="Voetnootmarkering"/>
          <w:lang w:val="en-GB"/>
        </w:rPr>
        <w:footnoteReference w:id="53"/>
      </w:r>
      <w:r w:rsidR="00817C3C">
        <w:rPr>
          <w:lang w:val="en-GB"/>
        </w:rPr>
        <w:t>.</w:t>
      </w:r>
      <w:r w:rsidR="005879EF">
        <w:rPr>
          <w:lang w:val="en-GB"/>
        </w:rPr>
        <w:t xml:space="preserve"> For the purposes of the present research, oral history as a method allows to delve into the aspirations and motivations of the actors involved in Strasbourg litigation in a manner that written sources are unable to do.</w:t>
      </w:r>
    </w:p>
    <w:p w14:paraId="0F7D08FD" w14:textId="77777777" w:rsidR="00F67F0E" w:rsidRPr="0084500C" w:rsidRDefault="0084500C" w:rsidP="001A19D0">
      <w:pPr>
        <w:ind w:firstLine="708"/>
        <w:jc w:val="both"/>
        <w:rPr>
          <w:lang w:val="en-GB"/>
        </w:rPr>
      </w:pPr>
      <w:r>
        <w:rPr>
          <w:lang w:val="en-GB"/>
        </w:rPr>
        <w:t>The oral history sources were created on the basis of semi-structured interviews.</w:t>
      </w:r>
      <w:r w:rsidR="00F67F0E" w:rsidRPr="0084500C">
        <w:rPr>
          <w:lang w:val="en-GB"/>
        </w:rPr>
        <w:t xml:space="preserve"> First, the interviewees were asked by way of an open question to recall the history of their case. On the basis of their response</w:t>
      </w:r>
      <w:r w:rsidR="006C75FA" w:rsidRPr="0084500C">
        <w:rPr>
          <w:lang w:val="en-GB"/>
        </w:rPr>
        <w:t>s</w:t>
      </w:r>
      <w:r w:rsidR="00F67F0E" w:rsidRPr="0084500C">
        <w:rPr>
          <w:lang w:val="en-GB"/>
        </w:rPr>
        <w:t xml:space="preserve">, further questions were asked in order to </w:t>
      </w:r>
      <w:r w:rsidR="002216CE">
        <w:rPr>
          <w:lang w:val="en-GB"/>
        </w:rPr>
        <w:t>i</w:t>
      </w:r>
      <w:r w:rsidR="006C75FA" w:rsidRPr="0084500C">
        <w:rPr>
          <w:lang w:val="en-GB"/>
        </w:rPr>
        <w:t xml:space="preserve">nquire, </w:t>
      </w:r>
      <w:r w:rsidR="006C75FA" w:rsidRPr="0084500C">
        <w:rPr>
          <w:i/>
          <w:lang w:val="en-GB"/>
        </w:rPr>
        <w:t>inter alia</w:t>
      </w:r>
      <w:r w:rsidR="006C75FA" w:rsidRPr="0084500C">
        <w:rPr>
          <w:lang w:val="en-GB"/>
        </w:rPr>
        <w:t>, into how the idea to</w:t>
      </w:r>
      <w:r>
        <w:rPr>
          <w:lang w:val="en-GB"/>
        </w:rPr>
        <w:t xml:space="preserve"> go to Strasbourg came about;</w:t>
      </w:r>
      <w:r w:rsidR="006C75FA" w:rsidRPr="0084500C">
        <w:rPr>
          <w:lang w:val="en-GB"/>
        </w:rPr>
        <w:t xml:space="preserve"> into the</w:t>
      </w:r>
      <w:r>
        <w:rPr>
          <w:lang w:val="en-GB"/>
        </w:rPr>
        <w:t>ir motivations and expectations;</w:t>
      </w:r>
      <w:r w:rsidR="006C75FA" w:rsidRPr="0084500C">
        <w:rPr>
          <w:lang w:val="en-GB"/>
        </w:rPr>
        <w:t xml:space="preserve"> into how the legal issue concerned was addressed in the Belgian legal order and how it was perceived</w:t>
      </w:r>
      <w:r w:rsidR="002E7E96" w:rsidRPr="0084500C">
        <w:rPr>
          <w:lang w:val="en-GB"/>
        </w:rPr>
        <w:t xml:space="preserve"> by legal professionals</w:t>
      </w:r>
      <w:r>
        <w:rPr>
          <w:lang w:val="en-GB"/>
        </w:rPr>
        <w:t xml:space="preserve"> at the time;</w:t>
      </w:r>
      <w:r w:rsidR="006C75FA" w:rsidRPr="0084500C">
        <w:rPr>
          <w:lang w:val="en-GB"/>
        </w:rPr>
        <w:t xml:space="preserve"> </w:t>
      </w:r>
      <w:r w:rsidR="002E7E96" w:rsidRPr="0084500C">
        <w:rPr>
          <w:lang w:val="en-GB"/>
        </w:rPr>
        <w:t>their professional situation at the time</w:t>
      </w:r>
      <w:r>
        <w:rPr>
          <w:lang w:val="en-GB"/>
        </w:rPr>
        <w:t>;</w:t>
      </w:r>
      <w:r w:rsidR="002E7E96" w:rsidRPr="0084500C">
        <w:rPr>
          <w:lang w:val="en-GB"/>
        </w:rPr>
        <w:t xml:space="preserve"> </w:t>
      </w:r>
      <w:r w:rsidR="006C75FA" w:rsidRPr="0084500C">
        <w:rPr>
          <w:lang w:val="en-GB"/>
        </w:rPr>
        <w:t xml:space="preserve">how they prepared the case and whether and </w:t>
      </w:r>
      <w:r w:rsidR="006C75FA" w:rsidRPr="0084500C">
        <w:rPr>
          <w:lang w:val="en-GB"/>
        </w:rPr>
        <w:lastRenderedPageBreak/>
        <w:t xml:space="preserve">with whom they had been in </w:t>
      </w:r>
      <w:r>
        <w:rPr>
          <w:lang w:val="en-GB"/>
        </w:rPr>
        <w:t>contact when preparing the case;</w:t>
      </w:r>
      <w:r w:rsidR="006C75FA" w:rsidRPr="0084500C">
        <w:rPr>
          <w:lang w:val="en-GB"/>
        </w:rPr>
        <w:t xml:space="preserve"> into their prior knowledge, if any, of the</w:t>
      </w:r>
      <w:r>
        <w:rPr>
          <w:lang w:val="en-GB"/>
        </w:rPr>
        <w:t xml:space="preserve"> ECHR and the Convention system; into</w:t>
      </w:r>
      <w:r w:rsidR="006C75FA" w:rsidRPr="0084500C">
        <w:rPr>
          <w:lang w:val="en-GB"/>
        </w:rPr>
        <w:t xml:space="preserve"> t</w:t>
      </w:r>
      <w:r>
        <w:rPr>
          <w:lang w:val="en-GB"/>
        </w:rPr>
        <w:t>he development of the procedure and</w:t>
      </w:r>
      <w:r w:rsidR="006C75FA" w:rsidRPr="0084500C">
        <w:rPr>
          <w:lang w:val="en-GB"/>
        </w:rPr>
        <w:t xml:space="preserve"> the </w:t>
      </w:r>
      <w:r>
        <w:rPr>
          <w:lang w:val="en-GB"/>
        </w:rPr>
        <w:t xml:space="preserve">outcome of the case; and </w:t>
      </w:r>
      <w:r w:rsidR="002E7E96" w:rsidRPr="0084500C">
        <w:rPr>
          <w:lang w:val="en-GB"/>
        </w:rPr>
        <w:t>whether they were satisfied the</w:t>
      </w:r>
      <w:r w:rsidR="00F04851" w:rsidRPr="0084500C">
        <w:rPr>
          <w:lang w:val="en-GB"/>
        </w:rPr>
        <w:t xml:space="preserve">reby and </w:t>
      </w:r>
      <w:r>
        <w:rPr>
          <w:lang w:val="en-GB"/>
        </w:rPr>
        <w:t>how people reacted</w:t>
      </w:r>
      <w:r w:rsidR="00F04851" w:rsidRPr="0084500C">
        <w:rPr>
          <w:lang w:val="en-GB"/>
        </w:rPr>
        <w:t xml:space="preserve"> thereto.</w:t>
      </w:r>
    </w:p>
    <w:p w14:paraId="4ACE98F1" w14:textId="17025229" w:rsidR="00F24AE0" w:rsidRPr="0084500C" w:rsidRDefault="003A7972" w:rsidP="001A19D0">
      <w:pPr>
        <w:ind w:firstLine="708"/>
        <w:jc w:val="both"/>
        <w:rPr>
          <w:lang w:val="en-GB"/>
        </w:rPr>
      </w:pPr>
      <w:r w:rsidRPr="0084500C">
        <w:rPr>
          <w:lang w:val="en-GB"/>
        </w:rPr>
        <w:t>Where available, additional sources that document the experience of the relevant actors</w:t>
      </w:r>
      <w:r>
        <w:rPr>
          <w:lang w:val="en-GB"/>
        </w:rPr>
        <w:t>,</w:t>
      </w:r>
      <w:r w:rsidRPr="0084500C">
        <w:rPr>
          <w:lang w:val="en-GB"/>
        </w:rPr>
        <w:t xml:space="preserve"> such as interviews</w:t>
      </w:r>
      <w:r>
        <w:rPr>
          <w:rStyle w:val="Voetnootmarkering"/>
          <w:lang w:val="en-GB"/>
        </w:rPr>
        <w:footnoteReference w:id="54"/>
      </w:r>
      <w:r>
        <w:rPr>
          <w:lang w:val="en-GB"/>
        </w:rPr>
        <w:t xml:space="preserve"> </w:t>
      </w:r>
      <w:r w:rsidRPr="0084500C">
        <w:rPr>
          <w:lang w:val="en-GB"/>
        </w:rPr>
        <w:t>and ego</w:t>
      </w:r>
      <w:r w:rsidR="004A0A88">
        <w:rPr>
          <w:lang w:val="en-GB"/>
        </w:rPr>
        <w:t xml:space="preserve"> </w:t>
      </w:r>
      <w:r w:rsidRPr="0084500C">
        <w:rPr>
          <w:lang w:val="en-GB"/>
        </w:rPr>
        <w:t>documents</w:t>
      </w:r>
      <w:r>
        <w:rPr>
          <w:rStyle w:val="Voetnootmarkering"/>
          <w:lang w:val="en-GB"/>
        </w:rPr>
        <w:footnoteReference w:id="55"/>
      </w:r>
      <w:r w:rsidR="00817C3C">
        <w:rPr>
          <w:lang w:val="en-GB"/>
        </w:rPr>
        <w:t>,</w:t>
      </w:r>
      <w:r w:rsidRPr="0084500C">
        <w:rPr>
          <w:lang w:val="en-GB"/>
        </w:rPr>
        <w:t xml:space="preserve"> were consulted, either in addition to the data collected in the interviews, or as primary source in case the person concerned is deceased</w:t>
      </w:r>
      <w:r>
        <w:rPr>
          <w:rStyle w:val="Voetnootmarkering"/>
          <w:lang w:val="en-GB"/>
        </w:rPr>
        <w:footnoteReference w:id="56"/>
      </w:r>
      <w:r w:rsidR="00817C3C">
        <w:rPr>
          <w:lang w:val="en-GB"/>
        </w:rPr>
        <w:t>.</w:t>
      </w:r>
      <w:r w:rsidRPr="003A7972">
        <w:rPr>
          <w:lang w:val="en-GB"/>
        </w:rPr>
        <w:t xml:space="preserve"> </w:t>
      </w:r>
      <w:r w:rsidR="00F04851" w:rsidRPr="0084500C">
        <w:rPr>
          <w:lang w:val="en-GB"/>
        </w:rPr>
        <w:t xml:space="preserve">In addition, use was made of </w:t>
      </w:r>
      <w:r w:rsidR="0084500C">
        <w:rPr>
          <w:lang w:val="en-GB"/>
        </w:rPr>
        <w:t>written sources such as</w:t>
      </w:r>
      <w:r w:rsidR="00F04851" w:rsidRPr="0084500C">
        <w:rPr>
          <w:lang w:val="en-GB"/>
        </w:rPr>
        <w:t xml:space="preserve"> the texts of decisions on the admissibility and reports on the merits by the Commission and judgments by the Court in the respective cases, consulted via the Court’</w:t>
      </w:r>
      <w:r w:rsidR="00CD126F" w:rsidRPr="0084500C">
        <w:rPr>
          <w:lang w:val="en-GB"/>
        </w:rPr>
        <w:t xml:space="preserve">s HUDOC database. In combination, these documents contain a wealth of information on the facts of the case, the legal background against which the case developed in Belgium, the identity of the applicant and his or her attorney, as well as the arguments developed by the parties. This information proved invaluable in preparing for the interviews. </w:t>
      </w:r>
      <w:r w:rsidR="002216CE">
        <w:rPr>
          <w:lang w:val="en-GB"/>
        </w:rPr>
        <w:t>T</w:t>
      </w:r>
      <w:r w:rsidR="00CD126F" w:rsidRPr="0084500C">
        <w:rPr>
          <w:lang w:val="en-GB"/>
        </w:rPr>
        <w:t xml:space="preserve">hese documents, together with </w:t>
      </w:r>
      <w:r w:rsidR="002216CE">
        <w:rPr>
          <w:lang w:val="en-GB"/>
        </w:rPr>
        <w:t>copies</w:t>
      </w:r>
      <w:r w:rsidR="00EC2A86" w:rsidRPr="0084500C">
        <w:rPr>
          <w:lang w:val="en-GB"/>
        </w:rPr>
        <w:t xml:space="preserve"> of documents from the case files furnished by the</w:t>
      </w:r>
      <w:r w:rsidR="00CD126F" w:rsidRPr="0084500C">
        <w:rPr>
          <w:lang w:val="en-GB"/>
        </w:rPr>
        <w:t xml:space="preserve"> </w:t>
      </w:r>
      <w:r w:rsidR="00EC2A86" w:rsidRPr="0084500C">
        <w:rPr>
          <w:lang w:val="en-GB"/>
        </w:rPr>
        <w:t>Archive of the Court</w:t>
      </w:r>
      <w:r w:rsidR="0084500C">
        <w:rPr>
          <w:rStyle w:val="Voetnootmarkering"/>
          <w:lang w:val="en-GB"/>
        </w:rPr>
        <w:footnoteReference w:id="57"/>
      </w:r>
      <w:r w:rsidR="00817C3C">
        <w:rPr>
          <w:lang w:val="en-GB"/>
        </w:rPr>
        <w:t>,</w:t>
      </w:r>
      <w:r w:rsidR="00EC2A86" w:rsidRPr="0084500C">
        <w:rPr>
          <w:lang w:val="en-GB"/>
        </w:rPr>
        <w:t xml:space="preserve"> constitute the best availa</w:t>
      </w:r>
      <w:r w:rsidR="002216CE">
        <w:rPr>
          <w:lang w:val="en-GB"/>
        </w:rPr>
        <w:t>ble sources to reconstruct the</w:t>
      </w:r>
      <w:r w:rsidR="00EC2A86" w:rsidRPr="0084500C">
        <w:rPr>
          <w:lang w:val="en-GB"/>
        </w:rPr>
        <w:t xml:space="preserve"> cases</w:t>
      </w:r>
      <w:r w:rsidR="002216CE">
        <w:rPr>
          <w:lang w:val="en-GB"/>
        </w:rPr>
        <w:t xml:space="preserve"> for which it was impossible to interview an actor who had been involved in the case, in addition to complementing</w:t>
      </w:r>
      <w:r w:rsidR="00EC2A86" w:rsidRPr="0084500C">
        <w:rPr>
          <w:lang w:val="en-GB"/>
        </w:rPr>
        <w:t xml:space="preserve"> the findings from the interviews</w:t>
      </w:r>
      <w:r w:rsidR="002216CE">
        <w:rPr>
          <w:lang w:val="en-GB"/>
        </w:rPr>
        <w:t xml:space="preserve"> with respect to the other cases</w:t>
      </w:r>
      <w:r w:rsidR="0084500C">
        <w:rPr>
          <w:lang w:val="en-GB"/>
        </w:rPr>
        <w:t xml:space="preserve"> – however taking into account the purpose for which these documents have been drawn up and the limitations thereof. </w:t>
      </w:r>
    </w:p>
    <w:p w14:paraId="72CE36E1" w14:textId="77777777" w:rsidR="00F84B95" w:rsidRDefault="00F84B95" w:rsidP="006A03F9">
      <w:pPr>
        <w:rPr>
          <w:b/>
          <w:lang w:val="en-GB"/>
        </w:rPr>
      </w:pPr>
    </w:p>
    <w:p w14:paraId="6C1C5411" w14:textId="77777777" w:rsidR="00096A39" w:rsidRDefault="008E3C88" w:rsidP="001D7701">
      <w:pPr>
        <w:pStyle w:val="Lijstalinea"/>
        <w:numPr>
          <w:ilvl w:val="0"/>
          <w:numId w:val="6"/>
        </w:numPr>
        <w:ind w:left="0" w:firstLine="0"/>
        <w:jc w:val="both"/>
        <w:rPr>
          <w:b/>
          <w:lang w:val="en-GB"/>
        </w:rPr>
      </w:pPr>
      <w:r w:rsidRPr="001D7701">
        <w:rPr>
          <w:b/>
          <w:lang w:val="en-GB"/>
        </w:rPr>
        <w:t>A brief history of the ECHR in the Belgium</w:t>
      </w:r>
    </w:p>
    <w:p w14:paraId="15D1F39C" w14:textId="77777777" w:rsidR="001D7701" w:rsidRPr="001D7701" w:rsidRDefault="001D7701" w:rsidP="001D7701">
      <w:pPr>
        <w:pStyle w:val="Lijstalinea"/>
        <w:ind w:left="0"/>
        <w:jc w:val="both"/>
        <w:rPr>
          <w:b/>
          <w:lang w:val="en-GB"/>
        </w:rPr>
      </w:pPr>
    </w:p>
    <w:p w14:paraId="327B5CA6" w14:textId="77777777" w:rsidR="00D53A25" w:rsidRPr="001D7701" w:rsidRDefault="00D53A25" w:rsidP="004228A8">
      <w:pPr>
        <w:pStyle w:val="Lijstalinea"/>
        <w:numPr>
          <w:ilvl w:val="1"/>
          <w:numId w:val="6"/>
        </w:numPr>
        <w:ind w:left="0" w:firstLine="0"/>
        <w:jc w:val="both"/>
        <w:rPr>
          <w:i/>
          <w:lang w:val="en-GB"/>
        </w:rPr>
      </w:pPr>
      <w:r w:rsidRPr="001D7701">
        <w:rPr>
          <w:i/>
          <w:lang w:val="en-GB"/>
        </w:rPr>
        <w:t>Low expectations at the outset</w:t>
      </w:r>
    </w:p>
    <w:p w14:paraId="419E0FE4" w14:textId="5DBA8DA7" w:rsidR="00C24571" w:rsidRPr="00F84B95" w:rsidRDefault="007F02AF" w:rsidP="001A19D0">
      <w:pPr>
        <w:ind w:firstLine="708"/>
        <w:jc w:val="both"/>
        <w:rPr>
          <w:color w:val="FF0000"/>
          <w:lang w:val="en-GB"/>
        </w:rPr>
      </w:pPr>
      <w:r w:rsidRPr="00F84B95">
        <w:rPr>
          <w:lang w:val="en-GB"/>
        </w:rPr>
        <w:t>On the day of its adoption, Belgium signed the ECHR on 4 November 1950 in Rome. It took until 1955 before Belgium ratified the ECHR in the same Act in which it ratified the 1952 First Protocol</w:t>
      </w:r>
      <w:r w:rsidR="00817C3C">
        <w:rPr>
          <w:lang w:val="en-GB"/>
        </w:rPr>
        <w:t>.</w:t>
      </w:r>
      <w:r w:rsidR="00F84B95">
        <w:rPr>
          <w:rStyle w:val="Voetnootmarkering"/>
          <w:lang w:val="en-GB"/>
        </w:rPr>
        <w:footnoteReference w:id="58"/>
      </w:r>
      <w:r w:rsidRPr="00F84B95">
        <w:rPr>
          <w:lang w:val="en-GB"/>
        </w:rPr>
        <w:t xml:space="preserve"> </w:t>
      </w:r>
      <w:r w:rsidR="008141A9">
        <w:rPr>
          <w:lang w:val="en-GB"/>
        </w:rPr>
        <w:t>Immediately upon ratification, Belgium made declarations under former Articles 25 and 46 of the ECHR, accepting the right of individual petition an</w:t>
      </w:r>
      <w:r w:rsidR="00817C3C">
        <w:rPr>
          <w:lang w:val="en-GB"/>
        </w:rPr>
        <w:t>d the jurisdiction of the Court</w:t>
      </w:r>
      <w:r w:rsidR="008141A9">
        <w:rPr>
          <w:rStyle w:val="Voetnootmarkering"/>
          <w:lang w:val="en-GB"/>
        </w:rPr>
        <w:footnoteReference w:id="59"/>
      </w:r>
      <w:r w:rsidR="00817C3C">
        <w:rPr>
          <w:lang w:val="en-GB"/>
        </w:rPr>
        <w:t>.</w:t>
      </w:r>
    </w:p>
    <w:p w14:paraId="67D47185" w14:textId="1DD3A975" w:rsidR="00885ABE" w:rsidRDefault="00F52F2E" w:rsidP="001A19D0">
      <w:pPr>
        <w:ind w:firstLine="708"/>
        <w:jc w:val="both"/>
        <w:rPr>
          <w:lang w:val="en-GB"/>
        </w:rPr>
      </w:pPr>
      <w:r w:rsidRPr="00F84B95">
        <w:rPr>
          <w:lang w:val="en-GB"/>
        </w:rPr>
        <w:lastRenderedPageBreak/>
        <w:t>As in other Member States, at the outset the ECHR was not viewed as an instrument that was likely to significantly impact Belg</w:t>
      </w:r>
      <w:r w:rsidR="004F1E94" w:rsidRPr="00F84B95">
        <w:rPr>
          <w:lang w:val="en-GB"/>
        </w:rPr>
        <w:t>ian law</w:t>
      </w:r>
      <w:r w:rsidR="008141A9">
        <w:rPr>
          <w:rStyle w:val="Voetnootmarkering"/>
          <w:lang w:val="en-GB"/>
        </w:rPr>
        <w:footnoteReference w:id="60"/>
      </w:r>
      <w:r w:rsidR="00817C3C">
        <w:rPr>
          <w:lang w:val="en-GB"/>
        </w:rPr>
        <w:t>.</w:t>
      </w:r>
      <w:r w:rsidR="004F1E94" w:rsidRPr="00F84B95">
        <w:rPr>
          <w:lang w:val="en-GB"/>
        </w:rPr>
        <w:t xml:space="preserve"> The</w:t>
      </w:r>
      <w:r w:rsidR="00DC3D6E" w:rsidRPr="00F84B95">
        <w:rPr>
          <w:lang w:val="en-GB"/>
        </w:rPr>
        <w:t xml:space="preserve"> most important reason for this was that, traditionally, in Belgian legal culture, fundamental rights were considered to be sufficiently protected by the Belgian Constitution. This predominant view of the Belgian Constitution as sufficiently right-protective is emblematically coined by</w:t>
      </w:r>
      <w:r w:rsidR="00F91B5B" w:rsidRPr="00F84B95">
        <w:rPr>
          <w:lang w:val="en-GB"/>
        </w:rPr>
        <w:t xml:space="preserve"> Charles </w:t>
      </w:r>
      <w:proofErr w:type="spellStart"/>
      <w:r w:rsidR="00F91B5B" w:rsidRPr="00F84B95">
        <w:rPr>
          <w:lang w:val="en-GB"/>
        </w:rPr>
        <w:t>Faider</w:t>
      </w:r>
      <w:proofErr w:type="spellEnd"/>
      <w:r w:rsidR="00F91B5B" w:rsidRPr="00F84B95">
        <w:rPr>
          <w:lang w:val="en-GB"/>
        </w:rPr>
        <w:t>,</w:t>
      </w:r>
      <w:r w:rsidR="00DC3D6E" w:rsidRPr="00F84B95">
        <w:rPr>
          <w:lang w:val="en-GB"/>
        </w:rPr>
        <w:t xml:space="preserve"> </w:t>
      </w:r>
      <w:proofErr w:type="spellStart"/>
      <w:r w:rsidR="00F91B5B" w:rsidRPr="00F84B95">
        <w:rPr>
          <w:i/>
          <w:lang w:val="en-GB"/>
        </w:rPr>
        <w:t>pro</w:t>
      </w:r>
      <w:r w:rsidR="00DC3D6E" w:rsidRPr="00F84B95">
        <w:rPr>
          <w:i/>
          <w:lang w:val="en-GB"/>
        </w:rPr>
        <w:t>cureur</w:t>
      </w:r>
      <w:proofErr w:type="spellEnd"/>
      <w:r w:rsidR="00DC3D6E" w:rsidRPr="00F84B95">
        <w:rPr>
          <w:i/>
          <w:lang w:val="en-GB"/>
        </w:rPr>
        <w:t xml:space="preserve"> </w:t>
      </w:r>
      <w:proofErr w:type="spellStart"/>
      <w:r w:rsidR="00F91B5B" w:rsidRPr="00F84B95">
        <w:rPr>
          <w:i/>
          <w:lang w:val="en-GB"/>
        </w:rPr>
        <w:t>g</w:t>
      </w:r>
      <w:r w:rsidR="00675ED5">
        <w:rPr>
          <w:i/>
          <w:lang w:val="en-GB"/>
        </w:rPr>
        <w:t>éné</w:t>
      </w:r>
      <w:r w:rsidR="00F91B5B" w:rsidRPr="00F84B95">
        <w:rPr>
          <w:i/>
          <w:lang w:val="en-GB"/>
        </w:rPr>
        <w:t>ral</w:t>
      </w:r>
      <w:proofErr w:type="spellEnd"/>
      <w:r w:rsidR="00F91B5B" w:rsidRPr="00F84B95">
        <w:rPr>
          <w:i/>
          <w:lang w:val="en-GB"/>
        </w:rPr>
        <w:t xml:space="preserve"> </w:t>
      </w:r>
      <w:r w:rsidR="00F91B5B" w:rsidRPr="00F84B95">
        <w:rPr>
          <w:lang w:val="en-GB"/>
        </w:rPr>
        <w:t>at the Court of Cassation, in his</w:t>
      </w:r>
      <w:r w:rsidR="00F91B5B" w:rsidRPr="00F84B95">
        <w:rPr>
          <w:i/>
          <w:lang w:val="en-GB"/>
        </w:rPr>
        <w:t xml:space="preserve"> </w:t>
      </w:r>
      <w:r w:rsidR="00F91B5B" w:rsidRPr="00F84B95">
        <w:rPr>
          <w:lang w:val="en-GB"/>
        </w:rPr>
        <w:t xml:space="preserve">1884 </w:t>
      </w:r>
      <w:proofErr w:type="spellStart"/>
      <w:r w:rsidR="00F91B5B" w:rsidRPr="00F84B95">
        <w:rPr>
          <w:i/>
          <w:lang w:val="en-GB"/>
        </w:rPr>
        <w:t>mercuriale</w:t>
      </w:r>
      <w:proofErr w:type="spellEnd"/>
      <w:r w:rsidR="00885ABE">
        <w:rPr>
          <w:lang w:val="en-GB"/>
        </w:rPr>
        <w:t>, in which he stated that</w:t>
      </w:r>
    </w:p>
    <w:p w14:paraId="5C13F765" w14:textId="3B42A166" w:rsidR="00885ABE" w:rsidRDefault="00F91B5B" w:rsidP="00885ABE">
      <w:pPr>
        <w:ind w:left="708"/>
        <w:jc w:val="both"/>
        <w:rPr>
          <w:lang w:val="en-GB"/>
        </w:rPr>
      </w:pPr>
      <w:proofErr w:type="gramStart"/>
      <w:r w:rsidRPr="00F84B95">
        <w:rPr>
          <w:lang w:val="en-GB"/>
        </w:rPr>
        <w:t>the</w:t>
      </w:r>
      <w:proofErr w:type="gramEnd"/>
      <w:r w:rsidRPr="00F84B95">
        <w:rPr>
          <w:lang w:val="en-GB"/>
        </w:rPr>
        <w:t xml:space="preserve"> Belgian nation (…) has the glory to possess the most complete Constitution of the world in terms of protected liberties, the most fruitful in the world in term</w:t>
      </w:r>
      <w:r w:rsidR="00817C3C">
        <w:rPr>
          <w:lang w:val="en-GB"/>
        </w:rPr>
        <w:t>s of moral and positive results</w:t>
      </w:r>
      <w:r w:rsidR="00AD7B96">
        <w:rPr>
          <w:rStyle w:val="Voetnootmarkering"/>
          <w:lang w:val="en-GB"/>
        </w:rPr>
        <w:footnoteReference w:id="61"/>
      </w:r>
      <w:r w:rsidR="00817C3C">
        <w:rPr>
          <w:lang w:val="en-GB"/>
        </w:rPr>
        <w:t>.</w:t>
      </w:r>
    </w:p>
    <w:p w14:paraId="0506D61B" w14:textId="77777777" w:rsidR="00885ABE" w:rsidRDefault="00730621" w:rsidP="00F84B95">
      <w:pPr>
        <w:jc w:val="both"/>
        <w:rPr>
          <w:lang w:val="en-GB"/>
        </w:rPr>
      </w:pPr>
      <w:r w:rsidRPr="00F84B95">
        <w:rPr>
          <w:lang w:val="en-GB"/>
        </w:rPr>
        <w:t xml:space="preserve">For </w:t>
      </w:r>
      <w:r w:rsidR="007116FA">
        <w:rPr>
          <w:lang w:val="en-GB"/>
        </w:rPr>
        <w:t>similar reasons</w:t>
      </w:r>
      <w:r w:rsidRPr="00F84B95">
        <w:rPr>
          <w:lang w:val="en-GB"/>
        </w:rPr>
        <w:t>, in its advisory opinion on the draft ratification Act, the Council of State held that the ratification “does not give rise to any legal d</w:t>
      </w:r>
      <w:r w:rsidR="00885ABE">
        <w:rPr>
          <w:lang w:val="en-GB"/>
        </w:rPr>
        <w:t>ifficulty” since</w:t>
      </w:r>
    </w:p>
    <w:p w14:paraId="7250794F" w14:textId="616B44B1" w:rsidR="00DC3D6E" w:rsidRPr="00F84B95" w:rsidRDefault="00933231" w:rsidP="00885ABE">
      <w:pPr>
        <w:ind w:left="708"/>
        <w:jc w:val="both"/>
        <w:rPr>
          <w:lang w:val="en-GB"/>
        </w:rPr>
      </w:pPr>
      <w:proofErr w:type="gramStart"/>
      <w:r>
        <w:rPr>
          <w:lang w:val="en-GB"/>
        </w:rPr>
        <w:t>t</w:t>
      </w:r>
      <w:r w:rsidR="00730621" w:rsidRPr="00F84B95">
        <w:rPr>
          <w:lang w:val="en-GB"/>
        </w:rPr>
        <w:t>hese</w:t>
      </w:r>
      <w:proofErr w:type="gramEnd"/>
      <w:r w:rsidR="00730621" w:rsidRPr="00F84B95">
        <w:rPr>
          <w:lang w:val="en-GB"/>
        </w:rPr>
        <w:t xml:space="preserve"> rights and freedoms are already enshrined, either in the Constitution itself, or in the legislative texts which are generally very old and which have entered into Belgium’s legal heritage (rights of defence, non-retroactivity of the criminal law and the right to ma</w:t>
      </w:r>
      <w:r w:rsidR="00817C3C">
        <w:rPr>
          <w:lang w:val="en-GB"/>
        </w:rPr>
        <w:t>rriage)</w:t>
      </w:r>
      <w:r w:rsidR="006E7F22">
        <w:rPr>
          <w:rStyle w:val="Voetnootmarkering"/>
          <w:lang w:val="en-GB"/>
        </w:rPr>
        <w:footnoteReference w:id="62"/>
      </w:r>
      <w:r w:rsidR="00817C3C">
        <w:rPr>
          <w:lang w:val="en-GB"/>
        </w:rPr>
        <w:t>.</w:t>
      </w:r>
    </w:p>
    <w:p w14:paraId="144AD20C" w14:textId="1CA3CEE1" w:rsidR="002E7F18" w:rsidRPr="00F84B95" w:rsidRDefault="004B7C0D" w:rsidP="00F84B95">
      <w:pPr>
        <w:jc w:val="both"/>
        <w:rPr>
          <w:lang w:val="en-GB"/>
        </w:rPr>
      </w:pPr>
      <w:r w:rsidRPr="00F84B95">
        <w:rPr>
          <w:lang w:val="en-GB"/>
        </w:rPr>
        <w:t>The ratificati</w:t>
      </w:r>
      <w:r w:rsidR="00455A75" w:rsidRPr="00F84B95">
        <w:rPr>
          <w:lang w:val="en-GB"/>
        </w:rPr>
        <w:t>on Act was passed almost unanimously in Parliament without raising any serious controversy</w:t>
      </w:r>
      <w:r w:rsidR="006E7F22">
        <w:rPr>
          <w:rStyle w:val="Voetnootmarkering"/>
          <w:lang w:val="en-GB"/>
        </w:rPr>
        <w:footnoteReference w:id="63"/>
      </w:r>
      <w:r w:rsidR="00817C3C">
        <w:rPr>
          <w:lang w:val="en-GB"/>
        </w:rPr>
        <w:t>.</w:t>
      </w:r>
      <w:r w:rsidRPr="00F84B95">
        <w:rPr>
          <w:lang w:val="en-GB"/>
        </w:rPr>
        <w:t xml:space="preserve"> While there was </w:t>
      </w:r>
      <w:r w:rsidR="00455A75" w:rsidRPr="00F84B95">
        <w:rPr>
          <w:lang w:val="en-GB"/>
        </w:rPr>
        <w:t xml:space="preserve">quite </w:t>
      </w:r>
      <w:r w:rsidRPr="00F84B95">
        <w:rPr>
          <w:lang w:val="en-GB"/>
        </w:rPr>
        <w:t xml:space="preserve">some debate on </w:t>
      </w:r>
      <w:r w:rsidR="00477986" w:rsidRPr="00F84B95">
        <w:rPr>
          <w:lang w:val="en-GB"/>
        </w:rPr>
        <w:t xml:space="preserve">whether Belgium would </w:t>
      </w:r>
      <w:r w:rsidR="00455A75" w:rsidRPr="00F84B95">
        <w:rPr>
          <w:lang w:val="en-GB"/>
        </w:rPr>
        <w:t>make a declaration under</w:t>
      </w:r>
      <w:r w:rsidR="00477986" w:rsidRPr="00F84B95">
        <w:rPr>
          <w:lang w:val="en-GB"/>
        </w:rPr>
        <w:t xml:space="preserve"> the so-called Colonial Clause (former Article 63, </w:t>
      </w:r>
      <w:r w:rsidR="006E7F22">
        <w:rPr>
          <w:lang w:val="en-GB"/>
        </w:rPr>
        <w:t>now</w:t>
      </w:r>
      <w:r w:rsidR="00477986" w:rsidRPr="00F84B95">
        <w:rPr>
          <w:lang w:val="en-GB"/>
        </w:rPr>
        <w:t xml:space="preserve"> Article 56) i</w:t>
      </w:r>
      <w:r w:rsidR="00455A75" w:rsidRPr="00F84B95">
        <w:rPr>
          <w:lang w:val="en-GB"/>
        </w:rPr>
        <w:t>n order to extend the territorial scope of the Convention to its colonial or trust territories in Africa</w:t>
      </w:r>
      <w:r w:rsidR="00080372">
        <w:rPr>
          <w:lang w:val="en-GB"/>
        </w:rPr>
        <w:t xml:space="preserve"> – it was considered that it would be “premature” to do so in the light of the “state of civilization” of these territories at the time and that if the Government would wish to make such a declaration at a later point, it would have to seek approval by both Chamber of Representatives and Senate</w:t>
      </w:r>
      <w:r w:rsidR="00080372">
        <w:rPr>
          <w:rStyle w:val="Voetnootmarkering"/>
          <w:lang w:val="en-GB"/>
        </w:rPr>
        <w:footnoteReference w:id="64"/>
      </w:r>
      <w:r w:rsidR="00080372">
        <w:rPr>
          <w:lang w:val="en-GB"/>
        </w:rPr>
        <w:t xml:space="preserve"> –</w:t>
      </w:r>
      <w:r w:rsidR="00455A75" w:rsidRPr="00F84B95">
        <w:rPr>
          <w:lang w:val="en-GB"/>
        </w:rPr>
        <w:t xml:space="preserve"> the principle of putting in place an international Convention safeguarding human rights with a collective system of enforcement </w:t>
      </w:r>
      <w:r w:rsidR="00A37131" w:rsidRPr="00F84B95">
        <w:rPr>
          <w:lang w:val="en-GB"/>
        </w:rPr>
        <w:t xml:space="preserve">in itself </w:t>
      </w:r>
      <w:r w:rsidR="00455A75" w:rsidRPr="00F84B95">
        <w:rPr>
          <w:lang w:val="en-GB"/>
        </w:rPr>
        <w:t>was never seriously challenged.</w:t>
      </w:r>
    </w:p>
    <w:p w14:paraId="1568E410" w14:textId="77777777" w:rsidR="00885ABE" w:rsidRDefault="00FC7446" w:rsidP="001A19D0">
      <w:pPr>
        <w:ind w:firstLine="708"/>
        <w:jc w:val="both"/>
        <w:rPr>
          <w:lang w:val="en-GB"/>
        </w:rPr>
      </w:pPr>
      <w:r w:rsidRPr="00F84B95">
        <w:rPr>
          <w:lang w:val="en-GB"/>
        </w:rPr>
        <w:t xml:space="preserve">Again, the reason was seemingly that little added value was expected from either the Convention or its enforcement system. </w:t>
      </w:r>
      <w:r w:rsidR="004F1E94" w:rsidRPr="00F84B95">
        <w:rPr>
          <w:lang w:val="en-GB"/>
        </w:rPr>
        <w:t xml:space="preserve">A </w:t>
      </w:r>
      <w:r w:rsidR="00D00587" w:rsidRPr="00F84B95">
        <w:rPr>
          <w:lang w:val="en-GB"/>
        </w:rPr>
        <w:t>Member</w:t>
      </w:r>
      <w:r w:rsidR="004F1E94" w:rsidRPr="00F84B95">
        <w:rPr>
          <w:lang w:val="en-GB"/>
        </w:rPr>
        <w:t xml:space="preserve"> of Parliament raised the rhetorical question whether a “</w:t>
      </w:r>
      <w:proofErr w:type="spellStart"/>
      <w:r w:rsidR="004F1E94" w:rsidRPr="00F84B95">
        <w:rPr>
          <w:lang w:val="en-GB"/>
        </w:rPr>
        <w:t>vieux</w:t>
      </w:r>
      <w:proofErr w:type="spellEnd"/>
      <w:r w:rsidR="004F1E94" w:rsidRPr="00F84B95">
        <w:rPr>
          <w:lang w:val="en-GB"/>
        </w:rPr>
        <w:t xml:space="preserve"> pays de </w:t>
      </w:r>
      <w:proofErr w:type="spellStart"/>
      <w:r w:rsidR="004F1E94" w:rsidRPr="00F84B95">
        <w:rPr>
          <w:lang w:val="en-GB"/>
        </w:rPr>
        <w:t>liberté</w:t>
      </w:r>
      <w:proofErr w:type="spellEnd"/>
      <w:r w:rsidR="004F1E94" w:rsidRPr="00F84B95">
        <w:rPr>
          <w:lang w:val="en-GB"/>
        </w:rPr>
        <w:t>”</w:t>
      </w:r>
      <w:r w:rsidRPr="00F84B95">
        <w:rPr>
          <w:lang w:val="en-GB"/>
        </w:rPr>
        <w:t xml:space="preserve"> like Belgium actually needed such a Convention, stressing however the need for reciprocity in order to enable Belgium to demand from other States that they also respect human rights</w:t>
      </w:r>
      <w:r w:rsidR="006E7F22">
        <w:rPr>
          <w:lang w:val="en-GB"/>
        </w:rPr>
        <w:t>.</w:t>
      </w:r>
      <w:r w:rsidR="006E7F22">
        <w:rPr>
          <w:rStyle w:val="Voetnootmarkering"/>
          <w:lang w:val="en-GB"/>
        </w:rPr>
        <w:footnoteReference w:id="65"/>
      </w:r>
      <w:r w:rsidR="006E7F22">
        <w:rPr>
          <w:lang w:val="en-GB"/>
        </w:rPr>
        <w:t xml:space="preserve"> </w:t>
      </w:r>
      <w:r w:rsidR="0046508F" w:rsidRPr="00F84B95">
        <w:rPr>
          <w:lang w:val="en-GB"/>
        </w:rPr>
        <w:t>Accord</w:t>
      </w:r>
      <w:r w:rsidR="00885ABE">
        <w:rPr>
          <w:lang w:val="en-GB"/>
        </w:rPr>
        <w:t>ing to the Minister of Justice,</w:t>
      </w:r>
    </w:p>
    <w:p w14:paraId="7401FB26" w14:textId="3BDB7170" w:rsidR="00885ABE" w:rsidRDefault="0046508F" w:rsidP="00885ABE">
      <w:pPr>
        <w:ind w:left="708"/>
        <w:jc w:val="both"/>
        <w:rPr>
          <w:lang w:val="en-GB"/>
        </w:rPr>
      </w:pPr>
      <w:r w:rsidRPr="00F84B95">
        <w:rPr>
          <w:lang w:val="en-GB"/>
        </w:rPr>
        <w:t>[t]he Convention of Rome doesn’t bring us anything new, except for being a testimony that the member</w:t>
      </w:r>
      <w:r w:rsidR="00080372">
        <w:rPr>
          <w:lang w:val="en-GB"/>
        </w:rPr>
        <w:t>s</w:t>
      </w:r>
      <w:r w:rsidRPr="00F84B95">
        <w:rPr>
          <w:lang w:val="en-GB"/>
        </w:rPr>
        <w:t xml:space="preserve"> of the Council of Europe are united in affirming their attachment to the </w:t>
      </w:r>
      <w:r w:rsidRPr="00F84B95">
        <w:rPr>
          <w:lang w:val="en-GB"/>
        </w:rPr>
        <w:lastRenderedPageBreak/>
        <w:t xml:space="preserve">freedoms that form the foundation of political democracy and to proclaim their will to </w:t>
      </w:r>
      <w:r w:rsidR="00125962" w:rsidRPr="00F84B95">
        <w:rPr>
          <w:lang w:val="en-GB"/>
        </w:rPr>
        <w:t>defend them as foundations of</w:t>
      </w:r>
      <w:r w:rsidR="00817C3C">
        <w:rPr>
          <w:lang w:val="en-GB"/>
        </w:rPr>
        <w:t xml:space="preserve"> justice and peace in the world</w:t>
      </w:r>
      <w:r w:rsidR="00851753">
        <w:rPr>
          <w:rStyle w:val="Voetnootmarkering"/>
          <w:lang w:val="en-GB"/>
        </w:rPr>
        <w:footnoteReference w:id="66"/>
      </w:r>
      <w:r w:rsidR="00817C3C">
        <w:rPr>
          <w:lang w:val="en-GB"/>
        </w:rPr>
        <w:t>.</w:t>
      </w:r>
    </w:p>
    <w:p w14:paraId="0B0CC9A2" w14:textId="77777777" w:rsidR="00885ABE" w:rsidRDefault="00D00587" w:rsidP="00F84B95">
      <w:pPr>
        <w:jc w:val="both"/>
        <w:rPr>
          <w:lang w:val="en-GB"/>
        </w:rPr>
      </w:pPr>
      <w:r w:rsidRPr="00F84B95">
        <w:rPr>
          <w:lang w:val="en-GB"/>
        </w:rPr>
        <w:t>With respect to the enforcement machinery, Senator Henri Rollin, who had been involved in the drafting pro</w:t>
      </w:r>
      <w:r w:rsidR="00885ABE">
        <w:rPr>
          <w:lang w:val="en-GB"/>
        </w:rPr>
        <w:t>cess of the ECHR, declared that</w:t>
      </w:r>
    </w:p>
    <w:p w14:paraId="04A003D4" w14:textId="2D1F4EE7" w:rsidR="00885ABE" w:rsidRDefault="00D00587" w:rsidP="00885ABE">
      <w:pPr>
        <w:ind w:left="708"/>
        <w:jc w:val="both"/>
        <w:rPr>
          <w:lang w:val="en-GB"/>
        </w:rPr>
      </w:pPr>
      <w:r w:rsidRPr="00F84B95">
        <w:rPr>
          <w:lang w:val="en-GB"/>
        </w:rPr>
        <w:t>[p]</w:t>
      </w:r>
      <w:proofErr w:type="spellStart"/>
      <w:r w:rsidRPr="00F84B95">
        <w:rPr>
          <w:lang w:val="en-GB"/>
        </w:rPr>
        <w:t>ersonally</w:t>
      </w:r>
      <w:proofErr w:type="spellEnd"/>
      <w:r w:rsidRPr="00F84B95">
        <w:rPr>
          <w:lang w:val="en-GB"/>
        </w:rPr>
        <w:t>, I’m absolutely convinced that the country I know best, Belgium, will never arrive to the stage of the Committee of Ministers. I add that, as a defendant, we will not even arr</w:t>
      </w:r>
      <w:r w:rsidR="00817C3C">
        <w:rPr>
          <w:lang w:val="en-GB"/>
        </w:rPr>
        <w:t>ive at the stage of the Court</w:t>
      </w:r>
      <w:r w:rsidR="00885ABE">
        <w:rPr>
          <w:rStyle w:val="Voetnootmarkering"/>
          <w:lang w:val="en-GB"/>
        </w:rPr>
        <w:footnoteReference w:id="67"/>
      </w:r>
      <w:r w:rsidR="00817C3C">
        <w:rPr>
          <w:lang w:val="en-GB"/>
        </w:rPr>
        <w:t>.</w:t>
      </w:r>
    </w:p>
    <w:p w14:paraId="09BF836E" w14:textId="77777777" w:rsidR="004F1E94" w:rsidRPr="00F84B95" w:rsidRDefault="00D00587" w:rsidP="00F84B95">
      <w:pPr>
        <w:jc w:val="both"/>
        <w:rPr>
          <w:lang w:val="en-GB"/>
        </w:rPr>
      </w:pPr>
      <w:r w:rsidRPr="00F84B95">
        <w:rPr>
          <w:lang w:val="en-GB"/>
        </w:rPr>
        <w:t xml:space="preserve">He argued that, if the Commission would find that an authority had violated the Convention – </w:t>
      </w:r>
      <w:proofErr w:type="spellStart"/>
      <w:r w:rsidRPr="00F84B95">
        <w:rPr>
          <w:lang w:val="en-GB"/>
        </w:rPr>
        <w:t>Rolin</w:t>
      </w:r>
      <w:proofErr w:type="spellEnd"/>
      <w:r w:rsidRPr="00F84B95">
        <w:rPr>
          <w:lang w:val="en-GB"/>
        </w:rPr>
        <w:t xml:space="preserve"> could only imagine a subordinate authority, like a police officer, to be capable of doing so </w:t>
      </w:r>
      <w:r w:rsidR="00B86A4F" w:rsidRPr="00F84B95">
        <w:rPr>
          <w:lang w:val="en-GB"/>
        </w:rPr>
        <w:t>–</w:t>
      </w:r>
      <w:r w:rsidRPr="00F84B95">
        <w:rPr>
          <w:lang w:val="en-GB"/>
        </w:rPr>
        <w:t xml:space="preserve"> </w:t>
      </w:r>
      <w:r w:rsidR="00B86A4F" w:rsidRPr="00F84B95">
        <w:rPr>
          <w:lang w:val="en-GB"/>
        </w:rPr>
        <w:t xml:space="preserve">it would not be necessary to go to the Committee or the Court, since the </w:t>
      </w:r>
      <w:r w:rsidR="007116FA">
        <w:rPr>
          <w:lang w:val="en-GB"/>
        </w:rPr>
        <w:t xml:space="preserve">Belgian </w:t>
      </w:r>
      <w:r w:rsidR="00B86A4F" w:rsidRPr="00F84B95">
        <w:rPr>
          <w:lang w:val="en-GB"/>
        </w:rPr>
        <w:t>State would evidently take the necessary sanctions and provide the necessary reparations</w:t>
      </w:r>
      <w:r w:rsidR="009D6E47">
        <w:rPr>
          <w:lang w:val="en-GB"/>
        </w:rPr>
        <w:t>.</w:t>
      </w:r>
      <w:r w:rsidRPr="00F84B95">
        <w:rPr>
          <w:lang w:val="en-GB"/>
        </w:rPr>
        <w:t xml:space="preserve"> </w:t>
      </w:r>
    </w:p>
    <w:p w14:paraId="1321DB45" w14:textId="47D494E0" w:rsidR="00477986" w:rsidRPr="00652869" w:rsidRDefault="00B86A4F" w:rsidP="001A19D0">
      <w:pPr>
        <w:ind w:firstLine="708"/>
        <w:jc w:val="both"/>
        <w:rPr>
          <w:lang w:val="en-GB"/>
        </w:rPr>
      </w:pPr>
      <w:r w:rsidRPr="00F84B95">
        <w:rPr>
          <w:lang w:val="en-GB"/>
        </w:rPr>
        <w:t xml:space="preserve">In sum, as held by </w:t>
      </w:r>
      <w:proofErr w:type="spellStart"/>
      <w:proofErr w:type="gramStart"/>
      <w:r w:rsidRPr="00F84B95">
        <w:rPr>
          <w:lang w:val="en-GB"/>
        </w:rPr>
        <w:t>Paye</w:t>
      </w:r>
      <w:proofErr w:type="spellEnd"/>
      <w:proofErr w:type="gramEnd"/>
      <w:r w:rsidRPr="00F84B95">
        <w:rPr>
          <w:lang w:val="en-GB"/>
        </w:rPr>
        <w:t xml:space="preserve"> and Van </w:t>
      </w:r>
      <w:proofErr w:type="spellStart"/>
      <w:r w:rsidRPr="00F84B95">
        <w:rPr>
          <w:lang w:val="en-GB"/>
        </w:rPr>
        <w:t>Drooghenbroeck</w:t>
      </w:r>
      <w:proofErr w:type="spellEnd"/>
      <w:r w:rsidRPr="00F84B95">
        <w:rPr>
          <w:lang w:val="en-GB"/>
        </w:rPr>
        <w:t>, in 1955, the Convention was condemned to remain a distant object, almost something exotic, without a concrete impac</w:t>
      </w:r>
      <w:r w:rsidR="00652869">
        <w:rPr>
          <w:lang w:val="en-GB"/>
        </w:rPr>
        <w:t>t on the Belgian legal practice</w:t>
      </w:r>
      <w:r w:rsidR="00F6230F">
        <w:rPr>
          <w:rStyle w:val="Voetnootmarkering"/>
          <w:lang w:val="en-GB"/>
        </w:rPr>
        <w:footnoteReference w:id="68"/>
      </w:r>
      <w:r w:rsidR="00652869">
        <w:rPr>
          <w:lang w:val="en-GB"/>
        </w:rPr>
        <w:t>.</w:t>
      </w:r>
      <w:r w:rsidRPr="00F84B95">
        <w:rPr>
          <w:lang w:val="en-GB"/>
        </w:rPr>
        <w:t xml:space="preserve"> </w:t>
      </w:r>
      <w:r w:rsidR="006B2800" w:rsidRPr="00F84B95">
        <w:rPr>
          <w:lang w:val="en-GB"/>
        </w:rPr>
        <w:t xml:space="preserve">This lack of interest </w:t>
      </w:r>
      <w:r w:rsidR="00C231AA" w:rsidRPr="00F84B95">
        <w:rPr>
          <w:lang w:val="en-GB"/>
        </w:rPr>
        <w:t>among Belgian jurists</w:t>
      </w:r>
      <w:r w:rsidR="00F36B57" w:rsidRPr="00F84B95">
        <w:rPr>
          <w:lang w:val="en-GB"/>
        </w:rPr>
        <w:t xml:space="preserve"> is equally apparent if one takes a look at how the ratification was reported in the most important legal periodicals. In 1955, in the French-speaking </w:t>
      </w:r>
      <w:r w:rsidR="00F36B57" w:rsidRPr="00F84B95">
        <w:rPr>
          <w:i/>
          <w:lang w:val="en-GB"/>
        </w:rPr>
        <w:t xml:space="preserve">Journal des </w:t>
      </w:r>
      <w:proofErr w:type="spellStart"/>
      <w:r w:rsidR="00F36B57" w:rsidRPr="00F84B95">
        <w:rPr>
          <w:i/>
          <w:lang w:val="en-GB"/>
        </w:rPr>
        <w:t>Tribunaux</w:t>
      </w:r>
      <w:proofErr w:type="spellEnd"/>
      <w:r w:rsidR="00F36B57" w:rsidRPr="00F84B95">
        <w:rPr>
          <w:lang w:val="en-GB"/>
        </w:rPr>
        <w:t xml:space="preserve">, the leading Belgian legal periodical at the time, less than half a column </w:t>
      </w:r>
      <w:r w:rsidR="00B15937" w:rsidRPr="00F84B95">
        <w:rPr>
          <w:lang w:val="en-GB"/>
        </w:rPr>
        <w:t xml:space="preserve">under the recent developments heading </w:t>
      </w:r>
      <w:r w:rsidR="00147277" w:rsidRPr="00F84B95">
        <w:rPr>
          <w:lang w:val="en-GB"/>
        </w:rPr>
        <w:t>(“</w:t>
      </w:r>
      <w:proofErr w:type="spellStart"/>
      <w:r w:rsidR="00147277" w:rsidRPr="00F84B95">
        <w:rPr>
          <w:lang w:val="en-GB"/>
        </w:rPr>
        <w:t>Echos</w:t>
      </w:r>
      <w:proofErr w:type="spellEnd"/>
      <w:r w:rsidR="00147277" w:rsidRPr="00F84B95">
        <w:rPr>
          <w:lang w:val="en-GB"/>
        </w:rPr>
        <w:t xml:space="preserve">”) </w:t>
      </w:r>
      <w:r w:rsidR="00F36B57" w:rsidRPr="00F84B95">
        <w:rPr>
          <w:lang w:val="en-GB"/>
        </w:rPr>
        <w:t xml:space="preserve">was devoted to the fact that the ratification Act had been passed by the Senate and was about to be passed by the Chamber of Representatives, further confining itself to </w:t>
      </w:r>
      <w:r w:rsidR="00C231AA" w:rsidRPr="00F84B95">
        <w:rPr>
          <w:lang w:val="en-GB"/>
        </w:rPr>
        <w:t xml:space="preserve">some </w:t>
      </w:r>
      <w:r w:rsidR="00F36B57" w:rsidRPr="00F84B95">
        <w:rPr>
          <w:lang w:val="en-GB"/>
        </w:rPr>
        <w:t xml:space="preserve">generalities </w:t>
      </w:r>
      <w:r w:rsidR="00B15937" w:rsidRPr="00F84B95">
        <w:rPr>
          <w:lang w:val="en-GB"/>
        </w:rPr>
        <w:t>on the Convention sy</w:t>
      </w:r>
      <w:r w:rsidR="00652869">
        <w:rPr>
          <w:lang w:val="en-GB"/>
        </w:rPr>
        <w:t>stem</w:t>
      </w:r>
      <w:r w:rsidR="00F6230F">
        <w:rPr>
          <w:rStyle w:val="Voetnootmarkering"/>
          <w:lang w:val="en-GB"/>
        </w:rPr>
        <w:footnoteReference w:id="69"/>
      </w:r>
      <w:r w:rsidR="00652869">
        <w:rPr>
          <w:lang w:val="en-GB"/>
        </w:rPr>
        <w:t>.</w:t>
      </w:r>
      <w:r w:rsidR="00147277" w:rsidRPr="00F84B95">
        <w:rPr>
          <w:lang w:val="en-GB"/>
        </w:rPr>
        <w:t xml:space="preserve"> To put things in perspective, the lack of interest </w:t>
      </w:r>
      <w:r w:rsidR="00E6635D" w:rsidRPr="00F84B95">
        <w:rPr>
          <w:lang w:val="en-GB"/>
        </w:rPr>
        <w:t xml:space="preserve">by the </w:t>
      </w:r>
      <w:r w:rsidR="00E6635D" w:rsidRPr="00F84B95">
        <w:rPr>
          <w:i/>
          <w:lang w:val="en-GB"/>
        </w:rPr>
        <w:t xml:space="preserve">Journal des </w:t>
      </w:r>
      <w:proofErr w:type="spellStart"/>
      <w:r w:rsidR="00E6635D" w:rsidRPr="00F84B95">
        <w:rPr>
          <w:i/>
          <w:lang w:val="en-GB"/>
        </w:rPr>
        <w:t>Tribunaux</w:t>
      </w:r>
      <w:proofErr w:type="spellEnd"/>
      <w:r w:rsidR="00E6635D" w:rsidRPr="00F84B95">
        <w:rPr>
          <w:i/>
          <w:lang w:val="en-GB"/>
        </w:rPr>
        <w:t xml:space="preserve"> </w:t>
      </w:r>
      <w:r w:rsidR="00147277" w:rsidRPr="00F84B95">
        <w:rPr>
          <w:lang w:val="en-GB"/>
        </w:rPr>
        <w:t xml:space="preserve">in the ratification of the ECHR is striking in comparison with the attention given to the ratification process of the Treaty of Paris establishing the European Coal and Steel Community, to which a number of </w:t>
      </w:r>
      <w:r w:rsidR="00C231AA" w:rsidRPr="00F84B95">
        <w:rPr>
          <w:lang w:val="en-GB"/>
        </w:rPr>
        <w:t>full</w:t>
      </w:r>
      <w:r w:rsidR="00147277" w:rsidRPr="00F84B95">
        <w:rPr>
          <w:lang w:val="en-GB"/>
        </w:rPr>
        <w:t xml:space="preserve"> articles were devoted, discussing in detail the institutional structure of the Community and the compatibility of the Treaty with the Belgian Constitution</w:t>
      </w:r>
      <w:r w:rsidR="007F1A03">
        <w:rPr>
          <w:rStyle w:val="Voetnootmarkering"/>
          <w:lang w:val="en-GB"/>
        </w:rPr>
        <w:footnoteReference w:id="70"/>
      </w:r>
      <w:r w:rsidR="00652869">
        <w:rPr>
          <w:lang w:val="en-GB"/>
        </w:rPr>
        <w:t>.</w:t>
      </w:r>
      <w:r w:rsidR="007F1A03">
        <w:rPr>
          <w:lang w:val="en-GB"/>
        </w:rPr>
        <w:t xml:space="preserve"> </w:t>
      </w:r>
      <w:r w:rsidR="00E6635D" w:rsidRPr="00F84B95">
        <w:rPr>
          <w:lang w:val="en-GB"/>
        </w:rPr>
        <w:t xml:space="preserve">In </w:t>
      </w:r>
      <w:proofErr w:type="spellStart"/>
      <w:r w:rsidR="00E6635D" w:rsidRPr="00F84B95">
        <w:rPr>
          <w:i/>
          <w:lang w:val="en-GB"/>
        </w:rPr>
        <w:t>Rechtskundig</w:t>
      </w:r>
      <w:proofErr w:type="spellEnd"/>
      <w:r w:rsidR="00E6635D" w:rsidRPr="00F84B95">
        <w:rPr>
          <w:i/>
          <w:lang w:val="en-GB"/>
        </w:rPr>
        <w:t xml:space="preserve"> </w:t>
      </w:r>
      <w:proofErr w:type="spellStart"/>
      <w:r w:rsidR="00E6635D" w:rsidRPr="00F84B95">
        <w:rPr>
          <w:i/>
          <w:lang w:val="en-GB"/>
        </w:rPr>
        <w:t>Weekblad</w:t>
      </w:r>
      <w:proofErr w:type="spellEnd"/>
      <w:r w:rsidR="00E6635D" w:rsidRPr="00F84B95">
        <w:rPr>
          <w:lang w:val="en-GB"/>
        </w:rPr>
        <w:t xml:space="preserve">, the Dutch-speaking counterpart of </w:t>
      </w:r>
      <w:r w:rsidR="00E6635D" w:rsidRPr="00F84B95">
        <w:rPr>
          <w:i/>
          <w:lang w:val="en-GB"/>
        </w:rPr>
        <w:t xml:space="preserve">Journal des </w:t>
      </w:r>
      <w:proofErr w:type="spellStart"/>
      <w:r w:rsidR="00E6635D" w:rsidRPr="00F84B95">
        <w:rPr>
          <w:i/>
          <w:lang w:val="en-GB"/>
        </w:rPr>
        <w:t>Tribunaux</w:t>
      </w:r>
      <w:proofErr w:type="spellEnd"/>
      <w:r w:rsidR="00E6635D" w:rsidRPr="00F84B95">
        <w:rPr>
          <w:lang w:val="en-GB"/>
        </w:rPr>
        <w:t xml:space="preserve">, no further mention was made of the ratification Act except for it being incorporated in a list of 54 new legislative acts that had been published in the </w:t>
      </w:r>
      <w:proofErr w:type="spellStart"/>
      <w:r w:rsidR="00E6635D" w:rsidRPr="00F84B95">
        <w:rPr>
          <w:i/>
          <w:lang w:val="en-GB"/>
        </w:rPr>
        <w:t>Moniteur</w:t>
      </w:r>
      <w:proofErr w:type="spellEnd"/>
      <w:r w:rsidR="00E6635D" w:rsidRPr="00F84B95">
        <w:rPr>
          <w:i/>
          <w:lang w:val="en-GB"/>
        </w:rPr>
        <w:t xml:space="preserve"> </w:t>
      </w:r>
      <w:proofErr w:type="spellStart"/>
      <w:r w:rsidR="00E6635D" w:rsidRPr="00F84B95">
        <w:rPr>
          <w:i/>
          <w:lang w:val="en-GB"/>
        </w:rPr>
        <w:t>Belge</w:t>
      </w:r>
      <w:proofErr w:type="spellEnd"/>
      <w:r w:rsidR="00E6635D" w:rsidRPr="00F84B95">
        <w:rPr>
          <w:i/>
          <w:lang w:val="en-GB"/>
        </w:rPr>
        <w:t xml:space="preserve"> </w:t>
      </w:r>
      <w:r w:rsidR="00E6635D" w:rsidRPr="00F84B95">
        <w:rPr>
          <w:lang w:val="en-GB"/>
        </w:rPr>
        <w:t>between 1 and 31 August 1955</w:t>
      </w:r>
      <w:r w:rsidR="007F1A03">
        <w:rPr>
          <w:rStyle w:val="Voetnootmarkering"/>
          <w:lang w:val="en-GB"/>
        </w:rPr>
        <w:footnoteReference w:id="71"/>
      </w:r>
      <w:r w:rsidR="00652869">
        <w:rPr>
          <w:lang w:val="en-GB"/>
        </w:rPr>
        <w:t>.</w:t>
      </w:r>
      <w:r w:rsidR="00E6635D" w:rsidRPr="00F84B95">
        <w:rPr>
          <w:lang w:val="en-GB"/>
        </w:rPr>
        <w:t xml:space="preserve"> </w:t>
      </w:r>
      <w:r w:rsidR="00C231AA" w:rsidRPr="00F84B95">
        <w:rPr>
          <w:lang w:val="en-GB"/>
        </w:rPr>
        <w:t xml:space="preserve">It took until 1958 before the European Convention was mentioned in an article in </w:t>
      </w:r>
      <w:proofErr w:type="spellStart"/>
      <w:r w:rsidR="00C231AA" w:rsidRPr="00F84B95">
        <w:rPr>
          <w:i/>
          <w:lang w:val="en-GB"/>
        </w:rPr>
        <w:t>Rechtskundig</w:t>
      </w:r>
      <w:proofErr w:type="spellEnd"/>
      <w:r w:rsidR="00C231AA" w:rsidRPr="00F84B95">
        <w:rPr>
          <w:i/>
          <w:lang w:val="en-GB"/>
        </w:rPr>
        <w:t xml:space="preserve"> </w:t>
      </w:r>
      <w:proofErr w:type="spellStart"/>
      <w:r w:rsidR="00C231AA" w:rsidRPr="00F84B95">
        <w:rPr>
          <w:i/>
          <w:lang w:val="en-GB"/>
        </w:rPr>
        <w:t>Weekblad</w:t>
      </w:r>
      <w:proofErr w:type="spellEnd"/>
      <w:r w:rsidR="007F1A03">
        <w:rPr>
          <w:rStyle w:val="Voetnootmarkering"/>
          <w:lang w:val="en-GB"/>
        </w:rPr>
        <w:footnoteReference w:id="72"/>
      </w:r>
      <w:r w:rsidR="00652869">
        <w:rPr>
          <w:lang w:val="en-GB"/>
        </w:rPr>
        <w:t>.</w:t>
      </w:r>
    </w:p>
    <w:p w14:paraId="14E5A469" w14:textId="745AF2F4" w:rsidR="00C43979" w:rsidRDefault="0007675E" w:rsidP="001A19D0">
      <w:pPr>
        <w:ind w:firstLine="708"/>
        <w:jc w:val="both"/>
        <w:rPr>
          <w:lang w:val="en-GB"/>
        </w:rPr>
      </w:pPr>
      <w:r w:rsidRPr="00F84B95">
        <w:rPr>
          <w:lang w:val="en-GB"/>
        </w:rPr>
        <w:t xml:space="preserve">In the first years after the ratification, the low expectations held vis-à-vis the ECHR seemed to be confirmed by legal practice. In 1958, an exasperated Henri </w:t>
      </w:r>
      <w:proofErr w:type="spellStart"/>
      <w:r w:rsidRPr="00F84B95">
        <w:rPr>
          <w:lang w:val="en-GB"/>
        </w:rPr>
        <w:t>Rolin</w:t>
      </w:r>
      <w:proofErr w:type="spellEnd"/>
      <w:r w:rsidRPr="00F84B95">
        <w:rPr>
          <w:lang w:val="en-GB"/>
        </w:rPr>
        <w:t xml:space="preserve"> wrote an article in </w:t>
      </w:r>
      <w:r w:rsidRPr="00F84B95">
        <w:rPr>
          <w:i/>
          <w:lang w:val="en-GB"/>
        </w:rPr>
        <w:t xml:space="preserve">Journal des </w:t>
      </w:r>
      <w:proofErr w:type="spellStart"/>
      <w:r w:rsidRPr="00F84B95">
        <w:rPr>
          <w:i/>
          <w:lang w:val="en-GB"/>
        </w:rPr>
        <w:lastRenderedPageBreak/>
        <w:t>Tribunaux</w:t>
      </w:r>
      <w:proofErr w:type="spellEnd"/>
      <w:r w:rsidRPr="00F84B95">
        <w:rPr>
          <w:lang w:val="en-GB"/>
        </w:rPr>
        <w:t xml:space="preserve"> in which he lamented the fact that the Convention had remained “a text of positive law ignored by Belgian jurists”</w:t>
      </w:r>
      <w:r w:rsidR="007F1A03">
        <w:rPr>
          <w:rStyle w:val="Voetnootmarkering"/>
          <w:lang w:val="en-GB"/>
        </w:rPr>
        <w:footnoteReference w:id="73"/>
      </w:r>
      <w:r w:rsidR="00652869">
        <w:rPr>
          <w:lang w:val="en-GB"/>
        </w:rPr>
        <w:t>.</w:t>
      </w:r>
      <w:r w:rsidR="007F1A03">
        <w:rPr>
          <w:lang w:val="en-GB"/>
        </w:rPr>
        <w:t xml:space="preserve"> </w:t>
      </w:r>
      <w:r w:rsidR="007831D2" w:rsidRPr="00F84B95">
        <w:rPr>
          <w:lang w:val="en-GB"/>
        </w:rPr>
        <w:t>He deplored the fact that, as far as he was aware, no judicial or administrative decision had yet mentioned the ECHR or the First Protocol and that the editors of the law books had omitted not only to publish the text of these treaties, but also to even mention their existence if only by way of reference.</w:t>
      </w:r>
      <w:r w:rsidR="00E62F40" w:rsidRPr="00F84B95">
        <w:rPr>
          <w:lang w:val="en-GB"/>
        </w:rPr>
        <w:t xml:space="preserve"> </w:t>
      </w:r>
      <w:r w:rsidR="00622122" w:rsidRPr="00F84B95">
        <w:rPr>
          <w:lang w:val="en-GB"/>
        </w:rPr>
        <w:t xml:space="preserve">Similarly, two years later, </w:t>
      </w:r>
      <w:r w:rsidR="00E62F40" w:rsidRPr="00F84B95">
        <w:rPr>
          <w:lang w:val="en-GB"/>
        </w:rPr>
        <w:t xml:space="preserve">on the other side of the language border, Albert Nyssens, the then </w:t>
      </w:r>
      <w:proofErr w:type="spellStart"/>
      <w:r w:rsidR="00E62F40" w:rsidRPr="007F1A03">
        <w:rPr>
          <w:i/>
          <w:lang w:val="en-GB"/>
        </w:rPr>
        <w:t>bâtonnier</w:t>
      </w:r>
      <w:proofErr w:type="spellEnd"/>
      <w:r w:rsidR="00E62F40" w:rsidRPr="00F84B95">
        <w:rPr>
          <w:lang w:val="en-GB"/>
        </w:rPr>
        <w:t xml:space="preserve"> of the Brussels bar who would later become one of the attorneys representing the applicants in the </w:t>
      </w:r>
      <w:r w:rsidR="00E62F40" w:rsidRPr="007116FA">
        <w:rPr>
          <w:i/>
          <w:lang w:val="en-GB"/>
        </w:rPr>
        <w:t>Belgian Linguistics</w:t>
      </w:r>
      <w:r w:rsidR="00E62F40" w:rsidRPr="00F84B95">
        <w:rPr>
          <w:lang w:val="en-GB"/>
        </w:rPr>
        <w:t xml:space="preserve"> case, wrote in </w:t>
      </w:r>
      <w:proofErr w:type="spellStart"/>
      <w:r w:rsidR="00E62F40" w:rsidRPr="00F84B95">
        <w:rPr>
          <w:i/>
          <w:lang w:val="en-GB"/>
        </w:rPr>
        <w:t>Rechtskundig</w:t>
      </w:r>
      <w:proofErr w:type="spellEnd"/>
      <w:r w:rsidR="00E62F40" w:rsidRPr="00F84B95">
        <w:rPr>
          <w:i/>
          <w:lang w:val="en-GB"/>
        </w:rPr>
        <w:t xml:space="preserve"> </w:t>
      </w:r>
      <w:proofErr w:type="spellStart"/>
      <w:r w:rsidR="00E62F40" w:rsidRPr="00F84B95">
        <w:rPr>
          <w:i/>
          <w:lang w:val="en-GB"/>
        </w:rPr>
        <w:t>Weekblad</w:t>
      </w:r>
      <w:proofErr w:type="spellEnd"/>
      <w:r w:rsidR="00E62F40" w:rsidRPr="00F84B95">
        <w:rPr>
          <w:lang w:val="en-GB"/>
        </w:rPr>
        <w:t xml:space="preserve"> that “[t]he European Convention on Human Rights has made its entrance in our legal system without any rumour an</w:t>
      </w:r>
      <w:r w:rsidR="00652869">
        <w:rPr>
          <w:lang w:val="en-GB"/>
        </w:rPr>
        <w:t>d without drawing any attention</w:t>
      </w:r>
      <w:r w:rsidR="00E62F40" w:rsidRPr="00F84B95">
        <w:rPr>
          <w:lang w:val="en-GB"/>
        </w:rPr>
        <w:t>”</w:t>
      </w:r>
      <w:r w:rsidR="007F1A03">
        <w:rPr>
          <w:rStyle w:val="Voetnootmarkering"/>
          <w:lang w:val="en-GB"/>
        </w:rPr>
        <w:footnoteReference w:id="74"/>
      </w:r>
      <w:r w:rsidR="00652869">
        <w:rPr>
          <w:lang w:val="en-GB"/>
        </w:rPr>
        <w:t>.</w:t>
      </w:r>
      <w:r w:rsidR="00C43979" w:rsidRPr="00F84B95">
        <w:rPr>
          <w:lang w:val="en-GB"/>
        </w:rPr>
        <w:t xml:space="preserve"> In this article, which embodied in writing his </w:t>
      </w:r>
      <w:r w:rsidR="004A4DEE" w:rsidRPr="00F84B95">
        <w:rPr>
          <w:lang w:val="en-GB"/>
        </w:rPr>
        <w:t>response</w:t>
      </w:r>
      <w:r w:rsidR="00C43979" w:rsidRPr="00F84B95">
        <w:rPr>
          <w:lang w:val="en-GB"/>
        </w:rPr>
        <w:t xml:space="preserve"> to a presentation on the ECHR </w:t>
      </w:r>
      <w:r w:rsidR="004A4DEE" w:rsidRPr="00F84B95">
        <w:rPr>
          <w:lang w:val="en-GB"/>
        </w:rPr>
        <w:t xml:space="preserve">by an attorney </w:t>
      </w:r>
      <w:r w:rsidR="00C43979" w:rsidRPr="00F84B95">
        <w:rPr>
          <w:lang w:val="en-GB"/>
        </w:rPr>
        <w:t xml:space="preserve">on the occasion of </w:t>
      </w:r>
      <w:r w:rsidR="004A4DEE" w:rsidRPr="00F84B95">
        <w:rPr>
          <w:lang w:val="en-GB"/>
        </w:rPr>
        <w:t>the solemn opening of the year by the Flemish Pleading Society (</w:t>
      </w:r>
      <w:proofErr w:type="spellStart"/>
      <w:r w:rsidR="004A4DEE" w:rsidRPr="00F84B95">
        <w:rPr>
          <w:lang w:val="en-GB"/>
        </w:rPr>
        <w:t>Vlaams</w:t>
      </w:r>
      <w:proofErr w:type="spellEnd"/>
      <w:r w:rsidR="004A4DEE" w:rsidRPr="00F84B95">
        <w:rPr>
          <w:lang w:val="en-GB"/>
        </w:rPr>
        <w:t xml:space="preserve"> </w:t>
      </w:r>
      <w:proofErr w:type="spellStart"/>
      <w:r w:rsidR="004A4DEE" w:rsidRPr="00F84B95">
        <w:rPr>
          <w:lang w:val="en-GB"/>
        </w:rPr>
        <w:t>Pleitgenootschap</w:t>
      </w:r>
      <w:proofErr w:type="spellEnd"/>
      <w:r w:rsidR="004A4DEE" w:rsidRPr="00F84B95">
        <w:rPr>
          <w:lang w:val="en-GB"/>
        </w:rPr>
        <w:t>), he congratulated the speaker for</w:t>
      </w:r>
      <w:r w:rsidR="00F47C40" w:rsidRPr="00F84B95">
        <w:rPr>
          <w:lang w:val="en-GB"/>
        </w:rPr>
        <w:t xml:space="preserve"> “going into this solemn Treaty that deserves more than the indifference by which it</w:t>
      </w:r>
      <w:r w:rsidR="007F1A03">
        <w:rPr>
          <w:lang w:val="en-GB"/>
        </w:rPr>
        <w:t xml:space="preserve"> has been received in Belgium.”</w:t>
      </w:r>
    </w:p>
    <w:p w14:paraId="48E1086A" w14:textId="77777777" w:rsidR="001D7701" w:rsidRDefault="001D7701" w:rsidP="00F84B95">
      <w:pPr>
        <w:jc w:val="both"/>
        <w:rPr>
          <w:i/>
          <w:lang w:val="en-GB"/>
        </w:rPr>
      </w:pPr>
    </w:p>
    <w:p w14:paraId="7C0CB427" w14:textId="77777777" w:rsidR="00D53A25" w:rsidRPr="001D7701" w:rsidRDefault="00D53A25" w:rsidP="004228A8">
      <w:pPr>
        <w:pStyle w:val="Lijstalinea"/>
        <w:numPr>
          <w:ilvl w:val="1"/>
          <w:numId w:val="6"/>
        </w:numPr>
        <w:ind w:left="0" w:firstLine="0"/>
        <w:jc w:val="both"/>
        <w:rPr>
          <w:i/>
          <w:lang w:val="en-GB"/>
        </w:rPr>
      </w:pPr>
      <w:r w:rsidRPr="001D7701">
        <w:rPr>
          <w:i/>
          <w:lang w:val="en-GB"/>
        </w:rPr>
        <w:t>Legislative change prompted by the ECtHR</w:t>
      </w:r>
    </w:p>
    <w:p w14:paraId="0E6840B8" w14:textId="6530672F" w:rsidR="00885ABE" w:rsidRDefault="00FD53FC" w:rsidP="001A19D0">
      <w:pPr>
        <w:ind w:firstLine="708"/>
        <w:jc w:val="both"/>
        <w:rPr>
          <w:rStyle w:val="sfbbfee58"/>
          <w:lang w:val="en-GB"/>
        </w:rPr>
      </w:pPr>
      <w:r w:rsidRPr="00F84B95">
        <w:rPr>
          <w:lang w:val="en-GB"/>
        </w:rPr>
        <w:t>Against this background</w:t>
      </w:r>
      <w:r w:rsidR="00960D56" w:rsidRPr="00F84B95">
        <w:rPr>
          <w:lang w:val="en-GB"/>
        </w:rPr>
        <w:t xml:space="preserve"> of low expectation</w:t>
      </w:r>
      <w:r w:rsidR="00AB163E" w:rsidRPr="00F84B95">
        <w:rPr>
          <w:lang w:val="en-GB"/>
        </w:rPr>
        <w:t>s</w:t>
      </w:r>
      <w:r w:rsidRPr="00F84B95">
        <w:rPr>
          <w:lang w:val="en-GB"/>
        </w:rPr>
        <w:t>, it may come as a surprise that the first case brought against Belgium in Strasbourg</w:t>
      </w:r>
      <w:r w:rsidR="00DF1105" w:rsidRPr="00F84B95">
        <w:rPr>
          <w:lang w:val="en-GB"/>
        </w:rPr>
        <w:t xml:space="preserve"> immediately prompted legislative change. </w:t>
      </w:r>
      <w:r w:rsidR="0012614C" w:rsidRPr="00F84B95">
        <w:rPr>
          <w:lang w:val="en-GB"/>
        </w:rPr>
        <w:t xml:space="preserve">The case of </w:t>
      </w:r>
      <w:r w:rsidR="0012614C" w:rsidRPr="00F84B95">
        <w:rPr>
          <w:i/>
          <w:lang w:val="en-GB"/>
        </w:rPr>
        <w:t>De Becker</w:t>
      </w:r>
      <w:r w:rsidR="007F1A03">
        <w:rPr>
          <w:rStyle w:val="Voetnootmarkering"/>
          <w:i/>
          <w:lang w:val="en-GB"/>
        </w:rPr>
        <w:footnoteReference w:id="75"/>
      </w:r>
      <w:r w:rsidR="00652869">
        <w:rPr>
          <w:lang w:val="en-GB"/>
        </w:rPr>
        <w:t>,</w:t>
      </w:r>
      <w:r w:rsidR="00005F32" w:rsidRPr="00F84B95">
        <w:rPr>
          <w:i/>
          <w:lang w:val="en-GB"/>
        </w:rPr>
        <w:t xml:space="preserve"> </w:t>
      </w:r>
      <w:r w:rsidR="00501DDF" w:rsidRPr="00F84B95">
        <w:rPr>
          <w:lang w:val="en-GB"/>
        </w:rPr>
        <w:t xml:space="preserve">lodged with the European Commission on 1 September 1956, </w:t>
      </w:r>
      <w:r w:rsidR="0012614C" w:rsidRPr="00F84B95">
        <w:rPr>
          <w:lang w:val="en-GB"/>
        </w:rPr>
        <w:t xml:space="preserve">concerned a journalist who had been sentenced to death as a war collaborator for serving Nazi ideology in his capacity as general editor of </w:t>
      </w:r>
      <w:r w:rsidR="004A0A88">
        <w:rPr>
          <w:lang w:val="en-GB"/>
        </w:rPr>
        <w:t xml:space="preserve">the newspaper </w:t>
      </w:r>
      <w:r w:rsidR="0012614C" w:rsidRPr="00F84B95">
        <w:rPr>
          <w:i/>
          <w:lang w:val="en-GB"/>
        </w:rPr>
        <w:t xml:space="preserve">Le </w:t>
      </w:r>
      <w:proofErr w:type="spellStart"/>
      <w:r w:rsidR="0012614C" w:rsidRPr="00F84B95">
        <w:rPr>
          <w:i/>
          <w:lang w:val="en-GB"/>
        </w:rPr>
        <w:t>Soir</w:t>
      </w:r>
      <w:proofErr w:type="spellEnd"/>
      <w:r w:rsidR="0012614C" w:rsidRPr="00F84B95">
        <w:rPr>
          <w:i/>
          <w:lang w:val="en-GB"/>
        </w:rPr>
        <w:t xml:space="preserve"> </w:t>
      </w:r>
      <w:r w:rsidR="0012614C" w:rsidRPr="00F84B95">
        <w:rPr>
          <w:lang w:val="en-GB"/>
        </w:rPr>
        <w:t xml:space="preserve">in occupied Belgium. While his death sentence was later commuted to a prison sentence, </w:t>
      </w:r>
      <w:r w:rsidR="00005F32" w:rsidRPr="00F84B95">
        <w:rPr>
          <w:lang w:val="en-GB"/>
        </w:rPr>
        <w:t xml:space="preserve">due to the automatic application of Article </w:t>
      </w:r>
      <w:proofErr w:type="spellStart"/>
      <w:r w:rsidR="00005F32" w:rsidRPr="00F84B95">
        <w:rPr>
          <w:lang w:val="en-GB"/>
        </w:rPr>
        <w:t>123sexies</w:t>
      </w:r>
      <w:proofErr w:type="spellEnd"/>
      <w:r w:rsidR="00005F32" w:rsidRPr="00F84B95">
        <w:rPr>
          <w:lang w:val="en-GB"/>
        </w:rPr>
        <w:t xml:space="preserve"> of the Belgian Penal Code, </w:t>
      </w:r>
      <w:r w:rsidR="0012614C" w:rsidRPr="00F84B95">
        <w:rPr>
          <w:lang w:val="en-GB"/>
        </w:rPr>
        <w:t xml:space="preserve">his conviction carried with it the </w:t>
      </w:r>
      <w:r w:rsidR="00005F32" w:rsidRPr="00F84B95">
        <w:rPr>
          <w:lang w:val="en-GB"/>
        </w:rPr>
        <w:t xml:space="preserve">perpetual </w:t>
      </w:r>
      <w:r w:rsidR="0012614C" w:rsidRPr="00F84B95">
        <w:rPr>
          <w:lang w:val="en-GB"/>
        </w:rPr>
        <w:t>forfeiture of a range of rights, including</w:t>
      </w:r>
      <w:r w:rsidR="00005F32" w:rsidRPr="00F84B95">
        <w:rPr>
          <w:lang w:val="en-GB"/>
        </w:rPr>
        <w:t xml:space="preserve"> </w:t>
      </w:r>
      <w:r w:rsidR="00005F32" w:rsidRPr="00F84B95">
        <w:rPr>
          <w:rStyle w:val="sfbbfee58"/>
          <w:lang w:val="en-GB"/>
        </w:rPr>
        <w:t>the right to have a proprietary interest in or to take part in any capacity whatsoever in the administration, editing, printing or distribution of a newspaper or any other publication.</w:t>
      </w:r>
      <w:r w:rsidR="00501DDF" w:rsidRPr="00F84B95">
        <w:rPr>
          <w:rStyle w:val="sfbbfee58"/>
          <w:lang w:val="en-GB"/>
        </w:rPr>
        <w:t xml:space="preserve"> After failed attempts to obtain a friendly settlement, in its report</w:t>
      </w:r>
      <w:r w:rsidR="004A0A88">
        <w:rPr>
          <w:rStyle w:val="sfbbfee58"/>
          <w:lang w:val="en-GB"/>
        </w:rPr>
        <w:t xml:space="preserve"> of</w:t>
      </w:r>
      <w:r w:rsidR="000328FD" w:rsidRPr="00F84B95">
        <w:rPr>
          <w:rStyle w:val="sfbbfee58"/>
          <w:lang w:val="en-GB"/>
        </w:rPr>
        <w:t xml:space="preserve"> 8 January 1960</w:t>
      </w:r>
      <w:r w:rsidR="00501DDF" w:rsidRPr="00F84B95">
        <w:rPr>
          <w:rStyle w:val="sfbbfee58"/>
          <w:lang w:val="en-GB"/>
        </w:rPr>
        <w:t xml:space="preserve">, the Commission held that the provisions of Article </w:t>
      </w:r>
      <w:proofErr w:type="spellStart"/>
      <w:r w:rsidR="00501DDF" w:rsidRPr="00F84B95">
        <w:rPr>
          <w:rStyle w:val="sfbbfee58"/>
          <w:lang w:val="en-GB"/>
        </w:rPr>
        <w:t>123sexies</w:t>
      </w:r>
      <w:proofErr w:type="spellEnd"/>
      <w:r w:rsidR="00501DDF" w:rsidRPr="00F84B95">
        <w:rPr>
          <w:rStyle w:val="sfbbfee58"/>
          <w:lang w:val="en-GB"/>
        </w:rPr>
        <w:t xml:space="preserve"> of the Criminal Code</w:t>
      </w:r>
    </w:p>
    <w:p w14:paraId="508792C2" w14:textId="435EDB99" w:rsidR="00885ABE" w:rsidRDefault="000328FD" w:rsidP="00885ABE">
      <w:pPr>
        <w:ind w:left="708"/>
        <w:jc w:val="both"/>
        <w:rPr>
          <w:rStyle w:val="sfbbfee58"/>
          <w:lang w:val="en-GB"/>
        </w:rPr>
      </w:pPr>
      <w:r w:rsidRPr="00F84B95">
        <w:rPr>
          <w:rStyle w:val="sfbbfee58"/>
          <w:lang w:val="en-GB"/>
        </w:rPr>
        <w:t>are not justifiable insofar as the deprivation of freedom of expression in regard to non-political matters, which they contain, is imposed inflexibly for life without any provision for its relaxation when with the passage of time public morale and public order have been re-established and the continued imposition of that particular incapacity has ceased to be a measure ‘necessary in a democratic society’ within the meaning of Article 10,</w:t>
      </w:r>
      <w:r w:rsidR="00652869">
        <w:rPr>
          <w:rStyle w:val="sfbbfee58"/>
          <w:lang w:val="en-GB"/>
        </w:rPr>
        <w:t xml:space="preserve"> paragraph 2, of the Convention</w:t>
      </w:r>
      <w:r w:rsidR="00885ABE">
        <w:rPr>
          <w:rStyle w:val="Voetnootmarkering"/>
          <w:lang w:val="en-GB"/>
        </w:rPr>
        <w:footnoteReference w:id="76"/>
      </w:r>
      <w:r w:rsidR="00652869">
        <w:rPr>
          <w:rStyle w:val="sfbbfee58"/>
          <w:lang w:val="en-GB"/>
        </w:rPr>
        <w:t>.</w:t>
      </w:r>
      <w:r w:rsidRPr="00F84B95">
        <w:rPr>
          <w:rStyle w:val="sfbbfee58"/>
          <w:lang w:val="en-GB"/>
        </w:rPr>
        <w:t xml:space="preserve"> </w:t>
      </w:r>
    </w:p>
    <w:p w14:paraId="7C15F3FD" w14:textId="0CC6446C" w:rsidR="000328FD" w:rsidRPr="00F84B95" w:rsidRDefault="007E5532" w:rsidP="00885ABE">
      <w:pPr>
        <w:jc w:val="both"/>
        <w:rPr>
          <w:rStyle w:val="sfbbfee58"/>
          <w:lang w:val="en-GB"/>
        </w:rPr>
      </w:pPr>
      <w:r w:rsidRPr="00F84B95">
        <w:rPr>
          <w:rStyle w:val="sfbbfee58"/>
          <w:lang w:val="en-GB"/>
        </w:rPr>
        <w:lastRenderedPageBreak/>
        <w:t xml:space="preserve">The case was referred to the Court and on 1 July 1961, only two days before the date set for the hearing, a law was passed in Parliament </w:t>
      </w:r>
      <w:r w:rsidR="007116FA">
        <w:rPr>
          <w:rStyle w:val="sfbbfee58"/>
          <w:lang w:val="en-GB"/>
        </w:rPr>
        <w:t>with</w:t>
      </w:r>
      <w:r w:rsidRPr="00F84B95">
        <w:rPr>
          <w:rStyle w:val="sfbbfee58"/>
          <w:lang w:val="en-GB"/>
        </w:rPr>
        <w:t>, according to the explanatory memorandum to the Act, the aim of “bringing our legislation in line with</w:t>
      </w:r>
      <w:r w:rsidR="00652869">
        <w:rPr>
          <w:rStyle w:val="sfbbfee58"/>
          <w:lang w:val="en-GB"/>
        </w:rPr>
        <w:t xml:space="preserve"> the Convention on Human Rights</w:t>
      </w:r>
      <w:r w:rsidR="00885ABE">
        <w:rPr>
          <w:rStyle w:val="sfbbfee58"/>
          <w:lang w:val="en-GB"/>
        </w:rPr>
        <w:t>”</w:t>
      </w:r>
      <w:r w:rsidR="00885ABE">
        <w:rPr>
          <w:rStyle w:val="Voetnootmarkering"/>
          <w:lang w:val="en-GB"/>
        </w:rPr>
        <w:footnoteReference w:id="77"/>
      </w:r>
      <w:r w:rsidR="00652869">
        <w:rPr>
          <w:rStyle w:val="sfbbfee58"/>
          <w:lang w:val="en-GB"/>
        </w:rPr>
        <w:t>.</w:t>
      </w:r>
      <w:r w:rsidRPr="00F84B95">
        <w:rPr>
          <w:rStyle w:val="sfbbfee58"/>
          <w:lang w:val="en-GB"/>
        </w:rPr>
        <w:t xml:space="preserve"> </w:t>
      </w:r>
      <w:r w:rsidR="00944F97" w:rsidRPr="00F84B95">
        <w:rPr>
          <w:rStyle w:val="sfbbfee58"/>
          <w:lang w:val="en-GB"/>
        </w:rPr>
        <w:t>The adoption of the law had been accelerated because this was conside</w:t>
      </w:r>
      <w:r w:rsidR="00933231">
        <w:rPr>
          <w:rStyle w:val="sfbbfee58"/>
          <w:lang w:val="en-GB"/>
        </w:rPr>
        <w:t xml:space="preserve">red to be necessary in order to </w:t>
      </w:r>
      <w:r w:rsidR="00944F97" w:rsidRPr="00F84B95">
        <w:rPr>
          <w:rStyle w:val="sfbbfee58"/>
          <w:lang w:val="en-GB"/>
        </w:rPr>
        <w:t>“allow the European Court, where the case is pending, to pronounce itself on our legislation after this has been brought in line with the contemporary perception of the Belgian legislator concerning the demands of repression”</w:t>
      </w:r>
      <w:r w:rsidR="00885ABE">
        <w:rPr>
          <w:rStyle w:val="Voetnootmarkering"/>
          <w:lang w:val="en-GB"/>
        </w:rPr>
        <w:footnoteReference w:id="78"/>
      </w:r>
      <w:r w:rsidR="00652869">
        <w:rPr>
          <w:rStyle w:val="sfbbfee58"/>
          <w:lang w:val="en-GB"/>
        </w:rPr>
        <w:t>.</w:t>
      </w:r>
      <w:r w:rsidR="00944F97" w:rsidRPr="00F84B95">
        <w:rPr>
          <w:rStyle w:val="sfbbfee58"/>
          <w:lang w:val="en-GB"/>
        </w:rPr>
        <w:t xml:space="preserve"> </w:t>
      </w:r>
      <w:r w:rsidR="00BE1126" w:rsidRPr="00F84B95">
        <w:rPr>
          <w:rStyle w:val="sfbbfee58"/>
          <w:lang w:val="en-GB"/>
        </w:rPr>
        <w:t xml:space="preserve">This Act </w:t>
      </w:r>
      <w:r w:rsidR="00BE1126" w:rsidRPr="007116FA">
        <w:rPr>
          <w:rStyle w:val="sfbbfee58"/>
          <w:i/>
          <w:lang w:val="en-GB"/>
        </w:rPr>
        <w:t>inter alia</w:t>
      </w:r>
      <w:r w:rsidR="00BE1126" w:rsidRPr="00F84B95">
        <w:rPr>
          <w:rStyle w:val="sfbbfee58"/>
          <w:lang w:val="en-GB"/>
        </w:rPr>
        <w:t xml:space="preserve"> limited the continued forfeiture of the right concerned to the extent that these activities have a political character </w:t>
      </w:r>
      <w:r w:rsidR="00411D11" w:rsidRPr="00F84B95">
        <w:rPr>
          <w:rStyle w:val="sfbbfee58"/>
          <w:lang w:val="en-GB"/>
        </w:rPr>
        <w:t xml:space="preserve">and </w:t>
      </w:r>
      <w:r w:rsidR="007116FA">
        <w:rPr>
          <w:rStyle w:val="sfbbfee58"/>
          <w:lang w:val="en-GB"/>
        </w:rPr>
        <w:t xml:space="preserve">introduced </w:t>
      </w:r>
      <w:r w:rsidR="00411D11" w:rsidRPr="00F84B95">
        <w:rPr>
          <w:rStyle w:val="sfbbfee58"/>
          <w:lang w:val="en-GB"/>
        </w:rPr>
        <w:t xml:space="preserve">the possibility to apply to the courts to review a forfeiture </w:t>
      </w:r>
      <w:r w:rsidR="00652869">
        <w:rPr>
          <w:rStyle w:val="sfbbfee58"/>
          <w:lang w:val="en-GB"/>
        </w:rPr>
        <w:t>of rights</w:t>
      </w:r>
      <w:r w:rsidR="00885ABE">
        <w:rPr>
          <w:rStyle w:val="Voetnootmarkering"/>
          <w:lang w:val="en-GB"/>
        </w:rPr>
        <w:footnoteReference w:id="79"/>
      </w:r>
      <w:r w:rsidR="00652869">
        <w:rPr>
          <w:rStyle w:val="sfbbfee58"/>
          <w:lang w:val="en-GB"/>
        </w:rPr>
        <w:t>.</w:t>
      </w:r>
      <w:r w:rsidR="00AB163E" w:rsidRPr="00F84B95">
        <w:rPr>
          <w:rStyle w:val="sfbbfee58"/>
          <w:lang w:val="en-GB"/>
        </w:rPr>
        <w:t xml:space="preserve"> After the 1961 Act was passed, the applicant considered it unnecessary to proceed with his case and withdrew his application, which was subsequently struck of</w:t>
      </w:r>
      <w:r w:rsidR="007116FA">
        <w:rPr>
          <w:rStyle w:val="sfbbfee58"/>
          <w:lang w:val="en-GB"/>
        </w:rPr>
        <w:t>f</w:t>
      </w:r>
      <w:r w:rsidR="00AB163E" w:rsidRPr="00F84B95">
        <w:rPr>
          <w:rStyle w:val="sfbbfee58"/>
          <w:lang w:val="en-GB"/>
        </w:rPr>
        <w:t xml:space="preserve"> the list by the Court on 27 March 1962</w:t>
      </w:r>
      <w:r w:rsidR="00885ABE">
        <w:rPr>
          <w:rStyle w:val="Voetnootmarkering"/>
          <w:lang w:val="en-GB"/>
        </w:rPr>
        <w:footnoteReference w:id="80"/>
      </w:r>
      <w:r w:rsidR="00652869">
        <w:rPr>
          <w:rStyle w:val="sfbbfee58"/>
          <w:lang w:val="en-GB"/>
        </w:rPr>
        <w:t>.</w:t>
      </w:r>
    </w:p>
    <w:p w14:paraId="713E371B" w14:textId="4D6980CE" w:rsidR="00F84B95" w:rsidRDefault="00D51E12" w:rsidP="001A19D0">
      <w:pPr>
        <w:ind w:firstLine="708"/>
        <w:jc w:val="both"/>
        <w:rPr>
          <w:rStyle w:val="sfbbfee58"/>
          <w:lang w:val="en-GB"/>
        </w:rPr>
      </w:pPr>
      <w:r w:rsidRPr="00F84B95">
        <w:rPr>
          <w:rStyle w:val="sfbbfee58"/>
          <w:lang w:val="en-GB"/>
        </w:rPr>
        <w:t>Violation judgments by the Court, delivered in the period under consideration</w:t>
      </w:r>
      <w:r w:rsidR="008300AF" w:rsidRPr="00F84B95">
        <w:rPr>
          <w:rStyle w:val="sfbbfee58"/>
          <w:lang w:val="en-GB"/>
        </w:rPr>
        <w:t xml:space="preserve"> (</w:t>
      </w:r>
      <w:proofErr w:type="spellStart"/>
      <w:r w:rsidR="008300AF" w:rsidRPr="00F84B95">
        <w:rPr>
          <w:rStyle w:val="sfbbfee58"/>
          <w:lang w:val="en-GB"/>
        </w:rPr>
        <w:t>1960s</w:t>
      </w:r>
      <w:proofErr w:type="spellEnd"/>
      <w:r w:rsidR="008300AF" w:rsidRPr="00F84B95">
        <w:rPr>
          <w:rStyle w:val="sfbbfee58"/>
          <w:lang w:val="en-GB"/>
        </w:rPr>
        <w:t xml:space="preserve">, </w:t>
      </w:r>
      <w:proofErr w:type="spellStart"/>
      <w:r w:rsidR="008300AF" w:rsidRPr="00F84B95">
        <w:rPr>
          <w:rStyle w:val="sfbbfee58"/>
          <w:lang w:val="en-GB"/>
        </w:rPr>
        <w:t>1970s</w:t>
      </w:r>
      <w:proofErr w:type="spellEnd"/>
      <w:r w:rsidR="008300AF" w:rsidRPr="00F84B95">
        <w:rPr>
          <w:rStyle w:val="sfbbfee58"/>
          <w:lang w:val="en-GB"/>
        </w:rPr>
        <w:t xml:space="preserve"> and </w:t>
      </w:r>
      <w:proofErr w:type="spellStart"/>
      <w:r w:rsidR="008300AF" w:rsidRPr="00F84B95">
        <w:rPr>
          <w:rStyle w:val="sfbbfee58"/>
          <w:lang w:val="en-GB"/>
        </w:rPr>
        <w:t>1980s</w:t>
      </w:r>
      <w:proofErr w:type="spellEnd"/>
      <w:r w:rsidR="008300AF" w:rsidRPr="00F84B95">
        <w:rPr>
          <w:rStyle w:val="sfbbfee58"/>
          <w:lang w:val="en-GB"/>
        </w:rPr>
        <w:t>)</w:t>
      </w:r>
      <w:r w:rsidRPr="00F84B95">
        <w:rPr>
          <w:rStyle w:val="sfbbfee58"/>
          <w:lang w:val="en-GB"/>
        </w:rPr>
        <w:t xml:space="preserve">, have further led to legislative change in various areas of Belgian law, in particular </w:t>
      </w:r>
      <w:r w:rsidR="00854DDB" w:rsidRPr="00F84B95">
        <w:rPr>
          <w:rStyle w:val="sfbbfee58"/>
          <w:lang w:val="en-GB"/>
        </w:rPr>
        <w:t>th</w:t>
      </w:r>
      <w:r w:rsidR="003674A8" w:rsidRPr="00F84B95">
        <w:rPr>
          <w:rStyle w:val="sfbbfee58"/>
          <w:lang w:val="en-GB"/>
        </w:rPr>
        <w:t>e use of languages in education</w:t>
      </w:r>
      <w:r w:rsidR="00885ABE">
        <w:rPr>
          <w:rStyle w:val="Voetnootmarkering"/>
          <w:lang w:val="en-GB"/>
        </w:rPr>
        <w:footnoteReference w:id="81"/>
      </w:r>
      <w:r w:rsidR="00652869">
        <w:rPr>
          <w:rStyle w:val="sfbbfee58"/>
          <w:lang w:val="en-GB"/>
        </w:rPr>
        <w:t>,</w:t>
      </w:r>
      <w:r w:rsidR="003674A8" w:rsidRPr="00F84B95">
        <w:rPr>
          <w:rStyle w:val="sfbbfee58"/>
          <w:lang w:val="en-GB"/>
        </w:rPr>
        <w:t xml:space="preserve"> </w:t>
      </w:r>
      <w:r w:rsidR="00652869">
        <w:rPr>
          <w:rStyle w:val="sfbbfee58"/>
          <w:lang w:val="en-GB"/>
        </w:rPr>
        <w:t>family law</w:t>
      </w:r>
      <w:r w:rsidR="00885ABE">
        <w:rPr>
          <w:rStyle w:val="Voetnootmarkering"/>
          <w:lang w:val="en-GB"/>
        </w:rPr>
        <w:footnoteReference w:id="82"/>
      </w:r>
      <w:r w:rsidR="00652869">
        <w:rPr>
          <w:rStyle w:val="sfbbfee58"/>
          <w:lang w:val="en-GB"/>
        </w:rPr>
        <w:t>,</w:t>
      </w:r>
      <w:r w:rsidRPr="00F84B95">
        <w:rPr>
          <w:rStyle w:val="sfbbfee58"/>
          <w:lang w:val="en-GB"/>
        </w:rPr>
        <w:t xml:space="preserve"> disciplinary law</w:t>
      </w:r>
      <w:r w:rsidR="00885ABE">
        <w:rPr>
          <w:rStyle w:val="Voetnootmarkering"/>
          <w:lang w:val="en-GB"/>
        </w:rPr>
        <w:footnoteReference w:id="83"/>
      </w:r>
      <w:r w:rsidR="00652869">
        <w:rPr>
          <w:rStyle w:val="sfbbfee58"/>
          <w:lang w:val="en-GB"/>
        </w:rPr>
        <w:t>,</w:t>
      </w:r>
      <w:r w:rsidR="0060093F" w:rsidRPr="00F84B95">
        <w:rPr>
          <w:rStyle w:val="sfbbfee58"/>
          <w:lang w:val="en-GB"/>
        </w:rPr>
        <w:t xml:space="preserve"> </w:t>
      </w:r>
      <w:r w:rsidR="006B254A" w:rsidRPr="00F84B95">
        <w:rPr>
          <w:rStyle w:val="sfbbfee58"/>
          <w:lang w:val="en-GB"/>
        </w:rPr>
        <w:t xml:space="preserve">the </w:t>
      </w:r>
      <w:r w:rsidR="0060093F" w:rsidRPr="00F84B95">
        <w:rPr>
          <w:rStyle w:val="sfbbfee58"/>
          <w:lang w:val="en-GB"/>
        </w:rPr>
        <w:t>detention of vagrants</w:t>
      </w:r>
      <w:r w:rsidR="00D8512B">
        <w:rPr>
          <w:rStyle w:val="Voetnootmarkering"/>
          <w:lang w:val="en-GB"/>
        </w:rPr>
        <w:footnoteReference w:id="84"/>
      </w:r>
      <w:r w:rsidR="00652869">
        <w:rPr>
          <w:rStyle w:val="sfbbfee58"/>
          <w:lang w:val="en-GB"/>
        </w:rPr>
        <w:t>,</w:t>
      </w:r>
      <w:r w:rsidR="0060093F" w:rsidRPr="00F84B95">
        <w:rPr>
          <w:rStyle w:val="sfbbfee58"/>
          <w:lang w:val="en-GB"/>
        </w:rPr>
        <w:t xml:space="preserve"> </w:t>
      </w:r>
      <w:r w:rsidR="006B254A" w:rsidRPr="00F84B95">
        <w:rPr>
          <w:rStyle w:val="sfbbfee58"/>
          <w:lang w:val="en-GB"/>
        </w:rPr>
        <w:t>habitual offenders</w:t>
      </w:r>
      <w:r w:rsidR="00D8512B">
        <w:rPr>
          <w:rStyle w:val="Voetnootmarkering"/>
          <w:lang w:val="en-GB"/>
        </w:rPr>
        <w:footnoteReference w:id="85"/>
      </w:r>
      <w:r w:rsidR="0060093F" w:rsidRPr="00F84B95">
        <w:rPr>
          <w:rStyle w:val="sfbbfee58"/>
          <w:lang w:val="en-GB"/>
        </w:rPr>
        <w:t xml:space="preserve"> </w:t>
      </w:r>
      <w:r w:rsidR="00CE00DB" w:rsidRPr="00F84B95">
        <w:rPr>
          <w:rStyle w:val="sfbbfee58"/>
          <w:lang w:val="en-GB"/>
        </w:rPr>
        <w:t>and minors</w:t>
      </w:r>
      <w:r w:rsidR="00D8512B">
        <w:rPr>
          <w:rStyle w:val="Voetnootmarkering"/>
          <w:lang w:val="en-GB"/>
        </w:rPr>
        <w:footnoteReference w:id="86"/>
      </w:r>
      <w:r w:rsidR="00652869">
        <w:rPr>
          <w:rStyle w:val="sfbbfee58"/>
          <w:lang w:val="en-GB"/>
        </w:rPr>
        <w:t>,</w:t>
      </w:r>
      <w:r w:rsidR="00510BF4" w:rsidRPr="00F84B95">
        <w:rPr>
          <w:rStyle w:val="sfbbfee58"/>
          <w:lang w:val="en-GB"/>
        </w:rPr>
        <w:t xml:space="preserve"> </w:t>
      </w:r>
      <w:r w:rsidR="00C50618" w:rsidRPr="00F84B95">
        <w:rPr>
          <w:rStyle w:val="sfbbfee58"/>
          <w:lang w:val="en-GB"/>
        </w:rPr>
        <w:t>detention on remand</w:t>
      </w:r>
      <w:r w:rsidR="00D8512B">
        <w:rPr>
          <w:rStyle w:val="Voetnootmarkering"/>
          <w:lang w:val="en-GB"/>
        </w:rPr>
        <w:footnoteReference w:id="87"/>
      </w:r>
      <w:r w:rsidR="00D8512B">
        <w:rPr>
          <w:rStyle w:val="sfbbfee58"/>
          <w:lang w:val="en-GB"/>
        </w:rPr>
        <w:t xml:space="preserve"> </w:t>
      </w:r>
      <w:r w:rsidR="00041F93" w:rsidRPr="00F84B95">
        <w:rPr>
          <w:rStyle w:val="sfbbfee58"/>
          <w:lang w:val="en-GB"/>
        </w:rPr>
        <w:t>and the friendly settlement procedure concerning infringements of pricing regulation</w:t>
      </w:r>
      <w:r w:rsidR="00D8512B">
        <w:rPr>
          <w:rStyle w:val="Voetnootmarkering"/>
          <w:lang w:val="en-GB"/>
        </w:rPr>
        <w:footnoteReference w:id="88"/>
      </w:r>
      <w:r w:rsidR="00652869">
        <w:rPr>
          <w:rStyle w:val="sfbbfee58"/>
          <w:lang w:val="en-GB"/>
        </w:rPr>
        <w:t>.</w:t>
      </w:r>
      <w:r w:rsidR="00D8512B">
        <w:rPr>
          <w:rStyle w:val="sfbbfee58"/>
          <w:lang w:val="en-GB"/>
        </w:rPr>
        <w:t xml:space="preserve"> </w:t>
      </w:r>
      <w:r w:rsidR="003674A8" w:rsidRPr="00F84B95">
        <w:rPr>
          <w:rStyle w:val="sfbbfee58"/>
          <w:lang w:val="en-GB"/>
        </w:rPr>
        <w:t>In other cases, implementation took place by way of change in the domestic case law</w:t>
      </w:r>
      <w:r w:rsidR="00B4723D" w:rsidRPr="00F84B95">
        <w:rPr>
          <w:rStyle w:val="sfbbfee58"/>
          <w:lang w:val="en-GB"/>
        </w:rPr>
        <w:t xml:space="preserve"> or policy</w:t>
      </w:r>
      <w:r w:rsidR="003674A8" w:rsidRPr="00F84B95">
        <w:rPr>
          <w:rStyle w:val="sfbbfee58"/>
          <w:lang w:val="en-GB"/>
        </w:rPr>
        <w:t>, in particular in the area of criminal procedure</w:t>
      </w:r>
      <w:r w:rsidR="00D8512B">
        <w:rPr>
          <w:rStyle w:val="Voetnootmarkering"/>
          <w:lang w:val="en-GB"/>
        </w:rPr>
        <w:footnoteReference w:id="89"/>
      </w:r>
      <w:r w:rsidR="00B4723D" w:rsidRPr="00F84B95">
        <w:rPr>
          <w:rStyle w:val="sfbbfee58"/>
          <w:lang w:val="en-GB"/>
        </w:rPr>
        <w:t xml:space="preserve"> and military criminal law</w:t>
      </w:r>
      <w:r w:rsidR="00D8512B">
        <w:rPr>
          <w:rStyle w:val="Voetnootmarkering"/>
          <w:lang w:val="en-GB"/>
        </w:rPr>
        <w:footnoteReference w:id="90"/>
      </w:r>
      <w:r w:rsidR="00652869">
        <w:rPr>
          <w:rStyle w:val="sfbbfee58"/>
          <w:lang w:val="en-GB"/>
        </w:rPr>
        <w:t>.</w:t>
      </w:r>
    </w:p>
    <w:p w14:paraId="55927CD7" w14:textId="77777777" w:rsidR="00D53A25" w:rsidRPr="001D7701" w:rsidRDefault="00D53A25" w:rsidP="004228A8">
      <w:pPr>
        <w:pStyle w:val="Lijstalinea"/>
        <w:numPr>
          <w:ilvl w:val="1"/>
          <w:numId w:val="6"/>
        </w:numPr>
        <w:ind w:left="0" w:firstLine="0"/>
        <w:jc w:val="both"/>
        <w:rPr>
          <w:rStyle w:val="sfbbfee58"/>
          <w:i/>
          <w:lang w:val="en-GB"/>
        </w:rPr>
      </w:pPr>
      <w:r w:rsidRPr="001D7701">
        <w:rPr>
          <w:rStyle w:val="sfbbfee58"/>
          <w:i/>
          <w:lang w:val="en-GB"/>
        </w:rPr>
        <w:lastRenderedPageBreak/>
        <w:t xml:space="preserve">The ECHR in the Belgian </w:t>
      </w:r>
      <w:r w:rsidR="001D7701" w:rsidRPr="001D7701">
        <w:rPr>
          <w:rStyle w:val="sfbbfee58"/>
          <w:i/>
          <w:lang w:val="en-GB"/>
        </w:rPr>
        <w:t>courts</w:t>
      </w:r>
    </w:p>
    <w:p w14:paraId="31833489" w14:textId="5103A548" w:rsidR="00FE7B24" w:rsidRDefault="00C30C9E" w:rsidP="001A19D0">
      <w:pPr>
        <w:ind w:firstLine="708"/>
        <w:jc w:val="both"/>
        <w:rPr>
          <w:rStyle w:val="sfbbfee58"/>
          <w:lang w:val="en-GB"/>
        </w:rPr>
      </w:pPr>
      <w:r w:rsidRPr="00F84B95">
        <w:rPr>
          <w:rStyle w:val="sfbbfee58"/>
          <w:lang w:val="en-GB"/>
        </w:rPr>
        <w:t xml:space="preserve">Meanwhile, </w:t>
      </w:r>
      <w:r w:rsidR="00803351" w:rsidRPr="00F84B95">
        <w:rPr>
          <w:rStyle w:val="sfbbfee58"/>
          <w:lang w:val="en-GB"/>
        </w:rPr>
        <w:t>at</w:t>
      </w:r>
      <w:r w:rsidRPr="00F84B95">
        <w:rPr>
          <w:rStyle w:val="sfbbfee58"/>
          <w:lang w:val="en-GB"/>
        </w:rPr>
        <w:t xml:space="preserve"> the national level,</w:t>
      </w:r>
      <w:r w:rsidR="00FA56CD" w:rsidRPr="00F84B95">
        <w:rPr>
          <w:rStyle w:val="sfbbfee58"/>
          <w:lang w:val="en-GB"/>
        </w:rPr>
        <w:t xml:space="preserve"> judges demonstrated </w:t>
      </w:r>
      <w:r w:rsidR="00E10E25">
        <w:rPr>
          <w:rStyle w:val="sfbbfee58"/>
          <w:lang w:val="en-GB"/>
        </w:rPr>
        <w:t xml:space="preserve">resistance </w:t>
      </w:r>
      <w:r w:rsidR="002A5D2F" w:rsidRPr="00F84B95">
        <w:rPr>
          <w:rStyle w:val="sfbbfee58"/>
          <w:lang w:val="en-GB"/>
        </w:rPr>
        <w:t xml:space="preserve">in accepting the authority of the ECHR. </w:t>
      </w:r>
      <w:proofErr w:type="spellStart"/>
      <w:r w:rsidR="002A5D2F" w:rsidRPr="00F84B95">
        <w:rPr>
          <w:rStyle w:val="sfbbfee58"/>
          <w:lang w:val="en-GB"/>
        </w:rPr>
        <w:t>Rolin’s</w:t>
      </w:r>
      <w:proofErr w:type="spellEnd"/>
      <w:r w:rsidR="002A5D2F" w:rsidRPr="00F84B95">
        <w:rPr>
          <w:rStyle w:val="sfbbfee58"/>
          <w:lang w:val="en-GB"/>
        </w:rPr>
        <w:t xml:space="preserve"> observation of the ECHR being </w:t>
      </w:r>
      <w:r w:rsidR="002A5D2F" w:rsidRPr="00F84B95">
        <w:rPr>
          <w:lang w:val="en-GB"/>
        </w:rPr>
        <w:t>“a text of positive law ignored by Belgian jurists” remained relevant for quite some time. According to Lambert, during the first fifteen to twenty years after ratification, references to the ECHR by Belg</w:t>
      </w:r>
      <w:r w:rsidR="00652869">
        <w:rPr>
          <w:lang w:val="en-GB"/>
        </w:rPr>
        <w:t>ian judges remained very scarce</w:t>
      </w:r>
      <w:r w:rsidR="002A5D2F">
        <w:rPr>
          <w:rStyle w:val="Voetnootmarkering"/>
          <w:lang w:val="en-GB"/>
        </w:rPr>
        <w:footnoteReference w:id="91"/>
      </w:r>
      <w:r w:rsidR="00652869">
        <w:rPr>
          <w:lang w:val="en-GB"/>
        </w:rPr>
        <w:t>.</w:t>
      </w:r>
      <w:r w:rsidR="002A5D2F" w:rsidRPr="00F84B95">
        <w:rPr>
          <w:lang w:val="en-GB"/>
        </w:rPr>
        <w:t xml:space="preserve"> In 1985, </w:t>
      </w:r>
      <w:proofErr w:type="spellStart"/>
      <w:r w:rsidR="002A5D2F" w:rsidRPr="00F84B95">
        <w:rPr>
          <w:lang w:val="en-GB"/>
        </w:rPr>
        <w:t>Ganshof</w:t>
      </w:r>
      <w:proofErr w:type="spellEnd"/>
      <w:r w:rsidR="002A5D2F" w:rsidRPr="00F84B95">
        <w:rPr>
          <w:lang w:val="en-GB"/>
        </w:rPr>
        <w:t xml:space="preserve"> van der </w:t>
      </w:r>
      <w:proofErr w:type="spellStart"/>
      <w:r w:rsidR="002A5D2F" w:rsidRPr="00F84B95">
        <w:rPr>
          <w:lang w:val="en-GB"/>
        </w:rPr>
        <w:t>Meersch</w:t>
      </w:r>
      <w:proofErr w:type="spellEnd"/>
      <w:r w:rsidR="002A5D2F" w:rsidRPr="00F84B95">
        <w:rPr>
          <w:lang w:val="en-GB"/>
        </w:rPr>
        <w:t>,</w:t>
      </w:r>
      <w:r w:rsidR="001134E8" w:rsidRPr="00F84B95">
        <w:rPr>
          <w:lang w:val="en-GB"/>
        </w:rPr>
        <w:t xml:space="preserve"> then</w:t>
      </w:r>
      <w:r w:rsidR="002A5D2F" w:rsidRPr="00F84B95">
        <w:rPr>
          <w:lang w:val="en-GB"/>
        </w:rPr>
        <w:t xml:space="preserve"> judge at the </w:t>
      </w:r>
      <w:r w:rsidR="00533B7A">
        <w:rPr>
          <w:lang w:val="en-GB"/>
        </w:rPr>
        <w:t>ECtHR</w:t>
      </w:r>
      <w:r w:rsidR="002A5D2F" w:rsidRPr="00F84B95">
        <w:rPr>
          <w:lang w:val="en-GB"/>
        </w:rPr>
        <w:t xml:space="preserve"> and former attorney-general at the Court of Cassation</w:t>
      </w:r>
      <w:r w:rsidR="001134E8" w:rsidRPr="00F84B95">
        <w:rPr>
          <w:lang w:val="en-GB"/>
        </w:rPr>
        <w:t>,</w:t>
      </w:r>
      <w:r w:rsidR="002A5D2F" w:rsidRPr="00F84B95">
        <w:rPr>
          <w:lang w:val="en-GB"/>
        </w:rPr>
        <w:t xml:space="preserve"> held that </w:t>
      </w:r>
      <w:r w:rsidR="00FA56CD" w:rsidRPr="00F84B95">
        <w:rPr>
          <w:rStyle w:val="sfbbfee58"/>
          <w:lang w:val="en-GB"/>
        </w:rPr>
        <w:t>“the Belgian judge has only very progressively adapted to the idea that absolute sovereignty</w:t>
      </w:r>
      <w:r w:rsidR="00803351" w:rsidRPr="00F84B95">
        <w:rPr>
          <w:rStyle w:val="sfbbfee58"/>
          <w:lang w:val="en-GB"/>
        </w:rPr>
        <w:t xml:space="preserve"> no longer holds true and that nationalism in the judicial sphere must necessarily be subject to</w:t>
      </w:r>
      <w:r w:rsidR="00652869">
        <w:rPr>
          <w:rStyle w:val="sfbbfee58"/>
          <w:lang w:val="en-GB"/>
        </w:rPr>
        <w:t xml:space="preserve"> limitations</w:t>
      </w:r>
      <w:r w:rsidR="00803351" w:rsidRPr="00F84B95">
        <w:rPr>
          <w:rStyle w:val="sfbbfee58"/>
          <w:lang w:val="en-GB"/>
        </w:rPr>
        <w:t>”</w:t>
      </w:r>
      <w:r w:rsidR="00803351">
        <w:rPr>
          <w:rStyle w:val="Voetnootmarkering"/>
          <w:lang w:val="en-GB"/>
        </w:rPr>
        <w:footnoteReference w:id="92"/>
      </w:r>
      <w:r w:rsidR="00652869">
        <w:rPr>
          <w:rStyle w:val="sfbbfee58"/>
          <w:lang w:val="en-GB"/>
        </w:rPr>
        <w:t>.</w:t>
      </w:r>
      <w:r w:rsidR="007F2DE2">
        <w:rPr>
          <w:rStyle w:val="sfbbfee58"/>
          <w:lang w:val="en-GB"/>
        </w:rPr>
        <w:t xml:space="preserve"> This judicial reticence towards the ECHR align</w:t>
      </w:r>
      <w:r w:rsidR="00DE2F44">
        <w:rPr>
          <w:rStyle w:val="sfbbfee58"/>
          <w:lang w:val="en-GB"/>
        </w:rPr>
        <w:t xml:space="preserve">s with </w:t>
      </w:r>
      <w:r w:rsidR="007F2DE2">
        <w:rPr>
          <w:rStyle w:val="sfbbfee58"/>
          <w:lang w:val="en-GB"/>
        </w:rPr>
        <w:t>Belgian l</w:t>
      </w:r>
      <w:r w:rsidR="00327968">
        <w:rPr>
          <w:rStyle w:val="sfbbfee58"/>
          <w:lang w:val="en-GB"/>
        </w:rPr>
        <w:t xml:space="preserve">egal culture at the time, </w:t>
      </w:r>
      <w:r w:rsidR="00DE2F44">
        <w:rPr>
          <w:rStyle w:val="sfbbfee58"/>
          <w:lang w:val="en-GB"/>
        </w:rPr>
        <w:t xml:space="preserve">which was </w:t>
      </w:r>
      <w:r w:rsidR="00327968">
        <w:rPr>
          <w:rStyle w:val="sfbbfee58"/>
          <w:lang w:val="en-GB"/>
        </w:rPr>
        <w:t>characterised by the</w:t>
      </w:r>
      <w:r w:rsidR="00DE2F44">
        <w:rPr>
          <w:rStyle w:val="sfbbfee58"/>
          <w:lang w:val="en-GB"/>
        </w:rPr>
        <w:t xml:space="preserve"> relative absence of</w:t>
      </w:r>
      <w:r w:rsidR="00327968">
        <w:rPr>
          <w:rStyle w:val="sfbbfee58"/>
          <w:lang w:val="en-GB"/>
        </w:rPr>
        <w:t xml:space="preserve"> interest among Belgian jurists in the ECHR and the Strasbourg case law, </w:t>
      </w:r>
      <w:r w:rsidR="00DE2F44">
        <w:rPr>
          <w:rStyle w:val="sfbbfee58"/>
          <w:lang w:val="en-GB"/>
        </w:rPr>
        <w:t xml:space="preserve">which </w:t>
      </w:r>
      <w:r w:rsidR="00327968">
        <w:rPr>
          <w:rStyle w:val="sfbbfee58"/>
          <w:lang w:val="en-GB"/>
        </w:rPr>
        <w:t>seemingly only</w:t>
      </w:r>
      <w:r w:rsidR="00DE2F44">
        <w:rPr>
          <w:rStyle w:val="sfbbfee58"/>
          <w:lang w:val="en-GB"/>
        </w:rPr>
        <w:t xml:space="preserve"> really</w:t>
      </w:r>
      <w:r w:rsidR="00327968">
        <w:rPr>
          <w:rStyle w:val="sfbbfee58"/>
          <w:lang w:val="en-GB"/>
        </w:rPr>
        <w:t xml:space="preserve"> </w:t>
      </w:r>
      <w:r w:rsidR="00DE2F44">
        <w:rPr>
          <w:rStyle w:val="sfbbfee58"/>
          <w:lang w:val="en-GB"/>
        </w:rPr>
        <w:t>began to change</w:t>
      </w:r>
      <w:r w:rsidR="00327968">
        <w:rPr>
          <w:rStyle w:val="sfbbfee58"/>
          <w:lang w:val="en-GB"/>
        </w:rPr>
        <w:t xml:space="preserve"> in the aftermath of the</w:t>
      </w:r>
      <w:r w:rsidR="0080079F">
        <w:rPr>
          <w:rStyle w:val="sfbbfee58"/>
          <w:lang w:val="en-GB"/>
        </w:rPr>
        <w:t xml:space="preserve"> 1979 </w:t>
      </w:r>
      <w:r w:rsidR="00327968">
        <w:rPr>
          <w:rStyle w:val="sfbbfee58"/>
          <w:i/>
          <w:lang w:val="en-GB"/>
        </w:rPr>
        <w:t xml:space="preserve">Marckx </w:t>
      </w:r>
      <w:r w:rsidR="00652869">
        <w:rPr>
          <w:rStyle w:val="sfbbfee58"/>
          <w:lang w:val="en-GB"/>
        </w:rPr>
        <w:t>judgment</w:t>
      </w:r>
      <w:r w:rsidR="00327968">
        <w:rPr>
          <w:rStyle w:val="Voetnootmarkering"/>
          <w:lang w:val="en-GB"/>
        </w:rPr>
        <w:footnoteReference w:id="93"/>
      </w:r>
      <w:r w:rsidR="001E4C68">
        <w:rPr>
          <w:rStyle w:val="sfbbfee58"/>
          <w:lang w:val="en-GB"/>
        </w:rPr>
        <w:t xml:space="preserve">. </w:t>
      </w:r>
    </w:p>
    <w:p w14:paraId="2AE37D61" w14:textId="77777777" w:rsidR="00925D46" w:rsidRDefault="001134E8" w:rsidP="001A19D0">
      <w:pPr>
        <w:ind w:firstLine="360"/>
        <w:jc w:val="both"/>
        <w:rPr>
          <w:rStyle w:val="sfbbfee58"/>
          <w:lang w:val="en-GB"/>
        </w:rPr>
      </w:pPr>
      <w:r w:rsidRPr="00623D07">
        <w:rPr>
          <w:rStyle w:val="sfbbfee58"/>
          <w:lang w:val="en-GB"/>
        </w:rPr>
        <w:t xml:space="preserve">According to </w:t>
      </w:r>
      <w:proofErr w:type="spellStart"/>
      <w:r w:rsidRPr="00623D07">
        <w:rPr>
          <w:rStyle w:val="sfbbfee58"/>
          <w:lang w:val="en-GB"/>
        </w:rPr>
        <w:t>Ergec</w:t>
      </w:r>
      <w:proofErr w:type="spellEnd"/>
      <w:r w:rsidRPr="00623D07">
        <w:rPr>
          <w:rStyle w:val="sfbbfee58"/>
          <w:lang w:val="en-GB"/>
        </w:rPr>
        <w:t xml:space="preserve">, it took until the 1971 </w:t>
      </w:r>
      <w:r w:rsidRPr="00623D07">
        <w:rPr>
          <w:rStyle w:val="sfbbfee58"/>
          <w:i/>
          <w:lang w:val="en-GB"/>
        </w:rPr>
        <w:t>Franco-Suisse Le Ski</w:t>
      </w:r>
      <w:r w:rsidR="0080079F" w:rsidRPr="00623D07">
        <w:rPr>
          <w:rStyle w:val="sfbbfee58"/>
          <w:lang w:val="en-GB"/>
        </w:rPr>
        <w:t xml:space="preserve"> judgment by</w:t>
      </w:r>
      <w:r w:rsidRPr="00623D07">
        <w:rPr>
          <w:rStyle w:val="sfbbfee58"/>
          <w:lang w:val="en-GB"/>
        </w:rPr>
        <w:t xml:space="preserve"> the Court of Cassation</w:t>
      </w:r>
      <w:r w:rsidR="00821E0F" w:rsidRPr="00623D07">
        <w:rPr>
          <w:rStyle w:val="sfbbfee58"/>
          <w:lang w:val="en-GB"/>
        </w:rPr>
        <w:t xml:space="preserve">, before the ECHR started to </w:t>
      </w:r>
      <w:r w:rsidR="00652869" w:rsidRPr="00623D07">
        <w:rPr>
          <w:rStyle w:val="sfbbfee58"/>
          <w:lang w:val="en-GB"/>
        </w:rPr>
        <w:t>progressively enter Belgian law</w:t>
      </w:r>
      <w:r w:rsidR="00821E0F" w:rsidRPr="00623D07">
        <w:rPr>
          <w:rStyle w:val="Voetnootmarkering"/>
          <w:lang w:val="en-GB"/>
        </w:rPr>
        <w:footnoteReference w:id="94"/>
      </w:r>
      <w:r w:rsidR="00652869" w:rsidRPr="00623D07">
        <w:rPr>
          <w:rStyle w:val="sfbbfee58"/>
          <w:lang w:val="en-GB"/>
        </w:rPr>
        <w:t>.</w:t>
      </w:r>
      <w:r w:rsidR="008D7BAB" w:rsidRPr="00623D07">
        <w:rPr>
          <w:rStyle w:val="sfbbfee58"/>
          <w:lang w:val="en-GB"/>
        </w:rPr>
        <w:t xml:space="preserve"> </w:t>
      </w:r>
      <w:r w:rsidR="00623D07" w:rsidRPr="00623D07">
        <w:rPr>
          <w:rStyle w:val="sfbbfee58"/>
          <w:lang w:val="en-GB"/>
        </w:rPr>
        <w:t>In this judgment, the Court endorsed the</w:t>
      </w:r>
      <w:r w:rsidR="009967B5" w:rsidRPr="00623D07">
        <w:rPr>
          <w:rStyle w:val="sfbbfee58"/>
          <w:lang w:val="en-GB"/>
        </w:rPr>
        <w:t xml:space="preserve"> theory of monism</w:t>
      </w:r>
      <w:r w:rsidR="00925D46">
        <w:rPr>
          <w:rStyle w:val="Voetnootmarkering"/>
          <w:lang w:val="en-GB"/>
        </w:rPr>
        <w:footnoteReference w:id="95"/>
      </w:r>
      <w:r w:rsidR="009967B5" w:rsidRPr="00623D07">
        <w:rPr>
          <w:rStyle w:val="sfbbfee58"/>
          <w:lang w:val="en-GB"/>
        </w:rPr>
        <w:t xml:space="preserve">, </w:t>
      </w:r>
      <w:r w:rsidR="00623D07" w:rsidRPr="00623D07">
        <w:rPr>
          <w:rStyle w:val="sfbbfee58"/>
          <w:lang w:val="en-GB"/>
        </w:rPr>
        <w:t>according to which treaties are incorporated into domestic law by the mere act of ratification by the legislator without further need for incorporating acts</w:t>
      </w:r>
      <w:r w:rsidR="00623D07" w:rsidRPr="00623D07">
        <w:rPr>
          <w:rStyle w:val="Voetnootmarkering"/>
          <w:lang w:val="en-GB"/>
        </w:rPr>
        <w:footnoteReference w:id="96"/>
      </w:r>
      <w:r w:rsidR="00623D07" w:rsidRPr="00623D07">
        <w:rPr>
          <w:rStyle w:val="sfbbfee58"/>
          <w:lang w:val="en-GB"/>
        </w:rPr>
        <w:t xml:space="preserve">. In the </w:t>
      </w:r>
      <w:r w:rsidR="00623D07" w:rsidRPr="00623D07">
        <w:rPr>
          <w:rStyle w:val="sfbbfee58"/>
          <w:i/>
          <w:lang w:val="en-GB"/>
        </w:rPr>
        <w:t xml:space="preserve">Franco-Suisse Le Ski </w:t>
      </w:r>
      <w:r w:rsidR="00623D07" w:rsidRPr="00623D07">
        <w:rPr>
          <w:rStyle w:val="sfbbfee58"/>
          <w:lang w:val="en-GB"/>
        </w:rPr>
        <w:t>judgment, the Court of Cassation also established the pre-eminence of international law with direct effect over domestic law</w:t>
      </w:r>
      <w:r w:rsidR="00623D07" w:rsidRPr="00623D07">
        <w:rPr>
          <w:rStyle w:val="Voetnootmarkering"/>
          <w:lang w:val="en-GB"/>
        </w:rPr>
        <w:footnoteReference w:id="97"/>
      </w:r>
      <w:r w:rsidR="00623D07" w:rsidRPr="00623D07">
        <w:rPr>
          <w:rStyle w:val="sfbbfee58"/>
          <w:lang w:val="en-GB"/>
        </w:rPr>
        <w:t xml:space="preserve">. </w:t>
      </w:r>
      <w:r w:rsidR="008D7BAB">
        <w:rPr>
          <w:rStyle w:val="sfbbfee58"/>
          <w:lang w:val="en-GB"/>
        </w:rPr>
        <w:t>Subsequent to this judgment</w:t>
      </w:r>
      <w:r w:rsidR="00F84B95" w:rsidRPr="00F84B95">
        <w:rPr>
          <w:rStyle w:val="sfbbfee58"/>
          <w:lang w:val="en-GB"/>
        </w:rPr>
        <w:t>, the Court of Cassation went on to progressively recognize the direc</w:t>
      </w:r>
      <w:r w:rsidR="00652869">
        <w:rPr>
          <w:rStyle w:val="sfbbfee58"/>
          <w:lang w:val="en-GB"/>
        </w:rPr>
        <w:t>t effect of the ECHR as a whole</w:t>
      </w:r>
      <w:r w:rsidR="00F84B95">
        <w:rPr>
          <w:rStyle w:val="Voetnootmarkering"/>
          <w:lang w:val="en-GB"/>
        </w:rPr>
        <w:footnoteReference w:id="98"/>
      </w:r>
      <w:r w:rsidR="00652869">
        <w:rPr>
          <w:rStyle w:val="sfbbfee58"/>
          <w:lang w:val="en-GB"/>
        </w:rPr>
        <w:t>.</w:t>
      </w:r>
      <w:r w:rsidR="00E10E25">
        <w:rPr>
          <w:rStyle w:val="sfbbfee58"/>
          <w:lang w:val="en-GB"/>
        </w:rPr>
        <w:t xml:space="preserve"> </w:t>
      </w:r>
      <w:r w:rsidR="00FF5A50">
        <w:rPr>
          <w:rStyle w:val="sfbbfee58"/>
          <w:lang w:val="en-GB"/>
        </w:rPr>
        <w:t xml:space="preserve">In 1983, the Court of Cassation also recognized the </w:t>
      </w:r>
      <w:r w:rsidR="00FF5A50">
        <w:rPr>
          <w:rStyle w:val="sfbbfee58"/>
          <w:i/>
          <w:lang w:val="en-GB"/>
        </w:rPr>
        <w:t xml:space="preserve">res judicata </w:t>
      </w:r>
      <w:r w:rsidR="00FF5A50">
        <w:rPr>
          <w:rStyle w:val="sfbbfee58"/>
          <w:lang w:val="en-GB"/>
        </w:rPr>
        <w:t xml:space="preserve">effect of judgments </w:t>
      </w:r>
      <w:r w:rsidR="00D53A25">
        <w:rPr>
          <w:rStyle w:val="sfbbfee58"/>
          <w:lang w:val="en-GB"/>
        </w:rPr>
        <w:t>by</w:t>
      </w:r>
      <w:r w:rsidR="00FF5A50">
        <w:rPr>
          <w:rStyle w:val="sfbbfee58"/>
          <w:lang w:val="en-GB"/>
        </w:rPr>
        <w:t xml:space="preserve"> the </w:t>
      </w:r>
      <w:r w:rsidR="00533B7A">
        <w:rPr>
          <w:rStyle w:val="sfbbfee58"/>
          <w:lang w:val="en-GB"/>
        </w:rPr>
        <w:t>ECtHR</w:t>
      </w:r>
      <w:r w:rsidR="00FF5A50">
        <w:rPr>
          <w:rStyle w:val="Voetnootmarkering"/>
          <w:lang w:val="en-GB"/>
        </w:rPr>
        <w:footnoteReference w:id="99"/>
      </w:r>
      <w:r w:rsidR="00652869">
        <w:rPr>
          <w:rStyle w:val="sfbbfee58"/>
          <w:lang w:val="en-GB"/>
        </w:rPr>
        <w:t>.</w:t>
      </w:r>
    </w:p>
    <w:p w14:paraId="07D5F9DC" w14:textId="24421CF9" w:rsidR="008D7BAB" w:rsidRDefault="00FF5A50" w:rsidP="00925D46">
      <w:pPr>
        <w:ind w:firstLine="360"/>
        <w:jc w:val="both"/>
        <w:rPr>
          <w:rStyle w:val="sfbbfee58"/>
          <w:lang w:val="en-GB"/>
        </w:rPr>
      </w:pPr>
      <w:r>
        <w:rPr>
          <w:rStyle w:val="sfbbfee58"/>
          <w:lang w:val="en-GB"/>
        </w:rPr>
        <w:lastRenderedPageBreak/>
        <w:t xml:space="preserve">However, the process of accepting the authority of the ECHR and </w:t>
      </w:r>
      <w:r w:rsidR="00533B7A">
        <w:rPr>
          <w:rStyle w:val="sfbbfee58"/>
          <w:lang w:val="en-GB"/>
        </w:rPr>
        <w:t>the ECtHR</w:t>
      </w:r>
      <w:r>
        <w:rPr>
          <w:rStyle w:val="sfbbfee58"/>
          <w:lang w:val="en-GB"/>
        </w:rPr>
        <w:t xml:space="preserve"> did not happen smoothly,</w:t>
      </w:r>
      <w:r w:rsidR="00E10E25">
        <w:rPr>
          <w:rStyle w:val="sfbbfee58"/>
          <w:lang w:val="en-GB"/>
        </w:rPr>
        <w:t xml:space="preserve"> as illustrated by the Court of Cassation’s reticence to implement the</w:t>
      </w:r>
      <w:r w:rsidR="00925D46">
        <w:rPr>
          <w:rStyle w:val="sfbbfee58"/>
          <w:lang w:val="en-GB"/>
        </w:rPr>
        <w:t xml:space="preserve"> 1979</w:t>
      </w:r>
      <w:r w:rsidR="00E10E25">
        <w:rPr>
          <w:rStyle w:val="sfbbfee58"/>
          <w:lang w:val="en-GB"/>
        </w:rPr>
        <w:t xml:space="preserve"> </w:t>
      </w:r>
      <w:r w:rsidR="00E10E25">
        <w:rPr>
          <w:rStyle w:val="sfbbfee58"/>
          <w:i/>
          <w:lang w:val="en-GB"/>
        </w:rPr>
        <w:t xml:space="preserve">Marckx </w:t>
      </w:r>
      <w:r w:rsidR="00A05BA0">
        <w:rPr>
          <w:rStyle w:val="sfbbfee58"/>
          <w:lang w:val="en-GB"/>
        </w:rPr>
        <w:t xml:space="preserve">judgment. </w:t>
      </w:r>
      <w:r w:rsidR="00925D46">
        <w:rPr>
          <w:rStyle w:val="sfbbfee58"/>
          <w:lang w:val="en-GB"/>
        </w:rPr>
        <w:t>In that case, which concerned the discrimination of “illegitimate” children vis-à-vis “legitimate” children in the field of affiliation and inheritance rights, the ECtHR had found a number of violations of Article 8 ECHR (the right to respect for family life) separately and in conjunction with Article 14 ECHR (the prohibition of discrimination). Most notably, the ECtHR considered it incompatible with Article 8 ECHR that the legal bond between an unmarried mother and her child was not established from the mere fact of birth</w:t>
      </w:r>
      <w:r w:rsidR="00925D46">
        <w:rPr>
          <w:rStyle w:val="Voetnootmarkering"/>
          <w:lang w:val="en-GB"/>
        </w:rPr>
        <w:footnoteReference w:id="100"/>
      </w:r>
      <w:r w:rsidR="00925D46">
        <w:rPr>
          <w:rStyle w:val="sfbbfee58"/>
          <w:lang w:val="en-GB"/>
        </w:rPr>
        <w:t xml:space="preserve"> – under Belgian law, a formal act of recognition was required to establish maternal affiliation. Initially, the Court of Cassation, however, refused to implement the </w:t>
      </w:r>
      <w:r w:rsidR="00925D46">
        <w:rPr>
          <w:rStyle w:val="sfbbfee58"/>
          <w:i/>
          <w:lang w:val="en-GB"/>
        </w:rPr>
        <w:t xml:space="preserve">Marckx </w:t>
      </w:r>
      <w:r w:rsidR="00925D46">
        <w:rPr>
          <w:rStyle w:val="sfbbfee58"/>
          <w:lang w:val="en-GB"/>
        </w:rPr>
        <w:t>judgment, considering</w:t>
      </w:r>
      <w:r w:rsidR="00414E16">
        <w:rPr>
          <w:rStyle w:val="sfbbfee58"/>
          <w:lang w:val="en-GB"/>
        </w:rPr>
        <w:t xml:space="preserve"> Article 8 ECHR to be </w:t>
      </w:r>
      <w:r w:rsidR="004A141A">
        <w:rPr>
          <w:rStyle w:val="sfbbfee58"/>
          <w:lang w:val="en-GB"/>
        </w:rPr>
        <w:t xml:space="preserve">insufficiently precise and comprehensive for the </w:t>
      </w:r>
      <w:r w:rsidR="00925D46">
        <w:rPr>
          <w:rStyle w:val="sfbbfee58"/>
          <w:lang w:val="en-GB"/>
        </w:rPr>
        <w:t>“</w:t>
      </w:r>
      <w:r w:rsidR="004A141A">
        <w:rPr>
          <w:rStyle w:val="sfbbfee58"/>
          <w:lang w:val="en-GB"/>
        </w:rPr>
        <w:t>obligation to act in such a way as to allow a mother and her child born out of wedlock to lead a normal family life</w:t>
      </w:r>
      <w:r w:rsidR="00925D46">
        <w:rPr>
          <w:rStyle w:val="sfbbfee58"/>
          <w:lang w:val="en-GB"/>
        </w:rPr>
        <w:t>”</w:t>
      </w:r>
      <w:r w:rsidR="004A141A">
        <w:rPr>
          <w:rStyle w:val="sfbbfee58"/>
          <w:lang w:val="en-GB"/>
        </w:rPr>
        <w:t xml:space="preserve"> to have direct effect, rather considering it the </w:t>
      </w:r>
      <w:r w:rsidR="008D7BAB">
        <w:rPr>
          <w:rStyle w:val="sfbbfee58"/>
          <w:lang w:val="en-GB"/>
        </w:rPr>
        <w:t>legislator’s responsibility to act</w:t>
      </w:r>
      <w:r w:rsidR="004A141A">
        <w:rPr>
          <w:rStyle w:val="Voetnootmarkering"/>
          <w:lang w:val="en-GB"/>
        </w:rPr>
        <w:footnoteReference w:id="101"/>
      </w:r>
      <w:r w:rsidR="008D7BAB">
        <w:rPr>
          <w:rStyle w:val="sfbbfee58"/>
          <w:lang w:val="en-GB"/>
        </w:rPr>
        <w:t xml:space="preserve"> – an attit</w:t>
      </w:r>
      <w:r w:rsidR="00D53A25">
        <w:rPr>
          <w:rStyle w:val="sfbbfee58"/>
          <w:lang w:val="en-GB"/>
        </w:rPr>
        <w:t xml:space="preserve">ude strongly criticised by the </w:t>
      </w:r>
      <w:r w:rsidR="00533B7A">
        <w:rPr>
          <w:rStyle w:val="sfbbfee58"/>
          <w:lang w:val="en-GB"/>
        </w:rPr>
        <w:t>ECtHR</w:t>
      </w:r>
      <w:r w:rsidR="008D7BAB">
        <w:rPr>
          <w:rStyle w:val="sfbbfee58"/>
          <w:lang w:val="en-GB"/>
        </w:rPr>
        <w:t xml:space="preserve"> in the </w:t>
      </w:r>
      <w:r w:rsidR="001525EE">
        <w:rPr>
          <w:rStyle w:val="sfbbfee58"/>
          <w:lang w:val="en-GB"/>
        </w:rPr>
        <w:t xml:space="preserve">1991 </w:t>
      </w:r>
      <w:proofErr w:type="spellStart"/>
      <w:r w:rsidR="008D7BAB">
        <w:rPr>
          <w:rStyle w:val="sfbbfee58"/>
          <w:i/>
          <w:lang w:val="en-GB"/>
        </w:rPr>
        <w:t>Vermeire</w:t>
      </w:r>
      <w:proofErr w:type="spellEnd"/>
      <w:r w:rsidR="008D7BAB">
        <w:rPr>
          <w:rStyle w:val="sfbbfee58"/>
          <w:i/>
          <w:lang w:val="en-GB"/>
        </w:rPr>
        <w:t xml:space="preserve"> </w:t>
      </w:r>
      <w:r w:rsidR="008D7BAB">
        <w:rPr>
          <w:rStyle w:val="sfbbfee58"/>
          <w:lang w:val="en-GB"/>
        </w:rPr>
        <w:t>judgment, holding that</w:t>
      </w:r>
    </w:p>
    <w:p w14:paraId="36DF32FB" w14:textId="171492D3" w:rsidR="008D7BAB" w:rsidRPr="008D7BAB" w:rsidRDefault="00453911" w:rsidP="008D7BAB">
      <w:pPr>
        <w:ind w:left="360"/>
        <w:jc w:val="both"/>
        <w:rPr>
          <w:rStyle w:val="sfbbfee58"/>
          <w:lang w:val="en-GB"/>
        </w:rPr>
      </w:pPr>
      <w:r>
        <w:rPr>
          <w:rStyle w:val="sfbbfee58"/>
          <w:lang w:val="en-GB"/>
        </w:rPr>
        <w:t>[</w:t>
      </w:r>
      <w:proofErr w:type="spellStart"/>
      <w:r>
        <w:rPr>
          <w:rStyle w:val="sfbbfee58"/>
          <w:lang w:val="en-GB"/>
        </w:rPr>
        <w:t>i</w:t>
      </w:r>
      <w:proofErr w:type="spellEnd"/>
      <w:r>
        <w:rPr>
          <w:rStyle w:val="sfbbfee58"/>
          <w:lang w:val="en-GB"/>
        </w:rPr>
        <w:t>]</w:t>
      </w:r>
      <w:r w:rsidR="008D7BAB" w:rsidRPr="008D7BAB">
        <w:rPr>
          <w:rStyle w:val="sb8d990e2"/>
          <w:lang w:val="en-GB"/>
        </w:rPr>
        <w:t xml:space="preserve">t cannot be seen what could have prevented the Brussels Court of Appeal and the Court of Cassation from complying with the findings of the Marckx judgment, as the Court of First Instance had done. There was nothing imprecise or incomplete about the rule which prohibited discrimination against Astrid </w:t>
      </w:r>
      <w:proofErr w:type="spellStart"/>
      <w:r w:rsidR="008D7BAB" w:rsidRPr="008D7BAB">
        <w:rPr>
          <w:rStyle w:val="wordhighlighted"/>
          <w:lang w:val="en-GB"/>
        </w:rPr>
        <w:t>Vermeire</w:t>
      </w:r>
      <w:proofErr w:type="spellEnd"/>
      <w:r w:rsidR="008D7BAB" w:rsidRPr="008D7BAB">
        <w:rPr>
          <w:rStyle w:val="sb8d990e2"/>
          <w:lang w:val="en-GB"/>
        </w:rPr>
        <w:t xml:space="preserve"> compared with her cousins Francine and Michel, on the grounds of the </w:t>
      </w:r>
      <w:r w:rsidR="008D7BAB">
        <w:rPr>
          <w:rStyle w:val="sb8d990e2"/>
          <w:lang w:val="en-GB"/>
        </w:rPr>
        <w:t>‘illegitimate’</w:t>
      </w:r>
      <w:r w:rsidR="008D7BAB" w:rsidRPr="008D7BAB">
        <w:rPr>
          <w:rStyle w:val="sb8d990e2"/>
          <w:lang w:val="en-GB"/>
        </w:rPr>
        <w:t xml:space="preserve"> nature of the kinsh</w:t>
      </w:r>
      <w:r w:rsidR="00652869">
        <w:rPr>
          <w:rStyle w:val="sb8d990e2"/>
          <w:lang w:val="en-GB"/>
        </w:rPr>
        <w:t>ip between her and the deceased</w:t>
      </w:r>
      <w:r w:rsidR="008D7BAB">
        <w:rPr>
          <w:rStyle w:val="Voetnootmarkering"/>
          <w:lang w:val="en-GB"/>
        </w:rPr>
        <w:footnoteReference w:id="102"/>
      </w:r>
      <w:r w:rsidR="00652869">
        <w:rPr>
          <w:rStyle w:val="sb8d990e2"/>
          <w:lang w:val="en-GB"/>
        </w:rPr>
        <w:t>.</w:t>
      </w:r>
    </w:p>
    <w:p w14:paraId="2BB39AA8" w14:textId="46345842" w:rsidR="00C957A0" w:rsidRPr="001525EE" w:rsidRDefault="001525EE" w:rsidP="006B254A">
      <w:pPr>
        <w:rPr>
          <w:rStyle w:val="sfbbfee58"/>
          <w:lang w:val="en-GB"/>
        </w:rPr>
      </w:pPr>
      <w:r>
        <w:rPr>
          <w:rStyle w:val="sfbbfee58"/>
          <w:lang w:val="en-GB"/>
        </w:rPr>
        <w:t xml:space="preserve">In 1992, the Court of Cassation </w:t>
      </w:r>
      <w:proofErr w:type="gramStart"/>
      <w:r>
        <w:rPr>
          <w:rStyle w:val="sfbbfee58"/>
          <w:lang w:val="en-GB"/>
        </w:rPr>
        <w:t>conformed</w:t>
      </w:r>
      <w:proofErr w:type="gramEnd"/>
      <w:r>
        <w:rPr>
          <w:rStyle w:val="sfbbfee58"/>
          <w:lang w:val="en-GB"/>
        </w:rPr>
        <w:t xml:space="preserve"> its case law </w:t>
      </w:r>
      <w:r w:rsidR="00DA06B1">
        <w:rPr>
          <w:rStyle w:val="sfbbfee58"/>
          <w:lang w:val="en-GB"/>
        </w:rPr>
        <w:t>to</w:t>
      </w:r>
      <w:r>
        <w:rPr>
          <w:rStyle w:val="sfbbfee58"/>
          <w:lang w:val="en-GB"/>
        </w:rPr>
        <w:t xml:space="preserve"> the position of the </w:t>
      </w:r>
      <w:r w:rsidR="00533B7A">
        <w:rPr>
          <w:rStyle w:val="sfbbfee58"/>
          <w:lang w:val="en-GB"/>
        </w:rPr>
        <w:t>ECtHR</w:t>
      </w:r>
      <w:r>
        <w:rPr>
          <w:rStyle w:val="Voetnootmarkering"/>
          <w:lang w:val="en-GB"/>
        </w:rPr>
        <w:footnoteReference w:id="103"/>
      </w:r>
      <w:r w:rsidR="00652869">
        <w:rPr>
          <w:rStyle w:val="sfbbfee58"/>
          <w:lang w:val="en-GB"/>
        </w:rPr>
        <w:t>.</w:t>
      </w:r>
      <w:r>
        <w:rPr>
          <w:rStyle w:val="sfbbfee58"/>
          <w:lang w:val="en-GB"/>
        </w:rPr>
        <w:t xml:space="preserve"> </w:t>
      </w:r>
    </w:p>
    <w:p w14:paraId="2440DFD9" w14:textId="6CF615C5" w:rsidR="001525EE" w:rsidRDefault="00DA06B1" w:rsidP="001A19D0">
      <w:pPr>
        <w:ind w:firstLine="708"/>
        <w:jc w:val="both"/>
        <w:rPr>
          <w:rStyle w:val="sfbbfee58"/>
          <w:lang w:val="en-GB"/>
        </w:rPr>
      </w:pPr>
      <w:r>
        <w:rPr>
          <w:lang w:val="en-GB"/>
        </w:rPr>
        <w:t>Another important evolution in the Belgian legal landscape concerned the question of constitutionality review. Tradition</w:t>
      </w:r>
      <w:r w:rsidR="0098060C">
        <w:rPr>
          <w:lang w:val="en-GB"/>
        </w:rPr>
        <w:t xml:space="preserve">ally, parliamentary sovereignty prevailed in Belgium. </w:t>
      </w:r>
      <w:r w:rsidR="006D329C">
        <w:rPr>
          <w:lang w:val="en-GB"/>
        </w:rPr>
        <w:t>However, s</w:t>
      </w:r>
      <w:r w:rsidR="0098060C">
        <w:rPr>
          <w:lang w:val="en-GB"/>
        </w:rPr>
        <w:t xml:space="preserve">ince the above-mentioned </w:t>
      </w:r>
      <w:r w:rsidR="0098060C" w:rsidRPr="00F84B95">
        <w:rPr>
          <w:rStyle w:val="sfbbfee58"/>
          <w:i/>
          <w:lang w:val="en-GB"/>
        </w:rPr>
        <w:t>Franco-Suisse Le Ski</w:t>
      </w:r>
      <w:r w:rsidR="0098060C" w:rsidRPr="00F84B95">
        <w:rPr>
          <w:rStyle w:val="sfbbfee58"/>
          <w:lang w:val="en-GB"/>
        </w:rPr>
        <w:t xml:space="preserve"> judgment</w:t>
      </w:r>
      <w:r w:rsidR="0098060C">
        <w:rPr>
          <w:rStyle w:val="sfbbfee58"/>
          <w:lang w:val="en-GB"/>
        </w:rPr>
        <w:t xml:space="preserve">, </w:t>
      </w:r>
      <w:r w:rsidR="000031AA">
        <w:rPr>
          <w:rStyle w:val="sfbbfee58"/>
          <w:lang w:val="en-GB"/>
        </w:rPr>
        <w:t xml:space="preserve">Belgian </w:t>
      </w:r>
      <w:r w:rsidR="0098060C">
        <w:rPr>
          <w:rStyle w:val="sfbbfee58"/>
          <w:lang w:val="en-GB"/>
        </w:rPr>
        <w:t xml:space="preserve">courts </w:t>
      </w:r>
      <w:r w:rsidR="000031AA">
        <w:rPr>
          <w:rStyle w:val="sfbbfee58"/>
          <w:lang w:val="en-GB"/>
        </w:rPr>
        <w:t xml:space="preserve">were obliged to refuse the application of any legal provision, including legislative acts, violating directly </w:t>
      </w:r>
      <w:r w:rsidR="00652869">
        <w:rPr>
          <w:rStyle w:val="sfbbfee58"/>
          <w:lang w:val="en-GB"/>
        </w:rPr>
        <w:t>applicable international law</w:t>
      </w:r>
      <w:r w:rsidR="000031AA">
        <w:rPr>
          <w:rStyle w:val="Voetnootmarkering"/>
          <w:lang w:val="en-GB"/>
        </w:rPr>
        <w:footnoteReference w:id="104"/>
      </w:r>
      <w:r w:rsidR="00652869">
        <w:rPr>
          <w:rStyle w:val="sfbbfee58"/>
          <w:lang w:val="en-GB"/>
        </w:rPr>
        <w:t>.</w:t>
      </w:r>
      <w:r w:rsidR="000031AA">
        <w:rPr>
          <w:rStyle w:val="sfbbfee58"/>
          <w:lang w:val="en-GB"/>
        </w:rPr>
        <w:t xml:space="preserve"> </w:t>
      </w:r>
      <w:r w:rsidR="00A05BA0">
        <w:rPr>
          <w:rStyle w:val="sfbbfee58"/>
          <w:lang w:val="en-GB"/>
        </w:rPr>
        <w:t>Genuine c</w:t>
      </w:r>
      <w:r w:rsidR="000031AA">
        <w:rPr>
          <w:rStyle w:val="sfbbfee58"/>
          <w:lang w:val="en-GB"/>
        </w:rPr>
        <w:t xml:space="preserve">onstitutionality review of legislation only became possible when the </w:t>
      </w:r>
      <w:r w:rsidR="0080079F">
        <w:rPr>
          <w:rStyle w:val="sfbbfee58"/>
          <w:lang w:val="en-GB"/>
        </w:rPr>
        <w:t>Court of Arbitration (since 2007,</w:t>
      </w:r>
      <w:r w:rsidR="000031AA">
        <w:rPr>
          <w:rStyle w:val="sfbbfee58"/>
          <w:lang w:val="en-GB"/>
        </w:rPr>
        <w:t xml:space="preserve"> the Constitutional Court) was installed</w:t>
      </w:r>
      <w:r w:rsidR="00C3435B">
        <w:rPr>
          <w:rStyle w:val="sfbbfee58"/>
          <w:lang w:val="en-GB"/>
        </w:rPr>
        <w:t xml:space="preserve"> in 1984</w:t>
      </w:r>
      <w:r w:rsidR="000031AA">
        <w:rPr>
          <w:rStyle w:val="sfbbfee58"/>
          <w:lang w:val="en-GB"/>
        </w:rPr>
        <w:t>.</w:t>
      </w:r>
      <w:r w:rsidR="006D329C">
        <w:rPr>
          <w:rStyle w:val="sfbbfee58"/>
          <w:lang w:val="en-GB"/>
        </w:rPr>
        <w:t xml:space="preserve"> Initially, the Court was only competent to review whether legislation complied with the rules dividing the competences between the federal legislator and the legislators of the communities and the regions, which were established by the constitutional reform process resulting in the transformation of Belgium into a fede</w:t>
      </w:r>
      <w:r w:rsidR="00652869">
        <w:rPr>
          <w:rStyle w:val="sfbbfee58"/>
          <w:lang w:val="en-GB"/>
        </w:rPr>
        <w:t>ral State</w:t>
      </w:r>
      <w:r w:rsidR="006D329C">
        <w:rPr>
          <w:rStyle w:val="Voetnootmarkering"/>
          <w:lang w:val="en-GB"/>
        </w:rPr>
        <w:footnoteReference w:id="105"/>
      </w:r>
      <w:r w:rsidR="00652869">
        <w:rPr>
          <w:rStyle w:val="sfbbfee58"/>
          <w:lang w:val="en-GB"/>
        </w:rPr>
        <w:t>.</w:t>
      </w:r>
      <w:r w:rsidR="006D329C">
        <w:rPr>
          <w:rStyle w:val="sfbbfee58"/>
          <w:lang w:val="en-GB"/>
        </w:rPr>
        <w:t xml:space="preserve"> In 1989, however, the jurisdiction of the Court was </w:t>
      </w:r>
      <w:r w:rsidR="006014A6">
        <w:rPr>
          <w:rStyle w:val="sfbbfee58"/>
          <w:lang w:val="en-GB"/>
        </w:rPr>
        <w:t xml:space="preserve">extended to guaranteeing respect over a number of Constitutional rights, most importantly the principle of equality and non-discrimination enshrined in Articles 6 and </w:t>
      </w:r>
      <w:proofErr w:type="spellStart"/>
      <w:r w:rsidR="006014A6">
        <w:rPr>
          <w:rStyle w:val="sfbbfee58"/>
          <w:lang w:val="en-GB"/>
        </w:rPr>
        <w:t>6bis</w:t>
      </w:r>
      <w:proofErr w:type="spellEnd"/>
      <w:r w:rsidR="006014A6">
        <w:rPr>
          <w:rStyle w:val="sfbbfee58"/>
          <w:lang w:val="en-GB"/>
        </w:rPr>
        <w:t xml:space="preserve"> of the </w:t>
      </w:r>
      <w:r w:rsidR="00576047">
        <w:rPr>
          <w:rStyle w:val="sfbbfee58"/>
          <w:lang w:val="en-GB"/>
        </w:rPr>
        <w:t>Constitution</w:t>
      </w:r>
      <w:r w:rsidR="006014A6">
        <w:rPr>
          <w:rStyle w:val="sfbbfee58"/>
          <w:lang w:val="en-GB"/>
        </w:rPr>
        <w:t xml:space="preserve"> (now Articles 10 and 11). </w:t>
      </w:r>
      <w:r w:rsidR="008B419F">
        <w:rPr>
          <w:rStyle w:val="sfbbfee58"/>
          <w:lang w:val="en-GB"/>
        </w:rPr>
        <w:t xml:space="preserve">By considering these provisions to prohibit discrimination in the enjoyment of any rights and freedoms, the Court extended its jurisdiction to the determination of whether legislative acts complied with </w:t>
      </w:r>
      <w:r w:rsidR="00576047">
        <w:rPr>
          <w:rStyle w:val="sfbbfee58"/>
          <w:lang w:val="en-GB"/>
        </w:rPr>
        <w:t xml:space="preserve">Articles 6 and </w:t>
      </w:r>
      <w:proofErr w:type="spellStart"/>
      <w:r w:rsidR="00576047">
        <w:rPr>
          <w:rStyle w:val="sfbbfee58"/>
          <w:lang w:val="en-GB"/>
        </w:rPr>
        <w:t>6bis</w:t>
      </w:r>
      <w:proofErr w:type="spellEnd"/>
      <w:r w:rsidR="00576047">
        <w:rPr>
          <w:rStyle w:val="sfbbfee58"/>
          <w:lang w:val="en-GB"/>
        </w:rPr>
        <w:t xml:space="preserve"> of the Constitution “in combination” with such r</w:t>
      </w:r>
      <w:r w:rsidR="00A05BA0">
        <w:rPr>
          <w:rStyle w:val="sfbbfee58"/>
          <w:lang w:val="en-GB"/>
        </w:rPr>
        <w:t xml:space="preserve">ights and freedoms – </w:t>
      </w:r>
      <w:r w:rsidR="00576047">
        <w:rPr>
          <w:rStyle w:val="sfbbfee58"/>
          <w:lang w:val="en-GB"/>
        </w:rPr>
        <w:t xml:space="preserve">including those </w:t>
      </w:r>
      <w:r w:rsidR="00576047">
        <w:rPr>
          <w:rStyle w:val="sfbbfee58"/>
          <w:lang w:val="en-GB"/>
        </w:rPr>
        <w:lastRenderedPageBreak/>
        <w:t>guaranteed by other constitutional provisions or by international t</w:t>
      </w:r>
      <w:r w:rsidR="00652869">
        <w:rPr>
          <w:rStyle w:val="sfbbfee58"/>
          <w:lang w:val="en-GB"/>
        </w:rPr>
        <w:t>reaties, in particular the ECHR</w:t>
      </w:r>
      <w:r w:rsidR="00576047">
        <w:rPr>
          <w:rStyle w:val="Voetnootmarkering"/>
          <w:lang w:val="en-GB"/>
        </w:rPr>
        <w:footnoteReference w:id="106"/>
      </w:r>
      <w:r w:rsidR="00652869">
        <w:rPr>
          <w:rStyle w:val="sfbbfee58"/>
          <w:lang w:val="en-GB"/>
        </w:rPr>
        <w:t>.</w:t>
      </w:r>
      <w:r w:rsidR="00576047">
        <w:rPr>
          <w:rStyle w:val="sfbbfee58"/>
          <w:lang w:val="en-GB"/>
        </w:rPr>
        <w:t xml:space="preserve"> In 2003, the Court’s jurisdiction was again extended to all rights laid down in Title II (“The Belgians and their rights”, Articles 8-32), and in Articles 170, </w:t>
      </w:r>
      <w:r w:rsidR="00652869">
        <w:rPr>
          <w:rStyle w:val="sfbbfee58"/>
          <w:lang w:val="en-GB"/>
        </w:rPr>
        <w:t>172 and 191 of the Constitution</w:t>
      </w:r>
      <w:r w:rsidR="00576047">
        <w:rPr>
          <w:rStyle w:val="Voetnootmarkering"/>
          <w:lang w:val="en-GB"/>
        </w:rPr>
        <w:footnoteReference w:id="107"/>
      </w:r>
      <w:r w:rsidR="00652869">
        <w:rPr>
          <w:rStyle w:val="sfbbfee58"/>
          <w:lang w:val="en-GB"/>
        </w:rPr>
        <w:t>.</w:t>
      </w:r>
      <w:r w:rsidR="00D321A7">
        <w:rPr>
          <w:rStyle w:val="sfbbfee58"/>
          <w:lang w:val="en-GB"/>
        </w:rPr>
        <w:t xml:space="preserve"> When interpreting these rights, the Court considers that it must “take into account” treaty provisions guaranteeing an analogous right, considering that analogous constitutional and treaty rig</w:t>
      </w:r>
      <w:r w:rsidR="00652869">
        <w:rPr>
          <w:rStyle w:val="sfbbfee58"/>
          <w:lang w:val="en-GB"/>
        </w:rPr>
        <w:t>hts form an “inseparable whole”</w:t>
      </w:r>
      <w:r w:rsidR="00D321A7">
        <w:rPr>
          <w:rStyle w:val="Voetnootmarkering"/>
          <w:lang w:val="en-GB"/>
        </w:rPr>
        <w:footnoteReference w:id="108"/>
      </w:r>
      <w:r w:rsidR="00652869">
        <w:rPr>
          <w:rStyle w:val="sfbbfee58"/>
          <w:lang w:val="en-GB"/>
        </w:rPr>
        <w:t>.</w:t>
      </w:r>
      <w:r w:rsidR="000048E7">
        <w:rPr>
          <w:rStyle w:val="sfbbfee58"/>
          <w:lang w:val="en-GB"/>
        </w:rPr>
        <w:t xml:space="preserve"> On this basis, the Court annuls or declares unconstitutional – thereby setting aside</w:t>
      </w:r>
      <w:r w:rsidR="00D53A25">
        <w:rPr>
          <w:rStyle w:val="sfbbfee58"/>
          <w:lang w:val="en-GB"/>
        </w:rPr>
        <w:t xml:space="preserve"> – </w:t>
      </w:r>
      <w:r w:rsidR="000048E7">
        <w:rPr>
          <w:rStyle w:val="sfbbfee58"/>
          <w:lang w:val="en-GB"/>
        </w:rPr>
        <w:t xml:space="preserve">legislative acts that violate </w:t>
      </w:r>
      <w:r w:rsidR="00D53A25">
        <w:rPr>
          <w:rStyle w:val="sfbbfee58"/>
          <w:lang w:val="en-GB"/>
        </w:rPr>
        <w:t xml:space="preserve">the ECHR as interpreted by the </w:t>
      </w:r>
      <w:r w:rsidR="00533B7A">
        <w:rPr>
          <w:rStyle w:val="sfbbfee58"/>
          <w:lang w:val="en-GB"/>
        </w:rPr>
        <w:t>ECtHR</w:t>
      </w:r>
      <w:r w:rsidR="000048E7">
        <w:rPr>
          <w:rStyle w:val="Voetnootmarkering"/>
          <w:lang w:val="en-GB"/>
        </w:rPr>
        <w:footnoteReference w:id="109"/>
      </w:r>
      <w:r w:rsidR="00652869">
        <w:rPr>
          <w:rStyle w:val="sfbbfee58"/>
          <w:lang w:val="en-GB"/>
        </w:rPr>
        <w:t>.</w:t>
      </w:r>
      <w:r w:rsidR="00D53A25">
        <w:rPr>
          <w:rStyle w:val="sfbbfee58"/>
          <w:lang w:val="en-GB"/>
        </w:rPr>
        <w:t xml:space="preserve"> While the Constitutional Court has thereby become an important actor in the judicial enforcement of the ECHR in Belgium – faithfully following Strasbourg precedents to the extent that it has been described as a “satellite” of the </w:t>
      </w:r>
      <w:r w:rsidR="00533B7A">
        <w:rPr>
          <w:rStyle w:val="sfbbfee58"/>
          <w:lang w:val="en-GB"/>
        </w:rPr>
        <w:t>ECtHR</w:t>
      </w:r>
      <w:r w:rsidR="00D53A25">
        <w:rPr>
          <w:rStyle w:val="Voetnootmarkering"/>
          <w:lang w:val="en-GB"/>
        </w:rPr>
        <w:footnoteReference w:id="110"/>
      </w:r>
      <w:r w:rsidR="00D53A25">
        <w:rPr>
          <w:rStyle w:val="sfbbfee58"/>
          <w:lang w:val="en-GB"/>
        </w:rPr>
        <w:t xml:space="preserve"> – it must be noted that this evolution </w:t>
      </w:r>
      <w:proofErr w:type="spellStart"/>
      <w:r w:rsidR="00D53A25">
        <w:rPr>
          <w:rStyle w:val="sfbbfee58"/>
          <w:lang w:val="en-GB"/>
        </w:rPr>
        <w:t>postdated</w:t>
      </w:r>
      <w:proofErr w:type="spellEnd"/>
      <w:r w:rsidR="00D53A25">
        <w:rPr>
          <w:rStyle w:val="sfbbfee58"/>
          <w:lang w:val="en-GB"/>
        </w:rPr>
        <w:t xml:space="preserve"> the temporal scope of the present study.</w:t>
      </w:r>
    </w:p>
    <w:p w14:paraId="67D83FE0" w14:textId="77777777" w:rsidR="00D53A25" w:rsidRPr="00F35490" w:rsidRDefault="00D53A25" w:rsidP="00DA06B1">
      <w:pPr>
        <w:jc w:val="both"/>
        <w:rPr>
          <w:b/>
          <w:lang w:val="en-GB"/>
        </w:rPr>
      </w:pPr>
    </w:p>
    <w:p w14:paraId="6E176F7B" w14:textId="77777777" w:rsidR="00FF5A50" w:rsidRDefault="00F35490" w:rsidP="00F35490">
      <w:pPr>
        <w:pStyle w:val="Lijstalinea"/>
        <w:numPr>
          <w:ilvl w:val="0"/>
          <w:numId w:val="6"/>
        </w:numPr>
        <w:ind w:left="0" w:firstLine="0"/>
        <w:jc w:val="both"/>
        <w:rPr>
          <w:b/>
          <w:lang w:val="en-GB"/>
        </w:rPr>
      </w:pPr>
      <w:r>
        <w:rPr>
          <w:b/>
          <w:lang w:val="en-GB"/>
        </w:rPr>
        <w:t>The Belgian cases before the ECtHR (1960-1989)</w:t>
      </w:r>
    </w:p>
    <w:p w14:paraId="141CAC3C" w14:textId="6F64F532" w:rsidR="00F35490" w:rsidRPr="00F35490" w:rsidRDefault="00F35490" w:rsidP="001A19D0">
      <w:pPr>
        <w:ind w:firstLine="708"/>
        <w:jc w:val="both"/>
        <w:rPr>
          <w:lang w:val="en-GB"/>
        </w:rPr>
      </w:pPr>
      <w:r>
        <w:rPr>
          <w:lang w:val="en-GB"/>
        </w:rPr>
        <w:t xml:space="preserve">In this section, I will set out the findings </w:t>
      </w:r>
      <w:r w:rsidR="00B20403">
        <w:rPr>
          <w:lang w:val="en-GB"/>
        </w:rPr>
        <w:t>concerning the early Belgian cases before the ECtHR. First, I will describe which kind</w:t>
      </w:r>
      <w:r w:rsidR="00615946">
        <w:rPr>
          <w:lang w:val="en-GB"/>
        </w:rPr>
        <w:t>s</w:t>
      </w:r>
      <w:r w:rsidR="00B20403">
        <w:rPr>
          <w:lang w:val="en-GB"/>
        </w:rPr>
        <w:t xml:space="preserve"> of actors </w:t>
      </w:r>
      <w:r w:rsidR="004A0A88">
        <w:rPr>
          <w:lang w:val="en-GB"/>
        </w:rPr>
        <w:t xml:space="preserve">were </w:t>
      </w:r>
      <w:r w:rsidR="00B20403">
        <w:rPr>
          <w:lang w:val="en-GB"/>
        </w:rPr>
        <w:t>involved in Strasbourg litigation</w:t>
      </w:r>
      <w:r w:rsidR="004228A8">
        <w:rPr>
          <w:lang w:val="en-GB"/>
        </w:rPr>
        <w:t xml:space="preserve"> (4.1.)</w:t>
      </w:r>
      <w:r w:rsidR="00B20403">
        <w:rPr>
          <w:lang w:val="en-GB"/>
        </w:rPr>
        <w:t>. Thereafter I will set out their motivation and aspirations in going to Strasbourg</w:t>
      </w:r>
      <w:r w:rsidR="004228A8">
        <w:rPr>
          <w:lang w:val="en-GB"/>
        </w:rPr>
        <w:t xml:space="preserve"> (4.2.)</w:t>
      </w:r>
      <w:r w:rsidR="00B20403">
        <w:rPr>
          <w:lang w:val="en-GB"/>
        </w:rPr>
        <w:t xml:space="preserve">. Finally, I will dwell upon the factors </w:t>
      </w:r>
      <w:r w:rsidR="004A0A88">
        <w:rPr>
          <w:lang w:val="en-GB"/>
        </w:rPr>
        <w:t xml:space="preserve">that </w:t>
      </w:r>
      <w:r w:rsidR="00B20403">
        <w:rPr>
          <w:lang w:val="en-GB"/>
        </w:rPr>
        <w:t>may explain why</w:t>
      </w:r>
      <w:r w:rsidR="004228A8">
        <w:rPr>
          <w:lang w:val="en-GB"/>
        </w:rPr>
        <w:t xml:space="preserve"> certain cases ended up before the ECtHR (4.3.).</w:t>
      </w:r>
    </w:p>
    <w:p w14:paraId="2B0838AA" w14:textId="77777777" w:rsidR="00F35490" w:rsidRPr="00F35490" w:rsidRDefault="00F35490" w:rsidP="004228A8">
      <w:pPr>
        <w:jc w:val="both"/>
        <w:rPr>
          <w:b/>
          <w:lang w:val="en-GB"/>
        </w:rPr>
      </w:pPr>
    </w:p>
    <w:p w14:paraId="75729471" w14:textId="77777777" w:rsidR="001525EE" w:rsidRPr="004228A8" w:rsidRDefault="004228A8" w:rsidP="004228A8">
      <w:pPr>
        <w:pStyle w:val="Lijstalinea"/>
        <w:numPr>
          <w:ilvl w:val="1"/>
          <w:numId w:val="6"/>
        </w:numPr>
        <w:ind w:left="0" w:firstLine="0"/>
        <w:rPr>
          <w:i/>
          <w:lang w:val="en-GB"/>
        </w:rPr>
      </w:pPr>
      <w:r w:rsidRPr="004228A8">
        <w:rPr>
          <w:i/>
          <w:lang w:val="en-GB"/>
        </w:rPr>
        <w:t>The actors involved</w:t>
      </w:r>
    </w:p>
    <w:p w14:paraId="47B5A637" w14:textId="66EE482C" w:rsidR="00626286" w:rsidRDefault="00FB1E7B" w:rsidP="001A19D0">
      <w:pPr>
        <w:ind w:firstLine="708"/>
        <w:jc w:val="both"/>
        <w:rPr>
          <w:lang w:val="en-GB"/>
        </w:rPr>
      </w:pPr>
      <w:r>
        <w:rPr>
          <w:lang w:val="en-GB"/>
        </w:rPr>
        <w:t xml:space="preserve">Describing the genesis of European human rights law, Madsen has underlined the crucial role played by lawyers in the construction of the European human rights field, </w:t>
      </w:r>
      <w:r w:rsidR="00483E51">
        <w:rPr>
          <w:lang w:val="en-GB"/>
        </w:rPr>
        <w:t>promoting their legal ideals by “investing” their newly established</w:t>
      </w:r>
      <w:r>
        <w:rPr>
          <w:lang w:val="en-GB"/>
        </w:rPr>
        <w:t xml:space="preserve"> “legal capital” </w:t>
      </w:r>
      <w:r w:rsidR="00483E51">
        <w:rPr>
          <w:lang w:val="en-GB"/>
        </w:rPr>
        <w:t xml:space="preserve">in the area of human rights at the international level in order for it to </w:t>
      </w:r>
      <w:r w:rsidR="00652869">
        <w:rPr>
          <w:lang w:val="en-GB"/>
        </w:rPr>
        <w:t>“pay off” at the national level</w:t>
      </w:r>
      <w:r w:rsidR="00483E51">
        <w:rPr>
          <w:rStyle w:val="Voetnootmarkering"/>
          <w:lang w:val="en-GB"/>
        </w:rPr>
        <w:footnoteReference w:id="111"/>
      </w:r>
      <w:r w:rsidR="00652869">
        <w:rPr>
          <w:lang w:val="en-GB"/>
        </w:rPr>
        <w:t>.</w:t>
      </w:r>
      <w:r w:rsidR="004B25EE">
        <w:rPr>
          <w:lang w:val="en-GB"/>
        </w:rPr>
        <w:t xml:space="preserve"> Unlike Madsen’s analysis, the data from the present study does not allow to conclude that the actors concerned first attempted to build their legal expertise at the international level before returning home with human rights as </w:t>
      </w:r>
      <w:proofErr w:type="gramStart"/>
      <w:r w:rsidR="004B25EE">
        <w:rPr>
          <w:lang w:val="en-GB"/>
        </w:rPr>
        <w:t>an effecti</w:t>
      </w:r>
      <w:r w:rsidR="00652869">
        <w:rPr>
          <w:lang w:val="en-GB"/>
        </w:rPr>
        <w:t>ve</w:t>
      </w:r>
      <w:proofErr w:type="gramEnd"/>
      <w:r w:rsidR="00652869">
        <w:rPr>
          <w:lang w:val="en-GB"/>
        </w:rPr>
        <w:t xml:space="preserve"> legal and political weaponry</w:t>
      </w:r>
      <w:r w:rsidR="004B25EE">
        <w:rPr>
          <w:rStyle w:val="Voetnootmarkering"/>
          <w:lang w:val="en-GB"/>
        </w:rPr>
        <w:footnoteReference w:id="112"/>
      </w:r>
      <w:r w:rsidR="00652869">
        <w:rPr>
          <w:lang w:val="en-GB"/>
        </w:rPr>
        <w:t>.</w:t>
      </w:r>
      <w:r w:rsidR="004B25EE">
        <w:rPr>
          <w:lang w:val="en-GB"/>
        </w:rPr>
        <w:t xml:space="preserve"> </w:t>
      </w:r>
      <w:r w:rsidR="00343CCE">
        <w:rPr>
          <w:lang w:val="en-GB"/>
        </w:rPr>
        <w:t xml:space="preserve">However, what is clear is that going to Strasbourg was a way for </w:t>
      </w:r>
      <w:r w:rsidR="00AD5726">
        <w:rPr>
          <w:lang w:val="en-GB"/>
        </w:rPr>
        <w:t>some</w:t>
      </w:r>
      <w:r w:rsidR="00343CCE">
        <w:rPr>
          <w:lang w:val="en-GB"/>
        </w:rPr>
        <w:t xml:space="preserve"> of the actors concerned to convert the</w:t>
      </w:r>
      <w:r w:rsidR="00AD5726">
        <w:rPr>
          <w:lang w:val="en-GB"/>
        </w:rPr>
        <w:t>ir</w:t>
      </w:r>
      <w:r w:rsidR="007E0F82">
        <w:rPr>
          <w:lang w:val="en-GB"/>
        </w:rPr>
        <w:t xml:space="preserve"> legal capital</w:t>
      </w:r>
      <w:r w:rsidR="00343CCE">
        <w:rPr>
          <w:lang w:val="en-GB"/>
        </w:rPr>
        <w:t xml:space="preserve"> in the area of human rights law, which they</w:t>
      </w:r>
      <w:r w:rsidR="00AD5726">
        <w:rPr>
          <w:lang w:val="en-GB"/>
        </w:rPr>
        <w:t xml:space="preserve"> had progressively</w:t>
      </w:r>
      <w:r w:rsidR="00343CCE">
        <w:rPr>
          <w:lang w:val="en-GB"/>
        </w:rPr>
        <w:t xml:space="preserve"> built at the national level, into tangible results.</w:t>
      </w:r>
    </w:p>
    <w:p w14:paraId="1EB66CDD" w14:textId="5C07539A" w:rsidR="000133C8" w:rsidRDefault="00AD5726" w:rsidP="001A19D0">
      <w:pPr>
        <w:ind w:firstLine="708"/>
        <w:jc w:val="both"/>
        <w:rPr>
          <w:lang w:val="en-GB"/>
        </w:rPr>
      </w:pPr>
      <w:r>
        <w:rPr>
          <w:lang w:val="en-GB"/>
        </w:rPr>
        <w:lastRenderedPageBreak/>
        <w:t xml:space="preserve">To give an example, in the </w:t>
      </w:r>
      <w:r w:rsidRPr="00626286">
        <w:rPr>
          <w:i/>
          <w:lang w:val="en-GB"/>
        </w:rPr>
        <w:t xml:space="preserve">Vagrancy </w:t>
      </w:r>
      <w:r>
        <w:rPr>
          <w:lang w:val="en-GB"/>
        </w:rPr>
        <w:t>case</w:t>
      </w:r>
      <w:r w:rsidR="00A05BA0">
        <w:rPr>
          <w:lang w:val="en-GB"/>
        </w:rPr>
        <w:t xml:space="preserve"> (1971)</w:t>
      </w:r>
      <w:r>
        <w:rPr>
          <w:lang w:val="en-GB"/>
        </w:rPr>
        <w:t xml:space="preserve">, the European Commission had contacted the Bar of Brussels because they had received </w:t>
      </w:r>
      <w:r w:rsidR="000133C8">
        <w:rPr>
          <w:lang w:val="en-GB"/>
        </w:rPr>
        <w:t>an application by three vagrants, who were detained because they had no fixed abode, no means of subsistence and no regular trade or profession</w:t>
      </w:r>
      <w:r w:rsidR="000133C8">
        <w:rPr>
          <w:rStyle w:val="sfbbfee58"/>
          <w:lang w:val="en-GB"/>
        </w:rPr>
        <w:t xml:space="preserve">, in order to find a lawyer willing to represent them in Strasbourg. The </w:t>
      </w:r>
      <w:proofErr w:type="spellStart"/>
      <w:r w:rsidR="000133C8" w:rsidRPr="007F1A03">
        <w:rPr>
          <w:i/>
          <w:lang w:val="en-GB"/>
        </w:rPr>
        <w:t>bâtonnier</w:t>
      </w:r>
      <w:proofErr w:type="spellEnd"/>
      <w:r w:rsidR="000133C8" w:rsidRPr="00F84B95">
        <w:rPr>
          <w:lang w:val="en-GB"/>
        </w:rPr>
        <w:t xml:space="preserve"> of the Brussels bar</w:t>
      </w:r>
      <w:r w:rsidR="000133C8">
        <w:rPr>
          <w:lang w:val="en-GB"/>
        </w:rPr>
        <w:t xml:space="preserve"> in turn contacted Xavier </w:t>
      </w:r>
      <w:proofErr w:type="spellStart"/>
      <w:r w:rsidR="000133C8">
        <w:rPr>
          <w:lang w:val="en-GB"/>
        </w:rPr>
        <w:t>Magnée</w:t>
      </w:r>
      <w:proofErr w:type="spellEnd"/>
      <w:r w:rsidR="000133C8">
        <w:rPr>
          <w:lang w:val="en-GB"/>
        </w:rPr>
        <w:t xml:space="preserve">, who would become the applicant’s attorney, </w:t>
      </w:r>
      <w:r w:rsidR="00626286">
        <w:rPr>
          <w:lang w:val="en-GB"/>
        </w:rPr>
        <w:t xml:space="preserve">because he had been among the first generation of graduates at the newly established </w:t>
      </w:r>
      <w:proofErr w:type="spellStart"/>
      <w:r w:rsidR="00626286">
        <w:rPr>
          <w:i/>
          <w:lang w:val="en-GB"/>
        </w:rPr>
        <w:t>Institut</w:t>
      </w:r>
      <w:proofErr w:type="spellEnd"/>
      <w:r w:rsidR="00626286">
        <w:rPr>
          <w:i/>
          <w:lang w:val="en-GB"/>
        </w:rPr>
        <w:t xml:space="preserve"> </w:t>
      </w:r>
      <w:proofErr w:type="spellStart"/>
      <w:r w:rsidR="00626286">
        <w:rPr>
          <w:i/>
          <w:lang w:val="en-GB"/>
        </w:rPr>
        <w:t>d’études</w:t>
      </w:r>
      <w:proofErr w:type="spellEnd"/>
      <w:r w:rsidR="00626286">
        <w:rPr>
          <w:i/>
          <w:lang w:val="en-GB"/>
        </w:rPr>
        <w:t xml:space="preserve"> </w:t>
      </w:r>
      <w:proofErr w:type="spellStart"/>
      <w:r w:rsidR="00626286">
        <w:rPr>
          <w:i/>
          <w:lang w:val="en-GB"/>
        </w:rPr>
        <w:t>Européennes</w:t>
      </w:r>
      <w:proofErr w:type="spellEnd"/>
      <w:r w:rsidR="00626286">
        <w:rPr>
          <w:i/>
          <w:lang w:val="en-GB"/>
        </w:rPr>
        <w:t xml:space="preserve"> </w:t>
      </w:r>
      <w:r w:rsidR="00626286">
        <w:rPr>
          <w:lang w:val="en-GB"/>
        </w:rPr>
        <w:t xml:space="preserve">of the </w:t>
      </w:r>
      <w:proofErr w:type="spellStart"/>
      <w:r w:rsidR="00626286">
        <w:rPr>
          <w:i/>
          <w:lang w:val="en-GB"/>
        </w:rPr>
        <w:t>Université</w:t>
      </w:r>
      <w:proofErr w:type="spellEnd"/>
      <w:r w:rsidR="00626286">
        <w:rPr>
          <w:i/>
          <w:lang w:val="en-GB"/>
        </w:rPr>
        <w:t xml:space="preserve"> </w:t>
      </w:r>
      <w:proofErr w:type="spellStart"/>
      <w:r w:rsidR="00626286">
        <w:rPr>
          <w:i/>
          <w:lang w:val="en-GB"/>
        </w:rPr>
        <w:t>Libre</w:t>
      </w:r>
      <w:proofErr w:type="spellEnd"/>
      <w:r w:rsidR="00626286">
        <w:rPr>
          <w:i/>
          <w:lang w:val="en-GB"/>
        </w:rPr>
        <w:t xml:space="preserve"> de </w:t>
      </w:r>
      <w:proofErr w:type="spellStart"/>
      <w:r w:rsidR="00626286">
        <w:rPr>
          <w:i/>
          <w:lang w:val="en-GB"/>
        </w:rPr>
        <w:t>Bruxelles</w:t>
      </w:r>
      <w:proofErr w:type="spellEnd"/>
      <w:r w:rsidR="00626286">
        <w:rPr>
          <w:lang w:val="en-GB"/>
        </w:rPr>
        <w:t xml:space="preserve"> and the first lawyer at the Brussels bar to hold this degree. </w:t>
      </w:r>
      <w:proofErr w:type="spellStart"/>
      <w:r w:rsidR="00626286">
        <w:rPr>
          <w:lang w:val="en-GB"/>
        </w:rPr>
        <w:t>Magnée</w:t>
      </w:r>
      <w:proofErr w:type="spellEnd"/>
      <w:r w:rsidR="00626286">
        <w:rPr>
          <w:lang w:val="en-GB"/>
        </w:rPr>
        <w:t xml:space="preserve"> still considers it ironic that his father had recommended him to study European law </w:t>
      </w:r>
      <w:r w:rsidR="00A05BA0">
        <w:rPr>
          <w:lang w:val="en-GB"/>
        </w:rPr>
        <w:t>on top of</w:t>
      </w:r>
      <w:r w:rsidR="00626286">
        <w:rPr>
          <w:lang w:val="en-GB"/>
        </w:rPr>
        <w:t xml:space="preserve"> his law degree, so he could become the lawyer of international companies, banks and insuranc</w:t>
      </w:r>
      <w:r w:rsidR="007727F3">
        <w:rPr>
          <w:lang w:val="en-GB"/>
        </w:rPr>
        <w:t xml:space="preserve">e funds, to </w:t>
      </w:r>
      <w:r w:rsidR="00A05BA0">
        <w:rPr>
          <w:lang w:val="en-GB"/>
        </w:rPr>
        <w:t xml:space="preserve">instead </w:t>
      </w:r>
      <w:r w:rsidR="007727F3">
        <w:rPr>
          <w:lang w:val="en-GB"/>
        </w:rPr>
        <w:t>become “the lawyer of, I cannot say all vagrants of Belgium, but in any event of dozens and dozens of them” who had contacted him while the Stra</w:t>
      </w:r>
      <w:r w:rsidR="00652869">
        <w:rPr>
          <w:lang w:val="en-GB"/>
        </w:rPr>
        <w:t>sbourg proceedings were pending</w:t>
      </w:r>
      <w:r w:rsidR="007727F3">
        <w:rPr>
          <w:rStyle w:val="Voetnootmarkering"/>
          <w:lang w:val="en-GB"/>
        </w:rPr>
        <w:footnoteReference w:id="113"/>
      </w:r>
      <w:r w:rsidR="00652869">
        <w:rPr>
          <w:lang w:val="en-GB"/>
        </w:rPr>
        <w:t>.</w:t>
      </w:r>
      <w:r w:rsidR="00626286">
        <w:rPr>
          <w:lang w:val="en-GB"/>
        </w:rPr>
        <w:t xml:space="preserve"> </w:t>
      </w:r>
      <w:r w:rsidR="006D7206">
        <w:rPr>
          <w:lang w:val="en-GB"/>
        </w:rPr>
        <w:t>L</w:t>
      </w:r>
      <w:r w:rsidR="00A61E90">
        <w:rPr>
          <w:lang w:val="en-GB"/>
        </w:rPr>
        <w:t>e</w:t>
      </w:r>
      <w:r w:rsidR="006D7206">
        <w:rPr>
          <w:lang w:val="en-GB"/>
        </w:rPr>
        <w:t>on</w:t>
      </w:r>
      <w:r w:rsidR="00293570">
        <w:rPr>
          <w:lang w:val="en-GB"/>
        </w:rPr>
        <w:t xml:space="preserve"> Martens, who defended the applicant in the case of </w:t>
      </w:r>
      <w:r w:rsidR="00293570">
        <w:rPr>
          <w:i/>
          <w:lang w:val="en-GB"/>
        </w:rPr>
        <w:t xml:space="preserve">Ben </w:t>
      </w:r>
      <w:proofErr w:type="spellStart"/>
      <w:r w:rsidR="00293570">
        <w:rPr>
          <w:i/>
          <w:lang w:val="en-GB"/>
        </w:rPr>
        <w:t>Yaacoub</w:t>
      </w:r>
      <w:proofErr w:type="spellEnd"/>
      <w:r w:rsidR="00A05BA0">
        <w:rPr>
          <w:i/>
          <w:lang w:val="en-GB"/>
        </w:rPr>
        <w:t xml:space="preserve"> </w:t>
      </w:r>
      <w:r w:rsidR="00A05BA0">
        <w:rPr>
          <w:lang w:val="en-GB"/>
        </w:rPr>
        <w:t>(1987)</w:t>
      </w:r>
      <w:r w:rsidR="00293570">
        <w:rPr>
          <w:lang w:val="en-GB"/>
        </w:rPr>
        <w:t xml:space="preserve">, in turn had been one of the four first Belgian graduates of the </w:t>
      </w:r>
      <w:r w:rsidR="00293570">
        <w:rPr>
          <w:i/>
          <w:lang w:val="en-GB"/>
        </w:rPr>
        <w:t xml:space="preserve">College of Europe </w:t>
      </w:r>
      <w:r w:rsidR="00293570">
        <w:rPr>
          <w:lang w:val="en-GB"/>
        </w:rPr>
        <w:t>in Bruges, which resulted in a</w:t>
      </w:r>
      <w:r w:rsidR="00D86143">
        <w:rPr>
          <w:lang w:val="en-GB"/>
        </w:rPr>
        <w:t xml:space="preserve"> continuing interest during his career for the European and international level at a time when few lawyers recognized the importance thereof: “What kind of professors did we have after the war! They didn’t know anything about international or European law. Most lawyers need to be trained to think in terms of </w:t>
      </w:r>
      <w:r w:rsidR="00A05BA0">
        <w:rPr>
          <w:lang w:val="en-GB"/>
        </w:rPr>
        <w:t xml:space="preserve">the </w:t>
      </w:r>
      <w:r w:rsidR="00D86143">
        <w:rPr>
          <w:lang w:val="en-GB"/>
        </w:rPr>
        <w:t>supranational level. Others, including myself, were however more interested and read about these questions. It is this group of lawyers that forced the national courts to become more aware of the existence and the importance of supranational law. In my view, it’s self-evident that jurists comply with the law, also when this law ste</w:t>
      </w:r>
      <w:r w:rsidR="00652869">
        <w:rPr>
          <w:lang w:val="en-GB"/>
        </w:rPr>
        <w:t>ms from the supranational level</w:t>
      </w:r>
      <w:r w:rsidR="00D86143">
        <w:rPr>
          <w:lang w:val="en-GB"/>
        </w:rPr>
        <w:t>”</w:t>
      </w:r>
      <w:r w:rsidR="00D86143">
        <w:rPr>
          <w:rStyle w:val="Voetnootmarkering"/>
          <w:lang w:val="en-GB"/>
        </w:rPr>
        <w:footnoteReference w:id="114"/>
      </w:r>
      <w:r w:rsidR="00652869">
        <w:rPr>
          <w:lang w:val="en-GB"/>
        </w:rPr>
        <w:t>.</w:t>
      </w:r>
      <w:r w:rsidR="00D86143">
        <w:rPr>
          <w:lang w:val="en-GB"/>
        </w:rPr>
        <w:t xml:space="preserve"> </w:t>
      </w:r>
    </w:p>
    <w:p w14:paraId="577B2ECE" w14:textId="77777777" w:rsidR="00467BBE" w:rsidRDefault="00467BBE" w:rsidP="00483E51">
      <w:pPr>
        <w:jc w:val="both"/>
        <w:rPr>
          <w:lang w:val="en-GB"/>
        </w:rPr>
      </w:pPr>
    </w:p>
    <w:p w14:paraId="2BBF6A7B" w14:textId="77777777" w:rsidR="00467BBE" w:rsidRPr="00CB4763" w:rsidRDefault="00467BBE" w:rsidP="00467BBE">
      <w:pPr>
        <w:jc w:val="both"/>
        <w:rPr>
          <w:i/>
          <w:lang w:val="en-GB"/>
        </w:rPr>
      </w:pPr>
      <w:r>
        <w:rPr>
          <w:i/>
          <w:lang w:val="en-GB"/>
        </w:rPr>
        <w:t>Young lawyers</w:t>
      </w:r>
    </w:p>
    <w:p w14:paraId="544267A7" w14:textId="77777777" w:rsidR="00933231" w:rsidRDefault="00467BBE" w:rsidP="001A19D0">
      <w:pPr>
        <w:ind w:firstLine="708"/>
        <w:jc w:val="both"/>
        <w:rPr>
          <w:lang w:val="en-GB"/>
        </w:rPr>
      </w:pPr>
      <w:r>
        <w:rPr>
          <w:lang w:val="en-GB"/>
        </w:rPr>
        <w:t xml:space="preserve">A remarkable fact is that most of the interviewed lawyers were at the relative beginning of their career when becoming involved in Strasbourg litigation – the most notable exception being </w:t>
      </w:r>
      <w:r w:rsidR="00A61E90">
        <w:rPr>
          <w:lang w:val="en-GB"/>
        </w:rPr>
        <w:t>Leon</w:t>
      </w:r>
      <w:r>
        <w:rPr>
          <w:lang w:val="en-GB"/>
        </w:rPr>
        <w:t xml:space="preserve"> Martens who joined the bar in 1949 and lodged an application in the </w:t>
      </w:r>
      <w:r>
        <w:rPr>
          <w:i/>
          <w:lang w:val="en-GB"/>
        </w:rPr>
        <w:t xml:space="preserve">Ben </w:t>
      </w:r>
      <w:proofErr w:type="spellStart"/>
      <w:r>
        <w:rPr>
          <w:i/>
          <w:lang w:val="en-GB"/>
        </w:rPr>
        <w:t>Yaacoub</w:t>
      </w:r>
      <w:proofErr w:type="spellEnd"/>
      <w:r>
        <w:rPr>
          <w:i/>
          <w:lang w:val="en-GB"/>
        </w:rPr>
        <w:t xml:space="preserve"> </w:t>
      </w:r>
      <w:r>
        <w:rPr>
          <w:lang w:val="en-GB"/>
        </w:rPr>
        <w:t>case in 1982, which resulted i</w:t>
      </w:r>
      <w:r w:rsidR="00652869">
        <w:rPr>
          <w:lang w:val="en-GB"/>
        </w:rPr>
        <w:t>n a friendly settlement in 1987</w:t>
      </w:r>
      <w:r>
        <w:rPr>
          <w:rStyle w:val="Voetnootmarkering"/>
          <w:lang w:val="en-GB"/>
        </w:rPr>
        <w:footnoteReference w:id="115"/>
      </w:r>
      <w:r w:rsidR="00652869">
        <w:rPr>
          <w:lang w:val="en-GB"/>
        </w:rPr>
        <w:t>.</w:t>
      </w:r>
      <w:r>
        <w:rPr>
          <w:lang w:val="en-GB"/>
        </w:rPr>
        <w:t xml:space="preserve"> </w:t>
      </w:r>
      <w:r w:rsidR="00F6699D">
        <w:rPr>
          <w:lang w:val="en-GB"/>
        </w:rPr>
        <w:t xml:space="preserve">In this respect, </w:t>
      </w:r>
      <w:r>
        <w:rPr>
          <w:lang w:val="en-GB"/>
        </w:rPr>
        <w:t xml:space="preserve">Luc </w:t>
      </w:r>
      <w:proofErr w:type="spellStart"/>
      <w:r>
        <w:rPr>
          <w:lang w:val="en-GB"/>
        </w:rPr>
        <w:t>Peeters</w:t>
      </w:r>
      <w:proofErr w:type="spellEnd"/>
      <w:r>
        <w:rPr>
          <w:lang w:val="en-GB"/>
        </w:rPr>
        <w:t xml:space="preserve">, the applicant’s lawyer in the </w:t>
      </w:r>
      <w:proofErr w:type="spellStart"/>
      <w:r>
        <w:rPr>
          <w:i/>
          <w:lang w:val="en-GB"/>
        </w:rPr>
        <w:t>Pauwels</w:t>
      </w:r>
      <w:proofErr w:type="spellEnd"/>
      <w:r>
        <w:rPr>
          <w:i/>
          <w:lang w:val="en-GB"/>
        </w:rPr>
        <w:t xml:space="preserve"> </w:t>
      </w:r>
      <w:r>
        <w:rPr>
          <w:lang w:val="en-GB"/>
        </w:rPr>
        <w:t xml:space="preserve">case </w:t>
      </w:r>
      <w:r w:rsidR="00F6699D">
        <w:rPr>
          <w:lang w:val="en-GB"/>
        </w:rPr>
        <w:t xml:space="preserve">(1988) </w:t>
      </w:r>
      <w:r>
        <w:rPr>
          <w:lang w:val="en-GB"/>
        </w:rPr>
        <w:t xml:space="preserve">– concerning the role of the </w:t>
      </w:r>
      <w:proofErr w:type="spellStart"/>
      <w:r>
        <w:rPr>
          <w:i/>
          <w:lang w:val="en-GB"/>
        </w:rPr>
        <w:t>auditeur</w:t>
      </w:r>
      <w:proofErr w:type="spellEnd"/>
      <w:r>
        <w:rPr>
          <w:i/>
          <w:lang w:val="en-GB"/>
        </w:rPr>
        <w:t xml:space="preserve"> </w:t>
      </w:r>
      <w:proofErr w:type="spellStart"/>
      <w:r>
        <w:rPr>
          <w:i/>
          <w:lang w:val="en-GB"/>
        </w:rPr>
        <w:t>mili</w:t>
      </w:r>
      <w:r w:rsidR="00F6699D">
        <w:rPr>
          <w:i/>
          <w:lang w:val="en-GB"/>
        </w:rPr>
        <w:t>t</w:t>
      </w:r>
      <w:r>
        <w:rPr>
          <w:i/>
          <w:lang w:val="en-GB"/>
        </w:rPr>
        <w:t>aire</w:t>
      </w:r>
      <w:proofErr w:type="spellEnd"/>
      <w:r>
        <w:rPr>
          <w:i/>
          <w:lang w:val="en-GB"/>
        </w:rPr>
        <w:t xml:space="preserve"> </w:t>
      </w:r>
      <w:r>
        <w:rPr>
          <w:lang w:val="en-GB"/>
        </w:rPr>
        <w:t>who had acted in the double capacity of investigator and prosecutor</w:t>
      </w:r>
      <w:r>
        <w:rPr>
          <w:i/>
          <w:lang w:val="en-GB"/>
        </w:rPr>
        <w:t xml:space="preserve"> </w:t>
      </w:r>
      <w:r>
        <w:rPr>
          <w:lang w:val="en-GB"/>
        </w:rPr>
        <w:t>in a case in which the applicant was arrested, prosecuted and eventually convicted by the military courts for embezzlement of State funds – expl</w:t>
      </w:r>
      <w:r w:rsidR="00933231">
        <w:rPr>
          <w:lang w:val="en-GB"/>
        </w:rPr>
        <w:t>ains why he went to Strasbourg</w:t>
      </w:r>
    </w:p>
    <w:p w14:paraId="6964BBC2" w14:textId="65A48AAA" w:rsidR="00467BBE" w:rsidRDefault="00467BBE" w:rsidP="00933231">
      <w:pPr>
        <w:ind w:left="708"/>
        <w:jc w:val="both"/>
        <w:rPr>
          <w:lang w:val="en-GB"/>
        </w:rPr>
      </w:pPr>
      <w:r>
        <w:rPr>
          <w:lang w:val="en-GB"/>
        </w:rPr>
        <w:t>Because I was young and because I felt that one thing and another should not be allowed. I can imagine that, if you go to an attorney who is already washed out, he might say: ‘No, I don’t do this anymore.’ I think that, in this case, as a young attorney, I must have written abo</w:t>
      </w:r>
      <w:r w:rsidR="00652869">
        <w:rPr>
          <w:lang w:val="en-GB"/>
        </w:rPr>
        <w:t>ut five hundred pages of briefs</w:t>
      </w:r>
      <w:r>
        <w:rPr>
          <w:rStyle w:val="Voetnootmarkering"/>
          <w:lang w:val="en-GB"/>
        </w:rPr>
        <w:footnoteReference w:id="116"/>
      </w:r>
      <w:r w:rsidR="00652869">
        <w:rPr>
          <w:lang w:val="en-GB"/>
        </w:rPr>
        <w:t>.</w:t>
      </w:r>
    </w:p>
    <w:p w14:paraId="3DDA9262" w14:textId="77777777" w:rsidR="00933231" w:rsidRDefault="00467BBE" w:rsidP="001A19D0">
      <w:pPr>
        <w:ind w:firstLine="708"/>
        <w:jc w:val="both"/>
        <w:rPr>
          <w:lang w:val="en-GB"/>
        </w:rPr>
      </w:pPr>
      <w:r>
        <w:rPr>
          <w:lang w:val="en-GB"/>
        </w:rPr>
        <w:t xml:space="preserve">Another reason for the overrepresentation of young attorneys among the interviewed actors may be of a generational nature. According to Raoul Neuroth, who defended the applicant in the </w:t>
      </w:r>
      <w:proofErr w:type="spellStart"/>
      <w:r>
        <w:rPr>
          <w:i/>
          <w:lang w:val="en-GB"/>
        </w:rPr>
        <w:t>Lamy</w:t>
      </w:r>
      <w:proofErr w:type="spellEnd"/>
      <w:r>
        <w:rPr>
          <w:i/>
          <w:lang w:val="en-GB"/>
        </w:rPr>
        <w:t xml:space="preserve"> </w:t>
      </w:r>
      <w:r>
        <w:rPr>
          <w:lang w:val="en-GB"/>
        </w:rPr>
        <w:t>case</w:t>
      </w:r>
      <w:r w:rsidR="00F6699D">
        <w:rPr>
          <w:lang w:val="en-GB"/>
        </w:rPr>
        <w:t xml:space="preserve"> (1989)</w:t>
      </w:r>
      <w:proofErr w:type="gramStart"/>
      <w:r w:rsidR="00933231">
        <w:rPr>
          <w:lang w:val="en-GB"/>
        </w:rPr>
        <w:t>,</w:t>
      </w:r>
      <w:proofErr w:type="gramEnd"/>
      <w:r w:rsidR="00933231">
        <w:rPr>
          <w:lang w:val="en-GB"/>
        </w:rPr>
        <w:t xml:space="preserve"> </w:t>
      </w:r>
    </w:p>
    <w:p w14:paraId="64432598" w14:textId="2B8D05F8" w:rsidR="00933231" w:rsidRDefault="00467BBE" w:rsidP="00933231">
      <w:pPr>
        <w:ind w:left="708"/>
        <w:jc w:val="both"/>
        <w:rPr>
          <w:lang w:val="en-GB"/>
        </w:rPr>
      </w:pPr>
      <w:r>
        <w:rPr>
          <w:lang w:val="en-GB"/>
        </w:rPr>
        <w:lastRenderedPageBreak/>
        <w:t>[w]</w:t>
      </w:r>
      <w:proofErr w:type="spellStart"/>
      <w:r>
        <w:rPr>
          <w:lang w:val="en-GB"/>
        </w:rPr>
        <w:t>hen</w:t>
      </w:r>
      <w:proofErr w:type="spellEnd"/>
      <w:r>
        <w:rPr>
          <w:lang w:val="en-GB"/>
        </w:rPr>
        <w:t xml:space="preserve"> I started as a lawyer, at the universities, people only just started to talk about the European Court of Human Rights. We were all young and young people interested themselves for novelties, especially because Belgium was always lagging somewhat behind as far as </w:t>
      </w:r>
      <w:r w:rsidR="00652869">
        <w:rPr>
          <w:lang w:val="en-GB"/>
        </w:rPr>
        <w:t>laws were concerned</w:t>
      </w:r>
      <w:r w:rsidR="00A0449F">
        <w:rPr>
          <w:rStyle w:val="Voetnootmarkering"/>
          <w:lang w:val="en-GB"/>
        </w:rPr>
        <w:footnoteReference w:id="117"/>
      </w:r>
      <w:r w:rsidR="00652869">
        <w:rPr>
          <w:lang w:val="en-GB"/>
        </w:rPr>
        <w:t>.</w:t>
      </w:r>
      <w:r w:rsidR="00A0449F">
        <w:rPr>
          <w:lang w:val="en-GB"/>
        </w:rPr>
        <w:t xml:space="preserve"> </w:t>
      </w:r>
    </w:p>
    <w:p w14:paraId="096D447F" w14:textId="77777777" w:rsidR="00933231" w:rsidRDefault="00A0449F" w:rsidP="00933231">
      <w:pPr>
        <w:jc w:val="both"/>
        <w:rPr>
          <w:lang w:val="en-GB"/>
        </w:rPr>
      </w:pPr>
      <w:r>
        <w:rPr>
          <w:lang w:val="en-GB"/>
        </w:rPr>
        <w:t xml:space="preserve"> In comparison to established lawyers, young lawyers may be relatively more eager to learn and to appropriate a new layer of law that challenges orthodox conc</w:t>
      </w:r>
      <w:r w:rsidR="00652869">
        <w:rPr>
          <w:lang w:val="en-GB"/>
        </w:rPr>
        <w:t>eptions of how the law operates</w:t>
      </w:r>
      <w:r w:rsidR="007858B0">
        <w:rPr>
          <w:rStyle w:val="Voetnootmarkering"/>
          <w:lang w:val="en-GB"/>
        </w:rPr>
        <w:footnoteReference w:id="118"/>
      </w:r>
      <w:r w:rsidR="00652869">
        <w:rPr>
          <w:lang w:val="en-GB"/>
        </w:rPr>
        <w:t>.</w:t>
      </w:r>
      <w:r>
        <w:rPr>
          <w:lang w:val="en-GB"/>
        </w:rPr>
        <w:t xml:space="preserve"> In this respect, concerning the question of the lack of access to the case file during detention on remand, which </w:t>
      </w:r>
      <w:r w:rsidR="00437264">
        <w:rPr>
          <w:lang w:val="en-GB"/>
        </w:rPr>
        <w:t>lay at the heart o</w:t>
      </w:r>
      <w:r>
        <w:rPr>
          <w:lang w:val="en-GB"/>
        </w:rPr>
        <w:t xml:space="preserve">f the </w:t>
      </w:r>
      <w:proofErr w:type="spellStart"/>
      <w:r>
        <w:rPr>
          <w:i/>
          <w:lang w:val="en-GB"/>
        </w:rPr>
        <w:t>Lamy</w:t>
      </w:r>
      <w:proofErr w:type="spellEnd"/>
      <w:r>
        <w:rPr>
          <w:i/>
          <w:lang w:val="en-GB"/>
        </w:rPr>
        <w:t xml:space="preserve"> </w:t>
      </w:r>
      <w:r w:rsidR="00933231">
        <w:rPr>
          <w:lang w:val="en-GB"/>
        </w:rPr>
        <w:t>case, Neuroth recalls that</w:t>
      </w:r>
    </w:p>
    <w:p w14:paraId="588401D4" w14:textId="4C5995D4" w:rsidR="00467BBE" w:rsidRDefault="00A0449F" w:rsidP="00933231">
      <w:pPr>
        <w:ind w:left="708"/>
        <w:jc w:val="both"/>
        <w:rPr>
          <w:lang w:val="en-GB"/>
        </w:rPr>
      </w:pPr>
      <w:proofErr w:type="gramStart"/>
      <w:r>
        <w:rPr>
          <w:lang w:val="en-GB"/>
        </w:rPr>
        <w:t>since</w:t>
      </w:r>
      <w:proofErr w:type="gramEnd"/>
      <w:r>
        <w:rPr>
          <w:lang w:val="en-GB"/>
        </w:rPr>
        <w:t xml:space="preserve"> the 1867 Criminal Code, the law had not changed: it was not possible to access the case file during the first five days of detention. We thought that this was abnormal. Before, everybody said: but that’s the way it is. But we said that this was not normal and we wanted challenge this and that’</w:t>
      </w:r>
      <w:r w:rsidR="00652869">
        <w:rPr>
          <w:lang w:val="en-GB"/>
        </w:rPr>
        <w:t>s why we lodged the application</w:t>
      </w:r>
      <w:r>
        <w:rPr>
          <w:rStyle w:val="Voetnootmarkering"/>
          <w:lang w:val="en-GB"/>
        </w:rPr>
        <w:footnoteReference w:id="119"/>
      </w:r>
      <w:r w:rsidR="00652869">
        <w:rPr>
          <w:lang w:val="en-GB"/>
        </w:rPr>
        <w:t>.</w:t>
      </w:r>
    </w:p>
    <w:p w14:paraId="69A6681B" w14:textId="77777777" w:rsidR="00933231" w:rsidRDefault="00467BBE" w:rsidP="001A19D0">
      <w:pPr>
        <w:ind w:firstLine="708"/>
        <w:jc w:val="both"/>
        <w:rPr>
          <w:lang w:val="en-GB"/>
        </w:rPr>
      </w:pPr>
      <w:r>
        <w:rPr>
          <w:lang w:val="en-GB"/>
        </w:rPr>
        <w:t xml:space="preserve">In addition to the enthusiasm of ambitious young lawyers and their eagerness to learn, mere curiosity seems to have played an important role in going to Strasbourg. Françoise De </w:t>
      </w:r>
      <w:proofErr w:type="spellStart"/>
      <w:r>
        <w:rPr>
          <w:lang w:val="en-GB"/>
        </w:rPr>
        <w:t>Croo-Desguin</w:t>
      </w:r>
      <w:proofErr w:type="spellEnd"/>
      <w:r>
        <w:rPr>
          <w:lang w:val="en-GB"/>
        </w:rPr>
        <w:t xml:space="preserve">, who defended the applicant in the </w:t>
      </w:r>
      <w:r>
        <w:rPr>
          <w:i/>
          <w:lang w:val="en-GB"/>
        </w:rPr>
        <w:t xml:space="preserve">De </w:t>
      </w:r>
      <w:proofErr w:type="spellStart"/>
      <w:r>
        <w:rPr>
          <w:i/>
          <w:lang w:val="en-GB"/>
        </w:rPr>
        <w:t>Cubber</w:t>
      </w:r>
      <w:proofErr w:type="spellEnd"/>
      <w:r>
        <w:rPr>
          <w:i/>
          <w:lang w:val="en-GB"/>
        </w:rPr>
        <w:t xml:space="preserve"> </w:t>
      </w:r>
      <w:r>
        <w:rPr>
          <w:lang w:val="en-GB"/>
        </w:rPr>
        <w:t>case</w:t>
      </w:r>
      <w:r w:rsidR="00F6699D">
        <w:rPr>
          <w:lang w:val="en-GB"/>
        </w:rPr>
        <w:t xml:space="preserve"> (1984)</w:t>
      </w:r>
      <w:r w:rsidR="00933231">
        <w:rPr>
          <w:lang w:val="en-GB"/>
        </w:rPr>
        <w:t>, explains:</w:t>
      </w:r>
    </w:p>
    <w:p w14:paraId="5C797FA7" w14:textId="5D0C2D57" w:rsidR="00933231" w:rsidRDefault="00467BBE" w:rsidP="00933231">
      <w:pPr>
        <w:ind w:left="708"/>
        <w:jc w:val="both"/>
        <w:rPr>
          <w:lang w:val="en-GB"/>
        </w:rPr>
      </w:pPr>
      <w:r>
        <w:rPr>
          <w:lang w:val="en-GB"/>
        </w:rPr>
        <w:t>I wanted to taste a little bit of everything. In my career of 53 years, I’ve done a bit of everything: the Order of Physicians, the Order of Dentists, pension</w:t>
      </w:r>
      <w:r w:rsidR="00F6699D">
        <w:rPr>
          <w:lang w:val="en-GB"/>
        </w:rPr>
        <w:t>’</w:t>
      </w:r>
      <w:r>
        <w:rPr>
          <w:lang w:val="en-GB"/>
        </w:rPr>
        <w:t xml:space="preserve">s commissions, the militia council, the court martial, </w:t>
      </w:r>
      <w:proofErr w:type="gramStart"/>
      <w:r>
        <w:rPr>
          <w:lang w:val="en-GB"/>
        </w:rPr>
        <w:t>the</w:t>
      </w:r>
      <w:proofErr w:type="gramEnd"/>
      <w:r>
        <w:rPr>
          <w:lang w:val="en-GB"/>
        </w:rPr>
        <w:t xml:space="preserve"> pigeon racing association. The only thing I never did was the football association. That’s why I</w:t>
      </w:r>
      <w:r w:rsidR="00F6699D">
        <w:rPr>
          <w:lang w:val="en-GB"/>
        </w:rPr>
        <w:t xml:space="preserve"> was</w:t>
      </w:r>
      <w:r>
        <w:rPr>
          <w:lang w:val="en-GB"/>
        </w:rPr>
        <w:t xml:space="preserve"> tempted to take the case, even though I knew nothing about it. I thought: well maybe this is the only occasion that I can do such a thing. </w:t>
      </w:r>
      <w:proofErr w:type="gramStart"/>
      <w:r>
        <w:rPr>
          <w:lang w:val="en-GB"/>
        </w:rPr>
        <w:t>So why not?</w:t>
      </w:r>
      <w:proofErr w:type="gramEnd"/>
      <w:r>
        <w:rPr>
          <w:lang w:val="en-GB"/>
        </w:rPr>
        <w:t xml:space="preserve"> Even though I had quite some work at the time, I wanted </w:t>
      </w:r>
      <w:r w:rsidR="00652869">
        <w:rPr>
          <w:lang w:val="en-GB"/>
        </w:rPr>
        <w:t>to spend some time on that case</w:t>
      </w:r>
      <w:r>
        <w:rPr>
          <w:rStyle w:val="Voetnootmarkering"/>
          <w:lang w:val="en-GB"/>
        </w:rPr>
        <w:footnoteReference w:id="120"/>
      </w:r>
      <w:r w:rsidR="00652869">
        <w:rPr>
          <w:lang w:val="en-GB"/>
        </w:rPr>
        <w:t>.</w:t>
      </w:r>
    </w:p>
    <w:p w14:paraId="5B47019F" w14:textId="3C230395" w:rsidR="00B1256D" w:rsidRDefault="00B1256D" w:rsidP="00933231">
      <w:pPr>
        <w:jc w:val="both"/>
        <w:rPr>
          <w:lang w:val="en-GB"/>
        </w:rPr>
      </w:pPr>
      <w:r>
        <w:rPr>
          <w:lang w:val="en-GB"/>
        </w:rPr>
        <w:t xml:space="preserve">Patrick Devers, then </w:t>
      </w:r>
      <w:r w:rsidR="00F6699D">
        <w:rPr>
          <w:lang w:val="en-GB"/>
        </w:rPr>
        <w:t>pupil lawyer working for</w:t>
      </w:r>
      <w:r>
        <w:rPr>
          <w:lang w:val="en-GB"/>
        </w:rPr>
        <w:t xml:space="preserve"> the applicant’s attorney in the cases of </w:t>
      </w:r>
      <w:r>
        <w:rPr>
          <w:i/>
          <w:lang w:val="en-GB"/>
        </w:rPr>
        <w:t xml:space="preserve">Le </w:t>
      </w:r>
      <w:proofErr w:type="spellStart"/>
      <w:r>
        <w:rPr>
          <w:i/>
          <w:lang w:val="en-GB"/>
        </w:rPr>
        <w:t>Compte</w:t>
      </w:r>
      <w:proofErr w:type="spellEnd"/>
      <w:r>
        <w:rPr>
          <w:i/>
          <w:lang w:val="en-GB"/>
        </w:rPr>
        <w:t>, Van Leuven and De Meyere</w:t>
      </w:r>
      <w:r w:rsidR="00F6699D">
        <w:rPr>
          <w:i/>
          <w:lang w:val="en-GB"/>
        </w:rPr>
        <w:t xml:space="preserve"> </w:t>
      </w:r>
      <w:r w:rsidR="00F6699D">
        <w:rPr>
          <w:lang w:val="en-GB"/>
        </w:rPr>
        <w:t>(1981)</w:t>
      </w:r>
      <w:r>
        <w:rPr>
          <w:i/>
          <w:lang w:val="en-GB"/>
        </w:rPr>
        <w:t xml:space="preserve"> </w:t>
      </w:r>
      <w:r>
        <w:rPr>
          <w:lang w:val="en-GB"/>
        </w:rPr>
        <w:t xml:space="preserve">and </w:t>
      </w:r>
      <w:r>
        <w:rPr>
          <w:i/>
          <w:lang w:val="en-GB"/>
        </w:rPr>
        <w:t xml:space="preserve">Albert and Le </w:t>
      </w:r>
      <w:proofErr w:type="spellStart"/>
      <w:r>
        <w:rPr>
          <w:i/>
          <w:lang w:val="en-GB"/>
        </w:rPr>
        <w:t>Compte</w:t>
      </w:r>
      <w:proofErr w:type="spellEnd"/>
      <w:r w:rsidR="00F6699D">
        <w:rPr>
          <w:i/>
          <w:lang w:val="en-GB"/>
        </w:rPr>
        <w:t xml:space="preserve"> </w:t>
      </w:r>
      <w:r w:rsidR="00F6699D">
        <w:rPr>
          <w:lang w:val="en-GB"/>
        </w:rPr>
        <w:t>(1983)</w:t>
      </w:r>
      <w:r>
        <w:rPr>
          <w:lang w:val="en-GB"/>
        </w:rPr>
        <w:t>, recalls the excitement of going to Strasbourg: “At that moment, Strasbourg was som</w:t>
      </w:r>
      <w:r w:rsidR="00652869">
        <w:rPr>
          <w:lang w:val="en-GB"/>
        </w:rPr>
        <w:t>ething new, it was an adventure!</w:t>
      </w:r>
      <w:r>
        <w:rPr>
          <w:lang w:val="en-GB"/>
        </w:rPr>
        <w:t>”</w:t>
      </w:r>
      <w:r>
        <w:rPr>
          <w:rStyle w:val="Voetnootmarkering"/>
          <w:lang w:val="en-GB"/>
        </w:rPr>
        <w:footnoteReference w:id="121"/>
      </w:r>
    </w:p>
    <w:p w14:paraId="4E162846" w14:textId="77777777" w:rsidR="00BB7942" w:rsidRDefault="00BB7942" w:rsidP="00467BBE">
      <w:pPr>
        <w:jc w:val="both"/>
        <w:rPr>
          <w:i/>
          <w:lang w:val="en-GB"/>
        </w:rPr>
      </w:pPr>
    </w:p>
    <w:p w14:paraId="4313D467" w14:textId="77777777" w:rsidR="00467BBE" w:rsidRPr="00467BBE" w:rsidRDefault="00467BBE" w:rsidP="00467BBE">
      <w:pPr>
        <w:jc w:val="both"/>
        <w:rPr>
          <w:i/>
          <w:lang w:val="en-GB"/>
        </w:rPr>
      </w:pPr>
      <w:r w:rsidRPr="00467BBE">
        <w:rPr>
          <w:i/>
          <w:lang w:val="en-GB"/>
        </w:rPr>
        <w:t>One-shot vs. repeat players</w:t>
      </w:r>
    </w:p>
    <w:p w14:paraId="37345147" w14:textId="77777777" w:rsidR="00933231" w:rsidRDefault="005B26B5" w:rsidP="001A19D0">
      <w:pPr>
        <w:ind w:firstLine="708"/>
        <w:jc w:val="both"/>
        <w:rPr>
          <w:lang w:val="en-GB"/>
        </w:rPr>
      </w:pPr>
      <w:r>
        <w:rPr>
          <w:lang w:val="en-GB"/>
        </w:rPr>
        <w:t>A significant</w:t>
      </w:r>
      <w:r w:rsidR="00BB7942">
        <w:rPr>
          <w:lang w:val="en-GB"/>
        </w:rPr>
        <w:t xml:space="preserve"> number of interviewed lawyers are one-shot </w:t>
      </w:r>
      <w:r>
        <w:rPr>
          <w:lang w:val="en-GB"/>
        </w:rPr>
        <w:t>players</w:t>
      </w:r>
      <w:r w:rsidR="00BB7942">
        <w:rPr>
          <w:lang w:val="en-GB"/>
        </w:rPr>
        <w:t>.</w:t>
      </w:r>
      <w:r>
        <w:rPr>
          <w:lang w:val="en-GB"/>
        </w:rPr>
        <w:t xml:space="preserve"> Of the twelv</w:t>
      </w:r>
      <w:r w:rsidR="00652869">
        <w:rPr>
          <w:lang w:val="en-GB"/>
        </w:rPr>
        <w:t>e lawyers that were interviewed</w:t>
      </w:r>
      <w:r>
        <w:rPr>
          <w:rStyle w:val="Voetnootmarkering"/>
          <w:lang w:val="en-GB"/>
        </w:rPr>
        <w:footnoteReference w:id="122"/>
      </w:r>
      <w:r w:rsidR="00652869">
        <w:rPr>
          <w:lang w:val="en-GB"/>
        </w:rPr>
        <w:t>,</w:t>
      </w:r>
      <w:r>
        <w:rPr>
          <w:lang w:val="en-GB"/>
        </w:rPr>
        <w:t xml:space="preserve"> five were later involved in other applica</w:t>
      </w:r>
      <w:r w:rsidR="00FD3EAE">
        <w:rPr>
          <w:lang w:val="en-GB"/>
        </w:rPr>
        <w:t>tions</w:t>
      </w:r>
      <w:r w:rsidR="00652869">
        <w:rPr>
          <w:lang w:val="en-GB"/>
        </w:rPr>
        <w:t xml:space="preserve"> on the side of the applicant</w:t>
      </w:r>
      <w:r w:rsidR="00FD3EAE">
        <w:rPr>
          <w:rStyle w:val="Voetnootmarkering"/>
          <w:lang w:val="en-GB"/>
        </w:rPr>
        <w:footnoteReference w:id="123"/>
      </w:r>
      <w:r w:rsidR="00652869">
        <w:rPr>
          <w:lang w:val="en-GB"/>
        </w:rPr>
        <w:t>;</w:t>
      </w:r>
      <w:r>
        <w:rPr>
          <w:lang w:val="en-GB"/>
        </w:rPr>
        <w:t xml:space="preserve"> one was later involved in litigation but on the</w:t>
      </w:r>
      <w:r w:rsidR="00652869">
        <w:rPr>
          <w:lang w:val="en-GB"/>
        </w:rPr>
        <w:t xml:space="preserve"> side of the Belgian government</w:t>
      </w:r>
      <w:r w:rsidR="00FD3EAE">
        <w:rPr>
          <w:rStyle w:val="Voetnootmarkering"/>
          <w:lang w:val="en-GB"/>
        </w:rPr>
        <w:footnoteReference w:id="124"/>
      </w:r>
      <w:r w:rsidR="00652869">
        <w:rPr>
          <w:lang w:val="en-GB"/>
        </w:rPr>
        <w:t>;</w:t>
      </w:r>
      <w:r>
        <w:rPr>
          <w:lang w:val="en-GB"/>
        </w:rPr>
        <w:t xml:space="preserve"> while six of them never again were in</w:t>
      </w:r>
      <w:r w:rsidR="00652869">
        <w:rPr>
          <w:lang w:val="en-GB"/>
        </w:rPr>
        <w:t>volved in Strasbourg litigation</w:t>
      </w:r>
      <w:r w:rsidR="00FD3EAE">
        <w:rPr>
          <w:rStyle w:val="Voetnootmarkering"/>
          <w:lang w:val="en-GB"/>
        </w:rPr>
        <w:footnoteReference w:id="125"/>
      </w:r>
      <w:r w:rsidR="00652869">
        <w:rPr>
          <w:lang w:val="en-GB"/>
        </w:rPr>
        <w:t>.</w:t>
      </w:r>
      <w:r w:rsidR="00C30D51">
        <w:rPr>
          <w:lang w:val="en-GB"/>
        </w:rPr>
        <w:t xml:space="preserve"> According to Moni Van Look, the applicant’s attorney </w:t>
      </w:r>
      <w:r w:rsidR="00C30D51">
        <w:rPr>
          <w:lang w:val="en-GB"/>
        </w:rPr>
        <w:lastRenderedPageBreak/>
        <w:t xml:space="preserve">in the </w:t>
      </w:r>
      <w:r w:rsidR="00C30D51">
        <w:rPr>
          <w:i/>
          <w:lang w:val="en-GB"/>
        </w:rPr>
        <w:t xml:space="preserve">Marckx </w:t>
      </w:r>
      <w:r w:rsidR="00C30D51">
        <w:rPr>
          <w:lang w:val="en-GB"/>
        </w:rPr>
        <w:t>case</w:t>
      </w:r>
      <w:r w:rsidR="00F6699D">
        <w:rPr>
          <w:lang w:val="en-GB"/>
        </w:rPr>
        <w:t xml:space="preserve"> (1979)</w:t>
      </w:r>
      <w:r w:rsidR="00C30D51">
        <w:rPr>
          <w:lang w:val="en-GB"/>
        </w:rPr>
        <w:t xml:space="preserve">, “I never again did cases in Strasbourg; it was a one shot, so to speak. </w:t>
      </w:r>
      <w:proofErr w:type="gramStart"/>
      <w:r w:rsidR="00F6699D">
        <w:rPr>
          <w:lang w:val="en-GB"/>
        </w:rPr>
        <w:t>B</w:t>
      </w:r>
      <w:r w:rsidR="00C30D51">
        <w:rPr>
          <w:lang w:val="en-GB"/>
        </w:rPr>
        <w:t xml:space="preserve">ecause it was </w:t>
      </w:r>
      <w:r w:rsidR="00F6699D">
        <w:rPr>
          <w:lang w:val="en-GB"/>
        </w:rPr>
        <w:t xml:space="preserve">exactly </w:t>
      </w:r>
      <w:r w:rsidR="00C30D51">
        <w:rPr>
          <w:lang w:val="en-GB"/>
        </w:rPr>
        <w:t xml:space="preserve">in </w:t>
      </w:r>
      <w:r w:rsidR="00652869">
        <w:rPr>
          <w:lang w:val="en-GB"/>
        </w:rPr>
        <w:t>my topic area [i.e. family law]</w:t>
      </w:r>
      <w:r w:rsidR="00C30D51">
        <w:rPr>
          <w:lang w:val="en-GB"/>
        </w:rPr>
        <w:t>”</w:t>
      </w:r>
      <w:r w:rsidR="00C30D51">
        <w:rPr>
          <w:rStyle w:val="Voetnootmarkering"/>
          <w:lang w:val="en-GB"/>
        </w:rPr>
        <w:footnoteReference w:id="126"/>
      </w:r>
      <w:r w:rsidR="00652869">
        <w:rPr>
          <w:lang w:val="en-GB"/>
        </w:rPr>
        <w:t>.</w:t>
      </w:r>
      <w:proofErr w:type="gramEnd"/>
      <w:r w:rsidR="00084613">
        <w:rPr>
          <w:lang w:val="en-GB"/>
        </w:rPr>
        <w:t xml:space="preserve"> </w:t>
      </w:r>
      <w:r w:rsidR="00B3362E">
        <w:rPr>
          <w:lang w:val="en-GB"/>
        </w:rPr>
        <w:t>Similarly,</w:t>
      </w:r>
      <w:r w:rsidR="00C30D51">
        <w:rPr>
          <w:lang w:val="en-GB"/>
        </w:rPr>
        <w:t xml:space="preserve"> Joe </w:t>
      </w:r>
      <w:proofErr w:type="spellStart"/>
      <w:r w:rsidR="00C30D51">
        <w:rPr>
          <w:lang w:val="en-GB"/>
        </w:rPr>
        <w:t>Verhoeven</w:t>
      </w:r>
      <w:proofErr w:type="spellEnd"/>
      <w:r w:rsidR="00C30D51">
        <w:rPr>
          <w:lang w:val="en-GB"/>
        </w:rPr>
        <w:t xml:space="preserve">, an academic who assisted the applicant in the </w:t>
      </w:r>
      <w:r w:rsidR="00C30D51">
        <w:rPr>
          <w:i/>
          <w:lang w:val="en-GB"/>
        </w:rPr>
        <w:t xml:space="preserve">Van </w:t>
      </w:r>
      <w:proofErr w:type="spellStart"/>
      <w:r w:rsidR="00C30D51">
        <w:rPr>
          <w:i/>
          <w:lang w:val="en-GB"/>
        </w:rPr>
        <w:t>Oosterwijck</w:t>
      </w:r>
      <w:proofErr w:type="spellEnd"/>
      <w:r w:rsidR="00C30D51">
        <w:rPr>
          <w:i/>
          <w:lang w:val="en-GB"/>
        </w:rPr>
        <w:t xml:space="preserve"> </w:t>
      </w:r>
      <w:r w:rsidR="00C30D51">
        <w:rPr>
          <w:lang w:val="en-GB"/>
        </w:rPr>
        <w:t>case</w:t>
      </w:r>
      <w:r w:rsidR="00F6699D">
        <w:rPr>
          <w:lang w:val="en-GB"/>
        </w:rPr>
        <w:t xml:space="preserve"> (1980)</w:t>
      </w:r>
      <w:r w:rsidR="00C30D51">
        <w:rPr>
          <w:lang w:val="en-GB"/>
        </w:rPr>
        <w:t xml:space="preserve">, </w:t>
      </w:r>
      <w:r w:rsidR="00B3362E">
        <w:rPr>
          <w:lang w:val="en-GB"/>
        </w:rPr>
        <w:t>considers the main reason for not</w:t>
      </w:r>
      <w:r w:rsidR="00F6699D">
        <w:rPr>
          <w:lang w:val="en-GB"/>
        </w:rPr>
        <w:t xml:space="preserve"> having been</w:t>
      </w:r>
      <w:r w:rsidR="00B3362E">
        <w:rPr>
          <w:lang w:val="en-GB"/>
        </w:rPr>
        <w:t xml:space="preserve"> involved in further cases the fact that this d</w:t>
      </w:r>
      <w:r w:rsidR="00F6699D">
        <w:rPr>
          <w:lang w:val="en-GB"/>
        </w:rPr>
        <w:t>id</w:t>
      </w:r>
      <w:r w:rsidR="00B3362E">
        <w:rPr>
          <w:lang w:val="en-GB"/>
        </w:rPr>
        <w:t xml:space="preserve"> not fall within his area of expertise: </w:t>
      </w:r>
    </w:p>
    <w:p w14:paraId="6AC85E7D" w14:textId="78409245" w:rsidR="00084613" w:rsidRDefault="00B3362E" w:rsidP="00933231">
      <w:pPr>
        <w:ind w:left="708"/>
        <w:jc w:val="both"/>
        <w:rPr>
          <w:lang w:val="en-GB"/>
        </w:rPr>
      </w:pPr>
      <w:proofErr w:type="gramStart"/>
      <w:r>
        <w:rPr>
          <w:lang w:val="en-GB"/>
        </w:rPr>
        <w:t>above</w:t>
      </w:r>
      <w:proofErr w:type="gramEnd"/>
      <w:r>
        <w:rPr>
          <w:lang w:val="en-GB"/>
        </w:rPr>
        <w:t xml:space="preserve"> all, I’m a man of public international law and, </w:t>
      </w:r>
      <w:proofErr w:type="spellStart"/>
      <w:r>
        <w:rPr>
          <w:lang w:val="en-GB"/>
        </w:rPr>
        <w:t>ancillarily</w:t>
      </w:r>
      <w:proofErr w:type="spellEnd"/>
      <w:r>
        <w:rPr>
          <w:lang w:val="en-GB"/>
        </w:rPr>
        <w:t>, of private international law.</w:t>
      </w:r>
      <w:r w:rsidR="000D07B0">
        <w:rPr>
          <w:lang w:val="en-GB"/>
        </w:rPr>
        <w:t xml:space="preserve"> Afterwards, I have always refused to become involved in cases. I have been contacted concerning certain delicate questions of human rights, but I said: let the attorneys [do their work]. And it was since Van </w:t>
      </w:r>
      <w:proofErr w:type="spellStart"/>
      <w:r w:rsidR="000D07B0">
        <w:rPr>
          <w:lang w:val="en-GB"/>
        </w:rPr>
        <w:t>Oosterwijck</w:t>
      </w:r>
      <w:proofErr w:type="spellEnd"/>
      <w:r w:rsidR="000D07B0">
        <w:rPr>
          <w:lang w:val="en-GB"/>
        </w:rPr>
        <w:t xml:space="preserve"> was without an attorney. […] But I have never been an attorney […]</w:t>
      </w:r>
      <w:proofErr w:type="gramStart"/>
      <w:r w:rsidR="000D07B0">
        <w:rPr>
          <w:lang w:val="en-GB"/>
        </w:rPr>
        <w:t>,</w:t>
      </w:r>
      <w:proofErr w:type="gramEnd"/>
      <w:r w:rsidR="000D07B0">
        <w:rPr>
          <w:lang w:val="en-GB"/>
        </w:rPr>
        <w:t xml:space="preserve"> I have never been anything but a p</w:t>
      </w:r>
      <w:r w:rsidR="00652869">
        <w:rPr>
          <w:lang w:val="en-GB"/>
        </w:rPr>
        <w:t>rofessor in the classical sense</w:t>
      </w:r>
      <w:r w:rsidR="000D07B0">
        <w:rPr>
          <w:rStyle w:val="Voetnootmarkering"/>
          <w:lang w:val="en-GB"/>
        </w:rPr>
        <w:footnoteReference w:id="127"/>
      </w:r>
      <w:r w:rsidR="00652869">
        <w:rPr>
          <w:lang w:val="en-GB"/>
        </w:rPr>
        <w:t>.</w:t>
      </w:r>
    </w:p>
    <w:p w14:paraId="6C188A85" w14:textId="77777777" w:rsidR="00933231" w:rsidRDefault="00802B0A" w:rsidP="001A19D0">
      <w:pPr>
        <w:ind w:firstLine="708"/>
        <w:jc w:val="both"/>
        <w:rPr>
          <w:lang w:val="en-GB"/>
        </w:rPr>
      </w:pPr>
      <w:r>
        <w:rPr>
          <w:lang w:val="en-GB"/>
        </w:rPr>
        <w:t xml:space="preserve">Also an attorney’s geographical location may play a role </w:t>
      </w:r>
      <w:r w:rsidR="004A0A88">
        <w:rPr>
          <w:lang w:val="en-GB"/>
        </w:rPr>
        <w:t xml:space="preserve">in </w:t>
      </w:r>
      <w:r>
        <w:rPr>
          <w:lang w:val="en-GB"/>
        </w:rPr>
        <w:t>whether he or she receives interesting case</w:t>
      </w:r>
      <w:r w:rsidR="00B837C4">
        <w:rPr>
          <w:lang w:val="en-GB"/>
        </w:rPr>
        <w:t>s with a human rights dimension.</w:t>
      </w:r>
      <w:r>
        <w:rPr>
          <w:lang w:val="en-GB"/>
        </w:rPr>
        <w:t xml:space="preserve"> According to Françoise De </w:t>
      </w:r>
      <w:proofErr w:type="spellStart"/>
      <w:r>
        <w:rPr>
          <w:lang w:val="en-GB"/>
        </w:rPr>
        <w:t>Croo-Desguin</w:t>
      </w:r>
      <w:proofErr w:type="spellEnd"/>
      <w:r>
        <w:rPr>
          <w:lang w:val="en-GB"/>
        </w:rPr>
        <w:t xml:space="preserve">, the applicant’s lawyer in the </w:t>
      </w:r>
      <w:r>
        <w:rPr>
          <w:i/>
          <w:lang w:val="en-GB"/>
        </w:rPr>
        <w:t xml:space="preserve">De </w:t>
      </w:r>
      <w:proofErr w:type="spellStart"/>
      <w:r>
        <w:rPr>
          <w:i/>
          <w:lang w:val="en-GB"/>
        </w:rPr>
        <w:t>Cubber</w:t>
      </w:r>
      <w:proofErr w:type="spellEnd"/>
      <w:r>
        <w:rPr>
          <w:i/>
          <w:lang w:val="en-GB"/>
        </w:rPr>
        <w:t xml:space="preserve"> </w:t>
      </w:r>
      <w:r>
        <w:rPr>
          <w:lang w:val="en-GB"/>
        </w:rPr>
        <w:t>case</w:t>
      </w:r>
      <w:r w:rsidR="00F6699D">
        <w:rPr>
          <w:lang w:val="en-GB"/>
        </w:rPr>
        <w:t xml:space="preserve"> (1984)</w:t>
      </w:r>
      <w:r w:rsidR="00933231">
        <w:rPr>
          <w:lang w:val="en-GB"/>
        </w:rPr>
        <w:t>,</w:t>
      </w:r>
    </w:p>
    <w:p w14:paraId="23DDD0E8" w14:textId="62B13487" w:rsidR="00300B89" w:rsidRDefault="00802B0A" w:rsidP="00933231">
      <w:pPr>
        <w:ind w:left="708"/>
        <w:jc w:val="both"/>
        <w:rPr>
          <w:lang w:val="en-GB"/>
        </w:rPr>
      </w:pPr>
      <w:proofErr w:type="gramStart"/>
      <w:r>
        <w:rPr>
          <w:lang w:val="en-GB"/>
        </w:rPr>
        <w:t>nobody</w:t>
      </w:r>
      <w:proofErr w:type="gramEnd"/>
      <w:r>
        <w:rPr>
          <w:lang w:val="en-GB"/>
        </w:rPr>
        <w:t xml:space="preserve"> ever asked me anymore [to go to Strasbourg] of course. At first I thought that maybe shortly after the case… but that didn’t happen anymore. But I’m from </w:t>
      </w:r>
      <w:proofErr w:type="spellStart"/>
      <w:r>
        <w:rPr>
          <w:lang w:val="en-GB"/>
        </w:rPr>
        <w:t>Oudenaarde</w:t>
      </w:r>
      <w:proofErr w:type="spellEnd"/>
      <w:r>
        <w:rPr>
          <w:lang w:val="en-GB"/>
        </w:rPr>
        <w:t>, that’s a small</w:t>
      </w:r>
      <w:r w:rsidR="00B837C4">
        <w:rPr>
          <w:lang w:val="en-GB"/>
        </w:rPr>
        <w:t xml:space="preserve"> court where things don’t move a lot, without a lot of interesting cases. I also continued to specialize more and more in family law, althou</w:t>
      </w:r>
      <w:r w:rsidR="00652869">
        <w:rPr>
          <w:lang w:val="en-GB"/>
        </w:rPr>
        <w:t>gh I still take what I can take</w:t>
      </w:r>
      <w:r w:rsidR="00B837C4">
        <w:rPr>
          <w:rStyle w:val="Voetnootmarkering"/>
          <w:lang w:val="en-GB"/>
        </w:rPr>
        <w:footnoteReference w:id="128"/>
      </w:r>
      <w:r w:rsidR="00652869">
        <w:rPr>
          <w:lang w:val="en-GB"/>
        </w:rPr>
        <w:t>.</w:t>
      </w:r>
    </w:p>
    <w:p w14:paraId="5B2FF32C" w14:textId="77777777" w:rsidR="00933231" w:rsidRDefault="00B837C4" w:rsidP="001A19D0">
      <w:pPr>
        <w:ind w:firstLine="708"/>
        <w:jc w:val="both"/>
        <w:rPr>
          <w:lang w:val="en-GB"/>
        </w:rPr>
      </w:pPr>
      <w:r>
        <w:rPr>
          <w:lang w:val="en-GB"/>
        </w:rPr>
        <w:t xml:space="preserve">When asked why </w:t>
      </w:r>
      <w:r w:rsidR="004A0A88">
        <w:rPr>
          <w:lang w:val="en-GB"/>
        </w:rPr>
        <w:t xml:space="preserve">he </w:t>
      </w:r>
      <w:r>
        <w:rPr>
          <w:lang w:val="en-GB"/>
        </w:rPr>
        <w:t xml:space="preserve">went to Strasbourg in certain cases </w:t>
      </w:r>
      <w:r w:rsidR="001F471B">
        <w:rPr>
          <w:lang w:val="en-GB"/>
        </w:rPr>
        <w:t xml:space="preserve">but not in others, repeat player Raoul Neuroth, who had been the attorney in the </w:t>
      </w:r>
      <w:proofErr w:type="spellStart"/>
      <w:r w:rsidR="001F471B">
        <w:rPr>
          <w:i/>
          <w:lang w:val="en-GB"/>
        </w:rPr>
        <w:t>Lamy</w:t>
      </w:r>
      <w:proofErr w:type="spellEnd"/>
      <w:r w:rsidR="001F471B">
        <w:rPr>
          <w:i/>
          <w:lang w:val="en-GB"/>
        </w:rPr>
        <w:t xml:space="preserve"> </w:t>
      </w:r>
      <w:r w:rsidR="001F471B">
        <w:rPr>
          <w:lang w:val="en-GB"/>
        </w:rPr>
        <w:t>case</w:t>
      </w:r>
      <w:r w:rsidR="00F6699D">
        <w:rPr>
          <w:lang w:val="en-GB"/>
        </w:rPr>
        <w:t xml:space="preserve"> (1989)</w:t>
      </w:r>
      <w:r w:rsidR="001F471B">
        <w:rPr>
          <w:lang w:val="en-GB"/>
        </w:rPr>
        <w:t xml:space="preserve"> and who obtained a friendly settlement in 2014 in the </w:t>
      </w:r>
      <w:r w:rsidR="001F471B" w:rsidRPr="00815FE9">
        <w:rPr>
          <w:i/>
          <w:lang w:val="en-GB"/>
        </w:rPr>
        <w:t xml:space="preserve">Arslan </w:t>
      </w:r>
      <w:r w:rsidR="00652869">
        <w:rPr>
          <w:lang w:val="en-GB"/>
        </w:rPr>
        <w:t>case</w:t>
      </w:r>
      <w:r w:rsidR="00815FE9">
        <w:rPr>
          <w:rStyle w:val="Voetnootmarkering"/>
          <w:lang w:val="en-GB"/>
        </w:rPr>
        <w:footnoteReference w:id="129"/>
      </w:r>
      <w:r w:rsidR="00652869">
        <w:rPr>
          <w:lang w:val="en-GB"/>
        </w:rPr>
        <w:t>,</w:t>
      </w:r>
      <w:r>
        <w:rPr>
          <w:lang w:val="en-GB"/>
        </w:rPr>
        <w:t xml:space="preserve"> </w:t>
      </w:r>
      <w:r w:rsidR="001F471B">
        <w:rPr>
          <w:lang w:val="en-GB"/>
        </w:rPr>
        <w:t>pointed to fact that resources are an important factor in deciding whether or not to go to Strasb</w:t>
      </w:r>
      <w:r w:rsidR="00933231">
        <w:rPr>
          <w:lang w:val="en-GB"/>
        </w:rPr>
        <w:t>ourg:</w:t>
      </w:r>
    </w:p>
    <w:p w14:paraId="75A2DC9A" w14:textId="574CB2F7" w:rsidR="00933231" w:rsidRDefault="00815FE9" w:rsidP="00933231">
      <w:pPr>
        <w:ind w:left="708"/>
        <w:jc w:val="both"/>
        <w:rPr>
          <w:lang w:val="en-GB"/>
        </w:rPr>
      </w:pPr>
      <w:r>
        <w:rPr>
          <w:lang w:val="en-GB"/>
        </w:rPr>
        <w:t>There have been other cases where there was the possibility to do so, but the problem is that the people don’t always have the means.</w:t>
      </w:r>
      <w:r w:rsidR="003F05B8">
        <w:rPr>
          <w:lang w:val="en-GB"/>
        </w:rPr>
        <w:t xml:space="preserve"> If you earn less than 1200 euros, you have the right to a </w:t>
      </w:r>
      <w:r w:rsidR="003F05B8">
        <w:rPr>
          <w:i/>
          <w:lang w:val="en-GB"/>
        </w:rPr>
        <w:t xml:space="preserve">pro </w:t>
      </w:r>
      <w:proofErr w:type="spellStart"/>
      <w:r w:rsidR="003F05B8">
        <w:rPr>
          <w:i/>
          <w:lang w:val="en-GB"/>
        </w:rPr>
        <w:t>deo</w:t>
      </w:r>
      <w:proofErr w:type="spellEnd"/>
      <w:r w:rsidR="003F05B8">
        <w:rPr>
          <w:i/>
          <w:lang w:val="en-GB"/>
        </w:rPr>
        <w:t xml:space="preserve"> </w:t>
      </w:r>
      <w:r w:rsidR="003F05B8">
        <w:rPr>
          <w:lang w:val="en-GB"/>
        </w:rPr>
        <w:t>attorney, but if you have 1201 euros, you have the right to nothing. So if you say to people that there will be fees, they say: ‘</w:t>
      </w:r>
      <w:proofErr w:type="spellStart"/>
      <w:r w:rsidR="003F05B8">
        <w:rPr>
          <w:lang w:val="en-GB"/>
        </w:rPr>
        <w:t>pff</w:t>
      </w:r>
      <w:proofErr w:type="spellEnd"/>
      <w:r w:rsidR="003F05B8">
        <w:rPr>
          <w:lang w:val="en-GB"/>
        </w:rPr>
        <w:t>, drop it, I prefer not to go.’ So there have been cases in which I really want</w:t>
      </w:r>
      <w:r w:rsidR="004A0A88">
        <w:rPr>
          <w:lang w:val="en-GB"/>
        </w:rPr>
        <w:t>ed</w:t>
      </w:r>
      <w:r w:rsidR="003F05B8">
        <w:rPr>
          <w:lang w:val="en-GB"/>
        </w:rPr>
        <w:t xml:space="preserve"> to go, but the client did not want to continue. […] </w:t>
      </w:r>
      <w:r w:rsidR="00084613">
        <w:rPr>
          <w:lang w:val="en-GB"/>
        </w:rPr>
        <w:t xml:space="preserve">But I had the chance of having Mr. </w:t>
      </w:r>
      <w:proofErr w:type="spellStart"/>
      <w:r w:rsidR="00084613">
        <w:rPr>
          <w:lang w:val="en-GB"/>
        </w:rPr>
        <w:t>Lamy</w:t>
      </w:r>
      <w:proofErr w:type="spellEnd"/>
      <w:r w:rsidR="00084613">
        <w:rPr>
          <w:lang w:val="en-GB"/>
        </w:rPr>
        <w:t xml:space="preserve"> […] who gave me </w:t>
      </w:r>
      <w:r w:rsidR="00084613">
        <w:rPr>
          <w:i/>
          <w:lang w:val="en-GB"/>
        </w:rPr>
        <w:t>carte blanche</w:t>
      </w:r>
      <w:r w:rsidR="00084613">
        <w:rPr>
          <w:lang w:val="en-GB"/>
        </w:rPr>
        <w:t xml:space="preserve"> to do everything that was </w:t>
      </w:r>
      <w:r w:rsidR="00652869">
        <w:rPr>
          <w:lang w:val="en-GB"/>
        </w:rPr>
        <w:t>necessary to recover his honour</w:t>
      </w:r>
      <w:r w:rsidR="00084613">
        <w:rPr>
          <w:rStyle w:val="Voetnootmarkering"/>
          <w:lang w:val="en-GB"/>
        </w:rPr>
        <w:footnoteReference w:id="130"/>
      </w:r>
      <w:r w:rsidR="00652869">
        <w:rPr>
          <w:lang w:val="en-GB"/>
        </w:rPr>
        <w:t>.</w:t>
      </w:r>
    </w:p>
    <w:p w14:paraId="0FA4128D" w14:textId="03F5EA0C" w:rsidR="00E54E49" w:rsidRDefault="006D7206" w:rsidP="00933231">
      <w:pPr>
        <w:jc w:val="both"/>
        <w:rPr>
          <w:lang w:val="en-GB"/>
        </w:rPr>
      </w:pPr>
      <w:r>
        <w:rPr>
          <w:lang w:val="en-GB"/>
        </w:rPr>
        <w:t>According to r</w:t>
      </w:r>
      <w:r w:rsidR="00300B89">
        <w:rPr>
          <w:lang w:val="en-GB"/>
        </w:rPr>
        <w:t xml:space="preserve">epeat player Bernard Maingain, who represented the applicant in the </w:t>
      </w:r>
      <w:r w:rsidR="00300B89">
        <w:rPr>
          <w:i/>
          <w:lang w:val="en-GB"/>
        </w:rPr>
        <w:t>Mathieu-</w:t>
      </w:r>
      <w:proofErr w:type="spellStart"/>
      <w:r w:rsidR="00300B89">
        <w:rPr>
          <w:i/>
          <w:lang w:val="en-GB"/>
        </w:rPr>
        <w:t>Mohin</w:t>
      </w:r>
      <w:proofErr w:type="spellEnd"/>
      <w:r w:rsidR="00300B89">
        <w:rPr>
          <w:i/>
          <w:lang w:val="en-GB"/>
        </w:rPr>
        <w:t xml:space="preserve"> and </w:t>
      </w:r>
      <w:proofErr w:type="spellStart"/>
      <w:r w:rsidR="00300B89">
        <w:rPr>
          <w:i/>
          <w:lang w:val="en-GB"/>
        </w:rPr>
        <w:t>Clerfayt</w:t>
      </w:r>
      <w:proofErr w:type="spellEnd"/>
      <w:r w:rsidR="00300B89">
        <w:rPr>
          <w:i/>
          <w:lang w:val="en-GB"/>
        </w:rPr>
        <w:t xml:space="preserve"> </w:t>
      </w:r>
      <w:r>
        <w:rPr>
          <w:lang w:val="en-GB"/>
        </w:rPr>
        <w:t>case</w:t>
      </w:r>
      <w:r w:rsidR="00F6699D">
        <w:rPr>
          <w:lang w:val="en-GB"/>
        </w:rPr>
        <w:t xml:space="preserve"> (1987)</w:t>
      </w:r>
      <w:r>
        <w:rPr>
          <w:lang w:val="en-GB"/>
        </w:rPr>
        <w:t>, “I have lodged three or four applications, but without any result. You know, in your life, you cannot be a specialist in human rights. You can be a professor, but as an attorney, you</w:t>
      </w:r>
      <w:r w:rsidR="00652869">
        <w:rPr>
          <w:lang w:val="en-GB"/>
        </w:rPr>
        <w:t xml:space="preserve"> cannot make a living from that</w:t>
      </w:r>
      <w:r>
        <w:rPr>
          <w:lang w:val="en-GB"/>
        </w:rPr>
        <w:t>”</w:t>
      </w:r>
      <w:r>
        <w:rPr>
          <w:rStyle w:val="Voetnootmarkering"/>
          <w:lang w:val="en-GB"/>
        </w:rPr>
        <w:footnoteReference w:id="131"/>
      </w:r>
      <w:r w:rsidR="00652869">
        <w:rPr>
          <w:lang w:val="en-GB"/>
        </w:rPr>
        <w:t>.</w:t>
      </w:r>
      <w:r>
        <w:rPr>
          <w:lang w:val="en-GB"/>
        </w:rPr>
        <w:t xml:space="preserve"> This </w:t>
      </w:r>
      <w:r w:rsidR="00E54E49">
        <w:rPr>
          <w:lang w:val="en-GB"/>
        </w:rPr>
        <w:t>probably hints to the</w:t>
      </w:r>
      <w:r>
        <w:rPr>
          <w:lang w:val="en-GB"/>
        </w:rPr>
        <w:t xml:space="preserve"> most important reason why the number of repeat players is relatively low</w:t>
      </w:r>
      <w:r w:rsidR="00E54E49">
        <w:rPr>
          <w:lang w:val="en-GB"/>
        </w:rPr>
        <w:t xml:space="preserve"> and why even repeat players typically did not lodge more </w:t>
      </w:r>
      <w:r w:rsidR="00E54E49">
        <w:rPr>
          <w:lang w:val="en-GB"/>
        </w:rPr>
        <w:lastRenderedPageBreak/>
        <w:t>than a handful of applications in Strasbourg</w:t>
      </w:r>
      <w:r w:rsidR="00E54E49">
        <w:rPr>
          <w:rStyle w:val="Voetnootmarkering"/>
          <w:lang w:val="en-GB"/>
        </w:rPr>
        <w:footnoteReference w:id="132"/>
      </w:r>
      <w:r w:rsidR="00E54E49">
        <w:rPr>
          <w:lang w:val="en-GB"/>
        </w:rPr>
        <w:t>: Belgium may simply be too small and human rights cases too scarce for attorneys to build a career in the area of human rights.</w:t>
      </w:r>
    </w:p>
    <w:p w14:paraId="24685C87" w14:textId="77777777" w:rsidR="00803BA4" w:rsidRDefault="00803BA4" w:rsidP="00483E51">
      <w:pPr>
        <w:jc w:val="both"/>
        <w:rPr>
          <w:i/>
          <w:lang w:val="en-GB"/>
        </w:rPr>
      </w:pPr>
    </w:p>
    <w:p w14:paraId="52B26E73" w14:textId="77777777" w:rsidR="002D4246" w:rsidRPr="002D4246" w:rsidRDefault="002D4246" w:rsidP="00483E51">
      <w:pPr>
        <w:jc w:val="both"/>
        <w:rPr>
          <w:i/>
          <w:lang w:val="en-GB"/>
        </w:rPr>
      </w:pPr>
      <w:r>
        <w:rPr>
          <w:i/>
          <w:lang w:val="en-GB"/>
        </w:rPr>
        <w:t>Academic actors</w:t>
      </w:r>
    </w:p>
    <w:p w14:paraId="22440F97" w14:textId="3DCF1D76" w:rsidR="002D4246" w:rsidRDefault="004003B5" w:rsidP="001A19D0">
      <w:pPr>
        <w:ind w:firstLine="708"/>
        <w:jc w:val="both"/>
        <w:rPr>
          <w:lang w:val="en-GB"/>
        </w:rPr>
      </w:pPr>
      <w:r w:rsidRPr="00221223">
        <w:rPr>
          <w:lang w:val="en-GB"/>
        </w:rPr>
        <w:t xml:space="preserve">In addition, it is clear from the data that there is an overrepresentation of actors with </w:t>
      </w:r>
      <w:r w:rsidR="00722DD8" w:rsidRPr="00221223">
        <w:rPr>
          <w:lang w:val="en-GB"/>
        </w:rPr>
        <w:t>an</w:t>
      </w:r>
      <w:r w:rsidRPr="00221223">
        <w:rPr>
          <w:lang w:val="en-GB"/>
        </w:rPr>
        <w:t xml:space="preserve"> academic profile. </w:t>
      </w:r>
      <w:r w:rsidR="00683DA7">
        <w:rPr>
          <w:lang w:val="en-GB"/>
        </w:rPr>
        <w:t xml:space="preserve">For example, Moni Van Look, who represented the applicant in the </w:t>
      </w:r>
      <w:r w:rsidR="00683DA7">
        <w:rPr>
          <w:i/>
          <w:lang w:val="en-GB"/>
        </w:rPr>
        <w:t xml:space="preserve">Marckx </w:t>
      </w:r>
      <w:r w:rsidR="00683DA7">
        <w:rPr>
          <w:lang w:val="en-GB"/>
        </w:rPr>
        <w:t>case</w:t>
      </w:r>
      <w:r w:rsidR="00F6699D">
        <w:rPr>
          <w:lang w:val="en-GB"/>
        </w:rPr>
        <w:t xml:space="preserve"> (1979)</w:t>
      </w:r>
      <w:r w:rsidR="00683DA7">
        <w:rPr>
          <w:lang w:val="en-GB"/>
        </w:rPr>
        <w:t>, was an academic assistant in the area of family law at the</w:t>
      </w:r>
      <w:r w:rsidR="00683DA7" w:rsidRPr="00683DA7">
        <w:rPr>
          <w:i/>
          <w:lang w:val="en-GB"/>
        </w:rPr>
        <w:t xml:space="preserve"> </w:t>
      </w:r>
      <w:proofErr w:type="spellStart"/>
      <w:r w:rsidR="00683DA7">
        <w:rPr>
          <w:i/>
          <w:lang w:val="en-GB"/>
        </w:rPr>
        <w:t>Katholieke</w:t>
      </w:r>
      <w:proofErr w:type="spellEnd"/>
      <w:r w:rsidR="00683DA7">
        <w:rPr>
          <w:i/>
          <w:lang w:val="en-GB"/>
        </w:rPr>
        <w:t xml:space="preserve"> Universiteit Leuven</w:t>
      </w:r>
      <w:r w:rsidR="00683DA7">
        <w:rPr>
          <w:lang w:val="en-GB"/>
        </w:rPr>
        <w:t xml:space="preserve">. She was contacted </w:t>
      </w:r>
      <w:r w:rsidR="003A7272">
        <w:rPr>
          <w:lang w:val="en-GB"/>
        </w:rPr>
        <w:t xml:space="preserve">by the applicant via Tilly </w:t>
      </w:r>
      <w:proofErr w:type="spellStart"/>
      <w:r w:rsidR="003A7272">
        <w:rPr>
          <w:lang w:val="en-GB"/>
        </w:rPr>
        <w:t>Stuckens</w:t>
      </w:r>
      <w:proofErr w:type="spellEnd"/>
      <w:r w:rsidR="003A7272">
        <w:rPr>
          <w:lang w:val="en-GB"/>
        </w:rPr>
        <w:t xml:space="preserve">, a journalist whom </w:t>
      </w:r>
      <w:r w:rsidR="005C2CAF">
        <w:rPr>
          <w:lang w:val="en-GB"/>
        </w:rPr>
        <w:t xml:space="preserve">she knew from feminist circles. While Paula Marckx had lodged her application herself by way of a simple letter, the Commission had indicated that </w:t>
      </w:r>
      <w:r w:rsidR="001D3303">
        <w:rPr>
          <w:lang w:val="en-GB"/>
        </w:rPr>
        <w:t>the application needed to be formalized and it became too technical so they advised Marckx to seek support of a lawyer.</w:t>
      </w:r>
      <w:r w:rsidR="005C2CAF">
        <w:rPr>
          <w:lang w:val="en-GB"/>
        </w:rPr>
        <w:t xml:space="preserve"> At the time, Van Look </w:t>
      </w:r>
      <w:r w:rsidR="00683DA7">
        <w:rPr>
          <w:lang w:val="en-GB"/>
        </w:rPr>
        <w:t xml:space="preserve">wanted </w:t>
      </w:r>
      <w:r w:rsidR="005C2CAF">
        <w:rPr>
          <w:lang w:val="en-GB"/>
        </w:rPr>
        <w:t xml:space="preserve">to write a PhD on divorce legislation, </w:t>
      </w:r>
      <w:r w:rsidR="00683DA7">
        <w:rPr>
          <w:lang w:val="en-GB"/>
        </w:rPr>
        <w:t>but</w:t>
      </w:r>
      <w:r w:rsidR="005C2CAF">
        <w:rPr>
          <w:lang w:val="en-GB"/>
        </w:rPr>
        <w:t xml:space="preserve"> she had also written on issues like children b</w:t>
      </w:r>
      <w:r w:rsidR="001D3303">
        <w:rPr>
          <w:lang w:val="en-GB"/>
        </w:rPr>
        <w:t>orn out of wedlock and adoption</w:t>
      </w:r>
      <w:r w:rsidR="00683DA7">
        <w:rPr>
          <w:lang w:val="en-GB"/>
        </w:rPr>
        <w:t xml:space="preserve"> </w:t>
      </w:r>
      <w:r w:rsidR="00683DA7">
        <w:rPr>
          <w:rStyle w:val="sfbbfee58"/>
          <w:lang w:val="en-GB"/>
        </w:rPr>
        <w:t xml:space="preserve">– </w:t>
      </w:r>
      <w:r w:rsidR="001D3303">
        <w:rPr>
          <w:lang w:val="en-GB"/>
        </w:rPr>
        <w:t>she only later joined the Bar, in September 1976, while the proceedings were pending. “I wasn’t really working on human rights. In the beginning</w:t>
      </w:r>
      <w:r w:rsidR="00EC4765">
        <w:rPr>
          <w:lang w:val="en-GB"/>
        </w:rPr>
        <w:t xml:space="preserve"> I thought I was just going to help her with respect to the question of admissibility. Later, my involvement became more formal and then you need to search for arguments that can be linked to the Convention articles. I was not used to this kind of work and I was surprised by the arguments I came </w:t>
      </w:r>
      <w:r w:rsidR="00CF7DE1">
        <w:rPr>
          <w:lang w:val="en-GB"/>
        </w:rPr>
        <w:t>up with myself</w:t>
      </w:r>
      <w:r w:rsidR="00683DA7">
        <w:rPr>
          <w:lang w:val="en-GB"/>
        </w:rPr>
        <w:t>”</w:t>
      </w:r>
      <w:r w:rsidR="00683DA7">
        <w:rPr>
          <w:rStyle w:val="Voetnootmarkering"/>
          <w:lang w:val="en-GB"/>
        </w:rPr>
        <w:footnoteReference w:id="133"/>
      </w:r>
      <w:r w:rsidR="00652869">
        <w:rPr>
          <w:lang w:val="en-GB"/>
        </w:rPr>
        <w:t>.</w:t>
      </w:r>
    </w:p>
    <w:p w14:paraId="5AA189DE" w14:textId="77777777" w:rsidR="00933231" w:rsidRDefault="006956C1" w:rsidP="001A19D0">
      <w:pPr>
        <w:ind w:firstLine="708"/>
        <w:jc w:val="both"/>
        <w:rPr>
          <w:lang w:val="en-GB"/>
        </w:rPr>
      </w:pPr>
      <w:r>
        <w:rPr>
          <w:lang w:val="en-GB"/>
        </w:rPr>
        <w:t xml:space="preserve">Joe </w:t>
      </w:r>
      <w:proofErr w:type="spellStart"/>
      <w:r>
        <w:rPr>
          <w:lang w:val="en-GB"/>
        </w:rPr>
        <w:t>Verhoeven</w:t>
      </w:r>
      <w:proofErr w:type="spellEnd"/>
      <w:r>
        <w:rPr>
          <w:lang w:val="en-GB"/>
        </w:rPr>
        <w:t xml:space="preserve">, in turn, was working at the </w:t>
      </w:r>
      <w:proofErr w:type="spellStart"/>
      <w:r>
        <w:rPr>
          <w:i/>
          <w:lang w:val="en-GB"/>
        </w:rPr>
        <w:t>Université</w:t>
      </w:r>
      <w:proofErr w:type="spellEnd"/>
      <w:r>
        <w:rPr>
          <w:i/>
          <w:lang w:val="en-GB"/>
        </w:rPr>
        <w:t xml:space="preserve"> </w:t>
      </w:r>
      <w:proofErr w:type="spellStart"/>
      <w:r>
        <w:rPr>
          <w:i/>
          <w:lang w:val="en-GB"/>
        </w:rPr>
        <w:t>Catholique</w:t>
      </w:r>
      <w:proofErr w:type="spellEnd"/>
      <w:r>
        <w:rPr>
          <w:i/>
          <w:lang w:val="en-GB"/>
        </w:rPr>
        <w:t xml:space="preserve"> de Louvain</w:t>
      </w:r>
      <w:r w:rsidR="006F3456">
        <w:rPr>
          <w:lang w:val="en-GB"/>
        </w:rPr>
        <w:t xml:space="preserve"> in the ar</w:t>
      </w:r>
      <w:r w:rsidR="006F0B15">
        <w:rPr>
          <w:lang w:val="en-GB"/>
        </w:rPr>
        <w:t xml:space="preserve">ea of public international law, when he became involved in the </w:t>
      </w:r>
      <w:r w:rsidR="006F0B15">
        <w:rPr>
          <w:i/>
          <w:lang w:val="en-GB"/>
        </w:rPr>
        <w:t xml:space="preserve">Van </w:t>
      </w:r>
      <w:proofErr w:type="spellStart"/>
      <w:r w:rsidR="006F0B15">
        <w:rPr>
          <w:i/>
          <w:lang w:val="en-GB"/>
        </w:rPr>
        <w:t>Oosterwijck</w:t>
      </w:r>
      <w:proofErr w:type="spellEnd"/>
      <w:r w:rsidR="006F0B15">
        <w:rPr>
          <w:i/>
          <w:lang w:val="en-GB"/>
        </w:rPr>
        <w:t xml:space="preserve"> </w:t>
      </w:r>
      <w:r w:rsidR="006F0B15">
        <w:rPr>
          <w:lang w:val="en-GB"/>
        </w:rPr>
        <w:t>case</w:t>
      </w:r>
      <w:r w:rsidR="00F6699D">
        <w:rPr>
          <w:lang w:val="en-GB"/>
        </w:rPr>
        <w:t xml:space="preserve"> (1980)</w:t>
      </w:r>
      <w:r w:rsidR="006F0B15">
        <w:rPr>
          <w:lang w:val="en-GB"/>
        </w:rPr>
        <w:t xml:space="preserve">. The applicant, who himself was a student of law when filing his application and later graduated and joined the Brussels Bar while the Strasbourg proceedings were pending, had been in contact with François </w:t>
      </w:r>
      <w:proofErr w:type="spellStart"/>
      <w:r w:rsidR="006F0B15">
        <w:rPr>
          <w:lang w:val="en-GB"/>
        </w:rPr>
        <w:t>Rigaux</w:t>
      </w:r>
      <w:proofErr w:type="spellEnd"/>
      <w:r w:rsidR="006F0B15">
        <w:rPr>
          <w:lang w:val="en-GB"/>
        </w:rPr>
        <w:t xml:space="preserve">, professor </w:t>
      </w:r>
      <w:r w:rsidR="004A0A88">
        <w:rPr>
          <w:lang w:val="en-GB"/>
        </w:rPr>
        <w:t xml:space="preserve">of </w:t>
      </w:r>
      <w:r w:rsidR="006F0B15">
        <w:rPr>
          <w:lang w:val="en-GB"/>
        </w:rPr>
        <w:t xml:space="preserve">international law at the </w:t>
      </w:r>
      <w:proofErr w:type="spellStart"/>
      <w:r w:rsidR="006F0B15">
        <w:rPr>
          <w:i/>
          <w:lang w:val="en-GB"/>
        </w:rPr>
        <w:t>Université</w:t>
      </w:r>
      <w:proofErr w:type="spellEnd"/>
      <w:r w:rsidR="006F0B15">
        <w:rPr>
          <w:i/>
          <w:lang w:val="en-GB"/>
        </w:rPr>
        <w:t xml:space="preserve"> </w:t>
      </w:r>
      <w:proofErr w:type="spellStart"/>
      <w:r w:rsidR="006F0B15">
        <w:rPr>
          <w:i/>
          <w:lang w:val="en-GB"/>
        </w:rPr>
        <w:t>Catholique</w:t>
      </w:r>
      <w:proofErr w:type="spellEnd"/>
      <w:r w:rsidR="006F0B15">
        <w:rPr>
          <w:i/>
          <w:lang w:val="en-GB"/>
        </w:rPr>
        <w:t xml:space="preserve"> de Louvain</w:t>
      </w:r>
      <w:r w:rsidR="006F0B15">
        <w:rPr>
          <w:lang w:val="en-GB"/>
        </w:rPr>
        <w:t xml:space="preserve">, concerning his application </w:t>
      </w:r>
      <w:r w:rsidR="00D90DF0">
        <w:rPr>
          <w:lang w:val="en-GB"/>
        </w:rPr>
        <w:t>in which he complained</w:t>
      </w:r>
      <w:r w:rsidR="006F0B15">
        <w:rPr>
          <w:lang w:val="en-GB"/>
        </w:rPr>
        <w:t xml:space="preserve"> about the impossibility to have his female-to-male gender reassignment legally recognized. </w:t>
      </w:r>
      <w:r w:rsidR="002D4246">
        <w:rPr>
          <w:lang w:val="en-GB"/>
        </w:rPr>
        <w:t xml:space="preserve">According to </w:t>
      </w:r>
      <w:proofErr w:type="spellStart"/>
      <w:r w:rsidR="002D4246">
        <w:rPr>
          <w:lang w:val="en-GB"/>
        </w:rPr>
        <w:t>Verhoeven</w:t>
      </w:r>
      <w:proofErr w:type="spellEnd"/>
      <w:r w:rsidR="002D4246">
        <w:rPr>
          <w:lang w:val="en-GB"/>
        </w:rPr>
        <w:t xml:space="preserve">, “he had probably contacted attorneys before, but they probably didn’t want to be associated with such a delicate case or demanded a lot of money to do so.” </w:t>
      </w:r>
      <w:r w:rsidR="006F0B15">
        <w:rPr>
          <w:lang w:val="en-GB"/>
        </w:rPr>
        <w:t xml:space="preserve">François </w:t>
      </w:r>
      <w:proofErr w:type="spellStart"/>
      <w:r w:rsidR="006F0B15">
        <w:rPr>
          <w:lang w:val="en-GB"/>
        </w:rPr>
        <w:t>Rigaux</w:t>
      </w:r>
      <w:proofErr w:type="spellEnd"/>
      <w:r w:rsidR="006F0B15">
        <w:rPr>
          <w:lang w:val="en-GB"/>
        </w:rPr>
        <w:t xml:space="preserve"> in turn referred the applicant to </w:t>
      </w:r>
      <w:proofErr w:type="spellStart"/>
      <w:r w:rsidR="006F0B15">
        <w:rPr>
          <w:lang w:val="en-GB"/>
        </w:rPr>
        <w:t>Verhoeven</w:t>
      </w:r>
      <w:proofErr w:type="spellEnd"/>
      <w:r w:rsidR="006F0B15">
        <w:rPr>
          <w:lang w:val="en-GB"/>
        </w:rPr>
        <w:t>: “</w:t>
      </w:r>
      <w:proofErr w:type="spellStart"/>
      <w:r w:rsidR="002D4246">
        <w:rPr>
          <w:lang w:val="en-GB"/>
        </w:rPr>
        <w:t>Rigaux</w:t>
      </w:r>
      <w:proofErr w:type="spellEnd"/>
      <w:r w:rsidR="002D4246">
        <w:rPr>
          <w:lang w:val="en-GB"/>
        </w:rPr>
        <w:t xml:space="preserve"> told Van </w:t>
      </w:r>
      <w:proofErr w:type="spellStart"/>
      <w:r w:rsidR="002D4246">
        <w:rPr>
          <w:lang w:val="en-GB"/>
        </w:rPr>
        <w:t>Oosterwijck</w:t>
      </w:r>
      <w:proofErr w:type="spellEnd"/>
      <w:r w:rsidR="002D4246">
        <w:rPr>
          <w:lang w:val="en-GB"/>
        </w:rPr>
        <w:t>: ‘g</w:t>
      </w:r>
      <w:r w:rsidR="006F0B15">
        <w:rPr>
          <w:lang w:val="en-GB"/>
        </w:rPr>
        <w:t xml:space="preserve">o to </w:t>
      </w:r>
      <w:proofErr w:type="spellStart"/>
      <w:r w:rsidR="006F0B15">
        <w:rPr>
          <w:lang w:val="en-GB"/>
        </w:rPr>
        <w:t>Verhoeven</w:t>
      </w:r>
      <w:proofErr w:type="spellEnd"/>
      <w:r w:rsidR="006F0B15">
        <w:rPr>
          <w:lang w:val="en-GB"/>
        </w:rPr>
        <w:t>, he knows more about this than I do</w:t>
      </w:r>
      <w:r w:rsidR="002D4246">
        <w:rPr>
          <w:lang w:val="en-GB"/>
        </w:rPr>
        <w:t>’</w:t>
      </w:r>
      <w:r w:rsidR="006F0B15">
        <w:rPr>
          <w:lang w:val="en-GB"/>
        </w:rPr>
        <w:t>, w</w:t>
      </w:r>
      <w:r w:rsidR="002D4246">
        <w:rPr>
          <w:lang w:val="en-GB"/>
        </w:rPr>
        <w:t>hich was not true. I told him that I was not specia</w:t>
      </w:r>
      <w:r w:rsidR="00D90DF0">
        <w:rPr>
          <w:lang w:val="en-GB"/>
        </w:rPr>
        <w:t>list in the European Convention, but that the Convention was not very complicated.</w:t>
      </w:r>
      <w:r w:rsidR="00C70E20">
        <w:rPr>
          <w:lang w:val="en-GB"/>
        </w:rPr>
        <w:t xml:space="preserve">” While </w:t>
      </w:r>
      <w:proofErr w:type="spellStart"/>
      <w:r w:rsidR="00C70E20">
        <w:rPr>
          <w:lang w:val="en-GB"/>
        </w:rPr>
        <w:t>Verhoeven</w:t>
      </w:r>
      <w:proofErr w:type="spellEnd"/>
      <w:r w:rsidR="00C70E20">
        <w:rPr>
          <w:lang w:val="en-GB"/>
        </w:rPr>
        <w:t xml:space="preserve"> was initially reticent, considering himself to be</w:t>
      </w:r>
      <w:r w:rsidR="00082383">
        <w:rPr>
          <w:lang w:val="en-GB"/>
        </w:rPr>
        <w:t xml:space="preserve"> typically</w:t>
      </w:r>
      <w:r w:rsidR="00C70E20">
        <w:rPr>
          <w:lang w:val="en-GB"/>
        </w:rPr>
        <w:t xml:space="preserve"> rather conservative as far as ethical questions are concerned and </w:t>
      </w:r>
      <w:r w:rsidR="00082383">
        <w:rPr>
          <w:lang w:val="en-GB"/>
        </w:rPr>
        <w:t xml:space="preserve">at first </w:t>
      </w:r>
      <w:r w:rsidR="002F58EB">
        <w:rPr>
          <w:lang w:val="en-GB"/>
        </w:rPr>
        <w:t xml:space="preserve">even </w:t>
      </w:r>
      <w:r w:rsidR="00C70E20">
        <w:rPr>
          <w:lang w:val="en-GB"/>
        </w:rPr>
        <w:t xml:space="preserve">considering the whole idea of gender reassignment </w:t>
      </w:r>
      <w:r w:rsidR="00082383">
        <w:rPr>
          <w:lang w:val="en-GB"/>
        </w:rPr>
        <w:t xml:space="preserve">bizarre, he talked to Van </w:t>
      </w:r>
      <w:proofErr w:type="spellStart"/>
      <w:r w:rsidR="00082383">
        <w:rPr>
          <w:lang w:val="en-GB"/>
        </w:rPr>
        <w:t>Oosterwijck</w:t>
      </w:r>
      <w:proofErr w:type="spellEnd"/>
      <w:r w:rsidR="00082383">
        <w:rPr>
          <w:lang w:val="en-GB"/>
        </w:rPr>
        <w:t xml:space="preserve"> and acknowledged that he was </w:t>
      </w:r>
      <w:r w:rsidR="00082383">
        <w:rPr>
          <w:lang w:val="en-GB"/>
        </w:rPr>
        <w:lastRenderedPageBreak/>
        <w:t xml:space="preserve">confronted with an “honest and brave man trying to do something about </w:t>
      </w:r>
      <w:r w:rsidR="004A0A88">
        <w:rPr>
          <w:lang w:val="en-GB"/>
        </w:rPr>
        <w:t xml:space="preserve">a </w:t>
      </w:r>
      <w:r w:rsidR="00082383">
        <w:rPr>
          <w:lang w:val="en-GB"/>
        </w:rPr>
        <w:t>situation that was very difficult for him.”</w:t>
      </w:r>
      <w:r w:rsidR="002F58EB">
        <w:rPr>
          <w:lang w:val="en-GB"/>
        </w:rPr>
        <w:t xml:space="preserve"> According to </w:t>
      </w:r>
      <w:proofErr w:type="spellStart"/>
      <w:r w:rsidR="002F58EB">
        <w:rPr>
          <w:lang w:val="en-GB"/>
        </w:rPr>
        <w:t>Verhoeven</w:t>
      </w:r>
      <w:proofErr w:type="spellEnd"/>
      <w:r w:rsidR="002F58EB">
        <w:rPr>
          <w:lang w:val="en-GB"/>
        </w:rPr>
        <w:t>,</w:t>
      </w:r>
    </w:p>
    <w:p w14:paraId="729ECF47" w14:textId="77777777" w:rsidR="00933231" w:rsidRDefault="00082383" w:rsidP="00933231">
      <w:pPr>
        <w:ind w:left="708"/>
        <w:jc w:val="both"/>
        <w:rPr>
          <w:lang w:val="en-GB"/>
        </w:rPr>
      </w:pPr>
      <w:r>
        <w:rPr>
          <w:lang w:val="en-GB"/>
        </w:rPr>
        <w:t>“</w:t>
      </w:r>
      <w:proofErr w:type="gramStart"/>
      <w:r w:rsidR="002F58EB">
        <w:rPr>
          <w:lang w:val="en-GB"/>
        </w:rPr>
        <w:t>t</w:t>
      </w:r>
      <w:r w:rsidR="00D90DF0">
        <w:rPr>
          <w:lang w:val="en-GB"/>
        </w:rPr>
        <w:t>his</w:t>
      </w:r>
      <w:proofErr w:type="gramEnd"/>
      <w:r w:rsidR="00D90DF0">
        <w:rPr>
          <w:lang w:val="en-GB"/>
        </w:rPr>
        <w:t xml:space="preserve"> way</w:t>
      </w:r>
      <w:r>
        <w:rPr>
          <w:lang w:val="en-GB"/>
        </w:rPr>
        <w:t xml:space="preserve">, via </w:t>
      </w:r>
      <w:proofErr w:type="spellStart"/>
      <w:r>
        <w:rPr>
          <w:lang w:val="en-GB"/>
        </w:rPr>
        <w:t>Rigaux</w:t>
      </w:r>
      <w:proofErr w:type="spellEnd"/>
      <w:r>
        <w:rPr>
          <w:lang w:val="en-GB"/>
        </w:rPr>
        <w:t>,</w:t>
      </w:r>
      <w:r w:rsidR="00D90DF0">
        <w:rPr>
          <w:lang w:val="en-GB"/>
        </w:rPr>
        <w:t xml:space="preserve"> I was somewhat pushed in</w:t>
      </w:r>
      <w:r w:rsidR="00C70E20">
        <w:rPr>
          <w:lang w:val="en-GB"/>
        </w:rPr>
        <w:t>to</w:t>
      </w:r>
      <w:r w:rsidR="00D90DF0">
        <w:rPr>
          <w:lang w:val="en-GB"/>
        </w:rPr>
        <w:t xml:space="preserve"> the case. I don’t want to hide that th</w:t>
      </w:r>
      <w:r w:rsidR="00C70E20">
        <w:rPr>
          <w:lang w:val="en-GB"/>
        </w:rPr>
        <w:t>is question amused me somehow, to go and defend someone in a concrete situation rather than working purely intellectually – I, who was simply a professor and have never been a practising lawyer.</w:t>
      </w:r>
    </w:p>
    <w:p w14:paraId="2816D738" w14:textId="5182D80B" w:rsidR="006F0B15" w:rsidRDefault="00D90DF0" w:rsidP="00933231">
      <w:pPr>
        <w:jc w:val="both"/>
        <w:rPr>
          <w:lang w:val="en-GB"/>
        </w:rPr>
      </w:pPr>
      <w:r>
        <w:rPr>
          <w:lang w:val="en-GB"/>
        </w:rPr>
        <w:t xml:space="preserve">While Van </w:t>
      </w:r>
      <w:proofErr w:type="spellStart"/>
      <w:r>
        <w:rPr>
          <w:lang w:val="en-GB"/>
        </w:rPr>
        <w:t>Oosterwijck</w:t>
      </w:r>
      <w:proofErr w:type="spellEnd"/>
      <w:r>
        <w:rPr>
          <w:lang w:val="en-GB"/>
        </w:rPr>
        <w:t xml:space="preserve"> focused on the arguments concerning the merits of the case, </w:t>
      </w:r>
      <w:proofErr w:type="spellStart"/>
      <w:r>
        <w:rPr>
          <w:lang w:val="en-GB"/>
        </w:rPr>
        <w:t>Verhoeven</w:t>
      </w:r>
      <w:proofErr w:type="spellEnd"/>
      <w:r>
        <w:rPr>
          <w:lang w:val="en-GB"/>
        </w:rPr>
        <w:t xml:space="preserve"> assisted him in the argumentation concerning the question of non-exhaustion of domestic remedies: “That I knew well, since it was a quest</w:t>
      </w:r>
      <w:r w:rsidR="00652869">
        <w:rPr>
          <w:lang w:val="en-GB"/>
        </w:rPr>
        <w:t>ion of international law anyway</w:t>
      </w:r>
      <w:r>
        <w:rPr>
          <w:lang w:val="en-GB"/>
        </w:rPr>
        <w:t>”</w:t>
      </w:r>
      <w:r w:rsidR="00C70E20">
        <w:rPr>
          <w:rStyle w:val="Voetnootmarkering"/>
          <w:lang w:val="en-GB"/>
        </w:rPr>
        <w:footnoteReference w:id="134"/>
      </w:r>
      <w:r w:rsidR="00652869">
        <w:rPr>
          <w:lang w:val="en-GB"/>
        </w:rPr>
        <w:t>.</w:t>
      </w:r>
    </w:p>
    <w:p w14:paraId="6A52734F" w14:textId="1F5C72CB" w:rsidR="00933231" w:rsidRDefault="00520A9C" w:rsidP="001A19D0">
      <w:pPr>
        <w:ind w:firstLine="708"/>
        <w:jc w:val="both"/>
        <w:rPr>
          <w:lang w:val="en-GB"/>
        </w:rPr>
      </w:pPr>
      <w:r>
        <w:rPr>
          <w:lang w:val="en-GB"/>
        </w:rPr>
        <w:t xml:space="preserve">Bernard Maingain, the attorney in the </w:t>
      </w:r>
      <w:r>
        <w:rPr>
          <w:i/>
          <w:lang w:val="en-GB"/>
        </w:rPr>
        <w:t>Mathieu-</w:t>
      </w:r>
      <w:proofErr w:type="spellStart"/>
      <w:r>
        <w:rPr>
          <w:i/>
          <w:lang w:val="en-GB"/>
        </w:rPr>
        <w:t>Mohin</w:t>
      </w:r>
      <w:proofErr w:type="spellEnd"/>
      <w:r>
        <w:rPr>
          <w:i/>
          <w:lang w:val="en-GB"/>
        </w:rPr>
        <w:t xml:space="preserve"> and </w:t>
      </w:r>
      <w:proofErr w:type="spellStart"/>
      <w:r>
        <w:rPr>
          <w:i/>
          <w:lang w:val="en-GB"/>
        </w:rPr>
        <w:t>Clerfayt</w:t>
      </w:r>
      <w:proofErr w:type="spellEnd"/>
      <w:r>
        <w:rPr>
          <w:i/>
          <w:lang w:val="en-GB"/>
        </w:rPr>
        <w:t xml:space="preserve"> </w:t>
      </w:r>
      <w:r>
        <w:rPr>
          <w:lang w:val="en-GB"/>
        </w:rPr>
        <w:t>case</w:t>
      </w:r>
      <w:r w:rsidR="007E49CA">
        <w:rPr>
          <w:lang w:val="en-GB"/>
        </w:rPr>
        <w:t xml:space="preserve"> (1987)</w:t>
      </w:r>
      <w:r>
        <w:rPr>
          <w:lang w:val="en-GB"/>
        </w:rPr>
        <w:t xml:space="preserve"> was also academic assistant in the area of family law at the </w:t>
      </w:r>
      <w:proofErr w:type="spellStart"/>
      <w:r>
        <w:rPr>
          <w:i/>
          <w:lang w:val="en-GB"/>
        </w:rPr>
        <w:t>Université</w:t>
      </w:r>
      <w:proofErr w:type="spellEnd"/>
      <w:r>
        <w:rPr>
          <w:i/>
          <w:lang w:val="en-GB"/>
        </w:rPr>
        <w:t xml:space="preserve"> </w:t>
      </w:r>
      <w:proofErr w:type="spellStart"/>
      <w:r>
        <w:rPr>
          <w:i/>
          <w:lang w:val="en-GB"/>
        </w:rPr>
        <w:t>Catholique</w:t>
      </w:r>
      <w:proofErr w:type="spellEnd"/>
      <w:r>
        <w:rPr>
          <w:i/>
          <w:lang w:val="en-GB"/>
        </w:rPr>
        <w:t xml:space="preserve"> de Louvain</w:t>
      </w:r>
      <w:r>
        <w:rPr>
          <w:rStyle w:val="Voetnootmarkering"/>
          <w:lang w:val="en-GB"/>
        </w:rPr>
        <w:footnoteReference w:id="135"/>
      </w:r>
      <w:r w:rsidR="00652869">
        <w:rPr>
          <w:lang w:val="en-GB"/>
        </w:rPr>
        <w:t>.</w:t>
      </w:r>
      <w:r>
        <w:rPr>
          <w:lang w:val="en-GB"/>
        </w:rPr>
        <w:t xml:space="preserve"> Jean-Marie </w:t>
      </w:r>
      <w:proofErr w:type="spellStart"/>
      <w:r>
        <w:rPr>
          <w:lang w:val="en-GB"/>
        </w:rPr>
        <w:t>Nelissen</w:t>
      </w:r>
      <w:proofErr w:type="spellEnd"/>
      <w:r>
        <w:rPr>
          <w:lang w:val="en-GB"/>
        </w:rPr>
        <w:t xml:space="preserve"> Grade, who represented the applicant in the case of </w:t>
      </w:r>
      <w:r w:rsidRPr="00A96F1D">
        <w:rPr>
          <w:i/>
          <w:lang w:val="en-GB"/>
        </w:rPr>
        <w:t>National Union of Belgian Police</w:t>
      </w:r>
      <w:r w:rsidR="007E49CA">
        <w:rPr>
          <w:i/>
          <w:lang w:val="en-GB"/>
        </w:rPr>
        <w:t xml:space="preserve"> </w:t>
      </w:r>
      <w:r w:rsidR="007E49CA">
        <w:rPr>
          <w:lang w:val="en-GB"/>
        </w:rPr>
        <w:t>(1975)</w:t>
      </w:r>
      <w:r>
        <w:rPr>
          <w:lang w:val="en-GB"/>
        </w:rPr>
        <w:t xml:space="preserve">, was part-time assistant at the </w:t>
      </w:r>
      <w:proofErr w:type="spellStart"/>
      <w:r>
        <w:rPr>
          <w:i/>
          <w:lang w:val="en-GB"/>
        </w:rPr>
        <w:t>Katholieke</w:t>
      </w:r>
      <w:proofErr w:type="spellEnd"/>
      <w:r>
        <w:rPr>
          <w:i/>
          <w:lang w:val="en-GB"/>
        </w:rPr>
        <w:t xml:space="preserve"> Universiteit Leuven</w:t>
      </w:r>
      <w:r w:rsidR="00652869">
        <w:rPr>
          <w:lang w:val="en-GB"/>
        </w:rPr>
        <w:t>, in the area of company law</w:t>
      </w:r>
      <w:r>
        <w:rPr>
          <w:rStyle w:val="Voetnootmarkering"/>
          <w:lang w:val="en-GB"/>
        </w:rPr>
        <w:footnoteReference w:id="136"/>
      </w:r>
      <w:r w:rsidR="00652869">
        <w:rPr>
          <w:lang w:val="en-GB"/>
        </w:rPr>
        <w:t>.</w:t>
      </w:r>
      <w:r>
        <w:rPr>
          <w:lang w:val="en-GB"/>
        </w:rPr>
        <w:t xml:space="preserve"> </w:t>
      </w:r>
      <w:r w:rsidR="00532B37">
        <w:rPr>
          <w:lang w:val="en-GB"/>
        </w:rPr>
        <w:t xml:space="preserve">In the case of </w:t>
      </w:r>
      <w:r w:rsidR="00532B37">
        <w:rPr>
          <w:i/>
          <w:lang w:val="en-GB"/>
        </w:rPr>
        <w:t xml:space="preserve">Van der </w:t>
      </w:r>
      <w:proofErr w:type="spellStart"/>
      <w:r w:rsidR="00532B37">
        <w:rPr>
          <w:i/>
          <w:lang w:val="en-GB"/>
        </w:rPr>
        <w:t>Mussele</w:t>
      </w:r>
      <w:proofErr w:type="spellEnd"/>
      <w:r w:rsidR="007E49CA">
        <w:rPr>
          <w:i/>
          <w:lang w:val="en-GB"/>
        </w:rPr>
        <w:t xml:space="preserve"> </w:t>
      </w:r>
      <w:r w:rsidR="007E49CA">
        <w:rPr>
          <w:lang w:val="en-GB"/>
        </w:rPr>
        <w:t>(1983)</w:t>
      </w:r>
      <w:r w:rsidR="00532B37">
        <w:rPr>
          <w:i/>
          <w:lang w:val="en-GB"/>
        </w:rPr>
        <w:t xml:space="preserve">, </w:t>
      </w:r>
      <w:r w:rsidR="00532B37">
        <w:rPr>
          <w:lang w:val="en-GB"/>
        </w:rPr>
        <w:t>concerning the absence of remuneration of pupil lawyers for legal aid provided to persons without sufficient means, t</w:t>
      </w:r>
      <w:r>
        <w:rPr>
          <w:lang w:val="en-GB"/>
        </w:rPr>
        <w:t xml:space="preserve">he applicant and his lawyer, Albert </w:t>
      </w:r>
      <w:proofErr w:type="spellStart"/>
      <w:r>
        <w:rPr>
          <w:lang w:val="en-GB"/>
        </w:rPr>
        <w:t>Fettweis</w:t>
      </w:r>
      <w:proofErr w:type="spellEnd"/>
      <w:r>
        <w:rPr>
          <w:lang w:val="en-GB"/>
        </w:rPr>
        <w:t>, enjoyed support of</w:t>
      </w:r>
      <w:r w:rsidR="00C8126B">
        <w:rPr>
          <w:lang w:val="en-GB"/>
        </w:rPr>
        <w:t xml:space="preserve"> Eric</w:t>
      </w:r>
      <w:r>
        <w:rPr>
          <w:lang w:val="en-GB"/>
        </w:rPr>
        <w:t xml:space="preserve"> Van </w:t>
      </w:r>
      <w:r w:rsidR="00C72488">
        <w:rPr>
          <w:lang w:val="en-GB"/>
        </w:rPr>
        <w:t>d</w:t>
      </w:r>
      <w:r>
        <w:rPr>
          <w:lang w:val="en-GB"/>
        </w:rPr>
        <w:t xml:space="preserve">er </w:t>
      </w:r>
      <w:proofErr w:type="spellStart"/>
      <w:r>
        <w:rPr>
          <w:lang w:val="en-GB"/>
        </w:rPr>
        <w:t>Mussele’s</w:t>
      </w:r>
      <w:proofErr w:type="spellEnd"/>
      <w:r>
        <w:rPr>
          <w:lang w:val="en-GB"/>
        </w:rPr>
        <w:t xml:space="preserve"> wife Yolanda Vanden Bosch, who at the time was academic assistant of Marc </w:t>
      </w:r>
      <w:proofErr w:type="spellStart"/>
      <w:r>
        <w:rPr>
          <w:lang w:val="en-GB"/>
        </w:rPr>
        <w:t>Bossuyt</w:t>
      </w:r>
      <w:proofErr w:type="spellEnd"/>
      <w:r>
        <w:rPr>
          <w:lang w:val="en-GB"/>
        </w:rPr>
        <w:t>, professor</w:t>
      </w:r>
      <w:r w:rsidR="004A0A88">
        <w:rPr>
          <w:lang w:val="en-GB"/>
        </w:rPr>
        <w:t xml:space="preserve"> of</w:t>
      </w:r>
      <w:r>
        <w:rPr>
          <w:lang w:val="en-GB"/>
        </w:rPr>
        <w:t xml:space="preserve"> international law, specialized in human rights law at Antwerp University.</w:t>
      </w:r>
      <w:r w:rsidR="00532B37">
        <w:rPr>
          <w:lang w:val="en-GB"/>
        </w:rPr>
        <w:t xml:space="preserve"> </w:t>
      </w:r>
      <w:r w:rsidR="003D3746">
        <w:rPr>
          <w:lang w:val="en-GB"/>
        </w:rPr>
        <w:t xml:space="preserve">Vanden Bosch had provided Van der </w:t>
      </w:r>
      <w:proofErr w:type="spellStart"/>
      <w:r w:rsidR="003D3746">
        <w:rPr>
          <w:lang w:val="en-GB"/>
        </w:rPr>
        <w:t>Mussele</w:t>
      </w:r>
      <w:proofErr w:type="spellEnd"/>
      <w:r w:rsidR="003D3746">
        <w:rPr>
          <w:lang w:val="en-GB"/>
        </w:rPr>
        <w:t xml:space="preserve"> with the </w:t>
      </w:r>
      <w:proofErr w:type="spellStart"/>
      <w:r w:rsidR="003D3746">
        <w:rPr>
          <w:i/>
          <w:lang w:val="en-GB"/>
        </w:rPr>
        <w:t>Gussenbauer</w:t>
      </w:r>
      <w:proofErr w:type="spellEnd"/>
      <w:r w:rsidR="003D3746">
        <w:rPr>
          <w:i/>
          <w:lang w:val="en-GB"/>
        </w:rPr>
        <w:t xml:space="preserve"> </w:t>
      </w:r>
      <w:r w:rsidR="003D3746">
        <w:rPr>
          <w:i/>
          <w:lang w:val="en-GB"/>
        </w:rPr>
        <w:softHyphen/>
      </w:r>
      <w:r w:rsidR="003D3746">
        <w:rPr>
          <w:i/>
          <w:lang w:val="en-GB"/>
        </w:rPr>
        <w:softHyphen/>
      </w:r>
      <w:r w:rsidR="003D3746">
        <w:rPr>
          <w:lang w:val="en-GB"/>
        </w:rPr>
        <w:t>decision</w:t>
      </w:r>
      <w:r w:rsidR="007E49CA">
        <w:rPr>
          <w:rStyle w:val="Voetnootmarkering"/>
          <w:lang w:val="en-GB"/>
        </w:rPr>
        <w:footnoteReference w:id="137"/>
      </w:r>
      <w:r w:rsidR="003D3746">
        <w:rPr>
          <w:lang w:val="en-GB"/>
        </w:rPr>
        <w:t xml:space="preserve"> (1972) in which the Commission had declared a similar complaint against Austria admissible – a case which was concluded by way of a friendly settlement – and he had been fretting for some time on what to do with it.</w:t>
      </w:r>
      <w:r w:rsidR="00BA1E44">
        <w:rPr>
          <w:lang w:val="en-GB"/>
        </w:rPr>
        <w:t xml:space="preserve"> </w:t>
      </w:r>
      <w:r w:rsidR="004516BA">
        <w:rPr>
          <w:lang w:val="en-GB"/>
        </w:rPr>
        <w:t>On advice of his</w:t>
      </w:r>
      <w:r w:rsidR="00A31416">
        <w:rPr>
          <w:lang w:val="en-GB"/>
        </w:rPr>
        <w:t xml:space="preserve"> </w:t>
      </w:r>
      <w:r w:rsidR="004B549C">
        <w:rPr>
          <w:i/>
          <w:lang w:val="en-GB"/>
        </w:rPr>
        <w:t>patron</w:t>
      </w:r>
      <w:r w:rsidR="00A31416">
        <w:rPr>
          <w:lang w:val="en-GB"/>
        </w:rPr>
        <w:t xml:space="preserve">, who said that he needed a French-speaking attorney, ideally not well-known and of the same age as he was, Van </w:t>
      </w:r>
      <w:r w:rsidR="00C72488">
        <w:rPr>
          <w:lang w:val="en-GB"/>
        </w:rPr>
        <w:t>d</w:t>
      </w:r>
      <w:r w:rsidR="00A31416">
        <w:rPr>
          <w:lang w:val="en-GB"/>
        </w:rPr>
        <w:t xml:space="preserve">er </w:t>
      </w:r>
      <w:proofErr w:type="spellStart"/>
      <w:r w:rsidR="00A31416">
        <w:rPr>
          <w:lang w:val="en-GB"/>
        </w:rPr>
        <w:t>Mussele</w:t>
      </w:r>
      <w:proofErr w:type="spellEnd"/>
      <w:r w:rsidR="00A31416">
        <w:rPr>
          <w:lang w:val="en-GB"/>
        </w:rPr>
        <w:t xml:space="preserve"> contacted </w:t>
      </w:r>
      <w:proofErr w:type="spellStart"/>
      <w:r w:rsidR="00A31416">
        <w:rPr>
          <w:lang w:val="en-GB"/>
        </w:rPr>
        <w:t>Fettweis</w:t>
      </w:r>
      <w:proofErr w:type="spellEnd"/>
      <w:r w:rsidR="00BA1E44">
        <w:rPr>
          <w:lang w:val="en-GB"/>
        </w:rPr>
        <w:t xml:space="preserve"> – a fellow pupil lawyer whom he had met during a seminar on legal aid in Liège –</w:t>
      </w:r>
      <w:r w:rsidR="00A31416">
        <w:rPr>
          <w:lang w:val="en-GB"/>
        </w:rPr>
        <w:t xml:space="preserve"> to bring his Strasbourg application. </w:t>
      </w:r>
      <w:r w:rsidR="00933231">
        <w:rPr>
          <w:lang w:val="en-GB"/>
        </w:rPr>
        <w:t xml:space="preserve">According to </w:t>
      </w:r>
      <w:proofErr w:type="spellStart"/>
      <w:r w:rsidR="00933231">
        <w:rPr>
          <w:lang w:val="en-GB"/>
        </w:rPr>
        <w:t>Fettweis</w:t>
      </w:r>
      <w:proofErr w:type="spellEnd"/>
      <w:r w:rsidR="00933231">
        <w:rPr>
          <w:lang w:val="en-GB"/>
        </w:rPr>
        <w:t>,</w:t>
      </w:r>
    </w:p>
    <w:p w14:paraId="0F4B3E23" w14:textId="5A4CFC4A" w:rsidR="00520A9C" w:rsidRPr="00520A9C" w:rsidRDefault="003B7E86" w:rsidP="00933231">
      <w:pPr>
        <w:ind w:left="708"/>
        <w:jc w:val="both"/>
        <w:rPr>
          <w:lang w:val="en-GB"/>
        </w:rPr>
      </w:pPr>
      <w:r>
        <w:rPr>
          <w:lang w:val="en-GB"/>
        </w:rPr>
        <w:t>I cannot say that my merit was large. I had a good client who was involved in the case himself. And his wife knew human rights law very well, of which I knew less.</w:t>
      </w:r>
      <w:r w:rsidR="00C8126B">
        <w:rPr>
          <w:lang w:val="en-GB"/>
        </w:rPr>
        <w:t xml:space="preserve"> I cannot say that I simply translated the arguments to French, I also did some of the thinking, but I must admit</w:t>
      </w:r>
      <w:r w:rsidR="00652869">
        <w:rPr>
          <w:lang w:val="en-GB"/>
        </w:rPr>
        <w:t xml:space="preserve"> that I had a privileged client</w:t>
      </w:r>
      <w:r w:rsidR="00C8126B">
        <w:rPr>
          <w:rStyle w:val="Voetnootmarkering"/>
          <w:lang w:val="en-GB"/>
        </w:rPr>
        <w:footnoteReference w:id="138"/>
      </w:r>
      <w:r w:rsidR="00652869">
        <w:rPr>
          <w:lang w:val="en-GB"/>
        </w:rPr>
        <w:t>.</w:t>
      </w:r>
    </w:p>
    <w:p w14:paraId="549B806F" w14:textId="7486A68C" w:rsidR="00CF0ED2" w:rsidRPr="00531865" w:rsidRDefault="002F553B" w:rsidP="001A19D0">
      <w:pPr>
        <w:ind w:firstLine="708"/>
        <w:jc w:val="both"/>
        <w:rPr>
          <w:lang w:val="en-GB"/>
        </w:rPr>
      </w:pPr>
      <w:r>
        <w:rPr>
          <w:lang w:val="en-GB"/>
        </w:rPr>
        <w:t xml:space="preserve">The overrepresentation of actors with an academic profile </w:t>
      </w:r>
      <w:r w:rsidR="00736E7F">
        <w:rPr>
          <w:lang w:val="en-GB"/>
        </w:rPr>
        <w:t xml:space="preserve">is in line with Wibo Van Rossum’s findings concerning the </w:t>
      </w:r>
      <w:r w:rsidR="00736E7F">
        <w:rPr>
          <w:i/>
          <w:lang w:val="en-GB"/>
        </w:rPr>
        <w:t xml:space="preserve">Engel </w:t>
      </w:r>
      <w:r w:rsidR="00736E7F">
        <w:rPr>
          <w:lang w:val="en-GB"/>
        </w:rPr>
        <w:t>case in the Netherlands, in which he shows how support from academic circles can be a crucial factor contributing to the success of a case in Strasb</w:t>
      </w:r>
      <w:r w:rsidR="00652869">
        <w:rPr>
          <w:lang w:val="en-GB"/>
        </w:rPr>
        <w:t>ourg</w:t>
      </w:r>
      <w:r w:rsidR="00736E7F">
        <w:rPr>
          <w:rStyle w:val="Voetnootmarkering"/>
          <w:lang w:val="en-GB"/>
        </w:rPr>
        <w:footnoteReference w:id="139"/>
      </w:r>
      <w:r w:rsidR="00652869">
        <w:rPr>
          <w:lang w:val="en-GB"/>
        </w:rPr>
        <w:t>.</w:t>
      </w:r>
      <w:r w:rsidR="00B94060">
        <w:rPr>
          <w:lang w:val="en-GB"/>
        </w:rPr>
        <w:t xml:space="preserve"> Van Rossum shows that the </w:t>
      </w:r>
      <w:r w:rsidR="00B94060">
        <w:rPr>
          <w:i/>
          <w:lang w:val="en-GB"/>
        </w:rPr>
        <w:t xml:space="preserve">Engel </w:t>
      </w:r>
      <w:r w:rsidR="00B94060">
        <w:rPr>
          <w:lang w:val="en-GB"/>
        </w:rPr>
        <w:t xml:space="preserve">case was </w:t>
      </w:r>
      <w:r w:rsidR="00890B05">
        <w:rPr>
          <w:lang w:val="en-GB"/>
        </w:rPr>
        <w:t>carefully picked and orchestrated</w:t>
      </w:r>
      <w:r w:rsidR="00B94060">
        <w:rPr>
          <w:lang w:val="en-GB"/>
        </w:rPr>
        <w:t xml:space="preserve"> by an academic, Evert Alkema, </w:t>
      </w:r>
      <w:r w:rsidR="00890B05">
        <w:rPr>
          <w:lang w:val="en-GB"/>
        </w:rPr>
        <w:t xml:space="preserve">who hoped that a conviction of the Netherlands by the Court would contribute to the maturation of his new area of expertise, human rights law. While the data does not contain any </w:t>
      </w:r>
      <w:r w:rsidR="00890B05">
        <w:rPr>
          <w:lang w:val="en-GB"/>
        </w:rPr>
        <w:lastRenderedPageBreak/>
        <w:t xml:space="preserve">traces of cases against Belgium similarly orchestrated within academia, in line with Van Rossum, the data does allow concluding that </w:t>
      </w:r>
      <w:r w:rsidR="00890B05" w:rsidRPr="00890B05">
        <w:rPr>
          <w:lang w:val="en-GB"/>
        </w:rPr>
        <w:t>“</w:t>
      </w:r>
      <w:r w:rsidR="00B94060" w:rsidRPr="00890B05">
        <w:rPr>
          <w:rFonts w:eastAsia="AGaramondPro-Regular" w:cs="AGaramondPro-Regular"/>
          <w:lang w:val="en-GB"/>
        </w:rPr>
        <w:t>mobilizing human rights law sometimes needs specialists and</w:t>
      </w:r>
      <w:r w:rsidR="00890B05" w:rsidRPr="00890B05">
        <w:rPr>
          <w:rFonts w:eastAsia="AGaramondPro-Regular" w:cs="AGaramondPro-Regular"/>
          <w:lang w:val="en-GB"/>
        </w:rPr>
        <w:t xml:space="preserve"> </w:t>
      </w:r>
      <w:r w:rsidR="00B94060" w:rsidRPr="00890B05">
        <w:rPr>
          <w:rFonts w:eastAsia="AGaramondPro-Regular" w:cs="AGaramondPro-Regular"/>
          <w:lang w:val="en-GB"/>
        </w:rPr>
        <w:t xml:space="preserve">academics </w:t>
      </w:r>
      <w:proofErr w:type="gramStart"/>
      <w:r w:rsidR="00B94060" w:rsidRPr="00890B05">
        <w:rPr>
          <w:rFonts w:eastAsia="AGaramondPro-Regular" w:cs="AGaramondPro-Regular"/>
          <w:lang w:val="en-GB"/>
        </w:rPr>
        <w:t>who</w:t>
      </w:r>
      <w:proofErr w:type="gramEnd"/>
      <w:r w:rsidR="00B94060" w:rsidRPr="00890B05">
        <w:rPr>
          <w:rFonts w:eastAsia="AGaramondPro-Regular" w:cs="AGaramondPro-Regular"/>
          <w:lang w:val="en-GB"/>
        </w:rPr>
        <w:t xml:space="preserve"> see it as their task to further the development of human</w:t>
      </w:r>
      <w:r w:rsidR="00890B05" w:rsidRPr="00890B05">
        <w:rPr>
          <w:rFonts w:eastAsia="AGaramondPro-Regular" w:cs="AGaramondPro-Regular"/>
          <w:lang w:val="en-GB"/>
        </w:rPr>
        <w:t xml:space="preserve"> </w:t>
      </w:r>
      <w:r w:rsidR="00B94060" w:rsidRPr="00890B05">
        <w:rPr>
          <w:rFonts w:eastAsia="AGaramondPro-Regular" w:cs="AGaramondPro-Regular"/>
          <w:lang w:val="en-GB"/>
        </w:rPr>
        <w:t>rights</w:t>
      </w:r>
      <w:r w:rsidR="00890B05" w:rsidRPr="00890B05">
        <w:rPr>
          <w:rFonts w:eastAsia="AGaramondPro-Regular" w:cs="AGaramondPro-Regular"/>
          <w:lang w:val="en-GB"/>
        </w:rPr>
        <w:t>”</w:t>
      </w:r>
      <w:r w:rsidR="00890B05">
        <w:rPr>
          <w:rStyle w:val="Voetnootmarkering"/>
          <w:rFonts w:eastAsia="AGaramondPro-Regular" w:cs="AGaramondPro-Regular"/>
          <w:lang w:val="en-GB"/>
        </w:rPr>
        <w:footnoteReference w:id="140"/>
      </w:r>
      <w:r w:rsidR="00652869">
        <w:rPr>
          <w:rFonts w:eastAsia="AGaramondPro-Regular" w:cs="AGaramondPro-Regular"/>
          <w:lang w:val="en-GB"/>
        </w:rPr>
        <w:t>.</w:t>
      </w:r>
      <w:r w:rsidR="00890B05">
        <w:rPr>
          <w:rFonts w:eastAsia="AGaramondPro-Regular" w:cs="AGaramondPro-Regular"/>
          <w:lang w:val="en-GB"/>
        </w:rPr>
        <w:t xml:space="preserve"> </w:t>
      </w:r>
      <w:r w:rsidR="001128EC">
        <w:rPr>
          <w:rFonts w:eastAsia="AGaramondPro-Regular" w:cs="AGaramondPro-Regular"/>
          <w:lang w:val="en-GB"/>
        </w:rPr>
        <w:t xml:space="preserve">What is </w:t>
      </w:r>
      <w:r w:rsidR="00A23F94">
        <w:rPr>
          <w:rFonts w:eastAsia="AGaramondPro-Regular" w:cs="AGaramondPro-Regular"/>
          <w:lang w:val="en-GB"/>
        </w:rPr>
        <w:t xml:space="preserve">however </w:t>
      </w:r>
      <w:r w:rsidR="001128EC">
        <w:rPr>
          <w:rFonts w:eastAsia="AGaramondPro-Regular" w:cs="AGaramondPro-Regular"/>
          <w:lang w:val="en-GB"/>
        </w:rPr>
        <w:t>remarkable is that, with the exception of Yolanda Vanden Bosch – who herself had a</w:t>
      </w:r>
      <w:r w:rsidR="003D3746">
        <w:rPr>
          <w:rFonts w:eastAsia="AGaramondPro-Regular" w:cs="AGaramondPro-Regular"/>
          <w:lang w:val="en-GB"/>
        </w:rPr>
        <w:t>n indirect</w:t>
      </w:r>
      <w:r w:rsidR="001128EC">
        <w:rPr>
          <w:rFonts w:eastAsia="AGaramondPro-Regular" w:cs="AGaramondPro-Regular"/>
          <w:lang w:val="en-GB"/>
        </w:rPr>
        <w:t xml:space="preserve"> personal interest in the case, since her husband </w:t>
      </w:r>
      <w:r w:rsidR="003D3746">
        <w:rPr>
          <w:rFonts w:eastAsia="AGaramondPro-Regular" w:cs="AGaramondPro-Regular"/>
          <w:lang w:val="en-GB"/>
        </w:rPr>
        <w:t>was the applicant in the case concerned</w:t>
      </w:r>
      <w:r w:rsidR="001128EC">
        <w:rPr>
          <w:rFonts w:eastAsia="AGaramondPro-Regular" w:cs="AGaramondPro-Regular"/>
          <w:lang w:val="en-GB"/>
        </w:rPr>
        <w:t xml:space="preserve"> – all involved academics were not really working on human rights law. This may not come as a surprise, since, as in other countries, it took quite some time before human rights law emancipated as an autonomous academic discipline</w:t>
      </w:r>
      <w:r w:rsidR="00E0037F">
        <w:rPr>
          <w:rStyle w:val="Voetnootmarkering"/>
          <w:rFonts w:eastAsia="AGaramondPro-Regular" w:cs="AGaramondPro-Regular"/>
          <w:lang w:val="en-GB"/>
        </w:rPr>
        <w:footnoteReference w:id="141"/>
      </w:r>
      <w:r w:rsidR="00652869">
        <w:rPr>
          <w:rFonts w:eastAsia="AGaramondPro-Regular" w:cs="AGaramondPro-Regular"/>
          <w:lang w:val="en-GB"/>
        </w:rPr>
        <w:t>.</w:t>
      </w:r>
      <w:r w:rsidR="001128EC">
        <w:rPr>
          <w:rFonts w:eastAsia="AGaramondPro-Regular" w:cs="AGaramondPro-Regular"/>
          <w:lang w:val="en-GB"/>
        </w:rPr>
        <w:t xml:space="preserve"> Unlike the example of Evert Alkema, it therefore seems unlikely that contributing to the maturation of human rights law was necessarily</w:t>
      </w:r>
      <w:r w:rsidR="00CF0ED2">
        <w:rPr>
          <w:rFonts w:eastAsia="AGaramondPro-Regular" w:cs="AGaramondPro-Regular"/>
          <w:lang w:val="en-GB"/>
        </w:rPr>
        <w:t xml:space="preserve"> the intention of the actors involved. However, it is clear that academic support of Strasbourg litigation is another wa</w:t>
      </w:r>
      <w:r w:rsidR="007E0F82">
        <w:rPr>
          <w:rFonts w:eastAsia="AGaramondPro-Regular" w:cs="AGaramondPro-Regular"/>
          <w:lang w:val="en-GB"/>
        </w:rPr>
        <w:t>y for lawyers to convert their legal capital</w:t>
      </w:r>
      <w:r w:rsidR="00CF0ED2">
        <w:rPr>
          <w:rFonts w:eastAsia="AGaramondPro-Regular" w:cs="AGaramondPro-Regular"/>
          <w:lang w:val="en-GB"/>
        </w:rPr>
        <w:t xml:space="preserve"> in order to obtain tangible results in a progressively developing area of the law. </w:t>
      </w:r>
      <w:r w:rsidR="008C7156">
        <w:rPr>
          <w:rFonts w:eastAsia="AGaramondPro-Regular" w:cs="AGaramondPro-Regular"/>
          <w:lang w:val="en-GB"/>
        </w:rPr>
        <w:t xml:space="preserve">That these “investments” may moreover </w:t>
      </w:r>
      <w:proofErr w:type="spellStart"/>
      <w:r w:rsidR="008C7156">
        <w:rPr>
          <w:rFonts w:eastAsia="AGaramondPro-Regular" w:cs="AGaramondPro-Regular"/>
          <w:lang w:val="en-GB"/>
        </w:rPr>
        <w:t>pay off</w:t>
      </w:r>
      <w:proofErr w:type="spellEnd"/>
      <w:r w:rsidR="008C7156">
        <w:rPr>
          <w:rFonts w:eastAsia="AGaramondPro-Regular" w:cs="AGaramondPro-Regular"/>
          <w:lang w:val="en-GB"/>
        </w:rPr>
        <w:t xml:space="preserve"> is illustrated by the example of Jean-Marie</w:t>
      </w:r>
      <w:r w:rsidR="00531865">
        <w:rPr>
          <w:rFonts w:eastAsia="AGaramondPro-Regular" w:cs="AGaramondPro-Regular"/>
          <w:lang w:val="en-GB"/>
        </w:rPr>
        <w:t xml:space="preserve"> </w:t>
      </w:r>
      <w:proofErr w:type="spellStart"/>
      <w:r w:rsidR="00531865">
        <w:rPr>
          <w:rFonts w:eastAsia="AGaramondPro-Regular" w:cs="AGaramondPro-Regular"/>
          <w:lang w:val="en-GB"/>
        </w:rPr>
        <w:t>Nelissen</w:t>
      </w:r>
      <w:proofErr w:type="spellEnd"/>
      <w:r w:rsidR="00531865">
        <w:rPr>
          <w:rFonts w:eastAsia="AGaramondPro-Regular" w:cs="AGaramondPro-Regular"/>
          <w:lang w:val="en-GB"/>
        </w:rPr>
        <w:t xml:space="preserve"> Grade.</w:t>
      </w:r>
      <w:r w:rsidR="008C7156">
        <w:rPr>
          <w:rFonts w:eastAsia="AGaramondPro-Regular" w:cs="AGaramondPro-Regular"/>
          <w:lang w:val="en-GB"/>
        </w:rPr>
        <w:t xml:space="preserve"> </w:t>
      </w:r>
      <w:r w:rsidR="00531865">
        <w:rPr>
          <w:rFonts w:eastAsia="AGaramondPro-Regular" w:cs="AGaramondPro-Regular"/>
          <w:lang w:val="en-GB"/>
        </w:rPr>
        <w:t>A</w:t>
      </w:r>
      <w:r w:rsidR="008C7156">
        <w:rPr>
          <w:rFonts w:eastAsia="AGaramondPro-Regular" w:cs="AGaramondPro-Regular"/>
          <w:lang w:val="en-GB"/>
        </w:rPr>
        <w:t xml:space="preserve">fter acting as the applicant’s attorney in the </w:t>
      </w:r>
      <w:r w:rsidR="008C7156" w:rsidRPr="00A96F1D">
        <w:rPr>
          <w:i/>
          <w:lang w:val="en-GB"/>
        </w:rPr>
        <w:t>National Union of Belgian Police</w:t>
      </w:r>
      <w:r w:rsidR="008C7156">
        <w:rPr>
          <w:i/>
          <w:lang w:val="en-GB"/>
        </w:rPr>
        <w:t xml:space="preserve"> </w:t>
      </w:r>
      <w:r w:rsidR="00531865">
        <w:rPr>
          <w:lang w:val="en-GB"/>
        </w:rPr>
        <w:t>case</w:t>
      </w:r>
      <w:r w:rsidR="00A23F94">
        <w:rPr>
          <w:lang w:val="en-GB"/>
        </w:rPr>
        <w:t xml:space="preserve"> (1975)</w:t>
      </w:r>
      <w:r w:rsidR="00531865">
        <w:rPr>
          <w:lang w:val="en-GB"/>
        </w:rPr>
        <w:t xml:space="preserve">, </w:t>
      </w:r>
      <w:r w:rsidR="007163E6">
        <w:rPr>
          <w:lang w:val="en-GB"/>
        </w:rPr>
        <w:t>he became the new government’s representative on recommendation of the government’s representative in that case,</w:t>
      </w:r>
      <w:r w:rsidR="00531865">
        <w:rPr>
          <w:lang w:val="en-GB"/>
        </w:rPr>
        <w:t xml:space="preserve"> Jan De Meyer</w:t>
      </w:r>
      <w:r w:rsidR="007163E6">
        <w:rPr>
          <w:lang w:val="en-GB"/>
        </w:rPr>
        <w:t>, who was appointed as Judge at the European Court – De Meyer was a</w:t>
      </w:r>
      <w:r w:rsidR="007163E6">
        <w:rPr>
          <w:rFonts w:eastAsia="AGaramondPro-Regular" w:cs="AGaramondPro-Regular"/>
          <w:lang w:val="en-GB"/>
        </w:rPr>
        <w:t xml:space="preserve"> </w:t>
      </w:r>
      <w:r w:rsidR="00531865">
        <w:rPr>
          <w:lang w:val="en-GB"/>
        </w:rPr>
        <w:t xml:space="preserve">professor </w:t>
      </w:r>
      <w:r w:rsidR="004A0A88">
        <w:rPr>
          <w:lang w:val="en-GB"/>
        </w:rPr>
        <w:t xml:space="preserve">of </w:t>
      </w:r>
      <w:r w:rsidR="00531865">
        <w:rPr>
          <w:lang w:val="en-GB"/>
        </w:rPr>
        <w:t xml:space="preserve">constitutional law </w:t>
      </w:r>
      <w:r w:rsidR="0072083A">
        <w:rPr>
          <w:lang w:val="en-GB"/>
        </w:rPr>
        <w:t xml:space="preserve">with a particular interest </w:t>
      </w:r>
      <w:r w:rsidR="004A0A88">
        <w:rPr>
          <w:lang w:val="en-GB"/>
        </w:rPr>
        <w:t xml:space="preserve">in </w:t>
      </w:r>
      <w:r w:rsidR="00531865">
        <w:rPr>
          <w:lang w:val="en-GB"/>
        </w:rPr>
        <w:t xml:space="preserve">human rights law at the </w:t>
      </w:r>
      <w:proofErr w:type="spellStart"/>
      <w:r w:rsidR="00531865">
        <w:rPr>
          <w:i/>
          <w:lang w:val="en-GB"/>
        </w:rPr>
        <w:t>Katholieke</w:t>
      </w:r>
      <w:proofErr w:type="spellEnd"/>
      <w:r w:rsidR="00531865">
        <w:rPr>
          <w:i/>
          <w:lang w:val="en-GB"/>
        </w:rPr>
        <w:t xml:space="preserve"> Universiteit Leuven </w:t>
      </w:r>
      <w:r w:rsidR="007163E6">
        <w:rPr>
          <w:lang w:val="en-GB"/>
        </w:rPr>
        <w:t xml:space="preserve">whom </w:t>
      </w:r>
      <w:proofErr w:type="spellStart"/>
      <w:r w:rsidR="007163E6">
        <w:rPr>
          <w:lang w:val="en-GB"/>
        </w:rPr>
        <w:t>Nelissen</w:t>
      </w:r>
      <w:proofErr w:type="spellEnd"/>
      <w:r w:rsidR="007163E6">
        <w:rPr>
          <w:lang w:val="en-GB"/>
        </w:rPr>
        <w:t xml:space="preserve"> Grade</w:t>
      </w:r>
      <w:r w:rsidR="00531865">
        <w:rPr>
          <w:lang w:val="en-GB"/>
        </w:rPr>
        <w:t xml:space="preserve"> knew from when he had been his student</w:t>
      </w:r>
      <w:r w:rsidR="007163E6">
        <w:rPr>
          <w:rStyle w:val="Voetnootmarkering"/>
          <w:rFonts w:eastAsia="AGaramondPro-Regular" w:cs="AGaramondPro-Regular"/>
          <w:lang w:val="en-GB"/>
        </w:rPr>
        <w:footnoteReference w:id="142"/>
      </w:r>
      <w:r w:rsidR="00652869">
        <w:rPr>
          <w:lang w:val="en-GB"/>
        </w:rPr>
        <w:t>.</w:t>
      </w:r>
    </w:p>
    <w:p w14:paraId="6C9AF33F" w14:textId="3EBC0EA5" w:rsidR="00A72895" w:rsidRPr="00A72895" w:rsidRDefault="00670E0E" w:rsidP="001A19D0">
      <w:pPr>
        <w:ind w:firstLine="708"/>
        <w:jc w:val="both"/>
        <w:rPr>
          <w:lang w:val="en-GB"/>
        </w:rPr>
      </w:pPr>
      <w:r>
        <w:rPr>
          <w:lang w:val="en-GB"/>
        </w:rPr>
        <w:t>Another reason for the overrepresentation of actors with an academic profile may be that, at a time when human rights had not yet fully penetrated Belgian law and had not yet found its way to the minds of the vast majority of legal practitioners, universities were the centres of knowledge per se concerning this progressively developing area of law. As recalled by Maingain, “nowadays, you find 90 % of the documentation on the internet, but at that time, you needed to go to the library. I spent all of my time in the library, on Saturdays,</w:t>
      </w:r>
      <w:r w:rsidR="00652869">
        <w:rPr>
          <w:lang w:val="en-GB"/>
        </w:rPr>
        <w:t xml:space="preserve"> in the evening, in the morning</w:t>
      </w:r>
      <w:r>
        <w:rPr>
          <w:lang w:val="en-GB"/>
        </w:rPr>
        <w:t>”</w:t>
      </w:r>
      <w:r>
        <w:rPr>
          <w:rStyle w:val="Voetnootmarkering"/>
          <w:lang w:val="en-GB"/>
        </w:rPr>
        <w:footnoteReference w:id="143"/>
      </w:r>
      <w:r w:rsidR="00652869">
        <w:rPr>
          <w:lang w:val="en-GB"/>
        </w:rPr>
        <w:t>.</w:t>
      </w:r>
      <w:r w:rsidR="00A72895">
        <w:rPr>
          <w:lang w:val="en-GB"/>
        </w:rPr>
        <w:t xml:space="preserve"> According to </w:t>
      </w:r>
      <w:proofErr w:type="spellStart"/>
      <w:r w:rsidR="00A72895">
        <w:rPr>
          <w:lang w:val="en-GB"/>
        </w:rPr>
        <w:t>Nelissen</w:t>
      </w:r>
      <w:proofErr w:type="spellEnd"/>
      <w:r w:rsidR="00A72895">
        <w:rPr>
          <w:lang w:val="en-GB"/>
        </w:rPr>
        <w:t xml:space="preserve"> Grade, “as a part-time assistant, I had access to the people working for Jan De Meyer and also to the people working for Roger </w:t>
      </w:r>
      <w:proofErr w:type="spellStart"/>
      <w:r w:rsidR="00A72895">
        <w:rPr>
          <w:lang w:val="en-GB"/>
        </w:rPr>
        <w:t>Blainpain</w:t>
      </w:r>
      <w:proofErr w:type="spellEnd"/>
      <w:r w:rsidR="00A72895">
        <w:rPr>
          <w:lang w:val="en-GB"/>
        </w:rPr>
        <w:t xml:space="preserve"> [a professor </w:t>
      </w:r>
      <w:r w:rsidR="004A0A88">
        <w:rPr>
          <w:lang w:val="en-GB"/>
        </w:rPr>
        <w:t xml:space="preserve">of </w:t>
      </w:r>
      <w:r w:rsidR="00A72895">
        <w:rPr>
          <w:lang w:val="en-GB"/>
        </w:rPr>
        <w:t xml:space="preserve">labour law at </w:t>
      </w:r>
      <w:proofErr w:type="spellStart"/>
      <w:r w:rsidR="00A72895">
        <w:rPr>
          <w:i/>
          <w:lang w:val="en-GB"/>
        </w:rPr>
        <w:t>Katholieke</w:t>
      </w:r>
      <w:proofErr w:type="spellEnd"/>
      <w:r w:rsidR="00A72895">
        <w:rPr>
          <w:i/>
          <w:lang w:val="en-GB"/>
        </w:rPr>
        <w:t xml:space="preserve"> Universiteit Leuven</w:t>
      </w:r>
      <w:r w:rsidR="00A72895">
        <w:rPr>
          <w:lang w:val="en-GB"/>
        </w:rPr>
        <w:t xml:space="preserve">]. I believe that his people helped me to some documentation” – in particular with respect to International Labour Organization materials that were relevant given the trade union dimension of the </w:t>
      </w:r>
      <w:r w:rsidR="00A72895">
        <w:rPr>
          <w:i/>
          <w:lang w:val="en-GB"/>
        </w:rPr>
        <w:t xml:space="preserve">National Union of Belgian Police </w:t>
      </w:r>
      <w:r w:rsidR="00652869">
        <w:rPr>
          <w:lang w:val="en-GB"/>
        </w:rPr>
        <w:t>case</w:t>
      </w:r>
      <w:r w:rsidR="00A72895">
        <w:rPr>
          <w:rStyle w:val="Voetnootmarkering"/>
          <w:lang w:val="en-GB"/>
        </w:rPr>
        <w:footnoteReference w:id="144"/>
      </w:r>
      <w:r w:rsidR="00652869">
        <w:rPr>
          <w:lang w:val="en-GB"/>
        </w:rPr>
        <w:t>.</w:t>
      </w:r>
      <w:r w:rsidR="00CB4763">
        <w:rPr>
          <w:lang w:val="en-GB"/>
        </w:rPr>
        <w:t xml:space="preserve"> In short, both in terms of documentation as in terms of expertise, universities possessed the adequate resources to enable lawyers to adequately assist applicants in going to Strasbourg.</w:t>
      </w:r>
      <w:r w:rsidR="0066216C">
        <w:rPr>
          <w:lang w:val="en-GB"/>
        </w:rPr>
        <w:t xml:space="preserve"> However, Larson, van Rossum and Schmidt’s findings concerning the Netherlands – where, according to the authors, the legal academia clearly led the way, while “practising attorneys followed […] along a somewhat haphazard trajectory”</w:t>
      </w:r>
      <w:r w:rsidR="0066216C">
        <w:rPr>
          <w:rStyle w:val="Voetnootmarkering"/>
          <w:lang w:val="en-GB"/>
        </w:rPr>
        <w:footnoteReference w:id="145"/>
      </w:r>
      <w:r w:rsidR="0066216C">
        <w:rPr>
          <w:lang w:val="en-GB"/>
        </w:rPr>
        <w:t xml:space="preserve"> – do not seem to apply to the same extent in Belgium. While there is a clear overrepresentation of actors with an academic profile, from the very beginning attorneys were involved in Strasbourg litigation</w:t>
      </w:r>
      <w:r w:rsidR="003605DA">
        <w:rPr>
          <w:lang w:val="en-GB"/>
        </w:rPr>
        <w:t xml:space="preserve">. It does </w:t>
      </w:r>
      <w:r w:rsidR="000A322D">
        <w:rPr>
          <w:lang w:val="en-GB"/>
        </w:rPr>
        <w:t xml:space="preserve">nonetheless </w:t>
      </w:r>
      <w:r w:rsidR="003605DA">
        <w:rPr>
          <w:lang w:val="en-GB"/>
        </w:rPr>
        <w:t xml:space="preserve">seem that, during the period under consideration, the cases in which academic actors were involved declined over time: 2/4 in the </w:t>
      </w:r>
      <w:proofErr w:type="spellStart"/>
      <w:r w:rsidR="003605DA">
        <w:rPr>
          <w:lang w:val="en-GB"/>
        </w:rPr>
        <w:t>1970s</w:t>
      </w:r>
      <w:proofErr w:type="spellEnd"/>
      <w:r w:rsidR="003605DA">
        <w:rPr>
          <w:lang w:val="en-GB"/>
        </w:rPr>
        <w:t xml:space="preserve">, 2/8 in the first half of the </w:t>
      </w:r>
      <w:proofErr w:type="spellStart"/>
      <w:r w:rsidR="003605DA">
        <w:rPr>
          <w:lang w:val="en-GB"/>
        </w:rPr>
        <w:t>1980s</w:t>
      </w:r>
      <w:proofErr w:type="spellEnd"/>
      <w:r w:rsidR="003605DA">
        <w:rPr>
          <w:lang w:val="en-GB"/>
        </w:rPr>
        <w:t xml:space="preserve"> and 1/7 in the second half of </w:t>
      </w:r>
      <w:r w:rsidR="003605DA">
        <w:rPr>
          <w:lang w:val="en-GB"/>
        </w:rPr>
        <w:lastRenderedPageBreak/>
        <w:t xml:space="preserve">the </w:t>
      </w:r>
      <w:proofErr w:type="spellStart"/>
      <w:r w:rsidR="003605DA">
        <w:rPr>
          <w:lang w:val="en-GB"/>
        </w:rPr>
        <w:t>1980s</w:t>
      </w:r>
      <w:proofErr w:type="spellEnd"/>
      <w:r w:rsidR="003605DA">
        <w:rPr>
          <w:lang w:val="en-GB"/>
        </w:rPr>
        <w:t xml:space="preserve">. This may indicate a relative increase of interest by </w:t>
      </w:r>
      <w:r w:rsidR="00463F8B">
        <w:rPr>
          <w:lang w:val="en-GB"/>
        </w:rPr>
        <w:t>attorneys</w:t>
      </w:r>
      <w:r w:rsidR="003605DA">
        <w:rPr>
          <w:lang w:val="en-GB"/>
        </w:rPr>
        <w:t xml:space="preserve"> in the Convention in the course of the </w:t>
      </w:r>
      <w:proofErr w:type="spellStart"/>
      <w:r w:rsidR="003605DA">
        <w:rPr>
          <w:lang w:val="en-GB"/>
        </w:rPr>
        <w:t>1980s</w:t>
      </w:r>
      <w:proofErr w:type="spellEnd"/>
      <w:r w:rsidR="00463F8B">
        <w:rPr>
          <w:lang w:val="en-GB"/>
        </w:rPr>
        <w:t xml:space="preserve"> – arguably as a result of </w:t>
      </w:r>
      <w:r w:rsidR="0022086D">
        <w:rPr>
          <w:lang w:val="en-GB"/>
        </w:rPr>
        <w:t>successful</w:t>
      </w:r>
      <w:r w:rsidR="00463F8B">
        <w:rPr>
          <w:lang w:val="en-GB"/>
        </w:rPr>
        <w:t xml:space="preserve"> prior Strasbourg litigation – </w:t>
      </w:r>
      <w:r w:rsidR="003605DA">
        <w:rPr>
          <w:lang w:val="en-GB"/>
        </w:rPr>
        <w:t xml:space="preserve">lessening the need for academic </w:t>
      </w:r>
      <w:r w:rsidR="00463F8B">
        <w:rPr>
          <w:lang w:val="en-GB"/>
        </w:rPr>
        <w:t>support of</w:t>
      </w:r>
      <w:r w:rsidR="003605DA">
        <w:rPr>
          <w:lang w:val="en-GB"/>
        </w:rPr>
        <w:t xml:space="preserve"> Strasbourg litigation.</w:t>
      </w:r>
    </w:p>
    <w:p w14:paraId="0F729853" w14:textId="77777777" w:rsidR="00803BA4" w:rsidRDefault="00803BA4" w:rsidP="004228A8">
      <w:pPr>
        <w:rPr>
          <w:i/>
          <w:lang w:val="en-GB"/>
        </w:rPr>
      </w:pPr>
    </w:p>
    <w:p w14:paraId="3A4A52F0" w14:textId="77777777" w:rsidR="004B25EE" w:rsidRPr="00520A9C" w:rsidRDefault="002D4246" w:rsidP="004228A8">
      <w:pPr>
        <w:rPr>
          <w:i/>
          <w:lang w:val="en-GB"/>
        </w:rPr>
      </w:pPr>
      <w:r w:rsidRPr="00520A9C">
        <w:rPr>
          <w:i/>
          <w:lang w:val="en-GB"/>
        </w:rPr>
        <w:t>NGO’s</w:t>
      </w:r>
    </w:p>
    <w:p w14:paraId="505C9029" w14:textId="488251A5" w:rsidR="00B951B5" w:rsidRDefault="003B36A1" w:rsidP="001A19D0">
      <w:pPr>
        <w:ind w:firstLine="708"/>
        <w:jc w:val="both"/>
        <w:rPr>
          <w:lang w:val="en-GB"/>
        </w:rPr>
      </w:pPr>
      <w:r>
        <w:rPr>
          <w:lang w:val="en-GB"/>
        </w:rPr>
        <w:t>Contrary to what one may expect, given the documented importance of NGO’s to S</w:t>
      </w:r>
      <w:r w:rsidR="00652869">
        <w:rPr>
          <w:lang w:val="en-GB"/>
        </w:rPr>
        <w:t>trasbourg litigation in general</w:t>
      </w:r>
      <w:r>
        <w:rPr>
          <w:rStyle w:val="Voetnootmarkering"/>
          <w:lang w:val="en-GB"/>
        </w:rPr>
        <w:footnoteReference w:id="146"/>
      </w:r>
      <w:r w:rsidR="00652869">
        <w:rPr>
          <w:lang w:val="en-GB"/>
        </w:rPr>
        <w:t>,</w:t>
      </w:r>
      <w:r w:rsidR="000E3D7D">
        <w:rPr>
          <w:lang w:val="en-GB"/>
        </w:rPr>
        <w:t xml:space="preserve"> based on the data, it does not seem that NGO’s played an important role in assisting applicants to go to Strasbourg during the period under consideration. </w:t>
      </w:r>
      <w:r w:rsidR="00C93554">
        <w:rPr>
          <w:lang w:val="en-GB"/>
        </w:rPr>
        <w:t>Transnational advocacy networks</w:t>
      </w:r>
      <w:r w:rsidR="00202ABC">
        <w:rPr>
          <w:rStyle w:val="Voetnootmarkering"/>
          <w:lang w:val="en-GB"/>
        </w:rPr>
        <w:footnoteReference w:id="147"/>
      </w:r>
      <w:r w:rsidR="00C93554">
        <w:rPr>
          <w:lang w:val="en-GB"/>
        </w:rPr>
        <w:t xml:space="preserve"> even did not play a role at all, which may be explained by the fact that</w:t>
      </w:r>
      <w:r w:rsidR="00202ABC">
        <w:rPr>
          <w:lang w:val="en-GB"/>
        </w:rPr>
        <w:t xml:space="preserve">, according to Keck and </w:t>
      </w:r>
      <w:proofErr w:type="spellStart"/>
      <w:r w:rsidR="00202ABC">
        <w:rPr>
          <w:lang w:val="en-GB"/>
        </w:rPr>
        <w:t>Sikkink</w:t>
      </w:r>
      <w:proofErr w:type="spellEnd"/>
      <w:r w:rsidR="00202ABC">
        <w:rPr>
          <w:lang w:val="en-GB"/>
        </w:rPr>
        <w:t>,</w:t>
      </w:r>
      <w:r w:rsidR="00C93554">
        <w:rPr>
          <w:lang w:val="en-GB"/>
        </w:rPr>
        <w:t xml:space="preserve"> </w:t>
      </w:r>
      <w:r w:rsidR="00202ABC">
        <w:rPr>
          <w:lang w:val="en-GB"/>
        </w:rPr>
        <w:t>these networks typically only generate added value “where one state is relatively immune to direct local pressure and linked activists elsewhere have better access to their own governments or</w:t>
      </w:r>
      <w:r w:rsidR="00652869">
        <w:rPr>
          <w:lang w:val="en-GB"/>
        </w:rPr>
        <w:t xml:space="preserve"> to international organizations</w:t>
      </w:r>
      <w:r w:rsidR="00202ABC">
        <w:rPr>
          <w:lang w:val="en-GB"/>
        </w:rPr>
        <w:t>”</w:t>
      </w:r>
      <w:r w:rsidR="00202ABC">
        <w:rPr>
          <w:rStyle w:val="Voetnootmarkering"/>
          <w:lang w:val="en-GB"/>
        </w:rPr>
        <w:footnoteReference w:id="148"/>
      </w:r>
      <w:r w:rsidR="00652869">
        <w:rPr>
          <w:lang w:val="en-GB"/>
        </w:rPr>
        <w:t>.</w:t>
      </w:r>
      <w:r w:rsidR="007304A2">
        <w:rPr>
          <w:lang w:val="en-GB"/>
        </w:rPr>
        <w:t xml:space="preserve"> In the context of the </w:t>
      </w:r>
      <w:r w:rsidR="00B951B5">
        <w:rPr>
          <w:lang w:val="en-GB"/>
        </w:rPr>
        <w:t>European Convention system,</w:t>
      </w:r>
      <w:r w:rsidR="007304A2">
        <w:rPr>
          <w:lang w:val="en-GB"/>
        </w:rPr>
        <w:t xml:space="preserve"> it seems that such networks typically focus on gross and systematic human rights violations on behalf of marginalized groups in young democracies, rather than on human rights issues in estab</w:t>
      </w:r>
      <w:r w:rsidR="00652869">
        <w:rPr>
          <w:lang w:val="en-GB"/>
        </w:rPr>
        <w:t>lished democracies like Belgium</w:t>
      </w:r>
      <w:r w:rsidR="007304A2">
        <w:rPr>
          <w:rStyle w:val="Voetnootmarkering"/>
          <w:lang w:val="en-GB"/>
        </w:rPr>
        <w:footnoteReference w:id="149"/>
      </w:r>
      <w:r w:rsidR="00652869">
        <w:rPr>
          <w:lang w:val="en-GB"/>
        </w:rPr>
        <w:t>.</w:t>
      </w:r>
    </w:p>
    <w:p w14:paraId="0A135FF8" w14:textId="5E0CB496" w:rsidR="007E4B84" w:rsidRDefault="00534E74" w:rsidP="001A19D0">
      <w:pPr>
        <w:ind w:firstLine="708"/>
        <w:jc w:val="both"/>
        <w:rPr>
          <w:lang w:val="en-GB"/>
        </w:rPr>
      </w:pPr>
      <w:r>
        <w:rPr>
          <w:lang w:val="en-GB"/>
        </w:rPr>
        <w:t xml:space="preserve">There may be a number of reasons for </w:t>
      </w:r>
      <w:r w:rsidR="00B951B5">
        <w:rPr>
          <w:lang w:val="en-GB"/>
        </w:rPr>
        <w:t>the limited NGO involvement in Strasbourg litigation against Belgium in the period under consideration</w:t>
      </w:r>
      <w:r>
        <w:rPr>
          <w:lang w:val="en-GB"/>
        </w:rPr>
        <w:t xml:space="preserve">. One of them is that </w:t>
      </w:r>
      <w:r w:rsidR="00025DF0">
        <w:rPr>
          <w:lang w:val="en-GB"/>
        </w:rPr>
        <w:t xml:space="preserve">Belgium does not have a culture of public interest litigation and that the legal framework inhibits associations from bringing complaints in the public interest </w:t>
      </w:r>
      <w:r w:rsidR="007E4B84">
        <w:rPr>
          <w:lang w:val="en-GB"/>
        </w:rPr>
        <w:t>before the domestic courts:</w:t>
      </w:r>
      <w:r w:rsidR="00025DF0">
        <w:rPr>
          <w:lang w:val="en-GB"/>
        </w:rPr>
        <w:t xml:space="preserve"> the Court of Cassation traditionally only allows legal persons to defend their own interest</w:t>
      </w:r>
      <w:r w:rsidR="007E4B84" w:rsidRPr="007E4B84">
        <w:rPr>
          <w:lang w:val="en-GB"/>
        </w:rPr>
        <w:t xml:space="preserve"> </w:t>
      </w:r>
      <w:r w:rsidR="007E4B84">
        <w:rPr>
          <w:lang w:val="en-GB"/>
        </w:rPr>
        <w:t>in court</w:t>
      </w:r>
      <w:r w:rsidR="00025DF0">
        <w:rPr>
          <w:lang w:val="en-GB"/>
        </w:rPr>
        <w:t>, narrowly interpreted as “what touches upon their material and moral goods, including their</w:t>
      </w:r>
      <w:r w:rsidR="00652869">
        <w:rPr>
          <w:lang w:val="en-GB"/>
        </w:rPr>
        <w:t xml:space="preserve"> capital, honour and reputation</w:t>
      </w:r>
      <w:r w:rsidR="00025DF0">
        <w:rPr>
          <w:lang w:val="en-GB"/>
        </w:rPr>
        <w:t>”</w:t>
      </w:r>
      <w:r w:rsidR="00025DF0">
        <w:rPr>
          <w:rStyle w:val="Voetnootmarkering"/>
          <w:lang w:val="en-GB"/>
        </w:rPr>
        <w:footnoteReference w:id="150"/>
      </w:r>
      <w:r w:rsidR="00652869">
        <w:rPr>
          <w:lang w:val="en-GB"/>
        </w:rPr>
        <w:t>.</w:t>
      </w:r>
      <w:r w:rsidR="00326527">
        <w:rPr>
          <w:lang w:val="en-GB"/>
        </w:rPr>
        <w:t xml:space="preserve"> Secondly, the most important human rights associations in Belgium, the Flemish- and French-speaking branches of </w:t>
      </w:r>
      <w:r w:rsidR="00326527">
        <w:rPr>
          <w:i/>
          <w:lang w:val="en-GB"/>
        </w:rPr>
        <w:t>Amnesty International</w:t>
      </w:r>
      <w:r w:rsidR="00845D2B">
        <w:rPr>
          <w:rStyle w:val="Voetnootmarkering"/>
          <w:i/>
          <w:lang w:val="en-GB"/>
        </w:rPr>
        <w:footnoteReference w:id="151"/>
      </w:r>
      <w:r w:rsidR="00326527">
        <w:rPr>
          <w:i/>
          <w:lang w:val="en-GB"/>
        </w:rPr>
        <w:t xml:space="preserve"> </w:t>
      </w:r>
      <w:r w:rsidR="00326527">
        <w:rPr>
          <w:lang w:val="en-GB"/>
        </w:rPr>
        <w:t xml:space="preserve">and </w:t>
      </w:r>
      <w:proofErr w:type="spellStart"/>
      <w:r w:rsidR="00326527">
        <w:rPr>
          <w:i/>
          <w:lang w:val="en-GB"/>
        </w:rPr>
        <w:t>Ligue</w:t>
      </w:r>
      <w:proofErr w:type="spellEnd"/>
      <w:r w:rsidR="00326527">
        <w:rPr>
          <w:i/>
          <w:lang w:val="en-GB"/>
        </w:rPr>
        <w:t xml:space="preserve"> des </w:t>
      </w:r>
      <w:r w:rsidR="008A5CC8">
        <w:rPr>
          <w:i/>
          <w:lang w:val="en-GB"/>
        </w:rPr>
        <w:t>d</w:t>
      </w:r>
      <w:r w:rsidR="00326527">
        <w:rPr>
          <w:i/>
          <w:lang w:val="en-GB"/>
        </w:rPr>
        <w:t xml:space="preserve">roits de </w:t>
      </w:r>
      <w:proofErr w:type="spellStart"/>
      <w:r w:rsidR="00326527">
        <w:rPr>
          <w:i/>
          <w:lang w:val="en-GB"/>
        </w:rPr>
        <w:t>l’</w:t>
      </w:r>
      <w:r w:rsidR="008A5CC8">
        <w:rPr>
          <w:i/>
          <w:lang w:val="en-GB"/>
        </w:rPr>
        <w:t>h</w:t>
      </w:r>
      <w:r w:rsidR="00326527">
        <w:rPr>
          <w:i/>
          <w:lang w:val="en-GB"/>
        </w:rPr>
        <w:t>omme</w:t>
      </w:r>
      <w:proofErr w:type="spellEnd"/>
      <w:r w:rsidR="00326527">
        <w:rPr>
          <w:i/>
          <w:lang w:val="en-GB"/>
        </w:rPr>
        <w:t xml:space="preserve"> </w:t>
      </w:r>
      <w:r w:rsidR="00326527">
        <w:rPr>
          <w:lang w:val="en-GB"/>
        </w:rPr>
        <w:t>have traditionally focused mostly on international rather than on domestic human rights issues</w:t>
      </w:r>
      <w:r w:rsidR="00845D2B">
        <w:rPr>
          <w:rStyle w:val="Voetnootmarkering"/>
          <w:lang w:val="en-GB"/>
        </w:rPr>
        <w:footnoteReference w:id="152"/>
      </w:r>
      <w:r w:rsidR="00652869">
        <w:rPr>
          <w:lang w:val="en-GB"/>
        </w:rPr>
        <w:t>.</w:t>
      </w:r>
      <w:r w:rsidR="008A5CC8">
        <w:rPr>
          <w:lang w:val="en-GB"/>
        </w:rPr>
        <w:t xml:space="preserve"> While this has </w:t>
      </w:r>
      <w:r w:rsidR="00A23F94">
        <w:rPr>
          <w:lang w:val="en-GB"/>
        </w:rPr>
        <w:t>certainly</w:t>
      </w:r>
      <w:r w:rsidR="008A5CC8">
        <w:rPr>
          <w:lang w:val="en-GB"/>
        </w:rPr>
        <w:t xml:space="preserve"> changed with respect to</w:t>
      </w:r>
      <w:r w:rsidR="007E4B84">
        <w:rPr>
          <w:lang w:val="en-GB"/>
        </w:rPr>
        <w:t xml:space="preserve"> the</w:t>
      </w:r>
      <w:r w:rsidR="008A5CC8">
        <w:rPr>
          <w:lang w:val="en-GB"/>
        </w:rPr>
        <w:t xml:space="preserve"> </w:t>
      </w:r>
      <w:proofErr w:type="spellStart"/>
      <w:r w:rsidR="008A5CC8">
        <w:rPr>
          <w:i/>
          <w:lang w:val="en-GB"/>
        </w:rPr>
        <w:t>Ligue</w:t>
      </w:r>
      <w:proofErr w:type="spellEnd"/>
      <w:r w:rsidR="008A5CC8">
        <w:rPr>
          <w:i/>
          <w:lang w:val="en-GB"/>
        </w:rPr>
        <w:t xml:space="preserve"> des droits de </w:t>
      </w:r>
      <w:proofErr w:type="spellStart"/>
      <w:r w:rsidR="008A5CC8">
        <w:rPr>
          <w:i/>
          <w:lang w:val="en-GB"/>
        </w:rPr>
        <w:t>l’homme</w:t>
      </w:r>
      <w:proofErr w:type="spellEnd"/>
      <w:r w:rsidR="008A5CC8">
        <w:rPr>
          <w:lang w:val="en-GB"/>
        </w:rPr>
        <w:t xml:space="preserve">, </w:t>
      </w:r>
      <w:r w:rsidR="007E4B84">
        <w:rPr>
          <w:lang w:val="en-GB"/>
        </w:rPr>
        <w:t xml:space="preserve">which has </w:t>
      </w:r>
      <w:r w:rsidR="005034D0">
        <w:rPr>
          <w:lang w:val="en-GB"/>
        </w:rPr>
        <w:t xml:space="preserve">moreover </w:t>
      </w:r>
      <w:r w:rsidR="007E4B84">
        <w:rPr>
          <w:lang w:val="en-GB"/>
        </w:rPr>
        <w:t xml:space="preserve">also </w:t>
      </w:r>
      <w:r w:rsidR="008A5CC8">
        <w:rPr>
          <w:lang w:val="en-GB"/>
        </w:rPr>
        <w:t xml:space="preserve">become </w:t>
      </w:r>
      <w:r w:rsidR="005034D0">
        <w:rPr>
          <w:lang w:val="en-GB"/>
        </w:rPr>
        <w:t xml:space="preserve">a </w:t>
      </w:r>
      <w:r w:rsidR="008A5CC8">
        <w:rPr>
          <w:lang w:val="en-GB"/>
        </w:rPr>
        <w:t xml:space="preserve">more active </w:t>
      </w:r>
      <w:r w:rsidR="005034D0">
        <w:rPr>
          <w:lang w:val="en-GB"/>
        </w:rPr>
        <w:t xml:space="preserve">player </w:t>
      </w:r>
      <w:r w:rsidR="008A5CC8">
        <w:rPr>
          <w:lang w:val="en-GB"/>
        </w:rPr>
        <w:t>in the are</w:t>
      </w:r>
      <w:r w:rsidR="00652869">
        <w:rPr>
          <w:lang w:val="en-GB"/>
        </w:rPr>
        <w:t>a of public interest litigation</w:t>
      </w:r>
      <w:r w:rsidR="008A5CC8">
        <w:rPr>
          <w:rStyle w:val="Voetnootmarkering"/>
          <w:lang w:val="en-GB"/>
        </w:rPr>
        <w:footnoteReference w:id="153"/>
      </w:r>
      <w:r w:rsidR="00652869">
        <w:rPr>
          <w:lang w:val="en-GB"/>
        </w:rPr>
        <w:t>,</w:t>
      </w:r>
      <w:r w:rsidR="008A5CC8">
        <w:rPr>
          <w:lang w:val="en-GB"/>
        </w:rPr>
        <w:t xml:space="preserve"> </w:t>
      </w:r>
      <w:r w:rsidR="007E4B84">
        <w:rPr>
          <w:lang w:val="en-GB"/>
        </w:rPr>
        <w:t>it may not come as a surprise that during the period under consideration, little traces are found of their involvement in Strasbourg litigation.</w:t>
      </w:r>
    </w:p>
    <w:p w14:paraId="2455763A" w14:textId="0A596E1E" w:rsidR="00D21409" w:rsidRPr="00155BCF" w:rsidRDefault="007E4B84" w:rsidP="001A19D0">
      <w:pPr>
        <w:ind w:firstLine="708"/>
        <w:jc w:val="both"/>
        <w:rPr>
          <w:i/>
          <w:lang w:val="en-GB"/>
        </w:rPr>
      </w:pPr>
      <w:r>
        <w:rPr>
          <w:lang w:val="en-GB"/>
        </w:rPr>
        <w:lastRenderedPageBreak/>
        <w:t>The only exception in this respect, and thereby the only case against Belgium during the period under consideration in which traces of NGO involvement are found, is the</w:t>
      </w:r>
      <w:r w:rsidR="00AE0675">
        <w:rPr>
          <w:lang w:val="en-GB"/>
        </w:rPr>
        <w:t xml:space="preserve"> </w:t>
      </w:r>
      <w:proofErr w:type="spellStart"/>
      <w:r w:rsidR="00AE0675">
        <w:rPr>
          <w:i/>
          <w:lang w:val="en-GB"/>
        </w:rPr>
        <w:t>Bouamar</w:t>
      </w:r>
      <w:proofErr w:type="spellEnd"/>
      <w:r w:rsidR="00AE0675">
        <w:rPr>
          <w:i/>
          <w:lang w:val="en-GB"/>
        </w:rPr>
        <w:t xml:space="preserve"> </w:t>
      </w:r>
      <w:r w:rsidR="00AE0675">
        <w:rPr>
          <w:lang w:val="en-GB"/>
        </w:rPr>
        <w:t>case</w:t>
      </w:r>
      <w:r w:rsidR="00A23F94">
        <w:rPr>
          <w:lang w:val="en-GB"/>
        </w:rPr>
        <w:t xml:space="preserve"> (1988)</w:t>
      </w:r>
      <w:r w:rsidR="00AE0675">
        <w:rPr>
          <w:lang w:val="en-GB"/>
        </w:rPr>
        <w:t xml:space="preserve">. </w:t>
      </w:r>
      <w:r w:rsidR="00182129">
        <w:rPr>
          <w:lang w:val="en-GB"/>
        </w:rPr>
        <w:t xml:space="preserve">This case resulted from a campaign </w:t>
      </w:r>
      <w:r w:rsidR="00A23F94">
        <w:rPr>
          <w:lang w:val="en-GB"/>
        </w:rPr>
        <w:t xml:space="preserve">against the imprisonment of minors </w:t>
      </w:r>
      <w:r w:rsidR="00182129">
        <w:rPr>
          <w:lang w:val="en-GB"/>
        </w:rPr>
        <w:t xml:space="preserve">by a number of progressive lawyers from the Bar of Liège, that were involved in or had contacts with the local branch of the </w:t>
      </w:r>
      <w:proofErr w:type="spellStart"/>
      <w:r w:rsidR="00182129">
        <w:rPr>
          <w:i/>
          <w:lang w:val="en-GB"/>
        </w:rPr>
        <w:t>Ligue</w:t>
      </w:r>
      <w:proofErr w:type="spellEnd"/>
      <w:r w:rsidR="00182129">
        <w:rPr>
          <w:i/>
          <w:lang w:val="en-GB"/>
        </w:rPr>
        <w:t xml:space="preserve"> des droits de </w:t>
      </w:r>
      <w:proofErr w:type="spellStart"/>
      <w:r w:rsidR="00182129">
        <w:rPr>
          <w:i/>
          <w:lang w:val="en-GB"/>
        </w:rPr>
        <w:t>l’homme</w:t>
      </w:r>
      <w:proofErr w:type="spellEnd"/>
      <w:r w:rsidR="00182129">
        <w:rPr>
          <w:lang w:val="en-GB"/>
        </w:rPr>
        <w:t>.</w:t>
      </w:r>
      <w:r w:rsidR="00256ACC">
        <w:rPr>
          <w:lang w:val="en-GB"/>
        </w:rPr>
        <w:t xml:space="preserve"> The applicant’s lawyer</w:t>
      </w:r>
      <w:r w:rsidR="00895730">
        <w:rPr>
          <w:lang w:val="en-GB"/>
        </w:rPr>
        <w:t xml:space="preserve">, Françoise Demol </w:t>
      </w:r>
      <w:r w:rsidR="00256ACC">
        <w:rPr>
          <w:lang w:val="en-GB"/>
        </w:rPr>
        <w:t xml:space="preserve">had founded the local branch of the </w:t>
      </w:r>
      <w:proofErr w:type="spellStart"/>
      <w:r w:rsidR="00256ACC">
        <w:rPr>
          <w:i/>
          <w:lang w:val="en-GB"/>
        </w:rPr>
        <w:t>Ligue</w:t>
      </w:r>
      <w:proofErr w:type="spellEnd"/>
      <w:r w:rsidR="00256ACC">
        <w:rPr>
          <w:i/>
          <w:lang w:val="en-GB"/>
        </w:rPr>
        <w:t xml:space="preserve"> des Droits de </w:t>
      </w:r>
      <w:proofErr w:type="spellStart"/>
      <w:r w:rsidR="00256ACC">
        <w:rPr>
          <w:i/>
          <w:lang w:val="en-GB"/>
        </w:rPr>
        <w:t>l’Homme</w:t>
      </w:r>
      <w:proofErr w:type="spellEnd"/>
      <w:r w:rsidR="00256ACC">
        <w:rPr>
          <w:i/>
          <w:lang w:val="en-GB"/>
        </w:rPr>
        <w:t xml:space="preserve"> </w:t>
      </w:r>
      <w:r w:rsidR="00256ACC">
        <w:rPr>
          <w:lang w:val="en-GB"/>
        </w:rPr>
        <w:t xml:space="preserve">in </w:t>
      </w:r>
      <w:r w:rsidR="00256ACC" w:rsidRPr="00895730">
        <w:rPr>
          <w:lang w:val="en-GB"/>
        </w:rPr>
        <w:t>Liège</w:t>
      </w:r>
      <w:r w:rsidR="00256ACC">
        <w:rPr>
          <w:i/>
          <w:lang w:val="en-GB"/>
        </w:rPr>
        <w:t xml:space="preserve"> </w:t>
      </w:r>
      <w:r w:rsidR="00256ACC">
        <w:rPr>
          <w:lang w:val="en-GB"/>
        </w:rPr>
        <w:t>after finishing her studies</w:t>
      </w:r>
      <w:r w:rsidR="00895730">
        <w:rPr>
          <w:lang w:val="en-GB"/>
        </w:rPr>
        <w:t xml:space="preserve">, </w:t>
      </w:r>
      <w:r w:rsidR="00D21409">
        <w:rPr>
          <w:lang w:val="en-GB"/>
        </w:rPr>
        <w:t xml:space="preserve">around 1973, </w:t>
      </w:r>
      <w:r w:rsidR="00895730">
        <w:rPr>
          <w:lang w:val="en-GB"/>
        </w:rPr>
        <w:t xml:space="preserve">on request of her former professor François </w:t>
      </w:r>
      <w:proofErr w:type="spellStart"/>
      <w:r w:rsidR="00895730">
        <w:rPr>
          <w:lang w:val="en-GB"/>
        </w:rPr>
        <w:t>Rigaux</w:t>
      </w:r>
      <w:proofErr w:type="spellEnd"/>
      <w:r w:rsidR="00895730">
        <w:rPr>
          <w:lang w:val="en-GB"/>
        </w:rPr>
        <w:t>, specialist</w:t>
      </w:r>
      <w:r w:rsidR="004A0A88">
        <w:rPr>
          <w:lang w:val="en-GB"/>
        </w:rPr>
        <w:t xml:space="preserve"> of</w:t>
      </w:r>
      <w:r w:rsidR="00895730">
        <w:rPr>
          <w:lang w:val="en-GB"/>
        </w:rPr>
        <w:t xml:space="preserve"> international law at the </w:t>
      </w:r>
      <w:proofErr w:type="spellStart"/>
      <w:r w:rsidR="00895730">
        <w:rPr>
          <w:i/>
          <w:lang w:val="en-GB"/>
        </w:rPr>
        <w:t>Université</w:t>
      </w:r>
      <w:proofErr w:type="spellEnd"/>
      <w:r w:rsidR="00895730">
        <w:rPr>
          <w:i/>
          <w:lang w:val="en-GB"/>
        </w:rPr>
        <w:t xml:space="preserve"> </w:t>
      </w:r>
      <w:proofErr w:type="spellStart"/>
      <w:r w:rsidR="00895730">
        <w:rPr>
          <w:i/>
          <w:lang w:val="en-GB"/>
        </w:rPr>
        <w:t>Catholique</w:t>
      </w:r>
      <w:proofErr w:type="spellEnd"/>
      <w:r w:rsidR="00895730">
        <w:rPr>
          <w:i/>
          <w:lang w:val="en-GB"/>
        </w:rPr>
        <w:t xml:space="preserve"> de Louvain</w:t>
      </w:r>
      <w:r w:rsidR="00A23F94">
        <w:rPr>
          <w:lang w:val="en-GB"/>
        </w:rPr>
        <w:t xml:space="preserve"> and</w:t>
      </w:r>
      <w:r w:rsidR="00895730">
        <w:rPr>
          <w:lang w:val="en-GB"/>
        </w:rPr>
        <w:t xml:space="preserve"> prominent member of the </w:t>
      </w:r>
      <w:proofErr w:type="spellStart"/>
      <w:r w:rsidR="00895730">
        <w:rPr>
          <w:i/>
          <w:lang w:val="en-GB"/>
        </w:rPr>
        <w:t>Ligue</w:t>
      </w:r>
      <w:proofErr w:type="spellEnd"/>
      <w:r w:rsidR="00895730">
        <w:rPr>
          <w:i/>
          <w:lang w:val="en-GB"/>
        </w:rPr>
        <w:t>.</w:t>
      </w:r>
      <w:r w:rsidR="00895730">
        <w:rPr>
          <w:lang w:val="en-GB"/>
        </w:rPr>
        <w:t xml:space="preserve"> </w:t>
      </w:r>
      <w:r w:rsidR="00D21409">
        <w:rPr>
          <w:lang w:val="en-GB"/>
        </w:rPr>
        <w:t xml:space="preserve">A crucial moment in the mobilization of progressive lawyers from the Bar of Liège was the successful protest organized </w:t>
      </w:r>
      <w:r w:rsidR="001D5C84">
        <w:rPr>
          <w:lang w:val="en-GB"/>
        </w:rPr>
        <w:t>in 197</w:t>
      </w:r>
      <w:r w:rsidR="006172B8">
        <w:rPr>
          <w:lang w:val="en-GB"/>
        </w:rPr>
        <w:t>6</w:t>
      </w:r>
      <w:r w:rsidR="001D5C84">
        <w:rPr>
          <w:lang w:val="en-GB"/>
        </w:rPr>
        <w:t xml:space="preserve"> </w:t>
      </w:r>
      <w:r w:rsidR="00D21409">
        <w:rPr>
          <w:lang w:val="en-GB"/>
        </w:rPr>
        <w:t xml:space="preserve">by the </w:t>
      </w:r>
      <w:proofErr w:type="spellStart"/>
      <w:r w:rsidR="00D21409" w:rsidRPr="00846232">
        <w:rPr>
          <w:i/>
          <w:lang w:val="en-GB"/>
        </w:rPr>
        <w:t>Ligue</w:t>
      </w:r>
      <w:proofErr w:type="spellEnd"/>
      <w:r w:rsidR="00D21409" w:rsidRPr="00846232">
        <w:rPr>
          <w:i/>
          <w:lang w:val="en-GB"/>
        </w:rPr>
        <w:t xml:space="preserve"> des Droits de </w:t>
      </w:r>
      <w:proofErr w:type="spellStart"/>
      <w:r w:rsidR="00D21409" w:rsidRPr="00846232">
        <w:rPr>
          <w:i/>
          <w:lang w:val="en-GB"/>
        </w:rPr>
        <w:t>l’Homme</w:t>
      </w:r>
      <w:proofErr w:type="spellEnd"/>
      <w:r w:rsidR="00D21409">
        <w:rPr>
          <w:i/>
          <w:lang w:val="en-GB"/>
        </w:rPr>
        <w:t xml:space="preserve"> </w:t>
      </w:r>
      <w:r w:rsidR="00D21409">
        <w:rPr>
          <w:lang w:val="en-GB"/>
        </w:rPr>
        <w:t xml:space="preserve">against the expulsion of </w:t>
      </w:r>
      <w:r w:rsidR="004A0A88">
        <w:rPr>
          <w:lang w:val="en-GB"/>
        </w:rPr>
        <w:t xml:space="preserve">a </w:t>
      </w:r>
      <w:r w:rsidR="001D5C84">
        <w:rPr>
          <w:lang w:val="en-GB"/>
        </w:rPr>
        <w:t>delinquent minor</w:t>
      </w:r>
      <w:r w:rsidR="00D21409">
        <w:rPr>
          <w:lang w:val="en-GB"/>
        </w:rPr>
        <w:t xml:space="preserve"> of Morocca</w:t>
      </w:r>
      <w:r w:rsidR="001D5C84">
        <w:rPr>
          <w:lang w:val="en-GB"/>
        </w:rPr>
        <w:t xml:space="preserve">n origin. </w:t>
      </w:r>
      <w:r w:rsidR="00D21409">
        <w:rPr>
          <w:lang w:val="en-GB"/>
        </w:rPr>
        <w:t xml:space="preserve">Taking advantage of the fact that the </w:t>
      </w:r>
      <w:r w:rsidR="001D5C84">
        <w:rPr>
          <w:lang w:val="en-GB"/>
        </w:rPr>
        <w:t>boy’s father</w:t>
      </w:r>
      <w:r w:rsidR="00D21409">
        <w:rPr>
          <w:lang w:val="en-GB"/>
        </w:rPr>
        <w:t xml:space="preserve"> </w:t>
      </w:r>
      <w:r w:rsidR="004A0A88">
        <w:rPr>
          <w:lang w:val="en-GB"/>
        </w:rPr>
        <w:t xml:space="preserve">was </w:t>
      </w:r>
      <w:r w:rsidR="00D21409">
        <w:rPr>
          <w:lang w:val="en-GB"/>
        </w:rPr>
        <w:t>on holidays in Morocco, the</w:t>
      </w:r>
      <w:r w:rsidR="001D5C84">
        <w:rPr>
          <w:lang w:val="en-GB"/>
        </w:rPr>
        <w:t xml:space="preserve"> authorities planned to “release” him from a youth delinquent’s institution in order to return him to his parents in Morocco</w:t>
      </w:r>
      <w:r w:rsidR="001D5C84">
        <w:rPr>
          <w:rStyle w:val="sfbbfee58"/>
          <w:lang w:val="en-GB"/>
        </w:rPr>
        <w:t xml:space="preserve"> – </w:t>
      </w:r>
      <w:r w:rsidR="001D5C84">
        <w:rPr>
          <w:lang w:val="en-GB"/>
        </w:rPr>
        <w:t>an expulsion in disguise</w:t>
      </w:r>
      <w:r w:rsidR="001D5C84">
        <w:rPr>
          <w:rStyle w:val="sfbbfee58"/>
          <w:lang w:val="en-GB"/>
        </w:rPr>
        <w:t xml:space="preserve"> – </w:t>
      </w:r>
      <w:r w:rsidR="001D5C84">
        <w:rPr>
          <w:lang w:val="en-GB"/>
        </w:rPr>
        <w:t xml:space="preserve">despite the fact that he did not have any connections with that country. In the middle of the night, in the woods of </w:t>
      </w:r>
      <w:proofErr w:type="spellStart"/>
      <w:r w:rsidR="001D5C84">
        <w:rPr>
          <w:lang w:val="en-GB"/>
        </w:rPr>
        <w:t>Fraipont</w:t>
      </w:r>
      <w:proofErr w:type="spellEnd"/>
      <w:r w:rsidR="001D5C84">
        <w:rPr>
          <w:lang w:val="en-GB"/>
        </w:rPr>
        <w:t xml:space="preserve"> where he was imprisoned, a group of </w:t>
      </w:r>
      <w:proofErr w:type="spellStart"/>
      <w:r w:rsidR="001D5C84">
        <w:rPr>
          <w:i/>
          <w:lang w:val="en-GB"/>
        </w:rPr>
        <w:t>Ligue</w:t>
      </w:r>
      <w:proofErr w:type="spellEnd"/>
      <w:r w:rsidR="001D5C84">
        <w:rPr>
          <w:i/>
          <w:lang w:val="en-GB"/>
        </w:rPr>
        <w:t xml:space="preserve"> des Droits de </w:t>
      </w:r>
      <w:proofErr w:type="spellStart"/>
      <w:r w:rsidR="001D5C84">
        <w:rPr>
          <w:i/>
          <w:lang w:val="en-GB"/>
        </w:rPr>
        <w:t>l’Homme</w:t>
      </w:r>
      <w:proofErr w:type="spellEnd"/>
      <w:r w:rsidR="001D5C84">
        <w:rPr>
          <w:i/>
          <w:lang w:val="en-GB"/>
        </w:rPr>
        <w:t xml:space="preserve"> </w:t>
      </w:r>
      <w:r w:rsidR="001D5C84">
        <w:rPr>
          <w:lang w:val="en-GB"/>
        </w:rPr>
        <w:t xml:space="preserve">militants, including a number of lawyers </w:t>
      </w:r>
      <w:r w:rsidR="00004AB8">
        <w:rPr>
          <w:lang w:val="en-GB"/>
        </w:rPr>
        <w:t>from Liège</w:t>
      </w:r>
      <w:r w:rsidR="001D5C84">
        <w:rPr>
          <w:lang w:val="en-GB"/>
        </w:rPr>
        <w:t xml:space="preserve">, blocked the road where the convoy escorting the boy to the airport would pass. In the aftermath thereof, a </w:t>
      </w:r>
      <w:r w:rsidR="006172B8">
        <w:rPr>
          <w:lang w:val="en-GB"/>
        </w:rPr>
        <w:t xml:space="preserve">number of young lawyers at the Bar of Liège created a </w:t>
      </w:r>
      <w:r w:rsidR="001D5C84">
        <w:rPr>
          <w:lang w:val="en-GB"/>
        </w:rPr>
        <w:t xml:space="preserve">Commission for the </w:t>
      </w:r>
      <w:r w:rsidR="006172B8">
        <w:rPr>
          <w:lang w:val="en-GB"/>
        </w:rPr>
        <w:t xml:space="preserve">Youth </w:t>
      </w:r>
      <w:r w:rsidR="00004AB8">
        <w:rPr>
          <w:lang w:val="en-GB"/>
        </w:rPr>
        <w:t xml:space="preserve">which provided for lawyers </w:t>
      </w:r>
      <w:r w:rsidR="00FC504E">
        <w:rPr>
          <w:lang w:val="en-GB"/>
        </w:rPr>
        <w:t xml:space="preserve">to be </w:t>
      </w:r>
      <w:r w:rsidR="00004AB8">
        <w:rPr>
          <w:lang w:val="en-GB"/>
        </w:rPr>
        <w:t>on duty at the Youth Tribunal to give free legal advice to minors. Within this Commission, lawyers mobilized against a number of malpractices in the area of youth law, most notably the que</w:t>
      </w:r>
      <w:r w:rsidR="00652869">
        <w:rPr>
          <w:lang w:val="en-GB"/>
        </w:rPr>
        <w:t>stion of imprisonment of minors</w:t>
      </w:r>
      <w:r w:rsidR="00004AB8">
        <w:rPr>
          <w:rStyle w:val="Voetnootmarkering"/>
          <w:lang w:val="en-GB"/>
        </w:rPr>
        <w:footnoteReference w:id="154"/>
      </w:r>
      <w:r w:rsidR="00652869">
        <w:rPr>
          <w:lang w:val="en-GB"/>
        </w:rPr>
        <w:t>.</w:t>
      </w:r>
      <w:r w:rsidR="00A66665">
        <w:rPr>
          <w:lang w:val="en-GB"/>
        </w:rPr>
        <w:t xml:space="preserve"> At that time, </w:t>
      </w:r>
      <w:r w:rsidR="00043B35">
        <w:rPr>
          <w:lang w:val="en-GB"/>
        </w:rPr>
        <w:t>if no adequate institution was available for the placement of a juvenile offender, he or she could be placed in</w:t>
      </w:r>
      <w:r w:rsidR="00A130F2">
        <w:rPr>
          <w:lang w:val="en-GB"/>
        </w:rPr>
        <w:t xml:space="preserve"> remand</w:t>
      </w:r>
      <w:r w:rsidR="00043B35">
        <w:rPr>
          <w:lang w:val="en-GB"/>
        </w:rPr>
        <w:t xml:space="preserve"> prison for a period not exceeding fifteen days.</w:t>
      </w:r>
      <w:r w:rsidR="00A66665">
        <w:rPr>
          <w:lang w:val="en-GB"/>
        </w:rPr>
        <w:t xml:space="preserve"> </w:t>
      </w:r>
      <w:r w:rsidR="00A130F2">
        <w:rPr>
          <w:lang w:val="en-GB"/>
        </w:rPr>
        <w:t xml:space="preserve">Given the </w:t>
      </w:r>
      <w:r w:rsidR="00EA4E73">
        <w:rPr>
          <w:lang w:val="en-GB"/>
        </w:rPr>
        <w:t xml:space="preserve">structural </w:t>
      </w:r>
      <w:r w:rsidR="00A130F2">
        <w:rPr>
          <w:lang w:val="en-GB"/>
        </w:rPr>
        <w:t xml:space="preserve">shortage of places in adequate institutions, </w:t>
      </w:r>
      <w:r w:rsidR="00EA4E73">
        <w:rPr>
          <w:lang w:val="en-GB"/>
        </w:rPr>
        <w:t>juvenile offenders</w:t>
      </w:r>
      <w:r w:rsidR="00A130F2">
        <w:rPr>
          <w:lang w:val="en-GB"/>
        </w:rPr>
        <w:t xml:space="preserve"> were often subjected to </w:t>
      </w:r>
      <w:r w:rsidR="00EA4E73">
        <w:rPr>
          <w:lang w:val="en-GB"/>
        </w:rPr>
        <w:t xml:space="preserve">numerous placements in prison each time to be released after fifteen days. </w:t>
      </w:r>
      <w:r w:rsidR="00FD6798">
        <w:rPr>
          <w:lang w:val="en-GB"/>
        </w:rPr>
        <w:t>Moreover, at the national level</w:t>
      </w:r>
      <w:r w:rsidR="00EA4E73">
        <w:rPr>
          <w:lang w:val="en-GB"/>
        </w:rPr>
        <w:t xml:space="preserve">, appeals were systematically declared devoid of purpose </w:t>
      </w:r>
      <w:r w:rsidR="00FD6798">
        <w:rPr>
          <w:lang w:val="en-GB"/>
        </w:rPr>
        <w:t xml:space="preserve">on the ground that, by the time the </w:t>
      </w:r>
      <w:r w:rsidR="00EA4E73">
        <w:rPr>
          <w:lang w:val="en-GB"/>
        </w:rPr>
        <w:t xml:space="preserve">appellate jurisdiction could rule on the detention, the minor concerned had already been released. For this reason, </w:t>
      </w:r>
      <w:r w:rsidR="00155BCF">
        <w:rPr>
          <w:lang w:val="en-GB"/>
        </w:rPr>
        <w:t xml:space="preserve">within the Commission for the Youth, the idea grew to go to Strasbourg to challenge the law in question, and one of </w:t>
      </w:r>
      <w:r w:rsidR="00FC504E">
        <w:rPr>
          <w:lang w:val="en-GB"/>
        </w:rPr>
        <w:t xml:space="preserve">Françoise </w:t>
      </w:r>
      <w:proofErr w:type="spellStart"/>
      <w:r w:rsidR="00FC504E">
        <w:rPr>
          <w:lang w:val="en-GB"/>
        </w:rPr>
        <w:t>Demol’s</w:t>
      </w:r>
      <w:proofErr w:type="spellEnd"/>
      <w:r w:rsidR="00155BCF">
        <w:rPr>
          <w:lang w:val="en-GB"/>
        </w:rPr>
        <w:t xml:space="preserve"> files was selected for this purpose. </w:t>
      </w:r>
      <w:r w:rsidR="0038777E">
        <w:rPr>
          <w:lang w:val="en-GB"/>
        </w:rPr>
        <w:t xml:space="preserve">Together with </w:t>
      </w:r>
      <w:proofErr w:type="spellStart"/>
      <w:r w:rsidR="0038777E">
        <w:rPr>
          <w:lang w:val="en-GB"/>
        </w:rPr>
        <w:t>Fabienne</w:t>
      </w:r>
      <w:proofErr w:type="spellEnd"/>
      <w:r w:rsidR="0038777E">
        <w:rPr>
          <w:lang w:val="en-GB"/>
        </w:rPr>
        <w:t xml:space="preserve"> Henry, </w:t>
      </w:r>
      <w:r w:rsidR="00FC504E">
        <w:rPr>
          <w:lang w:val="en-GB"/>
        </w:rPr>
        <w:t>she</w:t>
      </w:r>
      <w:r w:rsidR="0038777E">
        <w:rPr>
          <w:lang w:val="en-GB"/>
        </w:rPr>
        <w:t xml:space="preserve"> pleaded the case in Strasbourg. She however stresse</w:t>
      </w:r>
      <w:r w:rsidR="00FC504E">
        <w:rPr>
          <w:lang w:val="en-GB"/>
        </w:rPr>
        <w:t>d</w:t>
      </w:r>
      <w:r w:rsidR="0038777E">
        <w:rPr>
          <w:lang w:val="en-GB"/>
        </w:rPr>
        <w:t xml:space="preserve"> that the case would not have been possible had it not been for the work of a whole team of lawyers from the Bar of Liège: “it was necessary that there were man</w:t>
      </w:r>
      <w:r w:rsidR="00652869">
        <w:rPr>
          <w:lang w:val="en-GB"/>
        </w:rPr>
        <w:t>y of us to think about the case</w:t>
      </w:r>
      <w:r w:rsidR="0038777E">
        <w:rPr>
          <w:lang w:val="en-GB"/>
        </w:rPr>
        <w:t>”</w:t>
      </w:r>
      <w:r w:rsidR="0038777E">
        <w:rPr>
          <w:rStyle w:val="Voetnootmarkering"/>
          <w:lang w:val="en-GB"/>
        </w:rPr>
        <w:footnoteReference w:id="155"/>
      </w:r>
      <w:r w:rsidR="00652869">
        <w:rPr>
          <w:lang w:val="en-GB"/>
        </w:rPr>
        <w:t>.</w:t>
      </w:r>
      <w:r w:rsidR="003A3D57">
        <w:rPr>
          <w:lang w:val="en-GB"/>
        </w:rPr>
        <w:t xml:space="preserve"> The Court found violations of Articles 5 § 1 and 5 § 4 on account of, respectively, the unsuitable character</w:t>
      </w:r>
      <w:r w:rsidR="00EF69B4">
        <w:rPr>
          <w:lang w:val="en-GB"/>
        </w:rPr>
        <w:t xml:space="preserve"> for a minor</w:t>
      </w:r>
      <w:r w:rsidR="003A3D57">
        <w:rPr>
          <w:lang w:val="en-GB"/>
        </w:rPr>
        <w:t xml:space="preserve"> </w:t>
      </w:r>
      <w:r w:rsidR="00EF69B4">
        <w:rPr>
          <w:lang w:val="en-GB"/>
        </w:rPr>
        <w:t>of the applicant’s detention in a remand prison, and the lack of assistance by an attorney before the Juvenile Court decidi</w:t>
      </w:r>
      <w:r w:rsidR="00652869">
        <w:rPr>
          <w:lang w:val="en-GB"/>
        </w:rPr>
        <w:t>ng upon such placement measures</w:t>
      </w:r>
      <w:r w:rsidR="00EF69B4">
        <w:rPr>
          <w:rStyle w:val="Voetnootmarkering"/>
          <w:lang w:val="en-GB"/>
        </w:rPr>
        <w:footnoteReference w:id="156"/>
      </w:r>
      <w:r w:rsidR="00652869">
        <w:rPr>
          <w:lang w:val="en-GB"/>
        </w:rPr>
        <w:t>.</w:t>
      </w:r>
    </w:p>
    <w:p w14:paraId="7DA54D55" w14:textId="77777777" w:rsidR="00E1343E" w:rsidRDefault="00E1343E" w:rsidP="003B36A1">
      <w:pPr>
        <w:jc w:val="both"/>
        <w:rPr>
          <w:lang w:val="en-GB"/>
        </w:rPr>
      </w:pPr>
    </w:p>
    <w:p w14:paraId="4994B3E8" w14:textId="77777777" w:rsidR="00075DBA" w:rsidRPr="003952D3" w:rsidRDefault="00075DBA" w:rsidP="003B36A1">
      <w:pPr>
        <w:jc w:val="both"/>
        <w:rPr>
          <w:i/>
          <w:lang w:val="en-GB"/>
        </w:rPr>
      </w:pPr>
      <w:r w:rsidRPr="003952D3">
        <w:rPr>
          <w:i/>
          <w:lang w:val="en-GB"/>
        </w:rPr>
        <w:t>Political parties</w:t>
      </w:r>
    </w:p>
    <w:p w14:paraId="68C6B933" w14:textId="7EBA1940" w:rsidR="008E7F70" w:rsidRPr="003952D3" w:rsidRDefault="00333151" w:rsidP="001A19D0">
      <w:pPr>
        <w:ind w:firstLine="708"/>
        <w:jc w:val="both"/>
        <w:rPr>
          <w:lang w:val="en-GB"/>
        </w:rPr>
      </w:pPr>
      <w:r w:rsidRPr="003952D3">
        <w:rPr>
          <w:lang w:val="en-GB"/>
        </w:rPr>
        <w:t xml:space="preserve">The cases against Belgium with the most obvious political dimension during the period under consideration concern </w:t>
      </w:r>
      <w:r w:rsidR="00B357BC">
        <w:rPr>
          <w:lang w:val="en-GB"/>
        </w:rPr>
        <w:t>the language issue</w:t>
      </w:r>
      <w:r w:rsidR="008873C6" w:rsidRPr="003952D3">
        <w:rPr>
          <w:lang w:val="en-GB"/>
        </w:rPr>
        <w:t xml:space="preserve"> – the relations between the Dutch-speaking and French-speaking community being one of the most divisive political questions of 20</w:t>
      </w:r>
      <w:r w:rsidR="008873C6" w:rsidRPr="003952D3">
        <w:rPr>
          <w:vertAlign w:val="superscript"/>
          <w:lang w:val="en-GB"/>
        </w:rPr>
        <w:t>th</w:t>
      </w:r>
      <w:r w:rsidR="00A50026" w:rsidRPr="003952D3">
        <w:rPr>
          <w:lang w:val="en-GB"/>
        </w:rPr>
        <w:t xml:space="preserve"> century Belgium. </w:t>
      </w:r>
      <w:r w:rsidR="003F792E">
        <w:rPr>
          <w:lang w:val="en-GB"/>
        </w:rPr>
        <w:t>In 1962 and 1963,</w:t>
      </w:r>
      <w:r w:rsidR="00A50026" w:rsidRPr="003952D3">
        <w:rPr>
          <w:lang w:val="en-GB"/>
        </w:rPr>
        <w:t xml:space="preserve"> a number of important legislative acts were passed, permanently fixing the </w:t>
      </w:r>
      <w:r w:rsidR="00AB6C22">
        <w:rPr>
          <w:lang w:val="en-GB"/>
        </w:rPr>
        <w:t>language</w:t>
      </w:r>
      <w:r w:rsidR="00A50026" w:rsidRPr="003952D3">
        <w:rPr>
          <w:lang w:val="en-GB"/>
        </w:rPr>
        <w:t xml:space="preserve"> </w:t>
      </w:r>
      <w:r w:rsidR="00A50026" w:rsidRPr="003952D3">
        <w:rPr>
          <w:lang w:val="en-GB"/>
        </w:rPr>
        <w:lastRenderedPageBreak/>
        <w:t>border s</w:t>
      </w:r>
      <w:r w:rsidR="00AB6C22">
        <w:rPr>
          <w:lang w:val="en-GB"/>
        </w:rPr>
        <w:t>eparating Belgium’s different language</w:t>
      </w:r>
      <w:r w:rsidR="00A50026" w:rsidRPr="003952D3">
        <w:rPr>
          <w:lang w:val="en-GB"/>
        </w:rPr>
        <w:t xml:space="preserve"> regions, and adapting the legislative regime concerning the use of languages in administrative and judicial matters, as well as in education. Set against this background, between 1962 and 1964, a number of members of the French-speaking minority in the Dutch-speaking </w:t>
      </w:r>
      <w:r w:rsidR="00AB6C22">
        <w:rPr>
          <w:lang w:val="en-GB"/>
        </w:rPr>
        <w:t>language</w:t>
      </w:r>
      <w:r w:rsidR="00A50026" w:rsidRPr="003952D3">
        <w:rPr>
          <w:lang w:val="en-GB"/>
        </w:rPr>
        <w:t xml:space="preserve"> region lodged applications in Strasbourg complaining about </w:t>
      </w:r>
      <w:r w:rsidR="00B357BC">
        <w:rPr>
          <w:lang w:val="en-GB"/>
        </w:rPr>
        <w:t xml:space="preserve">a </w:t>
      </w:r>
      <w:r w:rsidR="00A50026" w:rsidRPr="003952D3">
        <w:rPr>
          <w:lang w:val="en-GB"/>
        </w:rPr>
        <w:t xml:space="preserve">lack of access to French-language education, later grouped together in what would become the </w:t>
      </w:r>
      <w:r w:rsidR="00A50026" w:rsidRPr="003952D3">
        <w:rPr>
          <w:i/>
          <w:lang w:val="en-GB"/>
        </w:rPr>
        <w:t>Belgian Linguistics case</w:t>
      </w:r>
      <w:r w:rsidR="00BC04BA">
        <w:rPr>
          <w:i/>
          <w:lang w:val="en-GB"/>
        </w:rPr>
        <w:t xml:space="preserve"> </w:t>
      </w:r>
      <w:r w:rsidR="00BC04BA">
        <w:rPr>
          <w:lang w:val="en-GB"/>
        </w:rPr>
        <w:t>(1968)</w:t>
      </w:r>
      <w:r w:rsidR="00A50026" w:rsidRPr="003952D3">
        <w:rPr>
          <w:lang w:val="en-GB"/>
        </w:rPr>
        <w:t>.</w:t>
      </w:r>
      <w:r w:rsidR="00B225D7" w:rsidRPr="003952D3">
        <w:rPr>
          <w:lang w:val="en-GB"/>
        </w:rPr>
        <w:t xml:space="preserve"> The 1963 Act on the use of languages in education </w:t>
      </w:r>
      <w:r w:rsidR="00B357BC">
        <w:rPr>
          <w:lang w:val="en-GB"/>
        </w:rPr>
        <w:t>i</w:t>
      </w:r>
      <w:r w:rsidR="00B225D7" w:rsidRPr="003952D3">
        <w:rPr>
          <w:lang w:val="en-GB"/>
        </w:rPr>
        <w:t xml:space="preserve">ntroduced the </w:t>
      </w:r>
      <w:r w:rsidR="002D05F4" w:rsidRPr="003952D3">
        <w:rPr>
          <w:lang w:val="en-GB"/>
        </w:rPr>
        <w:t xml:space="preserve">principle of territoriality, </w:t>
      </w:r>
      <w:r w:rsidR="00DE6460">
        <w:rPr>
          <w:lang w:val="en-GB"/>
        </w:rPr>
        <w:t xml:space="preserve">essentially </w:t>
      </w:r>
      <w:r w:rsidR="002D05F4" w:rsidRPr="003952D3">
        <w:rPr>
          <w:lang w:val="en-GB"/>
        </w:rPr>
        <w:t xml:space="preserve">requiring teaching to </w:t>
      </w:r>
      <w:r w:rsidR="00B225D7" w:rsidRPr="003952D3">
        <w:rPr>
          <w:lang w:val="en-GB"/>
        </w:rPr>
        <w:t>be in Dutch in</w:t>
      </w:r>
      <w:r w:rsidR="00E3230F" w:rsidRPr="003952D3">
        <w:rPr>
          <w:lang w:val="en-GB"/>
        </w:rPr>
        <w:t xml:space="preserve"> the Dutch-speaking</w:t>
      </w:r>
      <w:r w:rsidR="00B225D7" w:rsidRPr="003952D3">
        <w:rPr>
          <w:lang w:val="en-GB"/>
        </w:rPr>
        <w:t xml:space="preserve"> </w:t>
      </w:r>
      <w:r w:rsidR="00AB6C22">
        <w:rPr>
          <w:lang w:val="en-GB"/>
        </w:rPr>
        <w:t>language</w:t>
      </w:r>
      <w:r w:rsidR="00B225D7" w:rsidRPr="003952D3">
        <w:rPr>
          <w:lang w:val="en-GB"/>
        </w:rPr>
        <w:t xml:space="preserve"> region and </w:t>
      </w:r>
      <w:r w:rsidR="00E3230F" w:rsidRPr="003952D3">
        <w:rPr>
          <w:lang w:val="en-GB"/>
        </w:rPr>
        <w:t>in French in the French-speaking</w:t>
      </w:r>
      <w:r w:rsidR="00B225D7" w:rsidRPr="003952D3">
        <w:rPr>
          <w:lang w:val="en-GB"/>
        </w:rPr>
        <w:t xml:space="preserve"> </w:t>
      </w:r>
      <w:r w:rsidR="00AB6C22">
        <w:rPr>
          <w:lang w:val="en-GB"/>
        </w:rPr>
        <w:t>language</w:t>
      </w:r>
      <w:r w:rsidR="00B225D7" w:rsidRPr="003952D3">
        <w:rPr>
          <w:lang w:val="en-GB"/>
        </w:rPr>
        <w:t xml:space="preserve"> region,</w:t>
      </w:r>
      <w:r w:rsidR="00E3230F" w:rsidRPr="003952D3">
        <w:rPr>
          <w:lang w:val="en-GB"/>
        </w:rPr>
        <w:t xml:space="preserve"> whereas teaching in both languages is foreseen in bilingual areas</w:t>
      </w:r>
      <w:r w:rsidR="00FB73DC" w:rsidRPr="003952D3">
        <w:rPr>
          <w:lang w:val="en-GB"/>
        </w:rPr>
        <w:t xml:space="preserve">, most notably in the Brussels </w:t>
      </w:r>
      <w:r w:rsidR="005755A9" w:rsidRPr="003952D3">
        <w:rPr>
          <w:lang w:val="en-GB"/>
        </w:rPr>
        <w:t xml:space="preserve">region </w:t>
      </w:r>
      <w:r w:rsidR="00FB73DC" w:rsidRPr="003952D3">
        <w:rPr>
          <w:lang w:val="en-GB"/>
        </w:rPr>
        <w:t xml:space="preserve">and to a certain extent in the so-called municipalities with </w:t>
      </w:r>
      <w:r w:rsidR="00AB6C22">
        <w:rPr>
          <w:lang w:val="en-GB"/>
        </w:rPr>
        <w:t>language</w:t>
      </w:r>
      <w:r w:rsidR="00FB73DC" w:rsidRPr="003952D3">
        <w:rPr>
          <w:lang w:val="en-GB"/>
        </w:rPr>
        <w:t xml:space="preserve"> facilities.</w:t>
      </w:r>
      <w:r w:rsidR="00B225D7" w:rsidRPr="003952D3">
        <w:rPr>
          <w:lang w:val="en-GB"/>
        </w:rPr>
        <w:t xml:space="preserve"> </w:t>
      </w:r>
      <w:r w:rsidR="003A103E" w:rsidRPr="003952D3">
        <w:rPr>
          <w:lang w:val="en-GB"/>
        </w:rPr>
        <w:t xml:space="preserve">Remarkably, two of the </w:t>
      </w:r>
      <w:r w:rsidR="001A6E4F" w:rsidRPr="003952D3">
        <w:rPr>
          <w:lang w:val="en-GB"/>
        </w:rPr>
        <w:t xml:space="preserve">five </w:t>
      </w:r>
      <w:r w:rsidR="003A103E" w:rsidRPr="003952D3">
        <w:rPr>
          <w:lang w:val="en-GB"/>
        </w:rPr>
        <w:t>attorneys involved in th</w:t>
      </w:r>
      <w:r w:rsidR="001A6E4F" w:rsidRPr="003952D3">
        <w:rPr>
          <w:lang w:val="en-GB"/>
        </w:rPr>
        <w:t xml:space="preserve">e </w:t>
      </w:r>
      <w:r w:rsidR="001A6E4F" w:rsidRPr="003952D3">
        <w:rPr>
          <w:i/>
          <w:lang w:val="en-GB"/>
        </w:rPr>
        <w:t>Belgian Linguistics case</w:t>
      </w:r>
      <w:r w:rsidR="003A103E" w:rsidRPr="003952D3">
        <w:rPr>
          <w:lang w:val="en-GB"/>
        </w:rPr>
        <w:t xml:space="preserve">, Vincent </w:t>
      </w:r>
      <w:proofErr w:type="spellStart"/>
      <w:r w:rsidR="003A103E" w:rsidRPr="003952D3">
        <w:rPr>
          <w:lang w:val="en-GB"/>
        </w:rPr>
        <w:t>Laloux</w:t>
      </w:r>
      <w:proofErr w:type="spellEnd"/>
      <w:r w:rsidR="003A103E" w:rsidRPr="003952D3">
        <w:rPr>
          <w:lang w:val="en-GB"/>
        </w:rPr>
        <w:t xml:space="preserve"> and Léon </w:t>
      </w:r>
      <w:proofErr w:type="spellStart"/>
      <w:r w:rsidR="003A103E" w:rsidRPr="003952D3">
        <w:rPr>
          <w:lang w:val="en-GB"/>
        </w:rPr>
        <w:t>Defosset</w:t>
      </w:r>
      <w:proofErr w:type="spellEnd"/>
      <w:r w:rsidR="003A103E" w:rsidRPr="003952D3">
        <w:rPr>
          <w:lang w:val="en-GB"/>
        </w:rPr>
        <w:t>,</w:t>
      </w:r>
      <w:r w:rsidR="001A6E4F" w:rsidRPr="003952D3">
        <w:rPr>
          <w:lang w:val="en-GB"/>
        </w:rPr>
        <w:t xml:space="preserve"> would in May 1964 figure among the thirteen founding members of the </w:t>
      </w:r>
      <w:r w:rsidR="001A6E4F" w:rsidRPr="003952D3">
        <w:rPr>
          <w:i/>
          <w:lang w:val="en-GB"/>
        </w:rPr>
        <w:t xml:space="preserve">Front </w:t>
      </w:r>
      <w:proofErr w:type="spellStart"/>
      <w:r w:rsidR="001A6E4F" w:rsidRPr="003952D3">
        <w:rPr>
          <w:i/>
          <w:lang w:val="en-GB"/>
        </w:rPr>
        <w:t>des</w:t>
      </w:r>
      <w:proofErr w:type="spellEnd"/>
      <w:r w:rsidR="001A6E4F" w:rsidRPr="003952D3">
        <w:rPr>
          <w:i/>
          <w:lang w:val="en-GB"/>
        </w:rPr>
        <w:t xml:space="preserve"> Francophones (FDF)</w:t>
      </w:r>
      <w:r w:rsidR="001A6E4F" w:rsidRPr="003952D3">
        <w:rPr>
          <w:lang w:val="en-GB"/>
        </w:rPr>
        <w:t xml:space="preserve">. </w:t>
      </w:r>
      <w:r w:rsidR="00A6153E" w:rsidRPr="003952D3">
        <w:rPr>
          <w:lang w:val="en-GB"/>
        </w:rPr>
        <w:t xml:space="preserve">This political party was </w:t>
      </w:r>
      <w:r w:rsidR="001A6E4F" w:rsidRPr="003952D3">
        <w:rPr>
          <w:lang w:val="en-GB"/>
        </w:rPr>
        <w:t>established as a reaction to the 1962-1963 l</w:t>
      </w:r>
      <w:r w:rsidR="00A6153E" w:rsidRPr="003952D3">
        <w:rPr>
          <w:lang w:val="en-GB"/>
        </w:rPr>
        <w:t>egislative changes, with the primary aim of defending the interests of the French-speaking inhabitant</w:t>
      </w:r>
      <w:r w:rsidR="00652869">
        <w:rPr>
          <w:lang w:val="en-GB"/>
        </w:rPr>
        <w:t>s of Brussels and its periphery</w:t>
      </w:r>
      <w:r w:rsidR="00A6153E" w:rsidRPr="003952D3">
        <w:rPr>
          <w:rStyle w:val="Voetnootmarkering"/>
          <w:lang w:val="en-GB"/>
        </w:rPr>
        <w:footnoteReference w:id="157"/>
      </w:r>
      <w:r w:rsidR="00652869">
        <w:rPr>
          <w:lang w:val="en-GB"/>
        </w:rPr>
        <w:t>,</w:t>
      </w:r>
      <w:r w:rsidR="00574E2A" w:rsidRPr="003952D3">
        <w:rPr>
          <w:lang w:val="en-GB"/>
        </w:rPr>
        <w:t xml:space="preserve"> in particular through a fierce defence of the language freedom of the individua</w:t>
      </w:r>
      <w:r w:rsidR="00652869">
        <w:rPr>
          <w:lang w:val="en-GB"/>
        </w:rPr>
        <w:t>l against collective regulation</w:t>
      </w:r>
      <w:r w:rsidR="00574E2A" w:rsidRPr="003952D3">
        <w:rPr>
          <w:rStyle w:val="Voetnootmarkering"/>
          <w:lang w:val="en-GB"/>
        </w:rPr>
        <w:footnoteReference w:id="158"/>
      </w:r>
      <w:r w:rsidR="00652869">
        <w:rPr>
          <w:lang w:val="en-GB"/>
        </w:rPr>
        <w:t>.</w:t>
      </w:r>
      <w:r w:rsidR="00A6153E" w:rsidRPr="003952D3">
        <w:rPr>
          <w:lang w:val="en-GB"/>
        </w:rPr>
        <w:t xml:space="preserve"> </w:t>
      </w:r>
      <w:r w:rsidR="008E7F70" w:rsidRPr="003952D3">
        <w:rPr>
          <w:lang w:val="en-GB"/>
        </w:rPr>
        <w:t xml:space="preserve">It seems that for </w:t>
      </w:r>
      <w:proofErr w:type="spellStart"/>
      <w:r w:rsidR="008E7F70" w:rsidRPr="003952D3">
        <w:rPr>
          <w:lang w:val="en-GB"/>
        </w:rPr>
        <w:t>Laloux</w:t>
      </w:r>
      <w:proofErr w:type="spellEnd"/>
      <w:r w:rsidR="008E7F70" w:rsidRPr="003952D3">
        <w:rPr>
          <w:lang w:val="en-GB"/>
        </w:rPr>
        <w:t xml:space="preserve"> and </w:t>
      </w:r>
      <w:proofErr w:type="spellStart"/>
      <w:r w:rsidR="008E7F70" w:rsidRPr="003952D3">
        <w:rPr>
          <w:lang w:val="en-GB"/>
        </w:rPr>
        <w:t>Defosset</w:t>
      </w:r>
      <w:proofErr w:type="spellEnd"/>
      <w:r w:rsidR="008E7F70" w:rsidRPr="003952D3">
        <w:rPr>
          <w:lang w:val="en-GB"/>
        </w:rPr>
        <w:t xml:space="preserve">, Strasbourg litigation was simply the legal mirror of their political commitment to the cause of the defence of French-speaking interests against the background of the legislative changes taking place in the area of </w:t>
      </w:r>
      <w:r w:rsidR="00AB6C22">
        <w:rPr>
          <w:lang w:val="en-GB"/>
        </w:rPr>
        <w:t xml:space="preserve">language </w:t>
      </w:r>
      <w:r w:rsidR="008E7F70" w:rsidRPr="003952D3">
        <w:rPr>
          <w:lang w:val="en-GB"/>
        </w:rPr>
        <w:t xml:space="preserve">policy in Belgium in the early </w:t>
      </w:r>
      <w:proofErr w:type="spellStart"/>
      <w:r w:rsidR="008E7F70" w:rsidRPr="003952D3">
        <w:rPr>
          <w:lang w:val="en-GB"/>
        </w:rPr>
        <w:t>1960s</w:t>
      </w:r>
      <w:proofErr w:type="spellEnd"/>
      <w:r w:rsidR="008E7F70" w:rsidRPr="003952D3">
        <w:rPr>
          <w:lang w:val="en-GB"/>
        </w:rPr>
        <w:t>.</w:t>
      </w:r>
    </w:p>
    <w:p w14:paraId="2ABBC547" w14:textId="431E1D19" w:rsidR="0007342A" w:rsidRPr="003952D3" w:rsidRDefault="00F871FD" w:rsidP="001A19D0">
      <w:pPr>
        <w:ind w:firstLine="708"/>
        <w:jc w:val="both"/>
        <w:rPr>
          <w:rStyle w:val="sb8d990e2"/>
          <w:lang w:val="en-GB"/>
        </w:rPr>
      </w:pPr>
      <w:r w:rsidRPr="003952D3">
        <w:rPr>
          <w:lang w:val="en-GB"/>
        </w:rPr>
        <w:t xml:space="preserve">According to Chantal </w:t>
      </w:r>
      <w:proofErr w:type="spellStart"/>
      <w:r w:rsidRPr="003952D3">
        <w:rPr>
          <w:lang w:val="en-GB"/>
        </w:rPr>
        <w:t>Kesteloot</w:t>
      </w:r>
      <w:proofErr w:type="spellEnd"/>
      <w:r w:rsidR="00FD6798">
        <w:rPr>
          <w:lang w:val="en-GB"/>
        </w:rPr>
        <w:t xml:space="preserve"> – the FDF </w:t>
      </w:r>
      <w:r w:rsidRPr="003952D3">
        <w:rPr>
          <w:lang w:val="en-GB"/>
        </w:rPr>
        <w:t xml:space="preserve">having been founded </w:t>
      </w:r>
      <w:proofErr w:type="gramStart"/>
      <w:r w:rsidRPr="003952D3">
        <w:rPr>
          <w:lang w:val="en-GB"/>
        </w:rPr>
        <w:t>by a</w:t>
      </w:r>
      <w:proofErr w:type="gramEnd"/>
      <w:r w:rsidRPr="003952D3">
        <w:rPr>
          <w:lang w:val="en-GB"/>
        </w:rPr>
        <w:t xml:space="preserve"> pro-European, French-speaking intellectual elite</w:t>
      </w:r>
      <w:r w:rsidR="00FD6798">
        <w:rPr>
          <w:lang w:val="en-GB"/>
        </w:rPr>
        <w:t xml:space="preserve"> – </w:t>
      </w:r>
      <w:r w:rsidRPr="003952D3">
        <w:rPr>
          <w:lang w:val="en-GB"/>
        </w:rPr>
        <w:t>the</w:t>
      </w:r>
      <w:r w:rsidR="008E7F70" w:rsidRPr="003952D3">
        <w:rPr>
          <w:lang w:val="en-GB"/>
        </w:rPr>
        <w:t xml:space="preserve"> </w:t>
      </w:r>
      <w:r w:rsidR="008E7F70" w:rsidRPr="003952D3">
        <w:rPr>
          <w:i/>
          <w:lang w:val="en-GB"/>
        </w:rPr>
        <w:t>Belgian Linguistics case</w:t>
      </w:r>
      <w:r w:rsidR="008E7F70" w:rsidRPr="003952D3">
        <w:rPr>
          <w:lang w:val="en-GB"/>
        </w:rPr>
        <w:t xml:space="preserve"> testified FDF’s belief</w:t>
      </w:r>
      <w:r w:rsidRPr="003952D3">
        <w:rPr>
          <w:lang w:val="en-GB"/>
        </w:rPr>
        <w:t xml:space="preserve"> in the idea that Europe could “save” French-speaking persons in Brussels and its periphery from</w:t>
      </w:r>
      <w:r w:rsidR="00652869">
        <w:rPr>
          <w:lang w:val="en-GB"/>
        </w:rPr>
        <w:t xml:space="preserve"> Flemish “appropriation”</w:t>
      </w:r>
      <w:r w:rsidR="00370701" w:rsidRPr="003952D3">
        <w:rPr>
          <w:rStyle w:val="Voetnootmarkering"/>
          <w:lang w:val="en-GB"/>
        </w:rPr>
        <w:footnoteReference w:id="159"/>
      </w:r>
      <w:r w:rsidR="00652869">
        <w:rPr>
          <w:lang w:val="en-GB"/>
        </w:rPr>
        <w:t>.</w:t>
      </w:r>
      <w:r w:rsidR="00370701" w:rsidRPr="003952D3">
        <w:rPr>
          <w:lang w:val="en-GB"/>
        </w:rPr>
        <w:t xml:space="preserve"> </w:t>
      </w:r>
      <w:r w:rsidR="00A16FF8">
        <w:rPr>
          <w:lang w:val="en-GB"/>
        </w:rPr>
        <w:t xml:space="preserve">In this respect, Bernard Maingain, attorney in the later </w:t>
      </w:r>
      <w:r w:rsidR="00A16FF8">
        <w:rPr>
          <w:i/>
          <w:lang w:val="en-GB"/>
        </w:rPr>
        <w:t>Mathieu-</w:t>
      </w:r>
      <w:proofErr w:type="spellStart"/>
      <w:r w:rsidR="00A16FF8">
        <w:rPr>
          <w:i/>
          <w:lang w:val="en-GB"/>
        </w:rPr>
        <w:t>Mohin</w:t>
      </w:r>
      <w:proofErr w:type="spellEnd"/>
      <w:r w:rsidR="00A16FF8">
        <w:rPr>
          <w:i/>
          <w:lang w:val="en-GB"/>
        </w:rPr>
        <w:t xml:space="preserve"> and </w:t>
      </w:r>
      <w:proofErr w:type="spellStart"/>
      <w:r w:rsidR="00A16FF8">
        <w:rPr>
          <w:i/>
          <w:lang w:val="en-GB"/>
        </w:rPr>
        <w:t>Clerfayt</w:t>
      </w:r>
      <w:proofErr w:type="spellEnd"/>
      <w:r w:rsidR="00A16FF8">
        <w:rPr>
          <w:i/>
          <w:lang w:val="en-GB"/>
        </w:rPr>
        <w:t xml:space="preserve"> </w:t>
      </w:r>
      <w:r w:rsidR="00A16FF8">
        <w:rPr>
          <w:lang w:val="en-GB"/>
        </w:rPr>
        <w:t>case</w:t>
      </w:r>
      <w:r w:rsidR="00BC04BA">
        <w:rPr>
          <w:lang w:val="en-GB"/>
        </w:rPr>
        <w:t xml:space="preserve"> (1987)</w:t>
      </w:r>
      <w:r w:rsidR="00A16FF8">
        <w:rPr>
          <w:lang w:val="en-GB"/>
        </w:rPr>
        <w:t>, considers it to be “the strategy of a minority community</w:t>
      </w:r>
      <w:r w:rsidR="00DE6460">
        <w:rPr>
          <w:lang w:val="en-GB"/>
        </w:rPr>
        <w:t xml:space="preserve"> […] </w:t>
      </w:r>
      <w:r w:rsidR="00AB6C22">
        <w:rPr>
          <w:lang w:val="en-GB"/>
        </w:rPr>
        <w:t>to try and obtain a decision in their advantage at the</w:t>
      </w:r>
      <w:r w:rsidR="00C535C9">
        <w:rPr>
          <w:lang w:val="en-GB"/>
        </w:rPr>
        <w:t xml:space="preserve"> international level</w:t>
      </w:r>
      <w:r w:rsidR="00AB6C22">
        <w:rPr>
          <w:lang w:val="en-GB"/>
        </w:rPr>
        <w:t>”</w:t>
      </w:r>
      <w:r w:rsidR="00AB6C22">
        <w:rPr>
          <w:rStyle w:val="Voetnootmarkering"/>
          <w:lang w:val="en-GB"/>
        </w:rPr>
        <w:footnoteReference w:id="160"/>
      </w:r>
      <w:r w:rsidR="00C535C9">
        <w:rPr>
          <w:lang w:val="en-GB"/>
        </w:rPr>
        <w:t>.</w:t>
      </w:r>
      <w:r w:rsidR="00AB6C22">
        <w:rPr>
          <w:lang w:val="en-GB"/>
        </w:rPr>
        <w:t xml:space="preserve"> </w:t>
      </w:r>
      <w:r w:rsidR="00BC351C" w:rsidRPr="003952D3">
        <w:rPr>
          <w:lang w:val="en-GB"/>
        </w:rPr>
        <w:t xml:space="preserve">The applicants in the </w:t>
      </w:r>
      <w:r w:rsidR="00BC351C" w:rsidRPr="003952D3">
        <w:rPr>
          <w:i/>
          <w:lang w:val="en-GB"/>
        </w:rPr>
        <w:t>Belgian Linguistics case</w:t>
      </w:r>
      <w:r w:rsidR="00BC351C" w:rsidRPr="003952D3">
        <w:rPr>
          <w:lang w:val="en-GB"/>
        </w:rPr>
        <w:t xml:space="preserve"> however lost with respect to the most important aspects of their case, the Court essentially holding that the right to education (Article 2 Protocol 1) “</w:t>
      </w:r>
      <w:r w:rsidR="00BC351C" w:rsidRPr="003952D3">
        <w:rPr>
          <w:rStyle w:val="sb8d990e2"/>
          <w:lang w:val="en-GB"/>
        </w:rPr>
        <w:t xml:space="preserve">does not enshrine the right to the establishment or subsidising of schools in which </w:t>
      </w:r>
      <w:r w:rsidR="00BC351C" w:rsidRPr="003952D3">
        <w:rPr>
          <w:rStyle w:val="wordhighlighted"/>
          <w:lang w:val="en-GB"/>
        </w:rPr>
        <w:t>education</w:t>
      </w:r>
      <w:r w:rsidR="00BC351C" w:rsidRPr="003952D3">
        <w:rPr>
          <w:rStyle w:val="sb8d990e2"/>
          <w:lang w:val="en-GB"/>
        </w:rPr>
        <w:t xml:space="preserve"> is provided in a given language” and </w:t>
      </w:r>
      <w:r w:rsidR="00BC351C" w:rsidRPr="003952D3">
        <w:rPr>
          <w:lang w:val="en-GB"/>
        </w:rPr>
        <w:t xml:space="preserve">accepting that Belgium could legitimately consider that it was in the public interest to “ensure that all schools dependent on the State and existing in a unilingual region </w:t>
      </w:r>
      <w:r w:rsidR="00BC351C" w:rsidRPr="003952D3">
        <w:rPr>
          <w:rStyle w:val="sb8d990e2"/>
          <w:lang w:val="en-GB"/>
        </w:rPr>
        <w:t>conduct their teaching in the language which is</w:t>
      </w:r>
      <w:r w:rsidR="00C535C9">
        <w:rPr>
          <w:rStyle w:val="sb8d990e2"/>
          <w:lang w:val="en-GB"/>
        </w:rPr>
        <w:t xml:space="preserve"> essentially that of the region</w:t>
      </w:r>
      <w:r w:rsidR="00BC351C" w:rsidRPr="003952D3">
        <w:rPr>
          <w:rStyle w:val="sb8d990e2"/>
          <w:lang w:val="en-GB"/>
        </w:rPr>
        <w:t>”</w:t>
      </w:r>
      <w:r w:rsidR="00BC351C" w:rsidRPr="003952D3">
        <w:rPr>
          <w:rStyle w:val="Voetnootmarkering"/>
          <w:lang w:val="en-GB"/>
        </w:rPr>
        <w:footnoteReference w:id="161"/>
      </w:r>
      <w:r w:rsidR="00C535C9">
        <w:rPr>
          <w:rStyle w:val="sb8d990e2"/>
          <w:lang w:val="en-GB"/>
        </w:rPr>
        <w:t>.</w:t>
      </w:r>
    </w:p>
    <w:p w14:paraId="008BEFEA" w14:textId="2C4ABE93" w:rsidR="00FB1AC7" w:rsidRPr="003952D3" w:rsidRDefault="00BC351C" w:rsidP="001A19D0">
      <w:pPr>
        <w:ind w:firstLine="708"/>
        <w:jc w:val="both"/>
        <w:rPr>
          <w:lang w:val="en-GB"/>
        </w:rPr>
      </w:pPr>
      <w:r w:rsidRPr="003952D3">
        <w:rPr>
          <w:rStyle w:val="sb8d990e2"/>
          <w:lang w:val="en-GB"/>
        </w:rPr>
        <w:t xml:space="preserve">Nonetheless, </w:t>
      </w:r>
      <w:r w:rsidR="00DE6460">
        <w:rPr>
          <w:rStyle w:val="sb8d990e2"/>
          <w:lang w:val="en-GB"/>
        </w:rPr>
        <w:t>the idea that Europe could “save” French-speaking persons in Brussels and its periphery</w:t>
      </w:r>
      <w:r w:rsidR="008E7F70" w:rsidRPr="003952D3">
        <w:rPr>
          <w:lang w:val="en-GB"/>
        </w:rPr>
        <w:t xml:space="preserve"> resurfaced </w:t>
      </w:r>
      <w:r w:rsidR="00EB0C8C" w:rsidRPr="003952D3">
        <w:rPr>
          <w:lang w:val="en-GB"/>
        </w:rPr>
        <w:t xml:space="preserve">after the important constitutional reforms of 1980, transforming Belgium from </w:t>
      </w:r>
      <w:r w:rsidR="00EB0C8C" w:rsidRPr="003952D3">
        <w:rPr>
          <w:lang w:val="en-GB"/>
        </w:rPr>
        <w:lastRenderedPageBreak/>
        <w:t xml:space="preserve">a unitary State in a federal State made up of </w:t>
      </w:r>
      <w:r w:rsidR="00236DEC" w:rsidRPr="003952D3">
        <w:rPr>
          <w:lang w:val="en-GB"/>
        </w:rPr>
        <w:t>so</w:t>
      </w:r>
      <w:r w:rsidR="00C535C9">
        <w:rPr>
          <w:lang w:val="en-GB"/>
        </w:rPr>
        <w:t>-called Regions and Communities</w:t>
      </w:r>
      <w:r w:rsidR="00D458F5" w:rsidRPr="003952D3">
        <w:rPr>
          <w:rStyle w:val="Voetnootmarkering"/>
          <w:lang w:val="en-GB"/>
        </w:rPr>
        <w:footnoteReference w:id="162"/>
      </w:r>
      <w:r w:rsidR="00C535C9">
        <w:rPr>
          <w:lang w:val="en-GB"/>
        </w:rPr>
        <w:t>.</w:t>
      </w:r>
      <w:r w:rsidR="00220B26" w:rsidRPr="003952D3">
        <w:rPr>
          <w:lang w:val="en-GB"/>
        </w:rPr>
        <w:t xml:space="preserve"> While in addition to the Flemish and Walloon Regions, a bilingual Brussels Region was </w:t>
      </w:r>
      <w:r w:rsidR="00DE6460">
        <w:rPr>
          <w:lang w:val="en-GB"/>
        </w:rPr>
        <w:t>foreseen</w:t>
      </w:r>
      <w:r w:rsidR="00220B26" w:rsidRPr="003952D3">
        <w:rPr>
          <w:lang w:val="en-GB"/>
        </w:rPr>
        <w:t xml:space="preserve">, the 1980 constitutional reforms did not set up for the Brussels Region the regional institutions </w:t>
      </w:r>
      <w:r w:rsidR="00FB7430" w:rsidRPr="003952D3">
        <w:rPr>
          <w:lang w:val="en-GB"/>
        </w:rPr>
        <w:t>established for the two other R</w:t>
      </w:r>
      <w:r w:rsidR="00220B26" w:rsidRPr="003952D3">
        <w:rPr>
          <w:lang w:val="en-GB"/>
        </w:rPr>
        <w:t>egions, which enjoyed legislative powers</w:t>
      </w:r>
      <w:r w:rsidR="00D05D58" w:rsidRPr="003952D3">
        <w:rPr>
          <w:lang w:val="en-GB"/>
        </w:rPr>
        <w:t xml:space="preserve"> – it was decided to postpone  finding a solution for the divisive question of Brussels in order to avoid thwarting the </w:t>
      </w:r>
      <w:r w:rsidR="00FB7430" w:rsidRPr="003952D3">
        <w:rPr>
          <w:lang w:val="en-GB"/>
        </w:rPr>
        <w:t>progress made in the negotiations between Dutch-speaking and French-speaking communities concerning the establishment of the Regions</w:t>
      </w:r>
      <w:r w:rsidR="00FB7430" w:rsidRPr="003952D3">
        <w:rPr>
          <w:rStyle w:val="Voetnootmarkering"/>
          <w:lang w:val="en-GB"/>
        </w:rPr>
        <w:footnoteReference w:id="163"/>
      </w:r>
      <w:r w:rsidR="00C535C9">
        <w:rPr>
          <w:lang w:val="en-GB"/>
        </w:rPr>
        <w:t>.</w:t>
      </w:r>
      <w:r w:rsidR="00220B26" w:rsidRPr="003952D3">
        <w:rPr>
          <w:lang w:val="en-GB"/>
        </w:rPr>
        <w:t xml:space="preserve"> </w:t>
      </w:r>
      <w:r w:rsidR="005755A9" w:rsidRPr="003952D3">
        <w:rPr>
          <w:lang w:val="en-GB"/>
        </w:rPr>
        <w:t xml:space="preserve">On </w:t>
      </w:r>
      <w:r w:rsidR="004A0A88">
        <w:rPr>
          <w:lang w:val="en-GB"/>
        </w:rPr>
        <w:t xml:space="preserve">the </w:t>
      </w:r>
      <w:r w:rsidR="005755A9" w:rsidRPr="003952D3">
        <w:rPr>
          <w:lang w:val="en-GB"/>
        </w:rPr>
        <w:t>French-speaking side, FDF was the main opponent</w:t>
      </w:r>
      <w:r w:rsidR="005755A9" w:rsidRPr="003952D3">
        <w:rPr>
          <w:rStyle w:val="Voetnootmarkering"/>
          <w:lang w:val="en-GB"/>
        </w:rPr>
        <w:footnoteReference w:id="164"/>
      </w:r>
      <w:r w:rsidR="005755A9" w:rsidRPr="003952D3">
        <w:rPr>
          <w:lang w:val="en-GB"/>
        </w:rPr>
        <w:t xml:space="preserve"> of the constitutional reforms which were widely supported by the socialist, Christian democratic and liberal parties</w:t>
      </w:r>
      <w:r w:rsidR="00FD6798">
        <w:rPr>
          <w:lang w:val="en-GB"/>
        </w:rPr>
        <w:t>. This was</w:t>
      </w:r>
      <w:r w:rsidR="005755A9" w:rsidRPr="003952D3">
        <w:rPr>
          <w:lang w:val="en-GB"/>
        </w:rPr>
        <w:t xml:space="preserve"> mainly out of protest against the failure to recognize Brussels as a fully-fledged </w:t>
      </w:r>
      <w:r w:rsidR="00FB1AC7" w:rsidRPr="003952D3">
        <w:rPr>
          <w:lang w:val="en-GB"/>
        </w:rPr>
        <w:t>R</w:t>
      </w:r>
      <w:r w:rsidR="005755A9" w:rsidRPr="003952D3">
        <w:rPr>
          <w:lang w:val="en-GB"/>
        </w:rPr>
        <w:t>egion</w:t>
      </w:r>
      <w:r w:rsidR="00DE6460">
        <w:rPr>
          <w:lang w:val="en-GB"/>
        </w:rPr>
        <w:t>,</w:t>
      </w:r>
      <w:r w:rsidR="005755A9" w:rsidRPr="003952D3">
        <w:rPr>
          <w:lang w:val="en-GB"/>
        </w:rPr>
        <w:t xml:space="preserve"> treated on the same footing as the Flemish and Walloon ones</w:t>
      </w:r>
      <w:r w:rsidR="005755A9" w:rsidRPr="003952D3">
        <w:rPr>
          <w:rStyle w:val="Voetnootmarkering"/>
          <w:lang w:val="en-GB"/>
        </w:rPr>
        <w:footnoteReference w:id="165"/>
      </w:r>
      <w:r w:rsidR="00C535C9">
        <w:rPr>
          <w:lang w:val="en-GB"/>
        </w:rPr>
        <w:t>.</w:t>
      </w:r>
      <w:r w:rsidR="005755A9" w:rsidRPr="003952D3">
        <w:rPr>
          <w:lang w:val="en-GB"/>
        </w:rPr>
        <w:t xml:space="preserve"> </w:t>
      </w:r>
      <w:r w:rsidR="00FB1AC7" w:rsidRPr="003952D3">
        <w:rPr>
          <w:lang w:val="en-GB"/>
        </w:rPr>
        <w:t>In addition, FDF considered that creating the Regions without simultaneously expanding the Brussels Region amounted to the handing over of the municipalities with</w:t>
      </w:r>
      <w:r w:rsidR="00AB6C22">
        <w:rPr>
          <w:lang w:val="en-GB"/>
        </w:rPr>
        <w:t xml:space="preserve"> language</w:t>
      </w:r>
      <w:r w:rsidR="00FB1AC7" w:rsidRPr="003952D3">
        <w:rPr>
          <w:lang w:val="en-GB"/>
        </w:rPr>
        <w:t xml:space="preserve"> facilities in the periphery of B</w:t>
      </w:r>
      <w:r w:rsidR="00C535C9">
        <w:rPr>
          <w:lang w:val="en-GB"/>
        </w:rPr>
        <w:t>russels to Flemish guardianship</w:t>
      </w:r>
      <w:r w:rsidR="00FB1AC7" w:rsidRPr="003952D3">
        <w:rPr>
          <w:rStyle w:val="Voetnootmarkering"/>
          <w:lang w:val="en-GB"/>
        </w:rPr>
        <w:footnoteReference w:id="166"/>
      </w:r>
      <w:r w:rsidR="00C535C9">
        <w:rPr>
          <w:lang w:val="en-GB"/>
        </w:rPr>
        <w:t>.</w:t>
      </w:r>
    </w:p>
    <w:p w14:paraId="137FA38D" w14:textId="6AEE71A2" w:rsidR="00A06628" w:rsidRPr="00A06628" w:rsidRDefault="00FB1AC7" w:rsidP="001A19D0">
      <w:pPr>
        <w:ind w:firstLine="708"/>
        <w:jc w:val="both"/>
        <w:rPr>
          <w:lang w:val="en-GB"/>
        </w:rPr>
      </w:pPr>
      <w:r w:rsidRPr="003952D3">
        <w:rPr>
          <w:lang w:val="en-GB"/>
        </w:rPr>
        <w:t xml:space="preserve">Together with the smaller Walloon regionalist party </w:t>
      </w:r>
      <w:proofErr w:type="spellStart"/>
      <w:r w:rsidRPr="003952D3">
        <w:rPr>
          <w:i/>
          <w:lang w:val="en-GB"/>
        </w:rPr>
        <w:t>Rassemblement</w:t>
      </w:r>
      <w:proofErr w:type="spellEnd"/>
      <w:r w:rsidRPr="003952D3">
        <w:rPr>
          <w:i/>
          <w:lang w:val="en-GB"/>
        </w:rPr>
        <w:t xml:space="preserve"> </w:t>
      </w:r>
      <w:proofErr w:type="spellStart"/>
      <w:r w:rsidRPr="003952D3">
        <w:rPr>
          <w:i/>
          <w:lang w:val="en-GB"/>
        </w:rPr>
        <w:t>Wallon</w:t>
      </w:r>
      <w:proofErr w:type="spellEnd"/>
      <w:r w:rsidR="00C37EAA">
        <w:rPr>
          <w:i/>
          <w:lang w:val="en-GB"/>
        </w:rPr>
        <w:t xml:space="preserve"> (RW)</w:t>
      </w:r>
      <w:r w:rsidRPr="003952D3">
        <w:rPr>
          <w:lang w:val="en-GB"/>
        </w:rPr>
        <w:t xml:space="preserve">, with whom </w:t>
      </w:r>
      <w:r w:rsidR="00275407" w:rsidRPr="003952D3">
        <w:rPr>
          <w:lang w:val="en-GB"/>
        </w:rPr>
        <w:t>they</w:t>
      </w:r>
      <w:r w:rsidRPr="003952D3">
        <w:rPr>
          <w:lang w:val="en-GB"/>
        </w:rPr>
        <w:t xml:space="preserve"> formed a joint parl</w:t>
      </w:r>
      <w:r w:rsidR="003952D3" w:rsidRPr="003952D3">
        <w:rPr>
          <w:lang w:val="en-GB"/>
        </w:rPr>
        <w:t xml:space="preserve">iamentary group, FDF decided </w:t>
      </w:r>
      <w:r w:rsidR="00275407" w:rsidRPr="003952D3">
        <w:rPr>
          <w:lang w:val="en-GB"/>
        </w:rPr>
        <w:t>to challenge the 1980 constitutional reforms</w:t>
      </w:r>
      <w:r w:rsidR="003952D3" w:rsidRPr="003952D3">
        <w:rPr>
          <w:lang w:val="en-GB"/>
        </w:rPr>
        <w:t xml:space="preserve"> in Strasbourg</w:t>
      </w:r>
      <w:r w:rsidR="00275407" w:rsidRPr="003952D3">
        <w:rPr>
          <w:lang w:val="en-GB"/>
        </w:rPr>
        <w:t>.</w:t>
      </w:r>
      <w:r w:rsidR="006B47F2" w:rsidRPr="003952D3">
        <w:rPr>
          <w:lang w:val="en-GB"/>
        </w:rPr>
        <w:t xml:space="preserve"> Two young </w:t>
      </w:r>
      <w:r w:rsidR="00F16D2E">
        <w:rPr>
          <w:lang w:val="en-GB"/>
        </w:rPr>
        <w:t xml:space="preserve">pupil </w:t>
      </w:r>
      <w:r w:rsidR="006B47F2" w:rsidRPr="003952D3">
        <w:rPr>
          <w:lang w:val="en-GB"/>
        </w:rPr>
        <w:t>lawyers</w:t>
      </w:r>
      <w:r w:rsidR="00F16D2E">
        <w:rPr>
          <w:lang w:val="en-GB"/>
        </w:rPr>
        <w:t xml:space="preserve">, </w:t>
      </w:r>
      <w:r w:rsidR="003952D3" w:rsidRPr="003952D3">
        <w:rPr>
          <w:lang w:val="en-GB"/>
        </w:rPr>
        <w:t xml:space="preserve">Bernard Maingain and Jean-Paul Lagasse, </w:t>
      </w:r>
      <w:r w:rsidR="00F16D2E">
        <w:rPr>
          <w:lang w:val="en-GB"/>
        </w:rPr>
        <w:t>university friends</w:t>
      </w:r>
      <w:r w:rsidR="00F16D2E" w:rsidRPr="003952D3">
        <w:rPr>
          <w:lang w:val="en-GB"/>
        </w:rPr>
        <w:t xml:space="preserve"> with strong family ties to the FDF, </w:t>
      </w:r>
      <w:r w:rsidR="003952D3" w:rsidRPr="003952D3">
        <w:rPr>
          <w:lang w:val="en-GB"/>
        </w:rPr>
        <w:t xml:space="preserve">were contacted to lodge </w:t>
      </w:r>
      <w:r w:rsidR="000A6D45">
        <w:rPr>
          <w:lang w:val="en-GB"/>
        </w:rPr>
        <w:t>the</w:t>
      </w:r>
      <w:r w:rsidR="003952D3" w:rsidRPr="003952D3">
        <w:rPr>
          <w:lang w:val="en-GB"/>
        </w:rPr>
        <w:t xml:space="preserve"> application.</w:t>
      </w:r>
      <w:r w:rsidR="003952D3">
        <w:rPr>
          <w:lang w:val="en-GB"/>
        </w:rPr>
        <w:t xml:space="preserve"> According to Bernard Maingain, it was then </w:t>
      </w:r>
      <w:r w:rsidR="000A6D45">
        <w:rPr>
          <w:lang w:val="en-GB"/>
        </w:rPr>
        <w:t>Senator</w:t>
      </w:r>
      <w:r w:rsidR="003952D3">
        <w:rPr>
          <w:lang w:val="en-GB"/>
        </w:rPr>
        <w:t xml:space="preserve"> André Lagasse, Jean-Paul’</w:t>
      </w:r>
      <w:r w:rsidR="00997F98">
        <w:rPr>
          <w:lang w:val="en-GB"/>
        </w:rPr>
        <w:t xml:space="preserve">s father, professor in Law, </w:t>
      </w:r>
      <w:r w:rsidR="003952D3">
        <w:rPr>
          <w:lang w:val="en-GB"/>
        </w:rPr>
        <w:t xml:space="preserve">co-founder and former president of the FDF and fierce opponent of </w:t>
      </w:r>
      <w:r w:rsidR="000A6D45">
        <w:rPr>
          <w:lang w:val="en-GB"/>
        </w:rPr>
        <w:t>the constitutional reforms</w:t>
      </w:r>
      <w:r w:rsidR="00DE6460">
        <w:rPr>
          <w:lang w:val="en-GB"/>
        </w:rPr>
        <w:t xml:space="preserve"> in Parliament</w:t>
      </w:r>
      <w:r w:rsidR="000A6D45">
        <w:rPr>
          <w:rStyle w:val="Voetnootmarkering"/>
          <w:lang w:val="en-GB"/>
        </w:rPr>
        <w:footnoteReference w:id="167"/>
      </w:r>
      <w:r w:rsidR="00C535C9">
        <w:rPr>
          <w:lang w:val="en-GB"/>
        </w:rPr>
        <w:t>,</w:t>
      </w:r>
      <w:r w:rsidR="000A6D45">
        <w:rPr>
          <w:lang w:val="en-GB"/>
        </w:rPr>
        <w:t xml:space="preserve"> who came up with the idea of going to Strasbourg.</w:t>
      </w:r>
      <w:r w:rsidR="00933231">
        <w:rPr>
          <w:lang w:val="en-GB"/>
        </w:rPr>
        <w:t xml:space="preserve"> </w:t>
      </w:r>
      <w:r w:rsidR="000A6D45">
        <w:rPr>
          <w:lang w:val="en-GB"/>
        </w:rPr>
        <w:t xml:space="preserve">“The man who thought about everything at that time was André </w:t>
      </w:r>
      <w:proofErr w:type="gramStart"/>
      <w:r w:rsidR="000A6D45">
        <w:rPr>
          <w:lang w:val="en-GB"/>
        </w:rPr>
        <w:t>Lagasse,</w:t>
      </w:r>
      <w:proofErr w:type="gramEnd"/>
      <w:r w:rsidR="000A6D45">
        <w:rPr>
          <w:lang w:val="en-GB"/>
        </w:rPr>
        <w:t xml:space="preserve"> he was sort of the intellectual of the group.” Lagasse knew the Mai</w:t>
      </w:r>
      <w:r w:rsidR="00997F98">
        <w:rPr>
          <w:lang w:val="en-GB"/>
        </w:rPr>
        <w:t>ngain family as Bernard</w:t>
      </w:r>
      <w:r w:rsidR="000A6D45">
        <w:rPr>
          <w:lang w:val="en-GB"/>
        </w:rPr>
        <w:t xml:space="preserve">’s father was among the first generation of FDF militants – moreover, </w:t>
      </w:r>
      <w:r w:rsidR="00813C7D">
        <w:rPr>
          <w:lang w:val="en-GB"/>
        </w:rPr>
        <w:t xml:space="preserve">Bernard’s </w:t>
      </w:r>
      <w:r w:rsidR="000A6D45">
        <w:rPr>
          <w:lang w:val="en-GB"/>
        </w:rPr>
        <w:t xml:space="preserve">brother Olivier is acting president of FDF since 1995 – and </w:t>
      </w:r>
      <w:r w:rsidR="00997F98">
        <w:rPr>
          <w:lang w:val="en-GB"/>
        </w:rPr>
        <w:t xml:space="preserve">Bernard had obtained excellent results for his courses at the </w:t>
      </w:r>
      <w:proofErr w:type="spellStart"/>
      <w:r w:rsidR="00997F98">
        <w:rPr>
          <w:i/>
          <w:lang w:val="en-GB"/>
        </w:rPr>
        <w:t>Université</w:t>
      </w:r>
      <w:proofErr w:type="spellEnd"/>
      <w:r w:rsidR="00997F98">
        <w:rPr>
          <w:i/>
          <w:lang w:val="en-GB"/>
        </w:rPr>
        <w:t xml:space="preserve"> </w:t>
      </w:r>
      <w:proofErr w:type="spellStart"/>
      <w:r w:rsidR="00997F98">
        <w:rPr>
          <w:i/>
          <w:lang w:val="en-GB"/>
        </w:rPr>
        <w:t>Catholique</w:t>
      </w:r>
      <w:proofErr w:type="spellEnd"/>
      <w:r w:rsidR="00997F98">
        <w:rPr>
          <w:i/>
          <w:lang w:val="en-GB"/>
        </w:rPr>
        <w:t xml:space="preserve"> de Louvain.</w:t>
      </w:r>
      <w:r w:rsidR="00F16D2E">
        <w:rPr>
          <w:lang w:val="en-GB"/>
        </w:rPr>
        <w:t xml:space="preserve"> According to Maingain, “I think that all the fees were paid for by the party, so it </w:t>
      </w:r>
      <w:r w:rsidR="00C37EAA">
        <w:rPr>
          <w:lang w:val="en-GB"/>
        </w:rPr>
        <w:t>really was</w:t>
      </w:r>
      <w:r w:rsidR="00C535C9">
        <w:rPr>
          <w:lang w:val="en-GB"/>
        </w:rPr>
        <w:t xml:space="preserve"> a collective action</w:t>
      </w:r>
      <w:r w:rsidR="00F16D2E">
        <w:rPr>
          <w:lang w:val="en-GB"/>
        </w:rPr>
        <w:t>”</w:t>
      </w:r>
      <w:r w:rsidR="00A06628">
        <w:rPr>
          <w:rStyle w:val="Voetnootmarkering"/>
          <w:lang w:val="en-GB"/>
        </w:rPr>
        <w:footnoteReference w:id="168"/>
      </w:r>
      <w:r w:rsidR="00C535C9">
        <w:rPr>
          <w:lang w:val="en-GB"/>
        </w:rPr>
        <w:t>.</w:t>
      </w:r>
      <w:r w:rsidR="00C37EAA">
        <w:rPr>
          <w:lang w:val="en-GB"/>
        </w:rPr>
        <w:t xml:space="preserve"> Unlike the </w:t>
      </w:r>
      <w:r w:rsidR="00C37EAA">
        <w:rPr>
          <w:i/>
          <w:lang w:val="en-GB"/>
        </w:rPr>
        <w:t>Belgian Linguistics case</w:t>
      </w:r>
      <w:r w:rsidR="00C37EAA">
        <w:rPr>
          <w:lang w:val="en-GB"/>
        </w:rPr>
        <w:t xml:space="preserve">, in which </w:t>
      </w:r>
      <w:r w:rsidR="00FA538B">
        <w:rPr>
          <w:lang w:val="en-GB"/>
        </w:rPr>
        <w:t>it seems rather incidental that</w:t>
      </w:r>
      <w:r w:rsidR="00813C7D">
        <w:rPr>
          <w:lang w:val="en-GB"/>
        </w:rPr>
        <w:t xml:space="preserve"> the political commitments of two of the attorneys translated in their simultaneous involvement in both Strasbourg litigation and the foundation of the FDF</w:t>
      </w:r>
      <w:r w:rsidR="00FA538B">
        <w:rPr>
          <w:lang w:val="en-GB"/>
        </w:rPr>
        <w:t>,</w:t>
      </w:r>
      <w:r w:rsidR="00A06628">
        <w:rPr>
          <w:lang w:val="en-GB"/>
        </w:rPr>
        <w:t xml:space="preserve"> </w:t>
      </w:r>
      <w:r w:rsidR="00813C7D">
        <w:rPr>
          <w:lang w:val="en-GB"/>
        </w:rPr>
        <w:t xml:space="preserve">it is thus clear that </w:t>
      </w:r>
      <w:r w:rsidR="00A06628">
        <w:rPr>
          <w:lang w:val="en-GB"/>
        </w:rPr>
        <w:t xml:space="preserve">the </w:t>
      </w:r>
      <w:r w:rsidR="00A06628">
        <w:rPr>
          <w:i/>
          <w:lang w:val="en-GB"/>
        </w:rPr>
        <w:t>Mathieu-</w:t>
      </w:r>
      <w:proofErr w:type="spellStart"/>
      <w:r w:rsidR="00A06628">
        <w:rPr>
          <w:i/>
          <w:lang w:val="en-GB"/>
        </w:rPr>
        <w:t>Mohin</w:t>
      </w:r>
      <w:proofErr w:type="spellEnd"/>
      <w:r w:rsidR="00A06628">
        <w:rPr>
          <w:i/>
          <w:lang w:val="en-GB"/>
        </w:rPr>
        <w:t xml:space="preserve"> and </w:t>
      </w:r>
      <w:proofErr w:type="spellStart"/>
      <w:r w:rsidR="00A06628">
        <w:rPr>
          <w:i/>
          <w:lang w:val="en-GB"/>
        </w:rPr>
        <w:t>Clerfayt</w:t>
      </w:r>
      <w:proofErr w:type="spellEnd"/>
      <w:r w:rsidR="00A06628">
        <w:rPr>
          <w:i/>
          <w:lang w:val="en-GB"/>
        </w:rPr>
        <w:t xml:space="preserve"> </w:t>
      </w:r>
      <w:r w:rsidR="00A06628">
        <w:rPr>
          <w:lang w:val="en-GB"/>
        </w:rPr>
        <w:t xml:space="preserve">case was purposefully orchestrated by the FDF in an attempt to obtain </w:t>
      </w:r>
      <w:r w:rsidR="00FA538B">
        <w:rPr>
          <w:lang w:val="en-GB"/>
        </w:rPr>
        <w:t>political gains</w:t>
      </w:r>
      <w:r w:rsidR="00A06628">
        <w:rPr>
          <w:lang w:val="en-GB"/>
        </w:rPr>
        <w:t xml:space="preserve"> through legal means.</w:t>
      </w:r>
    </w:p>
    <w:p w14:paraId="22B20CE7" w14:textId="4B8B0469" w:rsidR="008878A6" w:rsidRDefault="00C37EAA" w:rsidP="001A19D0">
      <w:pPr>
        <w:ind w:firstLine="708"/>
        <w:jc w:val="both"/>
        <w:rPr>
          <w:lang w:val="en-GB"/>
        </w:rPr>
      </w:pPr>
      <w:r>
        <w:rPr>
          <w:lang w:val="en-GB"/>
        </w:rPr>
        <w:t xml:space="preserve">The case, brought on behalf of seven FDF members of the Chamber of Representatives, seven FDF Senators and one RW Senator, had two aspects. On the one hand, </w:t>
      </w:r>
      <w:r w:rsidR="00815A38">
        <w:rPr>
          <w:lang w:val="en-GB"/>
        </w:rPr>
        <w:t>they com</w:t>
      </w:r>
      <w:r w:rsidR="00756A1A">
        <w:rPr>
          <w:lang w:val="en-GB"/>
        </w:rPr>
        <w:t>plained that</w:t>
      </w:r>
      <w:r w:rsidR="00815A38">
        <w:rPr>
          <w:lang w:val="en-GB"/>
        </w:rPr>
        <w:t xml:space="preserve"> the </w:t>
      </w:r>
      <w:r w:rsidR="00756A1A">
        <w:rPr>
          <w:lang w:val="en-GB"/>
        </w:rPr>
        <w:t xml:space="preserve">absence of regional institutions with legislative powers in the Brussels Region, and accordingly </w:t>
      </w:r>
      <w:r w:rsidR="00756A1A">
        <w:rPr>
          <w:lang w:val="en-GB"/>
        </w:rPr>
        <w:lastRenderedPageBreak/>
        <w:t xml:space="preserve">the impossibility to vote for such institutions, amounted to a violation of Article 3 Protocol 1 (the right to free elections) in isolation or in conjunction with Article 14 (the prohibition of non-discrimination). This aspect of the case was declared manifestly ill-founded by the European Commission of Human Rights because the Commission considered the disparity between the Brussels Region and other regions “[to result] from a transitory situation” which can be justified </w:t>
      </w:r>
      <w:r w:rsidR="00B357BC">
        <w:rPr>
          <w:lang w:val="en-GB"/>
        </w:rPr>
        <w:t>taking into account</w:t>
      </w:r>
      <w:r w:rsidR="00756A1A">
        <w:rPr>
          <w:lang w:val="en-GB"/>
        </w:rPr>
        <w:t xml:space="preserve"> the “problems due to alternations in the structure of the State resulting from the transition from a unitary State to a federal-type State” and the “implications of an administrative and linguistic nature affecting the Brussels Region, a bilingual region which incl</w:t>
      </w:r>
      <w:r w:rsidR="00C535C9">
        <w:rPr>
          <w:lang w:val="en-GB"/>
        </w:rPr>
        <w:t>udes the capital of the country</w:t>
      </w:r>
      <w:r w:rsidR="00756A1A">
        <w:rPr>
          <w:lang w:val="en-GB"/>
        </w:rPr>
        <w:t>”</w:t>
      </w:r>
      <w:r w:rsidR="00756A1A">
        <w:rPr>
          <w:rStyle w:val="Voetnootmarkering"/>
          <w:lang w:val="en-GB"/>
        </w:rPr>
        <w:footnoteReference w:id="169"/>
      </w:r>
      <w:r w:rsidR="00C535C9">
        <w:rPr>
          <w:lang w:val="en-GB"/>
        </w:rPr>
        <w:t>.</w:t>
      </w:r>
    </w:p>
    <w:p w14:paraId="23A5AD22" w14:textId="2192FB14" w:rsidR="00232C57" w:rsidRDefault="00756A1A" w:rsidP="001A19D0">
      <w:pPr>
        <w:ind w:firstLine="708"/>
        <w:jc w:val="both"/>
        <w:rPr>
          <w:rStyle w:val="sb8d990e2"/>
          <w:lang w:val="en-GB"/>
        </w:rPr>
      </w:pPr>
      <w:r>
        <w:rPr>
          <w:lang w:val="en-GB"/>
        </w:rPr>
        <w:t>A second complaint</w:t>
      </w:r>
      <w:r w:rsidR="009F0283">
        <w:rPr>
          <w:lang w:val="en-GB"/>
        </w:rPr>
        <w:t>, concerning the situation in the Brussels periphery, only affecting the applicants residing there, Lucienne Mathieu-</w:t>
      </w:r>
      <w:proofErr w:type="spellStart"/>
      <w:r w:rsidR="009F0283">
        <w:rPr>
          <w:lang w:val="en-GB"/>
        </w:rPr>
        <w:t>Mohin</w:t>
      </w:r>
      <w:proofErr w:type="spellEnd"/>
      <w:r w:rsidR="009F0283">
        <w:rPr>
          <w:lang w:val="en-GB"/>
        </w:rPr>
        <w:t xml:space="preserve"> and Georges </w:t>
      </w:r>
      <w:proofErr w:type="spellStart"/>
      <w:r w:rsidR="009F0283">
        <w:rPr>
          <w:lang w:val="en-GB"/>
        </w:rPr>
        <w:t>Clerfayt</w:t>
      </w:r>
      <w:proofErr w:type="spellEnd"/>
      <w:r w:rsidR="009F0283">
        <w:rPr>
          <w:lang w:val="en-GB"/>
        </w:rPr>
        <w:t>, was however declared admis</w:t>
      </w:r>
      <w:r w:rsidR="00C535C9">
        <w:rPr>
          <w:lang w:val="en-GB"/>
        </w:rPr>
        <w:t>sible and referred to the Court</w:t>
      </w:r>
      <w:r w:rsidR="008878A6">
        <w:rPr>
          <w:rStyle w:val="Voetnootmarkering"/>
          <w:lang w:val="en-GB"/>
        </w:rPr>
        <w:footnoteReference w:id="170"/>
      </w:r>
      <w:r w:rsidR="00C535C9">
        <w:rPr>
          <w:lang w:val="en-GB"/>
        </w:rPr>
        <w:t>.</w:t>
      </w:r>
      <w:r w:rsidR="00232C57">
        <w:rPr>
          <w:lang w:val="en-GB"/>
        </w:rPr>
        <w:t xml:space="preserve"> </w:t>
      </w:r>
      <w:r w:rsidR="00F30C82">
        <w:rPr>
          <w:lang w:val="en-GB"/>
        </w:rPr>
        <w:t>As</w:t>
      </w:r>
      <w:r w:rsidR="00232C57">
        <w:rPr>
          <w:lang w:val="en-GB"/>
        </w:rPr>
        <w:t xml:space="preserve"> a result of the constitutional </w:t>
      </w:r>
      <w:r w:rsidR="00232C57" w:rsidRPr="00FA59E8">
        <w:rPr>
          <w:lang w:val="en-GB"/>
        </w:rPr>
        <w:t>reforms, the electoral district of Brussel-Halle-</w:t>
      </w:r>
      <w:proofErr w:type="spellStart"/>
      <w:r w:rsidR="00232C57" w:rsidRPr="00FA59E8">
        <w:rPr>
          <w:lang w:val="en-GB"/>
        </w:rPr>
        <w:t>Vilvoorde</w:t>
      </w:r>
      <w:proofErr w:type="spellEnd"/>
      <w:r w:rsidR="00232C57" w:rsidRPr="00FA59E8">
        <w:rPr>
          <w:lang w:val="en-GB"/>
        </w:rPr>
        <w:t xml:space="preserve"> at the same time cons</w:t>
      </w:r>
      <w:r w:rsidR="008878A6">
        <w:rPr>
          <w:lang w:val="en-GB"/>
        </w:rPr>
        <w:t>isted of the bilingual Brussels district</w:t>
      </w:r>
      <w:r w:rsidR="00232C57" w:rsidRPr="00FA59E8">
        <w:rPr>
          <w:lang w:val="en-GB"/>
        </w:rPr>
        <w:t xml:space="preserve"> and the administrative district of Halle-</w:t>
      </w:r>
      <w:proofErr w:type="spellStart"/>
      <w:r w:rsidR="00232C57" w:rsidRPr="00FA59E8">
        <w:rPr>
          <w:lang w:val="en-GB"/>
        </w:rPr>
        <w:t>Vilvoorde</w:t>
      </w:r>
      <w:proofErr w:type="spellEnd"/>
      <w:r w:rsidR="00232C57" w:rsidRPr="00FA59E8">
        <w:rPr>
          <w:lang w:val="en-GB"/>
        </w:rPr>
        <w:t>, which forms part of the Flemish Region but contains a sizable French-speaking minority.</w:t>
      </w:r>
      <w:r w:rsidR="00F30C82" w:rsidRPr="00FA59E8">
        <w:rPr>
          <w:lang w:val="en-GB"/>
        </w:rPr>
        <w:t xml:space="preserve"> </w:t>
      </w:r>
      <w:r w:rsidR="008878A6">
        <w:rPr>
          <w:lang w:val="en-GB"/>
        </w:rPr>
        <w:t xml:space="preserve">With respect to </w:t>
      </w:r>
      <w:r w:rsidR="00FA59E8" w:rsidRPr="00FA59E8">
        <w:rPr>
          <w:lang w:val="en-GB"/>
        </w:rPr>
        <w:t xml:space="preserve">this electoral district, the language in which the elected candidates took their oath in the Chamber of Representatives or the Senate determined whether they </w:t>
      </w:r>
      <w:r w:rsidR="005C1C52">
        <w:rPr>
          <w:lang w:val="en-GB"/>
        </w:rPr>
        <w:t xml:space="preserve">would become part of the Dutch- or French-speaking language group and whether they thereby simultaneously became </w:t>
      </w:r>
      <w:r w:rsidR="00FA59E8" w:rsidRPr="00FA59E8">
        <w:rPr>
          <w:lang w:val="en-GB"/>
        </w:rPr>
        <w:t xml:space="preserve">member of the Flemish Council – having both Regional and Community competences – or </w:t>
      </w:r>
      <w:r w:rsidR="008878A6">
        <w:rPr>
          <w:lang w:val="en-GB"/>
        </w:rPr>
        <w:t xml:space="preserve">of </w:t>
      </w:r>
      <w:r w:rsidR="00FA59E8" w:rsidRPr="00FA59E8">
        <w:rPr>
          <w:lang w:val="en-GB"/>
        </w:rPr>
        <w:t>the French Community Council – the latter having no competence in Halle-</w:t>
      </w:r>
      <w:proofErr w:type="spellStart"/>
      <w:r w:rsidR="00FA59E8" w:rsidRPr="00FA59E8">
        <w:rPr>
          <w:lang w:val="en-GB"/>
        </w:rPr>
        <w:t>Vilvoorde</w:t>
      </w:r>
      <w:proofErr w:type="spellEnd"/>
      <w:r w:rsidR="00FA59E8" w:rsidRPr="00FA59E8">
        <w:rPr>
          <w:lang w:val="en-GB"/>
        </w:rPr>
        <w:t xml:space="preserve"> </w:t>
      </w:r>
      <w:r w:rsidR="00FA59E8">
        <w:rPr>
          <w:lang w:val="en-GB"/>
        </w:rPr>
        <w:t>n</w:t>
      </w:r>
      <w:r w:rsidR="00C535C9">
        <w:rPr>
          <w:lang w:val="en-GB"/>
        </w:rPr>
        <w:t>or in Regional matters</w:t>
      </w:r>
      <w:r w:rsidR="00FA59E8" w:rsidRPr="00FA59E8">
        <w:rPr>
          <w:rStyle w:val="Voetnootmarkering"/>
          <w:lang w:val="en-GB"/>
        </w:rPr>
        <w:footnoteReference w:id="171"/>
      </w:r>
      <w:r w:rsidR="00C535C9">
        <w:rPr>
          <w:lang w:val="en-GB"/>
        </w:rPr>
        <w:t>.</w:t>
      </w:r>
      <w:r w:rsidR="00FA59E8">
        <w:rPr>
          <w:lang w:val="en-GB"/>
        </w:rPr>
        <w:t xml:space="preserve"> </w:t>
      </w:r>
      <w:r w:rsidR="00F30C82" w:rsidRPr="00FA59E8">
        <w:rPr>
          <w:lang w:val="en-GB"/>
        </w:rPr>
        <w:t>Mathieu-</w:t>
      </w:r>
      <w:proofErr w:type="spellStart"/>
      <w:r w:rsidR="00F30C82" w:rsidRPr="00FA59E8">
        <w:rPr>
          <w:lang w:val="en-GB"/>
        </w:rPr>
        <w:t>Mohin</w:t>
      </w:r>
      <w:proofErr w:type="spellEnd"/>
      <w:r w:rsidR="00F30C82" w:rsidRPr="00FA59E8">
        <w:rPr>
          <w:lang w:val="en-GB"/>
        </w:rPr>
        <w:t xml:space="preserve"> and </w:t>
      </w:r>
      <w:proofErr w:type="spellStart"/>
      <w:r w:rsidR="00F30C82" w:rsidRPr="00FA59E8">
        <w:rPr>
          <w:lang w:val="en-GB"/>
        </w:rPr>
        <w:t>Clerfayt</w:t>
      </w:r>
      <w:proofErr w:type="spellEnd"/>
      <w:r w:rsidR="00F30C82" w:rsidRPr="00FA59E8">
        <w:rPr>
          <w:lang w:val="en-GB"/>
        </w:rPr>
        <w:t xml:space="preserve"> </w:t>
      </w:r>
      <w:r w:rsidR="00FA59E8">
        <w:rPr>
          <w:lang w:val="en-GB"/>
        </w:rPr>
        <w:t>complained about the fact that French-speaking electors in Halle-</w:t>
      </w:r>
      <w:proofErr w:type="spellStart"/>
      <w:r w:rsidR="00FA59E8">
        <w:rPr>
          <w:lang w:val="en-GB"/>
        </w:rPr>
        <w:t>Vilvoorde</w:t>
      </w:r>
      <w:proofErr w:type="spellEnd"/>
      <w:r w:rsidR="00FA59E8">
        <w:rPr>
          <w:lang w:val="en-GB"/>
        </w:rPr>
        <w:t xml:space="preserve"> could not appoint French-speaking representatives to the Flemish Council</w:t>
      </w:r>
      <w:r w:rsidR="008878A6">
        <w:rPr>
          <w:lang w:val="en-GB"/>
        </w:rPr>
        <w:t>;</w:t>
      </w:r>
      <w:r w:rsidR="005C1C52">
        <w:rPr>
          <w:lang w:val="en-GB"/>
        </w:rPr>
        <w:t xml:space="preserve"> and that parliamentarians elected in this district and resid</w:t>
      </w:r>
      <w:r w:rsidR="008878A6">
        <w:rPr>
          <w:lang w:val="en-GB"/>
        </w:rPr>
        <w:t>ing</w:t>
      </w:r>
      <w:r w:rsidR="005C1C52">
        <w:rPr>
          <w:lang w:val="en-GB"/>
        </w:rPr>
        <w:t xml:space="preserve"> in Halle-</w:t>
      </w:r>
      <w:proofErr w:type="spellStart"/>
      <w:r w:rsidR="005C1C52">
        <w:rPr>
          <w:lang w:val="en-GB"/>
        </w:rPr>
        <w:t>Vilvoorde</w:t>
      </w:r>
      <w:proofErr w:type="spellEnd"/>
      <w:r w:rsidR="005C1C52">
        <w:rPr>
          <w:lang w:val="en-GB"/>
        </w:rPr>
        <w:t xml:space="preserve"> were prevented from sitting on the Flemish Council if they belonged to the French-language group in the Chamber of Representatives or the Senate – unlike respectively Dutch-speaking electors and parliamentarians belonging to the Dutch-language group. </w:t>
      </w:r>
      <w:r w:rsidR="00026E11">
        <w:rPr>
          <w:lang w:val="en-GB"/>
        </w:rPr>
        <w:t>The Court did not consider</w:t>
      </w:r>
      <w:r w:rsidR="00161527">
        <w:rPr>
          <w:lang w:val="en-GB"/>
        </w:rPr>
        <w:t xml:space="preserve"> this system </w:t>
      </w:r>
      <w:r w:rsidR="00026E11">
        <w:rPr>
          <w:lang w:val="en-GB"/>
        </w:rPr>
        <w:t>to be unreasonable</w:t>
      </w:r>
      <w:r w:rsidR="00161527">
        <w:rPr>
          <w:lang w:val="en-GB"/>
        </w:rPr>
        <w:t>, taking into account the State’s margin of appreciation that was even wider “</w:t>
      </w:r>
      <w:r w:rsidR="00161527" w:rsidRPr="00161527">
        <w:rPr>
          <w:rStyle w:val="sb8d990e2"/>
          <w:lang w:val="en-GB"/>
        </w:rPr>
        <w:t>as the syste</w:t>
      </w:r>
      <w:r w:rsidR="00161527">
        <w:rPr>
          <w:rStyle w:val="sb8d990e2"/>
          <w:lang w:val="en-GB"/>
        </w:rPr>
        <w:t>m is incomplete and provisional”; and the fact that “[t]</w:t>
      </w:r>
      <w:r w:rsidR="00161527" w:rsidRPr="00161527">
        <w:rPr>
          <w:rStyle w:val="sb8d990e2"/>
          <w:lang w:val="en-GB"/>
        </w:rPr>
        <w:t>he reform, which is not yet complete, is designed to achieve an equilibrium between the Kingdom’s various regions and cultural communities by means of a complex pattern of checks and balances</w:t>
      </w:r>
      <w:r w:rsidR="00161527">
        <w:rPr>
          <w:rStyle w:val="sb8d990e2"/>
          <w:lang w:val="en-GB"/>
        </w:rPr>
        <w:t>”, with the aim of “[defusing]</w:t>
      </w:r>
      <w:r w:rsidR="00161527" w:rsidRPr="00161527">
        <w:rPr>
          <w:rStyle w:val="sb8d990e2"/>
          <w:lang w:val="en-GB"/>
        </w:rPr>
        <w:t xml:space="preserve"> the language disputes in the country by establishing more stable and decentralised organisational structures</w:t>
      </w:r>
      <w:r w:rsidR="00161527">
        <w:rPr>
          <w:rStyle w:val="sb8d990e2"/>
          <w:lang w:val="en-GB"/>
        </w:rPr>
        <w:t>”</w:t>
      </w:r>
      <w:r w:rsidR="00161527">
        <w:rPr>
          <w:rStyle w:val="Voetnootmarkering"/>
          <w:lang w:val="en-GB"/>
        </w:rPr>
        <w:footnoteReference w:id="172"/>
      </w:r>
      <w:r w:rsidR="00C535C9">
        <w:rPr>
          <w:rStyle w:val="sb8d990e2"/>
          <w:lang w:val="en-GB"/>
        </w:rPr>
        <w:t>.</w:t>
      </w:r>
    </w:p>
    <w:p w14:paraId="4DE82690" w14:textId="77777777" w:rsidR="00933231" w:rsidRDefault="00026E11" w:rsidP="001A19D0">
      <w:pPr>
        <w:ind w:firstLine="708"/>
        <w:jc w:val="both"/>
        <w:rPr>
          <w:rStyle w:val="sb8d990e2"/>
          <w:lang w:val="en-GB"/>
        </w:rPr>
      </w:pPr>
      <w:r>
        <w:rPr>
          <w:rStyle w:val="sb8d990e2"/>
          <w:lang w:val="en-GB"/>
        </w:rPr>
        <w:t xml:space="preserve">According to Maingain, </w:t>
      </w:r>
      <w:r w:rsidR="008878A6">
        <w:rPr>
          <w:rStyle w:val="sb8d990e2"/>
          <w:lang w:val="en-GB"/>
        </w:rPr>
        <w:t xml:space="preserve">for FDF, </w:t>
      </w:r>
      <w:r>
        <w:rPr>
          <w:rStyle w:val="sb8d990e2"/>
          <w:lang w:val="en-GB"/>
        </w:rPr>
        <w:t>“the most important was the complaint concerning the evolution of the Brussels Region, that is clear, that was the biggest problem.” All in all, despite the outcome, he was not wholly unsatisfied with the Commission’s decision and the Cou</w:t>
      </w:r>
      <w:r w:rsidR="008878A6">
        <w:rPr>
          <w:rStyle w:val="sb8d990e2"/>
          <w:lang w:val="en-GB"/>
        </w:rPr>
        <w:t>rt’s judgment. “[T]he</w:t>
      </w:r>
      <w:r>
        <w:rPr>
          <w:rStyle w:val="sb8d990e2"/>
          <w:lang w:val="en-GB"/>
        </w:rPr>
        <w:t xml:space="preserve"> Court had said: OK, we accept the argumentation of the reasonable period of time” – i.e. the period within which Prime Minister Martens wanted to </w:t>
      </w:r>
      <w:r w:rsidR="008878A6">
        <w:rPr>
          <w:rStyle w:val="sb8d990e2"/>
          <w:lang w:val="en-GB"/>
        </w:rPr>
        <w:t xml:space="preserve">find </w:t>
      </w:r>
      <w:r w:rsidR="00933231">
        <w:rPr>
          <w:rStyle w:val="sb8d990e2"/>
          <w:lang w:val="en-GB"/>
        </w:rPr>
        <w:t>a solution for Brussels.</w:t>
      </w:r>
    </w:p>
    <w:p w14:paraId="520A4346" w14:textId="77777777" w:rsidR="00933231" w:rsidRDefault="00C82BCD" w:rsidP="00933231">
      <w:pPr>
        <w:ind w:left="708"/>
        <w:jc w:val="both"/>
        <w:rPr>
          <w:rStyle w:val="sb8d990e2"/>
          <w:lang w:val="en-GB"/>
        </w:rPr>
      </w:pPr>
      <w:r>
        <w:rPr>
          <w:rStyle w:val="sb8d990e2"/>
          <w:lang w:val="en-GB"/>
        </w:rPr>
        <w:t>But that meant that Belgium</w:t>
      </w:r>
      <w:r w:rsidRPr="00C82BCD">
        <w:rPr>
          <w:rStyle w:val="sb8d990e2"/>
          <w:i/>
          <w:lang w:val="en-GB"/>
        </w:rPr>
        <w:t xml:space="preserve"> had</w:t>
      </w:r>
      <w:r>
        <w:rPr>
          <w:rStyle w:val="sb8d990e2"/>
          <w:lang w:val="en-GB"/>
        </w:rPr>
        <w:t xml:space="preserve"> to do something within a reasonable period of time without discrimination</w:t>
      </w:r>
      <w:r w:rsidR="00F612E0">
        <w:rPr>
          <w:rStyle w:val="sb8d990e2"/>
          <w:lang w:val="en-GB"/>
        </w:rPr>
        <w:t xml:space="preserve"> between the people living in Brussels and </w:t>
      </w:r>
      <w:r w:rsidR="008878A6">
        <w:rPr>
          <w:rStyle w:val="sb8d990e2"/>
          <w:lang w:val="en-GB"/>
        </w:rPr>
        <w:t>those</w:t>
      </w:r>
      <w:r w:rsidR="00F612E0">
        <w:rPr>
          <w:rStyle w:val="sb8d990e2"/>
          <w:lang w:val="en-GB"/>
        </w:rPr>
        <w:t xml:space="preserve"> living in the two other </w:t>
      </w:r>
      <w:r w:rsidR="00F612E0">
        <w:rPr>
          <w:rStyle w:val="sb8d990e2"/>
          <w:lang w:val="en-GB"/>
        </w:rPr>
        <w:lastRenderedPageBreak/>
        <w:t>Regions</w:t>
      </w:r>
      <w:r>
        <w:rPr>
          <w:rStyle w:val="sb8d990e2"/>
          <w:lang w:val="en-GB"/>
        </w:rPr>
        <w:t xml:space="preserve">. </w:t>
      </w:r>
      <w:r w:rsidR="00F612E0">
        <w:rPr>
          <w:rStyle w:val="sb8d990e2"/>
          <w:lang w:val="en-GB"/>
        </w:rPr>
        <w:t xml:space="preserve">So that was something very, very positive. </w:t>
      </w:r>
      <w:r>
        <w:rPr>
          <w:rStyle w:val="sb8d990e2"/>
          <w:lang w:val="en-GB"/>
        </w:rPr>
        <w:t xml:space="preserve">[…] At a certain point in the </w:t>
      </w:r>
      <w:proofErr w:type="spellStart"/>
      <w:r>
        <w:rPr>
          <w:rStyle w:val="sb8d990e2"/>
          <w:lang w:val="en-GB"/>
        </w:rPr>
        <w:t>1980s</w:t>
      </w:r>
      <w:proofErr w:type="spellEnd"/>
      <w:r>
        <w:rPr>
          <w:rStyle w:val="sb8d990e2"/>
          <w:lang w:val="en-GB"/>
        </w:rPr>
        <w:t xml:space="preserve">, the idea </w:t>
      </w:r>
      <w:r w:rsidR="00BC04BA">
        <w:rPr>
          <w:rStyle w:val="sb8d990e2"/>
          <w:lang w:val="en-GB"/>
        </w:rPr>
        <w:t xml:space="preserve">rose in certain circles </w:t>
      </w:r>
      <w:r>
        <w:rPr>
          <w:rStyle w:val="sb8d990e2"/>
          <w:lang w:val="en-GB"/>
        </w:rPr>
        <w:t>that the situation in Brussels could remain unchanged. […] But the people who read the case from a technical point of view had well understood that if, after eight or ten years, there would be no reform of the State, then [Belgium] would be in serious troubles and we could lodge a new complaint be</w:t>
      </w:r>
      <w:r w:rsidR="00F612E0">
        <w:rPr>
          <w:rStyle w:val="sb8d990e2"/>
          <w:lang w:val="en-GB"/>
        </w:rPr>
        <w:t>fore the European institutions.</w:t>
      </w:r>
    </w:p>
    <w:p w14:paraId="25EFBDD1" w14:textId="6EC3C292" w:rsidR="008878A6" w:rsidRPr="008878A6" w:rsidRDefault="00C82BCD" w:rsidP="00933231">
      <w:pPr>
        <w:jc w:val="both"/>
        <w:rPr>
          <w:rStyle w:val="sb8d990e2"/>
          <w:lang w:val="en-GB"/>
        </w:rPr>
      </w:pPr>
      <w:r>
        <w:rPr>
          <w:rStyle w:val="sb8d990e2"/>
          <w:lang w:val="en-GB"/>
        </w:rPr>
        <w:t xml:space="preserve"> Maingain recalls that reactions within FDF were mixed. “</w:t>
      </w:r>
      <w:proofErr w:type="spellStart"/>
      <w:r w:rsidR="008D5D72">
        <w:rPr>
          <w:rStyle w:val="sb8d990e2"/>
          <w:lang w:val="en-GB"/>
        </w:rPr>
        <w:t>Clerfayt</w:t>
      </w:r>
      <w:proofErr w:type="spellEnd"/>
      <w:r w:rsidR="008D5D72">
        <w:rPr>
          <w:rStyle w:val="sb8d990e2"/>
          <w:lang w:val="en-GB"/>
        </w:rPr>
        <w:t xml:space="preserve"> was a romantic man […], for him it was a bit of the end of the dream. […] But Lagasse was a very rational man […], he told me: OK, </w:t>
      </w:r>
      <w:r w:rsidR="00F612E0">
        <w:rPr>
          <w:rStyle w:val="sb8d990e2"/>
          <w:lang w:val="en-GB"/>
        </w:rPr>
        <w:t xml:space="preserve">of course, </w:t>
      </w:r>
      <w:r w:rsidR="008D5D72">
        <w:rPr>
          <w:rStyle w:val="sb8d990e2"/>
          <w:lang w:val="en-GB"/>
        </w:rPr>
        <w:t>a decision by the Court to say ‘you have won’ would have been an incredible victory, but still this is good</w:t>
      </w:r>
      <w:r w:rsidR="00F612E0">
        <w:rPr>
          <w:rStyle w:val="sb8d990e2"/>
          <w:lang w:val="en-GB"/>
        </w:rPr>
        <w:t>”</w:t>
      </w:r>
      <w:r w:rsidR="008878A6">
        <w:rPr>
          <w:rStyle w:val="Voetnootmarkering"/>
          <w:lang w:val="en-GB"/>
        </w:rPr>
        <w:footnoteReference w:id="173"/>
      </w:r>
      <w:r w:rsidR="00C535C9">
        <w:rPr>
          <w:rStyle w:val="sb8d990e2"/>
          <w:lang w:val="en-GB"/>
        </w:rPr>
        <w:t>.</w:t>
      </w:r>
      <w:r w:rsidR="008878A6">
        <w:rPr>
          <w:rStyle w:val="sb8d990e2"/>
          <w:lang w:val="en-GB"/>
        </w:rPr>
        <w:t xml:space="preserve"> The Parliament and Government of the Brussels-Capital Region were eventually established by the 1989 constitutional reforms, two years after the Court’s judgment in the </w:t>
      </w:r>
      <w:r w:rsidR="008878A6">
        <w:rPr>
          <w:rStyle w:val="sb8d990e2"/>
          <w:i/>
          <w:lang w:val="en-GB"/>
        </w:rPr>
        <w:t>Mathieu-</w:t>
      </w:r>
      <w:proofErr w:type="spellStart"/>
      <w:r w:rsidR="008878A6">
        <w:rPr>
          <w:rStyle w:val="sb8d990e2"/>
          <w:i/>
          <w:lang w:val="en-GB"/>
        </w:rPr>
        <w:t>Mohin</w:t>
      </w:r>
      <w:proofErr w:type="spellEnd"/>
      <w:r w:rsidR="008878A6">
        <w:rPr>
          <w:rStyle w:val="sb8d990e2"/>
          <w:i/>
          <w:lang w:val="en-GB"/>
        </w:rPr>
        <w:t xml:space="preserve"> and </w:t>
      </w:r>
      <w:proofErr w:type="spellStart"/>
      <w:r w:rsidR="008878A6">
        <w:rPr>
          <w:rStyle w:val="sb8d990e2"/>
          <w:i/>
          <w:lang w:val="en-GB"/>
        </w:rPr>
        <w:t>Clerfayt</w:t>
      </w:r>
      <w:proofErr w:type="spellEnd"/>
      <w:r w:rsidR="008878A6">
        <w:rPr>
          <w:rStyle w:val="sb8d990e2"/>
          <w:i/>
          <w:lang w:val="en-GB"/>
        </w:rPr>
        <w:t xml:space="preserve"> </w:t>
      </w:r>
      <w:r w:rsidR="008878A6">
        <w:rPr>
          <w:rStyle w:val="sb8d990e2"/>
          <w:lang w:val="en-GB"/>
        </w:rPr>
        <w:t>case.</w:t>
      </w:r>
    </w:p>
    <w:p w14:paraId="57BF24A2" w14:textId="77777777" w:rsidR="001A19D0" w:rsidRPr="008878A6" w:rsidRDefault="001A19D0" w:rsidP="003B36A1">
      <w:pPr>
        <w:jc w:val="both"/>
        <w:rPr>
          <w:lang w:val="en-GB"/>
        </w:rPr>
      </w:pPr>
    </w:p>
    <w:p w14:paraId="52946DDD" w14:textId="77777777" w:rsidR="004228A8" w:rsidRPr="000941AC" w:rsidRDefault="004228A8" w:rsidP="004228A8">
      <w:pPr>
        <w:pStyle w:val="Lijstalinea"/>
        <w:numPr>
          <w:ilvl w:val="1"/>
          <w:numId w:val="6"/>
        </w:numPr>
        <w:ind w:left="0" w:firstLine="0"/>
        <w:rPr>
          <w:b/>
          <w:lang w:val="en-GB"/>
        </w:rPr>
      </w:pPr>
      <w:r w:rsidRPr="000941AC">
        <w:rPr>
          <w:i/>
          <w:lang w:val="en-GB"/>
        </w:rPr>
        <w:t>Motivation and aspirations</w:t>
      </w:r>
    </w:p>
    <w:p w14:paraId="23478F7A" w14:textId="536FD179" w:rsidR="008B3DD6" w:rsidRDefault="004D6079" w:rsidP="001A19D0">
      <w:pPr>
        <w:ind w:firstLine="708"/>
        <w:jc w:val="both"/>
        <w:rPr>
          <w:lang w:val="en-GB"/>
        </w:rPr>
      </w:pPr>
      <w:r>
        <w:rPr>
          <w:lang w:val="en-GB"/>
        </w:rPr>
        <w:t xml:space="preserve">In his study, Paul Johnson describes the main rationales for going to Strasbourg to be on the one hand to achieve personal redress and on the other hand the desire to change the law in order to obtain structural change that would benefit other persons in similar positions – the one not </w:t>
      </w:r>
      <w:r w:rsidR="00C535C9">
        <w:rPr>
          <w:lang w:val="en-GB"/>
        </w:rPr>
        <w:t>necessarily excluding the other</w:t>
      </w:r>
      <w:r w:rsidR="00693D9B">
        <w:rPr>
          <w:rStyle w:val="Voetnootmarkering"/>
          <w:lang w:val="en-GB"/>
        </w:rPr>
        <w:footnoteReference w:id="174"/>
      </w:r>
      <w:r w:rsidR="00C535C9">
        <w:rPr>
          <w:lang w:val="en-GB"/>
        </w:rPr>
        <w:t>.</w:t>
      </w:r>
      <w:r w:rsidR="00693D9B">
        <w:rPr>
          <w:lang w:val="en-GB"/>
        </w:rPr>
        <w:t xml:space="preserve"> These clusters of rationales can similarly be used to present the findings of the present study.</w:t>
      </w:r>
    </w:p>
    <w:p w14:paraId="0B580D25" w14:textId="77777777" w:rsidR="004F0C0B" w:rsidRDefault="004F0C0B" w:rsidP="004D6079">
      <w:pPr>
        <w:jc w:val="both"/>
        <w:rPr>
          <w:lang w:val="en-GB"/>
        </w:rPr>
      </w:pPr>
    </w:p>
    <w:p w14:paraId="4BFD0567" w14:textId="77777777" w:rsidR="004F0C0B" w:rsidRPr="004F0C0B" w:rsidRDefault="004F0C0B" w:rsidP="004D6079">
      <w:pPr>
        <w:jc w:val="both"/>
        <w:rPr>
          <w:i/>
          <w:lang w:val="en-GB"/>
        </w:rPr>
      </w:pPr>
      <w:r>
        <w:rPr>
          <w:i/>
          <w:lang w:val="en-GB"/>
        </w:rPr>
        <w:t>Personal redress</w:t>
      </w:r>
    </w:p>
    <w:p w14:paraId="44C52CC4" w14:textId="582D214A" w:rsidR="00693D9B" w:rsidRDefault="00D95ECE" w:rsidP="001A19D0">
      <w:pPr>
        <w:ind w:firstLine="708"/>
        <w:jc w:val="both"/>
        <w:rPr>
          <w:lang w:val="en-GB"/>
        </w:rPr>
      </w:pPr>
      <w:r>
        <w:rPr>
          <w:lang w:val="en-GB"/>
        </w:rPr>
        <w:t>With respect to the desire to obtain personal redress, Johnson has held</w:t>
      </w:r>
      <w:r w:rsidR="00FE3360">
        <w:rPr>
          <w:lang w:val="en-GB"/>
        </w:rPr>
        <w:t>, in the context of sexual orientation discrimination,</w:t>
      </w:r>
      <w:r>
        <w:rPr>
          <w:lang w:val="en-GB"/>
        </w:rPr>
        <w:t xml:space="preserve"> that </w:t>
      </w:r>
      <w:r w:rsidR="00FE3360">
        <w:rPr>
          <w:lang w:val="en-GB"/>
        </w:rPr>
        <w:t xml:space="preserve">“it is unsurprising that one of the primary motivations of applicants is the desire to achieve personal redress for a detriment they have suffered” and that </w:t>
      </w:r>
      <w:r>
        <w:rPr>
          <w:lang w:val="en-GB"/>
        </w:rPr>
        <w:t>“the personal experience underlying much of the litigation in Stras</w:t>
      </w:r>
      <w:r w:rsidR="00C535C9">
        <w:rPr>
          <w:lang w:val="en-GB"/>
        </w:rPr>
        <w:t>bourg is one of acute suffering</w:t>
      </w:r>
      <w:r>
        <w:rPr>
          <w:lang w:val="en-GB"/>
        </w:rPr>
        <w:t>”</w:t>
      </w:r>
      <w:r>
        <w:rPr>
          <w:rStyle w:val="Voetnootmarkering"/>
          <w:lang w:val="en-GB"/>
        </w:rPr>
        <w:footnoteReference w:id="175"/>
      </w:r>
      <w:r w:rsidR="00C535C9">
        <w:rPr>
          <w:lang w:val="en-GB"/>
        </w:rPr>
        <w:t>.</w:t>
      </w:r>
      <w:r w:rsidR="00FE3360">
        <w:rPr>
          <w:lang w:val="en-GB"/>
        </w:rPr>
        <w:t xml:space="preserve"> The latter is particularly illustrated by Joe </w:t>
      </w:r>
      <w:proofErr w:type="spellStart"/>
      <w:r w:rsidR="00FE3360">
        <w:rPr>
          <w:lang w:val="en-GB"/>
        </w:rPr>
        <w:t>Verhoeven</w:t>
      </w:r>
      <w:proofErr w:type="spellEnd"/>
      <w:r w:rsidR="00FE3360">
        <w:rPr>
          <w:lang w:val="en-GB"/>
        </w:rPr>
        <w:t xml:space="preserve"> who recalls</w:t>
      </w:r>
      <w:r w:rsidR="00E3509D">
        <w:rPr>
          <w:lang w:val="en-GB"/>
        </w:rPr>
        <w:t xml:space="preserve"> </w:t>
      </w:r>
      <w:r w:rsidR="004F0C0B">
        <w:rPr>
          <w:lang w:val="en-GB"/>
        </w:rPr>
        <w:t xml:space="preserve">having been very touched by </w:t>
      </w:r>
      <w:proofErr w:type="spellStart"/>
      <w:r w:rsidR="00E3509D">
        <w:rPr>
          <w:lang w:val="en-GB"/>
        </w:rPr>
        <w:t>Daniël</w:t>
      </w:r>
      <w:proofErr w:type="spellEnd"/>
      <w:r w:rsidR="00E3509D">
        <w:rPr>
          <w:lang w:val="en-GB"/>
        </w:rPr>
        <w:t xml:space="preserve"> Van </w:t>
      </w:r>
      <w:proofErr w:type="spellStart"/>
      <w:r w:rsidR="00E3509D">
        <w:rPr>
          <w:lang w:val="en-GB"/>
        </w:rPr>
        <w:t>Oosterwijck’s</w:t>
      </w:r>
      <w:proofErr w:type="spellEnd"/>
      <w:r w:rsidR="00E3509D">
        <w:rPr>
          <w:lang w:val="en-GB"/>
        </w:rPr>
        <w:t xml:space="preserve"> answer when asking him whether he though</w:t>
      </w:r>
      <w:r w:rsidR="004F0C0B">
        <w:rPr>
          <w:lang w:val="en-GB"/>
        </w:rPr>
        <w:t>t</w:t>
      </w:r>
      <w:r w:rsidR="00E3509D">
        <w:rPr>
          <w:lang w:val="en-GB"/>
        </w:rPr>
        <w:t xml:space="preserve"> going to Strasbourg would make any difference: “Listen, I don’t know, I’m absolutely not sure whether that</w:t>
      </w:r>
      <w:r w:rsidR="00AF1593">
        <w:rPr>
          <w:lang w:val="en-GB"/>
        </w:rPr>
        <w:t xml:space="preserve"> would allow me as human being, in my personal life, in my social life… But I have to do </w:t>
      </w:r>
      <w:proofErr w:type="gramStart"/>
      <w:r w:rsidR="00AF1593">
        <w:rPr>
          <w:lang w:val="en-GB"/>
        </w:rPr>
        <w:t>it,</w:t>
      </w:r>
      <w:proofErr w:type="gramEnd"/>
      <w:r w:rsidR="00AF1593">
        <w:rPr>
          <w:lang w:val="en-GB"/>
        </w:rPr>
        <w:t xml:space="preserve"> othe</w:t>
      </w:r>
      <w:r w:rsidR="00C535C9">
        <w:rPr>
          <w:lang w:val="en-GB"/>
        </w:rPr>
        <w:t>rwise I go back to nothing</w:t>
      </w:r>
      <w:r w:rsidR="00AF1593">
        <w:rPr>
          <w:lang w:val="en-GB"/>
        </w:rPr>
        <w:t>”</w:t>
      </w:r>
      <w:r w:rsidR="00AF1593">
        <w:rPr>
          <w:rStyle w:val="Voetnootmarkering"/>
          <w:lang w:val="en-GB"/>
        </w:rPr>
        <w:footnoteReference w:id="176"/>
      </w:r>
      <w:r w:rsidR="00C535C9">
        <w:rPr>
          <w:lang w:val="en-GB"/>
        </w:rPr>
        <w:t>.</w:t>
      </w:r>
      <w:r w:rsidR="00AF4609">
        <w:rPr>
          <w:lang w:val="en-GB"/>
        </w:rPr>
        <w:t xml:space="preserve"> In the </w:t>
      </w:r>
      <w:r w:rsidR="00AF4609">
        <w:rPr>
          <w:i/>
          <w:lang w:val="en-GB"/>
        </w:rPr>
        <w:t xml:space="preserve">Marckx </w:t>
      </w:r>
      <w:r w:rsidR="00AF4609">
        <w:rPr>
          <w:lang w:val="en-GB"/>
        </w:rPr>
        <w:t>case</w:t>
      </w:r>
      <w:r w:rsidR="0066526A">
        <w:rPr>
          <w:lang w:val="en-GB"/>
        </w:rPr>
        <w:t xml:space="preserve"> (1979)</w:t>
      </w:r>
      <w:r w:rsidR="00AF4609">
        <w:rPr>
          <w:lang w:val="en-GB"/>
        </w:rPr>
        <w:t>, Paula Marckx’ indignation</w:t>
      </w:r>
      <w:r w:rsidR="003926BC">
        <w:rPr>
          <w:lang w:val="en-GB"/>
        </w:rPr>
        <w:t xml:space="preserve"> about the legal situation of her daughter born out of wedlock</w:t>
      </w:r>
      <w:r w:rsidR="00AF4609">
        <w:rPr>
          <w:lang w:val="en-GB"/>
        </w:rPr>
        <w:t xml:space="preserve"> clearly </w:t>
      </w:r>
      <w:r w:rsidR="003926BC">
        <w:rPr>
          <w:lang w:val="en-GB"/>
        </w:rPr>
        <w:t xml:space="preserve">lay </w:t>
      </w:r>
      <w:r w:rsidR="00AF4609">
        <w:rPr>
          <w:lang w:val="en-GB"/>
        </w:rPr>
        <w:t>at the basis of her application in Strasbourg: “I recalled hearing the Minister of Justice talking on the radio ab</w:t>
      </w:r>
      <w:r w:rsidR="003926BC">
        <w:rPr>
          <w:lang w:val="en-GB"/>
        </w:rPr>
        <w:t>out all the children in third world countries, that they did not have any rights and the like. Well, I said, my child also does not have any rights and she does not live in a third world country!”</w:t>
      </w:r>
      <w:r w:rsidR="00330CCA">
        <w:rPr>
          <w:rStyle w:val="Voetnootmarkering"/>
          <w:lang w:val="en-GB"/>
        </w:rPr>
        <w:footnoteReference w:id="177"/>
      </w:r>
    </w:p>
    <w:p w14:paraId="5B5327B4" w14:textId="687BD153" w:rsidR="00F066C2" w:rsidRDefault="00330CCA" w:rsidP="001A19D0">
      <w:pPr>
        <w:ind w:firstLine="708"/>
        <w:jc w:val="both"/>
        <w:rPr>
          <w:lang w:val="en-GB"/>
        </w:rPr>
      </w:pPr>
      <w:r>
        <w:rPr>
          <w:lang w:val="en-GB"/>
        </w:rPr>
        <w:t>Attorneys</w:t>
      </w:r>
      <w:r w:rsidR="00B71DC9">
        <w:rPr>
          <w:lang w:val="en-GB"/>
        </w:rPr>
        <w:t xml:space="preserve"> involved in Strasbourg litigation also report feelings of injustice </w:t>
      </w:r>
      <w:r w:rsidR="00F066C2">
        <w:rPr>
          <w:lang w:val="en-GB"/>
        </w:rPr>
        <w:t>having lai</w:t>
      </w:r>
      <w:r w:rsidR="003734CC">
        <w:rPr>
          <w:lang w:val="en-GB"/>
        </w:rPr>
        <w:t>n</w:t>
      </w:r>
      <w:r w:rsidR="00B71DC9">
        <w:rPr>
          <w:lang w:val="en-GB"/>
        </w:rPr>
        <w:t xml:space="preserve"> at the basis of their involvement.</w:t>
      </w:r>
      <w:r w:rsidR="00F066C2">
        <w:rPr>
          <w:lang w:val="en-GB"/>
        </w:rPr>
        <w:t xml:space="preserve"> </w:t>
      </w:r>
      <w:r w:rsidR="00320BE1">
        <w:rPr>
          <w:lang w:val="en-GB"/>
        </w:rPr>
        <w:t xml:space="preserve">Xavier </w:t>
      </w:r>
      <w:proofErr w:type="spellStart"/>
      <w:r w:rsidR="00320BE1">
        <w:rPr>
          <w:lang w:val="en-GB"/>
        </w:rPr>
        <w:t>Magnée</w:t>
      </w:r>
      <w:proofErr w:type="spellEnd"/>
      <w:r w:rsidR="00320BE1">
        <w:rPr>
          <w:lang w:val="en-GB"/>
        </w:rPr>
        <w:t xml:space="preserve">, who has gone to Strasbourg on a number of occasions, </w:t>
      </w:r>
      <w:r w:rsidR="00320BE1">
        <w:rPr>
          <w:lang w:val="en-GB"/>
        </w:rPr>
        <w:lastRenderedPageBreak/>
        <w:t xml:space="preserve">explains what he considers to be the main reason to do so. “That is when one perceives that the judicial logic is not present, that it’s shocking, that a decision is frankly difficult to swallow for someone who observes </w:t>
      </w:r>
      <w:r w:rsidR="00C535C9">
        <w:rPr>
          <w:lang w:val="en-GB"/>
        </w:rPr>
        <w:t>how justice is administered</w:t>
      </w:r>
      <w:r w:rsidR="003A01BA">
        <w:rPr>
          <w:lang w:val="en-GB"/>
        </w:rPr>
        <w:t>”</w:t>
      </w:r>
      <w:r w:rsidR="003A01BA">
        <w:rPr>
          <w:rStyle w:val="Voetnootmarkering"/>
          <w:lang w:val="en-GB"/>
        </w:rPr>
        <w:footnoteReference w:id="178"/>
      </w:r>
      <w:r w:rsidR="00C535C9">
        <w:rPr>
          <w:lang w:val="en-GB"/>
        </w:rPr>
        <w:t>.</w:t>
      </w:r>
      <w:r w:rsidR="003A01BA">
        <w:rPr>
          <w:lang w:val="en-GB"/>
        </w:rPr>
        <w:t xml:space="preserve"> </w:t>
      </w:r>
      <w:r w:rsidR="001F4450">
        <w:rPr>
          <w:lang w:val="en-GB"/>
        </w:rPr>
        <w:t xml:space="preserve">In certain criminal cases, despite the fact that the Strasbourg applications were strictly confined to procedural questions, it seems that indignation about the outcome of the case at the national level, rather than only about the procedure, </w:t>
      </w:r>
      <w:r w:rsidR="003734CC">
        <w:rPr>
          <w:lang w:val="en-GB"/>
        </w:rPr>
        <w:t xml:space="preserve">had </w:t>
      </w:r>
      <w:r w:rsidR="001F4450">
        <w:rPr>
          <w:lang w:val="en-GB"/>
        </w:rPr>
        <w:t>encouraged lawyers to</w:t>
      </w:r>
      <w:r w:rsidR="00C535C9">
        <w:rPr>
          <w:lang w:val="en-GB"/>
        </w:rPr>
        <w:t xml:space="preserve"> push their cases to Strasbourg</w:t>
      </w:r>
      <w:r w:rsidR="00EE75DC">
        <w:rPr>
          <w:rStyle w:val="Voetnootmarkering"/>
          <w:lang w:val="en-GB"/>
        </w:rPr>
        <w:footnoteReference w:id="179"/>
      </w:r>
      <w:r w:rsidR="00C535C9">
        <w:rPr>
          <w:lang w:val="en-GB"/>
        </w:rPr>
        <w:t>.</w:t>
      </w:r>
      <w:r w:rsidR="001F4450">
        <w:rPr>
          <w:lang w:val="en-GB"/>
        </w:rPr>
        <w:t xml:space="preserve"> </w:t>
      </w:r>
      <w:r w:rsidR="00167253">
        <w:rPr>
          <w:lang w:val="en-GB"/>
        </w:rPr>
        <w:t xml:space="preserve">Luc </w:t>
      </w:r>
      <w:proofErr w:type="spellStart"/>
      <w:r w:rsidR="00167253">
        <w:rPr>
          <w:lang w:val="en-GB"/>
        </w:rPr>
        <w:t>Peeters</w:t>
      </w:r>
      <w:proofErr w:type="spellEnd"/>
      <w:r w:rsidR="00167253">
        <w:rPr>
          <w:lang w:val="en-GB"/>
        </w:rPr>
        <w:t xml:space="preserve">, for example still considers that Willy </w:t>
      </w:r>
      <w:proofErr w:type="spellStart"/>
      <w:r w:rsidR="00167253">
        <w:rPr>
          <w:lang w:val="en-GB"/>
        </w:rPr>
        <w:t>Pauwels</w:t>
      </w:r>
      <w:proofErr w:type="spellEnd"/>
      <w:r w:rsidR="00167253">
        <w:rPr>
          <w:lang w:val="en-GB"/>
        </w:rPr>
        <w:t xml:space="preserve"> was wrongfully convicted on the basis of a “fantasy story”</w:t>
      </w:r>
      <w:r w:rsidR="00337406">
        <w:rPr>
          <w:lang w:val="en-GB"/>
        </w:rPr>
        <w:t xml:space="preserve"> – that </w:t>
      </w:r>
      <w:proofErr w:type="spellStart"/>
      <w:r w:rsidR="00337406">
        <w:rPr>
          <w:lang w:val="en-GB"/>
        </w:rPr>
        <w:t>Pauwels</w:t>
      </w:r>
      <w:proofErr w:type="spellEnd"/>
      <w:r w:rsidR="00337406">
        <w:rPr>
          <w:lang w:val="en-GB"/>
        </w:rPr>
        <w:t xml:space="preserve"> had</w:t>
      </w:r>
      <w:r w:rsidR="00167253">
        <w:rPr>
          <w:lang w:val="en-GB"/>
        </w:rPr>
        <w:t xml:space="preserve"> </w:t>
      </w:r>
      <w:r w:rsidR="00337406">
        <w:rPr>
          <w:lang w:val="en-GB"/>
        </w:rPr>
        <w:t>stolen army funds in order to cover up earlier embezzlement of funds – made up b</w:t>
      </w:r>
      <w:r w:rsidR="00167253">
        <w:rPr>
          <w:lang w:val="en-GB"/>
        </w:rPr>
        <w:t xml:space="preserve">y the </w:t>
      </w:r>
      <w:proofErr w:type="spellStart"/>
      <w:r w:rsidR="00167253">
        <w:rPr>
          <w:i/>
          <w:lang w:val="en-GB"/>
        </w:rPr>
        <w:t>auditeur</w:t>
      </w:r>
      <w:proofErr w:type="spellEnd"/>
      <w:r w:rsidR="00167253">
        <w:rPr>
          <w:i/>
          <w:lang w:val="en-GB"/>
        </w:rPr>
        <w:t xml:space="preserve"> </w:t>
      </w:r>
      <w:proofErr w:type="spellStart"/>
      <w:r w:rsidR="00167253">
        <w:rPr>
          <w:i/>
          <w:lang w:val="en-GB"/>
        </w:rPr>
        <w:t>mili</w:t>
      </w:r>
      <w:r w:rsidR="0022086D">
        <w:rPr>
          <w:i/>
          <w:lang w:val="en-GB"/>
        </w:rPr>
        <w:t>t</w:t>
      </w:r>
      <w:r w:rsidR="00167253">
        <w:rPr>
          <w:i/>
          <w:lang w:val="en-GB"/>
        </w:rPr>
        <w:t>aire</w:t>
      </w:r>
      <w:proofErr w:type="spellEnd"/>
      <w:r w:rsidR="00167253">
        <w:rPr>
          <w:lang w:val="en-GB"/>
        </w:rPr>
        <w:t xml:space="preserve">: “I was convinced that </w:t>
      </w:r>
      <w:r w:rsidR="0066526A">
        <w:rPr>
          <w:lang w:val="en-GB"/>
        </w:rPr>
        <w:t>Mr.</w:t>
      </w:r>
      <w:r w:rsidR="00167253">
        <w:rPr>
          <w:lang w:val="en-GB"/>
        </w:rPr>
        <w:t xml:space="preserve"> </w:t>
      </w:r>
      <w:proofErr w:type="spellStart"/>
      <w:r w:rsidR="00167253">
        <w:rPr>
          <w:lang w:val="en-GB"/>
        </w:rPr>
        <w:t>Pauwels</w:t>
      </w:r>
      <w:proofErr w:type="spellEnd"/>
      <w:r w:rsidR="00167253">
        <w:rPr>
          <w:lang w:val="en-GB"/>
        </w:rPr>
        <w:t xml:space="preserve"> ha</w:t>
      </w:r>
      <w:r w:rsidR="00337406">
        <w:rPr>
          <w:lang w:val="en-GB"/>
        </w:rPr>
        <w:t xml:space="preserve">d been convicted wrongfully.” Since </w:t>
      </w:r>
      <w:proofErr w:type="spellStart"/>
      <w:r w:rsidR="00337406">
        <w:rPr>
          <w:lang w:val="en-GB"/>
        </w:rPr>
        <w:t>Pauwels</w:t>
      </w:r>
      <w:proofErr w:type="spellEnd"/>
      <w:r w:rsidR="00337406">
        <w:rPr>
          <w:lang w:val="en-GB"/>
        </w:rPr>
        <w:t xml:space="preserve"> was only convicted for embezzlement but acquitted with respect to the theft, “it was not possible to convict him for embezzlement but not for theft if the only reason for the theft was the alleged earlier embezzlement.</w:t>
      </w:r>
      <w:r w:rsidR="00DC3B85">
        <w:rPr>
          <w:lang w:val="en-GB"/>
        </w:rPr>
        <w:t xml:space="preserve"> </w:t>
      </w:r>
      <w:r w:rsidR="00EE75DC">
        <w:rPr>
          <w:lang w:val="en-GB"/>
        </w:rPr>
        <w:t xml:space="preserve">[…] </w:t>
      </w:r>
      <w:r w:rsidR="00DC3B85">
        <w:rPr>
          <w:lang w:val="en-GB"/>
        </w:rPr>
        <w:t>There were rumours that generals of the army, who stayed out of the picture, were involved in the theft, althoug</w:t>
      </w:r>
      <w:r w:rsidR="00C535C9">
        <w:rPr>
          <w:lang w:val="en-GB"/>
        </w:rPr>
        <w:t>h I can’t say so with certainty</w:t>
      </w:r>
      <w:r w:rsidR="00337406">
        <w:rPr>
          <w:lang w:val="en-GB"/>
        </w:rPr>
        <w:t>”</w:t>
      </w:r>
      <w:r w:rsidR="00DC3B85">
        <w:rPr>
          <w:rStyle w:val="Voetnootmarkering"/>
          <w:lang w:val="en-GB"/>
        </w:rPr>
        <w:footnoteReference w:id="180"/>
      </w:r>
      <w:r w:rsidR="00C535C9">
        <w:rPr>
          <w:lang w:val="en-GB"/>
        </w:rPr>
        <w:t>.</w:t>
      </w:r>
    </w:p>
    <w:p w14:paraId="3CD051C5" w14:textId="77777777" w:rsidR="00933231" w:rsidRDefault="00EE75DC" w:rsidP="001A19D0">
      <w:pPr>
        <w:ind w:firstLine="708"/>
        <w:jc w:val="both"/>
        <w:rPr>
          <w:lang w:val="en-GB"/>
        </w:rPr>
      </w:pPr>
      <w:r>
        <w:rPr>
          <w:lang w:val="en-GB"/>
        </w:rPr>
        <w:t xml:space="preserve">The desire of </w:t>
      </w:r>
      <w:r w:rsidR="00A16AE0">
        <w:rPr>
          <w:lang w:val="en-GB"/>
        </w:rPr>
        <w:t xml:space="preserve">stubborn </w:t>
      </w:r>
      <w:r>
        <w:rPr>
          <w:lang w:val="en-GB"/>
        </w:rPr>
        <w:t xml:space="preserve">applicants to go as far as possible is particularly evident in criminal cases. </w:t>
      </w:r>
      <w:r w:rsidRPr="003D17CD">
        <w:rPr>
          <w:lang w:val="en-GB"/>
        </w:rPr>
        <w:t xml:space="preserve">Françoise De </w:t>
      </w:r>
      <w:proofErr w:type="spellStart"/>
      <w:r w:rsidRPr="003D17CD">
        <w:rPr>
          <w:lang w:val="en-GB"/>
        </w:rPr>
        <w:t>Croo-Desguin</w:t>
      </w:r>
      <w:proofErr w:type="spellEnd"/>
      <w:r w:rsidRPr="003D17CD">
        <w:rPr>
          <w:lang w:val="en-GB"/>
        </w:rPr>
        <w:t xml:space="preserve"> recalls Albert De </w:t>
      </w:r>
      <w:proofErr w:type="spellStart"/>
      <w:r w:rsidRPr="003D17CD">
        <w:rPr>
          <w:lang w:val="en-GB"/>
        </w:rPr>
        <w:t>Cubber</w:t>
      </w:r>
      <w:proofErr w:type="spellEnd"/>
      <w:r w:rsidRPr="003D17CD">
        <w:rPr>
          <w:lang w:val="en-GB"/>
        </w:rPr>
        <w:t xml:space="preserve"> a</w:t>
      </w:r>
      <w:r w:rsidR="003D17CD" w:rsidRPr="003D17CD">
        <w:rPr>
          <w:lang w:val="en-GB"/>
        </w:rPr>
        <w:t xml:space="preserve">s a </w:t>
      </w:r>
      <w:r w:rsidR="00341903">
        <w:rPr>
          <w:lang w:val="en-GB"/>
        </w:rPr>
        <w:t>s</w:t>
      </w:r>
      <w:r w:rsidR="003D17CD" w:rsidRPr="003D17CD">
        <w:rPr>
          <w:lang w:val="en-GB"/>
        </w:rPr>
        <w:t>windler with a serious c</w:t>
      </w:r>
      <w:r w:rsidR="003D17CD">
        <w:rPr>
          <w:lang w:val="en-GB"/>
        </w:rPr>
        <w:t>riminal record who always tried as far as pos</w:t>
      </w:r>
      <w:r w:rsidR="00933231">
        <w:rPr>
          <w:lang w:val="en-GB"/>
        </w:rPr>
        <w:t>sible to avoid being convicted:</w:t>
      </w:r>
    </w:p>
    <w:p w14:paraId="3BF21ABB" w14:textId="688E992F" w:rsidR="00933231" w:rsidRDefault="00341903" w:rsidP="00933231">
      <w:pPr>
        <w:ind w:left="708"/>
        <w:jc w:val="both"/>
        <w:rPr>
          <w:lang w:val="en-GB"/>
        </w:rPr>
      </w:pPr>
      <w:r>
        <w:rPr>
          <w:lang w:val="en-GB"/>
        </w:rPr>
        <w:t>He had been my client before for this and that. […] In this case, a</w:t>
      </w:r>
      <w:r w:rsidR="003D17CD">
        <w:rPr>
          <w:lang w:val="en-GB"/>
        </w:rPr>
        <w:t xml:space="preserve"> lawyer from Ghent defended him before the Court of Appeal, but he lost. Then he wanted to appeal to the Court of Cassation. That was some</w:t>
      </w:r>
      <w:r>
        <w:rPr>
          <w:lang w:val="en-GB"/>
        </w:rPr>
        <w:t>thing that he often did</w:t>
      </w:r>
      <w:r w:rsidR="003D17CD">
        <w:rPr>
          <w:lang w:val="en-GB"/>
        </w:rPr>
        <w:t xml:space="preserve"> against almost everything, against decisions by the </w:t>
      </w:r>
      <w:proofErr w:type="spellStart"/>
      <w:r w:rsidR="003D17CD" w:rsidRPr="003D17CD">
        <w:rPr>
          <w:i/>
          <w:lang w:val="en-GB"/>
        </w:rPr>
        <w:t>Chambre</w:t>
      </w:r>
      <w:proofErr w:type="spellEnd"/>
      <w:r w:rsidR="003D17CD" w:rsidRPr="003D17CD">
        <w:rPr>
          <w:i/>
          <w:lang w:val="en-GB"/>
        </w:rPr>
        <w:t xml:space="preserve"> du </w:t>
      </w:r>
      <w:proofErr w:type="spellStart"/>
      <w:r w:rsidR="003D17CD" w:rsidRPr="003D17CD">
        <w:rPr>
          <w:i/>
          <w:lang w:val="en-GB"/>
        </w:rPr>
        <w:t>conseil</w:t>
      </w:r>
      <w:proofErr w:type="spellEnd"/>
      <w:r w:rsidR="003D17CD">
        <w:rPr>
          <w:i/>
          <w:lang w:val="en-GB"/>
        </w:rPr>
        <w:t xml:space="preserve"> </w:t>
      </w:r>
      <w:r w:rsidR="003D17CD">
        <w:rPr>
          <w:lang w:val="en-GB"/>
        </w:rPr>
        <w:t>or this or that. And after his cassation appeal was rejected, he asked his lawyer to go to Strasbourg. And he had to find something, but they did not really know what. […] So the lawyer told him: ‘No, I don’t do this anymore. There’s no chance. What are you thinking? I’m fed up!’</w:t>
      </w:r>
      <w:r w:rsidR="00A16AE0">
        <w:rPr>
          <w:lang w:val="en-GB"/>
        </w:rPr>
        <w:t xml:space="preserve"> […] And then De </w:t>
      </w:r>
      <w:proofErr w:type="spellStart"/>
      <w:r w:rsidR="00A16AE0">
        <w:rPr>
          <w:lang w:val="en-GB"/>
        </w:rPr>
        <w:t>Cubber</w:t>
      </w:r>
      <w:proofErr w:type="spellEnd"/>
      <w:r w:rsidR="00A16AE0">
        <w:rPr>
          <w:lang w:val="en-GB"/>
        </w:rPr>
        <w:t xml:space="preserve"> started to search for arguments, since he had access to the library in prison and he was not an illiterate man. </w:t>
      </w:r>
      <w:r w:rsidR="00A16AE0" w:rsidRPr="00797F30">
        <w:rPr>
          <w:lang w:val="en-GB"/>
        </w:rPr>
        <w:t xml:space="preserve">So he bumped into the fact that Judge Albert Pilate had </w:t>
      </w:r>
      <w:r w:rsidR="00797F30" w:rsidRPr="00797F30">
        <w:rPr>
          <w:lang w:val="en-GB"/>
        </w:rPr>
        <w:t>acted as an investigative judge and had been part of</w:t>
      </w:r>
      <w:r w:rsidR="00A16AE0" w:rsidRPr="00797F30">
        <w:rPr>
          <w:lang w:val="en-GB"/>
        </w:rPr>
        <w:t xml:space="preserve"> the Correctional Court [deciding on the merits] in the same case. And he</w:t>
      </w:r>
      <w:r w:rsidR="00A16AE0">
        <w:rPr>
          <w:lang w:val="en-GB"/>
        </w:rPr>
        <w:t xml:space="preserve"> considered that this should not be </w:t>
      </w:r>
      <w:r w:rsidR="00D87779">
        <w:rPr>
          <w:lang w:val="en-GB"/>
        </w:rPr>
        <w:t>allowed</w:t>
      </w:r>
      <w:r w:rsidR="00A16AE0">
        <w:rPr>
          <w:lang w:val="en-GB"/>
        </w:rPr>
        <w:t>. […]</w:t>
      </w:r>
      <w:r>
        <w:rPr>
          <w:lang w:val="en-GB"/>
        </w:rPr>
        <w:t xml:space="preserve"> At that time, people started saying that this should not be allowed. […]</w:t>
      </w:r>
      <w:r w:rsidR="00A16AE0">
        <w:rPr>
          <w:lang w:val="en-GB"/>
        </w:rPr>
        <w:t xml:space="preserve"> So De </w:t>
      </w:r>
      <w:proofErr w:type="spellStart"/>
      <w:r w:rsidR="00A16AE0">
        <w:rPr>
          <w:lang w:val="en-GB"/>
        </w:rPr>
        <w:t>Cubber</w:t>
      </w:r>
      <w:proofErr w:type="spellEnd"/>
      <w:r w:rsidR="00A16AE0">
        <w:rPr>
          <w:lang w:val="en-GB"/>
        </w:rPr>
        <w:t xml:space="preserve"> himself lodged an application in Strasbourg. Since Strasbourg is in France, he thought he had to write the application in French. […] </w:t>
      </w:r>
      <w:r>
        <w:rPr>
          <w:lang w:val="en-GB"/>
        </w:rPr>
        <w:t>He</w:t>
      </w:r>
      <w:r w:rsidR="00A16AE0">
        <w:rPr>
          <w:lang w:val="en-GB"/>
        </w:rPr>
        <w:t xml:space="preserve"> wrote his application but in a French, as they say in French, </w:t>
      </w:r>
      <w:proofErr w:type="spellStart"/>
      <w:r w:rsidR="00A16AE0">
        <w:rPr>
          <w:i/>
          <w:lang w:val="en-GB"/>
        </w:rPr>
        <w:t>comme</w:t>
      </w:r>
      <w:proofErr w:type="spellEnd"/>
      <w:r w:rsidR="00A16AE0">
        <w:rPr>
          <w:i/>
          <w:lang w:val="en-GB"/>
        </w:rPr>
        <w:t xml:space="preserve"> </w:t>
      </w:r>
      <w:proofErr w:type="spellStart"/>
      <w:r w:rsidR="00A16AE0">
        <w:rPr>
          <w:i/>
          <w:lang w:val="en-GB"/>
        </w:rPr>
        <w:t>une</w:t>
      </w:r>
      <w:proofErr w:type="spellEnd"/>
      <w:r w:rsidR="00A16AE0">
        <w:rPr>
          <w:i/>
          <w:lang w:val="en-GB"/>
        </w:rPr>
        <w:t xml:space="preserve"> </w:t>
      </w:r>
      <w:proofErr w:type="spellStart"/>
      <w:r w:rsidR="00A16AE0">
        <w:rPr>
          <w:i/>
          <w:lang w:val="en-GB"/>
        </w:rPr>
        <w:t>vache</w:t>
      </w:r>
      <w:proofErr w:type="spellEnd"/>
      <w:r w:rsidR="00A16AE0">
        <w:rPr>
          <w:i/>
          <w:lang w:val="en-GB"/>
        </w:rPr>
        <w:t xml:space="preserve"> </w:t>
      </w:r>
      <w:proofErr w:type="spellStart"/>
      <w:r w:rsidR="00A16AE0">
        <w:rPr>
          <w:i/>
          <w:lang w:val="en-GB"/>
        </w:rPr>
        <w:t>espagnole</w:t>
      </w:r>
      <w:proofErr w:type="spellEnd"/>
      <w:r w:rsidR="00A16AE0">
        <w:rPr>
          <w:lang w:val="en-GB"/>
        </w:rPr>
        <w:t xml:space="preserve">. […] Then he received a reply from Strasbourg that he could not do it </w:t>
      </w:r>
      <w:r>
        <w:rPr>
          <w:lang w:val="en-GB"/>
        </w:rPr>
        <w:t>like that</w:t>
      </w:r>
      <w:r w:rsidR="00A16AE0">
        <w:rPr>
          <w:lang w:val="en-GB"/>
        </w:rPr>
        <w:t xml:space="preserve"> without a lawyer.</w:t>
      </w:r>
      <w:r>
        <w:rPr>
          <w:lang w:val="en-GB"/>
        </w:rPr>
        <w:t xml:space="preserve"> […] And he didn’t want to do it with somebod</w:t>
      </w:r>
      <w:r w:rsidR="0066526A">
        <w:rPr>
          <w:lang w:val="en-GB"/>
        </w:rPr>
        <w:t>y he didn’t know, so that’s why</w:t>
      </w:r>
      <w:r>
        <w:rPr>
          <w:lang w:val="en-GB"/>
        </w:rPr>
        <w:t xml:space="preserve"> he asked me</w:t>
      </w:r>
      <w:r>
        <w:rPr>
          <w:rStyle w:val="Voetnootmarkering"/>
          <w:lang w:val="en-GB"/>
        </w:rPr>
        <w:footnoteReference w:id="181"/>
      </w:r>
      <w:r w:rsidR="00C535C9">
        <w:rPr>
          <w:lang w:val="en-GB"/>
        </w:rPr>
        <w:t>.</w:t>
      </w:r>
      <w:r w:rsidR="00D84EE6">
        <w:rPr>
          <w:lang w:val="en-GB"/>
        </w:rPr>
        <w:t xml:space="preserve"> </w:t>
      </w:r>
    </w:p>
    <w:p w14:paraId="20270FB1" w14:textId="51F85E36" w:rsidR="00EE75DC" w:rsidRPr="00D84EE6" w:rsidRDefault="006D7206" w:rsidP="00933231">
      <w:pPr>
        <w:jc w:val="both"/>
        <w:rPr>
          <w:lang w:val="en-GB"/>
        </w:rPr>
      </w:pPr>
      <w:r>
        <w:rPr>
          <w:lang w:val="en-GB"/>
        </w:rPr>
        <w:t>L</w:t>
      </w:r>
      <w:r w:rsidR="00A61E90">
        <w:rPr>
          <w:lang w:val="en-GB"/>
        </w:rPr>
        <w:t>e</w:t>
      </w:r>
      <w:r>
        <w:rPr>
          <w:lang w:val="en-GB"/>
        </w:rPr>
        <w:t>on</w:t>
      </w:r>
      <w:r w:rsidR="00D84EE6">
        <w:rPr>
          <w:lang w:val="en-GB"/>
        </w:rPr>
        <w:t xml:space="preserve"> Martens, who was a renowned criminal lawyer at the time when he went to Strasbourg in the </w:t>
      </w:r>
      <w:r w:rsidR="00D84EE6">
        <w:rPr>
          <w:i/>
          <w:lang w:val="en-GB"/>
        </w:rPr>
        <w:t xml:space="preserve">Ben </w:t>
      </w:r>
      <w:proofErr w:type="spellStart"/>
      <w:r w:rsidR="00D84EE6">
        <w:rPr>
          <w:i/>
          <w:lang w:val="en-GB"/>
        </w:rPr>
        <w:t>Yaacoub</w:t>
      </w:r>
      <w:proofErr w:type="spellEnd"/>
      <w:r w:rsidR="00D84EE6">
        <w:rPr>
          <w:i/>
          <w:lang w:val="en-GB"/>
        </w:rPr>
        <w:t xml:space="preserve"> </w:t>
      </w:r>
      <w:r w:rsidR="00D84EE6">
        <w:rPr>
          <w:lang w:val="en-GB"/>
        </w:rPr>
        <w:t>case</w:t>
      </w:r>
      <w:r w:rsidR="0066526A">
        <w:rPr>
          <w:lang w:val="en-GB"/>
        </w:rPr>
        <w:t xml:space="preserve"> (1987)</w:t>
      </w:r>
      <w:r w:rsidR="00D84EE6">
        <w:rPr>
          <w:lang w:val="en-GB"/>
        </w:rPr>
        <w:t xml:space="preserve">, considers that going as far as possible in challenging procedural unfairness is </w:t>
      </w:r>
      <w:r w:rsidR="0066526A">
        <w:rPr>
          <w:lang w:val="en-GB"/>
        </w:rPr>
        <w:t xml:space="preserve">at </w:t>
      </w:r>
      <w:r w:rsidR="00D84EE6">
        <w:rPr>
          <w:lang w:val="en-GB"/>
        </w:rPr>
        <w:t>the core of what a criminal lawyer should do: “A criminal lawyer should in the first place examine the procedure. This means that you have to protest before the competent judge and that you have to exhaust all possible legal arguments, up to and including the European Conventio</w:t>
      </w:r>
      <w:r w:rsidR="00C535C9">
        <w:rPr>
          <w:lang w:val="en-GB"/>
        </w:rPr>
        <w:t>n</w:t>
      </w:r>
      <w:r w:rsidR="00D84EE6">
        <w:rPr>
          <w:lang w:val="en-GB"/>
        </w:rPr>
        <w:t>”</w:t>
      </w:r>
      <w:r w:rsidR="00D84EE6">
        <w:rPr>
          <w:rStyle w:val="Voetnootmarkering"/>
          <w:lang w:val="en-GB"/>
        </w:rPr>
        <w:footnoteReference w:id="182"/>
      </w:r>
      <w:r w:rsidR="00C535C9">
        <w:rPr>
          <w:lang w:val="en-GB"/>
        </w:rPr>
        <w:t>.</w:t>
      </w:r>
    </w:p>
    <w:p w14:paraId="693073C7" w14:textId="77777777" w:rsidR="00933231" w:rsidRDefault="009D65E3" w:rsidP="001A19D0">
      <w:pPr>
        <w:ind w:firstLine="708"/>
        <w:jc w:val="both"/>
        <w:rPr>
          <w:lang w:val="en-GB"/>
        </w:rPr>
      </w:pPr>
      <w:r>
        <w:rPr>
          <w:lang w:val="en-GB"/>
        </w:rPr>
        <w:lastRenderedPageBreak/>
        <w:t xml:space="preserve">For some applicants, trying to obtain rehabilitation in the broad sense seemed to have been a more important motive for going to Strasbourg than </w:t>
      </w:r>
      <w:r w:rsidR="0007235B">
        <w:rPr>
          <w:lang w:val="en-GB"/>
        </w:rPr>
        <w:t xml:space="preserve">obtaining redress with respect to the strict legal issue under consideration. </w:t>
      </w:r>
      <w:r w:rsidR="00E40CF9">
        <w:rPr>
          <w:lang w:val="en-GB"/>
        </w:rPr>
        <w:t>This was particularly evident in</w:t>
      </w:r>
      <w:r w:rsidR="00C233FD">
        <w:rPr>
          <w:lang w:val="en-GB"/>
        </w:rPr>
        <w:t xml:space="preserve"> the </w:t>
      </w:r>
      <w:proofErr w:type="spellStart"/>
      <w:r w:rsidR="00C233FD">
        <w:rPr>
          <w:i/>
          <w:lang w:val="en-GB"/>
        </w:rPr>
        <w:t>Lamy</w:t>
      </w:r>
      <w:proofErr w:type="spellEnd"/>
      <w:r w:rsidR="00C233FD">
        <w:rPr>
          <w:i/>
          <w:lang w:val="en-GB"/>
        </w:rPr>
        <w:t xml:space="preserve"> </w:t>
      </w:r>
      <w:r w:rsidR="00C233FD">
        <w:rPr>
          <w:lang w:val="en-GB"/>
        </w:rPr>
        <w:t>case</w:t>
      </w:r>
      <w:r w:rsidR="0066526A">
        <w:rPr>
          <w:lang w:val="en-GB"/>
        </w:rPr>
        <w:t xml:space="preserve"> (1989), which</w:t>
      </w:r>
      <w:r w:rsidR="00C233FD">
        <w:rPr>
          <w:lang w:val="en-GB"/>
        </w:rPr>
        <w:t xml:space="preserve"> concerned the lack of access to the case file during detention on remand of a businessman in the context of criminal proceedings related to the bankruptcy of his construction company. While in civil proceedings, the Court of Appeal of Liège had eventually quashed the judgment of the Commercial Court of Verviers declaring th</w:t>
      </w:r>
      <w:r w:rsidR="0066526A">
        <w:rPr>
          <w:lang w:val="en-GB"/>
        </w:rPr>
        <w:t xml:space="preserve">e applicant personally </w:t>
      </w:r>
      <w:proofErr w:type="gramStart"/>
      <w:r w:rsidR="0066526A">
        <w:rPr>
          <w:lang w:val="en-GB"/>
        </w:rPr>
        <w:t>bankrupt,</w:t>
      </w:r>
      <w:proofErr w:type="gramEnd"/>
      <w:r w:rsidR="00C233FD">
        <w:rPr>
          <w:lang w:val="en-GB"/>
        </w:rPr>
        <w:t xml:space="preserve"> it nonetheless proved impossible to recuperate all the money he had lost as a result of these proceedings. </w:t>
      </w:r>
      <w:r w:rsidR="0066526A">
        <w:rPr>
          <w:lang w:val="en-GB"/>
        </w:rPr>
        <w:t>Even though</w:t>
      </w:r>
      <w:r w:rsidR="00971033">
        <w:rPr>
          <w:lang w:val="en-GB"/>
        </w:rPr>
        <w:t xml:space="preserve"> it was thus impossible to undo the consequences thereof, a</w:t>
      </w:r>
      <w:r w:rsidR="0007235B">
        <w:rPr>
          <w:lang w:val="en-GB"/>
        </w:rPr>
        <w:t>ccording to Raoul Neuroth,</w:t>
      </w:r>
      <w:r w:rsidR="00C233FD">
        <w:rPr>
          <w:lang w:val="en-GB"/>
        </w:rPr>
        <w:t xml:space="preserve"> the applicant’s attorney,</w:t>
      </w:r>
      <w:r w:rsidR="0007235B">
        <w:rPr>
          <w:lang w:val="en-GB"/>
        </w:rPr>
        <w:t xml:space="preserve"> for </w:t>
      </w:r>
      <w:r w:rsidR="00437264">
        <w:rPr>
          <w:lang w:val="en-GB"/>
        </w:rPr>
        <w:t xml:space="preserve">José </w:t>
      </w:r>
      <w:proofErr w:type="spellStart"/>
      <w:r w:rsidR="00437264">
        <w:rPr>
          <w:lang w:val="en-GB"/>
        </w:rPr>
        <w:t>Lamy</w:t>
      </w:r>
      <w:proofErr w:type="spellEnd"/>
      <w:r w:rsidR="00437264">
        <w:rPr>
          <w:lang w:val="en-GB"/>
        </w:rPr>
        <w:t xml:space="preserve"> “it was very important that Belgium was convicted, even if only for the problem of access to the case file for the first five days, b</w:t>
      </w:r>
      <w:r w:rsidR="008B69F9">
        <w:rPr>
          <w:lang w:val="en-GB"/>
        </w:rPr>
        <w:t>ecause</w:t>
      </w:r>
      <w:r w:rsidR="00437264">
        <w:rPr>
          <w:lang w:val="en-GB"/>
        </w:rPr>
        <w:t xml:space="preserve"> morally it was important for him to feel rehabilitated.</w:t>
      </w:r>
      <w:r w:rsidR="00C233FD">
        <w:rPr>
          <w:lang w:val="en-GB"/>
        </w:rPr>
        <w:t xml:space="preserve">” After the Strasbourg judgment, </w:t>
      </w:r>
      <w:proofErr w:type="spellStart"/>
      <w:r w:rsidR="00C233FD">
        <w:rPr>
          <w:lang w:val="en-GB"/>
        </w:rPr>
        <w:t>Lamy</w:t>
      </w:r>
      <w:proofErr w:type="spellEnd"/>
      <w:r w:rsidR="00C233FD">
        <w:rPr>
          <w:lang w:val="en-GB"/>
        </w:rPr>
        <w:t xml:space="preserve"> told </w:t>
      </w:r>
      <w:r w:rsidR="00971033">
        <w:rPr>
          <w:lang w:val="en-GB"/>
        </w:rPr>
        <w:t>Neuroth</w:t>
      </w:r>
      <w:r w:rsidR="00C233FD">
        <w:rPr>
          <w:lang w:val="en-GB"/>
        </w:rPr>
        <w:t xml:space="preserve"> “now I want to stop, I’ve had my moral satisfaction </w:t>
      </w:r>
      <w:r w:rsidR="00C535C9">
        <w:rPr>
          <w:lang w:val="en-GB"/>
        </w:rPr>
        <w:t>and for the rest, I do not care</w:t>
      </w:r>
      <w:r w:rsidR="00C233FD">
        <w:rPr>
          <w:lang w:val="en-GB"/>
        </w:rPr>
        <w:t>”</w:t>
      </w:r>
      <w:r w:rsidR="00971033">
        <w:rPr>
          <w:rStyle w:val="Voetnootmarkering"/>
          <w:lang w:val="en-GB"/>
        </w:rPr>
        <w:footnoteReference w:id="183"/>
      </w:r>
      <w:r w:rsidR="00C535C9">
        <w:rPr>
          <w:lang w:val="en-GB"/>
        </w:rPr>
        <w:t>.</w:t>
      </w:r>
      <w:r w:rsidR="00E40CF9">
        <w:rPr>
          <w:lang w:val="en-GB"/>
        </w:rPr>
        <w:t xml:space="preserve"> Also in the </w:t>
      </w:r>
      <w:proofErr w:type="spellStart"/>
      <w:r w:rsidR="00E40CF9">
        <w:rPr>
          <w:i/>
          <w:lang w:val="en-GB"/>
        </w:rPr>
        <w:t>Pauwels</w:t>
      </w:r>
      <w:proofErr w:type="spellEnd"/>
      <w:r w:rsidR="00E40CF9">
        <w:rPr>
          <w:i/>
          <w:lang w:val="en-GB"/>
        </w:rPr>
        <w:t xml:space="preserve"> </w:t>
      </w:r>
      <w:r w:rsidR="00E40CF9">
        <w:rPr>
          <w:lang w:val="en-GB"/>
        </w:rPr>
        <w:t>case</w:t>
      </w:r>
      <w:r w:rsidR="0066526A">
        <w:rPr>
          <w:lang w:val="en-GB"/>
        </w:rPr>
        <w:t xml:space="preserve"> (1988)</w:t>
      </w:r>
      <w:r w:rsidR="00E40CF9">
        <w:rPr>
          <w:lang w:val="en-GB"/>
        </w:rPr>
        <w:t xml:space="preserve">, the search for rehabilitation seemed to have been important, in particular with a view to obtaining a military pension that was denied to the applicant as a result of the dismissal following his conviction. Luc </w:t>
      </w:r>
      <w:proofErr w:type="spellStart"/>
      <w:r w:rsidR="00E40CF9">
        <w:rPr>
          <w:lang w:val="en-GB"/>
        </w:rPr>
        <w:t>Peeters</w:t>
      </w:r>
      <w:proofErr w:type="spellEnd"/>
      <w:r w:rsidR="00E40CF9">
        <w:rPr>
          <w:lang w:val="en-GB"/>
        </w:rPr>
        <w:t xml:space="preserve">, the </w:t>
      </w:r>
      <w:r w:rsidR="00933231">
        <w:rPr>
          <w:lang w:val="en-GB"/>
        </w:rPr>
        <w:t>applicant’s attorney, recalled:</w:t>
      </w:r>
    </w:p>
    <w:p w14:paraId="1591B0FA" w14:textId="34484464" w:rsidR="009D65E3" w:rsidRPr="00E40CF9" w:rsidRDefault="00E40CF9" w:rsidP="00933231">
      <w:pPr>
        <w:ind w:left="708"/>
        <w:jc w:val="both"/>
        <w:rPr>
          <w:lang w:val="en-GB"/>
        </w:rPr>
      </w:pPr>
      <w:proofErr w:type="spellStart"/>
      <w:r>
        <w:rPr>
          <w:lang w:val="en-GB"/>
        </w:rPr>
        <w:t>Pauwels</w:t>
      </w:r>
      <w:proofErr w:type="spellEnd"/>
      <w:r>
        <w:rPr>
          <w:lang w:val="en-GB"/>
        </w:rPr>
        <w:t xml:space="preserve"> reacted very positively to the judgment, he thought that was fantastic. We even decided to see what we could do with that judgment in the Belgian legal order. But then the man became ill, he got kidney cancer and died, I think in 1989 or 1990. The </w:t>
      </w:r>
      <w:proofErr w:type="spellStart"/>
      <w:r>
        <w:rPr>
          <w:lang w:val="en-GB"/>
        </w:rPr>
        <w:t>Pauwels</w:t>
      </w:r>
      <w:proofErr w:type="spellEnd"/>
      <w:r>
        <w:rPr>
          <w:lang w:val="en-GB"/>
        </w:rPr>
        <w:t xml:space="preserve"> family however is grateful to me up to this very day, because this case played a role with respect to the question of military pensions. I have conducted proceedings in order to find a solution in this respect. Because Ms. </w:t>
      </w:r>
      <w:proofErr w:type="spellStart"/>
      <w:r>
        <w:rPr>
          <w:lang w:val="en-GB"/>
        </w:rPr>
        <w:t>Pauwels</w:t>
      </w:r>
      <w:proofErr w:type="spellEnd"/>
      <w:r>
        <w:rPr>
          <w:lang w:val="en-GB"/>
        </w:rPr>
        <w:t xml:space="preserve"> had four sons and I had to ensure them </w:t>
      </w:r>
      <w:r w:rsidR="00C535C9">
        <w:rPr>
          <w:lang w:val="en-GB"/>
        </w:rPr>
        <w:t>a financial right to exist</w:t>
      </w:r>
      <w:r>
        <w:rPr>
          <w:rStyle w:val="Voetnootmarkering"/>
          <w:lang w:val="en-GB"/>
        </w:rPr>
        <w:footnoteReference w:id="184"/>
      </w:r>
      <w:r w:rsidR="00C535C9">
        <w:rPr>
          <w:lang w:val="en-GB"/>
        </w:rPr>
        <w:t>.</w:t>
      </w:r>
    </w:p>
    <w:p w14:paraId="113F18BA" w14:textId="468D147D" w:rsidR="007460AA" w:rsidRDefault="00224C2A" w:rsidP="001A19D0">
      <w:pPr>
        <w:ind w:firstLine="708"/>
        <w:jc w:val="both"/>
        <w:rPr>
          <w:lang w:val="en-GB"/>
        </w:rPr>
      </w:pPr>
      <w:r>
        <w:rPr>
          <w:lang w:val="en-GB"/>
        </w:rPr>
        <w:t xml:space="preserve">In one case, it was clear that ulterior motives played a role in going to Strasbourg. </w:t>
      </w:r>
      <w:r w:rsidR="0074561D">
        <w:rPr>
          <w:lang w:val="en-GB"/>
        </w:rPr>
        <w:t xml:space="preserve">The right to practice medicine of </w:t>
      </w:r>
      <w:r w:rsidR="008B69F9">
        <w:rPr>
          <w:lang w:val="en-GB"/>
        </w:rPr>
        <w:t xml:space="preserve">Herman Le </w:t>
      </w:r>
      <w:proofErr w:type="spellStart"/>
      <w:r w:rsidR="008B69F9">
        <w:rPr>
          <w:lang w:val="en-GB"/>
        </w:rPr>
        <w:t>Compte</w:t>
      </w:r>
      <w:proofErr w:type="spellEnd"/>
      <w:r w:rsidR="008B69F9">
        <w:rPr>
          <w:lang w:val="en-GB"/>
        </w:rPr>
        <w:t xml:space="preserve">, </w:t>
      </w:r>
      <w:r w:rsidR="0074561D">
        <w:rPr>
          <w:lang w:val="en-GB"/>
        </w:rPr>
        <w:t>the respective first and second applicant in the cases</w:t>
      </w:r>
      <w:r>
        <w:rPr>
          <w:lang w:val="en-GB"/>
        </w:rPr>
        <w:t xml:space="preserve"> of </w:t>
      </w:r>
      <w:r>
        <w:rPr>
          <w:i/>
          <w:lang w:val="en-GB"/>
        </w:rPr>
        <w:t xml:space="preserve">Le </w:t>
      </w:r>
      <w:proofErr w:type="spellStart"/>
      <w:r>
        <w:rPr>
          <w:i/>
          <w:lang w:val="en-GB"/>
        </w:rPr>
        <w:t>Compte</w:t>
      </w:r>
      <w:proofErr w:type="spellEnd"/>
      <w:r>
        <w:rPr>
          <w:i/>
          <w:lang w:val="en-GB"/>
        </w:rPr>
        <w:t>, Van Leuven and De Meyere</w:t>
      </w:r>
      <w:r w:rsidR="0074561D">
        <w:rPr>
          <w:i/>
          <w:lang w:val="en-GB"/>
        </w:rPr>
        <w:t xml:space="preserve"> </w:t>
      </w:r>
      <w:r w:rsidR="008B69F9" w:rsidRPr="008B69F9">
        <w:rPr>
          <w:lang w:val="en-GB"/>
        </w:rPr>
        <w:t>(1981)</w:t>
      </w:r>
      <w:r w:rsidR="008B69F9">
        <w:rPr>
          <w:i/>
          <w:lang w:val="en-GB"/>
        </w:rPr>
        <w:t xml:space="preserve"> </w:t>
      </w:r>
      <w:r w:rsidR="0074561D">
        <w:rPr>
          <w:lang w:val="en-GB"/>
        </w:rPr>
        <w:t xml:space="preserve">and </w:t>
      </w:r>
      <w:r w:rsidR="0074561D">
        <w:rPr>
          <w:i/>
          <w:lang w:val="en-GB"/>
        </w:rPr>
        <w:t xml:space="preserve">Albert and Le </w:t>
      </w:r>
      <w:proofErr w:type="spellStart"/>
      <w:r w:rsidR="0074561D">
        <w:rPr>
          <w:i/>
          <w:lang w:val="en-GB"/>
        </w:rPr>
        <w:t>Compte</w:t>
      </w:r>
      <w:proofErr w:type="spellEnd"/>
      <w:r w:rsidR="0074561D">
        <w:rPr>
          <w:lang w:val="en-GB"/>
        </w:rPr>
        <w:t xml:space="preserve"> </w:t>
      </w:r>
      <w:r w:rsidR="008B69F9">
        <w:rPr>
          <w:lang w:val="en-GB"/>
        </w:rPr>
        <w:t xml:space="preserve">(1983), </w:t>
      </w:r>
      <w:r w:rsidR="0074561D">
        <w:rPr>
          <w:lang w:val="en-GB"/>
        </w:rPr>
        <w:t xml:space="preserve">had been suspended temporarily and was later withdrawn permanently </w:t>
      </w:r>
      <w:r w:rsidR="003B36A1">
        <w:rPr>
          <w:lang w:val="en-GB"/>
        </w:rPr>
        <w:t>after</w:t>
      </w:r>
      <w:r w:rsidR="0074561D">
        <w:rPr>
          <w:lang w:val="en-GB"/>
        </w:rPr>
        <w:t xml:space="preserve"> disciplinary proceedings.</w:t>
      </w:r>
      <w:r w:rsidR="0040184B">
        <w:rPr>
          <w:lang w:val="en-GB"/>
        </w:rPr>
        <w:t xml:space="preserve"> Le </w:t>
      </w:r>
      <w:proofErr w:type="spellStart"/>
      <w:r w:rsidR="0040184B">
        <w:rPr>
          <w:lang w:val="en-GB"/>
        </w:rPr>
        <w:t>Compte</w:t>
      </w:r>
      <w:proofErr w:type="spellEnd"/>
      <w:r w:rsidR="0040184B">
        <w:rPr>
          <w:lang w:val="en-GB"/>
        </w:rPr>
        <w:t xml:space="preserve"> was criminally prosecuted and convicted for failing to comply with these decisions</w:t>
      </w:r>
      <w:r w:rsidR="0096703C">
        <w:rPr>
          <w:lang w:val="en-GB"/>
        </w:rPr>
        <w:t xml:space="preserve"> and even spent</w:t>
      </w:r>
      <w:r w:rsidR="007460AA">
        <w:rPr>
          <w:lang w:val="en-GB"/>
        </w:rPr>
        <w:t xml:space="preserve"> some days</w:t>
      </w:r>
      <w:r w:rsidR="0096703C">
        <w:rPr>
          <w:lang w:val="en-GB"/>
        </w:rPr>
        <w:t xml:space="preserve"> in prison. </w:t>
      </w:r>
      <w:r w:rsidR="00895730">
        <w:rPr>
          <w:lang w:val="en-GB"/>
        </w:rPr>
        <w:t>Despite the fact that the application concerned fair trial rights during the disciplinary proceedings, a</w:t>
      </w:r>
      <w:r w:rsidR="006D6259">
        <w:rPr>
          <w:lang w:val="en-GB"/>
        </w:rPr>
        <w:t xml:space="preserve">ccording to </w:t>
      </w:r>
      <w:r w:rsidR="00B1256D">
        <w:rPr>
          <w:lang w:val="en-GB"/>
        </w:rPr>
        <w:t>Patrick Devers</w:t>
      </w:r>
      <w:r w:rsidR="006D6259">
        <w:rPr>
          <w:lang w:val="en-GB"/>
        </w:rPr>
        <w:t xml:space="preserve">, </w:t>
      </w:r>
      <w:r w:rsidR="00895730">
        <w:rPr>
          <w:lang w:val="en-GB"/>
        </w:rPr>
        <w:t xml:space="preserve">it </w:t>
      </w:r>
      <w:r w:rsidR="006D6259">
        <w:rPr>
          <w:lang w:val="en-GB"/>
        </w:rPr>
        <w:t xml:space="preserve">was mainly meant as a dilatory procedural manoeuvre with a view to </w:t>
      </w:r>
      <w:r w:rsidR="003B36A1">
        <w:rPr>
          <w:lang w:val="en-GB"/>
        </w:rPr>
        <w:t xml:space="preserve">a new set of </w:t>
      </w:r>
      <w:r w:rsidR="006D6259">
        <w:rPr>
          <w:lang w:val="en-GB"/>
        </w:rPr>
        <w:t>criminal proceedings.</w:t>
      </w:r>
      <w:r w:rsidR="007460AA">
        <w:rPr>
          <w:lang w:val="en-GB"/>
        </w:rPr>
        <w:t xml:space="preserve"> He recalled this strategy having been successful, since the prosecutor apparently didn’t really know what to do during and after the Strasbourg proceedings and the prosecutions ceased.</w:t>
      </w:r>
      <w:r w:rsidR="00971033">
        <w:rPr>
          <w:lang w:val="en-GB"/>
        </w:rPr>
        <w:t xml:space="preserve"> Again, the search for rehabilitation seemed to have been an important consideration for the applicant. </w:t>
      </w:r>
      <w:r w:rsidR="00FF1C02">
        <w:rPr>
          <w:lang w:val="en-GB"/>
        </w:rPr>
        <w:t xml:space="preserve">According to Devers, “Le </w:t>
      </w:r>
      <w:proofErr w:type="spellStart"/>
      <w:r w:rsidR="00FF1C02">
        <w:rPr>
          <w:lang w:val="en-GB"/>
        </w:rPr>
        <w:t>Compte</w:t>
      </w:r>
      <w:proofErr w:type="spellEnd"/>
      <w:r w:rsidR="00FF1C02">
        <w:rPr>
          <w:lang w:val="en-GB"/>
        </w:rPr>
        <w:t xml:space="preserve"> considered that we had won all along the line.</w:t>
      </w:r>
      <w:r w:rsidR="00C75C32">
        <w:rPr>
          <w:lang w:val="en-GB"/>
        </w:rPr>
        <w:t xml:space="preserve"> To the press, he said: Belgium has been convicted,</w:t>
      </w:r>
      <w:r w:rsidR="00C535C9">
        <w:rPr>
          <w:lang w:val="en-GB"/>
        </w:rPr>
        <w:t xml:space="preserve"> that was all what it was about</w:t>
      </w:r>
      <w:r w:rsidR="00C75C32">
        <w:rPr>
          <w:lang w:val="en-GB"/>
        </w:rPr>
        <w:t>”</w:t>
      </w:r>
      <w:r w:rsidR="00C75C32">
        <w:rPr>
          <w:rStyle w:val="Voetnootmarkering"/>
          <w:lang w:val="en-GB"/>
        </w:rPr>
        <w:footnoteReference w:id="185"/>
      </w:r>
      <w:r w:rsidR="00C535C9">
        <w:rPr>
          <w:lang w:val="en-GB"/>
        </w:rPr>
        <w:t>.</w:t>
      </w:r>
    </w:p>
    <w:p w14:paraId="7896CDB1" w14:textId="77777777" w:rsidR="006527F1" w:rsidRDefault="006527F1" w:rsidP="006A03F9">
      <w:pPr>
        <w:rPr>
          <w:i/>
          <w:lang w:val="en-GB"/>
        </w:rPr>
      </w:pPr>
    </w:p>
    <w:p w14:paraId="4C5DFDC8" w14:textId="77777777" w:rsidR="006527F1" w:rsidRDefault="006527F1" w:rsidP="006A03F9">
      <w:pPr>
        <w:rPr>
          <w:i/>
          <w:lang w:val="en-GB"/>
        </w:rPr>
      </w:pPr>
    </w:p>
    <w:p w14:paraId="05B79ED8" w14:textId="77777777" w:rsidR="00D84EE6" w:rsidRDefault="00D84EE6" w:rsidP="006A03F9">
      <w:pPr>
        <w:rPr>
          <w:lang w:val="en-GB"/>
        </w:rPr>
      </w:pPr>
      <w:r>
        <w:rPr>
          <w:i/>
          <w:lang w:val="en-GB"/>
        </w:rPr>
        <w:lastRenderedPageBreak/>
        <w:t>Structural change</w:t>
      </w:r>
    </w:p>
    <w:p w14:paraId="70558AD3" w14:textId="353582FA" w:rsidR="00566597" w:rsidRDefault="00566597" w:rsidP="001A19D0">
      <w:pPr>
        <w:ind w:firstLine="708"/>
        <w:jc w:val="both"/>
        <w:rPr>
          <w:lang w:val="en-GB"/>
        </w:rPr>
      </w:pPr>
      <w:r>
        <w:rPr>
          <w:lang w:val="en-GB"/>
        </w:rPr>
        <w:t xml:space="preserve">For </w:t>
      </w:r>
      <w:r w:rsidR="008B69F9">
        <w:rPr>
          <w:lang w:val="en-GB"/>
        </w:rPr>
        <w:t xml:space="preserve">a lot of </w:t>
      </w:r>
      <w:r>
        <w:rPr>
          <w:lang w:val="en-GB"/>
        </w:rPr>
        <w:t>applicants and/or their attorneys, obtaining personal redress was not the sole or even the most important motive for going to Strasbourg.</w:t>
      </w:r>
      <w:r w:rsidR="00850C81">
        <w:rPr>
          <w:lang w:val="en-GB"/>
        </w:rPr>
        <w:t xml:space="preserve"> In his study, Paul Johnson concludes that “[</w:t>
      </w:r>
      <w:proofErr w:type="spellStart"/>
      <w:r w:rsidR="00850C81">
        <w:rPr>
          <w:lang w:val="en-GB"/>
        </w:rPr>
        <w:t>i</w:t>
      </w:r>
      <w:proofErr w:type="spellEnd"/>
      <w:r w:rsidR="00850C81">
        <w:rPr>
          <w:lang w:val="en-GB"/>
        </w:rPr>
        <w:t>]t is clear from the applicants</w:t>
      </w:r>
      <w:r w:rsidR="003734CC">
        <w:rPr>
          <w:lang w:val="en-GB"/>
        </w:rPr>
        <w:t>’</w:t>
      </w:r>
      <w:r w:rsidR="00850C81">
        <w:rPr>
          <w:lang w:val="en-GB"/>
        </w:rPr>
        <w:t xml:space="preserve"> accounts that, in making a complaint to Strasbourg, they often aspire to achieve outcomes that go far beyond addressing a problem in their own lives. One of the most common aspirations expressed by applicants is the desire to change the law in ways that will have widespread</w:t>
      </w:r>
      <w:r w:rsidR="00C535C9">
        <w:rPr>
          <w:lang w:val="en-GB"/>
        </w:rPr>
        <w:t xml:space="preserve"> benefits for other individuals</w:t>
      </w:r>
      <w:r w:rsidR="00850C81">
        <w:rPr>
          <w:lang w:val="en-GB"/>
        </w:rPr>
        <w:t>”</w:t>
      </w:r>
      <w:r w:rsidR="00850C81">
        <w:rPr>
          <w:rStyle w:val="Voetnootmarkering"/>
          <w:lang w:val="en-GB"/>
        </w:rPr>
        <w:footnoteReference w:id="186"/>
      </w:r>
      <w:r w:rsidR="00C535C9">
        <w:rPr>
          <w:lang w:val="en-GB"/>
        </w:rPr>
        <w:t>.</w:t>
      </w:r>
    </w:p>
    <w:p w14:paraId="357D2BAD" w14:textId="77777777" w:rsidR="00933231" w:rsidRDefault="00AF1962" w:rsidP="001A19D0">
      <w:pPr>
        <w:ind w:firstLine="708"/>
        <w:jc w:val="both"/>
        <w:rPr>
          <w:lang w:val="en-GB"/>
        </w:rPr>
      </w:pPr>
      <w:r>
        <w:rPr>
          <w:lang w:val="en-GB"/>
        </w:rPr>
        <w:t>For example,</w:t>
      </w:r>
      <w:r w:rsidR="007E01B9">
        <w:rPr>
          <w:lang w:val="en-GB"/>
        </w:rPr>
        <w:t xml:space="preserve"> according to</w:t>
      </w:r>
      <w:r>
        <w:rPr>
          <w:lang w:val="en-GB"/>
        </w:rPr>
        <w:t xml:space="preserve"> Eric Van </w:t>
      </w:r>
      <w:r w:rsidR="00C72488">
        <w:rPr>
          <w:lang w:val="en-GB"/>
        </w:rPr>
        <w:t>d</w:t>
      </w:r>
      <w:r>
        <w:rPr>
          <w:lang w:val="en-GB"/>
        </w:rPr>
        <w:t xml:space="preserve">er </w:t>
      </w:r>
      <w:proofErr w:type="spellStart"/>
      <w:r>
        <w:rPr>
          <w:lang w:val="en-GB"/>
        </w:rPr>
        <w:t>Mussele</w:t>
      </w:r>
      <w:proofErr w:type="spellEnd"/>
      <w:r>
        <w:rPr>
          <w:lang w:val="en-GB"/>
        </w:rPr>
        <w:t xml:space="preserve">, </w:t>
      </w:r>
      <w:r w:rsidR="007E01B9">
        <w:rPr>
          <w:lang w:val="en-GB"/>
        </w:rPr>
        <w:t xml:space="preserve">“I hoped that something would come out of it [i.e. Strasbourg litigation] for everyone of course. I did not go there for </w:t>
      </w:r>
      <w:proofErr w:type="gramStart"/>
      <w:r w:rsidR="007E01B9">
        <w:rPr>
          <w:lang w:val="en-GB"/>
        </w:rPr>
        <w:t>myself, that</w:t>
      </w:r>
      <w:proofErr w:type="gramEnd"/>
      <w:r w:rsidR="007E01B9">
        <w:rPr>
          <w:lang w:val="en-GB"/>
        </w:rPr>
        <w:t xml:space="preserve"> would have been too ridiculous.” Van </w:t>
      </w:r>
      <w:r w:rsidR="00C72488">
        <w:rPr>
          <w:lang w:val="en-GB"/>
        </w:rPr>
        <w:t>d</w:t>
      </w:r>
      <w:r w:rsidR="007E01B9">
        <w:rPr>
          <w:lang w:val="en-GB"/>
        </w:rPr>
        <w:t xml:space="preserve">er </w:t>
      </w:r>
      <w:proofErr w:type="spellStart"/>
      <w:r w:rsidR="007E01B9">
        <w:rPr>
          <w:lang w:val="en-GB"/>
        </w:rPr>
        <w:t>Mussele</w:t>
      </w:r>
      <w:proofErr w:type="spellEnd"/>
      <w:r w:rsidR="007E01B9">
        <w:rPr>
          <w:lang w:val="en-GB"/>
        </w:rPr>
        <w:t xml:space="preserve"> was genuinely indignant about the absence of remuneration</w:t>
      </w:r>
      <w:r w:rsidR="009656CA">
        <w:rPr>
          <w:lang w:val="en-GB"/>
        </w:rPr>
        <w:t xml:space="preserve"> for legal aid</w:t>
      </w:r>
      <w:r w:rsidR="00933231">
        <w:rPr>
          <w:lang w:val="en-GB"/>
        </w:rPr>
        <w:t>:</w:t>
      </w:r>
    </w:p>
    <w:p w14:paraId="181B620F" w14:textId="45D2E4FE" w:rsidR="00933231" w:rsidRDefault="007E01B9" w:rsidP="00933231">
      <w:pPr>
        <w:ind w:left="708"/>
        <w:jc w:val="both"/>
        <w:rPr>
          <w:lang w:val="en-GB"/>
        </w:rPr>
      </w:pPr>
      <w:r>
        <w:rPr>
          <w:lang w:val="en-GB"/>
        </w:rPr>
        <w:t>To me, pupil lawyers are just lawyers. They shouldn’</w:t>
      </w:r>
      <w:r w:rsidR="009656CA">
        <w:rPr>
          <w:lang w:val="en-GB"/>
        </w:rPr>
        <w:t xml:space="preserve">t earn less. </w:t>
      </w:r>
      <w:r w:rsidR="008B69F9">
        <w:rPr>
          <w:lang w:val="en-GB"/>
        </w:rPr>
        <w:t>[…]</w:t>
      </w:r>
      <w:r w:rsidR="009656CA">
        <w:rPr>
          <w:lang w:val="en-GB"/>
        </w:rPr>
        <w:t xml:space="preserve"> I don’t think that’s fair. […</w:t>
      </w:r>
      <w:r w:rsidR="00200EA9">
        <w:rPr>
          <w:lang w:val="en-GB"/>
        </w:rPr>
        <w:t>] If you have nothing</w:t>
      </w:r>
      <w:r w:rsidR="009656CA">
        <w:rPr>
          <w:lang w:val="en-GB"/>
        </w:rPr>
        <w:t xml:space="preserve"> and then you still have to work </w:t>
      </w:r>
      <w:r w:rsidR="009656CA">
        <w:rPr>
          <w:i/>
          <w:lang w:val="en-GB"/>
        </w:rPr>
        <w:t xml:space="preserve">pro </w:t>
      </w:r>
      <w:proofErr w:type="spellStart"/>
      <w:r w:rsidR="009656CA">
        <w:rPr>
          <w:i/>
          <w:lang w:val="en-GB"/>
        </w:rPr>
        <w:t>deo</w:t>
      </w:r>
      <w:proofErr w:type="spellEnd"/>
      <w:r w:rsidR="009656CA">
        <w:rPr>
          <w:lang w:val="en-GB"/>
        </w:rPr>
        <w:t>, […] that is shameful. […] And maybe that’s because I d</w:t>
      </w:r>
      <w:r w:rsidR="00200EA9">
        <w:rPr>
          <w:lang w:val="en-GB"/>
        </w:rPr>
        <w:t>o</w:t>
      </w:r>
      <w:r w:rsidR="009656CA">
        <w:rPr>
          <w:lang w:val="en-GB"/>
        </w:rPr>
        <w:t xml:space="preserve"> not come from a rich family, but I think for many people it is clear that such a thing is not fair. […] When </w:t>
      </w:r>
      <w:r w:rsidR="00346A5C">
        <w:rPr>
          <w:lang w:val="en-GB"/>
        </w:rPr>
        <w:t>the bar was reinstalled by Napoleon, ever</w:t>
      </w:r>
      <w:r w:rsidR="00200EA9">
        <w:rPr>
          <w:lang w:val="en-GB"/>
        </w:rPr>
        <w:t xml:space="preserve">y now and then a poor man </w:t>
      </w:r>
      <w:proofErr w:type="gramStart"/>
      <w:r w:rsidR="00200EA9">
        <w:rPr>
          <w:lang w:val="en-GB"/>
        </w:rPr>
        <w:t>came,</w:t>
      </w:r>
      <w:proofErr w:type="gramEnd"/>
      <w:r w:rsidR="00200EA9">
        <w:rPr>
          <w:lang w:val="en-GB"/>
        </w:rPr>
        <w:t xml:space="preserve"> </w:t>
      </w:r>
      <w:r w:rsidR="008B69F9">
        <w:rPr>
          <w:lang w:val="en-GB"/>
        </w:rPr>
        <w:t>the lawyers</w:t>
      </w:r>
      <w:r w:rsidR="00346A5C">
        <w:rPr>
          <w:lang w:val="en-GB"/>
        </w:rPr>
        <w:t xml:space="preserve"> assisted him in turn. […] But in that period, […] it </w:t>
      </w:r>
      <w:proofErr w:type="gramStart"/>
      <w:r w:rsidR="00346A5C">
        <w:rPr>
          <w:lang w:val="en-GB"/>
        </w:rPr>
        <w:t>were</w:t>
      </w:r>
      <w:proofErr w:type="gramEnd"/>
      <w:r w:rsidR="00346A5C">
        <w:rPr>
          <w:lang w:val="en-GB"/>
        </w:rPr>
        <w:t xml:space="preserve"> different people that joined the bar, I would not have joined the bar then […]. In our generation, people one way or another wanted to make a living from practicing law and there was nothing filthy about that</w:t>
      </w:r>
      <w:r w:rsidR="009656CA">
        <w:rPr>
          <w:rStyle w:val="Voetnootmarkering"/>
          <w:lang w:val="en-GB"/>
        </w:rPr>
        <w:footnoteReference w:id="187"/>
      </w:r>
      <w:r w:rsidR="00C535C9">
        <w:rPr>
          <w:lang w:val="en-GB"/>
        </w:rPr>
        <w:t>.</w:t>
      </w:r>
    </w:p>
    <w:p w14:paraId="103F751E" w14:textId="6D8D9E15" w:rsidR="00CF66E3" w:rsidRDefault="00246B9C" w:rsidP="00933231">
      <w:pPr>
        <w:jc w:val="both"/>
        <w:rPr>
          <w:lang w:val="en-GB"/>
        </w:rPr>
      </w:pPr>
      <w:r>
        <w:rPr>
          <w:lang w:val="en-GB"/>
        </w:rPr>
        <w:t xml:space="preserve">Similarly, according to his attorney, Albert </w:t>
      </w:r>
      <w:proofErr w:type="spellStart"/>
      <w:r>
        <w:rPr>
          <w:lang w:val="en-GB"/>
        </w:rPr>
        <w:t>Fettweis</w:t>
      </w:r>
      <w:proofErr w:type="spellEnd"/>
      <w:r>
        <w:rPr>
          <w:lang w:val="en-GB"/>
        </w:rPr>
        <w:t xml:space="preserve">, “in fact, you had to be a good </w:t>
      </w:r>
      <w:r>
        <w:rPr>
          <w:i/>
          <w:lang w:val="en-GB"/>
        </w:rPr>
        <w:t xml:space="preserve">bourgeois </w:t>
      </w:r>
      <w:r>
        <w:rPr>
          <w:lang w:val="en-GB"/>
        </w:rPr>
        <w:t>to start at the bar. If yo</w:t>
      </w:r>
      <w:r w:rsidR="008B69F9">
        <w:rPr>
          <w:lang w:val="en-GB"/>
        </w:rPr>
        <w:t>ur dad was at</w:t>
      </w:r>
      <w:r>
        <w:rPr>
          <w:lang w:val="en-GB"/>
        </w:rPr>
        <w:t xml:space="preserve"> the bar… but for an ordinary person, the parents would say: ‘you have already studied for five years, go … [and make a living]!’ […] Anyway, I always found it shocking that, in difficult cases, they wanted to have indigent people defended</w:t>
      </w:r>
      <w:r w:rsidR="00C535C9">
        <w:rPr>
          <w:lang w:val="en-GB"/>
        </w:rPr>
        <w:t xml:space="preserve"> by inexperienced young lawyers</w:t>
      </w:r>
      <w:r>
        <w:rPr>
          <w:lang w:val="en-GB"/>
        </w:rPr>
        <w:t>”</w:t>
      </w:r>
      <w:r>
        <w:rPr>
          <w:rStyle w:val="Voetnootmarkering"/>
          <w:lang w:val="en-GB"/>
        </w:rPr>
        <w:footnoteReference w:id="188"/>
      </w:r>
      <w:r w:rsidR="00C535C9">
        <w:rPr>
          <w:lang w:val="en-GB"/>
        </w:rPr>
        <w:t>.</w:t>
      </w:r>
      <w:r>
        <w:rPr>
          <w:lang w:val="en-GB"/>
        </w:rPr>
        <w:t xml:space="preserve"> </w:t>
      </w:r>
      <w:r w:rsidR="008230F4">
        <w:rPr>
          <w:lang w:val="en-GB"/>
        </w:rPr>
        <w:t xml:space="preserve">Van </w:t>
      </w:r>
      <w:r w:rsidR="00C72488">
        <w:rPr>
          <w:lang w:val="en-GB"/>
        </w:rPr>
        <w:t>d</w:t>
      </w:r>
      <w:r w:rsidR="008230F4">
        <w:rPr>
          <w:lang w:val="en-GB"/>
        </w:rPr>
        <w:t xml:space="preserve">er </w:t>
      </w:r>
      <w:proofErr w:type="spellStart"/>
      <w:r w:rsidR="008230F4">
        <w:rPr>
          <w:lang w:val="en-GB"/>
        </w:rPr>
        <w:t>Mussele</w:t>
      </w:r>
      <w:proofErr w:type="spellEnd"/>
      <w:r w:rsidR="008230F4">
        <w:rPr>
          <w:lang w:val="en-GB"/>
        </w:rPr>
        <w:t xml:space="preserve"> stresses that the provision of legal aid was a responsibility of the State, which has </w:t>
      </w:r>
      <w:r w:rsidR="00A54F7D">
        <w:rPr>
          <w:lang w:val="en-GB"/>
        </w:rPr>
        <w:t xml:space="preserve">moreover </w:t>
      </w:r>
      <w:r w:rsidR="008230F4">
        <w:rPr>
          <w:lang w:val="en-GB"/>
        </w:rPr>
        <w:t xml:space="preserve">by now been recognized by the Belgian Constitution. He holds that: “In any event, the law should be accessible for everyone.” </w:t>
      </w:r>
      <w:r w:rsidR="00FC4954">
        <w:rPr>
          <w:lang w:val="en-GB"/>
        </w:rPr>
        <w:t xml:space="preserve">After his case in Strasbourg, Van </w:t>
      </w:r>
      <w:r w:rsidR="00C72488">
        <w:rPr>
          <w:lang w:val="en-GB"/>
        </w:rPr>
        <w:t>d</w:t>
      </w:r>
      <w:r w:rsidR="00FC4954">
        <w:rPr>
          <w:lang w:val="en-GB"/>
        </w:rPr>
        <w:t xml:space="preserve">er </w:t>
      </w:r>
      <w:proofErr w:type="spellStart"/>
      <w:r w:rsidR="00FC4954">
        <w:rPr>
          <w:lang w:val="en-GB"/>
        </w:rPr>
        <w:t>Mussele</w:t>
      </w:r>
      <w:proofErr w:type="spellEnd"/>
      <w:r w:rsidR="00FC4954">
        <w:rPr>
          <w:lang w:val="en-GB"/>
        </w:rPr>
        <w:t xml:space="preserve"> remained very much involved in</w:t>
      </w:r>
      <w:r w:rsidR="008230F4">
        <w:rPr>
          <w:lang w:val="en-GB"/>
        </w:rPr>
        <w:t xml:space="preserve"> the struggle for better legal aid at the domestic level.</w:t>
      </w:r>
      <w:r w:rsidR="00A54F7D">
        <w:rPr>
          <w:lang w:val="en-GB"/>
        </w:rPr>
        <w:t xml:space="preserve"> For example, he successfully litigated at the domestic level</w:t>
      </w:r>
      <w:r w:rsidR="00200EA9">
        <w:rPr>
          <w:lang w:val="en-GB"/>
        </w:rPr>
        <w:t xml:space="preserve"> in order to have Belgium convicted to pay damages for a failure provide for the necessary budgets in order to implement the 1980 Act providing for the remuneration of lawyers for legal aid, and as member of the Order of Flemish Bars, he remains very much involved in discussions concer</w:t>
      </w:r>
      <w:r w:rsidR="00C535C9">
        <w:rPr>
          <w:lang w:val="en-GB"/>
        </w:rPr>
        <w:t>ning the provision of legal aid</w:t>
      </w:r>
      <w:r w:rsidR="00200EA9">
        <w:rPr>
          <w:rStyle w:val="Voetnootmarkering"/>
          <w:lang w:val="en-GB"/>
        </w:rPr>
        <w:footnoteReference w:id="189"/>
      </w:r>
      <w:r w:rsidR="00C535C9">
        <w:rPr>
          <w:lang w:val="en-GB"/>
        </w:rPr>
        <w:t>.</w:t>
      </w:r>
    </w:p>
    <w:p w14:paraId="02099276" w14:textId="028F70A0" w:rsidR="00FD6798" w:rsidRPr="00246B9C" w:rsidRDefault="00CF66E3" w:rsidP="001A19D0">
      <w:pPr>
        <w:ind w:firstLine="708"/>
        <w:jc w:val="both"/>
        <w:rPr>
          <w:lang w:val="en-GB"/>
        </w:rPr>
      </w:pPr>
      <w:r>
        <w:rPr>
          <w:lang w:val="en-GB"/>
        </w:rPr>
        <w:t xml:space="preserve">In certain cases, it </w:t>
      </w:r>
      <w:proofErr w:type="gramStart"/>
      <w:r>
        <w:rPr>
          <w:lang w:val="en-GB"/>
        </w:rPr>
        <w:t>were</w:t>
      </w:r>
      <w:proofErr w:type="gramEnd"/>
      <w:r>
        <w:rPr>
          <w:lang w:val="en-GB"/>
        </w:rPr>
        <w:t xml:space="preserve"> not the applicants but rather their attorneys which were the driving force behind the attempt to obtain structural change through Strasbourg litigation. The </w:t>
      </w:r>
      <w:proofErr w:type="spellStart"/>
      <w:r>
        <w:rPr>
          <w:i/>
          <w:lang w:val="en-GB"/>
        </w:rPr>
        <w:t>Bouamar</w:t>
      </w:r>
      <w:proofErr w:type="spellEnd"/>
      <w:r>
        <w:rPr>
          <w:i/>
          <w:lang w:val="en-GB"/>
        </w:rPr>
        <w:t xml:space="preserve"> </w:t>
      </w:r>
      <w:r>
        <w:rPr>
          <w:lang w:val="en-GB"/>
        </w:rPr>
        <w:t>case (1988) was for example lodged in Strasbourg in an attempt of a group of progressive lawyers to structurally change something about the treatment of minors by the criminal justice system. Attorney</w:t>
      </w:r>
      <w:r w:rsidR="00FD6798">
        <w:rPr>
          <w:lang w:val="en-GB"/>
        </w:rPr>
        <w:t xml:space="preserve"> Françoise Demol recalls that “we were simply disgusted by the imprisonment of minors. […] </w:t>
      </w:r>
      <w:r w:rsidR="00FD6798">
        <w:rPr>
          <w:lang w:val="en-GB"/>
        </w:rPr>
        <w:lastRenderedPageBreak/>
        <w:t>We thought that putting a young man in prison would only lead to bad encounters and would result in him leaving prison more annoyed and revolted”</w:t>
      </w:r>
      <w:r w:rsidR="00FD6798">
        <w:rPr>
          <w:rStyle w:val="Voetnootmarkering"/>
          <w:lang w:val="en-GB"/>
        </w:rPr>
        <w:footnoteReference w:id="190"/>
      </w:r>
      <w:r w:rsidR="00C535C9">
        <w:rPr>
          <w:lang w:val="en-GB"/>
        </w:rPr>
        <w:t>.</w:t>
      </w:r>
    </w:p>
    <w:p w14:paraId="675BA07A" w14:textId="53CCFFB5" w:rsidR="00711D97" w:rsidRDefault="00631475" w:rsidP="001A19D0">
      <w:pPr>
        <w:ind w:firstLine="708"/>
        <w:jc w:val="both"/>
        <w:rPr>
          <w:lang w:val="en-GB"/>
        </w:rPr>
      </w:pPr>
      <w:r>
        <w:rPr>
          <w:lang w:val="en-GB"/>
        </w:rPr>
        <w:t xml:space="preserve">The desire of applicants and/or their attorneys to achieve </w:t>
      </w:r>
      <w:r w:rsidR="008C5BEB">
        <w:rPr>
          <w:lang w:val="en-GB"/>
        </w:rPr>
        <w:t>structural change</w:t>
      </w:r>
      <w:r>
        <w:rPr>
          <w:lang w:val="en-GB"/>
        </w:rPr>
        <w:t xml:space="preserve"> must be</w:t>
      </w:r>
      <w:r w:rsidR="008413BF">
        <w:rPr>
          <w:lang w:val="en-GB"/>
        </w:rPr>
        <w:t xml:space="preserve"> seen against the </w:t>
      </w:r>
      <w:r w:rsidR="008C5BEB">
        <w:rPr>
          <w:lang w:val="en-GB"/>
        </w:rPr>
        <w:t xml:space="preserve">background of broader social changes taking place from the second half of the </w:t>
      </w:r>
      <w:proofErr w:type="spellStart"/>
      <w:r w:rsidR="008C5BEB">
        <w:rPr>
          <w:lang w:val="en-GB"/>
        </w:rPr>
        <w:t>1960s</w:t>
      </w:r>
      <w:proofErr w:type="spellEnd"/>
      <w:r w:rsidR="008C5BEB">
        <w:rPr>
          <w:lang w:val="en-GB"/>
        </w:rPr>
        <w:t xml:space="preserve"> onwards. </w:t>
      </w:r>
      <w:r w:rsidR="003F73B2">
        <w:rPr>
          <w:lang w:val="en-GB"/>
        </w:rPr>
        <w:t>In Belgium, as in other industrialised countries, t</w:t>
      </w:r>
      <w:r w:rsidR="008C5BEB">
        <w:rPr>
          <w:lang w:val="en-GB"/>
        </w:rPr>
        <w:t xml:space="preserve">his period, </w:t>
      </w:r>
      <w:r w:rsidR="007B48FE">
        <w:rPr>
          <w:lang w:val="en-GB"/>
        </w:rPr>
        <w:t>commonly</w:t>
      </w:r>
      <w:r w:rsidR="008C5BEB">
        <w:rPr>
          <w:lang w:val="en-GB"/>
        </w:rPr>
        <w:t xml:space="preserve"> associated with the May 1968 events</w:t>
      </w:r>
      <w:r w:rsidR="007B48FE">
        <w:rPr>
          <w:lang w:val="en-GB"/>
        </w:rPr>
        <w:t xml:space="preserve"> and its aftermath</w:t>
      </w:r>
      <w:r w:rsidR="008C5BEB">
        <w:rPr>
          <w:lang w:val="en-GB"/>
        </w:rPr>
        <w:t xml:space="preserve">, is characterised by a rise of </w:t>
      </w:r>
      <w:r w:rsidR="00BC374C">
        <w:rPr>
          <w:lang w:val="en-GB"/>
        </w:rPr>
        <w:t xml:space="preserve">emancipatory movements and of </w:t>
      </w:r>
      <w:r w:rsidR="008C5BEB">
        <w:rPr>
          <w:lang w:val="en-GB"/>
        </w:rPr>
        <w:t>social contestation against the</w:t>
      </w:r>
      <w:r w:rsidR="003F73B2">
        <w:rPr>
          <w:lang w:val="en-GB"/>
        </w:rPr>
        <w:t xml:space="preserve"> </w:t>
      </w:r>
      <w:r w:rsidR="00573D75">
        <w:rPr>
          <w:lang w:val="en-GB"/>
        </w:rPr>
        <w:t xml:space="preserve">established </w:t>
      </w:r>
      <w:r w:rsidR="003F73B2">
        <w:rPr>
          <w:lang w:val="en-GB"/>
        </w:rPr>
        <w:t>s</w:t>
      </w:r>
      <w:r w:rsidR="00C535C9">
        <w:rPr>
          <w:lang w:val="en-GB"/>
        </w:rPr>
        <w:t>ocial and political order</w:t>
      </w:r>
      <w:r w:rsidR="00BC374C">
        <w:rPr>
          <w:rStyle w:val="Voetnootmarkering"/>
          <w:lang w:val="en-GB"/>
        </w:rPr>
        <w:footnoteReference w:id="191"/>
      </w:r>
      <w:r w:rsidR="00C535C9">
        <w:rPr>
          <w:lang w:val="en-GB"/>
        </w:rPr>
        <w:t>.</w:t>
      </w:r>
      <w:r w:rsidR="00BC374C">
        <w:rPr>
          <w:lang w:val="en-GB"/>
        </w:rPr>
        <w:t xml:space="preserve"> </w:t>
      </w:r>
      <w:r w:rsidR="00E85118">
        <w:rPr>
          <w:lang w:val="en-GB"/>
        </w:rPr>
        <w:t>In this respect, discussing the</w:t>
      </w:r>
      <w:r w:rsidR="0092640E">
        <w:rPr>
          <w:lang w:val="en-GB"/>
        </w:rPr>
        <w:t xml:space="preserve"> 1976</w:t>
      </w:r>
      <w:r w:rsidR="00E85118">
        <w:rPr>
          <w:lang w:val="en-GB"/>
        </w:rPr>
        <w:t xml:space="preserve"> </w:t>
      </w:r>
      <w:r w:rsidR="00E85118" w:rsidRPr="008B69F9">
        <w:rPr>
          <w:i/>
          <w:lang w:val="en-GB"/>
        </w:rPr>
        <w:t xml:space="preserve">Engel </w:t>
      </w:r>
      <w:r w:rsidR="00E85118">
        <w:rPr>
          <w:lang w:val="en-GB"/>
        </w:rPr>
        <w:t>case, Van Rossum considers that</w:t>
      </w:r>
      <w:r w:rsidR="00FF214E">
        <w:rPr>
          <w:lang w:val="en-GB"/>
        </w:rPr>
        <w:t>,</w:t>
      </w:r>
      <w:r w:rsidR="00E85118">
        <w:rPr>
          <w:lang w:val="en-GB"/>
        </w:rPr>
        <w:t xml:space="preserve"> </w:t>
      </w:r>
      <w:r w:rsidR="00FF214E">
        <w:rPr>
          <w:lang w:val="en-GB"/>
        </w:rPr>
        <w:t xml:space="preserve">without these </w:t>
      </w:r>
      <w:r w:rsidR="0092640E">
        <w:rPr>
          <w:lang w:val="en-GB"/>
        </w:rPr>
        <w:t>“anti-authoritarian winds of change”</w:t>
      </w:r>
      <w:r w:rsidR="00FF214E">
        <w:rPr>
          <w:lang w:val="en-GB"/>
        </w:rPr>
        <w:t xml:space="preserve">, </w:t>
      </w:r>
      <w:r w:rsidR="0005410C">
        <w:rPr>
          <w:lang w:val="en-GB"/>
        </w:rPr>
        <w:t xml:space="preserve">“changing </w:t>
      </w:r>
      <w:r w:rsidR="00FF214E">
        <w:rPr>
          <w:lang w:val="en-GB"/>
        </w:rPr>
        <w:t xml:space="preserve">the status of subordinate groups like conscript soldiers would not have become such an issue </w:t>
      </w:r>
      <w:r w:rsidR="0005410C">
        <w:rPr>
          <w:lang w:val="en-GB"/>
        </w:rPr>
        <w:t>at the time”</w:t>
      </w:r>
      <w:r w:rsidR="00FF214E">
        <w:rPr>
          <w:lang w:val="en-GB"/>
        </w:rPr>
        <w:t xml:space="preserve">, making it “the right time” </w:t>
      </w:r>
      <w:r w:rsidR="00C535C9">
        <w:rPr>
          <w:lang w:val="en-GB"/>
        </w:rPr>
        <w:t>to invoke human rights</w:t>
      </w:r>
      <w:r w:rsidR="00FF214E" w:rsidRPr="00181D75">
        <w:rPr>
          <w:rStyle w:val="Voetnootmarkering"/>
          <w:lang w:val="en-GB"/>
        </w:rPr>
        <w:footnoteReference w:id="192"/>
      </w:r>
      <w:r w:rsidR="00C535C9">
        <w:rPr>
          <w:lang w:val="en-GB"/>
        </w:rPr>
        <w:t>.</w:t>
      </w:r>
      <w:r w:rsidR="00FF214E" w:rsidRPr="00181D75">
        <w:rPr>
          <w:lang w:val="en-GB"/>
        </w:rPr>
        <w:t xml:space="preserve"> </w:t>
      </w:r>
      <w:r w:rsidR="00181D75" w:rsidRPr="00181D75">
        <w:rPr>
          <w:lang w:val="en-GB"/>
        </w:rPr>
        <w:t xml:space="preserve">From the perspective of Strasbourg, discussing the factors which had enabled the progressive turn in the Court’s jurisprudence in the </w:t>
      </w:r>
      <w:proofErr w:type="spellStart"/>
      <w:r w:rsidR="00181D75" w:rsidRPr="00181D75">
        <w:rPr>
          <w:lang w:val="en-GB"/>
        </w:rPr>
        <w:t>1970s</w:t>
      </w:r>
      <w:proofErr w:type="spellEnd"/>
      <w:r w:rsidR="00181D75" w:rsidRPr="00181D75">
        <w:rPr>
          <w:lang w:val="en-GB"/>
        </w:rPr>
        <w:t>, Madsen considers that in this decade “human rights were […] legitimized as a tool for social emancipati</w:t>
      </w:r>
      <w:r w:rsidR="00C535C9">
        <w:rPr>
          <w:lang w:val="en-GB"/>
        </w:rPr>
        <w:t>on in a more permissive society</w:t>
      </w:r>
      <w:r w:rsidR="00181D75" w:rsidRPr="00181D75">
        <w:rPr>
          <w:lang w:val="en-GB"/>
        </w:rPr>
        <w:t>”</w:t>
      </w:r>
      <w:r w:rsidR="00181D75" w:rsidRPr="00181D75">
        <w:rPr>
          <w:rStyle w:val="Voetnootmarkering"/>
          <w:lang w:val="en-GB"/>
        </w:rPr>
        <w:footnoteReference w:id="193"/>
      </w:r>
      <w:r w:rsidR="00C535C9">
        <w:rPr>
          <w:lang w:val="en-GB"/>
        </w:rPr>
        <w:t>.</w:t>
      </w:r>
      <w:r w:rsidR="00181D75">
        <w:rPr>
          <w:lang w:val="en-GB"/>
        </w:rPr>
        <w:t xml:space="preserve"> </w:t>
      </w:r>
      <w:r w:rsidR="00E85118">
        <w:rPr>
          <w:lang w:val="en-GB"/>
        </w:rPr>
        <w:t xml:space="preserve">Also in Belgium, </w:t>
      </w:r>
      <w:r w:rsidR="00443567">
        <w:rPr>
          <w:lang w:val="en-GB"/>
        </w:rPr>
        <w:t xml:space="preserve">during this period, human rights law was increasingly </w:t>
      </w:r>
      <w:r w:rsidR="00E85118">
        <w:rPr>
          <w:lang w:val="en-GB"/>
        </w:rPr>
        <w:t>mobilized by applicants and their attorneys as a tool of social contestation.</w:t>
      </w:r>
    </w:p>
    <w:p w14:paraId="4128562A" w14:textId="1BACBA82" w:rsidR="003D48D9" w:rsidRPr="00F2667D" w:rsidRDefault="0005410C" w:rsidP="001A19D0">
      <w:pPr>
        <w:ind w:firstLine="708"/>
        <w:jc w:val="both"/>
        <w:rPr>
          <w:vanish/>
          <w:lang w:val="en-GB"/>
        </w:rPr>
      </w:pPr>
      <w:r>
        <w:rPr>
          <w:lang w:val="en-GB"/>
        </w:rPr>
        <w:t>Take the example of the already-mentioned</w:t>
      </w:r>
      <w:r w:rsidR="00D2363B">
        <w:rPr>
          <w:lang w:val="en-GB"/>
        </w:rPr>
        <w:t xml:space="preserve"> </w:t>
      </w:r>
      <w:r w:rsidR="00D2363B">
        <w:rPr>
          <w:i/>
          <w:lang w:val="en-GB"/>
        </w:rPr>
        <w:t xml:space="preserve">Le </w:t>
      </w:r>
      <w:proofErr w:type="spellStart"/>
      <w:r w:rsidR="00D2363B">
        <w:rPr>
          <w:i/>
          <w:lang w:val="en-GB"/>
        </w:rPr>
        <w:t>Compte</w:t>
      </w:r>
      <w:proofErr w:type="spellEnd"/>
      <w:r w:rsidR="00D2363B">
        <w:rPr>
          <w:i/>
          <w:lang w:val="en-GB"/>
        </w:rPr>
        <w:t>, Van Leuven and De Meyere</w:t>
      </w:r>
      <w:r w:rsidR="00D2363B">
        <w:rPr>
          <w:lang w:val="en-GB"/>
        </w:rPr>
        <w:t xml:space="preserve"> case</w:t>
      </w:r>
      <w:r w:rsidR="008B69F9">
        <w:rPr>
          <w:lang w:val="en-GB"/>
        </w:rPr>
        <w:t xml:space="preserve"> (1981)</w:t>
      </w:r>
      <w:r w:rsidR="00D2363B">
        <w:rPr>
          <w:lang w:val="en-GB"/>
        </w:rPr>
        <w:t xml:space="preserve">. </w:t>
      </w:r>
      <w:r w:rsidR="004F7669">
        <w:rPr>
          <w:lang w:val="en-GB"/>
        </w:rPr>
        <w:t xml:space="preserve">While Le </w:t>
      </w:r>
      <w:proofErr w:type="spellStart"/>
      <w:r w:rsidR="004F7669">
        <w:rPr>
          <w:lang w:val="en-GB"/>
        </w:rPr>
        <w:t>Compte</w:t>
      </w:r>
      <w:proofErr w:type="spellEnd"/>
      <w:r w:rsidR="004F7669">
        <w:rPr>
          <w:lang w:val="en-GB"/>
        </w:rPr>
        <w:t xml:space="preserve"> had been suspended </w:t>
      </w:r>
      <w:r w:rsidR="003D48D9">
        <w:rPr>
          <w:lang w:val="en-GB"/>
        </w:rPr>
        <w:t xml:space="preserve">for making publicity incompatible with the dignity and reputation of the profession – he had </w:t>
      </w:r>
      <w:r w:rsidR="003D48D9" w:rsidRPr="008B69F9">
        <w:rPr>
          <w:i/>
          <w:lang w:val="en-GB"/>
        </w:rPr>
        <w:t>inter alia</w:t>
      </w:r>
      <w:r w:rsidR="003D48D9">
        <w:rPr>
          <w:lang w:val="en-GB"/>
        </w:rPr>
        <w:t xml:space="preserve"> asserted </w:t>
      </w:r>
      <w:r w:rsidR="00A55852">
        <w:rPr>
          <w:lang w:val="en-GB"/>
        </w:rPr>
        <w:t xml:space="preserve">that his patients might live to be </w:t>
      </w:r>
      <w:r w:rsidR="003D48D9">
        <w:rPr>
          <w:lang w:val="en-GB"/>
        </w:rPr>
        <w:t xml:space="preserve">1000 years on the basis of vitamin therapy –, the suspension of Van Leuven and De Meyere </w:t>
      </w:r>
      <w:r w:rsidR="003A2B24">
        <w:rPr>
          <w:lang w:val="en-GB"/>
        </w:rPr>
        <w:t>was based on the fact that they had systematically limited their fees to the amounts reimbursed by the social security</w:t>
      </w:r>
      <w:r w:rsidR="00901C84">
        <w:rPr>
          <w:lang w:val="en-GB"/>
        </w:rPr>
        <w:t xml:space="preserve">, discharging patients of the </w:t>
      </w:r>
      <w:r w:rsidR="00427462">
        <w:rPr>
          <w:lang w:val="en-GB"/>
        </w:rPr>
        <w:t>requirement to bear the financial burden of a fixed personal amount themselves,</w:t>
      </w:r>
      <w:r w:rsidR="003A2B24">
        <w:rPr>
          <w:lang w:val="en-GB"/>
        </w:rPr>
        <w:t xml:space="preserve"> and because they had</w:t>
      </w:r>
      <w:r w:rsidR="008B69F9">
        <w:rPr>
          <w:lang w:val="en-GB"/>
        </w:rPr>
        <w:t xml:space="preserve"> written for</w:t>
      </w:r>
      <w:r w:rsidR="004B394C">
        <w:rPr>
          <w:lang w:val="en-GB"/>
        </w:rPr>
        <w:t xml:space="preserve"> a local magazine </w:t>
      </w:r>
      <w:r w:rsidR="00571159">
        <w:rPr>
          <w:lang w:val="en-GB"/>
        </w:rPr>
        <w:t>that provided</w:t>
      </w:r>
      <w:r w:rsidR="004B394C">
        <w:rPr>
          <w:lang w:val="en-GB"/>
        </w:rPr>
        <w:t xml:space="preserve"> health information to patients. </w:t>
      </w:r>
      <w:r w:rsidR="00901C84">
        <w:rPr>
          <w:lang w:val="en-GB"/>
        </w:rPr>
        <w:t xml:space="preserve">According to </w:t>
      </w:r>
      <w:r w:rsidR="003C76AE">
        <w:rPr>
          <w:lang w:val="en-GB"/>
        </w:rPr>
        <w:t>M</w:t>
      </w:r>
      <w:r w:rsidR="00901C84">
        <w:rPr>
          <w:lang w:val="en-GB"/>
        </w:rPr>
        <w:t>arc De Meyere, he</w:t>
      </w:r>
      <w:r w:rsidR="003C76AE">
        <w:rPr>
          <w:lang w:val="en-GB"/>
        </w:rPr>
        <w:t xml:space="preserve"> and </w:t>
      </w:r>
      <w:proofErr w:type="spellStart"/>
      <w:r w:rsidR="003C76AE">
        <w:rPr>
          <w:lang w:val="en-GB"/>
        </w:rPr>
        <w:t>Frans</w:t>
      </w:r>
      <w:proofErr w:type="spellEnd"/>
      <w:r w:rsidR="003C76AE">
        <w:rPr>
          <w:lang w:val="en-GB"/>
        </w:rPr>
        <w:t xml:space="preserve"> Va</w:t>
      </w:r>
      <w:r w:rsidR="00901C84">
        <w:rPr>
          <w:lang w:val="en-GB"/>
        </w:rPr>
        <w:t>n Leuven were</w:t>
      </w:r>
      <w:r w:rsidR="003C76AE">
        <w:rPr>
          <w:lang w:val="en-GB"/>
        </w:rPr>
        <w:t xml:space="preserve"> part of a movement of progressive physicians </w:t>
      </w:r>
      <w:r w:rsidR="008B69F9">
        <w:rPr>
          <w:lang w:val="en-GB"/>
        </w:rPr>
        <w:t>“</w:t>
      </w:r>
      <w:r w:rsidR="003C76AE">
        <w:rPr>
          <w:lang w:val="en-GB"/>
        </w:rPr>
        <w:t xml:space="preserve">in the </w:t>
      </w:r>
      <w:r w:rsidR="00901C84">
        <w:rPr>
          <w:lang w:val="en-GB"/>
        </w:rPr>
        <w:t>spirit of May 1968</w:t>
      </w:r>
      <w:r w:rsidR="008B69F9">
        <w:rPr>
          <w:lang w:val="en-GB"/>
        </w:rPr>
        <w:t>”</w:t>
      </w:r>
      <w:r w:rsidR="00901C84">
        <w:rPr>
          <w:lang w:val="en-GB"/>
        </w:rPr>
        <w:t xml:space="preserve">. </w:t>
      </w:r>
      <w:r w:rsidR="004D1A00">
        <w:rPr>
          <w:lang w:val="en-GB"/>
        </w:rPr>
        <w:t>In 1972, t</w:t>
      </w:r>
      <w:r w:rsidR="00901C84">
        <w:rPr>
          <w:lang w:val="en-GB"/>
        </w:rPr>
        <w:t>hey were among the founders of the Working Group on Health Information (</w:t>
      </w:r>
      <w:proofErr w:type="spellStart"/>
      <w:r w:rsidR="00901C84">
        <w:rPr>
          <w:lang w:val="en-GB"/>
        </w:rPr>
        <w:t>Werkgroep</w:t>
      </w:r>
      <w:proofErr w:type="spellEnd"/>
      <w:r w:rsidR="00901C84">
        <w:rPr>
          <w:lang w:val="en-GB"/>
        </w:rPr>
        <w:t xml:space="preserve"> </w:t>
      </w:r>
      <w:proofErr w:type="spellStart"/>
      <w:r w:rsidR="00901C84">
        <w:rPr>
          <w:lang w:val="en-GB"/>
        </w:rPr>
        <w:t>Gezondheidsvoorlichting</w:t>
      </w:r>
      <w:proofErr w:type="spellEnd"/>
      <w:r w:rsidR="00901C84">
        <w:rPr>
          <w:lang w:val="en-GB"/>
        </w:rPr>
        <w:t xml:space="preserve">) that </w:t>
      </w:r>
      <w:r w:rsidR="00427462" w:rsidRPr="008B69F9">
        <w:rPr>
          <w:i/>
          <w:lang w:val="en-GB"/>
        </w:rPr>
        <w:t>inter alia</w:t>
      </w:r>
      <w:r w:rsidR="00427462">
        <w:rPr>
          <w:lang w:val="en-GB"/>
        </w:rPr>
        <w:t xml:space="preserve"> promoted access to independent health information, </w:t>
      </w:r>
      <w:r w:rsidR="004D1A00">
        <w:rPr>
          <w:lang w:val="en-GB"/>
        </w:rPr>
        <w:t>participation by patients in health care</w:t>
      </w:r>
      <w:r w:rsidR="00F2667D">
        <w:rPr>
          <w:lang w:val="en-GB"/>
        </w:rPr>
        <w:t>, the establishment of group medical practices and of</w:t>
      </w:r>
      <w:r w:rsidR="00427462">
        <w:rPr>
          <w:lang w:val="en-GB"/>
        </w:rPr>
        <w:t xml:space="preserve"> </w:t>
      </w:r>
      <w:r w:rsidR="00C535C9">
        <w:rPr>
          <w:lang w:val="en-GB"/>
        </w:rPr>
        <w:t>general practitioner studies</w:t>
      </w:r>
      <w:r w:rsidR="00F2667D">
        <w:rPr>
          <w:rStyle w:val="Voetnootmarkering"/>
          <w:lang w:val="en-GB"/>
        </w:rPr>
        <w:footnoteReference w:id="194"/>
      </w:r>
      <w:r w:rsidR="00C535C9">
        <w:rPr>
          <w:lang w:val="en-GB"/>
        </w:rPr>
        <w:t>.</w:t>
      </w:r>
      <w:r w:rsidR="00F2667D">
        <w:rPr>
          <w:lang w:val="en-GB"/>
        </w:rPr>
        <w:t xml:space="preserve"> In the aftermath of the temporary suspensions of Van Leuven and De Meyere in </w:t>
      </w:r>
      <w:proofErr w:type="spellStart"/>
      <w:r w:rsidR="00F2667D">
        <w:rPr>
          <w:lang w:val="en-GB"/>
        </w:rPr>
        <w:t>Merelbeke</w:t>
      </w:r>
      <w:proofErr w:type="spellEnd"/>
      <w:r w:rsidR="00F2667D">
        <w:rPr>
          <w:lang w:val="en-GB"/>
        </w:rPr>
        <w:t xml:space="preserve"> and </w:t>
      </w:r>
      <w:r w:rsidR="00C641FF">
        <w:rPr>
          <w:lang w:val="en-GB"/>
        </w:rPr>
        <w:t>a similar case</w:t>
      </w:r>
      <w:r w:rsidR="00F2667D">
        <w:rPr>
          <w:lang w:val="en-GB"/>
        </w:rPr>
        <w:t xml:space="preserve"> in </w:t>
      </w:r>
      <w:r w:rsidR="00F2667D">
        <w:rPr>
          <w:vanish/>
          <w:lang w:val="en-GB"/>
        </w:rPr>
        <w:t>HhhH</w:t>
      </w:r>
    </w:p>
    <w:p w14:paraId="437E6E09" w14:textId="23E4E492" w:rsidR="002A6D26" w:rsidRDefault="00F2667D" w:rsidP="00850C81">
      <w:pPr>
        <w:jc w:val="both"/>
        <w:rPr>
          <w:lang w:val="en-GB"/>
        </w:rPr>
      </w:pPr>
      <w:r>
        <w:rPr>
          <w:lang w:val="en-GB"/>
        </w:rPr>
        <w:t xml:space="preserve">Hoboken, the Working Group also sought </w:t>
      </w:r>
      <w:r w:rsidR="00687D0A">
        <w:rPr>
          <w:lang w:val="en-GB"/>
        </w:rPr>
        <w:t>the suppression</w:t>
      </w:r>
      <w:r>
        <w:rPr>
          <w:lang w:val="en-GB"/>
        </w:rPr>
        <w:t xml:space="preserve"> of the Order or Physicians, which it considered to be </w:t>
      </w:r>
      <w:r w:rsidR="00C641FF">
        <w:rPr>
          <w:lang w:val="en-GB"/>
        </w:rPr>
        <w:t xml:space="preserve">“fundamentally conservative” and mainly concerned with “the corporatist defence of the liberal [i.e. </w:t>
      </w:r>
      <w:r w:rsidR="00C641FF" w:rsidRPr="008B69F9">
        <w:rPr>
          <w:i/>
          <w:lang w:val="en-GB"/>
        </w:rPr>
        <w:t>laissez-faire</w:t>
      </w:r>
      <w:r w:rsidR="00C641FF">
        <w:rPr>
          <w:lang w:val="en-GB"/>
        </w:rPr>
        <w:t xml:space="preserve">] health care […] under the pretext of keeping up the honour and the dignity of the profession </w:t>
      </w:r>
      <w:r w:rsidR="00C535C9">
        <w:rPr>
          <w:lang w:val="en-GB"/>
        </w:rPr>
        <w:t>and the interest of the patient</w:t>
      </w:r>
      <w:r w:rsidR="00C641FF">
        <w:rPr>
          <w:lang w:val="en-GB"/>
        </w:rPr>
        <w:t>”</w:t>
      </w:r>
      <w:r w:rsidR="00C641FF">
        <w:rPr>
          <w:rStyle w:val="Voetnootmarkering"/>
          <w:lang w:val="en-GB"/>
        </w:rPr>
        <w:footnoteReference w:id="195"/>
      </w:r>
      <w:r w:rsidR="00C535C9">
        <w:rPr>
          <w:lang w:val="en-GB"/>
        </w:rPr>
        <w:t>.</w:t>
      </w:r>
      <w:r w:rsidR="00CE626C">
        <w:rPr>
          <w:lang w:val="en-GB"/>
        </w:rPr>
        <w:t xml:space="preserve"> According to De Meyere, “we as </w:t>
      </w:r>
      <w:r w:rsidR="00CE626C">
        <w:rPr>
          <w:lang w:val="en-GB"/>
        </w:rPr>
        <w:lastRenderedPageBreak/>
        <w:t xml:space="preserve">progressive physicians had a totally different model </w:t>
      </w:r>
      <w:r w:rsidR="00DC2682">
        <w:rPr>
          <w:lang w:val="en-GB"/>
        </w:rPr>
        <w:t xml:space="preserve">[than the liberal model] </w:t>
      </w:r>
      <w:r w:rsidR="008B69F9">
        <w:rPr>
          <w:lang w:val="en-GB"/>
        </w:rPr>
        <w:t>that</w:t>
      </w:r>
      <w:r w:rsidR="00DC2682">
        <w:rPr>
          <w:lang w:val="en-GB"/>
        </w:rPr>
        <w:t xml:space="preserve"> put the patient at the centre. For example, we were suspended because we had worked against reimbursement fees, while physicians </w:t>
      </w:r>
      <w:r w:rsidR="00687D0A">
        <w:rPr>
          <w:lang w:val="en-GB"/>
        </w:rPr>
        <w:t>who</w:t>
      </w:r>
      <w:r w:rsidR="00DC2682">
        <w:rPr>
          <w:lang w:val="en-GB"/>
        </w:rPr>
        <w:t xml:space="preserve"> asked five to ten times more were defended by the Order </w:t>
      </w:r>
      <w:r w:rsidR="00687D0A">
        <w:rPr>
          <w:lang w:val="en-GB"/>
        </w:rPr>
        <w:t>that</w:t>
      </w:r>
      <w:r w:rsidR="00DC2682">
        <w:rPr>
          <w:lang w:val="en-GB"/>
        </w:rPr>
        <w:t xml:space="preserve"> said that ‘in accordance with your honour and dignity’ […] you can ask that much!”</w:t>
      </w:r>
    </w:p>
    <w:p w14:paraId="6496A983" w14:textId="7AFF977A" w:rsidR="00933231" w:rsidRDefault="00A55852" w:rsidP="001A19D0">
      <w:pPr>
        <w:ind w:firstLine="708"/>
        <w:jc w:val="both"/>
        <w:rPr>
          <w:lang w:val="en-GB"/>
        </w:rPr>
      </w:pPr>
      <w:r>
        <w:rPr>
          <w:lang w:val="en-GB"/>
        </w:rPr>
        <w:t>Because of their principled objections against the Order, De Meyere and Van Leu</w:t>
      </w:r>
      <w:r w:rsidR="0081373D">
        <w:rPr>
          <w:lang w:val="en-GB"/>
        </w:rPr>
        <w:t>ven continued the legal battle against their suspensions</w:t>
      </w:r>
      <w:r>
        <w:rPr>
          <w:lang w:val="en-GB"/>
        </w:rPr>
        <w:t>, first domestically and later in Strasbourg.</w:t>
      </w:r>
      <w:r w:rsidR="0081373D">
        <w:rPr>
          <w:lang w:val="en-GB"/>
        </w:rPr>
        <w:t xml:space="preserve"> Through</w:t>
      </w:r>
      <w:r w:rsidR="00111FFE">
        <w:rPr>
          <w:lang w:val="en-GB"/>
        </w:rPr>
        <w:t xml:space="preserve"> Piet Van Eeckhout,</w:t>
      </w:r>
      <w:r w:rsidR="0081373D">
        <w:rPr>
          <w:lang w:val="en-GB"/>
        </w:rPr>
        <w:t xml:space="preserve"> a befriended lawyer, they came into contact with </w:t>
      </w:r>
      <w:r w:rsidR="00BE68B5">
        <w:rPr>
          <w:lang w:val="en-GB"/>
        </w:rPr>
        <w:t xml:space="preserve">the late </w:t>
      </w:r>
      <w:r w:rsidR="0081373D">
        <w:rPr>
          <w:lang w:val="en-GB"/>
        </w:rPr>
        <w:t xml:space="preserve">John </w:t>
      </w:r>
      <w:proofErr w:type="spellStart"/>
      <w:r w:rsidR="0081373D">
        <w:rPr>
          <w:lang w:val="en-GB"/>
        </w:rPr>
        <w:t>Bultinck</w:t>
      </w:r>
      <w:proofErr w:type="spellEnd"/>
      <w:r w:rsidR="0081373D">
        <w:rPr>
          <w:lang w:val="en-GB"/>
        </w:rPr>
        <w:t xml:space="preserve">, </w:t>
      </w:r>
      <w:r w:rsidR="00111FFE">
        <w:rPr>
          <w:lang w:val="en-GB"/>
        </w:rPr>
        <w:t xml:space="preserve">“a fantastic, socially committed lawyer”, </w:t>
      </w:r>
      <w:r w:rsidR="0081373D">
        <w:rPr>
          <w:lang w:val="en-GB"/>
        </w:rPr>
        <w:t xml:space="preserve">who at that time was already acting as Le </w:t>
      </w:r>
      <w:proofErr w:type="spellStart"/>
      <w:r w:rsidR="0081373D">
        <w:rPr>
          <w:lang w:val="en-GB"/>
        </w:rPr>
        <w:t>Compte’</w:t>
      </w:r>
      <w:r w:rsidR="00111FFE">
        <w:rPr>
          <w:lang w:val="en-GB"/>
        </w:rPr>
        <w:t>s</w:t>
      </w:r>
      <w:proofErr w:type="spellEnd"/>
      <w:r w:rsidR="00111FFE">
        <w:rPr>
          <w:lang w:val="en-GB"/>
        </w:rPr>
        <w:t xml:space="preserve"> attorney, in order to represent them during the domestic disciplinary and judiciary proceedings. De Meyere re</w:t>
      </w:r>
      <w:r w:rsidR="00933231">
        <w:rPr>
          <w:lang w:val="en-GB"/>
        </w:rPr>
        <w:t>calls that</w:t>
      </w:r>
    </w:p>
    <w:p w14:paraId="348A402D" w14:textId="238FE1D4" w:rsidR="00933231" w:rsidRDefault="00111FFE" w:rsidP="00933231">
      <w:pPr>
        <w:ind w:left="708"/>
        <w:jc w:val="both"/>
        <w:rPr>
          <w:lang w:val="en-GB"/>
        </w:rPr>
      </w:pPr>
      <w:proofErr w:type="spellStart"/>
      <w:r>
        <w:rPr>
          <w:lang w:val="en-GB"/>
        </w:rPr>
        <w:t>Bultinck</w:t>
      </w:r>
      <w:proofErr w:type="spellEnd"/>
      <w:r>
        <w:rPr>
          <w:lang w:val="en-GB"/>
        </w:rPr>
        <w:t xml:space="preserve"> intended to go to Strasbourg anyway and had introduced the application for Le </w:t>
      </w:r>
      <w:proofErr w:type="spellStart"/>
      <w:r>
        <w:rPr>
          <w:lang w:val="en-GB"/>
        </w:rPr>
        <w:t>Compte</w:t>
      </w:r>
      <w:proofErr w:type="spellEnd"/>
      <w:r>
        <w:rPr>
          <w:lang w:val="en-GB"/>
        </w:rPr>
        <w:t xml:space="preserve"> […]. So we decided: why not go together? It was </w:t>
      </w:r>
      <w:r w:rsidR="00687D0A">
        <w:rPr>
          <w:lang w:val="en-GB"/>
        </w:rPr>
        <w:t>directed</w:t>
      </w:r>
      <w:r>
        <w:rPr>
          <w:lang w:val="en-GB"/>
        </w:rPr>
        <w:t xml:space="preserve"> against the Order and it </w:t>
      </w:r>
      <w:r w:rsidR="00687D0A">
        <w:rPr>
          <w:lang w:val="en-GB"/>
        </w:rPr>
        <w:t>wa</w:t>
      </w:r>
      <w:r>
        <w:rPr>
          <w:lang w:val="en-GB"/>
        </w:rPr>
        <w:t xml:space="preserve">s financially [advantageous], since these are not cheap cases and that way you can share it </w:t>
      </w:r>
      <w:r w:rsidR="003734CC">
        <w:rPr>
          <w:lang w:val="en-GB"/>
        </w:rPr>
        <w:t xml:space="preserve">by </w:t>
      </w:r>
      <w:r>
        <w:rPr>
          <w:lang w:val="en-GB"/>
        </w:rPr>
        <w:t>three. And I must say, to the credit of M</w:t>
      </w:r>
      <w:r w:rsidR="00FB1BCB">
        <w:rPr>
          <w:lang w:val="en-GB"/>
        </w:rPr>
        <w:t>r</w:t>
      </w:r>
      <w:r>
        <w:rPr>
          <w:lang w:val="en-GB"/>
        </w:rPr>
        <w:t xml:space="preserve">. Le </w:t>
      </w:r>
      <w:proofErr w:type="spellStart"/>
      <w:r>
        <w:rPr>
          <w:lang w:val="en-GB"/>
        </w:rPr>
        <w:t>Compte</w:t>
      </w:r>
      <w:proofErr w:type="spellEnd"/>
      <w:r>
        <w:rPr>
          <w:lang w:val="en-GB"/>
        </w:rPr>
        <w:t>, who is deceased, that he m</w:t>
      </w:r>
      <w:r w:rsidR="00687D0A">
        <w:rPr>
          <w:lang w:val="en-GB"/>
        </w:rPr>
        <w:t xml:space="preserve">ade a gesture and </w:t>
      </w:r>
      <w:r w:rsidR="00933231">
        <w:rPr>
          <w:lang w:val="en-GB"/>
        </w:rPr>
        <w:t>paid for the greater part.</w:t>
      </w:r>
    </w:p>
    <w:p w14:paraId="58C0321E" w14:textId="77777777" w:rsidR="00933231" w:rsidRDefault="00687D0A" w:rsidP="00933231">
      <w:pPr>
        <w:jc w:val="both"/>
        <w:rPr>
          <w:lang w:val="en-GB"/>
        </w:rPr>
      </w:pPr>
      <w:r>
        <w:rPr>
          <w:lang w:val="en-GB"/>
        </w:rPr>
        <w:t>While a part of the complaint concerned fair trial rights during disciplinary proceedings</w:t>
      </w:r>
      <w:r w:rsidR="00A759F6">
        <w:rPr>
          <w:lang w:val="en-GB"/>
        </w:rPr>
        <w:t xml:space="preserve"> – on this point Belgium was found in violation of Article 6 ECHR –</w:t>
      </w:r>
      <w:r>
        <w:rPr>
          <w:lang w:val="en-GB"/>
        </w:rPr>
        <w:t xml:space="preserve"> another part concerned the allegation that the compulsory membership of the Order, as a condition to practice medicine, violated </w:t>
      </w:r>
      <w:r w:rsidR="00A759F6">
        <w:rPr>
          <w:lang w:val="en-GB"/>
        </w:rPr>
        <w:t xml:space="preserve">the freedom of association (Article 11 ECHR). According to De Meyere, “we expected that the Order would be recognized as a body that is contrary to human rights. […] We were totally not satisfied [that we did not win on </w:t>
      </w:r>
      <w:r w:rsidR="00C535C9">
        <w:rPr>
          <w:lang w:val="en-GB"/>
        </w:rPr>
        <w:t>this point], we were devastated</w:t>
      </w:r>
      <w:r w:rsidR="00A759F6">
        <w:rPr>
          <w:lang w:val="en-GB"/>
        </w:rPr>
        <w:t>”</w:t>
      </w:r>
      <w:r>
        <w:rPr>
          <w:rStyle w:val="Voetnootmarkering"/>
          <w:lang w:val="en-GB"/>
        </w:rPr>
        <w:footnoteReference w:id="196"/>
      </w:r>
      <w:r w:rsidR="00C535C9">
        <w:rPr>
          <w:lang w:val="en-GB"/>
        </w:rPr>
        <w:t>.</w:t>
      </w:r>
      <w:r w:rsidR="00A759F6" w:rsidRPr="00A759F6">
        <w:rPr>
          <w:lang w:val="en-GB"/>
        </w:rPr>
        <w:t xml:space="preserve"> </w:t>
      </w:r>
      <w:r w:rsidR="00A759F6">
        <w:rPr>
          <w:lang w:val="en-GB"/>
        </w:rPr>
        <w:t>For Patrick Devers, this case was so interesting because of the contrast between the totally different personalities with different motives who had in common that Stras</w:t>
      </w:r>
      <w:r w:rsidR="00933231">
        <w:rPr>
          <w:lang w:val="en-GB"/>
        </w:rPr>
        <w:t xml:space="preserve">bourg was their last recourse. </w:t>
      </w:r>
    </w:p>
    <w:p w14:paraId="645034DF" w14:textId="6F967B28" w:rsidR="002A6D26" w:rsidRDefault="00A759F6" w:rsidP="00933231">
      <w:pPr>
        <w:ind w:left="708"/>
        <w:jc w:val="both"/>
        <w:rPr>
          <w:lang w:val="en-GB"/>
        </w:rPr>
      </w:pPr>
      <w:r>
        <w:rPr>
          <w:lang w:val="en-GB"/>
        </w:rPr>
        <w:t xml:space="preserve">Le </w:t>
      </w:r>
      <w:proofErr w:type="spellStart"/>
      <w:r>
        <w:rPr>
          <w:lang w:val="en-GB"/>
        </w:rPr>
        <w:t>Compte</w:t>
      </w:r>
      <w:proofErr w:type="spellEnd"/>
      <w:r>
        <w:rPr>
          <w:lang w:val="en-GB"/>
        </w:rPr>
        <w:t xml:space="preserve"> was an </w:t>
      </w:r>
      <w:proofErr w:type="spellStart"/>
      <w:r>
        <w:rPr>
          <w:i/>
          <w:lang w:val="en-GB"/>
        </w:rPr>
        <w:t>einzelgänger</w:t>
      </w:r>
      <w:proofErr w:type="spellEnd"/>
      <w:r>
        <w:rPr>
          <w:lang w:val="en-GB"/>
        </w:rPr>
        <w:t xml:space="preserve">, […] a man that stood outside […] any organisation or so, […] he only went to Strasbourg for himself. […] De Meyere and Van Leuven were </w:t>
      </w:r>
      <w:r w:rsidR="00BE68B5">
        <w:rPr>
          <w:lang w:val="en-GB"/>
        </w:rPr>
        <w:t xml:space="preserve">driven by a </w:t>
      </w:r>
      <w:proofErr w:type="gramStart"/>
      <w:r w:rsidR="00BE68B5">
        <w:rPr>
          <w:lang w:val="en-GB"/>
        </w:rPr>
        <w:t>cause</w:t>
      </w:r>
      <w:r>
        <w:rPr>
          <w:lang w:val="en-GB"/>
        </w:rPr>
        <w:t>,</w:t>
      </w:r>
      <w:proofErr w:type="gramEnd"/>
      <w:r>
        <w:rPr>
          <w:lang w:val="en-GB"/>
        </w:rPr>
        <w:t xml:space="preserve"> </w:t>
      </w:r>
      <w:r w:rsidR="00BE68B5">
        <w:rPr>
          <w:lang w:val="en-GB"/>
        </w:rPr>
        <w:t xml:space="preserve">they </w:t>
      </w:r>
      <w:r>
        <w:rPr>
          <w:lang w:val="en-GB"/>
        </w:rPr>
        <w:t>practiced medicine in a very principled manner. […] They wanted to bring down the Order of Physicians ra</w:t>
      </w:r>
      <w:r w:rsidR="00C535C9">
        <w:rPr>
          <w:lang w:val="en-GB"/>
        </w:rPr>
        <w:t>ther than saving their own skin</w:t>
      </w:r>
      <w:r>
        <w:rPr>
          <w:rStyle w:val="Voetnootmarkering"/>
          <w:lang w:val="en-GB"/>
        </w:rPr>
        <w:footnoteReference w:id="197"/>
      </w:r>
      <w:r w:rsidR="00C535C9">
        <w:rPr>
          <w:lang w:val="en-GB"/>
        </w:rPr>
        <w:t>.</w:t>
      </w:r>
    </w:p>
    <w:p w14:paraId="74093489" w14:textId="64E4A7AE" w:rsidR="00F45CB2" w:rsidRDefault="00A759F6" w:rsidP="001A19D0">
      <w:pPr>
        <w:ind w:firstLine="708"/>
        <w:jc w:val="both"/>
        <w:rPr>
          <w:lang w:val="en-GB"/>
        </w:rPr>
      </w:pPr>
      <w:r>
        <w:rPr>
          <w:lang w:val="en-GB"/>
        </w:rPr>
        <w:t xml:space="preserve">The </w:t>
      </w:r>
      <w:r w:rsidR="00F45CB2">
        <w:rPr>
          <w:lang w:val="en-GB"/>
        </w:rPr>
        <w:t xml:space="preserve">story </w:t>
      </w:r>
      <w:r>
        <w:rPr>
          <w:lang w:val="en-GB"/>
        </w:rPr>
        <w:t>of De Meyere and Van Leuven</w:t>
      </w:r>
      <w:r w:rsidR="00F45CB2">
        <w:rPr>
          <w:lang w:val="en-GB"/>
        </w:rPr>
        <w:t xml:space="preserve"> moreover</w:t>
      </w:r>
      <w:r>
        <w:rPr>
          <w:lang w:val="en-GB"/>
        </w:rPr>
        <w:t xml:space="preserve"> confirms</w:t>
      </w:r>
      <w:r w:rsidR="00F45CB2">
        <w:rPr>
          <w:lang w:val="en-GB"/>
        </w:rPr>
        <w:t xml:space="preserve"> Paul Johnson’s findings that for some applicants, the desire to change the law “is also sometimes linked to an ambition t</w:t>
      </w:r>
      <w:r w:rsidR="00C535C9">
        <w:rPr>
          <w:lang w:val="en-GB"/>
        </w:rPr>
        <w:t>o achieve broader social change</w:t>
      </w:r>
      <w:r w:rsidR="00F45CB2">
        <w:rPr>
          <w:lang w:val="en-GB"/>
        </w:rPr>
        <w:t>”</w:t>
      </w:r>
      <w:r w:rsidR="00F45CB2">
        <w:rPr>
          <w:rStyle w:val="Voetnootmarkering"/>
          <w:lang w:val="en-GB"/>
        </w:rPr>
        <w:footnoteReference w:id="198"/>
      </w:r>
      <w:r w:rsidR="00C535C9">
        <w:rPr>
          <w:lang w:val="en-GB"/>
        </w:rPr>
        <w:t>.</w:t>
      </w:r>
      <w:r w:rsidR="00F45CB2">
        <w:rPr>
          <w:lang w:val="en-GB"/>
        </w:rPr>
        <w:t xml:space="preserve"> De Meyere and Van Leuven attempted to bring down the Order of Physicians through Strasbourg litigation because the Order formed an obstacle to the progressive model of health care they promoted.</w:t>
      </w:r>
      <w:r w:rsidR="00D8317C">
        <w:rPr>
          <w:lang w:val="en-GB"/>
        </w:rPr>
        <w:t xml:space="preserve"> Strasbourg litigation moreover was </w:t>
      </w:r>
      <w:r w:rsidR="00FB1BCB">
        <w:rPr>
          <w:lang w:val="en-GB"/>
        </w:rPr>
        <w:t xml:space="preserve">only </w:t>
      </w:r>
      <w:r w:rsidR="002A6D26">
        <w:rPr>
          <w:lang w:val="en-GB"/>
        </w:rPr>
        <w:t>one aspect</w:t>
      </w:r>
      <w:r w:rsidR="002628F2">
        <w:rPr>
          <w:lang w:val="en-GB"/>
        </w:rPr>
        <w:t xml:space="preserve"> of a larger </w:t>
      </w:r>
      <w:r w:rsidR="002A6D26">
        <w:rPr>
          <w:lang w:val="en-GB"/>
        </w:rPr>
        <w:t xml:space="preserve">protest </w:t>
      </w:r>
      <w:r w:rsidR="002628F2">
        <w:rPr>
          <w:lang w:val="en-GB"/>
        </w:rPr>
        <w:t xml:space="preserve">movement among progressive physicians to bring down the Order, resulting </w:t>
      </w:r>
      <w:r w:rsidR="002628F2" w:rsidRPr="00FB1BCB">
        <w:rPr>
          <w:i/>
          <w:lang w:val="en-GB"/>
        </w:rPr>
        <w:t>inter alia</w:t>
      </w:r>
      <w:r w:rsidR="002628F2">
        <w:rPr>
          <w:lang w:val="en-GB"/>
        </w:rPr>
        <w:t xml:space="preserve"> in the refusal of 300 physicians in 1980 to pay their membership fee, to which the Order </w:t>
      </w:r>
      <w:r w:rsidR="008D0E06">
        <w:rPr>
          <w:lang w:val="en-GB"/>
        </w:rPr>
        <w:t>however reacted repressively. De Meyere recalls, “</w:t>
      </w:r>
      <w:proofErr w:type="gramStart"/>
      <w:r w:rsidR="008D0E06">
        <w:rPr>
          <w:lang w:val="en-GB"/>
        </w:rPr>
        <w:t>the</w:t>
      </w:r>
      <w:proofErr w:type="gramEnd"/>
      <w:r w:rsidR="008D0E06">
        <w:rPr>
          <w:lang w:val="en-GB"/>
        </w:rPr>
        <w:t xml:space="preserve"> Order played hardball.</w:t>
      </w:r>
      <w:r w:rsidR="002A6D26">
        <w:rPr>
          <w:lang w:val="en-GB"/>
        </w:rPr>
        <w:t xml:space="preserve"> […] Once a bailiff came to my house, I had to pay that much etcetera. […] And so, of course, [the protest] fizzled out, because one was </w:t>
      </w:r>
      <w:r w:rsidR="002A6D26">
        <w:rPr>
          <w:lang w:val="en-GB"/>
        </w:rPr>
        <w:lastRenderedPageBreak/>
        <w:t>compelled [to pay], by the bailiff, via t</w:t>
      </w:r>
      <w:r w:rsidR="00C535C9">
        <w:rPr>
          <w:lang w:val="en-GB"/>
        </w:rPr>
        <w:t>he courts, through police raids</w:t>
      </w:r>
      <w:r w:rsidR="002A6D26">
        <w:rPr>
          <w:lang w:val="en-GB"/>
        </w:rPr>
        <w:t>”</w:t>
      </w:r>
      <w:r w:rsidR="002A6D26">
        <w:rPr>
          <w:rStyle w:val="Voetnootmarkering"/>
          <w:lang w:val="en-GB"/>
        </w:rPr>
        <w:footnoteReference w:id="199"/>
      </w:r>
      <w:r w:rsidR="00C535C9">
        <w:rPr>
          <w:lang w:val="en-GB"/>
        </w:rPr>
        <w:t>.</w:t>
      </w:r>
      <w:r w:rsidR="002A6D26">
        <w:rPr>
          <w:lang w:val="en-GB"/>
        </w:rPr>
        <w:t xml:space="preserve"> Later, upon becoming professor in general practitioner studies at Ghent University, De Meyere continued his fight against the Order through other means, for example by assisting in drafting legislation to ref</w:t>
      </w:r>
      <w:r w:rsidR="00FB1BCB">
        <w:rPr>
          <w:lang w:val="en-GB"/>
        </w:rPr>
        <w:t>orm the Order, which</w:t>
      </w:r>
      <w:r w:rsidR="00F02CFE">
        <w:rPr>
          <w:lang w:val="en-GB"/>
        </w:rPr>
        <w:t xml:space="preserve"> has however never passed Parliament: “I am in fact in favour of the suppression of the Order, so if you ask me […] there is no need for the Order to exist. But [that proposal] was a compromise in which you wou</w:t>
      </w:r>
      <w:r w:rsidR="00C535C9">
        <w:rPr>
          <w:lang w:val="en-GB"/>
        </w:rPr>
        <w:t>ld have a more democratic Order</w:t>
      </w:r>
      <w:r w:rsidR="00F02CFE">
        <w:rPr>
          <w:lang w:val="en-GB"/>
        </w:rPr>
        <w:t>”</w:t>
      </w:r>
      <w:r w:rsidR="00F02CFE">
        <w:rPr>
          <w:rStyle w:val="Voetnootmarkering"/>
          <w:lang w:val="en-GB"/>
        </w:rPr>
        <w:footnoteReference w:id="200"/>
      </w:r>
      <w:r w:rsidR="00C535C9">
        <w:rPr>
          <w:lang w:val="en-GB"/>
        </w:rPr>
        <w:t>.</w:t>
      </w:r>
    </w:p>
    <w:p w14:paraId="6A3EE0E8" w14:textId="77777777" w:rsidR="00933231" w:rsidRDefault="00FC2798" w:rsidP="001A19D0">
      <w:pPr>
        <w:ind w:firstLine="708"/>
        <w:jc w:val="both"/>
        <w:rPr>
          <w:lang w:val="en-GB"/>
        </w:rPr>
      </w:pPr>
      <w:r>
        <w:rPr>
          <w:lang w:val="en-GB"/>
        </w:rPr>
        <w:t xml:space="preserve">Also the case of </w:t>
      </w:r>
      <w:r>
        <w:rPr>
          <w:i/>
          <w:lang w:val="en-GB"/>
        </w:rPr>
        <w:t>National Union of Belgian Police</w:t>
      </w:r>
      <w:r>
        <w:rPr>
          <w:lang w:val="en-GB"/>
        </w:rPr>
        <w:t xml:space="preserve"> </w:t>
      </w:r>
      <w:r w:rsidR="00FB1BCB">
        <w:rPr>
          <w:lang w:val="en-GB"/>
        </w:rPr>
        <w:t xml:space="preserve">(1975) </w:t>
      </w:r>
      <w:r>
        <w:rPr>
          <w:lang w:val="en-GB"/>
        </w:rPr>
        <w:t xml:space="preserve">can be analysed in terms of an emancipatory </w:t>
      </w:r>
      <w:r w:rsidR="00573D75">
        <w:rPr>
          <w:lang w:val="en-GB"/>
        </w:rPr>
        <w:t xml:space="preserve">struggle against the established order. Traditionally, Belgium was a </w:t>
      </w:r>
      <w:proofErr w:type="spellStart"/>
      <w:r w:rsidR="00573D75">
        <w:rPr>
          <w:lang w:val="en-GB"/>
        </w:rPr>
        <w:t>pillarised</w:t>
      </w:r>
      <w:proofErr w:type="spellEnd"/>
      <w:r w:rsidR="00573D75">
        <w:rPr>
          <w:lang w:val="en-GB"/>
        </w:rPr>
        <w:t xml:space="preserve"> state in which social life was to some extent segregated between the catholic, socialist and liberal pillar and in which power was </w:t>
      </w:r>
      <w:r w:rsidR="00D3753E">
        <w:rPr>
          <w:lang w:val="en-GB"/>
        </w:rPr>
        <w:t xml:space="preserve">shared between the different pillars by way of pacifying elite cooperation. The National Union of Belgian Police was a union that was open to all members of the municipal police and which, unlike the three traditional unions, did not belong to any of the pillars. </w:t>
      </w:r>
      <w:r w:rsidR="007D2688">
        <w:rPr>
          <w:lang w:val="en-GB"/>
        </w:rPr>
        <w:t xml:space="preserve">However, the Government did not recognize the National Union of Belgian Police as a representative organisation that had to be consulted under the 1961 Act regulating the relations between the Ministry of the Interior and the staff </w:t>
      </w:r>
      <w:r w:rsidR="00742F71">
        <w:rPr>
          <w:lang w:val="en-GB"/>
        </w:rPr>
        <w:t>of municipalities and provinces, because a condition for being recognized as representative was that an organization had to be open to all staff of the provinces and municipalities.</w:t>
      </w:r>
      <w:r w:rsidR="00E60D5D">
        <w:rPr>
          <w:lang w:val="en-GB"/>
        </w:rPr>
        <w:t xml:space="preserve"> </w:t>
      </w:r>
      <w:r w:rsidR="00FB1BCB">
        <w:rPr>
          <w:lang w:val="en-GB"/>
        </w:rPr>
        <w:t>This</w:t>
      </w:r>
      <w:r w:rsidR="00E60D5D">
        <w:rPr>
          <w:lang w:val="en-GB"/>
        </w:rPr>
        <w:t xml:space="preserve"> had the effect in practice of protecting the monopoly position of the traditional politicized unions to the disadvantage of non-politicized ones. The National Union of Belgian Police unsuccessfully complained in Strasbourg that this violated Article 11 (freedom of association) alone or in conjunction with Article 14 (prohibition of non-discrimination). According to their attor</w:t>
      </w:r>
      <w:r w:rsidR="00933231">
        <w:rPr>
          <w:lang w:val="en-GB"/>
        </w:rPr>
        <w:t xml:space="preserve">ney, Jean-Marie </w:t>
      </w:r>
      <w:proofErr w:type="spellStart"/>
      <w:r w:rsidR="00933231">
        <w:rPr>
          <w:lang w:val="en-GB"/>
        </w:rPr>
        <w:t>Nelissen</w:t>
      </w:r>
      <w:proofErr w:type="spellEnd"/>
      <w:r w:rsidR="00933231">
        <w:rPr>
          <w:lang w:val="en-GB"/>
        </w:rPr>
        <w:t xml:space="preserve"> Grade,</w:t>
      </w:r>
    </w:p>
    <w:p w14:paraId="203170B2" w14:textId="74636B08" w:rsidR="00742F71" w:rsidRPr="00D8317C" w:rsidRDefault="006B79D1" w:rsidP="00933231">
      <w:pPr>
        <w:ind w:left="708"/>
        <w:jc w:val="both"/>
        <w:rPr>
          <w:lang w:val="en-GB"/>
        </w:rPr>
      </w:pPr>
      <w:r>
        <w:rPr>
          <w:lang w:val="en-GB"/>
        </w:rPr>
        <w:t>I had the feeling that the union clearly wanted to continue to the very end. […] They assumed that this was really of vital importance for them, to be treated on the same footing as the big unions. […] [In Strasbourg], w</w:t>
      </w:r>
      <w:r w:rsidR="00E60D5D">
        <w:rPr>
          <w:lang w:val="en-GB"/>
        </w:rPr>
        <w:t xml:space="preserve">e told them: look, in Belgium we have a high degree of </w:t>
      </w:r>
      <w:proofErr w:type="spellStart"/>
      <w:r w:rsidR="00E60D5D">
        <w:rPr>
          <w:lang w:val="en-GB"/>
        </w:rPr>
        <w:t>syndicalization</w:t>
      </w:r>
      <w:proofErr w:type="spellEnd"/>
      <w:r w:rsidR="00E60D5D">
        <w:rPr>
          <w:lang w:val="en-GB"/>
        </w:rPr>
        <w:t>, we have very strong political unions – three that had at the time, much more than now, very strong links with political partie</w:t>
      </w:r>
      <w:r w:rsidR="006A2EDD">
        <w:rPr>
          <w:lang w:val="en-GB"/>
        </w:rPr>
        <w:t>s</w:t>
      </w:r>
      <w:r w:rsidR="004015A8">
        <w:rPr>
          <w:lang w:val="en-GB"/>
        </w:rPr>
        <w:t xml:space="preserve"> – </w:t>
      </w:r>
      <w:r w:rsidR="00FB1BCB">
        <w:rPr>
          <w:lang w:val="en-GB"/>
        </w:rPr>
        <w:t xml:space="preserve">and especially the two big </w:t>
      </w:r>
      <w:r w:rsidR="00E60D5D">
        <w:rPr>
          <w:lang w:val="en-GB"/>
        </w:rPr>
        <w:t>[</w:t>
      </w:r>
      <w:r w:rsidR="00FB1BCB">
        <w:rPr>
          <w:lang w:val="en-GB"/>
        </w:rPr>
        <w:t xml:space="preserve">i.e. </w:t>
      </w:r>
      <w:r w:rsidR="00E60D5D">
        <w:rPr>
          <w:lang w:val="en-GB"/>
        </w:rPr>
        <w:t xml:space="preserve">catholic and socialist] </w:t>
      </w:r>
      <w:r w:rsidR="00FB1BCB">
        <w:rPr>
          <w:lang w:val="en-GB"/>
        </w:rPr>
        <w:t xml:space="preserve">ones </w:t>
      </w:r>
      <w:r w:rsidR="00E60D5D">
        <w:rPr>
          <w:lang w:val="en-GB"/>
        </w:rPr>
        <w:t>have an enormous power, especially when acting</w:t>
      </w:r>
      <w:r w:rsidR="004015A8">
        <w:rPr>
          <w:lang w:val="en-GB"/>
        </w:rPr>
        <w:t xml:space="preserve"> jointly, as a result of which smaller unions that represent special interests</w:t>
      </w:r>
      <w:r w:rsidR="006A2EDD">
        <w:rPr>
          <w:lang w:val="en-GB"/>
        </w:rPr>
        <w:t xml:space="preserve"> are totally pushed aside and are insufficiently heard. […] Our underlying message […] was clearly that it is unhealthy to only listen to the big unions because they are politicized and that way you are politicizing the police. […] That was ess</w:t>
      </w:r>
      <w:r w:rsidR="00C535C9">
        <w:rPr>
          <w:lang w:val="en-GB"/>
        </w:rPr>
        <w:t>ential, then even more than now</w:t>
      </w:r>
      <w:r w:rsidR="006A2EDD">
        <w:rPr>
          <w:lang w:val="en-GB"/>
        </w:rPr>
        <w:t xml:space="preserve"> </w:t>
      </w:r>
      <w:r w:rsidR="00933231">
        <w:rPr>
          <w:lang w:val="en-GB"/>
        </w:rPr>
        <w:t>[…]</w:t>
      </w:r>
      <w:r>
        <w:rPr>
          <w:rStyle w:val="Voetnootmarkering"/>
          <w:lang w:val="en-GB"/>
        </w:rPr>
        <w:footnoteReference w:id="201"/>
      </w:r>
      <w:r w:rsidR="00C535C9">
        <w:rPr>
          <w:lang w:val="en-GB"/>
        </w:rPr>
        <w:t>.</w:t>
      </w:r>
    </w:p>
    <w:p w14:paraId="23BD1922" w14:textId="33ED66B7" w:rsidR="00B21981" w:rsidRDefault="00933231" w:rsidP="001A19D0">
      <w:pPr>
        <w:ind w:firstLine="708"/>
        <w:jc w:val="both"/>
        <w:rPr>
          <w:lang w:val="en-GB"/>
        </w:rPr>
      </w:pPr>
      <w:r>
        <w:rPr>
          <w:lang w:val="en-GB"/>
        </w:rPr>
        <w:t>The</w:t>
      </w:r>
      <w:r w:rsidR="00F02CFE">
        <w:rPr>
          <w:lang w:val="en-GB"/>
        </w:rPr>
        <w:t xml:space="preserve"> cases of </w:t>
      </w:r>
      <w:r w:rsidR="00F02CFE">
        <w:rPr>
          <w:i/>
          <w:lang w:val="en-GB"/>
        </w:rPr>
        <w:t xml:space="preserve">Marckx </w:t>
      </w:r>
      <w:r w:rsidR="00FB1BCB">
        <w:rPr>
          <w:lang w:val="en-GB"/>
        </w:rPr>
        <w:t xml:space="preserve">(1979) </w:t>
      </w:r>
      <w:r w:rsidR="00F02CFE">
        <w:rPr>
          <w:lang w:val="en-GB"/>
        </w:rPr>
        <w:t xml:space="preserve">and </w:t>
      </w:r>
      <w:r w:rsidR="00F02CFE">
        <w:rPr>
          <w:i/>
          <w:lang w:val="en-GB"/>
        </w:rPr>
        <w:t xml:space="preserve">Van </w:t>
      </w:r>
      <w:proofErr w:type="spellStart"/>
      <w:r w:rsidR="00F02CFE">
        <w:rPr>
          <w:i/>
          <w:lang w:val="en-GB"/>
        </w:rPr>
        <w:t>Oosterwijck</w:t>
      </w:r>
      <w:proofErr w:type="spellEnd"/>
      <w:r w:rsidR="00F02CFE">
        <w:rPr>
          <w:lang w:val="en-GB"/>
        </w:rPr>
        <w:t xml:space="preserve"> </w:t>
      </w:r>
      <w:r w:rsidR="00FB1BCB">
        <w:rPr>
          <w:lang w:val="en-GB"/>
        </w:rPr>
        <w:t xml:space="preserve">(1980) </w:t>
      </w:r>
      <w:r w:rsidR="00F02CFE">
        <w:rPr>
          <w:lang w:val="en-GB"/>
        </w:rPr>
        <w:t xml:space="preserve">can </w:t>
      </w:r>
      <w:r>
        <w:rPr>
          <w:lang w:val="en-GB"/>
        </w:rPr>
        <w:t xml:space="preserve">also </w:t>
      </w:r>
      <w:r w:rsidR="00F02CFE">
        <w:rPr>
          <w:lang w:val="en-GB"/>
        </w:rPr>
        <w:t xml:space="preserve">be analysed in terms of the mobilization of human rights law in the context of the emancipatory struggles of respectively mothers of children born out of wedlock and of transsexuals against a conservative and outdated family law and law of person regime. The case of </w:t>
      </w:r>
      <w:r w:rsidR="00F02CFE">
        <w:rPr>
          <w:i/>
          <w:lang w:val="en-GB"/>
        </w:rPr>
        <w:t>Mathieu-</w:t>
      </w:r>
      <w:proofErr w:type="spellStart"/>
      <w:r w:rsidR="00F02CFE">
        <w:rPr>
          <w:i/>
          <w:lang w:val="en-GB"/>
        </w:rPr>
        <w:t>Mohin</w:t>
      </w:r>
      <w:proofErr w:type="spellEnd"/>
      <w:r w:rsidR="00F02CFE">
        <w:rPr>
          <w:i/>
          <w:lang w:val="en-GB"/>
        </w:rPr>
        <w:t xml:space="preserve"> and </w:t>
      </w:r>
      <w:proofErr w:type="spellStart"/>
      <w:r w:rsidR="00F02CFE">
        <w:rPr>
          <w:i/>
          <w:lang w:val="en-GB"/>
        </w:rPr>
        <w:t>Clerfayt</w:t>
      </w:r>
      <w:proofErr w:type="spellEnd"/>
      <w:r w:rsidR="00F02CFE">
        <w:rPr>
          <w:lang w:val="en-GB"/>
        </w:rPr>
        <w:t xml:space="preserve"> </w:t>
      </w:r>
      <w:r w:rsidR="00FB1BCB">
        <w:rPr>
          <w:lang w:val="en-GB"/>
        </w:rPr>
        <w:t xml:space="preserve">(1987) </w:t>
      </w:r>
      <w:r w:rsidR="00F02CFE">
        <w:rPr>
          <w:lang w:val="en-GB"/>
        </w:rPr>
        <w:t>concerned the emancipatory struggle of the French-speaking inhabitants of the municipalities at the outskirts of Brussels, which</w:t>
      </w:r>
      <w:r w:rsidR="00094858">
        <w:rPr>
          <w:lang w:val="en-GB"/>
        </w:rPr>
        <w:t xml:space="preserve"> had become part of the Dutch-speaking </w:t>
      </w:r>
      <w:r w:rsidR="00AB6C22">
        <w:rPr>
          <w:lang w:val="en-GB"/>
        </w:rPr>
        <w:t>language</w:t>
      </w:r>
      <w:r w:rsidR="00094858">
        <w:rPr>
          <w:lang w:val="en-GB"/>
        </w:rPr>
        <w:t xml:space="preserve"> region as a result of the constitutional reforms leading to the transformation </w:t>
      </w:r>
      <w:r w:rsidR="00642F41">
        <w:rPr>
          <w:lang w:val="en-GB"/>
        </w:rPr>
        <w:t xml:space="preserve">of Belgium </w:t>
      </w:r>
      <w:r w:rsidR="00FB73DC">
        <w:rPr>
          <w:lang w:val="en-GB"/>
        </w:rPr>
        <w:t xml:space="preserve">from a unitary </w:t>
      </w:r>
      <w:r w:rsidR="00642F41">
        <w:rPr>
          <w:lang w:val="en-GB"/>
        </w:rPr>
        <w:t xml:space="preserve">into a federal state, to </w:t>
      </w:r>
      <w:r w:rsidR="00642F41">
        <w:rPr>
          <w:lang w:val="en-GB"/>
        </w:rPr>
        <w:lastRenderedPageBreak/>
        <w:t xml:space="preserve">obtain </w:t>
      </w:r>
      <w:r w:rsidR="00AB6C22">
        <w:rPr>
          <w:lang w:val="en-GB"/>
        </w:rPr>
        <w:t xml:space="preserve">some kind of </w:t>
      </w:r>
      <w:r w:rsidR="00F6757E">
        <w:rPr>
          <w:lang w:val="en-GB"/>
        </w:rPr>
        <w:t xml:space="preserve">linguistic minority rights. </w:t>
      </w:r>
      <w:r w:rsidR="00642F41">
        <w:rPr>
          <w:lang w:val="en-GB"/>
        </w:rPr>
        <w:t xml:space="preserve">To some extent, also the case of </w:t>
      </w:r>
      <w:r w:rsidR="00642F41">
        <w:rPr>
          <w:i/>
          <w:lang w:val="en-GB"/>
        </w:rPr>
        <w:t xml:space="preserve">Van der </w:t>
      </w:r>
      <w:proofErr w:type="spellStart"/>
      <w:r w:rsidR="00642F41">
        <w:rPr>
          <w:i/>
          <w:lang w:val="en-GB"/>
        </w:rPr>
        <w:t>Mussele</w:t>
      </w:r>
      <w:proofErr w:type="spellEnd"/>
      <w:r w:rsidR="00642F41">
        <w:rPr>
          <w:i/>
          <w:lang w:val="en-GB"/>
        </w:rPr>
        <w:t xml:space="preserve"> </w:t>
      </w:r>
      <w:r w:rsidR="00FB1BCB">
        <w:rPr>
          <w:lang w:val="en-GB"/>
        </w:rPr>
        <w:t xml:space="preserve">(1983) </w:t>
      </w:r>
      <w:r w:rsidR="00CC3373">
        <w:rPr>
          <w:lang w:val="en-GB"/>
        </w:rPr>
        <w:t>can be viewed from</w:t>
      </w:r>
      <w:r w:rsidR="00642F41">
        <w:rPr>
          <w:lang w:val="en-GB"/>
        </w:rPr>
        <w:t xml:space="preserve"> this perspective: the emancipatory struggle of lawyers of humble socio-economic origin to gain access to the profession of </w:t>
      </w:r>
      <w:r w:rsidR="00F15571">
        <w:rPr>
          <w:lang w:val="en-GB"/>
        </w:rPr>
        <w:t xml:space="preserve">attorney that was historically mainly exercised by persons from a wealthy background who could more easily afford to do part of their work </w:t>
      </w:r>
      <w:r w:rsidR="00F15571">
        <w:rPr>
          <w:i/>
          <w:lang w:val="en-GB"/>
        </w:rPr>
        <w:t>pro bono</w:t>
      </w:r>
      <w:r w:rsidR="00F15571">
        <w:rPr>
          <w:lang w:val="en-GB"/>
        </w:rPr>
        <w:t>.</w:t>
      </w:r>
    </w:p>
    <w:p w14:paraId="2879F73C" w14:textId="77777777" w:rsidR="00566597" w:rsidRPr="002E6099" w:rsidRDefault="00566597" w:rsidP="006A03F9">
      <w:pPr>
        <w:rPr>
          <w:color w:val="FF0000"/>
          <w:lang w:val="en-GB"/>
        </w:rPr>
      </w:pPr>
    </w:p>
    <w:p w14:paraId="6A0E7004" w14:textId="77777777" w:rsidR="00330CCA" w:rsidRPr="00D976CD" w:rsidRDefault="00330CCA" w:rsidP="00330CCA">
      <w:pPr>
        <w:pStyle w:val="Lijstalinea"/>
        <w:numPr>
          <w:ilvl w:val="1"/>
          <w:numId w:val="6"/>
        </w:numPr>
        <w:ind w:left="0" w:firstLine="0"/>
        <w:rPr>
          <w:i/>
          <w:lang w:val="en-GB"/>
        </w:rPr>
      </w:pPr>
      <w:r w:rsidRPr="00D976CD">
        <w:rPr>
          <w:i/>
          <w:lang w:val="en-GB"/>
        </w:rPr>
        <w:t>Expectations</w:t>
      </w:r>
      <w:r w:rsidR="005E4F4E" w:rsidRPr="00D976CD">
        <w:rPr>
          <w:i/>
          <w:lang w:val="en-GB"/>
        </w:rPr>
        <w:t xml:space="preserve"> and evaluations</w:t>
      </w:r>
    </w:p>
    <w:p w14:paraId="1940753F" w14:textId="77777777" w:rsidR="00933231" w:rsidRDefault="00330CCA" w:rsidP="001A19D0">
      <w:pPr>
        <w:ind w:firstLine="708"/>
        <w:jc w:val="both"/>
        <w:rPr>
          <w:lang w:val="en-GB"/>
        </w:rPr>
      </w:pPr>
      <w:r w:rsidRPr="00D976CD">
        <w:rPr>
          <w:lang w:val="en-GB"/>
        </w:rPr>
        <w:t>Asked abou</w:t>
      </w:r>
      <w:r w:rsidR="009C69C7" w:rsidRPr="00D976CD">
        <w:rPr>
          <w:lang w:val="en-GB"/>
        </w:rPr>
        <w:t>t their expectations at the time of lodging the application and the</w:t>
      </w:r>
      <w:r w:rsidR="003734CC">
        <w:rPr>
          <w:lang w:val="en-GB"/>
        </w:rPr>
        <w:t>ir</w:t>
      </w:r>
      <w:r w:rsidR="009C69C7" w:rsidRPr="00D976CD">
        <w:rPr>
          <w:lang w:val="en-GB"/>
        </w:rPr>
        <w:t xml:space="preserve"> evaluations afterwards</w:t>
      </w:r>
      <w:r w:rsidRPr="00D976CD">
        <w:rPr>
          <w:lang w:val="en-GB"/>
        </w:rPr>
        <w:t xml:space="preserve">, the actors responded in varying manners. </w:t>
      </w:r>
      <w:r w:rsidR="00933231">
        <w:rPr>
          <w:lang w:val="en-GB"/>
        </w:rPr>
        <w:t>According to Patrick Devers,</w:t>
      </w:r>
    </w:p>
    <w:p w14:paraId="0CAFE0D9" w14:textId="045849A2" w:rsidR="00933231" w:rsidRDefault="009C69C7" w:rsidP="00933231">
      <w:pPr>
        <w:ind w:left="708"/>
        <w:jc w:val="both"/>
        <w:rPr>
          <w:lang w:val="en-GB"/>
        </w:rPr>
      </w:pPr>
      <w:proofErr w:type="gramStart"/>
      <w:r w:rsidRPr="00D976CD">
        <w:rPr>
          <w:lang w:val="en-GB"/>
        </w:rPr>
        <w:t>we</w:t>
      </w:r>
      <w:proofErr w:type="gramEnd"/>
      <w:r w:rsidRPr="00D976CD">
        <w:rPr>
          <w:lang w:val="en-GB"/>
        </w:rPr>
        <w:t xml:space="preserve"> expected nothing, I’m absolutely sure about that, it was sort of a last resort. But as the case proceeds, you get illusions about that. After the Commission, we thought: we’ve secured [</w:t>
      </w:r>
      <w:r w:rsidR="00661E00" w:rsidRPr="00D976CD">
        <w:rPr>
          <w:lang w:val="en-GB"/>
        </w:rPr>
        <w:t>an</w:t>
      </w:r>
      <w:r w:rsidRPr="00D976CD">
        <w:rPr>
          <w:lang w:val="en-GB"/>
        </w:rPr>
        <w:t>] Article 6</w:t>
      </w:r>
      <w:r w:rsidR="00661E00" w:rsidRPr="00D976CD">
        <w:rPr>
          <w:lang w:val="en-GB"/>
        </w:rPr>
        <w:t xml:space="preserve"> [victory]</w:t>
      </w:r>
      <w:r w:rsidRPr="00D976CD">
        <w:rPr>
          <w:lang w:val="en-GB"/>
        </w:rPr>
        <w:t xml:space="preserve"> [concerning fairness disciplinary proceedings], so then it was in fact only about Article 11 [concerning compulsory membership of the Order of Physicians], which would of cours</w:t>
      </w:r>
      <w:r w:rsidR="00C535C9">
        <w:rPr>
          <w:lang w:val="en-GB"/>
        </w:rPr>
        <w:t>e have had a much larger impact</w:t>
      </w:r>
      <w:r w:rsidRPr="00D976CD">
        <w:rPr>
          <w:rStyle w:val="Voetnootmarkering"/>
          <w:lang w:val="en-GB"/>
        </w:rPr>
        <w:footnoteReference w:id="202"/>
      </w:r>
      <w:r w:rsidR="00C535C9">
        <w:rPr>
          <w:lang w:val="en-GB"/>
        </w:rPr>
        <w:t>.</w:t>
      </w:r>
    </w:p>
    <w:p w14:paraId="46EC44A3" w14:textId="5251A8F1" w:rsidR="00330CCA" w:rsidRPr="00D976CD" w:rsidRDefault="00661E00" w:rsidP="00933231">
      <w:pPr>
        <w:jc w:val="both"/>
        <w:rPr>
          <w:lang w:val="en-GB"/>
        </w:rPr>
      </w:pPr>
      <w:r w:rsidRPr="00D976CD">
        <w:rPr>
          <w:lang w:val="en-GB"/>
        </w:rPr>
        <w:t xml:space="preserve">His client, Marc De Meyere, was more optimistic at the outset and was similarly encouraged in his optimism by the Commission report: “We 100 percent believed in it. […] And the Commission had gone further than the Court eventually did” – by also finding a violation of Article 6 on account of the lack of impartiality of the Order of Physicians’ disciplinary bodies. “So while as institution, [the Commission] would allow the Order to continue to exist, incredible doctoring [of the </w:t>
      </w:r>
      <w:r w:rsidR="00C535C9">
        <w:rPr>
          <w:lang w:val="en-GB"/>
        </w:rPr>
        <w:t>Order] would have been required</w:t>
      </w:r>
      <w:r w:rsidR="00771F76" w:rsidRPr="00D976CD">
        <w:rPr>
          <w:lang w:val="en-GB"/>
        </w:rPr>
        <w:t>”</w:t>
      </w:r>
      <w:r w:rsidR="00771F76" w:rsidRPr="00D976CD">
        <w:rPr>
          <w:rStyle w:val="Voetnootmarkering"/>
          <w:lang w:val="en-GB"/>
        </w:rPr>
        <w:footnoteReference w:id="203"/>
      </w:r>
      <w:r w:rsidR="00C535C9">
        <w:rPr>
          <w:lang w:val="en-GB"/>
        </w:rPr>
        <w:t>.</w:t>
      </w:r>
      <w:r w:rsidR="00771F76" w:rsidRPr="00D976CD">
        <w:rPr>
          <w:lang w:val="en-GB"/>
        </w:rPr>
        <w:t xml:space="preserve"> As held above, De Meyere was devastated to have only won with respect to the publicity requirement under Article 6.</w:t>
      </w:r>
    </w:p>
    <w:p w14:paraId="7111EC5E" w14:textId="4349E6ED" w:rsidR="00330CCA" w:rsidRDefault="00534CFA" w:rsidP="001A19D0">
      <w:pPr>
        <w:ind w:firstLine="708"/>
        <w:jc w:val="both"/>
        <w:rPr>
          <w:lang w:val="en-GB"/>
        </w:rPr>
      </w:pPr>
      <w:r w:rsidRPr="00534CFA">
        <w:rPr>
          <w:lang w:val="en-GB"/>
        </w:rPr>
        <w:t xml:space="preserve">Also Françoise De </w:t>
      </w:r>
      <w:proofErr w:type="spellStart"/>
      <w:r w:rsidRPr="00534CFA">
        <w:rPr>
          <w:lang w:val="en-GB"/>
        </w:rPr>
        <w:t>Croo-Desguin</w:t>
      </w:r>
      <w:proofErr w:type="spellEnd"/>
      <w:r w:rsidRPr="00534CFA">
        <w:rPr>
          <w:lang w:val="en-GB"/>
        </w:rPr>
        <w:t xml:space="preserve"> and Moni Van Look </w:t>
      </w:r>
      <w:r w:rsidR="00CF7DE1">
        <w:rPr>
          <w:lang w:val="en-GB"/>
        </w:rPr>
        <w:t>report having had low expectations at the outset</w:t>
      </w:r>
      <w:r w:rsidRPr="00534CFA">
        <w:rPr>
          <w:lang w:val="en-GB"/>
        </w:rPr>
        <w:t xml:space="preserve">. According to Françoise De </w:t>
      </w:r>
      <w:proofErr w:type="spellStart"/>
      <w:r w:rsidRPr="00534CFA">
        <w:rPr>
          <w:lang w:val="en-GB"/>
        </w:rPr>
        <w:t>Croo-Desguin</w:t>
      </w:r>
      <w:proofErr w:type="spellEnd"/>
      <w:r w:rsidRPr="00534CFA">
        <w:rPr>
          <w:lang w:val="en-GB"/>
        </w:rPr>
        <w:t>,</w:t>
      </w:r>
      <w:r w:rsidR="006B2310">
        <w:rPr>
          <w:lang w:val="en-GB"/>
        </w:rPr>
        <w:t xml:space="preserve"> attorney in the </w:t>
      </w:r>
      <w:r w:rsidR="006B2310" w:rsidRPr="00DA5F6B">
        <w:rPr>
          <w:i/>
          <w:lang w:val="en-GB"/>
        </w:rPr>
        <w:t xml:space="preserve">De </w:t>
      </w:r>
      <w:proofErr w:type="spellStart"/>
      <w:r w:rsidR="006B2310" w:rsidRPr="00DA5F6B">
        <w:rPr>
          <w:i/>
          <w:lang w:val="en-GB"/>
        </w:rPr>
        <w:t>Cubber</w:t>
      </w:r>
      <w:proofErr w:type="spellEnd"/>
      <w:r w:rsidR="006B2310">
        <w:rPr>
          <w:lang w:val="en-GB"/>
        </w:rPr>
        <w:t xml:space="preserve"> case</w:t>
      </w:r>
      <w:r w:rsidR="00DA5F6B">
        <w:rPr>
          <w:lang w:val="en-GB"/>
        </w:rPr>
        <w:t xml:space="preserve"> (1984)</w:t>
      </w:r>
      <w:r w:rsidR="006B2310">
        <w:rPr>
          <w:lang w:val="en-GB"/>
        </w:rPr>
        <w:t>,</w:t>
      </w:r>
      <w:r w:rsidRPr="00534CFA">
        <w:rPr>
          <w:lang w:val="en-GB"/>
        </w:rPr>
        <w:t xml:space="preserve"> “I did not expect that much. [I thought:] I shall try </w:t>
      </w:r>
      <w:proofErr w:type="gramStart"/>
      <w:r w:rsidRPr="00534CFA">
        <w:rPr>
          <w:lang w:val="en-GB"/>
        </w:rPr>
        <w:t>it,</w:t>
      </w:r>
      <w:proofErr w:type="gramEnd"/>
      <w:r w:rsidRPr="00534CFA">
        <w:rPr>
          <w:lang w:val="en-GB"/>
        </w:rPr>
        <w:t xml:space="preserve"> it is an opportunity to get to k</w:t>
      </w:r>
      <w:r w:rsidR="00C535C9">
        <w:rPr>
          <w:lang w:val="en-GB"/>
        </w:rPr>
        <w:t>now something I do not know yet</w:t>
      </w:r>
      <w:r w:rsidRPr="00534CFA">
        <w:rPr>
          <w:lang w:val="en-GB"/>
        </w:rPr>
        <w:t>”</w:t>
      </w:r>
      <w:r>
        <w:rPr>
          <w:rStyle w:val="Voetnootmarkering"/>
          <w:lang w:val="en-GB"/>
        </w:rPr>
        <w:footnoteReference w:id="204"/>
      </w:r>
      <w:r w:rsidR="00C535C9">
        <w:rPr>
          <w:lang w:val="en-GB"/>
        </w:rPr>
        <w:t>.</w:t>
      </w:r>
      <w:r>
        <w:rPr>
          <w:lang w:val="en-GB"/>
        </w:rPr>
        <w:t xml:space="preserve"> </w:t>
      </w:r>
      <w:r w:rsidR="00CF7DE1">
        <w:rPr>
          <w:lang w:val="en-GB"/>
        </w:rPr>
        <w:t>Moni Van Look, who defended Marckx in Strasbourg, similarly did not seem to expect a lot at the outset: “To be honest, I was surprised that Strasbourg went that far along with all of that, they practic</w:t>
      </w:r>
      <w:r w:rsidR="00C535C9">
        <w:rPr>
          <w:lang w:val="en-GB"/>
        </w:rPr>
        <w:t>ally followed me in everything”</w:t>
      </w:r>
      <w:r w:rsidR="00CF7DE1">
        <w:rPr>
          <w:rStyle w:val="Voetnootmarkering"/>
          <w:lang w:val="en-GB"/>
        </w:rPr>
        <w:footnoteReference w:id="205"/>
      </w:r>
      <w:r w:rsidR="00C535C9">
        <w:rPr>
          <w:lang w:val="en-GB"/>
        </w:rPr>
        <w:t>.</w:t>
      </w:r>
    </w:p>
    <w:p w14:paraId="57A5B31B" w14:textId="24A0CEAC" w:rsidR="0054219E" w:rsidRPr="0080121D" w:rsidRDefault="0054219E" w:rsidP="001A19D0">
      <w:pPr>
        <w:ind w:firstLine="708"/>
        <w:jc w:val="both"/>
        <w:rPr>
          <w:lang w:val="en-GB"/>
        </w:rPr>
      </w:pPr>
      <w:r>
        <w:rPr>
          <w:lang w:val="en-GB"/>
        </w:rPr>
        <w:t xml:space="preserve">Others report having been more confident at the outset. Luc </w:t>
      </w:r>
      <w:proofErr w:type="spellStart"/>
      <w:r>
        <w:rPr>
          <w:lang w:val="en-GB"/>
        </w:rPr>
        <w:t>Peeters</w:t>
      </w:r>
      <w:proofErr w:type="spellEnd"/>
      <w:r>
        <w:rPr>
          <w:lang w:val="en-GB"/>
        </w:rPr>
        <w:t xml:space="preserve">, with respect to the </w:t>
      </w:r>
      <w:proofErr w:type="spellStart"/>
      <w:r w:rsidRPr="00DA5F6B">
        <w:rPr>
          <w:i/>
          <w:lang w:val="en-GB"/>
        </w:rPr>
        <w:t>Pauwels</w:t>
      </w:r>
      <w:proofErr w:type="spellEnd"/>
      <w:r>
        <w:rPr>
          <w:lang w:val="en-GB"/>
        </w:rPr>
        <w:t xml:space="preserve"> case</w:t>
      </w:r>
      <w:r w:rsidR="00DA5F6B">
        <w:rPr>
          <w:lang w:val="en-GB"/>
        </w:rPr>
        <w:t xml:space="preserve"> (1988)</w:t>
      </w:r>
      <w:r>
        <w:rPr>
          <w:lang w:val="en-GB"/>
        </w:rPr>
        <w:t xml:space="preserve">, for example, held that “I had very positive expectations. I said: ‘when the Commission at first instance assesses my application, it cannot but declare it admissible. […] And on the merits, before the Court, I was equally convinced that we had to win the case, at least if they </w:t>
      </w:r>
      <w:r w:rsidR="00C535C9">
        <w:rPr>
          <w:lang w:val="en-GB"/>
        </w:rPr>
        <w:t>would be intellectually honest”</w:t>
      </w:r>
      <w:r>
        <w:rPr>
          <w:rStyle w:val="Voetnootmarkering"/>
          <w:lang w:val="en-GB"/>
        </w:rPr>
        <w:footnoteReference w:id="206"/>
      </w:r>
      <w:r w:rsidR="00C535C9">
        <w:rPr>
          <w:lang w:val="en-GB"/>
        </w:rPr>
        <w:t>.</w:t>
      </w:r>
      <w:r w:rsidR="00B339E7">
        <w:rPr>
          <w:lang w:val="en-GB"/>
        </w:rPr>
        <w:t xml:space="preserve"> Especially after the Commission in its report</w:t>
      </w:r>
      <w:r w:rsidR="0080121D">
        <w:rPr>
          <w:lang w:val="en-GB"/>
        </w:rPr>
        <w:t xml:space="preserve"> on the </w:t>
      </w:r>
      <w:r w:rsidR="0080121D">
        <w:rPr>
          <w:i/>
          <w:lang w:val="en-GB"/>
        </w:rPr>
        <w:t>Mathieu-</w:t>
      </w:r>
      <w:proofErr w:type="spellStart"/>
      <w:r w:rsidR="0080121D">
        <w:rPr>
          <w:i/>
          <w:lang w:val="en-GB"/>
        </w:rPr>
        <w:t>Mohin</w:t>
      </w:r>
      <w:proofErr w:type="spellEnd"/>
      <w:r w:rsidR="0080121D">
        <w:rPr>
          <w:i/>
          <w:lang w:val="en-GB"/>
        </w:rPr>
        <w:t xml:space="preserve"> and </w:t>
      </w:r>
      <w:proofErr w:type="spellStart"/>
      <w:r w:rsidR="0080121D">
        <w:rPr>
          <w:i/>
          <w:lang w:val="en-GB"/>
        </w:rPr>
        <w:t>Clerfayt</w:t>
      </w:r>
      <w:proofErr w:type="spellEnd"/>
      <w:r w:rsidR="0080121D">
        <w:rPr>
          <w:i/>
          <w:lang w:val="en-GB"/>
        </w:rPr>
        <w:t xml:space="preserve"> </w:t>
      </w:r>
      <w:r w:rsidR="0080121D">
        <w:rPr>
          <w:lang w:val="en-GB"/>
        </w:rPr>
        <w:t xml:space="preserve">case </w:t>
      </w:r>
      <w:r w:rsidR="00DA5F6B">
        <w:rPr>
          <w:lang w:val="en-GB"/>
        </w:rPr>
        <w:t xml:space="preserve">(1987) </w:t>
      </w:r>
      <w:r w:rsidR="0080121D">
        <w:rPr>
          <w:lang w:val="en-GB"/>
        </w:rPr>
        <w:t>considered that the situation in the Brussels periphery violated Article 3 Protocol No. 1 (the right to free elections), Bernard Maingain started to become optimistic about the outcome of the case. He however recalls</w:t>
      </w:r>
      <w:r w:rsidR="00FE1178">
        <w:rPr>
          <w:lang w:val="en-GB"/>
        </w:rPr>
        <w:t xml:space="preserve"> how his expectations were tempered when</w:t>
      </w:r>
      <w:r w:rsidR="0080121D">
        <w:rPr>
          <w:lang w:val="en-GB"/>
        </w:rPr>
        <w:t xml:space="preserve"> François </w:t>
      </w:r>
      <w:proofErr w:type="spellStart"/>
      <w:r w:rsidR="0080121D">
        <w:rPr>
          <w:lang w:val="en-GB"/>
        </w:rPr>
        <w:t>Rigaux</w:t>
      </w:r>
      <w:proofErr w:type="spellEnd"/>
      <w:r w:rsidR="0080121D">
        <w:rPr>
          <w:lang w:val="en-GB"/>
        </w:rPr>
        <w:t xml:space="preserve">, professor of international law at the </w:t>
      </w:r>
      <w:proofErr w:type="spellStart"/>
      <w:r w:rsidR="0080121D">
        <w:rPr>
          <w:i/>
          <w:lang w:val="en-GB"/>
        </w:rPr>
        <w:t>Université</w:t>
      </w:r>
      <w:proofErr w:type="spellEnd"/>
      <w:r w:rsidR="0080121D">
        <w:rPr>
          <w:i/>
          <w:lang w:val="en-GB"/>
        </w:rPr>
        <w:t xml:space="preserve"> Catholic de Louvain</w:t>
      </w:r>
      <w:r w:rsidR="0080121D">
        <w:rPr>
          <w:lang w:val="en-GB"/>
        </w:rPr>
        <w:t xml:space="preserve">, </w:t>
      </w:r>
      <w:r w:rsidR="00FE1178">
        <w:rPr>
          <w:lang w:val="en-GB"/>
        </w:rPr>
        <w:t>told</w:t>
      </w:r>
      <w:r w:rsidR="0080121D">
        <w:rPr>
          <w:lang w:val="en-GB"/>
        </w:rPr>
        <w:t xml:space="preserve"> him shortly before the Court issued its judgment that he was dreaming, since the case was at the intersection of </w:t>
      </w:r>
      <w:r w:rsidR="0080121D">
        <w:rPr>
          <w:lang w:val="en-GB"/>
        </w:rPr>
        <w:lastRenderedPageBreak/>
        <w:t xml:space="preserve">law and politics and that for that reason the Court would not rule in his favour. </w:t>
      </w:r>
      <w:proofErr w:type="spellStart"/>
      <w:r w:rsidR="0080121D">
        <w:rPr>
          <w:lang w:val="en-GB"/>
        </w:rPr>
        <w:t>Rigaux</w:t>
      </w:r>
      <w:proofErr w:type="spellEnd"/>
      <w:r w:rsidR="0080121D">
        <w:rPr>
          <w:lang w:val="en-GB"/>
        </w:rPr>
        <w:t xml:space="preserve"> told Maingain that the case after all not only concerned the small French-speaking minority around Brussels, but the whol</w:t>
      </w:r>
      <w:r w:rsidR="00C535C9">
        <w:rPr>
          <w:lang w:val="en-GB"/>
        </w:rPr>
        <w:t>e of Europe, the Scots etcetera</w:t>
      </w:r>
      <w:r w:rsidR="0080121D">
        <w:rPr>
          <w:rStyle w:val="Voetnootmarkering"/>
          <w:lang w:val="en-GB"/>
        </w:rPr>
        <w:footnoteReference w:id="207"/>
      </w:r>
      <w:r w:rsidR="00C535C9">
        <w:rPr>
          <w:lang w:val="en-GB"/>
        </w:rPr>
        <w:t>.</w:t>
      </w:r>
    </w:p>
    <w:p w14:paraId="0AD4EE73" w14:textId="77777777" w:rsidR="00D976CD" w:rsidRPr="004516BA" w:rsidRDefault="00D976CD" w:rsidP="00534CFA">
      <w:pPr>
        <w:jc w:val="both"/>
        <w:rPr>
          <w:lang w:val="en-GB"/>
        </w:rPr>
      </w:pPr>
    </w:p>
    <w:p w14:paraId="25CC6AE0" w14:textId="77777777" w:rsidR="0054219E" w:rsidRPr="0054219E" w:rsidRDefault="0054219E" w:rsidP="00534CFA">
      <w:pPr>
        <w:jc w:val="both"/>
        <w:rPr>
          <w:i/>
          <w:lang w:val="en-GB"/>
        </w:rPr>
      </w:pPr>
      <w:r>
        <w:rPr>
          <w:i/>
          <w:lang w:val="en-GB"/>
        </w:rPr>
        <w:t xml:space="preserve">Influence </w:t>
      </w:r>
      <w:r w:rsidR="003734CC">
        <w:rPr>
          <w:i/>
          <w:lang w:val="en-GB"/>
        </w:rPr>
        <w:t xml:space="preserve">of </w:t>
      </w:r>
      <w:r>
        <w:rPr>
          <w:i/>
          <w:lang w:val="en-GB"/>
        </w:rPr>
        <w:t>prior case law on expectations</w:t>
      </w:r>
    </w:p>
    <w:p w14:paraId="2E2CD696" w14:textId="28302BA2" w:rsidR="00176C32" w:rsidRDefault="008F3BF5" w:rsidP="001A19D0">
      <w:pPr>
        <w:ind w:firstLine="708"/>
        <w:jc w:val="both"/>
        <w:rPr>
          <w:lang w:val="en-GB"/>
        </w:rPr>
      </w:pPr>
      <w:r>
        <w:rPr>
          <w:lang w:val="en-GB"/>
        </w:rPr>
        <w:t xml:space="preserve">Knowledge of prior case law on which </w:t>
      </w:r>
      <w:r w:rsidR="003734CC">
        <w:rPr>
          <w:lang w:val="en-GB"/>
        </w:rPr>
        <w:t xml:space="preserve">to </w:t>
      </w:r>
      <w:r>
        <w:rPr>
          <w:lang w:val="en-GB"/>
        </w:rPr>
        <w:t>build a case seems to have been an important factor contributing to attorneys’ confidence in the outcome of their case</w:t>
      </w:r>
      <w:r w:rsidR="007D0967">
        <w:rPr>
          <w:lang w:val="en-GB"/>
        </w:rPr>
        <w:t>, confirming Paul Johnson’s findings in this respect</w:t>
      </w:r>
      <w:r w:rsidR="007D0967">
        <w:rPr>
          <w:rStyle w:val="Voetnootmarkering"/>
          <w:lang w:val="en-GB"/>
        </w:rPr>
        <w:footnoteReference w:id="208"/>
      </w:r>
      <w:r w:rsidR="00C535C9">
        <w:rPr>
          <w:lang w:val="en-GB"/>
        </w:rPr>
        <w:t>.</w:t>
      </w:r>
      <w:r w:rsidR="00793BF3">
        <w:rPr>
          <w:lang w:val="en-GB"/>
        </w:rPr>
        <w:t xml:space="preserve"> For example, in 1987, a friendly settlement was reached in the </w:t>
      </w:r>
      <w:r w:rsidR="00793BF3">
        <w:rPr>
          <w:i/>
          <w:lang w:val="en-GB"/>
        </w:rPr>
        <w:t xml:space="preserve">Ben </w:t>
      </w:r>
      <w:proofErr w:type="spellStart"/>
      <w:r w:rsidR="00793BF3">
        <w:rPr>
          <w:i/>
          <w:lang w:val="en-GB"/>
        </w:rPr>
        <w:t>Yaacoub</w:t>
      </w:r>
      <w:proofErr w:type="spellEnd"/>
      <w:r w:rsidR="00793BF3">
        <w:rPr>
          <w:lang w:val="en-GB"/>
        </w:rPr>
        <w:t xml:space="preserve"> case, as the Government </w:t>
      </w:r>
      <w:r w:rsidR="00C96D4A">
        <w:rPr>
          <w:lang w:val="en-GB"/>
        </w:rPr>
        <w:t>wanted to</w:t>
      </w:r>
      <w:r w:rsidR="00793BF3">
        <w:rPr>
          <w:lang w:val="en-GB"/>
        </w:rPr>
        <w:t xml:space="preserve"> settle</w:t>
      </w:r>
      <w:r w:rsidR="00C96D4A">
        <w:rPr>
          <w:lang w:val="en-GB"/>
        </w:rPr>
        <w:t xml:space="preserve"> this case</w:t>
      </w:r>
      <w:r w:rsidR="00793BF3">
        <w:rPr>
          <w:lang w:val="en-GB"/>
        </w:rPr>
        <w:t xml:space="preserve"> in the light of the </w:t>
      </w:r>
      <w:r w:rsidR="00793BF3">
        <w:rPr>
          <w:i/>
          <w:lang w:val="en-GB"/>
        </w:rPr>
        <w:t xml:space="preserve">De </w:t>
      </w:r>
      <w:proofErr w:type="spellStart"/>
      <w:r w:rsidR="00793BF3">
        <w:rPr>
          <w:i/>
          <w:lang w:val="en-GB"/>
        </w:rPr>
        <w:t>Cubber</w:t>
      </w:r>
      <w:proofErr w:type="spellEnd"/>
      <w:r w:rsidR="00793BF3">
        <w:rPr>
          <w:i/>
          <w:lang w:val="en-GB"/>
        </w:rPr>
        <w:t xml:space="preserve"> </w:t>
      </w:r>
      <w:r w:rsidR="00793BF3">
        <w:rPr>
          <w:lang w:val="en-GB"/>
        </w:rPr>
        <w:t xml:space="preserve">case </w:t>
      </w:r>
      <w:r w:rsidR="00DA5F6B">
        <w:rPr>
          <w:lang w:val="en-GB"/>
        </w:rPr>
        <w:t xml:space="preserve">(1984) </w:t>
      </w:r>
      <w:r w:rsidR="00793BF3">
        <w:rPr>
          <w:lang w:val="en-GB"/>
        </w:rPr>
        <w:t>that touched upon similar questions – i.e. a judge deciding on the merits of a criminal case having been p</w:t>
      </w:r>
      <w:r w:rsidR="00C96D4A">
        <w:rPr>
          <w:lang w:val="en-GB"/>
        </w:rPr>
        <w:t>reviousl</w:t>
      </w:r>
      <w:r w:rsidR="00793BF3">
        <w:rPr>
          <w:lang w:val="en-GB"/>
        </w:rPr>
        <w:t>y involved in the investigation of that case</w:t>
      </w:r>
      <w:r w:rsidR="00C96D4A">
        <w:rPr>
          <w:lang w:val="en-GB"/>
        </w:rPr>
        <w:t xml:space="preserve">. According to Leon Martens, attorney in the </w:t>
      </w:r>
      <w:r w:rsidR="00C96D4A">
        <w:rPr>
          <w:i/>
          <w:lang w:val="en-GB"/>
        </w:rPr>
        <w:t xml:space="preserve">Ben </w:t>
      </w:r>
      <w:proofErr w:type="spellStart"/>
      <w:r w:rsidR="00C96D4A">
        <w:rPr>
          <w:i/>
          <w:lang w:val="en-GB"/>
        </w:rPr>
        <w:t>Yaacoub</w:t>
      </w:r>
      <w:proofErr w:type="spellEnd"/>
      <w:r w:rsidR="00C96D4A">
        <w:rPr>
          <w:i/>
          <w:lang w:val="en-GB"/>
        </w:rPr>
        <w:t xml:space="preserve"> </w:t>
      </w:r>
      <w:r w:rsidR="00C96D4A">
        <w:rPr>
          <w:lang w:val="en-GB"/>
        </w:rPr>
        <w:t xml:space="preserve">case, “if one reads that the European Court issues a judgment against Belgium in 1984 [i.e. </w:t>
      </w:r>
      <w:r w:rsidR="00C96D4A">
        <w:rPr>
          <w:i/>
          <w:lang w:val="en-GB"/>
        </w:rPr>
        <w:t xml:space="preserve">De </w:t>
      </w:r>
      <w:proofErr w:type="spellStart"/>
      <w:r w:rsidR="00C96D4A">
        <w:rPr>
          <w:i/>
          <w:lang w:val="en-GB"/>
        </w:rPr>
        <w:t>Cubber</w:t>
      </w:r>
      <w:proofErr w:type="spellEnd"/>
      <w:r w:rsidR="00C96D4A">
        <w:rPr>
          <w:lang w:val="en-GB"/>
        </w:rPr>
        <w:t xml:space="preserve">], then it’s evident that attorneys consider this interesting and also try to do this. […] I expected everything from </w:t>
      </w:r>
      <w:proofErr w:type="gramStart"/>
      <w:r w:rsidR="00C96D4A">
        <w:rPr>
          <w:lang w:val="en-GB"/>
        </w:rPr>
        <w:t>Strasbourg,</w:t>
      </w:r>
      <w:proofErr w:type="gramEnd"/>
      <w:r w:rsidR="00C96D4A">
        <w:rPr>
          <w:lang w:val="en-GB"/>
        </w:rPr>
        <w:t xml:space="preserve"> you don’t start on a case if y</w:t>
      </w:r>
      <w:r w:rsidR="00C535C9">
        <w:rPr>
          <w:lang w:val="en-GB"/>
        </w:rPr>
        <w:t>ou think that you can’t win it”</w:t>
      </w:r>
      <w:r w:rsidR="00C96D4A">
        <w:rPr>
          <w:rStyle w:val="Voetnootmarkering"/>
          <w:lang w:val="en-GB"/>
        </w:rPr>
        <w:footnoteReference w:id="209"/>
      </w:r>
      <w:r w:rsidR="00C535C9">
        <w:rPr>
          <w:lang w:val="en-GB"/>
        </w:rPr>
        <w:t>.</w:t>
      </w:r>
    </w:p>
    <w:p w14:paraId="6EF95DF6" w14:textId="77777777" w:rsidR="00933231" w:rsidRDefault="00230D39" w:rsidP="001A19D0">
      <w:pPr>
        <w:ind w:firstLine="708"/>
        <w:jc w:val="both"/>
        <w:rPr>
          <w:lang w:val="en-GB"/>
        </w:rPr>
      </w:pPr>
      <w:r>
        <w:rPr>
          <w:lang w:val="en-GB"/>
        </w:rPr>
        <w:t xml:space="preserve">Also Jean-Marie </w:t>
      </w:r>
      <w:proofErr w:type="spellStart"/>
      <w:r>
        <w:rPr>
          <w:lang w:val="en-GB"/>
        </w:rPr>
        <w:t>Nelissen</w:t>
      </w:r>
      <w:proofErr w:type="spellEnd"/>
      <w:r>
        <w:rPr>
          <w:lang w:val="en-GB"/>
        </w:rPr>
        <w:t xml:space="preserve"> Grade, attorney in the </w:t>
      </w:r>
      <w:r w:rsidR="00DA5F6B">
        <w:rPr>
          <w:i/>
          <w:lang w:val="en-GB"/>
        </w:rPr>
        <w:t xml:space="preserve">National </w:t>
      </w:r>
      <w:r>
        <w:rPr>
          <w:i/>
          <w:lang w:val="en-GB"/>
        </w:rPr>
        <w:t>Union of Belgian Police</w:t>
      </w:r>
      <w:r>
        <w:rPr>
          <w:lang w:val="en-GB"/>
        </w:rPr>
        <w:t xml:space="preserve"> case</w:t>
      </w:r>
      <w:r w:rsidR="00DA5F6B">
        <w:rPr>
          <w:lang w:val="en-GB"/>
        </w:rPr>
        <w:t xml:space="preserve"> (1975)</w:t>
      </w:r>
      <w:r>
        <w:rPr>
          <w:lang w:val="en-GB"/>
        </w:rPr>
        <w:t xml:space="preserve">, reports that an earlier precedent against Belgium – the </w:t>
      </w:r>
      <w:r>
        <w:rPr>
          <w:i/>
          <w:lang w:val="en-GB"/>
        </w:rPr>
        <w:t>Belgian Linguistics case</w:t>
      </w:r>
      <w:r w:rsidR="00DA5F6B">
        <w:rPr>
          <w:lang w:val="en-GB"/>
        </w:rPr>
        <w:t xml:space="preserve"> (1968)</w:t>
      </w:r>
      <w:r>
        <w:rPr>
          <w:lang w:val="en-GB"/>
        </w:rPr>
        <w:t xml:space="preserve">, in which the Court developed its approach under Article 14 (prohibition of discrimination) – </w:t>
      </w:r>
      <w:r w:rsidR="00176C32">
        <w:rPr>
          <w:lang w:val="en-GB"/>
        </w:rPr>
        <w:t>shaped his expectations concerning his case in Strasbourg, making him believe more</w:t>
      </w:r>
      <w:r>
        <w:rPr>
          <w:lang w:val="en-GB"/>
        </w:rPr>
        <w:t xml:space="preserve"> in the argument developed under Article 14 in conjunction with Article 11 (freedom of association) than in the argument developed</w:t>
      </w:r>
      <w:r w:rsidR="00933231">
        <w:rPr>
          <w:lang w:val="en-GB"/>
        </w:rPr>
        <w:t xml:space="preserve"> under Article 11 in isolation:</w:t>
      </w:r>
    </w:p>
    <w:p w14:paraId="08D61A46" w14:textId="3EEB9928" w:rsidR="00933231" w:rsidRDefault="00230D39" w:rsidP="00933231">
      <w:pPr>
        <w:ind w:left="708"/>
        <w:jc w:val="both"/>
        <w:rPr>
          <w:lang w:val="en-GB"/>
        </w:rPr>
      </w:pPr>
      <w:r>
        <w:rPr>
          <w:lang w:val="en-GB"/>
        </w:rPr>
        <w:t xml:space="preserve">I thought I had well understood the position [from the </w:t>
      </w:r>
      <w:r>
        <w:rPr>
          <w:i/>
          <w:lang w:val="en-GB"/>
        </w:rPr>
        <w:t>Belgian Linguistics case</w:t>
      </w:r>
      <w:r>
        <w:rPr>
          <w:lang w:val="en-GB"/>
        </w:rPr>
        <w:t xml:space="preserve">] and I could thus use that in my Article 11 case to say: look, even if Article 11 indeed does not </w:t>
      </w:r>
      <w:r w:rsidR="00176C32">
        <w:rPr>
          <w:lang w:val="en-GB"/>
        </w:rPr>
        <w:t>oblige the State to organize a right for unio</w:t>
      </w:r>
      <w:r w:rsidR="00573EFF">
        <w:rPr>
          <w:lang w:val="en-GB"/>
        </w:rPr>
        <w:t>ns to be consulted;</w:t>
      </w:r>
      <w:r w:rsidR="00176C32">
        <w:rPr>
          <w:lang w:val="en-GB"/>
        </w:rPr>
        <w:t xml:space="preserve"> if the State</w:t>
      </w:r>
      <w:r w:rsidR="00573EFF">
        <w:rPr>
          <w:lang w:val="en-GB"/>
        </w:rPr>
        <w:t xml:space="preserve"> nonetheless</w:t>
      </w:r>
      <w:r w:rsidR="00176C32">
        <w:rPr>
          <w:lang w:val="en-GB"/>
        </w:rPr>
        <w:t xml:space="preserve"> does so, it has to happen without discrimination. So then the question was: is it discriminatory to make a distinction between representative and non-representative unions? […] There was </w:t>
      </w:r>
      <w:proofErr w:type="gramStart"/>
      <w:r w:rsidR="00176C32">
        <w:rPr>
          <w:lang w:val="en-GB"/>
        </w:rPr>
        <w:t>a discrimination</w:t>
      </w:r>
      <w:proofErr w:type="gramEnd"/>
      <w:r w:rsidR="00176C32">
        <w:rPr>
          <w:lang w:val="en-GB"/>
        </w:rPr>
        <w:t>, the question was whether that discrimination was justified in the light of</w:t>
      </w:r>
      <w:r w:rsidR="00933231">
        <w:rPr>
          <w:lang w:val="en-GB"/>
        </w:rPr>
        <w:t xml:space="preserve"> the provisions of Article 14.</w:t>
      </w:r>
    </w:p>
    <w:p w14:paraId="4C58489C" w14:textId="77777777" w:rsidR="00933231" w:rsidRDefault="00176C32" w:rsidP="00933231">
      <w:pPr>
        <w:jc w:val="both"/>
        <w:rPr>
          <w:lang w:val="en-GB"/>
        </w:rPr>
      </w:pPr>
      <w:r>
        <w:rPr>
          <w:lang w:val="en-GB"/>
        </w:rPr>
        <w:t xml:space="preserve">Despite the fact that the Court found the distinction to be justified, </w:t>
      </w:r>
      <w:proofErr w:type="spellStart"/>
      <w:r>
        <w:rPr>
          <w:lang w:val="en-GB"/>
        </w:rPr>
        <w:t>Nelissen</w:t>
      </w:r>
      <w:proofErr w:type="spellEnd"/>
      <w:r>
        <w:rPr>
          <w:lang w:val="en-GB"/>
        </w:rPr>
        <w:t xml:space="preserve"> Grade looks back at the case</w:t>
      </w:r>
      <w:r w:rsidR="00933231">
        <w:rPr>
          <w:lang w:val="en-GB"/>
        </w:rPr>
        <w:t xml:space="preserve"> with satisfaction:</w:t>
      </w:r>
    </w:p>
    <w:p w14:paraId="09310FB6" w14:textId="599B24F9" w:rsidR="0054219E" w:rsidRDefault="00176C32" w:rsidP="00933231">
      <w:pPr>
        <w:ind w:left="708"/>
        <w:jc w:val="both"/>
        <w:rPr>
          <w:lang w:val="en-GB"/>
        </w:rPr>
      </w:pPr>
      <w:proofErr w:type="gramStart"/>
      <w:r>
        <w:rPr>
          <w:lang w:val="en-GB"/>
        </w:rPr>
        <w:t>as</w:t>
      </w:r>
      <w:proofErr w:type="gramEnd"/>
      <w:r>
        <w:rPr>
          <w:lang w:val="en-GB"/>
        </w:rPr>
        <w:t xml:space="preserve"> one could expect, we lost the case, but with a certain honour. I was relatively satisfied about the result. </w:t>
      </w:r>
      <w:proofErr w:type="gramStart"/>
      <w:r>
        <w:rPr>
          <w:lang w:val="en-GB"/>
        </w:rPr>
        <w:t xml:space="preserve">My client </w:t>
      </w:r>
      <w:r w:rsidR="00245B56">
        <w:rPr>
          <w:lang w:val="en-GB"/>
        </w:rPr>
        <w:t>[</w:t>
      </w:r>
      <w:r>
        <w:rPr>
          <w:lang w:val="en-GB"/>
        </w:rPr>
        <w:t>was</w:t>
      </w:r>
      <w:r w:rsidR="00245B56">
        <w:rPr>
          <w:lang w:val="en-GB"/>
        </w:rPr>
        <w:t>]</w:t>
      </w:r>
      <w:r>
        <w:rPr>
          <w:lang w:val="en-GB"/>
        </w:rPr>
        <w:t xml:space="preserve"> less </w:t>
      </w:r>
      <w:r w:rsidR="00245B56">
        <w:rPr>
          <w:lang w:val="en-GB"/>
        </w:rPr>
        <w:t>[</w:t>
      </w:r>
      <w:r>
        <w:rPr>
          <w:lang w:val="en-GB"/>
        </w:rPr>
        <w:t>satisfied</w:t>
      </w:r>
      <w:r w:rsidR="00245B56">
        <w:rPr>
          <w:lang w:val="en-GB"/>
        </w:rPr>
        <w:t>]</w:t>
      </w:r>
      <w:r>
        <w:rPr>
          <w:lang w:val="en-GB"/>
        </w:rPr>
        <w:t>.</w:t>
      </w:r>
      <w:proofErr w:type="gramEnd"/>
      <w:r>
        <w:rPr>
          <w:lang w:val="en-GB"/>
        </w:rPr>
        <w:t xml:space="preserve"> In the beginning they did not believe too much</w:t>
      </w:r>
      <w:r w:rsidR="00245B56">
        <w:rPr>
          <w:lang w:val="en-GB"/>
        </w:rPr>
        <w:t xml:space="preserve"> in it, but as the case moved forward, they got the impression […] that the case would cause the whole question to evolve, wh</w:t>
      </w:r>
      <w:r w:rsidR="00C535C9">
        <w:rPr>
          <w:lang w:val="en-GB"/>
        </w:rPr>
        <w:t>ich eventually was not the case</w:t>
      </w:r>
      <w:r w:rsidR="00245B56">
        <w:rPr>
          <w:rStyle w:val="Voetnootmarkering"/>
          <w:lang w:val="en-GB"/>
        </w:rPr>
        <w:footnoteReference w:id="210"/>
      </w:r>
      <w:r w:rsidR="00C535C9">
        <w:rPr>
          <w:lang w:val="en-GB"/>
        </w:rPr>
        <w:t>.</w:t>
      </w:r>
    </w:p>
    <w:p w14:paraId="3A347D14" w14:textId="77777777" w:rsidR="0054219E" w:rsidRDefault="0054219E" w:rsidP="006B2310">
      <w:pPr>
        <w:jc w:val="both"/>
        <w:rPr>
          <w:lang w:val="en-GB"/>
        </w:rPr>
      </w:pPr>
    </w:p>
    <w:p w14:paraId="4CDDAC82" w14:textId="77777777" w:rsidR="006527F1" w:rsidRDefault="006527F1" w:rsidP="006B2310">
      <w:pPr>
        <w:jc w:val="both"/>
        <w:rPr>
          <w:lang w:val="en-GB"/>
        </w:rPr>
      </w:pPr>
    </w:p>
    <w:p w14:paraId="0AAF3871" w14:textId="77777777" w:rsidR="0054219E" w:rsidRPr="0054219E" w:rsidRDefault="0054219E" w:rsidP="006B2310">
      <w:pPr>
        <w:jc w:val="both"/>
        <w:rPr>
          <w:i/>
          <w:lang w:val="en-GB"/>
        </w:rPr>
      </w:pPr>
      <w:r>
        <w:rPr>
          <w:i/>
          <w:lang w:val="en-GB"/>
        </w:rPr>
        <w:lastRenderedPageBreak/>
        <w:t>Productive defeats</w:t>
      </w:r>
    </w:p>
    <w:p w14:paraId="6E2D5E2F" w14:textId="77777777" w:rsidR="00933231" w:rsidRDefault="00687577" w:rsidP="001A19D0">
      <w:pPr>
        <w:ind w:firstLine="708"/>
        <w:jc w:val="both"/>
        <w:rPr>
          <w:lang w:val="en-GB"/>
        </w:rPr>
      </w:pPr>
      <w:r w:rsidRPr="00687577">
        <w:rPr>
          <w:lang w:val="en-GB"/>
        </w:rPr>
        <w:t>In an article on interest group litigation to enforce human rights</w:t>
      </w:r>
      <w:r>
        <w:rPr>
          <w:lang w:val="en-GB"/>
        </w:rPr>
        <w:t xml:space="preserve"> in the United States</w:t>
      </w:r>
      <w:r w:rsidRPr="00687577">
        <w:rPr>
          <w:lang w:val="en-GB"/>
        </w:rPr>
        <w:t xml:space="preserve">, Howard </w:t>
      </w:r>
      <w:proofErr w:type="spellStart"/>
      <w:r w:rsidRPr="00687577">
        <w:rPr>
          <w:lang w:val="en-GB"/>
        </w:rPr>
        <w:t>Tolley</w:t>
      </w:r>
      <w:proofErr w:type="spellEnd"/>
      <w:r w:rsidRPr="00687577">
        <w:rPr>
          <w:lang w:val="en-GB"/>
        </w:rPr>
        <w:t xml:space="preserve"> has </w:t>
      </w:r>
      <w:r>
        <w:rPr>
          <w:lang w:val="en-GB"/>
        </w:rPr>
        <w:t>introduced the notions of hollow victories – i.e. “legal successes […] [providing] more symbolic than tangible benefits to the claimants” – and productive defeats – for example, where “publicity about the unavailing litigation contributed to public disaffection with administration pol</w:t>
      </w:r>
      <w:r w:rsidR="00C535C9">
        <w:rPr>
          <w:lang w:val="en-GB"/>
        </w:rPr>
        <w:t>icy” resulting in policy change</w:t>
      </w:r>
      <w:r>
        <w:rPr>
          <w:rStyle w:val="Voetnootmarkering"/>
          <w:lang w:val="en-GB"/>
        </w:rPr>
        <w:footnoteReference w:id="211"/>
      </w:r>
      <w:r w:rsidR="00C535C9">
        <w:rPr>
          <w:lang w:val="en-GB"/>
        </w:rPr>
        <w:t>.</w:t>
      </w:r>
      <w:r w:rsidR="00373987">
        <w:rPr>
          <w:lang w:val="en-GB"/>
        </w:rPr>
        <w:t xml:space="preserve"> The </w:t>
      </w:r>
      <w:r w:rsidR="00373987">
        <w:rPr>
          <w:i/>
          <w:lang w:val="en-GB"/>
        </w:rPr>
        <w:t xml:space="preserve">Van der </w:t>
      </w:r>
      <w:proofErr w:type="spellStart"/>
      <w:r w:rsidR="00373987">
        <w:rPr>
          <w:i/>
          <w:lang w:val="en-GB"/>
        </w:rPr>
        <w:t>Mussele</w:t>
      </w:r>
      <w:proofErr w:type="spellEnd"/>
      <w:r w:rsidR="00373987">
        <w:rPr>
          <w:i/>
          <w:lang w:val="en-GB"/>
        </w:rPr>
        <w:t xml:space="preserve"> </w:t>
      </w:r>
      <w:r w:rsidR="00373987">
        <w:rPr>
          <w:lang w:val="en-GB"/>
        </w:rPr>
        <w:t xml:space="preserve">case </w:t>
      </w:r>
      <w:r w:rsidR="00573EFF">
        <w:rPr>
          <w:lang w:val="en-GB"/>
        </w:rPr>
        <w:t xml:space="preserve">(1983) </w:t>
      </w:r>
      <w:r w:rsidR="00373987">
        <w:rPr>
          <w:lang w:val="en-GB"/>
        </w:rPr>
        <w:t>may be an example of such productive defeat. While at the time of the Strasbourg application, a law had already been passed providing for the remuneration for free legal aid, the State had failed to provide the necessary budget to implement this law.</w:t>
      </w:r>
      <w:r w:rsidR="00B327DA">
        <w:rPr>
          <w:lang w:val="en-GB"/>
        </w:rPr>
        <w:t xml:space="preserve"> </w:t>
      </w:r>
      <w:r w:rsidR="00373987">
        <w:rPr>
          <w:lang w:val="en-GB"/>
        </w:rPr>
        <w:t>According to the appli</w:t>
      </w:r>
      <w:r w:rsidR="00933231">
        <w:rPr>
          <w:lang w:val="en-GB"/>
        </w:rPr>
        <w:t xml:space="preserve">cant’s lawyer, Albert </w:t>
      </w:r>
      <w:proofErr w:type="spellStart"/>
      <w:r w:rsidR="00933231">
        <w:rPr>
          <w:lang w:val="en-GB"/>
        </w:rPr>
        <w:t>Fettweis</w:t>
      </w:r>
      <w:proofErr w:type="spellEnd"/>
      <w:r w:rsidR="00933231">
        <w:rPr>
          <w:lang w:val="en-GB"/>
        </w:rPr>
        <w:t>,</w:t>
      </w:r>
    </w:p>
    <w:p w14:paraId="7F150829" w14:textId="30F065A4" w:rsidR="00F14140" w:rsidRPr="00B05600" w:rsidRDefault="002E6099" w:rsidP="00933231">
      <w:pPr>
        <w:ind w:left="708"/>
        <w:jc w:val="both"/>
        <w:rPr>
          <w:color w:val="FF0000"/>
          <w:lang w:val="en-GB"/>
        </w:rPr>
      </w:pPr>
      <w:proofErr w:type="gramStart"/>
      <w:r>
        <w:rPr>
          <w:lang w:val="en-GB"/>
        </w:rPr>
        <w:t>at</w:t>
      </w:r>
      <w:proofErr w:type="gramEnd"/>
      <w:r>
        <w:rPr>
          <w:lang w:val="en-GB"/>
        </w:rPr>
        <w:t xml:space="preserve"> that time the Commission operated as a filter</w:t>
      </w:r>
      <w:r w:rsidR="00E25733">
        <w:rPr>
          <w:lang w:val="en-GB"/>
        </w:rPr>
        <w:t xml:space="preserve"> </w:t>
      </w:r>
      <w:r>
        <w:rPr>
          <w:lang w:val="en-GB"/>
        </w:rPr>
        <w:t>[…]</w:t>
      </w:r>
      <w:r w:rsidR="00E25733">
        <w:rPr>
          <w:lang w:val="en-GB"/>
        </w:rPr>
        <w:t xml:space="preserve"> and</w:t>
      </w:r>
      <w:r>
        <w:rPr>
          <w:lang w:val="en-GB"/>
        </w:rPr>
        <w:t xml:space="preserve"> I didn’t even expect us to get to the Court</w:t>
      </w:r>
      <w:r w:rsidR="00E25733">
        <w:rPr>
          <w:lang w:val="en-GB"/>
        </w:rPr>
        <w:t>, […] because Article 4 [forced labour], that’s putting it quite strongly!</w:t>
      </w:r>
      <w:r>
        <w:rPr>
          <w:lang w:val="en-GB"/>
        </w:rPr>
        <w:t xml:space="preserve"> […] But </w:t>
      </w:r>
      <w:r w:rsidR="00B327DA">
        <w:rPr>
          <w:lang w:val="en-GB"/>
        </w:rPr>
        <w:t xml:space="preserve">the intention was […] to sort of put pressure on the Belgian State </w:t>
      </w:r>
      <w:r>
        <w:rPr>
          <w:lang w:val="en-GB"/>
        </w:rPr>
        <w:t>[…] I was in fact positively surprised by the judgment in which the Court did not follow our arguments, but on certain</w:t>
      </w:r>
      <w:r w:rsidR="0054536D">
        <w:rPr>
          <w:lang w:val="en-GB"/>
        </w:rPr>
        <w:t xml:space="preserve"> points did say: you cannot acce</w:t>
      </w:r>
      <w:r>
        <w:rPr>
          <w:lang w:val="en-GB"/>
        </w:rPr>
        <w:t>pt that, […] it is a pity that the Belgian State does not contribute</w:t>
      </w:r>
      <w:r w:rsidR="0054536D">
        <w:rPr>
          <w:lang w:val="en-GB"/>
        </w:rPr>
        <w:t xml:space="preserve"> financially. […] And eventually the Belgian State played the game [and provided the budget]. So we got there [in the end], [the case] was the initiation of something n</w:t>
      </w:r>
      <w:r w:rsidR="00C535C9">
        <w:rPr>
          <w:lang w:val="en-GB"/>
        </w:rPr>
        <w:t>ew</w:t>
      </w:r>
      <w:r w:rsidR="0054536D">
        <w:rPr>
          <w:rStyle w:val="Voetnootmarkering"/>
          <w:lang w:val="en-GB"/>
        </w:rPr>
        <w:footnoteReference w:id="212"/>
      </w:r>
      <w:r w:rsidR="00C535C9">
        <w:rPr>
          <w:lang w:val="en-GB"/>
        </w:rPr>
        <w:t>.</w:t>
      </w:r>
    </w:p>
    <w:p w14:paraId="4803729F" w14:textId="77777777" w:rsidR="00933231" w:rsidRDefault="00B327DA" w:rsidP="001A19D0">
      <w:pPr>
        <w:ind w:firstLine="708"/>
        <w:jc w:val="both"/>
        <w:rPr>
          <w:lang w:val="en-GB"/>
        </w:rPr>
      </w:pPr>
      <w:r>
        <w:rPr>
          <w:lang w:val="en-GB"/>
        </w:rPr>
        <w:t xml:space="preserve">It seems that also Bernard Maingain considered the </w:t>
      </w:r>
      <w:r>
        <w:rPr>
          <w:i/>
          <w:lang w:val="en-GB"/>
        </w:rPr>
        <w:t>Mathieu-</w:t>
      </w:r>
      <w:proofErr w:type="spellStart"/>
      <w:r>
        <w:rPr>
          <w:i/>
          <w:lang w:val="en-GB"/>
        </w:rPr>
        <w:t>Mohin</w:t>
      </w:r>
      <w:proofErr w:type="spellEnd"/>
      <w:r>
        <w:rPr>
          <w:i/>
          <w:lang w:val="en-GB"/>
        </w:rPr>
        <w:t xml:space="preserve"> and </w:t>
      </w:r>
      <w:proofErr w:type="spellStart"/>
      <w:r>
        <w:rPr>
          <w:i/>
          <w:lang w:val="en-GB"/>
        </w:rPr>
        <w:t>Clerfayt</w:t>
      </w:r>
      <w:proofErr w:type="spellEnd"/>
      <w:r>
        <w:rPr>
          <w:i/>
          <w:lang w:val="en-GB"/>
        </w:rPr>
        <w:t xml:space="preserve"> </w:t>
      </w:r>
      <w:r>
        <w:rPr>
          <w:lang w:val="en-GB"/>
        </w:rPr>
        <w:t xml:space="preserve">case </w:t>
      </w:r>
      <w:r w:rsidR="00573EFF">
        <w:rPr>
          <w:lang w:val="en-GB"/>
        </w:rPr>
        <w:t xml:space="preserve">(1987) </w:t>
      </w:r>
      <w:r>
        <w:rPr>
          <w:lang w:val="en-GB"/>
        </w:rPr>
        <w:t>to be a productive defeat, since in his view, set out above, this case increased pressure on the Belgian State to do something about the institutional situation in the Brussels Region within a reasonable period of time.</w:t>
      </w:r>
      <w:r w:rsidRPr="00B327DA">
        <w:rPr>
          <w:color w:val="FF0000"/>
          <w:lang w:val="en-GB"/>
        </w:rPr>
        <w:t xml:space="preserve"> </w:t>
      </w:r>
      <w:r w:rsidR="00E25733">
        <w:rPr>
          <w:lang w:val="en-GB"/>
        </w:rPr>
        <w:t>The same applies to</w:t>
      </w:r>
      <w:r w:rsidR="00F61CEC">
        <w:rPr>
          <w:lang w:val="en-GB"/>
        </w:rPr>
        <w:t xml:space="preserve"> Joe </w:t>
      </w:r>
      <w:proofErr w:type="spellStart"/>
      <w:r w:rsidR="00F61CEC">
        <w:rPr>
          <w:lang w:val="en-GB"/>
        </w:rPr>
        <w:t>Verhoeven’s</w:t>
      </w:r>
      <w:proofErr w:type="spellEnd"/>
      <w:r w:rsidR="00F61CEC">
        <w:rPr>
          <w:lang w:val="en-GB"/>
        </w:rPr>
        <w:t xml:space="preserve"> evaluation of the </w:t>
      </w:r>
      <w:r w:rsidR="00F61CEC">
        <w:rPr>
          <w:i/>
          <w:lang w:val="en-GB"/>
        </w:rPr>
        <w:t xml:space="preserve">Van </w:t>
      </w:r>
      <w:proofErr w:type="spellStart"/>
      <w:r w:rsidR="00F61CEC">
        <w:rPr>
          <w:i/>
          <w:lang w:val="en-GB"/>
        </w:rPr>
        <w:t>Oosterwijck</w:t>
      </w:r>
      <w:proofErr w:type="spellEnd"/>
      <w:r w:rsidR="00F61CEC">
        <w:rPr>
          <w:i/>
          <w:lang w:val="en-GB"/>
        </w:rPr>
        <w:t xml:space="preserve"> </w:t>
      </w:r>
      <w:r w:rsidR="00F61CEC">
        <w:rPr>
          <w:lang w:val="en-GB"/>
        </w:rPr>
        <w:t>case</w:t>
      </w:r>
      <w:r w:rsidR="00573EFF">
        <w:rPr>
          <w:lang w:val="en-GB"/>
        </w:rPr>
        <w:t xml:space="preserve"> (1980)</w:t>
      </w:r>
      <w:r w:rsidR="00F61CEC">
        <w:rPr>
          <w:lang w:val="en-GB"/>
        </w:rPr>
        <w:t>, declared</w:t>
      </w:r>
      <w:r w:rsidR="00E25733">
        <w:rPr>
          <w:lang w:val="en-GB"/>
        </w:rPr>
        <w:t xml:space="preserve"> inadmissible by the Court for non-exhaustion of domestic remedies, w</w:t>
      </w:r>
      <w:r w:rsidR="00F61CEC">
        <w:rPr>
          <w:lang w:val="en-GB"/>
        </w:rPr>
        <w:t>hich, according to him</w:t>
      </w:r>
      <w:r w:rsidR="00933231">
        <w:rPr>
          <w:lang w:val="en-GB"/>
        </w:rPr>
        <w:t>,</w:t>
      </w:r>
    </w:p>
    <w:p w14:paraId="64E7072D" w14:textId="1168E181" w:rsidR="00E25733" w:rsidRDefault="00E25733" w:rsidP="00933231">
      <w:pPr>
        <w:ind w:left="708"/>
        <w:jc w:val="both"/>
        <w:rPr>
          <w:lang w:val="en-GB"/>
        </w:rPr>
      </w:pPr>
      <w:r>
        <w:rPr>
          <w:lang w:val="en-GB"/>
        </w:rPr>
        <w:t>was an elegant way to not sa</w:t>
      </w:r>
      <w:r w:rsidR="00573EFF">
        <w:rPr>
          <w:lang w:val="en-GB"/>
        </w:rPr>
        <w:t>y ‘no’ but not say ‘yes’ either;</w:t>
      </w:r>
      <w:r>
        <w:rPr>
          <w:lang w:val="en-GB"/>
        </w:rPr>
        <w:t xml:space="preserve"> […] it was an exit [for the Court] not to prejudge the merits of the case. […]</w:t>
      </w:r>
      <w:r w:rsidR="00FA65B6">
        <w:rPr>
          <w:lang w:val="en-GB"/>
        </w:rPr>
        <w:t xml:space="preserve"> I presume that they considered society not to be ready for the question [of the legal recognition of gender reassignment], […] but I think it was wise to do it that way, since that has allowed society to take notice of the fact tha</w:t>
      </w:r>
      <w:r w:rsidR="00C535C9">
        <w:rPr>
          <w:lang w:val="en-GB"/>
        </w:rPr>
        <w:t>t this was about to change soon</w:t>
      </w:r>
      <w:r w:rsidR="00FA65B6">
        <w:rPr>
          <w:rStyle w:val="Voetnootmarkering"/>
          <w:lang w:val="en-GB"/>
        </w:rPr>
        <w:footnoteReference w:id="213"/>
      </w:r>
      <w:r w:rsidR="00C535C9">
        <w:rPr>
          <w:lang w:val="en-GB"/>
        </w:rPr>
        <w:t>.</w:t>
      </w:r>
    </w:p>
    <w:p w14:paraId="7F9FBCCB" w14:textId="77777777" w:rsidR="00933231" w:rsidRDefault="00933231" w:rsidP="00933231">
      <w:pPr>
        <w:ind w:left="708"/>
        <w:jc w:val="both"/>
        <w:rPr>
          <w:lang w:val="en-GB"/>
        </w:rPr>
      </w:pPr>
    </w:p>
    <w:p w14:paraId="5ED59D24" w14:textId="77777777" w:rsidR="0054219E" w:rsidRPr="00B357BC" w:rsidRDefault="0054219E" w:rsidP="00687577">
      <w:pPr>
        <w:jc w:val="both"/>
        <w:rPr>
          <w:i/>
          <w:lang w:val="en-GB"/>
        </w:rPr>
      </w:pPr>
      <w:r w:rsidRPr="00B357BC">
        <w:rPr>
          <w:i/>
          <w:lang w:val="en-GB"/>
        </w:rPr>
        <w:t>User satisfaction</w:t>
      </w:r>
    </w:p>
    <w:p w14:paraId="6931572F" w14:textId="77777777" w:rsidR="00933231" w:rsidRDefault="00A20B1C" w:rsidP="001A19D0">
      <w:pPr>
        <w:ind w:firstLine="708"/>
        <w:jc w:val="both"/>
        <w:rPr>
          <w:lang w:val="en-GB"/>
        </w:rPr>
      </w:pPr>
      <w:r>
        <w:rPr>
          <w:lang w:val="en-GB"/>
        </w:rPr>
        <w:t>For most interviewees, going to Strasbourg was a very positive experience to which th</w:t>
      </w:r>
      <w:r w:rsidR="002F5698">
        <w:rPr>
          <w:lang w:val="en-GB"/>
        </w:rPr>
        <w:t xml:space="preserve">ey look back with satisfaction. This may not be surprising with respect to those actors who obtained a positive decision in Strasbourg. Luc </w:t>
      </w:r>
      <w:proofErr w:type="spellStart"/>
      <w:r w:rsidR="002F5698">
        <w:rPr>
          <w:lang w:val="en-GB"/>
        </w:rPr>
        <w:t>Peeters</w:t>
      </w:r>
      <w:proofErr w:type="spellEnd"/>
      <w:r w:rsidR="009965A1">
        <w:rPr>
          <w:lang w:val="en-GB"/>
        </w:rPr>
        <w:t>,</w:t>
      </w:r>
      <w:r w:rsidR="002F5698">
        <w:rPr>
          <w:lang w:val="en-GB"/>
        </w:rPr>
        <w:t xml:space="preserve"> for example, describes the </w:t>
      </w:r>
      <w:proofErr w:type="spellStart"/>
      <w:r w:rsidR="002F5698">
        <w:rPr>
          <w:i/>
          <w:lang w:val="en-GB"/>
        </w:rPr>
        <w:t>Pauwels</w:t>
      </w:r>
      <w:proofErr w:type="spellEnd"/>
      <w:r w:rsidR="002F5698">
        <w:rPr>
          <w:i/>
          <w:lang w:val="en-GB"/>
        </w:rPr>
        <w:t xml:space="preserve"> </w:t>
      </w:r>
      <w:r w:rsidR="002F5698">
        <w:rPr>
          <w:lang w:val="en-GB"/>
        </w:rPr>
        <w:t xml:space="preserve">case </w:t>
      </w:r>
      <w:r w:rsidR="00573EFF">
        <w:rPr>
          <w:lang w:val="en-GB"/>
        </w:rPr>
        <w:t xml:space="preserve">(1988) </w:t>
      </w:r>
      <w:r w:rsidR="002F5698">
        <w:rPr>
          <w:lang w:val="en-GB"/>
        </w:rPr>
        <w:t>as “one</w:t>
      </w:r>
      <w:r w:rsidR="00C535C9">
        <w:rPr>
          <w:lang w:val="en-GB"/>
        </w:rPr>
        <w:t xml:space="preserve"> of the milestones of my career</w:t>
      </w:r>
      <w:r w:rsidR="002F5698">
        <w:rPr>
          <w:lang w:val="en-GB"/>
        </w:rPr>
        <w:t>”</w:t>
      </w:r>
      <w:r w:rsidR="002F5698">
        <w:rPr>
          <w:rStyle w:val="Voetnootmarkering"/>
          <w:lang w:val="en-GB"/>
        </w:rPr>
        <w:footnoteReference w:id="214"/>
      </w:r>
      <w:r w:rsidR="00C535C9">
        <w:rPr>
          <w:lang w:val="en-GB"/>
        </w:rPr>
        <w:t>.</w:t>
      </w:r>
      <w:r w:rsidR="00802652">
        <w:rPr>
          <w:lang w:val="en-GB"/>
        </w:rPr>
        <w:t xml:space="preserve"> </w:t>
      </w:r>
      <w:r w:rsidR="009C36A4">
        <w:rPr>
          <w:lang w:val="en-GB"/>
        </w:rPr>
        <w:t xml:space="preserve">According to Raoul Neuroth, he was “very proud” with the outcome of the </w:t>
      </w:r>
      <w:proofErr w:type="spellStart"/>
      <w:r w:rsidR="009C36A4">
        <w:rPr>
          <w:i/>
          <w:lang w:val="en-GB"/>
        </w:rPr>
        <w:t>Lamy</w:t>
      </w:r>
      <w:proofErr w:type="spellEnd"/>
      <w:r w:rsidR="009C36A4">
        <w:rPr>
          <w:i/>
          <w:lang w:val="en-GB"/>
        </w:rPr>
        <w:t xml:space="preserve"> </w:t>
      </w:r>
      <w:r w:rsidR="009C36A4">
        <w:rPr>
          <w:lang w:val="en-GB"/>
        </w:rPr>
        <w:t>case</w:t>
      </w:r>
      <w:r w:rsidR="00573EFF">
        <w:rPr>
          <w:lang w:val="en-GB"/>
        </w:rPr>
        <w:t xml:space="preserve"> (1989)</w:t>
      </w:r>
      <w:r w:rsidR="009C36A4">
        <w:rPr>
          <w:lang w:val="en-GB"/>
        </w:rPr>
        <w:t xml:space="preserve"> and “it was a particular privilege to be able to defen</w:t>
      </w:r>
      <w:r w:rsidR="00C535C9">
        <w:rPr>
          <w:lang w:val="en-GB"/>
        </w:rPr>
        <w:t xml:space="preserve">d something in </w:t>
      </w:r>
      <w:r w:rsidR="00C535C9">
        <w:rPr>
          <w:lang w:val="en-GB"/>
        </w:rPr>
        <w:lastRenderedPageBreak/>
        <w:t>which I believed</w:t>
      </w:r>
      <w:r w:rsidR="009C36A4">
        <w:rPr>
          <w:lang w:val="en-GB"/>
        </w:rPr>
        <w:t>”</w:t>
      </w:r>
      <w:r w:rsidR="009C36A4">
        <w:rPr>
          <w:rStyle w:val="Voetnootmarkering"/>
          <w:lang w:val="en-GB"/>
        </w:rPr>
        <w:footnoteReference w:id="215"/>
      </w:r>
      <w:r w:rsidR="00C535C9">
        <w:rPr>
          <w:lang w:val="en-GB"/>
        </w:rPr>
        <w:t>.</w:t>
      </w:r>
      <w:r w:rsidR="009C36A4">
        <w:rPr>
          <w:lang w:val="en-GB"/>
        </w:rPr>
        <w:t xml:space="preserve"> </w:t>
      </w:r>
      <w:r w:rsidR="00802652">
        <w:rPr>
          <w:lang w:val="en-GB"/>
        </w:rPr>
        <w:t xml:space="preserve">Françoise De </w:t>
      </w:r>
      <w:proofErr w:type="spellStart"/>
      <w:r w:rsidR="00802652">
        <w:rPr>
          <w:lang w:val="en-GB"/>
        </w:rPr>
        <w:t>Croo-Desguin</w:t>
      </w:r>
      <w:proofErr w:type="spellEnd"/>
      <w:r w:rsidR="00802652">
        <w:rPr>
          <w:lang w:val="en-GB"/>
        </w:rPr>
        <w:t xml:space="preserve"> considers the </w:t>
      </w:r>
      <w:r w:rsidR="00802652">
        <w:rPr>
          <w:i/>
          <w:lang w:val="en-GB"/>
        </w:rPr>
        <w:t xml:space="preserve">De </w:t>
      </w:r>
      <w:proofErr w:type="spellStart"/>
      <w:r w:rsidR="00802652">
        <w:rPr>
          <w:i/>
          <w:lang w:val="en-GB"/>
        </w:rPr>
        <w:t>Cubber</w:t>
      </w:r>
      <w:proofErr w:type="spellEnd"/>
      <w:r w:rsidR="00802652">
        <w:rPr>
          <w:i/>
          <w:lang w:val="en-GB"/>
        </w:rPr>
        <w:t xml:space="preserve"> </w:t>
      </w:r>
      <w:r w:rsidR="00802652">
        <w:rPr>
          <w:lang w:val="en-GB"/>
        </w:rPr>
        <w:t>case</w:t>
      </w:r>
      <w:r w:rsidR="00573EFF">
        <w:rPr>
          <w:lang w:val="en-GB"/>
        </w:rPr>
        <w:t xml:space="preserve"> (1984)</w:t>
      </w:r>
      <w:r w:rsidR="00802652">
        <w:rPr>
          <w:lang w:val="en-GB"/>
        </w:rPr>
        <w:t xml:space="preserve"> to have been “a useful case” and </w:t>
      </w:r>
      <w:r w:rsidR="009965A1">
        <w:rPr>
          <w:lang w:val="en-GB"/>
        </w:rPr>
        <w:t>recalls having been “very much impressed” by the experience of pleading before the Court, “with personalities of</w:t>
      </w:r>
      <w:r w:rsidR="00C535C9">
        <w:rPr>
          <w:lang w:val="en-GB"/>
        </w:rPr>
        <w:t xml:space="preserve"> all countries asking questions</w:t>
      </w:r>
      <w:r w:rsidR="009965A1">
        <w:rPr>
          <w:lang w:val="en-GB"/>
        </w:rPr>
        <w:t>”</w:t>
      </w:r>
      <w:r w:rsidR="009965A1">
        <w:rPr>
          <w:rStyle w:val="Voetnootmarkering"/>
          <w:lang w:val="en-GB"/>
        </w:rPr>
        <w:footnoteReference w:id="216"/>
      </w:r>
      <w:r w:rsidR="00C535C9">
        <w:rPr>
          <w:lang w:val="en-GB"/>
        </w:rPr>
        <w:t>.</w:t>
      </w:r>
      <w:r w:rsidR="009965A1">
        <w:rPr>
          <w:lang w:val="en-GB"/>
        </w:rPr>
        <w:t xml:space="preserve"> According to </w:t>
      </w:r>
      <w:r w:rsidR="00573EFF">
        <w:rPr>
          <w:lang w:val="en-GB"/>
        </w:rPr>
        <w:t xml:space="preserve">Moni </w:t>
      </w:r>
      <w:r w:rsidR="009965A1">
        <w:rPr>
          <w:lang w:val="en-GB"/>
        </w:rPr>
        <w:t xml:space="preserve">Van Look, “working with the Commission was relatively pleasant, although it took relatively long, they were always very correct. […] </w:t>
      </w:r>
      <w:r w:rsidR="009C36A4">
        <w:rPr>
          <w:lang w:val="en-GB"/>
        </w:rPr>
        <w:t>And to have your say before the Court, that was actually impressive.</w:t>
      </w:r>
      <w:r w:rsidR="00C535C9">
        <w:rPr>
          <w:lang w:val="en-GB"/>
        </w:rPr>
        <w:t xml:space="preserve"> I was just a pupil lawyer then</w:t>
      </w:r>
      <w:r w:rsidR="009C36A4">
        <w:rPr>
          <w:lang w:val="en-GB"/>
        </w:rPr>
        <w:t>”</w:t>
      </w:r>
      <w:r w:rsidR="009C36A4">
        <w:rPr>
          <w:rStyle w:val="Voetnootmarkering"/>
          <w:lang w:val="en-GB"/>
        </w:rPr>
        <w:footnoteReference w:id="217"/>
      </w:r>
      <w:r w:rsidR="00C535C9">
        <w:rPr>
          <w:lang w:val="en-GB"/>
        </w:rPr>
        <w:t>.</w:t>
      </w:r>
      <w:r w:rsidR="00396064">
        <w:rPr>
          <w:lang w:val="en-GB"/>
        </w:rPr>
        <w:t xml:space="preserve"> </w:t>
      </w:r>
      <w:r w:rsidR="00573EFF">
        <w:rPr>
          <w:lang w:val="en-GB"/>
        </w:rPr>
        <w:t xml:space="preserve">Patrick </w:t>
      </w:r>
      <w:r w:rsidR="00933231">
        <w:rPr>
          <w:lang w:val="en-GB"/>
        </w:rPr>
        <w:t>Devers recalls that</w:t>
      </w:r>
    </w:p>
    <w:p w14:paraId="43FA4512" w14:textId="7DB96C21" w:rsidR="00A20B1C" w:rsidRPr="00802652" w:rsidRDefault="00396064" w:rsidP="00933231">
      <w:pPr>
        <w:ind w:left="708"/>
        <w:jc w:val="both"/>
        <w:rPr>
          <w:lang w:val="en-GB"/>
        </w:rPr>
      </w:pPr>
      <w:proofErr w:type="gramStart"/>
      <w:r>
        <w:rPr>
          <w:lang w:val="en-GB"/>
        </w:rPr>
        <w:t>it</w:t>
      </w:r>
      <w:proofErr w:type="gramEnd"/>
      <w:r>
        <w:rPr>
          <w:lang w:val="en-GB"/>
        </w:rPr>
        <w:t xml:space="preserve"> was something miraculous for a pupil lawyer. […] During the studies, there was no mention of such things and suddenly there is this opening and you think: everything is possible. […] And the openness of the registry and the administration etcetera… In comparison to what existed in Belgium, it was a discovery. […] It all was so simple; the procedure just went like that. And also the courtesy, the readiness to listen, the self-evidence with which things happened, […] the </w:t>
      </w:r>
      <w:r w:rsidR="00F14140">
        <w:rPr>
          <w:lang w:val="en-GB"/>
        </w:rPr>
        <w:t>nervousness that was con</w:t>
      </w:r>
      <w:r w:rsidR="00C535C9">
        <w:rPr>
          <w:lang w:val="en-GB"/>
        </w:rPr>
        <w:t>nected to it [i.e. the hearing]</w:t>
      </w:r>
      <w:r w:rsidR="00F14140">
        <w:rPr>
          <w:rStyle w:val="Voetnootmarkering"/>
          <w:lang w:val="en-GB"/>
        </w:rPr>
        <w:footnoteReference w:id="218"/>
      </w:r>
      <w:r w:rsidR="00C535C9">
        <w:rPr>
          <w:lang w:val="en-GB"/>
        </w:rPr>
        <w:t>.</w:t>
      </w:r>
    </w:p>
    <w:p w14:paraId="3F6949F6" w14:textId="77777777" w:rsidR="00933231" w:rsidRDefault="000B0A12" w:rsidP="001A19D0">
      <w:pPr>
        <w:ind w:firstLine="708"/>
        <w:jc w:val="both"/>
        <w:rPr>
          <w:lang w:val="en-GB"/>
        </w:rPr>
      </w:pPr>
      <w:r>
        <w:rPr>
          <w:lang w:val="en-GB"/>
        </w:rPr>
        <w:t xml:space="preserve">Surprisingly, also the actors who lost their case mostly report </w:t>
      </w:r>
      <w:r w:rsidR="0017338C">
        <w:rPr>
          <w:lang w:val="en-GB"/>
        </w:rPr>
        <w:t>having been satisfied with the Strasbourg proceedings</w:t>
      </w:r>
      <w:r>
        <w:rPr>
          <w:rStyle w:val="Voetnootmarkering"/>
          <w:lang w:val="en-GB"/>
        </w:rPr>
        <w:footnoteReference w:id="219"/>
      </w:r>
      <w:r w:rsidR="00C535C9">
        <w:rPr>
          <w:lang w:val="en-GB"/>
        </w:rPr>
        <w:t>.</w:t>
      </w:r>
      <w:r w:rsidR="0017338C">
        <w:rPr>
          <w:lang w:val="en-GB"/>
        </w:rPr>
        <w:t xml:space="preserve"> Especially for the attorneys, going to Strasbourg was a fascinating and instructive experience. “Of course [I was satisfied]”, </w:t>
      </w:r>
      <w:r w:rsidR="00573EFF">
        <w:rPr>
          <w:lang w:val="en-GB"/>
        </w:rPr>
        <w:t>held</w:t>
      </w:r>
      <w:r w:rsidR="0017338C">
        <w:rPr>
          <w:lang w:val="en-GB"/>
        </w:rPr>
        <w:t xml:space="preserve"> Bernard Maingain, attorney in the </w:t>
      </w:r>
      <w:r w:rsidR="0017338C">
        <w:rPr>
          <w:i/>
          <w:lang w:val="en-GB"/>
        </w:rPr>
        <w:t>Mathieu-</w:t>
      </w:r>
      <w:proofErr w:type="spellStart"/>
      <w:r w:rsidR="0017338C">
        <w:rPr>
          <w:i/>
          <w:lang w:val="en-GB"/>
        </w:rPr>
        <w:t>Mohin</w:t>
      </w:r>
      <w:proofErr w:type="spellEnd"/>
      <w:r w:rsidR="0017338C">
        <w:rPr>
          <w:i/>
          <w:lang w:val="en-GB"/>
        </w:rPr>
        <w:t xml:space="preserve"> and </w:t>
      </w:r>
      <w:proofErr w:type="spellStart"/>
      <w:r w:rsidR="0017338C">
        <w:rPr>
          <w:i/>
          <w:lang w:val="en-GB"/>
        </w:rPr>
        <w:t>Clerfayt</w:t>
      </w:r>
      <w:proofErr w:type="spellEnd"/>
      <w:r w:rsidR="0017338C">
        <w:rPr>
          <w:i/>
          <w:lang w:val="en-GB"/>
        </w:rPr>
        <w:t xml:space="preserve"> </w:t>
      </w:r>
      <w:r w:rsidR="0017338C">
        <w:rPr>
          <w:lang w:val="en-GB"/>
        </w:rPr>
        <w:t>case</w:t>
      </w:r>
      <w:r w:rsidR="00573EFF">
        <w:rPr>
          <w:lang w:val="en-GB"/>
        </w:rPr>
        <w:t xml:space="preserve"> (1987):</w:t>
      </w:r>
      <w:r w:rsidR="0017338C">
        <w:rPr>
          <w:lang w:val="en-GB"/>
        </w:rPr>
        <w:t xml:space="preserve"> “for a lawyer, this was a very nice case</w:t>
      </w:r>
      <w:r w:rsidR="0048640C">
        <w:rPr>
          <w:lang w:val="en-GB"/>
        </w:rPr>
        <w:t xml:space="preserve"> because it related to something bigger: the reform of the State and the question of the right to vote. […] This whole issue [i.e. the relationship between majori</w:t>
      </w:r>
      <w:r w:rsidR="00C535C9">
        <w:rPr>
          <w:lang w:val="en-GB"/>
        </w:rPr>
        <w:t>ty and minority] is fascinating</w:t>
      </w:r>
      <w:r w:rsidR="0048640C">
        <w:rPr>
          <w:lang w:val="en-GB"/>
        </w:rPr>
        <w:t>”</w:t>
      </w:r>
      <w:r w:rsidR="0048640C">
        <w:rPr>
          <w:rStyle w:val="Voetnootmarkering"/>
          <w:lang w:val="en-GB"/>
        </w:rPr>
        <w:footnoteReference w:id="220"/>
      </w:r>
      <w:r w:rsidR="00C535C9">
        <w:rPr>
          <w:lang w:val="en-GB"/>
        </w:rPr>
        <w:t>.</w:t>
      </w:r>
      <w:r w:rsidR="00B05600">
        <w:rPr>
          <w:lang w:val="en-GB"/>
        </w:rPr>
        <w:t xml:space="preserve"> Also Eric Van der </w:t>
      </w:r>
      <w:proofErr w:type="spellStart"/>
      <w:r w:rsidR="00B05600">
        <w:rPr>
          <w:lang w:val="en-GB"/>
        </w:rPr>
        <w:t>Mussele</w:t>
      </w:r>
      <w:proofErr w:type="spellEnd"/>
      <w:r w:rsidR="00B05600">
        <w:rPr>
          <w:lang w:val="en-GB"/>
        </w:rPr>
        <w:t xml:space="preserve"> reports having b</w:t>
      </w:r>
      <w:r w:rsidR="00933231">
        <w:rPr>
          <w:lang w:val="en-GB"/>
        </w:rPr>
        <w:t>een very satisfied by his case:</w:t>
      </w:r>
    </w:p>
    <w:p w14:paraId="56B5A7C1" w14:textId="7934421E" w:rsidR="00933231" w:rsidRDefault="00B05600" w:rsidP="00933231">
      <w:pPr>
        <w:ind w:left="708"/>
        <w:jc w:val="both"/>
        <w:rPr>
          <w:lang w:val="en-GB"/>
        </w:rPr>
      </w:pPr>
      <w:proofErr w:type="gramStart"/>
      <w:r>
        <w:rPr>
          <w:lang w:val="en-GB"/>
        </w:rPr>
        <w:t>you</w:t>
      </w:r>
      <w:proofErr w:type="gramEnd"/>
      <w:r>
        <w:rPr>
          <w:lang w:val="en-GB"/>
        </w:rPr>
        <w:t xml:space="preserve"> should not have unbridled expectations that you suddenly… You need to see what you can pull off within a jurisprudence that is developing. […</w:t>
      </w:r>
      <w:r w:rsidR="00C72488">
        <w:rPr>
          <w:lang w:val="en-GB"/>
        </w:rPr>
        <w:t xml:space="preserve">] It was a very good </w:t>
      </w:r>
      <w:r w:rsidR="00372136">
        <w:rPr>
          <w:lang w:val="en-GB"/>
        </w:rPr>
        <w:t>experience;</w:t>
      </w:r>
      <w:r w:rsidR="00C72488">
        <w:rPr>
          <w:lang w:val="en-GB"/>
        </w:rPr>
        <w:t xml:space="preserve"> I can still see all those people sitting there who came to listen to my case. […] I find it an incredible experience if you get to that point. And certainly Ms. Marckx, she must have been extremely happy that s</w:t>
      </w:r>
      <w:r w:rsidR="00C535C9">
        <w:rPr>
          <w:lang w:val="en-GB"/>
        </w:rPr>
        <w:t>omebody finally listened to her</w:t>
      </w:r>
      <w:r w:rsidR="00C72488">
        <w:rPr>
          <w:rStyle w:val="Voetnootmarkering"/>
          <w:lang w:val="en-GB"/>
        </w:rPr>
        <w:footnoteReference w:id="221"/>
      </w:r>
      <w:r w:rsidR="00C535C9">
        <w:rPr>
          <w:lang w:val="en-GB"/>
        </w:rPr>
        <w:t>.</w:t>
      </w:r>
      <w:r w:rsidR="00372136">
        <w:rPr>
          <w:lang w:val="en-GB"/>
        </w:rPr>
        <w:t xml:space="preserve"> </w:t>
      </w:r>
    </w:p>
    <w:p w14:paraId="04AEBBB7" w14:textId="77777777" w:rsidR="00933231" w:rsidRDefault="00077E51" w:rsidP="00933231">
      <w:pPr>
        <w:jc w:val="both"/>
        <w:rPr>
          <w:lang w:val="en-GB"/>
        </w:rPr>
      </w:pPr>
      <w:r>
        <w:rPr>
          <w:lang w:val="en-GB"/>
        </w:rPr>
        <w:t xml:space="preserve">Feelings of satisfaction about the manner in which the actors were listened to and taken seriously by the Strasbourg institutions must be seen against the background of the relatively small caseload during the period under consideration. Jean-Marie </w:t>
      </w:r>
      <w:proofErr w:type="spellStart"/>
      <w:r>
        <w:rPr>
          <w:lang w:val="en-GB"/>
        </w:rPr>
        <w:t>Nelissen</w:t>
      </w:r>
      <w:proofErr w:type="spellEnd"/>
      <w:r>
        <w:rPr>
          <w:lang w:val="en-GB"/>
        </w:rPr>
        <w:t xml:space="preserve"> Grade, attorney in the </w:t>
      </w:r>
      <w:r>
        <w:rPr>
          <w:i/>
          <w:lang w:val="en-GB"/>
        </w:rPr>
        <w:t>National Union of Belgian Police</w:t>
      </w:r>
      <w:r>
        <w:rPr>
          <w:lang w:val="en-GB"/>
        </w:rPr>
        <w:t xml:space="preserve"> case (1975), recalls that at that time, “it was a sort of luxury jurisprudence with a lot of resources and time.” By </w:t>
      </w:r>
      <w:r w:rsidR="00041A69">
        <w:rPr>
          <w:lang w:val="en-GB"/>
        </w:rPr>
        <w:t xml:space="preserve">1995 – even before the beginning of the case overload crisis at the end of the </w:t>
      </w:r>
      <w:proofErr w:type="spellStart"/>
      <w:r w:rsidR="00041A69">
        <w:rPr>
          <w:lang w:val="en-GB"/>
        </w:rPr>
        <w:t>1990s</w:t>
      </w:r>
      <w:proofErr w:type="spellEnd"/>
      <w:r w:rsidR="00041A69">
        <w:rPr>
          <w:lang w:val="en-GB"/>
        </w:rPr>
        <w:t xml:space="preserve"> – </w:t>
      </w:r>
      <w:r w:rsidR="00287026">
        <w:rPr>
          <w:lang w:val="en-GB"/>
        </w:rPr>
        <w:t xml:space="preserve">when </w:t>
      </w:r>
      <w:proofErr w:type="spellStart"/>
      <w:r w:rsidR="00287026">
        <w:rPr>
          <w:lang w:val="en-GB"/>
        </w:rPr>
        <w:t>Nelissen</w:t>
      </w:r>
      <w:proofErr w:type="spellEnd"/>
      <w:r w:rsidR="00287026">
        <w:rPr>
          <w:lang w:val="en-GB"/>
        </w:rPr>
        <w:t xml:space="preserve"> Grade,</w:t>
      </w:r>
      <w:r>
        <w:rPr>
          <w:lang w:val="en-GB"/>
        </w:rPr>
        <w:t xml:space="preserve"> who had become one of the Government’s representatives before the Court, was involved in his last case in Strasbourg </w:t>
      </w:r>
      <w:r w:rsidR="00287026">
        <w:rPr>
          <w:lang w:val="en-GB"/>
        </w:rPr>
        <w:t>(the</w:t>
      </w:r>
      <w:r>
        <w:rPr>
          <w:lang w:val="en-GB"/>
        </w:rPr>
        <w:t xml:space="preserve"> </w:t>
      </w:r>
      <w:proofErr w:type="spellStart"/>
      <w:r>
        <w:rPr>
          <w:i/>
          <w:lang w:val="en-GB"/>
        </w:rPr>
        <w:t>Pressos</w:t>
      </w:r>
      <w:proofErr w:type="spellEnd"/>
      <w:r>
        <w:rPr>
          <w:i/>
          <w:lang w:val="en-GB"/>
        </w:rPr>
        <w:t xml:space="preserve"> </w:t>
      </w:r>
      <w:proofErr w:type="spellStart"/>
      <w:r>
        <w:rPr>
          <w:i/>
          <w:lang w:val="en-GB"/>
        </w:rPr>
        <w:t>Compania</w:t>
      </w:r>
      <w:proofErr w:type="spellEnd"/>
      <w:r>
        <w:rPr>
          <w:i/>
          <w:lang w:val="en-GB"/>
        </w:rPr>
        <w:t xml:space="preserve"> </w:t>
      </w:r>
      <w:proofErr w:type="spellStart"/>
      <w:r>
        <w:rPr>
          <w:i/>
          <w:lang w:val="en-GB"/>
        </w:rPr>
        <w:t>Naviera</w:t>
      </w:r>
      <w:proofErr w:type="spellEnd"/>
      <w:r>
        <w:rPr>
          <w:i/>
          <w:lang w:val="en-GB"/>
        </w:rPr>
        <w:t xml:space="preserve"> S.A. and Others </w:t>
      </w:r>
      <w:r>
        <w:rPr>
          <w:lang w:val="en-GB"/>
        </w:rPr>
        <w:t>case</w:t>
      </w:r>
      <w:r w:rsidR="00287026">
        <w:rPr>
          <w:lang w:val="en-GB"/>
        </w:rPr>
        <w:t xml:space="preserve">) </w:t>
      </w:r>
      <w:r>
        <w:rPr>
          <w:lang w:val="en-GB"/>
        </w:rPr>
        <w:t>a lot had however changed</w:t>
      </w:r>
      <w:r w:rsidR="00287026">
        <w:rPr>
          <w:lang w:val="en-GB"/>
        </w:rPr>
        <w:t xml:space="preserve"> in Strasbourg.</w:t>
      </w:r>
    </w:p>
    <w:p w14:paraId="733898F4" w14:textId="7DC0FED8" w:rsidR="002F5698" w:rsidRDefault="00077E51" w:rsidP="00933231">
      <w:pPr>
        <w:ind w:left="708"/>
        <w:jc w:val="both"/>
        <w:rPr>
          <w:lang w:val="en-GB"/>
        </w:rPr>
      </w:pPr>
      <w:r>
        <w:rPr>
          <w:lang w:val="en-GB"/>
        </w:rPr>
        <w:t>By the</w:t>
      </w:r>
      <w:r w:rsidR="00287026">
        <w:rPr>
          <w:lang w:val="en-GB"/>
        </w:rPr>
        <w:t>n</w:t>
      </w:r>
      <w:r>
        <w:rPr>
          <w:lang w:val="en-GB"/>
        </w:rPr>
        <w:t xml:space="preserve">, the system </w:t>
      </w:r>
      <w:r w:rsidR="00573EFF">
        <w:rPr>
          <w:lang w:val="en-GB"/>
        </w:rPr>
        <w:t>had</w:t>
      </w:r>
      <w:r>
        <w:rPr>
          <w:lang w:val="en-GB"/>
        </w:rPr>
        <w:t xml:space="preserve"> already </w:t>
      </w:r>
      <w:r w:rsidR="00573EFF">
        <w:rPr>
          <w:lang w:val="en-GB"/>
        </w:rPr>
        <w:t xml:space="preserve">been </w:t>
      </w:r>
      <w:r>
        <w:rPr>
          <w:lang w:val="en-GB"/>
        </w:rPr>
        <w:t xml:space="preserve">changed totally. When I pleaded for the Court then, it was all more formal and concise. The physical distance between the Court and those </w:t>
      </w:r>
      <w:r>
        <w:rPr>
          <w:lang w:val="en-GB"/>
        </w:rPr>
        <w:lastRenderedPageBreak/>
        <w:t xml:space="preserve">pleading, both the State as the applicant and the Commission, was a lot bigger. […] It all </w:t>
      </w:r>
      <w:r w:rsidR="00287026">
        <w:rPr>
          <w:lang w:val="en-GB"/>
        </w:rPr>
        <w:t xml:space="preserve">[i.e. the atmosphere] </w:t>
      </w:r>
      <w:r>
        <w:rPr>
          <w:lang w:val="en-GB"/>
        </w:rPr>
        <w:t>was a lot less pleasa</w:t>
      </w:r>
      <w:r w:rsidR="00C535C9">
        <w:rPr>
          <w:lang w:val="en-GB"/>
        </w:rPr>
        <w:t>nt</w:t>
      </w:r>
      <w:r w:rsidR="00287026">
        <w:rPr>
          <w:rStyle w:val="Voetnootmarkering"/>
          <w:lang w:val="en-GB"/>
        </w:rPr>
        <w:footnoteReference w:id="222"/>
      </w:r>
      <w:r w:rsidR="00C535C9">
        <w:rPr>
          <w:lang w:val="en-GB"/>
        </w:rPr>
        <w:t>.</w:t>
      </w:r>
    </w:p>
    <w:p w14:paraId="77EA3516" w14:textId="77777777" w:rsidR="001A19D0" w:rsidRPr="00077E51" w:rsidRDefault="001A19D0" w:rsidP="001A19D0">
      <w:pPr>
        <w:ind w:firstLine="708"/>
        <w:jc w:val="both"/>
        <w:rPr>
          <w:lang w:val="en-GB"/>
        </w:rPr>
      </w:pPr>
    </w:p>
    <w:p w14:paraId="7F9D538E" w14:textId="77777777" w:rsidR="004228A8" w:rsidRPr="004228A8" w:rsidRDefault="004228A8" w:rsidP="004228A8">
      <w:pPr>
        <w:pStyle w:val="Lijstalinea"/>
        <w:numPr>
          <w:ilvl w:val="1"/>
          <w:numId w:val="6"/>
        </w:numPr>
        <w:ind w:left="0" w:firstLine="0"/>
        <w:rPr>
          <w:b/>
          <w:lang w:val="en-GB"/>
        </w:rPr>
      </w:pPr>
      <w:r>
        <w:rPr>
          <w:i/>
          <w:lang w:val="en-GB"/>
        </w:rPr>
        <w:t>Explanatory factors</w:t>
      </w:r>
    </w:p>
    <w:p w14:paraId="6CB5F18D" w14:textId="09B59C87" w:rsidR="00096274" w:rsidRDefault="00301ECB" w:rsidP="001A19D0">
      <w:pPr>
        <w:ind w:firstLine="708"/>
        <w:jc w:val="both"/>
        <w:rPr>
          <w:lang w:val="en-GB"/>
        </w:rPr>
      </w:pPr>
      <w:r>
        <w:rPr>
          <w:lang w:val="en-GB"/>
        </w:rPr>
        <w:t>When backtracking the history of certain cases to explain why they and not others made it to the Court</w:t>
      </w:r>
      <w:r w:rsidR="0059032C">
        <w:rPr>
          <w:lang w:val="en-GB"/>
        </w:rPr>
        <w:t xml:space="preserve"> – </w:t>
      </w:r>
      <w:r>
        <w:rPr>
          <w:lang w:val="en-GB"/>
        </w:rPr>
        <w:t>whether or not resulting in a successful outcome</w:t>
      </w:r>
      <w:r w:rsidR="0059032C">
        <w:rPr>
          <w:lang w:val="en-GB"/>
        </w:rPr>
        <w:t xml:space="preserve"> – </w:t>
      </w:r>
      <w:r>
        <w:rPr>
          <w:lang w:val="en-GB"/>
        </w:rPr>
        <w:t xml:space="preserve">it must be borne in mind that a case goes through a whole process before ending up </w:t>
      </w:r>
      <w:r w:rsidR="005D71B2">
        <w:rPr>
          <w:lang w:val="en-GB"/>
        </w:rPr>
        <w:t>at the Court</w:t>
      </w:r>
      <w:r>
        <w:rPr>
          <w:lang w:val="en-GB"/>
        </w:rPr>
        <w:t xml:space="preserve"> and that potential cases may have dropped off at any point of that process.</w:t>
      </w:r>
      <w:r w:rsidR="006A1914">
        <w:rPr>
          <w:lang w:val="en-GB"/>
        </w:rPr>
        <w:t xml:space="preserve"> </w:t>
      </w:r>
      <w:r w:rsidR="005D71B2">
        <w:rPr>
          <w:lang w:val="en-GB"/>
        </w:rPr>
        <w:t xml:space="preserve">In this respect, </w:t>
      </w:r>
      <w:proofErr w:type="spellStart"/>
      <w:r w:rsidR="005D71B2">
        <w:rPr>
          <w:lang w:val="en-GB"/>
        </w:rPr>
        <w:t>Parmentier</w:t>
      </w:r>
      <w:proofErr w:type="spellEnd"/>
      <w:r w:rsidR="005D71B2">
        <w:rPr>
          <w:lang w:val="en-GB"/>
        </w:rPr>
        <w:t xml:space="preserve"> uses the metaphor of the legal iceberg – which for the larger part remains hidden under water – to indicate that only a small part of the total number of disputes that could potentially be introduced end up at the level of the Commission and even</w:t>
      </w:r>
      <w:r w:rsidR="00C535C9">
        <w:rPr>
          <w:lang w:val="en-GB"/>
        </w:rPr>
        <w:t xml:space="preserve"> less at the level of the Court</w:t>
      </w:r>
      <w:r w:rsidR="005D71B2">
        <w:rPr>
          <w:rStyle w:val="Voetnootmarkering"/>
          <w:lang w:val="en-GB"/>
        </w:rPr>
        <w:footnoteReference w:id="223"/>
      </w:r>
      <w:r w:rsidR="00C535C9">
        <w:rPr>
          <w:lang w:val="en-GB"/>
        </w:rPr>
        <w:t>.</w:t>
      </w:r>
      <w:r w:rsidR="005D71B2">
        <w:rPr>
          <w:lang w:val="en-GB"/>
        </w:rPr>
        <w:t xml:space="preserve"> </w:t>
      </w:r>
      <w:r w:rsidR="006A1914">
        <w:rPr>
          <w:lang w:val="en-GB"/>
        </w:rPr>
        <w:t>F</w:t>
      </w:r>
      <w:r>
        <w:rPr>
          <w:lang w:val="en-GB"/>
        </w:rPr>
        <w:t>irst of all</w:t>
      </w:r>
      <w:r w:rsidR="006A1914">
        <w:rPr>
          <w:lang w:val="en-GB"/>
        </w:rPr>
        <w:t xml:space="preserve">, </w:t>
      </w:r>
      <w:r w:rsidR="00470B1E">
        <w:rPr>
          <w:lang w:val="en-GB"/>
        </w:rPr>
        <w:t>there must be a situation in which at least arguably the human rights of an applicant were affected and the applicant and/or his or her attorney must be sufficiently conscious about human rights to perceive of this situation as such.</w:t>
      </w:r>
      <w:r w:rsidR="006A1914">
        <w:rPr>
          <w:lang w:val="en-GB"/>
        </w:rPr>
        <w:t xml:space="preserve"> </w:t>
      </w:r>
      <w:r w:rsidR="00CA2E2A">
        <w:rPr>
          <w:lang w:val="en-GB"/>
        </w:rPr>
        <w:t>Then</w:t>
      </w:r>
      <w:r w:rsidR="006A1914">
        <w:rPr>
          <w:lang w:val="en-GB"/>
        </w:rPr>
        <w:t xml:space="preserve">, they must </w:t>
      </w:r>
      <w:r w:rsidR="00F7473C">
        <w:rPr>
          <w:lang w:val="en-GB"/>
        </w:rPr>
        <w:t xml:space="preserve">have </w:t>
      </w:r>
      <w:r w:rsidR="006A1914">
        <w:rPr>
          <w:lang w:val="en-GB"/>
        </w:rPr>
        <w:t>see</w:t>
      </w:r>
      <w:r w:rsidR="00F7473C">
        <w:rPr>
          <w:lang w:val="en-GB"/>
        </w:rPr>
        <w:t>n</w:t>
      </w:r>
      <w:r w:rsidR="006A1914">
        <w:rPr>
          <w:lang w:val="en-GB"/>
        </w:rPr>
        <w:t xml:space="preserve"> some point in</w:t>
      </w:r>
      <w:r w:rsidR="00F7473C">
        <w:rPr>
          <w:lang w:val="en-GB"/>
        </w:rPr>
        <w:t xml:space="preserve"> going through the</w:t>
      </w:r>
      <w:r w:rsidR="006A1914">
        <w:rPr>
          <w:lang w:val="en-GB"/>
        </w:rPr>
        <w:t xml:space="preserve"> effort to attempt to challenge that situation in Strasbourg</w:t>
      </w:r>
      <w:r w:rsidR="00CA2E2A">
        <w:rPr>
          <w:lang w:val="en-GB"/>
        </w:rPr>
        <w:t xml:space="preserve">, taking </w:t>
      </w:r>
      <w:r w:rsidR="00CA2E2A" w:rsidRPr="0059032C">
        <w:rPr>
          <w:i/>
          <w:lang w:val="en-GB"/>
        </w:rPr>
        <w:t>inter alia</w:t>
      </w:r>
      <w:r w:rsidR="00CA2E2A">
        <w:rPr>
          <w:lang w:val="en-GB"/>
        </w:rPr>
        <w:t xml:space="preserve"> into account their available resources and time</w:t>
      </w:r>
      <w:r w:rsidR="006A1914">
        <w:rPr>
          <w:lang w:val="en-GB"/>
        </w:rPr>
        <w:t xml:space="preserve">. </w:t>
      </w:r>
      <w:r w:rsidR="00CA2E2A">
        <w:rPr>
          <w:lang w:val="en-GB"/>
        </w:rPr>
        <w:t>Subsequently</w:t>
      </w:r>
      <w:r w:rsidR="006A1914">
        <w:rPr>
          <w:lang w:val="en-GB"/>
        </w:rPr>
        <w:t>, the Commission, which operat</w:t>
      </w:r>
      <w:r w:rsidR="00F7473C">
        <w:rPr>
          <w:lang w:val="en-GB"/>
        </w:rPr>
        <w:t>ed as a filter at the time, had to</w:t>
      </w:r>
      <w:r w:rsidR="006A1914">
        <w:rPr>
          <w:lang w:val="en-GB"/>
        </w:rPr>
        <w:t xml:space="preserve"> c</w:t>
      </w:r>
      <w:r w:rsidR="00F7473C">
        <w:rPr>
          <w:lang w:val="en-GB"/>
        </w:rPr>
        <w:t>onsider</w:t>
      </w:r>
      <w:r w:rsidR="00672437">
        <w:rPr>
          <w:lang w:val="en-GB"/>
        </w:rPr>
        <w:t xml:space="preserve"> an application admissible</w:t>
      </w:r>
      <w:r w:rsidR="00F7473C">
        <w:rPr>
          <w:lang w:val="en-GB"/>
        </w:rPr>
        <w:t>.</w:t>
      </w:r>
      <w:r w:rsidR="00672437">
        <w:rPr>
          <w:lang w:val="en-GB"/>
        </w:rPr>
        <w:t xml:space="preserve"> Only at that point </w:t>
      </w:r>
      <w:r w:rsidR="00CA2E2A">
        <w:rPr>
          <w:lang w:val="en-GB"/>
        </w:rPr>
        <w:t>would a case end up before the Court.</w:t>
      </w:r>
    </w:p>
    <w:p w14:paraId="519B7A67" w14:textId="401482BC" w:rsidR="004516BA" w:rsidRDefault="00096274" w:rsidP="001A19D0">
      <w:pPr>
        <w:ind w:firstLine="708"/>
        <w:jc w:val="both"/>
        <w:rPr>
          <w:lang w:val="en-GB"/>
        </w:rPr>
      </w:pPr>
      <w:r>
        <w:rPr>
          <w:lang w:val="en-GB"/>
        </w:rPr>
        <w:t>In what follows, the state of Belgian law at the time and the absence of alternative mechanisms of relief at the domestic level in certain areas of the law will be discussed first. Then it will be argued that the cases against Belgium testify a kind of snowball effect of successful Strasbourg litigation leading more actors to go to Strasbourg. Finally, the respective roles of the applicants, their lawyers and of the Strasbourg institutions will be discussed in turn. In combination, these factors explain how the cases studied could have arisen during the period under consideration.</w:t>
      </w:r>
    </w:p>
    <w:p w14:paraId="09078846" w14:textId="77777777" w:rsidR="000A322D" w:rsidRDefault="000A322D" w:rsidP="00B663ED">
      <w:pPr>
        <w:jc w:val="both"/>
        <w:rPr>
          <w:lang w:val="en-GB"/>
        </w:rPr>
      </w:pPr>
    </w:p>
    <w:p w14:paraId="010398C2" w14:textId="77777777" w:rsidR="004516BA" w:rsidRDefault="004516BA" w:rsidP="00B663ED">
      <w:pPr>
        <w:jc w:val="both"/>
        <w:rPr>
          <w:i/>
          <w:lang w:val="en-GB"/>
        </w:rPr>
      </w:pPr>
      <w:r>
        <w:rPr>
          <w:i/>
          <w:lang w:val="en-GB"/>
        </w:rPr>
        <w:t>Outdated character</w:t>
      </w:r>
      <w:r w:rsidR="00203C7E">
        <w:rPr>
          <w:i/>
          <w:lang w:val="en-GB"/>
        </w:rPr>
        <w:t xml:space="preserve"> of</w:t>
      </w:r>
      <w:r>
        <w:rPr>
          <w:i/>
          <w:lang w:val="en-GB"/>
        </w:rPr>
        <w:t xml:space="preserve"> Belgian law</w:t>
      </w:r>
    </w:p>
    <w:p w14:paraId="02080E37" w14:textId="7B63E5E1" w:rsidR="000A5A4A" w:rsidRDefault="00C911D3" w:rsidP="001A19D0">
      <w:pPr>
        <w:ind w:firstLine="708"/>
        <w:jc w:val="both"/>
        <w:rPr>
          <w:lang w:val="en-GB"/>
        </w:rPr>
      </w:pPr>
      <w:r>
        <w:rPr>
          <w:lang w:val="en-GB"/>
        </w:rPr>
        <w:t xml:space="preserve">According to </w:t>
      </w:r>
      <w:proofErr w:type="spellStart"/>
      <w:r>
        <w:rPr>
          <w:lang w:val="en-GB"/>
        </w:rPr>
        <w:t>Groenendijk</w:t>
      </w:r>
      <w:proofErr w:type="spellEnd"/>
      <w:r>
        <w:rPr>
          <w:lang w:val="en-GB"/>
        </w:rPr>
        <w:t xml:space="preserve">, an important factor in explaining cross-national variance in the number of Strasbourg applications lodged in the period 1955-1987 is the subjectively perceived human rights situation in the </w:t>
      </w:r>
      <w:r w:rsidR="00C535C9">
        <w:rPr>
          <w:lang w:val="en-GB"/>
        </w:rPr>
        <w:t>country concerned</w:t>
      </w:r>
      <w:r w:rsidR="00185B53">
        <w:rPr>
          <w:rStyle w:val="Voetnootmarkering"/>
          <w:lang w:val="en-GB"/>
        </w:rPr>
        <w:footnoteReference w:id="224"/>
      </w:r>
      <w:r w:rsidR="00C535C9">
        <w:rPr>
          <w:lang w:val="en-GB"/>
        </w:rPr>
        <w:t>.</w:t>
      </w:r>
      <w:r w:rsidR="00185B53">
        <w:rPr>
          <w:lang w:val="en-GB"/>
        </w:rPr>
        <w:t xml:space="preserve"> In this respect, a number of interviewees report that their case resulted from the state of Belgian law at the time, which was considered outdated, especially in the light of the </w:t>
      </w:r>
      <w:r w:rsidR="003156EA">
        <w:rPr>
          <w:lang w:val="en-GB"/>
        </w:rPr>
        <w:t xml:space="preserve">then </w:t>
      </w:r>
      <w:r w:rsidR="00185B53">
        <w:rPr>
          <w:lang w:val="en-GB"/>
        </w:rPr>
        <w:t>developing European human rights standards.</w:t>
      </w:r>
      <w:r w:rsidR="00A31416">
        <w:rPr>
          <w:lang w:val="en-GB"/>
        </w:rPr>
        <w:t xml:space="preserve"> In this respect, </w:t>
      </w:r>
      <w:r w:rsidR="007C1619">
        <w:rPr>
          <w:lang w:val="en-GB"/>
        </w:rPr>
        <w:t xml:space="preserve">for example, </w:t>
      </w:r>
      <w:r w:rsidR="00A31416">
        <w:rPr>
          <w:lang w:val="en-GB"/>
        </w:rPr>
        <w:t xml:space="preserve">according to Albert </w:t>
      </w:r>
      <w:proofErr w:type="spellStart"/>
      <w:r w:rsidR="00A31416">
        <w:rPr>
          <w:lang w:val="en-GB"/>
        </w:rPr>
        <w:t>Fettweis</w:t>
      </w:r>
      <w:proofErr w:type="spellEnd"/>
      <w:r w:rsidR="00A31416">
        <w:rPr>
          <w:lang w:val="en-GB"/>
        </w:rPr>
        <w:t xml:space="preserve">, the </w:t>
      </w:r>
      <w:r w:rsidR="00A31416">
        <w:rPr>
          <w:i/>
          <w:lang w:val="en-GB"/>
        </w:rPr>
        <w:t xml:space="preserve">Van der </w:t>
      </w:r>
      <w:proofErr w:type="spellStart"/>
      <w:r w:rsidR="00A31416">
        <w:rPr>
          <w:i/>
          <w:lang w:val="en-GB"/>
        </w:rPr>
        <w:t>Mussele</w:t>
      </w:r>
      <w:proofErr w:type="spellEnd"/>
      <w:r w:rsidR="00A31416">
        <w:rPr>
          <w:i/>
          <w:lang w:val="en-GB"/>
        </w:rPr>
        <w:t xml:space="preserve"> </w:t>
      </w:r>
      <w:r w:rsidR="00A31416">
        <w:rPr>
          <w:lang w:val="en-GB"/>
        </w:rPr>
        <w:t xml:space="preserve">case </w:t>
      </w:r>
      <w:r w:rsidR="0059032C">
        <w:rPr>
          <w:lang w:val="en-GB"/>
        </w:rPr>
        <w:t xml:space="preserve">(1983) </w:t>
      </w:r>
      <w:r w:rsidR="00A31416">
        <w:rPr>
          <w:lang w:val="en-GB"/>
        </w:rPr>
        <w:t>was testimony of th</w:t>
      </w:r>
      <w:r w:rsidR="007C1619">
        <w:rPr>
          <w:lang w:val="en-GB"/>
        </w:rPr>
        <w:t xml:space="preserve">e fact that Belgium “was, of course not always, but still regularly lagging behind in comparison to the </w:t>
      </w:r>
      <w:r w:rsidR="00C535C9">
        <w:rPr>
          <w:lang w:val="en-GB"/>
        </w:rPr>
        <w:lastRenderedPageBreak/>
        <w:t>neighbouring countries</w:t>
      </w:r>
      <w:r w:rsidR="007C1619">
        <w:rPr>
          <w:lang w:val="en-GB"/>
        </w:rPr>
        <w:t>”</w:t>
      </w:r>
      <w:r w:rsidR="007C1619">
        <w:rPr>
          <w:rStyle w:val="Voetnootmarkering"/>
          <w:lang w:val="en-GB"/>
        </w:rPr>
        <w:footnoteReference w:id="225"/>
      </w:r>
      <w:r w:rsidR="00C535C9">
        <w:rPr>
          <w:lang w:val="en-GB"/>
        </w:rPr>
        <w:t>.</w:t>
      </w:r>
      <w:r w:rsidR="00B24684">
        <w:rPr>
          <w:lang w:val="en-GB"/>
        </w:rPr>
        <w:t xml:space="preserve"> While </w:t>
      </w:r>
      <w:r w:rsidR="003D2860">
        <w:rPr>
          <w:lang w:val="en-GB"/>
        </w:rPr>
        <w:t xml:space="preserve">it </w:t>
      </w:r>
      <w:r w:rsidR="00B24684">
        <w:rPr>
          <w:lang w:val="en-GB"/>
        </w:rPr>
        <w:t xml:space="preserve">would go beyond the scope of the present study to attempt to determine how relatively outdated Belgian law was in comparison to the other Council of Europe member states, it is clear that quite a number of judgments indeed arose from applications lodged </w:t>
      </w:r>
      <w:r w:rsidR="000A5A4A">
        <w:rPr>
          <w:lang w:val="en-GB"/>
        </w:rPr>
        <w:t>by attorneys who saw the European Convention as a tool to challenge outdated legislation.</w:t>
      </w:r>
    </w:p>
    <w:p w14:paraId="3EE4B3DE" w14:textId="77777777" w:rsidR="00933231" w:rsidRDefault="002C6B77" w:rsidP="001A19D0">
      <w:pPr>
        <w:ind w:firstLine="708"/>
        <w:jc w:val="both"/>
        <w:rPr>
          <w:lang w:val="en-GB"/>
        </w:rPr>
      </w:pPr>
      <w:r>
        <w:rPr>
          <w:lang w:val="en-GB"/>
        </w:rPr>
        <w:t xml:space="preserve">With respect to the outdated character of Belgian family law at the time, still largely based on the 1804 </w:t>
      </w:r>
      <w:r>
        <w:rPr>
          <w:i/>
          <w:lang w:val="en-GB"/>
        </w:rPr>
        <w:t>Code Napoléon</w:t>
      </w:r>
      <w:r>
        <w:rPr>
          <w:lang w:val="en-GB"/>
        </w:rPr>
        <w:t xml:space="preserve">, Moni Van Look, attorney in the </w:t>
      </w:r>
      <w:r>
        <w:rPr>
          <w:i/>
          <w:lang w:val="en-GB"/>
        </w:rPr>
        <w:t xml:space="preserve">Marckx </w:t>
      </w:r>
      <w:r>
        <w:rPr>
          <w:lang w:val="en-GB"/>
        </w:rPr>
        <w:t>case</w:t>
      </w:r>
      <w:r w:rsidR="0076233C">
        <w:rPr>
          <w:lang w:val="en-GB"/>
        </w:rPr>
        <w:t xml:space="preserve"> (1979)</w:t>
      </w:r>
      <w:r w:rsidR="00933231">
        <w:rPr>
          <w:lang w:val="en-GB"/>
        </w:rPr>
        <w:t>, recalled</w:t>
      </w:r>
    </w:p>
    <w:p w14:paraId="0A160F41" w14:textId="45EF205A" w:rsidR="004516BA" w:rsidRPr="002C6B77" w:rsidRDefault="002C6B77" w:rsidP="00933231">
      <w:pPr>
        <w:ind w:left="708"/>
        <w:jc w:val="both"/>
        <w:rPr>
          <w:lang w:val="en-GB"/>
        </w:rPr>
      </w:pPr>
      <w:proofErr w:type="gramStart"/>
      <w:r>
        <w:rPr>
          <w:lang w:val="en-GB"/>
        </w:rPr>
        <w:t>that</w:t>
      </w:r>
      <w:proofErr w:type="gramEnd"/>
      <w:r>
        <w:rPr>
          <w:lang w:val="en-GB"/>
        </w:rPr>
        <w:t xml:space="preserve"> at that time, the whole family law slowly began to move […], but way too slowly. And it was decided to first focus on the matrimonial regime. And they also didn’t want to go too far […] on many points. They thought that </w:t>
      </w:r>
      <w:r w:rsidR="004510BB">
        <w:rPr>
          <w:lang w:val="en-GB"/>
        </w:rPr>
        <w:t>a lot could be solved</w:t>
      </w:r>
      <w:r>
        <w:rPr>
          <w:lang w:val="en-GB"/>
        </w:rPr>
        <w:t xml:space="preserve"> with adoption, but that’s actually hypocritical. You shouldn’t have to adopt your kid to give h</w:t>
      </w:r>
      <w:r w:rsidR="004B549C">
        <w:rPr>
          <w:lang w:val="en-GB"/>
        </w:rPr>
        <w:t>er</w:t>
      </w:r>
      <w:r>
        <w:rPr>
          <w:lang w:val="en-GB"/>
        </w:rPr>
        <w:t xml:space="preserve"> a better sta</w:t>
      </w:r>
      <w:r w:rsidR="00C535C9">
        <w:rPr>
          <w:lang w:val="en-GB"/>
        </w:rPr>
        <w:t>tus, that’s too crazy for words</w:t>
      </w:r>
      <w:r>
        <w:rPr>
          <w:rStyle w:val="Voetnootmarkering"/>
          <w:lang w:val="en-GB"/>
        </w:rPr>
        <w:footnoteReference w:id="226"/>
      </w:r>
      <w:r w:rsidR="00C535C9">
        <w:rPr>
          <w:lang w:val="en-GB"/>
        </w:rPr>
        <w:t>.</w:t>
      </w:r>
    </w:p>
    <w:p w14:paraId="5629C20B" w14:textId="77777777" w:rsidR="00933231" w:rsidRDefault="00EF69B4" w:rsidP="001A19D0">
      <w:pPr>
        <w:ind w:firstLine="708"/>
        <w:jc w:val="both"/>
        <w:rPr>
          <w:lang w:val="en-GB"/>
        </w:rPr>
      </w:pPr>
      <w:r>
        <w:rPr>
          <w:lang w:val="en-GB"/>
        </w:rPr>
        <w:t>A large number of ECtHR judgments during the period under consideration arose from the outdated character of the Belgian criminal justice system.</w:t>
      </w:r>
      <w:r w:rsidR="0076233C" w:rsidRPr="0029124A">
        <w:rPr>
          <w:lang w:val="en-GB"/>
        </w:rPr>
        <w:t xml:space="preserve"> </w:t>
      </w:r>
      <w:r w:rsidR="00C73D62">
        <w:rPr>
          <w:lang w:val="en-GB"/>
        </w:rPr>
        <w:t>T</w:t>
      </w:r>
      <w:r w:rsidR="00235CF6">
        <w:rPr>
          <w:lang w:val="en-GB"/>
        </w:rPr>
        <w:t xml:space="preserve">he </w:t>
      </w:r>
      <w:r w:rsidR="00235CF6">
        <w:rPr>
          <w:i/>
          <w:lang w:val="en-GB"/>
        </w:rPr>
        <w:t>Vagrancy case</w:t>
      </w:r>
      <w:r w:rsidR="00235CF6">
        <w:rPr>
          <w:lang w:val="en-GB"/>
        </w:rPr>
        <w:t xml:space="preserve"> (1971) for example resulted from the paternalist</w:t>
      </w:r>
      <w:r w:rsidR="00C2180F">
        <w:rPr>
          <w:lang w:val="en-GB"/>
        </w:rPr>
        <w:t xml:space="preserve"> and authoritarian</w:t>
      </w:r>
      <w:r w:rsidR="00235CF6">
        <w:rPr>
          <w:lang w:val="en-GB"/>
        </w:rPr>
        <w:t xml:space="preserve"> manner in which Belgium dealt with so-called vagrants, i.e. persons who did not have a fixed abode, means of subsistence nor a regular trade or profession. Since </w:t>
      </w:r>
      <w:r w:rsidR="00096274">
        <w:rPr>
          <w:lang w:val="en-GB"/>
        </w:rPr>
        <w:t>the detention of a vagrant</w:t>
      </w:r>
      <w:r w:rsidR="00235CF6">
        <w:rPr>
          <w:lang w:val="en-GB"/>
        </w:rPr>
        <w:t xml:space="preserve"> was not considered as a criminal </w:t>
      </w:r>
      <w:r w:rsidR="00096274">
        <w:rPr>
          <w:lang w:val="en-GB"/>
        </w:rPr>
        <w:t xml:space="preserve">punishment </w:t>
      </w:r>
      <w:r w:rsidR="00235CF6">
        <w:rPr>
          <w:lang w:val="en-GB"/>
        </w:rPr>
        <w:t xml:space="preserve">but as an administrative security measure, it was treated outside the </w:t>
      </w:r>
      <w:r>
        <w:rPr>
          <w:lang w:val="en-GB"/>
        </w:rPr>
        <w:t xml:space="preserve">regular </w:t>
      </w:r>
      <w:r w:rsidR="00235CF6">
        <w:rPr>
          <w:lang w:val="en-GB"/>
        </w:rPr>
        <w:t xml:space="preserve">criminal justice system. </w:t>
      </w:r>
      <w:r w:rsidR="00E90C48">
        <w:rPr>
          <w:lang w:val="en-GB"/>
        </w:rPr>
        <w:t>Within 24 hours, a</w:t>
      </w:r>
      <w:r w:rsidR="00235CF6">
        <w:rPr>
          <w:lang w:val="en-GB"/>
        </w:rPr>
        <w:t xml:space="preserve"> person arrested as a vagrant was brought before the police co</w:t>
      </w:r>
      <w:r w:rsidR="00E90C48">
        <w:rPr>
          <w:lang w:val="en-GB"/>
        </w:rPr>
        <w:t>urt, composed of a single judge, which</w:t>
      </w:r>
      <w:r w:rsidR="00235CF6">
        <w:rPr>
          <w:lang w:val="en-GB"/>
        </w:rPr>
        <w:t xml:space="preserve"> could decide to place him at the disposal of the Government to be detained in a vagrancy centre for a period up to seven years.</w:t>
      </w:r>
      <w:r w:rsidR="00E90C48">
        <w:rPr>
          <w:lang w:val="en-GB"/>
        </w:rPr>
        <w:t xml:space="preserve"> During the hearing, the person concerned did not benefit</w:t>
      </w:r>
      <w:r w:rsidR="003734CC">
        <w:rPr>
          <w:lang w:val="en-GB"/>
        </w:rPr>
        <w:t xml:space="preserve"> of</w:t>
      </w:r>
      <w:r w:rsidR="00E90C48">
        <w:rPr>
          <w:lang w:val="en-GB"/>
        </w:rPr>
        <w:t xml:space="preserve"> the assistance of a lawyer and the decision of the police court could not be appealed.</w:t>
      </w:r>
      <w:r w:rsidR="00E90C48" w:rsidRPr="00E90C48">
        <w:rPr>
          <w:lang w:val="en-GB"/>
        </w:rPr>
        <w:t xml:space="preserve"> </w:t>
      </w:r>
      <w:r w:rsidR="00E90C48">
        <w:rPr>
          <w:lang w:val="en-GB"/>
        </w:rPr>
        <w:t xml:space="preserve">According to Xavier </w:t>
      </w:r>
      <w:proofErr w:type="spellStart"/>
      <w:r w:rsidR="00E90C48">
        <w:rPr>
          <w:lang w:val="en-GB"/>
        </w:rPr>
        <w:t>Magnée</w:t>
      </w:r>
      <w:proofErr w:type="spellEnd"/>
      <w:r w:rsidR="00E90C48">
        <w:rPr>
          <w:lang w:val="en-GB"/>
        </w:rPr>
        <w:t xml:space="preserve">, attorney in the </w:t>
      </w:r>
      <w:r w:rsidR="00E90C48" w:rsidRPr="00E90C48">
        <w:rPr>
          <w:i/>
          <w:lang w:val="en-GB"/>
        </w:rPr>
        <w:t>Vagrancy case</w:t>
      </w:r>
      <w:r w:rsidR="00933231">
        <w:rPr>
          <w:lang w:val="en-GB"/>
        </w:rPr>
        <w:t xml:space="preserve">, </w:t>
      </w:r>
    </w:p>
    <w:p w14:paraId="036B921C" w14:textId="77777777" w:rsidR="00933231" w:rsidRDefault="007A7BAB" w:rsidP="00933231">
      <w:pPr>
        <w:ind w:left="708"/>
        <w:jc w:val="both"/>
        <w:rPr>
          <w:lang w:val="en-GB"/>
        </w:rPr>
      </w:pPr>
      <w:proofErr w:type="gramStart"/>
      <w:r>
        <w:rPr>
          <w:lang w:val="en-GB"/>
        </w:rPr>
        <w:t>this</w:t>
      </w:r>
      <w:proofErr w:type="gramEnd"/>
      <w:r>
        <w:rPr>
          <w:lang w:val="en-GB"/>
        </w:rPr>
        <w:t xml:space="preserve"> law in Belgian went back to the time of Leopold II [i.e. 1891]. If people were seen sleeping on the ground in a metro station or on the pavement next to a shopping gallery, they were taken away as fast as possible to be brought for a judge to intern them […] It was a regime that was evidently very authoritarian and very administrative. […] T</w:t>
      </w:r>
      <w:r w:rsidR="00E90C48">
        <w:rPr>
          <w:lang w:val="en-GB"/>
        </w:rPr>
        <w:t>he</w:t>
      </w:r>
      <w:r>
        <w:rPr>
          <w:lang w:val="en-GB"/>
        </w:rPr>
        <w:t>ir crime was simply being poor.</w:t>
      </w:r>
      <w:r w:rsidR="000B253B">
        <w:rPr>
          <w:lang w:val="en-GB"/>
        </w:rPr>
        <w:t xml:space="preserve"> […] At that period in time, we found ourselves in the </w:t>
      </w:r>
      <w:proofErr w:type="spellStart"/>
      <w:r w:rsidR="000B253B">
        <w:rPr>
          <w:lang w:val="en-GB"/>
        </w:rPr>
        <w:t>1960s</w:t>
      </w:r>
      <w:proofErr w:type="spellEnd"/>
      <w:r w:rsidR="000B253B">
        <w:rPr>
          <w:lang w:val="en-GB"/>
        </w:rPr>
        <w:t xml:space="preserve"> in a period of economic expansion, it was extremely tricky to </w:t>
      </w:r>
      <w:r w:rsidR="00C2180F">
        <w:rPr>
          <w:lang w:val="en-GB"/>
        </w:rPr>
        <w:t xml:space="preserve">[still] </w:t>
      </w:r>
      <w:r w:rsidR="000B253B">
        <w:rPr>
          <w:lang w:val="en-GB"/>
        </w:rPr>
        <w:t>tre</w:t>
      </w:r>
      <w:r w:rsidR="00C535C9">
        <w:rPr>
          <w:lang w:val="en-GB"/>
        </w:rPr>
        <w:t>at poor people the way they did</w:t>
      </w:r>
      <w:r>
        <w:rPr>
          <w:rStyle w:val="Voetnootmarkering"/>
          <w:lang w:val="en-GB"/>
        </w:rPr>
        <w:footnoteReference w:id="227"/>
      </w:r>
      <w:r w:rsidR="00C535C9">
        <w:rPr>
          <w:lang w:val="en-GB"/>
        </w:rPr>
        <w:t>.</w:t>
      </w:r>
      <w:r w:rsidR="00C2180F">
        <w:rPr>
          <w:lang w:val="en-GB"/>
        </w:rPr>
        <w:t xml:space="preserve"> </w:t>
      </w:r>
    </w:p>
    <w:p w14:paraId="0B53E33B" w14:textId="50D1017B" w:rsidR="003D2860" w:rsidRDefault="00C2180F" w:rsidP="00933231">
      <w:pPr>
        <w:jc w:val="both"/>
        <w:rPr>
          <w:lang w:val="en-GB"/>
        </w:rPr>
      </w:pPr>
      <w:r>
        <w:rPr>
          <w:lang w:val="en-GB"/>
        </w:rPr>
        <w:t xml:space="preserve">The Court found a violation of Article 5 § 4 on account of the impossibility of vagrants to challenge the detention before an authority that provides “the fundamental guarantees of procedure” required in </w:t>
      </w:r>
      <w:r w:rsidR="00C535C9">
        <w:rPr>
          <w:lang w:val="en-GB"/>
        </w:rPr>
        <w:t>cases of deprivation of liberty</w:t>
      </w:r>
      <w:r>
        <w:rPr>
          <w:rStyle w:val="Voetnootmarkering"/>
          <w:lang w:val="en-GB"/>
        </w:rPr>
        <w:footnoteReference w:id="228"/>
      </w:r>
      <w:r w:rsidR="00C535C9">
        <w:rPr>
          <w:lang w:val="en-GB"/>
        </w:rPr>
        <w:t>.</w:t>
      </w:r>
      <w:r w:rsidR="005737BC">
        <w:rPr>
          <w:lang w:val="en-GB"/>
        </w:rPr>
        <w:t xml:space="preserve"> </w:t>
      </w:r>
    </w:p>
    <w:p w14:paraId="2C40F286" w14:textId="0B6D65CC" w:rsidR="005737BC" w:rsidRDefault="005737BC" w:rsidP="001A19D0">
      <w:pPr>
        <w:ind w:firstLine="708"/>
        <w:jc w:val="both"/>
        <w:rPr>
          <w:lang w:val="en-GB"/>
        </w:rPr>
      </w:pPr>
      <w:r>
        <w:rPr>
          <w:lang w:val="en-GB"/>
        </w:rPr>
        <w:t xml:space="preserve">Belgium was similarly convicted </w:t>
      </w:r>
      <w:r w:rsidR="00C73D62">
        <w:rPr>
          <w:lang w:val="en-GB"/>
        </w:rPr>
        <w:t>for the administrative and paternalist manner – leaving “virtually undisputed confidence” in the wisdom of the authorities ruling on detention “on whom wide discretionary powers could therefore be conferred”</w:t>
      </w:r>
      <w:r w:rsidR="00C73D62">
        <w:rPr>
          <w:rStyle w:val="Voetnootmarkering"/>
          <w:lang w:val="en-GB"/>
        </w:rPr>
        <w:footnoteReference w:id="229"/>
      </w:r>
      <w:r w:rsidR="00C73D62">
        <w:rPr>
          <w:lang w:val="en-GB"/>
        </w:rPr>
        <w:t xml:space="preserve"> –</w:t>
      </w:r>
      <w:r>
        <w:rPr>
          <w:lang w:val="en-GB"/>
        </w:rPr>
        <w:t xml:space="preserve"> in which it dealt with habitual </w:t>
      </w:r>
      <w:r>
        <w:rPr>
          <w:lang w:val="en-GB"/>
        </w:rPr>
        <w:lastRenderedPageBreak/>
        <w:t xml:space="preserve">offenders in the </w:t>
      </w:r>
      <w:r>
        <w:rPr>
          <w:i/>
          <w:lang w:val="en-GB"/>
        </w:rPr>
        <w:t xml:space="preserve">Van </w:t>
      </w:r>
      <w:proofErr w:type="spellStart"/>
      <w:r>
        <w:rPr>
          <w:i/>
          <w:lang w:val="en-GB"/>
        </w:rPr>
        <w:t>Droogenbroeck</w:t>
      </w:r>
      <w:proofErr w:type="spellEnd"/>
      <w:r>
        <w:rPr>
          <w:i/>
          <w:lang w:val="en-GB"/>
        </w:rPr>
        <w:t xml:space="preserve"> </w:t>
      </w:r>
      <w:r>
        <w:rPr>
          <w:lang w:val="en-GB"/>
        </w:rPr>
        <w:t>case (1982)</w:t>
      </w:r>
      <w:r w:rsidRPr="00FC219E">
        <w:rPr>
          <w:lang w:val="en-GB"/>
        </w:rPr>
        <w:t>.</w:t>
      </w:r>
      <w:r w:rsidR="00FC219E">
        <w:rPr>
          <w:lang w:val="en-GB"/>
        </w:rPr>
        <w:t xml:space="preserve"> A person who had committed one offence after the other could or in certain circumstances </w:t>
      </w:r>
      <w:r w:rsidR="003D2860">
        <w:rPr>
          <w:lang w:val="en-GB"/>
        </w:rPr>
        <w:t>had to</w:t>
      </w:r>
      <w:r w:rsidR="00FC219E">
        <w:rPr>
          <w:lang w:val="en-GB"/>
        </w:rPr>
        <w:t xml:space="preserve"> be convicted by the criminal courts to the additional sentence of being placed at the Government’s disposal upon serving his or her sentence. The Minister of Justice enjoyed a wide discretion in deciding how to implement this penalty, for example by detaining, placing in semi-custodial care, conditionally re</w:t>
      </w:r>
      <w:r w:rsidR="003734CC">
        <w:rPr>
          <w:lang w:val="en-GB"/>
        </w:rPr>
        <w:t>le</w:t>
      </w:r>
      <w:r w:rsidR="00FC219E">
        <w:rPr>
          <w:lang w:val="en-GB"/>
        </w:rPr>
        <w:t xml:space="preserve">asing or allowing a person to remain at liberty under supervision or on probation. </w:t>
      </w:r>
      <w:r w:rsidR="005A712F">
        <w:rPr>
          <w:lang w:val="en-GB"/>
        </w:rPr>
        <w:t>Because of the absence of a judicial remedy for habitual offenders to challenge measures taken by the Minister of Justice depriving them of their liberty, again, the Court found</w:t>
      </w:r>
      <w:r w:rsidR="00C535C9">
        <w:rPr>
          <w:lang w:val="en-GB"/>
        </w:rPr>
        <w:t xml:space="preserve"> a violation of Article 5, § 4</w:t>
      </w:r>
      <w:r w:rsidR="00994B72">
        <w:rPr>
          <w:rStyle w:val="Voetnootmarkering"/>
          <w:lang w:val="en-GB"/>
        </w:rPr>
        <w:footnoteReference w:id="230"/>
      </w:r>
      <w:r w:rsidR="00C535C9">
        <w:rPr>
          <w:lang w:val="en-GB"/>
        </w:rPr>
        <w:t>.</w:t>
      </w:r>
      <w:r w:rsidR="005A712F">
        <w:rPr>
          <w:lang w:val="en-GB"/>
        </w:rPr>
        <w:t xml:space="preserve"> Also in the </w:t>
      </w:r>
      <w:proofErr w:type="spellStart"/>
      <w:r w:rsidR="005A712F">
        <w:rPr>
          <w:i/>
          <w:lang w:val="en-GB"/>
        </w:rPr>
        <w:t>Bouamar</w:t>
      </w:r>
      <w:proofErr w:type="spellEnd"/>
      <w:r w:rsidR="005A712F">
        <w:rPr>
          <w:i/>
          <w:lang w:val="en-GB"/>
        </w:rPr>
        <w:t xml:space="preserve"> </w:t>
      </w:r>
      <w:r w:rsidR="005A712F">
        <w:rPr>
          <w:lang w:val="en-GB"/>
        </w:rPr>
        <w:t>case</w:t>
      </w:r>
      <w:r w:rsidR="000751F7">
        <w:rPr>
          <w:lang w:val="en-GB"/>
        </w:rPr>
        <w:t xml:space="preserve"> (1988)</w:t>
      </w:r>
      <w:r w:rsidR="005A712F">
        <w:rPr>
          <w:lang w:val="en-GB"/>
        </w:rPr>
        <w:t>, the Court found a violation of Article 5 § 4, this time because of the lack of effective assistance</w:t>
      </w:r>
      <w:r w:rsidR="003A3D57">
        <w:rPr>
          <w:lang w:val="en-GB"/>
        </w:rPr>
        <w:t xml:space="preserve"> of a minor</w:t>
      </w:r>
      <w:r w:rsidR="005A712F">
        <w:rPr>
          <w:lang w:val="en-GB"/>
        </w:rPr>
        <w:t xml:space="preserve"> by a lawyer </w:t>
      </w:r>
      <w:r w:rsidR="003A3D57">
        <w:rPr>
          <w:lang w:val="en-GB"/>
        </w:rPr>
        <w:t>before the Juvenile Court,</w:t>
      </w:r>
      <w:r w:rsidR="005A712F">
        <w:rPr>
          <w:lang w:val="en-GB"/>
        </w:rPr>
        <w:t xml:space="preserve"> </w:t>
      </w:r>
      <w:r w:rsidR="003A3D57">
        <w:rPr>
          <w:lang w:val="en-GB"/>
        </w:rPr>
        <w:t xml:space="preserve">which decided on nine occasions to place him in remand prison because no adequate institution for the placement of a </w:t>
      </w:r>
      <w:r w:rsidR="00C535C9">
        <w:rPr>
          <w:lang w:val="en-GB"/>
        </w:rPr>
        <w:t>juvenile offender was available</w:t>
      </w:r>
      <w:r w:rsidR="003A3D57">
        <w:rPr>
          <w:rStyle w:val="Voetnootmarkering"/>
          <w:lang w:val="en-GB"/>
        </w:rPr>
        <w:footnoteReference w:id="231"/>
      </w:r>
      <w:r w:rsidR="00C535C9">
        <w:rPr>
          <w:lang w:val="en-GB"/>
        </w:rPr>
        <w:t>.</w:t>
      </w:r>
    </w:p>
    <w:p w14:paraId="52A4BFE0" w14:textId="3692E581" w:rsidR="00755B6C" w:rsidRPr="00C21C9A" w:rsidRDefault="00D0589B" w:rsidP="001A19D0">
      <w:pPr>
        <w:ind w:firstLine="708"/>
        <w:jc w:val="both"/>
        <w:rPr>
          <w:lang w:val="en-GB"/>
        </w:rPr>
      </w:pPr>
      <w:r w:rsidRPr="00C21C9A">
        <w:rPr>
          <w:lang w:val="en-GB"/>
        </w:rPr>
        <w:t>In addition to its paternalism,</w:t>
      </w:r>
      <w:r w:rsidR="00C34580" w:rsidRPr="00C21C9A">
        <w:rPr>
          <w:lang w:val="en-GB"/>
        </w:rPr>
        <w:t xml:space="preserve"> the Belgian criminal j</w:t>
      </w:r>
      <w:r w:rsidRPr="00C21C9A">
        <w:rPr>
          <w:lang w:val="en-GB"/>
        </w:rPr>
        <w:t xml:space="preserve">ustice system suffered from </w:t>
      </w:r>
      <w:r w:rsidR="00BC1490" w:rsidRPr="00C21C9A">
        <w:rPr>
          <w:lang w:val="en-GB"/>
        </w:rPr>
        <w:t xml:space="preserve">some of </w:t>
      </w:r>
      <w:r w:rsidRPr="00C21C9A">
        <w:rPr>
          <w:lang w:val="en-GB"/>
        </w:rPr>
        <w:t>the same defects from the viewpoint of the ECHR as other countries with a civil law tradition. In this respect, in an article discussing the impact of the ECHR on the Dutch criminal justice system, Swart considers that countries with an inquisitorial system – such as the Netherlands and Belgium – are “more vulnerable to criticism from a human-rights perspective than adversarial systems” as “inquisitorial systems are based on the belief that the state is best equipped to carry out an objective investigation into the truth, since parties to the proceedings might ha</w:t>
      </w:r>
      <w:r w:rsidR="00C535C9">
        <w:rPr>
          <w:lang w:val="en-GB"/>
        </w:rPr>
        <w:t>ve an interest in concealing it</w:t>
      </w:r>
      <w:r w:rsidRPr="00C21C9A">
        <w:rPr>
          <w:lang w:val="en-GB"/>
        </w:rPr>
        <w:t>”</w:t>
      </w:r>
      <w:r w:rsidRPr="00C21C9A">
        <w:rPr>
          <w:rStyle w:val="Voetnootmarkering"/>
          <w:lang w:val="en-GB"/>
        </w:rPr>
        <w:footnoteReference w:id="232"/>
      </w:r>
      <w:r w:rsidR="00C535C9">
        <w:rPr>
          <w:lang w:val="en-GB"/>
        </w:rPr>
        <w:t>.</w:t>
      </w:r>
      <w:r w:rsidR="002F4C87" w:rsidRPr="00C21C9A">
        <w:rPr>
          <w:lang w:val="en-GB"/>
        </w:rPr>
        <w:t xml:space="preserve"> </w:t>
      </w:r>
      <w:r w:rsidR="00C21C9A">
        <w:rPr>
          <w:lang w:val="en-GB"/>
        </w:rPr>
        <w:t>Given t</w:t>
      </w:r>
      <w:r w:rsidR="002F4C87" w:rsidRPr="00C21C9A">
        <w:rPr>
          <w:lang w:val="en-GB"/>
        </w:rPr>
        <w:t>his</w:t>
      </w:r>
      <w:r w:rsidR="00F1537F" w:rsidRPr="00C21C9A">
        <w:rPr>
          <w:lang w:val="en-GB"/>
        </w:rPr>
        <w:t xml:space="preserve"> </w:t>
      </w:r>
      <w:r w:rsidR="002F4C87" w:rsidRPr="00C21C9A">
        <w:rPr>
          <w:lang w:val="en-GB"/>
        </w:rPr>
        <w:t>almost blind faith in the integrity of judges</w:t>
      </w:r>
      <w:r w:rsidR="00C21C9A">
        <w:rPr>
          <w:lang w:val="en-GB"/>
        </w:rPr>
        <w:t>, it may not be surprising that the requirements of objective impartiality are traditionally less valued in Belgium</w:t>
      </w:r>
      <w:r w:rsidR="00F1537F" w:rsidRPr="00C21C9A">
        <w:rPr>
          <w:lang w:val="en-GB"/>
        </w:rPr>
        <w:t xml:space="preserve">, </w:t>
      </w:r>
      <w:r w:rsidR="00C21C9A">
        <w:rPr>
          <w:lang w:val="en-GB"/>
        </w:rPr>
        <w:t>which is</w:t>
      </w:r>
      <w:r w:rsidR="00604313" w:rsidRPr="00C21C9A">
        <w:rPr>
          <w:lang w:val="en-GB"/>
        </w:rPr>
        <w:t xml:space="preserve"> exacerbated by</w:t>
      </w:r>
      <w:r w:rsidR="00F1537F" w:rsidRPr="00C21C9A">
        <w:rPr>
          <w:lang w:val="en-GB"/>
        </w:rPr>
        <w:t xml:space="preserve"> the fact that in inquisitorial systems judges are involved in the investigation of certain offences. In this respect, Françoise De </w:t>
      </w:r>
      <w:proofErr w:type="spellStart"/>
      <w:r w:rsidR="00F1537F" w:rsidRPr="00C21C9A">
        <w:rPr>
          <w:lang w:val="en-GB"/>
        </w:rPr>
        <w:t>Croo-Desguin</w:t>
      </w:r>
      <w:proofErr w:type="spellEnd"/>
      <w:r w:rsidR="00F1537F" w:rsidRPr="00C21C9A">
        <w:rPr>
          <w:lang w:val="en-GB"/>
        </w:rPr>
        <w:t xml:space="preserve">, attorney in the </w:t>
      </w:r>
      <w:r w:rsidR="00F1537F" w:rsidRPr="00C21C9A">
        <w:rPr>
          <w:i/>
          <w:lang w:val="en-GB"/>
        </w:rPr>
        <w:t xml:space="preserve">De </w:t>
      </w:r>
      <w:proofErr w:type="spellStart"/>
      <w:r w:rsidR="00F1537F" w:rsidRPr="00C21C9A">
        <w:rPr>
          <w:i/>
          <w:lang w:val="en-GB"/>
        </w:rPr>
        <w:t>Cubber</w:t>
      </w:r>
      <w:proofErr w:type="spellEnd"/>
      <w:r w:rsidR="00F1537F" w:rsidRPr="00C21C9A">
        <w:rPr>
          <w:i/>
          <w:lang w:val="en-GB"/>
        </w:rPr>
        <w:t xml:space="preserve"> </w:t>
      </w:r>
      <w:r w:rsidR="00F1537F" w:rsidRPr="00C21C9A">
        <w:rPr>
          <w:lang w:val="en-GB"/>
        </w:rPr>
        <w:t>case</w:t>
      </w:r>
      <w:r w:rsidR="000751F7">
        <w:rPr>
          <w:lang w:val="en-GB"/>
        </w:rPr>
        <w:t xml:space="preserve"> (1984)</w:t>
      </w:r>
      <w:r w:rsidR="00F1537F" w:rsidRPr="00C21C9A">
        <w:rPr>
          <w:lang w:val="en-GB"/>
        </w:rPr>
        <w:t xml:space="preserve">, recalls that the justification for </w:t>
      </w:r>
      <w:r w:rsidR="00604313" w:rsidRPr="00C21C9A">
        <w:rPr>
          <w:lang w:val="en-GB"/>
        </w:rPr>
        <w:t xml:space="preserve">sometimes </w:t>
      </w:r>
      <w:r w:rsidR="00F1537F" w:rsidRPr="00C21C9A">
        <w:rPr>
          <w:lang w:val="en-GB"/>
        </w:rPr>
        <w:t xml:space="preserve">involving the same judge in both investigation and trial </w:t>
      </w:r>
      <w:r w:rsidR="00604313" w:rsidRPr="00C21C9A">
        <w:rPr>
          <w:lang w:val="en-GB"/>
        </w:rPr>
        <w:t xml:space="preserve">of a criminal case </w:t>
      </w:r>
      <w:r w:rsidR="00F1537F" w:rsidRPr="00C21C9A">
        <w:rPr>
          <w:lang w:val="en-GB"/>
        </w:rPr>
        <w:t>was that this person “was more aware [of the case]. Especially in case of a voluminous file, it was maybe possible to save some time this way. And maybe it was even a safeguard for the accused that the same person who had already studie</w:t>
      </w:r>
      <w:r w:rsidR="00604313" w:rsidRPr="00C21C9A">
        <w:rPr>
          <w:lang w:val="en-GB"/>
        </w:rPr>
        <w:t>d</w:t>
      </w:r>
      <w:r w:rsidR="00C535C9">
        <w:rPr>
          <w:lang w:val="en-GB"/>
        </w:rPr>
        <w:t xml:space="preserve"> the file also sat on the bench</w:t>
      </w:r>
      <w:r w:rsidR="00F1537F" w:rsidRPr="00C21C9A">
        <w:rPr>
          <w:lang w:val="en-GB"/>
        </w:rPr>
        <w:t>”</w:t>
      </w:r>
      <w:r w:rsidR="00F1537F" w:rsidRPr="00C21C9A">
        <w:rPr>
          <w:rStyle w:val="Voetnootmarkering"/>
          <w:lang w:val="en-GB"/>
        </w:rPr>
        <w:footnoteReference w:id="233"/>
      </w:r>
      <w:r w:rsidR="00C535C9">
        <w:rPr>
          <w:lang w:val="en-GB"/>
        </w:rPr>
        <w:t>.</w:t>
      </w:r>
    </w:p>
    <w:p w14:paraId="1561DE84" w14:textId="239C9204" w:rsidR="00C21C9A" w:rsidRPr="00C44032" w:rsidRDefault="00604313" w:rsidP="001A19D0">
      <w:pPr>
        <w:ind w:firstLine="708"/>
        <w:jc w:val="both"/>
        <w:rPr>
          <w:lang w:val="en-GB"/>
        </w:rPr>
      </w:pPr>
      <w:r w:rsidRPr="00C21C9A">
        <w:rPr>
          <w:lang w:val="en-GB"/>
        </w:rPr>
        <w:t xml:space="preserve">In Belgium, judicial impartiality is not guaranteed by the Constitution and while the 1967 Judicial Code provides certain incompatibilities for judges – including the requirement that a judgement is null </w:t>
      </w:r>
      <w:r w:rsidR="003734CC">
        <w:rPr>
          <w:lang w:val="en-GB"/>
        </w:rPr>
        <w:t>and</w:t>
      </w:r>
      <w:r w:rsidR="003734CC" w:rsidRPr="00C21C9A">
        <w:rPr>
          <w:lang w:val="en-GB"/>
        </w:rPr>
        <w:t xml:space="preserve"> </w:t>
      </w:r>
      <w:r w:rsidRPr="00C21C9A">
        <w:rPr>
          <w:lang w:val="en-GB"/>
        </w:rPr>
        <w:t xml:space="preserve">void in case it is rendered by a judge that had </w:t>
      </w:r>
      <w:r w:rsidR="001B5D1A" w:rsidRPr="00C21C9A">
        <w:rPr>
          <w:lang w:val="en-GB"/>
        </w:rPr>
        <w:t xml:space="preserve">already </w:t>
      </w:r>
      <w:r w:rsidRPr="00C21C9A">
        <w:rPr>
          <w:lang w:val="en-GB"/>
        </w:rPr>
        <w:t>taken cognizance</w:t>
      </w:r>
      <w:r w:rsidR="001B5D1A" w:rsidRPr="00C21C9A">
        <w:rPr>
          <w:lang w:val="en-GB"/>
        </w:rPr>
        <w:t xml:space="preserve"> of the case in the exercise of another judicial function (Article 292)</w:t>
      </w:r>
      <w:r w:rsidR="001B5D1A" w:rsidRPr="00C21C9A">
        <w:rPr>
          <w:rStyle w:val="Voetnootmarkering"/>
          <w:lang w:val="en-GB"/>
        </w:rPr>
        <w:footnoteReference w:id="234"/>
      </w:r>
      <w:r w:rsidR="001B5D1A" w:rsidRPr="00C21C9A">
        <w:rPr>
          <w:lang w:val="en-GB"/>
        </w:rPr>
        <w:t xml:space="preserve"> – the legislative history makes it clear that the legislator never wanted this provision to prevent a judge who had acted as </w:t>
      </w:r>
      <w:r w:rsidR="00D87779">
        <w:rPr>
          <w:lang w:val="en-GB"/>
        </w:rPr>
        <w:t>investigative judge</w:t>
      </w:r>
      <w:r w:rsidR="00C535C9">
        <w:rPr>
          <w:lang w:val="en-GB"/>
        </w:rPr>
        <w:t xml:space="preserve"> from acting as trial judge</w:t>
      </w:r>
      <w:r w:rsidR="001B5D1A" w:rsidRPr="00C21C9A">
        <w:rPr>
          <w:rStyle w:val="Voetnootmarkering"/>
          <w:lang w:val="en-GB"/>
        </w:rPr>
        <w:footnoteReference w:id="235"/>
      </w:r>
      <w:r w:rsidR="00C535C9">
        <w:rPr>
          <w:lang w:val="en-GB"/>
        </w:rPr>
        <w:t>.</w:t>
      </w:r>
      <w:r w:rsidR="00755B6C" w:rsidRPr="00C21C9A">
        <w:rPr>
          <w:lang w:val="en-GB"/>
        </w:rPr>
        <w:t xml:space="preserve"> Against this background, the ECHR was a tool mobilized by Belgian attorneys to force courts to comply with more stringent objective impartiality requirements in criminal matters. According to Leon Martens, attorney in the </w:t>
      </w:r>
      <w:r w:rsidR="00755B6C" w:rsidRPr="00C21C9A">
        <w:rPr>
          <w:i/>
          <w:lang w:val="en-GB"/>
        </w:rPr>
        <w:t xml:space="preserve">Ben </w:t>
      </w:r>
      <w:proofErr w:type="spellStart"/>
      <w:r w:rsidR="00755B6C" w:rsidRPr="00C21C9A">
        <w:rPr>
          <w:i/>
          <w:lang w:val="en-GB"/>
        </w:rPr>
        <w:t>Yaacoub</w:t>
      </w:r>
      <w:proofErr w:type="spellEnd"/>
      <w:r w:rsidR="00755B6C" w:rsidRPr="00C21C9A">
        <w:rPr>
          <w:lang w:val="en-GB"/>
        </w:rPr>
        <w:t xml:space="preserve"> case</w:t>
      </w:r>
      <w:r w:rsidR="000751F7">
        <w:rPr>
          <w:lang w:val="en-GB"/>
        </w:rPr>
        <w:t xml:space="preserve"> (1987)</w:t>
      </w:r>
      <w:r w:rsidR="00755B6C" w:rsidRPr="00C21C9A">
        <w:rPr>
          <w:lang w:val="en-GB"/>
        </w:rPr>
        <w:t xml:space="preserve">, “I was </w:t>
      </w:r>
      <w:r w:rsidR="00755B6C" w:rsidRPr="00C21C9A">
        <w:rPr>
          <w:lang w:val="en-GB"/>
        </w:rPr>
        <w:lastRenderedPageBreak/>
        <w:t>annoyed by those judges who sat simultaneously in different capacities. They all judged about themselves”</w:t>
      </w:r>
      <w:r w:rsidR="00755B6C" w:rsidRPr="00C21C9A">
        <w:rPr>
          <w:rStyle w:val="Voetnootmarkering"/>
          <w:lang w:val="en-GB"/>
        </w:rPr>
        <w:footnoteReference w:id="236"/>
      </w:r>
      <w:r w:rsidR="00C535C9">
        <w:rPr>
          <w:lang w:val="en-GB"/>
        </w:rPr>
        <w:t>.</w:t>
      </w:r>
      <w:r w:rsidR="00BF49A6" w:rsidRPr="00C21C9A">
        <w:rPr>
          <w:lang w:val="en-GB"/>
        </w:rPr>
        <w:t xml:space="preserve"> </w:t>
      </w:r>
      <w:r w:rsidR="00F231F5">
        <w:rPr>
          <w:lang w:val="en-GB"/>
        </w:rPr>
        <w:t>In t</w:t>
      </w:r>
      <w:r w:rsidR="00D87779">
        <w:rPr>
          <w:lang w:val="en-GB"/>
        </w:rPr>
        <w:t xml:space="preserve">he </w:t>
      </w:r>
      <w:proofErr w:type="spellStart"/>
      <w:r w:rsidR="00D87779">
        <w:rPr>
          <w:i/>
          <w:lang w:val="en-GB"/>
        </w:rPr>
        <w:t>Piersack</w:t>
      </w:r>
      <w:proofErr w:type="spellEnd"/>
      <w:r w:rsidR="00D87779">
        <w:rPr>
          <w:lang w:val="en-GB"/>
        </w:rPr>
        <w:t xml:space="preserve"> (1982), </w:t>
      </w:r>
      <w:r w:rsidR="00D87779">
        <w:rPr>
          <w:i/>
          <w:lang w:val="en-GB"/>
        </w:rPr>
        <w:t xml:space="preserve">De </w:t>
      </w:r>
      <w:proofErr w:type="spellStart"/>
      <w:r w:rsidR="00D87779">
        <w:rPr>
          <w:i/>
          <w:lang w:val="en-GB"/>
        </w:rPr>
        <w:t>Cubber</w:t>
      </w:r>
      <w:proofErr w:type="spellEnd"/>
      <w:r w:rsidR="00D87779">
        <w:rPr>
          <w:i/>
          <w:lang w:val="en-GB"/>
        </w:rPr>
        <w:t xml:space="preserve"> </w:t>
      </w:r>
      <w:r w:rsidR="00D87779">
        <w:rPr>
          <w:lang w:val="en-GB"/>
        </w:rPr>
        <w:t xml:space="preserve">(1984) and </w:t>
      </w:r>
      <w:r w:rsidR="00D87779">
        <w:rPr>
          <w:i/>
          <w:lang w:val="en-GB"/>
        </w:rPr>
        <w:t xml:space="preserve">Ben </w:t>
      </w:r>
      <w:proofErr w:type="spellStart"/>
      <w:r w:rsidR="00D87779">
        <w:rPr>
          <w:i/>
          <w:lang w:val="en-GB"/>
        </w:rPr>
        <w:t>Yaacoub</w:t>
      </w:r>
      <w:proofErr w:type="spellEnd"/>
      <w:r w:rsidR="00D87779">
        <w:rPr>
          <w:lang w:val="en-GB"/>
        </w:rPr>
        <w:t xml:space="preserve"> (1987) cases</w:t>
      </w:r>
      <w:r w:rsidR="00F231F5">
        <w:rPr>
          <w:lang w:val="en-GB"/>
        </w:rPr>
        <w:t>, the Court found viola</w:t>
      </w:r>
      <w:r w:rsidR="00D87779">
        <w:rPr>
          <w:lang w:val="en-GB"/>
        </w:rPr>
        <w:t xml:space="preserve">tions of Article 6 § 1 because the </w:t>
      </w:r>
      <w:proofErr w:type="spellStart"/>
      <w:r w:rsidR="00D87779">
        <w:rPr>
          <w:lang w:val="en-GB"/>
        </w:rPr>
        <w:t>judges</w:t>
      </w:r>
      <w:proofErr w:type="spellEnd"/>
      <w:r w:rsidR="00D87779">
        <w:rPr>
          <w:lang w:val="en-GB"/>
        </w:rPr>
        <w:t xml:space="preserve"> ruling on the merits of a criminal case had previously been involved in the investigation of the case, either as a prosecutor (</w:t>
      </w:r>
      <w:proofErr w:type="spellStart"/>
      <w:r w:rsidR="00D87779">
        <w:rPr>
          <w:i/>
          <w:lang w:val="en-GB"/>
        </w:rPr>
        <w:t>Piersack</w:t>
      </w:r>
      <w:proofErr w:type="spellEnd"/>
      <w:r w:rsidR="00D87779">
        <w:rPr>
          <w:lang w:val="en-GB"/>
        </w:rPr>
        <w:t>), as an investigative judge (</w:t>
      </w:r>
      <w:r w:rsidR="00D87779">
        <w:rPr>
          <w:i/>
          <w:lang w:val="en-GB"/>
        </w:rPr>
        <w:t xml:space="preserve">De </w:t>
      </w:r>
      <w:proofErr w:type="spellStart"/>
      <w:r w:rsidR="00D87779">
        <w:rPr>
          <w:i/>
          <w:lang w:val="en-GB"/>
        </w:rPr>
        <w:t>Cubber</w:t>
      </w:r>
      <w:proofErr w:type="spellEnd"/>
      <w:r w:rsidR="00D87779">
        <w:rPr>
          <w:lang w:val="en-GB"/>
        </w:rPr>
        <w:t xml:space="preserve">) or as </w:t>
      </w:r>
      <w:r w:rsidR="00F231F5">
        <w:rPr>
          <w:lang w:val="en-GB"/>
        </w:rPr>
        <w:t xml:space="preserve">a member of the </w:t>
      </w:r>
      <w:proofErr w:type="spellStart"/>
      <w:r w:rsidR="00F231F5">
        <w:rPr>
          <w:i/>
          <w:lang w:val="en-GB"/>
        </w:rPr>
        <w:t>Chambre</w:t>
      </w:r>
      <w:proofErr w:type="spellEnd"/>
      <w:r w:rsidR="00F231F5">
        <w:rPr>
          <w:i/>
          <w:lang w:val="en-GB"/>
        </w:rPr>
        <w:t xml:space="preserve"> du </w:t>
      </w:r>
      <w:proofErr w:type="spellStart"/>
      <w:r w:rsidR="00F231F5">
        <w:rPr>
          <w:i/>
          <w:lang w:val="en-GB"/>
        </w:rPr>
        <w:t>Conseil</w:t>
      </w:r>
      <w:proofErr w:type="spellEnd"/>
      <w:r w:rsidR="00F231F5">
        <w:rPr>
          <w:i/>
          <w:lang w:val="en-GB"/>
        </w:rPr>
        <w:t xml:space="preserve"> </w:t>
      </w:r>
      <w:r w:rsidR="00F231F5">
        <w:rPr>
          <w:lang w:val="en-GB"/>
        </w:rPr>
        <w:t>deciding on detention on remand (</w:t>
      </w:r>
      <w:r w:rsidR="00F231F5">
        <w:rPr>
          <w:i/>
          <w:lang w:val="en-GB"/>
        </w:rPr>
        <w:t xml:space="preserve">Ben </w:t>
      </w:r>
      <w:proofErr w:type="spellStart"/>
      <w:r w:rsidR="00F231F5">
        <w:rPr>
          <w:i/>
          <w:lang w:val="en-GB"/>
        </w:rPr>
        <w:t>Yaacoub</w:t>
      </w:r>
      <w:proofErr w:type="spellEnd"/>
      <w:r w:rsidR="00F231F5">
        <w:rPr>
          <w:lang w:val="en-GB"/>
        </w:rPr>
        <w:t>).</w:t>
      </w:r>
      <w:r w:rsidR="007D0160">
        <w:rPr>
          <w:lang w:val="en-GB"/>
        </w:rPr>
        <w:t xml:space="preserve"> In the </w:t>
      </w:r>
      <w:proofErr w:type="spellStart"/>
      <w:r w:rsidR="007D0160">
        <w:rPr>
          <w:i/>
          <w:lang w:val="en-GB"/>
        </w:rPr>
        <w:t>Pauwels</w:t>
      </w:r>
      <w:proofErr w:type="spellEnd"/>
      <w:r w:rsidR="007D0160">
        <w:rPr>
          <w:i/>
          <w:lang w:val="en-GB"/>
        </w:rPr>
        <w:t xml:space="preserve"> </w:t>
      </w:r>
      <w:r w:rsidR="007D0160">
        <w:rPr>
          <w:lang w:val="en-GB"/>
        </w:rPr>
        <w:t xml:space="preserve">case (1988), the Court in turn found a violation of Article 5 § 3 on account of the lack of objective impartiality of the </w:t>
      </w:r>
      <w:proofErr w:type="spellStart"/>
      <w:r w:rsidR="00513E6B">
        <w:rPr>
          <w:i/>
          <w:lang w:val="en-GB"/>
        </w:rPr>
        <w:t>auditeur</w:t>
      </w:r>
      <w:proofErr w:type="spellEnd"/>
      <w:r w:rsidR="00513E6B">
        <w:rPr>
          <w:i/>
          <w:lang w:val="en-GB"/>
        </w:rPr>
        <w:t xml:space="preserve"> </w:t>
      </w:r>
      <w:proofErr w:type="spellStart"/>
      <w:r w:rsidR="00513E6B">
        <w:rPr>
          <w:i/>
          <w:lang w:val="en-GB"/>
        </w:rPr>
        <w:t>militaire</w:t>
      </w:r>
      <w:proofErr w:type="spellEnd"/>
      <w:r w:rsidR="007D0160">
        <w:rPr>
          <w:lang w:val="en-GB"/>
        </w:rPr>
        <w:t xml:space="preserve"> in the context of military criminal law, since</w:t>
      </w:r>
      <w:r w:rsidR="00513E6B">
        <w:rPr>
          <w:lang w:val="en-GB"/>
        </w:rPr>
        <w:t xml:space="preserve"> the </w:t>
      </w:r>
      <w:proofErr w:type="spellStart"/>
      <w:r w:rsidR="00513E6B">
        <w:rPr>
          <w:i/>
          <w:lang w:val="en-GB"/>
        </w:rPr>
        <w:t>auditeur</w:t>
      </w:r>
      <w:proofErr w:type="spellEnd"/>
      <w:r w:rsidR="00513E6B">
        <w:rPr>
          <w:i/>
          <w:lang w:val="en-GB"/>
        </w:rPr>
        <w:t xml:space="preserve"> </w:t>
      </w:r>
      <w:proofErr w:type="spellStart"/>
      <w:r w:rsidR="00513E6B">
        <w:rPr>
          <w:i/>
          <w:lang w:val="en-GB"/>
        </w:rPr>
        <w:t>militaire</w:t>
      </w:r>
      <w:proofErr w:type="spellEnd"/>
      <w:r w:rsidR="00513E6B">
        <w:rPr>
          <w:i/>
          <w:lang w:val="en-GB"/>
        </w:rPr>
        <w:t xml:space="preserve"> </w:t>
      </w:r>
      <w:r w:rsidR="00513E6B">
        <w:rPr>
          <w:lang w:val="en-GB"/>
        </w:rPr>
        <w:t>combined the judicial function of ruling on the detention on remand with the function of prosecutor.</w:t>
      </w:r>
      <w:r w:rsidR="00C44032">
        <w:rPr>
          <w:lang w:val="en-GB"/>
        </w:rPr>
        <w:t xml:space="preserve"> Another question raised during the period of consideration concerning objective impartiality concerned the participation of a member of the </w:t>
      </w:r>
      <w:proofErr w:type="spellStart"/>
      <w:r w:rsidR="00C44032">
        <w:rPr>
          <w:i/>
          <w:lang w:val="en-GB"/>
        </w:rPr>
        <w:t>procureur</w:t>
      </w:r>
      <w:proofErr w:type="spellEnd"/>
      <w:r w:rsidR="00C44032">
        <w:rPr>
          <w:i/>
          <w:lang w:val="en-GB"/>
        </w:rPr>
        <w:t xml:space="preserve"> </w:t>
      </w:r>
      <w:proofErr w:type="spellStart"/>
      <w:r w:rsidR="00C44032">
        <w:rPr>
          <w:i/>
          <w:lang w:val="en-GB"/>
        </w:rPr>
        <w:t>général</w:t>
      </w:r>
      <w:r w:rsidR="00C44032">
        <w:rPr>
          <w:lang w:val="en-GB"/>
        </w:rPr>
        <w:t>’s</w:t>
      </w:r>
      <w:proofErr w:type="spellEnd"/>
      <w:r w:rsidR="00C44032">
        <w:rPr>
          <w:lang w:val="en-GB"/>
        </w:rPr>
        <w:t xml:space="preserve"> department, exercising an advisory</w:t>
      </w:r>
      <w:r w:rsidR="00AC76B1">
        <w:rPr>
          <w:lang w:val="en-GB"/>
        </w:rPr>
        <w:t xml:space="preserve"> rather than a </w:t>
      </w:r>
      <w:proofErr w:type="spellStart"/>
      <w:r w:rsidR="00AC76B1">
        <w:rPr>
          <w:lang w:val="en-GB"/>
        </w:rPr>
        <w:t>prosecutive</w:t>
      </w:r>
      <w:proofErr w:type="spellEnd"/>
      <w:r w:rsidR="00C44032">
        <w:rPr>
          <w:lang w:val="en-GB"/>
        </w:rPr>
        <w:t xml:space="preserve"> function, to the deliberations of the Court of Cassation, which the Court in the </w:t>
      </w:r>
      <w:proofErr w:type="spellStart"/>
      <w:r w:rsidR="00C44032">
        <w:rPr>
          <w:i/>
          <w:lang w:val="en-GB"/>
        </w:rPr>
        <w:t>Delcourt</w:t>
      </w:r>
      <w:proofErr w:type="spellEnd"/>
      <w:r w:rsidR="00C44032">
        <w:rPr>
          <w:i/>
          <w:lang w:val="en-GB"/>
        </w:rPr>
        <w:t xml:space="preserve"> </w:t>
      </w:r>
      <w:r w:rsidR="00C44032">
        <w:rPr>
          <w:lang w:val="en-GB"/>
        </w:rPr>
        <w:t>case (1970) consider</w:t>
      </w:r>
      <w:r w:rsidR="00C535C9">
        <w:rPr>
          <w:lang w:val="en-GB"/>
        </w:rPr>
        <w:t>ed not to violate Article 6 § 1.</w:t>
      </w:r>
      <w:r w:rsidR="00C44032">
        <w:rPr>
          <w:rStyle w:val="Voetnootmarkering"/>
          <w:lang w:val="en-GB"/>
        </w:rPr>
        <w:footnoteReference w:id="237"/>
      </w:r>
    </w:p>
    <w:p w14:paraId="66A2198F" w14:textId="77777777" w:rsidR="00C21C9A" w:rsidRDefault="00C21C9A" w:rsidP="001B5D1A">
      <w:pPr>
        <w:jc w:val="both"/>
        <w:rPr>
          <w:lang w:val="en-GB"/>
        </w:rPr>
      </w:pPr>
    </w:p>
    <w:p w14:paraId="73BB7836" w14:textId="77777777" w:rsidR="00BF49A6" w:rsidRPr="002D00FF" w:rsidRDefault="00BF49A6" w:rsidP="00EF69B4">
      <w:pPr>
        <w:jc w:val="both"/>
        <w:rPr>
          <w:i/>
          <w:lang w:val="en-GB"/>
        </w:rPr>
      </w:pPr>
      <w:r w:rsidRPr="002D00FF">
        <w:rPr>
          <w:i/>
          <w:lang w:val="en-GB"/>
        </w:rPr>
        <w:t xml:space="preserve">Absence </w:t>
      </w:r>
      <w:r w:rsidR="003734CC">
        <w:rPr>
          <w:i/>
          <w:lang w:val="en-GB"/>
        </w:rPr>
        <w:t xml:space="preserve">of </w:t>
      </w:r>
      <w:r w:rsidRPr="002D00FF">
        <w:rPr>
          <w:i/>
          <w:lang w:val="en-GB"/>
        </w:rPr>
        <w:t>alternative mechanisms of relief</w:t>
      </w:r>
    </w:p>
    <w:p w14:paraId="79FF93B8" w14:textId="75C94594" w:rsidR="007C26C8" w:rsidRPr="002D00FF" w:rsidRDefault="00470B1E" w:rsidP="001A19D0">
      <w:pPr>
        <w:ind w:firstLine="708"/>
        <w:jc w:val="both"/>
        <w:rPr>
          <w:lang w:val="en-GB"/>
        </w:rPr>
      </w:pPr>
      <w:proofErr w:type="spellStart"/>
      <w:r w:rsidRPr="002D00FF">
        <w:rPr>
          <w:lang w:val="en-GB"/>
        </w:rPr>
        <w:t>Parmentier</w:t>
      </w:r>
      <w:proofErr w:type="spellEnd"/>
      <w:r w:rsidRPr="002D00FF">
        <w:rPr>
          <w:lang w:val="en-GB"/>
        </w:rPr>
        <w:t xml:space="preserve"> suggests that the presence of alternative mechanisms to obtain relief at the domestic level, in particular </w:t>
      </w:r>
      <w:r w:rsidR="006F09F7" w:rsidRPr="002D00FF">
        <w:rPr>
          <w:lang w:val="en-GB"/>
        </w:rPr>
        <w:t>“judicial procedures for human rights monitoring that may exist at the national level of some Contracting Parties” may be an important factor explaining the mobilisation of the individual complain</w:t>
      </w:r>
      <w:r w:rsidR="00C535C9">
        <w:rPr>
          <w:lang w:val="en-GB"/>
        </w:rPr>
        <w:t>t procedure in Strasbourg</w:t>
      </w:r>
      <w:r w:rsidR="006F09F7" w:rsidRPr="002D00FF">
        <w:rPr>
          <w:rStyle w:val="Voetnootmarkering"/>
          <w:lang w:val="en-GB"/>
        </w:rPr>
        <w:footnoteReference w:id="238"/>
      </w:r>
      <w:r w:rsidR="00C535C9">
        <w:rPr>
          <w:lang w:val="en-GB"/>
        </w:rPr>
        <w:t>.</w:t>
      </w:r>
      <w:r w:rsidR="00F24731" w:rsidRPr="002D00FF">
        <w:rPr>
          <w:lang w:val="en-GB"/>
        </w:rPr>
        <w:t xml:space="preserve"> According to </w:t>
      </w:r>
      <w:proofErr w:type="spellStart"/>
      <w:r w:rsidR="00F24731" w:rsidRPr="002D00FF">
        <w:rPr>
          <w:lang w:val="en-GB"/>
        </w:rPr>
        <w:t>Parmentier</w:t>
      </w:r>
      <w:proofErr w:type="spellEnd"/>
      <w:r w:rsidR="00F24731" w:rsidRPr="002D00FF">
        <w:rPr>
          <w:lang w:val="en-GB"/>
        </w:rPr>
        <w:t>, the impact of this factor could go in both directions. On the one hand, the absence of such procedures could result in more Strasbourg litigation as applicants then have to exhaust fewer layers of domestic remedies before lodging an application in Strasbourg, whereas, on the other hand, the presence of such procedures “may also perform an educational function as they could raise the general level of consciousness about the importance of human rights in a given society, and thus indirectly lead more applicants to submit their</w:t>
      </w:r>
      <w:r w:rsidR="00C535C9">
        <w:rPr>
          <w:lang w:val="en-GB"/>
        </w:rPr>
        <w:t xml:space="preserve"> case to an international organ</w:t>
      </w:r>
      <w:r w:rsidR="00F24731" w:rsidRPr="002D00FF">
        <w:rPr>
          <w:lang w:val="en-GB"/>
        </w:rPr>
        <w:t>”</w:t>
      </w:r>
      <w:r w:rsidR="00F24731" w:rsidRPr="002D00FF">
        <w:rPr>
          <w:rStyle w:val="Voetnootmarkering"/>
          <w:lang w:val="en-GB"/>
        </w:rPr>
        <w:footnoteReference w:id="239"/>
      </w:r>
      <w:r w:rsidR="00C535C9">
        <w:rPr>
          <w:lang w:val="en-GB"/>
        </w:rPr>
        <w:t>.</w:t>
      </w:r>
    </w:p>
    <w:p w14:paraId="5CD2ED75" w14:textId="77777777" w:rsidR="007C26C8" w:rsidRPr="002D00FF" w:rsidRDefault="00030958" w:rsidP="001A19D0">
      <w:pPr>
        <w:ind w:firstLine="708"/>
        <w:jc w:val="both"/>
        <w:rPr>
          <w:lang w:val="en-GB"/>
        </w:rPr>
      </w:pPr>
      <w:r w:rsidRPr="002D00FF">
        <w:rPr>
          <w:lang w:val="en-GB"/>
        </w:rPr>
        <w:t xml:space="preserve">The latter hypothesis arguably does not </w:t>
      </w:r>
      <w:r w:rsidR="0074418B" w:rsidRPr="002D00FF">
        <w:rPr>
          <w:lang w:val="en-GB"/>
        </w:rPr>
        <w:t xml:space="preserve">seem to </w:t>
      </w:r>
      <w:r w:rsidRPr="002D00FF">
        <w:rPr>
          <w:lang w:val="en-GB"/>
        </w:rPr>
        <w:t xml:space="preserve">apply to Belgium in the period under consideration. As explained above, while a theoretical openness to the ECHR was created with the Court of Cassation’s 1971 </w:t>
      </w:r>
      <w:r w:rsidRPr="002D00FF">
        <w:rPr>
          <w:i/>
          <w:lang w:val="en-GB"/>
        </w:rPr>
        <w:t xml:space="preserve">Franco-Suisse </w:t>
      </w:r>
      <w:r w:rsidRPr="002D00FF">
        <w:rPr>
          <w:lang w:val="en-GB"/>
        </w:rPr>
        <w:t xml:space="preserve">judgment, especially the Court of Cassation remained relatively reticent in </w:t>
      </w:r>
      <w:r w:rsidR="0074418B" w:rsidRPr="002D00FF">
        <w:rPr>
          <w:lang w:val="en-GB"/>
        </w:rPr>
        <w:t xml:space="preserve">endorsing the authority of European human rights law throughout the </w:t>
      </w:r>
      <w:proofErr w:type="spellStart"/>
      <w:r w:rsidR="0074418B" w:rsidRPr="002D00FF">
        <w:rPr>
          <w:lang w:val="en-GB"/>
        </w:rPr>
        <w:t>1980s</w:t>
      </w:r>
      <w:proofErr w:type="spellEnd"/>
      <w:r w:rsidR="0074418B" w:rsidRPr="002D00FF">
        <w:rPr>
          <w:lang w:val="en-GB"/>
        </w:rPr>
        <w:t>. Arguably, Strasbourg litigation was a more important factor contributing to the creation of openness for the ECHR at the domestic level, rather than the other way around – at least during the period under consideration.</w:t>
      </w:r>
    </w:p>
    <w:p w14:paraId="01D72496" w14:textId="77777777" w:rsidR="00933231" w:rsidRDefault="007C26C8" w:rsidP="001A19D0">
      <w:pPr>
        <w:ind w:firstLine="708"/>
        <w:jc w:val="both"/>
        <w:rPr>
          <w:lang w:val="en-GB"/>
        </w:rPr>
      </w:pPr>
      <w:r w:rsidRPr="002D00FF">
        <w:rPr>
          <w:lang w:val="en-GB"/>
        </w:rPr>
        <w:t>The</w:t>
      </w:r>
      <w:r w:rsidR="0074418B" w:rsidRPr="002D00FF">
        <w:rPr>
          <w:lang w:val="en-GB"/>
        </w:rPr>
        <w:t xml:space="preserve"> former hypothesis</w:t>
      </w:r>
      <w:r w:rsidRPr="002D00FF">
        <w:rPr>
          <w:lang w:val="en-GB"/>
        </w:rPr>
        <w:t xml:space="preserve"> however </w:t>
      </w:r>
      <w:r w:rsidR="005E5682">
        <w:rPr>
          <w:lang w:val="en-GB"/>
        </w:rPr>
        <w:t xml:space="preserve">does seem </w:t>
      </w:r>
      <w:r w:rsidRPr="002D00FF">
        <w:rPr>
          <w:lang w:val="en-GB"/>
        </w:rPr>
        <w:t xml:space="preserve">to hold true to some extent as </w:t>
      </w:r>
      <w:r w:rsidR="0074418B" w:rsidRPr="002D00FF">
        <w:rPr>
          <w:lang w:val="en-GB"/>
        </w:rPr>
        <w:t>some of the interviews indicate that</w:t>
      </w:r>
      <w:r w:rsidR="00C3435B" w:rsidRPr="002D00FF">
        <w:rPr>
          <w:lang w:val="en-GB"/>
        </w:rPr>
        <w:t xml:space="preserve">, at least for certain actors, lodging a Strasbourg application was a way to sidestep the Belgian legal system in cases where no judicial remedy was available to complain about </w:t>
      </w:r>
      <w:r w:rsidR="00C3435B" w:rsidRPr="002D00FF">
        <w:rPr>
          <w:lang w:val="en-GB"/>
        </w:rPr>
        <w:lastRenderedPageBreak/>
        <w:t xml:space="preserve">the alleged human rights violation. In this respect, it must be recalled that, prior to the instalment of the Court of Arbitration (the now Constitutional Court) in 1984 – which however only gradually gained competences in the </w:t>
      </w:r>
      <w:r w:rsidR="00E32E1F" w:rsidRPr="002D00FF">
        <w:rPr>
          <w:lang w:val="en-GB"/>
        </w:rPr>
        <w:t>area</w:t>
      </w:r>
      <w:r w:rsidR="00C3435B" w:rsidRPr="002D00FF">
        <w:rPr>
          <w:lang w:val="en-GB"/>
        </w:rPr>
        <w:t xml:space="preserve"> of constitutionality control – it was impossible to directly challenge legislation before the Belgian courts</w:t>
      </w:r>
      <w:r w:rsidR="00E32E1F" w:rsidRPr="002D00FF">
        <w:rPr>
          <w:lang w:val="en-GB"/>
        </w:rPr>
        <w:t>, although th</w:t>
      </w:r>
      <w:r w:rsidR="001B7C01" w:rsidRPr="002D00FF">
        <w:rPr>
          <w:lang w:val="en-GB"/>
        </w:rPr>
        <w:t>is was somewhat compensated by the fact that th</w:t>
      </w:r>
      <w:r w:rsidR="00E32E1F" w:rsidRPr="002D00FF">
        <w:rPr>
          <w:lang w:val="en-GB"/>
        </w:rPr>
        <w:t xml:space="preserve">e courts had to </w:t>
      </w:r>
      <w:proofErr w:type="spellStart"/>
      <w:r w:rsidR="00E32E1F" w:rsidRPr="002D00FF">
        <w:rPr>
          <w:lang w:val="en-GB"/>
        </w:rPr>
        <w:t>disapply</w:t>
      </w:r>
      <w:proofErr w:type="spellEnd"/>
      <w:r w:rsidR="00E32E1F" w:rsidRPr="002D00FF">
        <w:rPr>
          <w:lang w:val="en-GB"/>
        </w:rPr>
        <w:t xml:space="preserve"> legislation that violated directly applicable international law on the basis of the </w:t>
      </w:r>
      <w:r w:rsidR="00E32E1F" w:rsidRPr="002D00FF">
        <w:rPr>
          <w:i/>
          <w:lang w:val="en-GB"/>
        </w:rPr>
        <w:t>Franco-Suisse</w:t>
      </w:r>
      <w:r w:rsidR="00E32E1F" w:rsidRPr="002D00FF">
        <w:rPr>
          <w:lang w:val="en-GB"/>
        </w:rPr>
        <w:t xml:space="preserve"> judgment.</w:t>
      </w:r>
      <w:r w:rsidRPr="002D00FF">
        <w:rPr>
          <w:lang w:val="en-GB"/>
        </w:rPr>
        <w:t xml:space="preserve"> For example, Bernard Maingain, attorney in the </w:t>
      </w:r>
      <w:r w:rsidRPr="002D00FF">
        <w:rPr>
          <w:i/>
          <w:lang w:val="en-GB"/>
        </w:rPr>
        <w:t>Mathieu-</w:t>
      </w:r>
      <w:proofErr w:type="spellStart"/>
      <w:r w:rsidRPr="002D00FF">
        <w:rPr>
          <w:i/>
          <w:lang w:val="en-GB"/>
        </w:rPr>
        <w:t>Mohin</w:t>
      </w:r>
      <w:proofErr w:type="spellEnd"/>
      <w:r w:rsidRPr="002D00FF">
        <w:rPr>
          <w:i/>
          <w:lang w:val="en-GB"/>
        </w:rPr>
        <w:t xml:space="preserve"> and </w:t>
      </w:r>
      <w:proofErr w:type="spellStart"/>
      <w:r w:rsidRPr="002D00FF">
        <w:rPr>
          <w:i/>
          <w:lang w:val="en-GB"/>
        </w:rPr>
        <w:t>Clerfayt</w:t>
      </w:r>
      <w:proofErr w:type="spellEnd"/>
      <w:r w:rsidRPr="002D00FF">
        <w:rPr>
          <w:i/>
          <w:lang w:val="en-GB"/>
        </w:rPr>
        <w:t xml:space="preserve"> </w:t>
      </w:r>
      <w:r w:rsidRPr="002D00FF">
        <w:rPr>
          <w:lang w:val="en-GB"/>
        </w:rPr>
        <w:t>case</w:t>
      </w:r>
      <w:r w:rsidR="005E5682">
        <w:rPr>
          <w:lang w:val="en-GB"/>
        </w:rPr>
        <w:t xml:space="preserve"> (1987)</w:t>
      </w:r>
      <w:r w:rsidR="00933231">
        <w:rPr>
          <w:lang w:val="en-GB"/>
        </w:rPr>
        <w:t>, recalls that</w:t>
      </w:r>
    </w:p>
    <w:p w14:paraId="50637895" w14:textId="7509F9D3" w:rsidR="00933231" w:rsidRDefault="007C26C8" w:rsidP="00933231">
      <w:pPr>
        <w:ind w:left="708"/>
        <w:jc w:val="both"/>
        <w:rPr>
          <w:lang w:val="en-GB"/>
        </w:rPr>
      </w:pPr>
      <w:proofErr w:type="gramStart"/>
      <w:r w:rsidRPr="002D00FF">
        <w:rPr>
          <w:lang w:val="en-GB"/>
        </w:rPr>
        <w:t>the</w:t>
      </w:r>
      <w:proofErr w:type="gramEnd"/>
      <w:r w:rsidRPr="002D00FF">
        <w:rPr>
          <w:lang w:val="en-GB"/>
        </w:rPr>
        <w:t xml:space="preserve"> people of the </w:t>
      </w:r>
      <w:proofErr w:type="spellStart"/>
      <w:r w:rsidRPr="002D00FF">
        <w:rPr>
          <w:i/>
          <w:lang w:val="en-GB"/>
        </w:rPr>
        <w:t>Rassemblement</w:t>
      </w:r>
      <w:proofErr w:type="spellEnd"/>
      <w:r w:rsidRPr="002D00FF">
        <w:rPr>
          <w:i/>
          <w:lang w:val="en-GB"/>
        </w:rPr>
        <w:t xml:space="preserve"> </w:t>
      </w:r>
      <w:proofErr w:type="spellStart"/>
      <w:r w:rsidRPr="002D00FF">
        <w:rPr>
          <w:i/>
          <w:lang w:val="en-GB"/>
        </w:rPr>
        <w:t>Wallon</w:t>
      </w:r>
      <w:proofErr w:type="spellEnd"/>
      <w:r w:rsidRPr="002D00FF">
        <w:rPr>
          <w:i/>
          <w:lang w:val="en-GB"/>
        </w:rPr>
        <w:t xml:space="preserve"> </w:t>
      </w:r>
      <w:r w:rsidRPr="002D00FF">
        <w:rPr>
          <w:lang w:val="en-GB"/>
        </w:rPr>
        <w:t>and the people of the FDF, all the members of parliament, had taken the decision to file a complaint at the European Commission, because with the adoption of the law, it was impossible to go to the courts. […] Today it would be possible to go to the Constitutional Court, but at that time this was not possible. And since this was not possible, there was only one body that was competent and t</w:t>
      </w:r>
      <w:r w:rsidR="00C535C9">
        <w:rPr>
          <w:lang w:val="en-GB"/>
        </w:rPr>
        <w:t>hat was the European Commission</w:t>
      </w:r>
      <w:r w:rsidRPr="002D00FF">
        <w:rPr>
          <w:rStyle w:val="Voetnootmarkering"/>
          <w:lang w:val="en-GB"/>
        </w:rPr>
        <w:footnoteReference w:id="240"/>
      </w:r>
      <w:r w:rsidR="00C535C9">
        <w:rPr>
          <w:lang w:val="en-GB"/>
        </w:rPr>
        <w:t>.</w:t>
      </w:r>
      <w:r w:rsidRPr="002D00FF">
        <w:rPr>
          <w:lang w:val="en-GB"/>
        </w:rPr>
        <w:t xml:space="preserve"> </w:t>
      </w:r>
    </w:p>
    <w:p w14:paraId="22EC85D6" w14:textId="1315C67F" w:rsidR="00BF49A6" w:rsidRPr="002D00FF" w:rsidRDefault="007C26C8" w:rsidP="00933231">
      <w:pPr>
        <w:jc w:val="both"/>
        <w:rPr>
          <w:lang w:val="en-GB"/>
        </w:rPr>
      </w:pPr>
      <w:r w:rsidRPr="002D00FF">
        <w:rPr>
          <w:lang w:val="en-GB"/>
        </w:rPr>
        <w:t>Similarly, as the failure to automatically recognize the maternity</w:t>
      </w:r>
      <w:r w:rsidR="001163CB" w:rsidRPr="002D00FF">
        <w:rPr>
          <w:lang w:val="en-GB"/>
        </w:rPr>
        <w:t xml:space="preserve"> of the mother of a child born out of wedlock resulted directly from the applicable legislation, Moni Van Look, attorney in the </w:t>
      </w:r>
      <w:r w:rsidR="001163CB" w:rsidRPr="002D00FF">
        <w:rPr>
          <w:i/>
          <w:lang w:val="en-GB"/>
        </w:rPr>
        <w:t xml:space="preserve">Marckx </w:t>
      </w:r>
      <w:r w:rsidR="001163CB" w:rsidRPr="002D00FF">
        <w:rPr>
          <w:lang w:val="en-GB"/>
        </w:rPr>
        <w:t>case</w:t>
      </w:r>
      <w:r w:rsidR="005E5682">
        <w:rPr>
          <w:lang w:val="en-GB"/>
        </w:rPr>
        <w:t xml:space="preserve"> (1979)</w:t>
      </w:r>
      <w:r w:rsidR="001163CB" w:rsidRPr="002D00FF">
        <w:rPr>
          <w:lang w:val="en-GB"/>
        </w:rPr>
        <w:t>, holds that “there did not exist any domestic remedies, because she had done what she had to do [i.e. going to the Justice of Peace to report her daughter’s birth] and still she did not ha</w:t>
      </w:r>
      <w:r w:rsidR="00C535C9">
        <w:rPr>
          <w:lang w:val="en-GB"/>
        </w:rPr>
        <w:t>ve the status like it should be</w:t>
      </w:r>
      <w:r w:rsidR="001163CB" w:rsidRPr="002D00FF">
        <w:rPr>
          <w:lang w:val="en-GB"/>
        </w:rPr>
        <w:t>”</w:t>
      </w:r>
      <w:r w:rsidR="001163CB" w:rsidRPr="002D00FF">
        <w:rPr>
          <w:rStyle w:val="Voetnootmarkering"/>
          <w:lang w:val="en-GB"/>
        </w:rPr>
        <w:footnoteReference w:id="241"/>
      </w:r>
      <w:r w:rsidR="00C535C9">
        <w:rPr>
          <w:lang w:val="en-GB"/>
        </w:rPr>
        <w:t>.</w:t>
      </w:r>
      <w:r w:rsidR="00186080" w:rsidRPr="002D00FF">
        <w:rPr>
          <w:lang w:val="en-GB"/>
        </w:rPr>
        <w:t xml:space="preserve"> Also the </w:t>
      </w:r>
      <w:r w:rsidR="00FE4371" w:rsidRPr="002D00FF">
        <w:rPr>
          <w:lang w:val="en-GB"/>
        </w:rPr>
        <w:t xml:space="preserve">cases of </w:t>
      </w:r>
      <w:r w:rsidR="00FE4371" w:rsidRPr="002D00FF">
        <w:rPr>
          <w:i/>
          <w:lang w:val="en-GB"/>
        </w:rPr>
        <w:t>De Becker</w:t>
      </w:r>
      <w:r w:rsidR="00186080" w:rsidRPr="002D00FF">
        <w:rPr>
          <w:lang w:val="en-GB"/>
        </w:rPr>
        <w:t xml:space="preserve"> (1962), </w:t>
      </w:r>
      <w:r w:rsidR="005E5682">
        <w:rPr>
          <w:lang w:val="en-GB"/>
        </w:rPr>
        <w:t xml:space="preserve">the </w:t>
      </w:r>
      <w:r w:rsidR="00186080" w:rsidRPr="002D00FF">
        <w:rPr>
          <w:i/>
          <w:lang w:val="en-GB"/>
        </w:rPr>
        <w:t xml:space="preserve">Belgian Linguistics case </w:t>
      </w:r>
      <w:r w:rsidR="00186080" w:rsidRPr="002D00FF">
        <w:rPr>
          <w:lang w:val="en-GB"/>
        </w:rPr>
        <w:t xml:space="preserve">(1968), </w:t>
      </w:r>
      <w:r w:rsidR="00186080" w:rsidRPr="002D00FF">
        <w:rPr>
          <w:i/>
          <w:lang w:val="en-GB"/>
        </w:rPr>
        <w:t xml:space="preserve">Van </w:t>
      </w:r>
      <w:proofErr w:type="spellStart"/>
      <w:r w:rsidR="00186080" w:rsidRPr="002D00FF">
        <w:rPr>
          <w:i/>
          <w:lang w:val="en-GB"/>
        </w:rPr>
        <w:t>Oosterwij</w:t>
      </w:r>
      <w:r w:rsidR="00FE4371" w:rsidRPr="002D00FF">
        <w:rPr>
          <w:i/>
          <w:lang w:val="en-GB"/>
        </w:rPr>
        <w:t>ck</w:t>
      </w:r>
      <w:proofErr w:type="spellEnd"/>
      <w:r w:rsidR="00FE4371" w:rsidRPr="002D00FF">
        <w:rPr>
          <w:i/>
          <w:lang w:val="en-GB"/>
        </w:rPr>
        <w:softHyphen/>
      </w:r>
      <w:r w:rsidR="00FE4371" w:rsidRPr="002D00FF">
        <w:rPr>
          <w:lang w:val="en-GB"/>
        </w:rPr>
        <w:t xml:space="preserve"> (1980)</w:t>
      </w:r>
      <w:r w:rsidR="002D00FF" w:rsidRPr="002D00FF">
        <w:rPr>
          <w:lang w:val="en-GB"/>
        </w:rPr>
        <w:t xml:space="preserve"> and </w:t>
      </w:r>
      <w:r w:rsidR="002D00FF" w:rsidRPr="002D00FF">
        <w:rPr>
          <w:i/>
          <w:lang w:val="en-GB"/>
        </w:rPr>
        <w:t xml:space="preserve">Van der </w:t>
      </w:r>
      <w:proofErr w:type="spellStart"/>
      <w:r w:rsidR="002D00FF" w:rsidRPr="002D00FF">
        <w:rPr>
          <w:i/>
          <w:lang w:val="en-GB"/>
        </w:rPr>
        <w:t>Mussele</w:t>
      </w:r>
      <w:proofErr w:type="spellEnd"/>
      <w:r w:rsidR="002D00FF" w:rsidRPr="002D00FF">
        <w:rPr>
          <w:i/>
          <w:lang w:val="en-GB"/>
        </w:rPr>
        <w:t xml:space="preserve"> </w:t>
      </w:r>
      <w:r w:rsidR="002D00FF" w:rsidRPr="002D00FF">
        <w:rPr>
          <w:lang w:val="en-GB"/>
        </w:rPr>
        <w:t>(1983) all resulted directly from legislation or the lack thereof, as a result of which it was impossible to challenge the situation concerned in Belgian courts.</w:t>
      </w:r>
    </w:p>
    <w:p w14:paraId="6F2FE2AC" w14:textId="77777777" w:rsidR="006527F1" w:rsidRDefault="006527F1" w:rsidP="004516BA">
      <w:pPr>
        <w:jc w:val="both"/>
        <w:rPr>
          <w:i/>
          <w:lang w:val="en-GB"/>
        </w:rPr>
      </w:pPr>
    </w:p>
    <w:p w14:paraId="65BB45A9" w14:textId="77777777" w:rsidR="004516BA" w:rsidRPr="00755B6C" w:rsidRDefault="004516BA" w:rsidP="004516BA">
      <w:pPr>
        <w:jc w:val="both"/>
        <w:rPr>
          <w:i/>
          <w:lang w:val="en-GB"/>
        </w:rPr>
      </w:pPr>
      <w:r w:rsidRPr="00755B6C">
        <w:rPr>
          <w:i/>
          <w:lang w:val="en-GB"/>
        </w:rPr>
        <w:t>Snowball effect</w:t>
      </w:r>
    </w:p>
    <w:p w14:paraId="1AC20ADE" w14:textId="77777777" w:rsidR="00933231" w:rsidRDefault="00CA2E2A" w:rsidP="001A19D0">
      <w:pPr>
        <w:ind w:firstLine="708"/>
        <w:jc w:val="both"/>
        <w:rPr>
          <w:lang w:val="en-GB"/>
        </w:rPr>
      </w:pPr>
      <w:r w:rsidRPr="00CA2E2A">
        <w:rPr>
          <w:lang w:val="en-GB"/>
        </w:rPr>
        <w:t xml:space="preserve">The cases from the period under consideration </w:t>
      </w:r>
      <w:r w:rsidR="00126EE7">
        <w:rPr>
          <w:lang w:val="en-GB"/>
        </w:rPr>
        <w:t>seem to suggest</w:t>
      </w:r>
      <w:r w:rsidRPr="00CA2E2A">
        <w:rPr>
          <w:lang w:val="en-GB"/>
        </w:rPr>
        <w:t xml:space="preserve"> some kind of snowball effect, successful litigation </w:t>
      </w:r>
      <w:r w:rsidR="00A00B6E">
        <w:rPr>
          <w:lang w:val="en-GB"/>
        </w:rPr>
        <w:t>raising awareness of the existence, relevance and scope of Convention rights, in turn en</w:t>
      </w:r>
      <w:r w:rsidRPr="00CA2E2A">
        <w:rPr>
          <w:lang w:val="en-GB"/>
        </w:rPr>
        <w:t>couraging applicants and/or their attorneys to</w:t>
      </w:r>
      <w:r>
        <w:rPr>
          <w:lang w:val="en-GB"/>
        </w:rPr>
        <w:t xml:space="preserve"> lodge </w:t>
      </w:r>
      <w:r w:rsidR="007727E9">
        <w:rPr>
          <w:lang w:val="en-GB"/>
        </w:rPr>
        <w:t>new applications in Strasbourg</w:t>
      </w:r>
      <w:r w:rsidR="00A00B6E">
        <w:rPr>
          <w:lang w:val="en-GB"/>
        </w:rPr>
        <w:t xml:space="preserve">. </w:t>
      </w:r>
      <w:r w:rsidR="00945E10">
        <w:rPr>
          <w:lang w:val="en-GB"/>
        </w:rPr>
        <w:t>In this respect, a</w:t>
      </w:r>
      <w:r w:rsidR="00FF0F76">
        <w:rPr>
          <w:lang w:val="en-GB"/>
        </w:rPr>
        <w:t xml:space="preserve">t the general level, discussing the yearly amount of applications lodged against Belgium before the Commission, </w:t>
      </w:r>
      <w:proofErr w:type="spellStart"/>
      <w:r w:rsidR="00FF0F76">
        <w:rPr>
          <w:lang w:val="en-GB"/>
        </w:rPr>
        <w:t>Akkermans</w:t>
      </w:r>
      <w:proofErr w:type="spellEnd"/>
      <w:r w:rsidR="00945E10">
        <w:rPr>
          <w:lang w:val="en-GB"/>
        </w:rPr>
        <w:t xml:space="preserve"> </w:t>
      </w:r>
      <w:r w:rsidR="00945E10" w:rsidRPr="00945E10">
        <w:rPr>
          <w:i/>
          <w:lang w:val="en-GB"/>
        </w:rPr>
        <w:t>et al.</w:t>
      </w:r>
      <w:r w:rsidR="00FF0F76">
        <w:rPr>
          <w:lang w:val="en-GB"/>
        </w:rPr>
        <w:t xml:space="preserve"> ha</w:t>
      </w:r>
      <w:r w:rsidR="00945E10">
        <w:rPr>
          <w:lang w:val="en-GB"/>
        </w:rPr>
        <w:t xml:space="preserve">ve </w:t>
      </w:r>
      <w:r w:rsidR="00FF0F76">
        <w:rPr>
          <w:lang w:val="en-GB"/>
        </w:rPr>
        <w:t xml:space="preserve">suggested that the publicity surrounding the </w:t>
      </w:r>
      <w:r w:rsidR="00FF0F76">
        <w:rPr>
          <w:i/>
          <w:lang w:val="en-GB"/>
        </w:rPr>
        <w:t xml:space="preserve">De Becker </w:t>
      </w:r>
      <w:r w:rsidR="00FF0F76">
        <w:rPr>
          <w:lang w:val="en-GB"/>
        </w:rPr>
        <w:t xml:space="preserve">case </w:t>
      </w:r>
      <w:r w:rsidR="005E5682">
        <w:rPr>
          <w:lang w:val="en-GB"/>
        </w:rPr>
        <w:t xml:space="preserve">(1962) </w:t>
      </w:r>
      <w:r w:rsidR="00FF0F76">
        <w:rPr>
          <w:lang w:val="en-GB"/>
        </w:rPr>
        <w:t xml:space="preserve">and the </w:t>
      </w:r>
      <w:r w:rsidR="00FF0F76">
        <w:rPr>
          <w:i/>
          <w:lang w:val="en-GB"/>
        </w:rPr>
        <w:t xml:space="preserve">Belgian Linguistics case </w:t>
      </w:r>
      <w:r w:rsidR="005E5682">
        <w:rPr>
          <w:lang w:val="en-GB"/>
        </w:rPr>
        <w:t xml:space="preserve">(1968) </w:t>
      </w:r>
      <w:r w:rsidR="00945E10">
        <w:rPr>
          <w:lang w:val="en-GB"/>
        </w:rPr>
        <w:t>may have caused a</w:t>
      </w:r>
      <w:r w:rsidR="00FF0F76">
        <w:rPr>
          <w:lang w:val="en-GB"/>
        </w:rPr>
        <w:t>n increase in the number of complaints</w:t>
      </w:r>
      <w:r w:rsidR="00C535C9">
        <w:rPr>
          <w:lang w:val="en-GB"/>
        </w:rPr>
        <w:t xml:space="preserve"> against Belgium</w:t>
      </w:r>
      <w:r w:rsidR="00945E10">
        <w:rPr>
          <w:rStyle w:val="Voetnootmarkering"/>
          <w:lang w:val="en-GB"/>
        </w:rPr>
        <w:footnoteReference w:id="242"/>
      </w:r>
      <w:r w:rsidR="00C535C9">
        <w:rPr>
          <w:lang w:val="en-GB"/>
        </w:rPr>
        <w:t>.</w:t>
      </w:r>
      <w:r w:rsidR="00945E10">
        <w:rPr>
          <w:lang w:val="en-GB"/>
        </w:rPr>
        <w:t xml:space="preserve"> That landmark cases may have had an influence on the choice to go to Strasbourg is confirmed by Bernard Maingain, attorney in the </w:t>
      </w:r>
      <w:r w:rsidR="00945E10">
        <w:rPr>
          <w:i/>
          <w:lang w:val="en-GB"/>
        </w:rPr>
        <w:t>Mathieu-</w:t>
      </w:r>
      <w:proofErr w:type="spellStart"/>
      <w:r w:rsidR="00945E10">
        <w:rPr>
          <w:i/>
          <w:lang w:val="en-GB"/>
        </w:rPr>
        <w:t>Mohin</w:t>
      </w:r>
      <w:proofErr w:type="spellEnd"/>
      <w:r w:rsidR="00945E10">
        <w:rPr>
          <w:i/>
          <w:lang w:val="en-GB"/>
        </w:rPr>
        <w:t xml:space="preserve"> and </w:t>
      </w:r>
      <w:proofErr w:type="spellStart"/>
      <w:r w:rsidR="00945E10">
        <w:rPr>
          <w:i/>
          <w:lang w:val="en-GB"/>
        </w:rPr>
        <w:t>Clerfayt</w:t>
      </w:r>
      <w:proofErr w:type="spellEnd"/>
      <w:r w:rsidR="00945E10">
        <w:rPr>
          <w:i/>
          <w:lang w:val="en-GB"/>
        </w:rPr>
        <w:t xml:space="preserve"> </w:t>
      </w:r>
      <w:r w:rsidR="00945E10">
        <w:rPr>
          <w:lang w:val="en-GB"/>
        </w:rPr>
        <w:t>case</w:t>
      </w:r>
      <w:r w:rsidR="005E5682">
        <w:rPr>
          <w:lang w:val="en-GB"/>
        </w:rPr>
        <w:t xml:space="preserve"> (1987)</w:t>
      </w:r>
      <w:r w:rsidR="00945E10">
        <w:rPr>
          <w:lang w:val="en-GB"/>
        </w:rPr>
        <w:t xml:space="preserve">, referring to the successful </w:t>
      </w:r>
      <w:r w:rsidR="00945E10">
        <w:rPr>
          <w:i/>
          <w:lang w:val="en-GB"/>
        </w:rPr>
        <w:t>Marckx</w:t>
      </w:r>
      <w:r w:rsidR="00945E10">
        <w:rPr>
          <w:lang w:val="en-GB"/>
        </w:rPr>
        <w:t xml:space="preserve"> case</w:t>
      </w:r>
      <w:r w:rsidR="005E5682">
        <w:rPr>
          <w:lang w:val="en-GB"/>
        </w:rPr>
        <w:t xml:space="preserve"> (1979)</w:t>
      </w:r>
      <w:r w:rsidR="00945E10">
        <w:rPr>
          <w:lang w:val="en-GB"/>
        </w:rPr>
        <w:t xml:space="preserve">: </w:t>
      </w:r>
    </w:p>
    <w:p w14:paraId="7F7C886F" w14:textId="29E86467" w:rsidR="00933231" w:rsidRDefault="00193886" w:rsidP="00933231">
      <w:pPr>
        <w:ind w:left="708"/>
        <w:jc w:val="both"/>
        <w:rPr>
          <w:lang w:val="en-GB"/>
        </w:rPr>
      </w:pPr>
      <w:r>
        <w:rPr>
          <w:lang w:val="en-GB"/>
        </w:rPr>
        <w:t xml:space="preserve">We have talked with the people of FDF about [the question of the effectiveness of a decision] […]. It was a number of years after the </w:t>
      </w:r>
      <w:r>
        <w:rPr>
          <w:i/>
          <w:lang w:val="en-GB"/>
        </w:rPr>
        <w:t xml:space="preserve">Marckx </w:t>
      </w:r>
      <w:r>
        <w:rPr>
          <w:lang w:val="en-GB"/>
        </w:rPr>
        <w:t xml:space="preserve">decision […], that was an incredible history, </w:t>
      </w:r>
      <w:proofErr w:type="gramStart"/>
      <w:r>
        <w:rPr>
          <w:lang w:val="en-GB"/>
        </w:rPr>
        <w:t>she</w:t>
      </w:r>
      <w:proofErr w:type="gramEnd"/>
      <w:r>
        <w:rPr>
          <w:lang w:val="en-GB"/>
        </w:rPr>
        <w:t xml:space="preserve"> has given something to the children of this country. So you see the sense of a judicial pro</w:t>
      </w:r>
      <w:r w:rsidR="00933231">
        <w:rPr>
          <w:lang w:val="en-GB"/>
        </w:rPr>
        <w:t>ceeding in case you can win it</w:t>
      </w:r>
      <w:r>
        <w:rPr>
          <w:rStyle w:val="Voetnootmarkering"/>
          <w:lang w:val="en-GB"/>
        </w:rPr>
        <w:footnoteReference w:id="243"/>
      </w:r>
      <w:r w:rsidR="00933231">
        <w:rPr>
          <w:lang w:val="en-GB"/>
        </w:rPr>
        <w:t>!</w:t>
      </w:r>
    </w:p>
    <w:p w14:paraId="5C6C40B4" w14:textId="678AFD69" w:rsidR="00116184" w:rsidRPr="00A00B6E" w:rsidRDefault="00193886" w:rsidP="00933231">
      <w:pPr>
        <w:jc w:val="both"/>
        <w:rPr>
          <w:lang w:val="en-GB"/>
        </w:rPr>
      </w:pPr>
      <w:r>
        <w:rPr>
          <w:lang w:val="en-GB"/>
        </w:rPr>
        <w:lastRenderedPageBreak/>
        <w:t>At the specific level, successful litigation in one case may encourage applicants and/or their attorneys to lodge an application in a similar case.</w:t>
      </w:r>
      <w:r w:rsidR="00592A75">
        <w:rPr>
          <w:lang w:val="en-GB"/>
        </w:rPr>
        <w:t xml:space="preserve"> For example, </w:t>
      </w:r>
      <w:r w:rsidR="007D0967">
        <w:rPr>
          <w:lang w:val="en-GB"/>
        </w:rPr>
        <w:t xml:space="preserve">as mentioned above, in the case of </w:t>
      </w:r>
      <w:r w:rsidR="005E5682">
        <w:rPr>
          <w:i/>
          <w:lang w:val="en-GB"/>
        </w:rPr>
        <w:t xml:space="preserve">National </w:t>
      </w:r>
      <w:r w:rsidR="007D0967">
        <w:rPr>
          <w:i/>
          <w:lang w:val="en-GB"/>
        </w:rPr>
        <w:t>Union of Belgian Police</w:t>
      </w:r>
      <w:r w:rsidR="005E5682">
        <w:rPr>
          <w:i/>
          <w:lang w:val="en-GB"/>
        </w:rPr>
        <w:t xml:space="preserve"> </w:t>
      </w:r>
      <w:r w:rsidR="005E5682">
        <w:rPr>
          <w:lang w:val="en-GB"/>
        </w:rPr>
        <w:t>(1975)</w:t>
      </w:r>
      <w:r w:rsidR="007D0967">
        <w:rPr>
          <w:lang w:val="en-GB"/>
        </w:rPr>
        <w:t xml:space="preserve">, attorney </w:t>
      </w:r>
      <w:proofErr w:type="spellStart"/>
      <w:r w:rsidR="007D0967">
        <w:rPr>
          <w:lang w:val="en-GB"/>
        </w:rPr>
        <w:t>Nelissen</w:t>
      </w:r>
      <w:proofErr w:type="spellEnd"/>
      <w:r w:rsidR="007D0967">
        <w:rPr>
          <w:lang w:val="en-GB"/>
        </w:rPr>
        <w:t xml:space="preserve"> Grade built </w:t>
      </w:r>
      <w:r w:rsidR="005E5682">
        <w:rPr>
          <w:lang w:val="en-GB"/>
        </w:rPr>
        <w:t>his</w:t>
      </w:r>
      <w:r w:rsidR="007D0967">
        <w:rPr>
          <w:lang w:val="en-GB"/>
        </w:rPr>
        <w:t xml:space="preserve"> case on the precedent of the </w:t>
      </w:r>
      <w:r w:rsidR="007D0967">
        <w:rPr>
          <w:i/>
          <w:lang w:val="en-GB"/>
        </w:rPr>
        <w:t>Belgian Linguistics case</w:t>
      </w:r>
      <w:r w:rsidR="007D0967">
        <w:rPr>
          <w:lang w:val="en-GB"/>
        </w:rPr>
        <w:t xml:space="preserve"> </w:t>
      </w:r>
      <w:r w:rsidR="005E5682">
        <w:rPr>
          <w:lang w:val="en-GB"/>
        </w:rPr>
        <w:t>(1968</w:t>
      </w:r>
      <w:r w:rsidR="00126EE7">
        <w:rPr>
          <w:lang w:val="en-GB"/>
        </w:rPr>
        <w:t xml:space="preserve">) </w:t>
      </w:r>
      <w:r w:rsidR="007D0967">
        <w:rPr>
          <w:lang w:val="en-GB"/>
        </w:rPr>
        <w:t xml:space="preserve">which was issued </w:t>
      </w:r>
      <w:r w:rsidR="005E5682">
        <w:rPr>
          <w:lang w:val="en-GB"/>
        </w:rPr>
        <w:t>two years</w:t>
      </w:r>
      <w:r w:rsidR="007D0967">
        <w:rPr>
          <w:lang w:val="en-GB"/>
        </w:rPr>
        <w:t xml:space="preserve"> before he lodged an application in Strasbourg</w:t>
      </w:r>
      <w:r w:rsidR="00126EE7">
        <w:rPr>
          <w:lang w:val="en-GB"/>
        </w:rPr>
        <w:t xml:space="preserve"> (1970)</w:t>
      </w:r>
      <w:r w:rsidR="007D0967">
        <w:rPr>
          <w:lang w:val="en-GB"/>
        </w:rPr>
        <w:t>.</w:t>
      </w:r>
      <w:r w:rsidR="00041A69">
        <w:rPr>
          <w:lang w:val="en-GB"/>
        </w:rPr>
        <w:t xml:space="preserve"> </w:t>
      </w:r>
      <w:r w:rsidR="00A00B6E">
        <w:rPr>
          <w:lang w:val="en-GB"/>
        </w:rPr>
        <w:t>In</w:t>
      </w:r>
      <w:r w:rsidR="00041A69">
        <w:rPr>
          <w:lang w:val="en-GB"/>
        </w:rPr>
        <w:t xml:space="preserve"> cases where</w:t>
      </w:r>
      <w:r w:rsidR="00A00B6E">
        <w:rPr>
          <w:lang w:val="en-GB"/>
        </w:rPr>
        <w:t xml:space="preserve"> interviewees reported </w:t>
      </w:r>
      <w:r w:rsidR="005E5682">
        <w:rPr>
          <w:lang w:val="en-GB"/>
        </w:rPr>
        <w:t xml:space="preserve">that </w:t>
      </w:r>
      <w:r w:rsidR="00A00B6E">
        <w:rPr>
          <w:lang w:val="en-GB"/>
        </w:rPr>
        <w:t xml:space="preserve">precedents </w:t>
      </w:r>
      <w:r w:rsidR="005E5682">
        <w:rPr>
          <w:lang w:val="en-GB"/>
        </w:rPr>
        <w:t xml:space="preserve">had </w:t>
      </w:r>
      <w:r w:rsidR="00A00B6E">
        <w:rPr>
          <w:lang w:val="en-GB"/>
        </w:rPr>
        <w:t>played an</w:t>
      </w:r>
      <w:r w:rsidR="00041A69">
        <w:rPr>
          <w:lang w:val="en-GB"/>
        </w:rPr>
        <w:t xml:space="preserve"> important</w:t>
      </w:r>
      <w:r w:rsidR="00A00B6E">
        <w:rPr>
          <w:lang w:val="en-GB"/>
        </w:rPr>
        <w:t xml:space="preserve"> role</w:t>
      </w:r>
      <w:r w:rsidR="00041A69">
        <w:rPr>
          <w:lang w:val="en-GB"/>
        </w:rPr>
        <w:t xml:space="preserve"> in encouraging Strasbo</w:t>
      </w:r>
      <w:r w:rsidR="00A00B6E">
        <w:rPr>
          <w:lang w:val="en-GB"/>
        </w:rPr>
        <w:t>urg litigation, they</w:t>
      </w:r>
      <w:r w:rsidR="00041A69">
        <w:rPr>
          <w:lang w:val="en-GB"/>
        </w:rPr>
        <w:t xml:space="preserve"> mainly referred to </w:t>
      </w:r>
      <w:r w:rsidR="00A00B6E">
        <w:rPr>
          <w:lang w:val="en-GB"/>
        </w:rPr>
        <w:t xml:space="preserve">Belgian cases, with the notable exception of Eric Van der </w:t>
      </w:r>
      <w:proofErr w:type="spellStart"/>
      <w:r w:rsidR="00A00B6E">
        <w:rPr>
          <w:lang w:val="en-GB"/>
        </w:rPr>
        <w:t>Mussele</w:t>
      </w:r>
      <w:proofErr w:type="spellEnd"/>
      <w:r w:rsidR="00A00B6E">
        <w:rPr>
          <w:lang w:val="en-GB"/>
        </w:rPr>
        <w:t xml:space="preserve">, who mentioned the </w:t>
      </w:r>
      <w:proofErr w:type="spellStart"/>
      <w:r w:rsidR="00A00B6E">
        <w:rPr>
          <w:i/>
          <w:lang w:val="en-GB"/>
        </w:rPr>
        <w:t>Gussenbauer</w:t>
      </w:r>
      <w:proofErr w:type="spellEnd"/>
      <w:r w:rsidR="00A00B6E">
        <w:rPr>
          <w:i/>
          <w:lang w:val="en-GB"/>
        </w:rPr>
        <w:t xml:space="preserve"> </w:t>
      </w:r>
      <w:r w:rsidR="00A00B6E">
        <w:rPr>
          <w:lang w:val="en-GB"/>
        </w:rPr>
        <w:t xml:space="preserve">case against Austria. </w:t>
      </w:r>
    </w:p>
    <w:p w14:paraId="3FFB3134" w14:textId="7EA6DAC2" w:rsidR="00F7473C" w:rsidRPr="00126EE7" w:rsidRDefault="001C54AC" w:rsidP="001A19D0">
      <w:pPr>
        <w:ind w:firstLine="708"/>
        <w:jc w:val="both"/>
        <w:rPr>
          <w:i/>
          <w:lang w:val="en-GB"/>
        </w:rPr>
      </w:pPr>
      <w:r>
        <w:rPr>
          <w:lang w:val="en-GB"/>
        </w:rPr>
        <w:t xml:space="preserve">Also with respect to applications introduced after the date of the relevant precedent, you can see </w:t>
      </w:r>
      <w:r w:rsidRPr="001A19D0">
        <w:rPr>
          <w:lang w:val="en-GB"/>
        </w:rPr>
        <w:t>some kind of snowball effect of judgment</w:t>
      </w:r>
      <w:r w:rsidR="00126EE7" w:rsidRPr="001A19D0">
        <w:rPr>
          <w:lang w:val="en-GB"/>
        </w:rPr>
        <w:t>s leading to similar judgments. The friendly settlement in</w:t>
      </w:r>
      <w:r w:rsidR="00126EE7">
        <w:rPr>
          <w:lang w:val="en-GB"/>
        </w:rPr>
        <w:t xml:space="preserve"> </w:t>
      </w:r>
      <w:r w:rsidR="00126EE7">
        <w:rPr>
          <w:i/>
          <w:lang w:val="en-GB"/>
        </w:rPr>
        <w:t xml:space="preserve">Ben </w:t>
      </w:r>
      <w:proofErr w:type="spellStart"/>
      <w:r w:rsidR="00126EE7">
        <w:rPr>
          <w:i/>
          <w:lang w:val="en-GB"/>
        </w:rPr>
        <w:t>Yaacoub</w:t>
      </w:r>
      <w:proofErr w:type="spellEnd"/>
      <w:r w:rsidR="00126EE7">
        <w:rPr>
          <w:i/>
          <w:lang w:val="en-GB"/>
        </w:rPr>
        <w:t xml:space="preserve"> </w:t>
      </w:r>
      <w:r w:rsidR="00126EE7">
        <w:rPr>
          <w:lang w:val="en-GB"/>
        </w:rPr>
        <w:t xml:space="preserve">(1987) </w:t>
      </w:r>
      <w:r w:rsidR="004516BA">
        <w:rPr>
          <w:lang w:val="en-GB"/>
        </w:rPr>
        <w:t>was obtained in the aftermath of</w:t>
      </w:r>
      <w:r w:rsidR="00126EE7">
        <w:rPr>
          <w:lang w:val="en-GB"/>
        </w:rPr>
        <w:t xml:space="preserve"> the violation judgment in the </w:t>
      </w:r>
      <w:r w:rsidR="00126EE7">
        <w:rPr>
          <w:i/>
          <w:lang w:val="en-GB"/>
        </w:rPr>
        <w:t xml:space="preserve">De </w:t>
      </w:r>
      <w:proofErr w:type="spellStart"/>
      <w:r w:rsidR="00126EE7">
        <w:rPr>
          <w:i/>
          <w:lang w:val="en-GB"/>
        </w:rPr>
        <w:t>Cubber</w:t>
      </w:r>
      <w:proofErr w:type="spellEnd"/>
      <w:r w:rsidR="00126EE7">
        <w:rPr>
          <w:i/>
          <w:lang w:val="en-GB"/>
        </w:rPr>
        <w:t xml:space="preserve"> </w:t>
      </w:r>
      <w:r w:rsidR="00126EE7">
        <w:rPr>
          <w:lang w:val="en-GB"/>
        </w:rPr>
        <w:t xml:space="preserve">case (1984), which was in line with the earlier </w:t>
      </w:r>
      <w:proofErr w:type="spellStart"/>
      <w:r w:rsidR="00126EE7">
        <w:rPr>
          <w:i/>
          <w:lang w:val="en-GB"/>
        </w:rPr>
        <w:t>Piersack</w:t>
      </w:r>
      <w:proofErr w:type="spellEnd"/>
      <w:r w:rsidR="00126EE7">
        <w:rPr>
          <w:i/>
          <w:lang w:val="en-GB"/>
        </w:rPr>
        <w:t xml:space="preserve"> </w:t>
      </w:r>
      <w:r w:rsidR="00126EE7">
        <w:rPr>
          <w:lang w:val="en-GB"/>
        </w:rPr>
        <w:t xml:space="preserve">case (1982), all concerning the previous involvement of a judge ruling on the merits of a criminal case in the investigation thereof. </w:t>
      </w:r>
      <w:r w:rsidR="006102C5">
        <w:rPr>
          <w:lang w:val="en-GB"/>
        </w:rPr>
        <w:t xml:space="preserve">According to Françoise De </w:t>
      </w:r>
      <w:proofErr w:type="spellStart"/>
      <w:r w:rsidR="006102C5">
        <w:rPr>
          <w:lang w:val="en-GB"/>
        </w:rPr>
        <w:t>Croo-Desguin</w:t>
      </w:r>
      <w:proofErr w:type="spellEnd"/>
      <w:r w:rsidR="006102C5">
        <w:rPr>
          <w:lang w:val="en-GB"/>
        </w:rPr>
        <w:t xml:space="preserve">, attorney in the </w:t>
      </w:r>
      <w:r w:rsidR="006102C5">
        <w:rPr>
          <w:i/>
          <w:lang w:val="en-GB"/>
        </w:rPr>
        <w:t xml:space="preserve">De </w:t>
      </w:r>
      <w:proofErr w:type="spellStart"/>
      <w:r w:rsidR="006102C5">
        <w:rPr>
          <w:i/>
          <w:lang w:val="en-GB"/>
        </w:rPr>
        <w:t>Cubber</w:t>
      </w:r>
      <w:proofErr w:type="spellEnd"/>
      <w:r w:rsidR="006102C5">
        <w:rPr>
          <w:i/>
          <w:lang w:val="en-GB"/>
        </w:rPr>
        <w:t xml:space="preserve"> </w:t>
      </w:r>
      <w:r w:rsidR="006102C5">
        <w:rPr>
          <w:lang w:val="en-GB"/>
        </w:rPr>
        <w:t>case, “I think I won that case because it was in the making. There was a trend [in the case law]</w:t>
      </w:r>
      <w:proofErr w:type="gramStart"/>
      <w:r w:rsidR="006102C5">
        <w:rPr>
          <w:lang w:val="en-GB"/>
        </w:rPr>
        <w:t>,</w:t>
      </w:r>
      <w:proofErr w:type="gramEnd"/>
      <w:r w:rsidR="006102C5">
        <w:rPr>
          <w:lang w:val="en-GB"/>
        </w:rPr>
        <w:t xml:space="preserve"> it was the </w:t>
      </w:r>
      <w:r w:rsidR="00C535C9">
        <w:rPr>
          <w:lang w:val="en-GB"/>
        </w:rPr>
        <w:t>right moment to reap the fruits</w:t>
      </w:r>
      <w:r w:rsidR="006102C5">
        <w:rPr>
          <w:lang w:val="en-GB"/>
        </w:rPr>
        <w:t>”</w:t>
      </w:r>
      <w:r w:rsidR="006102C5">
        <w:rPr>
          <w:rStyle w:val="Voetnootmarkering"/>
          <w:lang w:val="en-GB"/>
        </w:rPr>
        <w:footnoteReference w:id="244"/>
      </w:r>
      <w:r w:rsidR="00C535C9">
        <w:rPr>
          <w:lang w:val="en-GB"/>
        </w:rPr>
        <w:t>.</w:t>
      </w:r>
      <w:r w:rsidR="006102C5">
        <w:rPr>
          <w:lang w:val="en-GB"/>
        </w:rPr>
        <w:t xml:space="preserve"> </w:t>
      </w:r>
      <w:r w:rsidR="00126EE7">
        <w:rPr>
          <w:lang w:val="en-GB"/>
        </w:rPr>
        <w:t xml:space="preserve">The </w:t>
      </w:r>
      <w:r w:rsidR="00126EE7">
        <w:rPr>
          <w:i/>
          <w:lang w:val="en-GB"/>
        </w:rPr>
        <w:t xml:space="preserve">Albert and Le </w:t>
      </w:r>
      <w:proofErr w:type="spellStart"/>
      <w:r w:rsidR="00126EE7">
        <w:rPr>
          <w:i/>
          <w:lang w:val="en-GB"/>
        </w:rPr>
        <w:t>Compte</w:t>
      </w:r>
      <w:proofErr w:type="spellEnd"/>
      <w:r w:rsidR="00126EE7">
        <w:rPr>
          <w:i/>
          <w:lang w:val="en-GB"/>
        </w:rPr>
        <w:t xml:space="preserve"> </w:t>
      </w:r>
      <w:r w:rsidR="00126EE7">
        <w:rPr>
          <w:lang w:val="en-GB"/>
        </w:rPr>
        <w:t xml:space="preserve">(1983) and </w:t>
      </w:r>
      <w:r w:rsidR="00126EE7">
        <w:rPr>
          <w:i/>
          <w:lang w:val="en-GB"/>
        </w:rPr>
        <w:t xml:space="preserve">H. v. Belgium </w:t>
      </w:r>
      <w:r w:rsidR="00126EE7">
        <w:rPr>
          <w:lang w:val="en-GB"/>
        </w:rPr>
        <w:t xml:space="preserve">judgment (1987), concerning disciplinary proceedings before respectively the Order of Physicians and the Order of Advocates, </w:t>
      </w:r>
      <w:r w:rsidR="006102C5">
        <w:rPr>
          <w:lang w:val="en-GB"/>
        </w:rPr>
        <w:t xml:space="preserve">in turn </w:t>
      </w:r>
      <w:r w:rsidR="00126EE7">
        <w:rPr>
          <w:lang w:val="en-GB"/>
        </w:rPr>
        <w:t xml:space="preserve">build upon the earlier </w:t>
      </w:r>
      <w:r w:rsidR="00126EE7">
        <w:rPr>
          <w:i/>
          <w:lang w:val="en-GB"/>
        </w:rPr>
        <w:t xml:space="preserve">Le </w:t>
      </w:r>
      <w:proofErr w:type="spellStart"/>
      <w:r w:rsidR="00126EE7">
        <w:rPr>
          <w:i/>
          <w:lang w:val="en-GB"/>
        </w:rPr>
        <w:t>Compte</w:t>
      </w:r>
      <w:proofErr w:type="spellEnd"/>
      <w:r w:rsidR="00126EE7">
        <w:rPr>
          <w:i/>
          <w:lang w:val="en-GB"/>
        </w:rPr>
        <w:t xml:space="preserve">, Van Leuven and De Meyere </w:t>
      </w:r>
      <w:r w:rsidR="00126EE7">
        <w:rPr>
          <w:lang w:val="en-GB"/>
        </w:rPr>
        <w:t xml:space="preserve">case (1981). Here, the snowball effect is caused by the Commission </w:t>
      </w:r>
      <w:r w:rsidR="00116184">
        <w:rPr>
          <w:lang w:val="en-GB"/>
        </w:rPr>
        <w:t xml:space="preserve">selecting similar cases for referral to the Court and the Court following its own precedents. You can also see how judgments issued in the course of Strasbourg proceedings </w:t>
      </w:r>
      <w:r w:rsidR="005E5682">
        <w:rPr>
          <w:lang w:val="en-GB"/>
        </w:rPr>
        <w:t>shape</w:t>
      </w:r>
      <w:r w:rsidR="00116184">
        <w:rPr>
          <w:lang w:val="en-GB"/>
        </w:rPr>
        <w:t xml:space="preserve"> the argumentation of appl</w:t>
      </w:r>
      <w:r w:rsidR="00C535C9">
        <w:rPr>
          <w:lang w:val="en-GB"/>
        </w:rPr>
        <w:t>icants in pending similar cases</w:t>
      </w:r>
      <w:r w:rsidR="00116184">
        <w:rPr>
          <w:rStyle w:val="Voetnootmarkering"/>
          <w:lang w:val="en-GB"/>
        </w:rPr>
        <w:footnoteReference w:id="245"/>
      </w:r>
      <w:r w:rsidR="00C535C9">
        <w:rPr>
          <w:lang w:val="en-GB"/>
        </w:rPr>
        <w:t>.</w:t>
      </w:r>
    </w:p>
    <w:p w14:paraId="229B5C61" w14:textId="77777777" w:rsidR="00CA6E4D" w:rsidRDefault="00CA6E4D" w:rsidP="00B663ED">
      <w:pPr>
        <w:jc w:val="both"/>
        <w:rPr>
          <w:lang w:val="en-GB"/>
        </w:rPr>
      </w:pPr>
    </w:p>
    <w:p w14:paraId="3D33A977" w14:textId="77777777" w:rsidR="00292BBD" w:rsidRPr="004C6042" w:rsidRDefault="00292BBD" w:rsidP="00B663ED">
      <w:pPr>
        <w:jc w:val="both"/>
        <w:rPr>
          <w:i/>
          <w:lang w:val="en-GB"/>
        </w:rPr>
      </w:pPr>
      <w:r w:rsidRPr="004C6042">
        <w:rPr>
          <w:i/>
          <w:lang w:val="en-GB"/>
        </w:rPr>
        <w:t>Active applicants</w:t>
      </w:r>
    </w:p>
    <w:p w14:paraId="01F904DD" w14:textId="052CF47B" w:rsidR="001B707F" w:rsidRDefault="004C6042" w:rsidP="001A19D0">
      <w:pPr>
        <w:ind w:firstLine="708"/>
        <w:jc w:val="both"/>
        <w:rPr>
          <w:lang w:val="en-GB"/>
        </w:rPr>
      </w:pPr>
      <w:r>
        <w:rPr>
          <w:lang w:val="en-GB"/>
        </w:rPr>
        <w:t xml:space="preserve">With respect to quite a number of cases examined, it seems that the applicant’s stubbornness in fighting perceived injustice was an important driving factor behind the Strasbourg litigation. </w:t>
      </w:r>
      <w:r w:rsidR="00CD0E70">
        <w:rPr>
          <w:lang w:val="en-GB"/>
        </w:rPr>
        <w:t>As held above, Paul</w:t>
      </w:r>
      <w:r w:rsidR="001E4C68">
        <w:rPr>
          <w:lang w:val="en-GB"/>
        </w:rPr>
        <w:t>a</w:t>
      </w:r>
      <w:r w:rsidR="00CD0E70">
        <w:rPr>
          <w:lang w:val="en-GB"/>
        </w:rPr>
        <w:t xml:space="preserve"> Marckx’ indignation about the legal status of her daughter and the desire to change something about it clearly lay at the basis of her Strasbourg application:</w:t>
      </w:r>
      <w:r>
        <w:rPr>
          <w:lang w:val="en-GB"/>
        </w:rPr>
        <w:t xml:space="preserve"> “</w:t>
      </w:r>
      <w:r w:rsidR="00CD0E70">
        <w:rPr>
          <w:lang w:val="en-GB"/>
        </w:rPr>
        <w:t>People sometimes tell me: ‘you have courage.’ But I didn’t have any courage, I was angry, that was all.” M</w:t>
      </w:r>
      <w:r w:rsidR="007D0BB2">
        <w:rPr>
          <w:lang w:val="en-GB"/>
        </w:rPr>
        <w:t>arckx recalls that a law student, working at the telephone answering service she was operating at the time, provided her with a copy of the ECHR and that her eyes fell on Article 8. She wrote a first letter to Strasbourg to which she received a negative reply, s</w:t>
      </w:r>
      <w:r w:rsidR="005E5682">
        <w:rPr>
          <w:lang w:val="en-GB"/>
        </w:rPr>
        <w:t>tating</w:t>
      </w:r>
      <w:r w:rsidR="007D0BB2">
        <w:rPr>
          <w:lang w:val="en-GB"/>
        </w:rPr>
        <w:t xml:space="preserve"> that she did not have standing to complain herself about </w:t>
      </w:r>
      <w:r w:rsidR="005E5682">
        <w:rPr>
          <w:lang w:val="en-GB"/>
        </w:rPr>
        <w:t>the</w:t>
      </w:r>
      <w:r w:rsidR="007D0BB2">
        <w:rPr>
          <w:lang w:val="en-GB"/>
        </w:rPr>
        <w:t xml:space="preserve"> situation. Subsequently, she wrote a second letter on behalf of her daughter: “I am a ten-month-old baby and I file a complaint against Belgium.” This second letter</w:t>
      </w:r>
      <w:r w:rsidR="00211D92">
        <w:rPr>
          <w:lang w:val="en-GB"/>
        </w:rPr>
        <w:t xml:space="preserve"> – which she also published in the press – </w:t>
      </w:r>
      <w:r w:rsidR="007D0BB2">
        <w:rPr>
          <w:lang w:val="en-GB"/>
        </w:rPr>
        <w:t xml:space="preserve">was registered as an application </w:t>
      </w:r>
      <w:r w:rsidR="00211D92">
        <w:rPr>
          <w:lang w:val="en-GB"/>
        </w:rPr>
        <w:t>by the Commission. As held above, the Commission later advised her to seek assistance of a lawyer, at which point she contacted Moni Van Look</w:t>
      </w:r>
      <w:r w:rsidR="00CD0E70">
        <w:rPr>
          <w:rStyle w:val="Voetnootmarkering"/>
          <w:lang w:val="en-GB"/>
        </w:rPr>
        <w:footnoteReference w:id="246"/>
      </w:r>
      <w:r w:rsidR="00C535C9">
        <w:rPr>
          <w:lang w:val="en-GB"/>
        </w:rPr>
        <w:t>.</w:t>
      </w:r>
    </w:p>
    <w:p w14:paraId="493C4277" w14:textId="7B9E2AE9" w:rsidR="00292BBD" w:rsidRPr="00400522" w:rsidRDefault="00400522" w:rsidP="001A19D0">
      <w:pPr>
        <w:ind w:firstLine="708"/>
        <w:jc w:val="both"/>
        <w:rPr>
          <w:lang w:val="en-GB"/>
        </w:rPr>
      </w:pPr>
      <w:r>
        <w:rPr>
          <w:lang w:val="en-GB"/>
        </w:rPr>
        <w:t xml:space="preserve">Similarly, as held above, the applicants in the </w:t>
      </w:r>
      <w:r w:rsidR="005E5682">
        <w:rPr>
          <w:i/>
          <w:lang w:val="en-GB"/>
        </w:rPr>
        <w:t xml:space="preserve">Van </w:t>
      </w:r>
      <w:proofErr w:type="spellStart"/>
      <w:r w:rsidR="005E5682">
        <w:rPr>
          <w:i/>
          <w:lang w:val="en-GB"/>
        </w:rPr>
        <w:t>Oosterwijck</w:t>
      </w:r>
      <w:proofErr w:type="spellEnd"/>
      <w:r w:rsidR="005E5682">
        <w:rPr>
          <w:i/>
          <w:lang w:val="en-GB"/>
        </w:rPr>
        <w:t xml:space="preserve"> </w:t>
      </w:r>
      <w:r w:rsidR="005E5682">
        <w:rPr>
          <w:lang w:val="en-GB"/>
        </w:rPr>
        <w:t xml:space="preserve">(1980), </w:t>
      </w:r>
      <w:r>
        <w:rPr>
          <w:i/>
          <w:lang w:val="en-GB"/>
        </w:rPr>
        <w:t xml:space="preserve">Van der </w:t>
      </w:r>
      <w:proofErr w:type="spellStart"/>
      <w:r>
        <w:rPr>
          <w:i/>
          <w:lang w:val="en-GB"/>
        </w:rPr>
        <w:t>Mussele</w:t>
      </w:r>
      <w:proofErr w:type="spellEnd"/>
      <w:r w:rsidR="005E5682">
        <w:rPr>
          <w:i/>
          <w:lang w:val="en-GB"/>
        </w:rPr>
        <w:t xml:space="preserve"> </w:t>
      </w:r>
      <w:r w:rsidR="005E5682">
        <w:rPr>
          <w:lang w:val="en-GB"/>
        </w:rPr>
        <w:t>(1983)</w:t>
      </w:r>
      <w:r>
        <w:rPr>
          <w:i/>
          <w:lang w:val="en-GB"/>
        </w:rPr>
        <w:t xml:space="preserve"> </w:t>
      </w:r>
      <w:r>
        <w:rPr>
          <w:lang w:val="en-GB"/>
        </w:rPr>
        <w:t xml:space="preserve">and </w:t>
      </w:r>
      <w:r>
        <w:rPr>
          <w:i/>
          <w:lang w:val="en-GB"/>
        </w:rPr>
        <w:t xml:space="preserve">De </w:t>
      </w:r>
      <w:proofErr w:type="spellStart"/>
      <w:r>
        <w:rPr>
          <w:i/>
          <w:lang w:val="en-GB"/>
        </w:rPr>
        <w:t>Cubber</w:t>
      </w:r>
      <w:proofErr w:type="spellEnd"/>
      <w:r>
        <w:rPr>
          <w:i/>
          <w:lang w:val="en-GB"/>
        </w:rPr>
        <w:t xml:space="preserve"> </w:t>
      </w:r>
      <w:r w:rsidR="005E5682">
        <w:rPr>
          <w:lang w:val="en-GB"/>
        </w:rPr>
        <w:t xml:space="preserve">(1984) </w:t>
      </w:r>
      <w:r>
        <w:rPr>
          <w:lang w:val="en-GB"/>
        </w:rPr>
        <w:t xml:space="preserve">had been aware of the relevance of the ECHR for their case and had come up </w:t>
      </w:r>
      <w:r>
        <w:rPr>
          <w:lang w:val="en-GB"/>
        </w:rPr>
        <w:lastRenderedPageBreak/>
        <w:t xml:space="preserve">themselves with the idea of going to Strasbourg before seeking legal assistance. </w:t>
      </w:r>
      <w:r w:rsidR="00A13ABC">
        <w:rPr>
          <w:lang w:val="en-GB"/>
        </w:rPr>
        <w:t xml:space="preserve">Jean-Marie </w:t>
      </w:r>
      <w:proofErr w:type="spellStart"/>
      <w:r w:rsidR="00A13ABC">
        <w:rPr>
          <w:lang w:val="en-GB"/>
        </w:rPr>
        <w:t>Nelissen</w:t>
      </w:r>
      <w:proofErr w:type="spellEnd"/>
      <w:r w:rsidR="00A13ABC">
        <w:rPr>
          <w:lang w:val="en-GB"/>
        </w:rPr>
        <w:t xml:space="preserve"> Grade recalls that the two representatives of the National Union of Belgian Police were very much involved in the Strasbourg litigation: “every time [he went to Strasbourg, i.e. three times] they were present. […] One of them was more dynamic </w:t>
      </w:r>
      <w:r w:rsidR="005E5682">
        <w:rPr>
          <w:lang w:val="en-GB"/>
        </w:rPr>
        <w:t>/</w:t>
      </w:r>
      <w:r w:rsidR="00A13ABC">
        <w:rPr>
          <w:lang w:val="en-GB"/>
        </w:rPr>
        <w:t xml:space="preserve"> aggressive in the argumentation, the other was calmer. But the three of us, we did e</w:t>
      </w:r>
      <w:r w:rsidR="00C535C9">
        <w:rPr>
          <w:lang w:val="en-GB"/>
        </w:rPr>
        <w:t>verything together, so to speak</w:t>
      </w:r>
      <w:r w:rsidR="00A13ABC">
        <w:rPr>
          <w:lang w:val="en-GB"/>
        </w:rPr>
        <w:t>”</w:t>
      </w:r>
      <w:r w:rsidR="00A13ABC">
        <w:rPr>
          <w:rStyle w:val="Voetnootmarkering"/>
          <w:lang w:val="en-GB"/>
        </w:rPr>
        <w:footnoteReference w:id="247"/>
      </w:r>
      <w:r w:rsidR="00C535C9">
        <w:rPr>
          <w:lang w:val="en-GB"/>
        </w:rPr>
        <w:t>.</w:t>
      </w:r>
      <w:r w:rsidR="00A13ABC">
        <w:rPr>
          <w:lang w:val="en-GB"/>
        </w:rPr>
        <w:t xml:space="preserve"> </w:t>
      </w:r>
      <w:r>
        <w:rPr>
          <w:lang w:val="en-GB"/>
        </w:rPr>
        <w:t>These are examples of what Paul Johnson describes as “the collaborative enterprise at the heart of Strasbourg litigation”, where applicants “did not passively defer to legal experts but, to varying degrees, worked with legal representat</w:t>
      </w:r>
      <w:r w:rsidR="00C535C9">
        <w:rPr>
          <w:lang w:val="en-GB"/>
        </w:rPr>
        <w:t>ives to co-produce applications</w:t>
      </w:r>
      <w:r>
        <w:rPr>
          <w:lang w:val="en-GB"/>
        </w:rPr>
        <w:t>”</w:t>
      </w:r>
      <w:r>
        <w:rPr>
          <w:rStyle w:val="Voetnootmarkering"/>
          <w:lang w:val="en-GB"/>
        </w:rPr>
        <w:footnoteReference w:id="248"/>
      </w:r>
      <w:r w:rsidR="00C535C9">
        <w:rPr>
          <w:lang w:val="en-GB"/>
        </w:rPr>
        <w:t>.</w:t>
      </w:r>
      <w:r w:rsidR="00A13ABC">
        <w:rPr>
          <w:lang w:val="en-GB"/>
        </w:rPr>
        <w:t xml:space="preserve"> While </w:t>
      </w:r>
      <w:r w:rsidR="001B707F">
        <w:rPr>
          <w:lang w:val="en-GB"/>
        </w:rPr>
        <w:t>it</w:t>
      </w:r>
      <w:r w:rsidR="005E5682">
        <w:rPr>
          <w:lang w:val="en-GB"/>
        </w:rPr>
        <w:t xml:space="preserve"> does not</w:t>
      </w:r>
      <w:r w:rsidR="00A13ABC">
        <w:rPr>
          <w:lang w:val="en-GB"/>
        </w:rPr>
        <w:t xml:space="preserve"> seem</w:t>
      </w:r>
      <w:r w:rsidR="005E5682">
        <w:rPr>
          <w:lang w:val="en-GB"/>
        </w:rPr>
        <w:t>, on the basis of the</w:t>
      </w:r>
      <w:r w:rsidR="001B707F">
        <w:rPr>
          <w:lang w:val="en-GB"/>
        </w:rPr>
        <w:t xml:space="preserve"> cases</w:t>
      </w:r>
      <w:r w:rsidR="005E5682">
        <w:rPr>
          <w:lang w:val="en-GB"/>
        </w:rPr>
        <w:t xml:space="preserve"> studied</w:t>
      </w:r>
      <w:r w:rsidR="001B707F">
        <w:rPr>
          <w:lang w:val="en-GB"/>
        </w:rPr>
        <w:t>, that such “collaborative enterprise” with active involvement of the applicant</w:t>
      </w:r>
      <w:r w:rsidR="00A13ABC">
        <w:rPr>
          <w:lang w:val="en-GB"/>
        </w:rPr>
        <w:t xml:space="preserve"> </w:t>
      </w:r>
      <w:r w:rsidR="001B707F">
        <w:rPr>
          <w:lang w:val="en-GB"/>
        </w:rPr>
        <w:t>was</w:t>
      </w:r>
      <w:r w:rsidR="00A13ABC">
        <w:rPr>
          <w:lang w:val="en-GB"/>
        </w:rPr>
        <w:t xml:space="preserve"> a </w:t>
      </w:r>
      <w:r w:rsidR="005E5682">
        <w:rPr>
          <w:lang w:val="en-GB"/>
        </w:rPr>
        <w:t>necessary condition</w:t>
      </w:r>
      <w:r w:rsidR="00A13ABC">
        <w:rPr>
          <w:lang w:val="en-GB"/>
        </w:rPr>
        <w:t xml:space="preserve"> for</w:t>
      </w:r>
      <w:r w:rsidR="001B707F">
        <w:rPr>
          <w:lang w:val="en-GB"/>
        </w:rPr>
        <w:t xml:space="preserve"> Strasbourg litigation to arise, it does seem to be a factor contributing to the likelihood thereof. </w:t>
      </w:r>
    </w:p>
    <w:p w14:paraId="27CEA135" w14:textId="31A34C2E" w:rsidR="004C6042" w:rsidRPr="00716BE8" w:rsidRDefault="00716BE8" w:rsidP="001A19D0">
      <w:pPr>
        <w:ind w:firstLine="708"/>
        <w:jc w:val="both"/>
        <w:rPr>
          <w:lang w:val="en-GB"/>
        </w:rPr>
      </w:pPr>
      <w:r w:rsidRPr="00716BE8">
        <w:rPr>
          <w:lang w:val="en-GB"/>
        </w:rPr>
        <w:t xml:space="preserve">However, active involvement may not be sufficient in the absence of adequate support of the applicant, as illustrated by the </w:t>
      </w:r>
      <w:r w:rsidRPr="00716BE8">
        <w:rPr>
          <w:i/>
          <w:lang w:val="en-GB"/>
        </w:rPr>
        <w:t xml:space="preserve">Van der </w:t>
      </w:r>
      <w:proofErr w:type="spellStart"/>
      <w:r w:rsidRPr="00716BE8">
        <w:rPr>
          <w:i/>
          <w:lang w:val="en-GB"/>
        </w:rPr>
        <w:t>Mussele</w:t>
      </w:r>
      <w:proofErr w:type="spellEnd"/>
      <w:r w:rsidRPr="00716BE8">
        <w:rPr>
          <w:i/>
          <w:lang w:val="en-GB"/>
        </w:rPr>
        <w:t xml:space="preserve"> </w:t>
      </w:r>
      <w:r w:rsidRPr="00716BE8">
        <w:rPr>
          <w:lang w:val="en-GB"/>
        </w:rPr>
        <w:t>case</w:t>
      </w:r>
      <w:r w:rsidR="005E5682">
        <w:rPr>
          <w:lang w:val="en-GB"/>
        </w:rPr>
        <w:t xml:space="preserve"> (1983)</w:t>
      </w:r>
      <w:r w:rsidRPr="00716BE8">
        <w:rPr>
          <w:lang w:val="en-GB"/>
        </w:rPr>
        <w:t xml:space="preserve">. </w:t>
      </w:r>
      <w:r>
        <w:rPr>
          <w:lang w:val="en-GB"/>
        </w:rPr>
        <w:t xml:space="preserve">For </w:t>
      </w:r>
      <w:r w:rsidR="005E5682">
        <w:rPr>
          <w:lang w:val="en-GB"/>
        </w:rPr>
        <w:t xml:space="preserve">Eric </w:t>
      </w:r>
      <w:r>
        <w:rPr>
          <w:lang w:val="en-GB"/>
        </w:rPr>
        <w:t xml:space="preserve">Van </w:t>
      </w:r>
      <w:r w:rsidR="004B549C">
        <w:rPr>
          <w:lang w:val="en-GB"/>
        </w:rPr>
        <w:t xml:space="preserve">der </w:t>
      </w:r>
      <w:proofErr w:type="spellStart"/>
      <w:r w:rsidR="004B549C">
        <w:rPr>
          <w:lang w:val="en-GB"/>
        </w:rPr>
        <w:t>Mussele</w:t>
      </w:r>
      <w:proofErr w:type="spellEnd"/>
      <w:r w:rsidR="004B549C">
        <w:rPr>
          <w:lang w:val="en-GB"/>
        </w:rPr>
        <w:t xml:space="preserve">, support by his </w:t>
      </w:r>
      <w:r w:rsidR="004B549C">
        <w:rPr>
          <w:i/>
          <w:lang w:val="en-GB"/>
        </w:rPr>
        <w:t>patron</w:t>
      </w:r>
      <w:r>
        <w:rPr>
          <w:lang w:val="en-GB"/>
        </w:rPr>
        <w:t xml:space="preserve">, Georges </w:t>
      </w:r>
      <w:proofErr w:type="spellStart"/>
      <w:r>
        <w:rPr>
          <w:lang w:val="en-GB"/>
        </w:rPr>
        <w:t>Francq</w:t>
      </w:r>
      <w:proofErr w:type="spellEnd"/>
      <w:r>
        <w:rPr>
          <w:lang w:val="en-GB"/>
        </w:rPr>
        <w:t xml:space="preserve">, was crucial. It was </w:t>
      </w:r>
      <w:proofErr w:type="spellStart"/>
      <w:r>
        <w:rPr>
          <w:lang w:val="en-GB"/>
        </w:rPr>
        <w:t>Francq</w:t>
      </w:r>
      <w:proofErr w:type="spellEnd"/>
      <w:r>
        <w:rPr>
          <w:lang w:val="en-GB"/>
        </w:rPr>
        <w:t xml:space="preserve"> who encouraged him to go to Strasbourg when Van Der </w:t>
      </w:r>
      <w:proofErr w:type="spellStart"/>
      <w:r>
        <w:rPr>
          <w:lang w:val="en-GB"/>
        </w:rPr>
        <w:t>Mussele</w:t>
      </w:r>
      <w:proofErr w:type="spellEnd"/>
      <w:r>
        <w:rPr>
          <w:lang w:val="en-GB"/>
        </w:rPr>
        <w:t xml:space="preserve"> talked to him about the earlier </w:t>
      </w:r>
      <w:proofErr w:type="spellStart"/>
      <w:r>
        <w:rPr>
          <w:i/>
          <w:lang w:val="en-GB"/>
        </w:rPr>
        <w:t>Gussenbauer</w:t>
      </w:r>
      <w:proofErr w:type="spellEnd"/>
      <w:r>
        <w:rPr>
          <w:i/>
          <w:lang w:val="en-GB"/>
        </w:rPr>
        <w:t xml:space="preserve"> </w:t>
      </w:r>
      <w:r>
        <w:rPr>
          <w:lang w:val="en-GB"/>
        </w:rPr>
        <w:t xml:space="preserve">decision. He also recalls how, on a reception organized by </w:t>
      </w:r>
      <w:proofErr w:type="spellStart"/>
      <w:r w:rsidR="00C114C6">
        <w:rPr>
          <w:lang w:val="en-GB"/>
        </w:rPr>
        <w:t>Francq</w:t>
      </w:r>
      <w:proofErr w:type="spellEnd"/>
      <w:r>
        <w:rPr>
          <w:lang w:val="en-GB"/>
        </w:rPr>
        <w:t>, the then president of the National Order of Lawyers</w:t>
      </w:r>
      <w:r w:rsidR="00C114C6">
        <w:rPr>
          <w:lang w:val="en-GB"/>
        </w:rPr>
        <w:t xml:space="preserve"> came to him to say: “I think it is a disgrace [i.e. going to Strasbourg], for me that’s begging for an income.” But then </w:t>
      </w:r>
      <w:proofErr w:type="spellStart"/>
      <w:r w:rsidR="00C114C6">
        <w:rPr>
          <w:lang w:val="en-GB"/>
        </w:rPr>
        <w:t>Francq</w:t>
      </w:r>
      <w:proofErr w:type="spellEnd"/>
      <w:r w:rsidR="00C114C6">
        <w:rPr>
          <w:lang w:val="en-GB"/>
        </w:rPr>
        <w:t xml:space="preserve"> intervened in front of everyone present</w:t>
      </w:r>
      <w:r w:rsidR="004B549C">
        <w:rPr>
          <w:lang w:val="en-GB"/>
        </w:rPr>
        <w:t>, defending the initiative to take court action</w:t>
      </w:r>
      <w:r w:rsidR="00C114C6">
        <w:rPr>
          <w:lang w:val="en-GB"/>
        </w:rPr>
        <w:t xml:space="preserve">. </w:t>
      </w:r>
      <w:r>
        <w:rPr>
          <w:lang w:val="en-GB"/>
        </w:rPr>
        <w:t xml:space="preserve">According to Van der </w:t>
      </w:r>
      <w:proofErr w:type="spellStart"/>
      <w:r>
        <w:rPr>
          <w:lang w:val="en-GB"/>
        </w:rPr>
        <w:t>Mussele</w:t>
      </w:r>
      <w:proofErr w:type="spellEnd"/>
      <w:r>
        <w:rPr>
          <w:lang w:val="en-GB"/>
        </w:rPr>
        <w:t xml:space="preserve">, “you need support to get there [i.e. in Strasbourg]. [...] </w:t>
      </w:r>
      <w:r w:rsidR="00C114C6">
        <w:rPr>
          <w:lang w:val="en-GB"/>
        </w:rPr>
        <w:t xml:space="preserve">If you feel the support of your </w:t>
      </w:r>
      <w:r w:rsidR="004B549C">
        <w:rPr>
          <w:i/>
          <w:lang w:val="en-GB"/>
        </w:rPr>
        <w:t>patron</w:t>
      </w:r>
      <w:r w:rsidR="00C114C6">
        <w:rPr>
          <w:lang w:val="en-GB"/>
        </w:rPr>
        <w:t xml:space="preserve">, […] that’s very important. </w:t>
      </w:r>
      <w:proofErr w:type="gramStart"/>
      <w:r w:rsidR="00C114C6">
        <w:rPr>
          <w:lang w:val="en-GB"/>
        </w:rPr>
        <w:t>Because if</w:t>
      </w:r>
      <w:r>
        <w:rPr>
          <w:lang w:val="en-GB"/>
        </w:rPr>
        <w:t xml:space="preserve"> you have to do it all by yourself […]</w:t>
      </w:r>
      <w:r w:rsidR="00C535C9">
        <w:rPr>
          <w:lang w:val="en-GB"/>
        </w:rPr>
        <w:t>, then you must feel very small</w:t>
      </w:r>
      <w:r>
        <w:rPr>
          <w:lang w:val="en-GB"/>
        </w:rPr>
        <w:t>”</w:t>
      </w:r>
      <w:r w:rsidR="00C114C6">
        <w:rPr>
          <w:rStyle w:val="Voetnootmarkering"/>
          <w:lang w:val="en-GB"/>
        </w:rPr>
        <w:footnoteReference w:id="249"/>
      </w:r>
      <w:r w:rsidR="00C535C9">
        <w:rPr>
          <w:lang w:val="en-GB"/>
        </w:rPr>
        <w:t>.</w:t>
      </w:r>
      <w:proofErr w:type="gramEnd"/>
    </w:p>
    <w:p w14:paraId="3D0B2DCB" w14:textId="77777777" w:rsidR="00C0518F" w:rsidRPr="00C0518F" w:rsidRDefault="00C0518F" w:rsidP="00B663ED">
      <w:pPr>
        <w:jc w:val="both"/>
        <w:rPr>
          <w:color w:val="FF0000"/>
          <w:lang w:val="en-GB"/>
        </w:rPr>
      </w:pPr>
    </w:p>
    <w:p w14:paraId="70E89FC8" w14:textId="77777777" w:rsidR="00C64044" w:rsidRPr="00C46601" w:rsidRDefault="00C64044" w:rsidP="00B663ED">
      <w:pPr>
        <w:jc w:val="both"/>
        <w:rPr>
          <w:i/>
          <w:lang w:val="en-GB"/>
        </w:rPr>
      </w:pPr>
      <w:r w:rsidRPr="00C46601">
        <w:rPr>
          <w:i/>
          <w:lang w:val="en-GB"/>
        </w:rPr>
        <w:t>Intermediary role</w:t>
      </w:r>
      <w:r w:rsidR="00292BBD" w:rsidRPr="00C46601">
        <w:rPr>
          <w:i/>
          <w:lang w:val="en-GB"/>
        </w:rPr>
        <w:t xml:space="preserve"> of</w:t>
      </w:r>
      <w:r w:rsidRPr="00C46601">
        <w:rPr>
          <w:i/>
          <w:lang w:val="en-GB"/>
        </w:rPr>
        <w:t xml:space="preserve"> lawyers</w:t>
      </w:r>
    </w:p>
    <w:p w14:paraId="2746B019" w14:textId="5667596F" w:rsidR="00105ED2" w:rsidRDefault="00C46601" w:rsidP="001A19D0">
      <w:pPr>
        <w:ind w:firstLine="708"/>
        <w:jc w:val="both"/>
        <w:rPr>
          <w:lang w:val="en-GB"/>
        </w:rPr>
      </w:pPr>
      <w:r>
        <w:rPr>
          <w:lang w:val="en-GB"/>
        </w:rPr>
        <w:t xml:space="preserve">According to </w:t>
      </w:r>
      <w:proofErr w:type="spellStart"/>
      <w:r>
        <w:rPr>
          <w:lang w:val="en-GB"/>
        </w:rPr>
        <w:t>Groenendijk</w:t>
      </w:r>
      <w:proofErr w:type="spellEnd"/>
      <w:r>
        <w:rPr>
          <w:lang w:val="en-GB"/>
        </w:rPr>
        <w:t>, lawyers fulfil an important intermediary role between applicant and Strasbourg institutions.</w:t>
      </w:r>
      <w:r>
        <w:rPr>
          <w:rStyle w:val="Voetnootmarkering"/>
          <w:lang w:val="en-GB"/>
        </w:rPr>
        <w:footnoteReference w:id="250"/>
      </w:r>
      <w:r>
        <w:rPr>
          <w:lang w:val="en-GB"/>
        </w:rPr>
        <w:t xml:space="preserve"> </w:t>
      </w:r>
      <w:r w:rsidR="00035967">
        <w:rPr>
          <w:lang w:val="en-GB"/>
        </w:rPr>
        <w:t>At the time, it can be assumed that awareness of the European Convention was higher among lawyers than among the population at large, as a result of which their legal capital may have been indispensable in order to even conceive of a case in terms of a p</w:t>
      </w:r>
      <w:r w:rsidR="00C535C9">
        <w:rPr>
          <w:lang w:val="en-GB"/>
        </w:rPr>
        <w:t>otential human rights violation</w:t>
      </w:r>
      <w:r w:rsidR="00035967">
        <w:rPr>
          <w:rStyle w:val="Voetnootmarkering"/>
          <w:lang w:val="en-GB"/>
        </w:rPr>
        <w:footnoteReference w:id="251"/>
      </w:r>
      <w:r w:rsidR="00C535C9">
        <w:rPr>
          <w:lang w:val="en-GB"/>
        </w:rPr>
        <w:t>.</w:t>
      </w:r>
      <w:r w:rsidR="00035967">
        <w:rPr>
          <w:lang w:val="en-GB"/>
        </w:rPr>
        <w:t xml:space="preserve"> </w:t>
      </w:r>
      <w:r w:rsidR="00DB47E6">
        <w:rPr>
          <w:lang w:val="en-GB"/>
        </w:rPr>
        <w:t>This is exemplified by the</w:t>
      </w:r>
      <w:r w:rsidR="00035967">
        <w:rPr>
          <w:lang w:val="en-GB"/>
        </w:rPr>
        <w:t xml:space="preserve"> </w:t>
      </w:r>
      <w:proofErr w:type="spellStart"/>
      <w:r w:rsidR="00035967">
        <w:rPr>
          <w:i/>
          <w:lang w:val="en-GB"/>
        </w:rPr>
        <w:t>Bouamar</w:t>
      </w:r>
      <w:proofErr w:type="spellEnd"/>
      <w:r w:rsidR="00035967">
        <w:rPr>
          <w:i/>
          <w:lang w:val="en-GB"/>
        </w:rPr>
        <w:t xml:space="preserve"> </w:t>
      </w:r>
      <w:r w:rsidR="00035967">
        <w:rPr>
          <w:lang w:val="en-GB"/>
        </w:rPr>
        <w:t>case</w:t>
      </w:r>
      <w:r w:rsidR="005E5682">
        <w:rPr>
          <w:lang w:val="en-GB"/>
        </w:rPr>
        <w:t xml:space="preserve"> (1988)</w:t>
      </w:r>
      <w:r w:rsidR="00035967">
        <w:rPr>
          <w:lang w:val="en-GB"/>
        </w:rPr>
        <w:t xml:space="preserve">, discussed above, </w:t>
      </w:r>
      <w:r w:rsidR="00DB47E6">
        <w:rPr>
          <w:lang w:val="en-GB"/>
        </w:rPr>
        <w:t xml:space="preserve">in which it were the lawyers involved rather than the applicant </w:t>
      </w:r>
      <w:r w:rsidR="003734CC">
        <w:rPr>
          <w:lang w:val="en-GB"/>
        </w:rPr>
        <w:t xml:space="preserve">who </w:t>
      </w:r>
      <w:r w:rsidR="00DB47E6">
        <w:rPr>
          <w:lang w:val="en-GB"/>
        </w:rPr>
        <w:t>clearly were the driving force behind the application. In addition, w</w:t>
      </w:r>
      <w:r>
        <w:rPr>
          <w:lang w:val="en-GB"/>
        </w:rPr>
        <w:t xml:space="preserve">hile assistance of a lawyer before the Strasbourg institutions was not mandatory, the technical character of the Strasbourg procedure and of the substance of the developing European Convention law made such assistance </w:t>
      </w:r>
      <w:r w:rsidR="00035967">
        <w:rPr>
          <w:lang w:val="en-GB"/>
        </w:rPr>
        <w:t xml:space="preserve">recommendable. </w:t>
      </w:r>
      <w:r w:rsidR="00A52C7F">
        <w:rPr>
          <w:lang w:val="en-GB"/>
        </w:rPr>
        <w:t xml:space="preserve">For these reasons, it may be assumed that lawyers fulfilled an important filtering function with respect to the selection of </w:t>
      </w:r>
      <w:r w:rsidR="00A52C7F">
        <w:rPr>
          <w:lang w:val="en-GB"/>
        </w:rPr>
        <w:lastRenderedPageBreak/>
        <w:t>cases in which a Strasbourg application is lodged</w:t>
      </w:r>
      <w:r w:rsidR="00105ED2">
        <w:rPr>
          <w:lang w:val="en-GB"/>
        </w:rPr>
        <w:t xml:space="preserve"> and that their intervention typically improved the quality of such application, thereby increasing the likelihood that </w:t>
      </w:r>
      <w:r w:rsidR="00C535C9">
        <w:rPr>
          <w:lang w:val="en-GB"/>
        </w:rPr>
        <w:t>it would be declared admissible</w:t>
      </w:r>
      <w:r w:rsidR="00105ED2">
        <w:rPr>
          <w:rStyle w:val="Voetnootmarkering"/>
          <w:lang w:val="en-GB"/>
        </w:rPr>
        <w:footnoteReference w:id="252"/>
      </w:r>
      <w:r w:rsidR="00C535C9">
        <w:rPr>
          <w:lang w:val="en-GB"/>
        </w:rPr>
        <w:t>.</w:t>
      </w:r>
    </w:p>
    <w:p w14:paraId="5DDE6D0C" w14:textId="2D74FEC8" w:rsidR="00C40958" w:rsidRDefault="00EC4A76" w:rsidP="001A19D0">
      <w:pPr>
        <w:ind w:firstLine="708"/>
        <w:jc w:val="both"/>
        <w:rPr>
          <w:lang w:val="en-GB"/>
        </w:rPr>
      </w:pPr>
      <w:r>
        <w:rPr>
          <w:lang w:val="en-GB"/>
        </w:rPr>
        <w:t>According to van Rossum, the intervention of “the right lawyer at the right time” may therefore be crucial in e</w:t>
      </w:r>
      <w:r w:rsidR="00C535C9">
        <w:rPr>
          <w:lang w:val="en-GB"/>
        </w:rPr>
        <w:t>xplaining Strasbourg litigation</w:t>
      </w:r>
      <w:r>
        <w:rPr>
          <w:rStyle w:val="Voetnootmarkering"/>
          <w:lang w:val="en-GB"/>
        </w:rPr>
        <w:footnoteReference w:id="253"/>
      </w:r>
      <w:r w:rsidR="00C535C9">
        <w:rPr>
          <w:lang w:val="en-GB"/>
        </w:rPr>
        <w:t>.</w:t>
      </w:r>
      <w:r>
        <w:rPr>
          <w:lang w:val="en-GB"/>
        </w:rPr>
        <w:t xml:space="preserve"> Many of the interviews indicate that coincidence played an important role in bringing together applicant and </w:t>
      </w:r>
      <w:r w:rsidR="005976D3">
        <w:rPr>
          <w:lang w:val="en-GB"/>
        </w:rPr>
        <w:t xml:space="preserve">“the right </w:t>
      </w:r>
      <w:r>
        <w:rPr>
          <w:lang w:val="en-GB"/>
        </w:rPr>
        <w:t>lawyer</w:t>
      </w:r>
      <w:r w:rsidR="005976D3">
        <w:rPr>
          <w:lang w:val="en-GB"/>
        </w:rPr>
        <w:t xml:space="preserve"> at the right time”</w:t>
      </w:r>
      <w:r w:rsidR="00D278C8">
        <w:rPr>
          <w:lang w:val="en-GB"/>
        </w:rPr>
        <w:t xml:space="preserve">. For example, Jean-Marie </w:t>
      </w:r>
      <w:proofErr w:type="spellStart"/>
      <w:r w:rsidR="00D278C8">
        <w:rPr>
          <w:lang w:val="en-GB"/>
        </w:rPr>
        <w:t>Nelissen</w:t>
      </w:r>
      <w:proofErr w:type="spellEnd"/>
      <w:r w:rsidR="00D278C8">
        <w:rPr>
          <w:lang w:val="en-GB"/>
        </w:rPr>
        <w:t xml:space="preserve"> Grade</w:t>
      </w:r>
      <w:r w:rsidR="00B905D3">
        <w:rPr>
          <w:lang w:val="en-GB"/>
        </w:rPr>
        <w:t xml:space="preserve"> became involved in the </w:t>
      </w:r>
      <w:r w:rsidR="00B905D3">
        <w:rPr>
          <w:i/>
          <w:lang w:val="en-GB"/>
        </w:rPr>
        <w:t xml:space="preserve">National Union of Belgian Police </w:t>
      </w:r>
      <w:r w:rsidR="00B905D3">
        <w:rPr>
          <w:lang w:val="en-GB"/>
        </w:rPr>
        <w:t xml:space="preserve">case </w:t>
      </w:r>
      <w:r w:rsidR="00345E88">
        <w:rPr>
          <w:lang w:val="en-GB"/>
        </w:rPr>
        <w:t xml:space="preserve">(1975) </w:t>
      </w:r>
      <w:r w:rsidR="00B905D3">
        <w:rPr>
          <w:lang w:val="en-GB"/>
        </w:rPr>
        <w:t>when he took over</w:t>
      </w:r>
      <w:r w:rsidR="00D278C8">
        <w:rPr>
          <w:lang w:val="en-GB"/>
        </w:rPr>
        <w:t xml:space="preserve"> a number of files of another lawyer </w:t>
      </w:r>
      <w:r w:rsidR="00B905D3">
        <w:rPr>
          <w:lang w:val="en-GB"/>
        </w:rPr>
        <w:t xml:space="preserve">– they knew each other from another case in which they had defended parties with parallel interests – </w:t>
      </w:r>
      <w:r w:rsidR="00C535C9">
        <w:rPr>
          <w:lang w:val="en-GB"/>
        </w:rPr>
        <w:t>when she was appointed as judge</w:t>
      </w:r>
      <w:r w:rsidR="00B905D3">
        <w:rPr>
          <w:rStyle w:val="Voetnootmarkering"/>
          <w:lang w:val="en-GB"/>
        </w:rPr>
        <w:footnoteReference w:id="254"/>
      </w:r>
      <w:r w:rsidR="00C535C9">
        <w:rPr>
          <w:lang w:val="en-GB"/>
        </w:rPr>
        <w:t>.</w:t>
      </w:r>
      <w:r w:rsidR="005976D3">
        <w:rPr>
          <w:lang w:val="en-GB"/>
        </w:rPr>
        <w:t xml:space="preserve"> In other cases, applicant and lawyer would not have met were it not for intermediary actors bringing them together, </w:t>
      </w:r>
      <w:r w:rsidR="00C40958">
        <w:rPr>
          <w:lang w:val="en-GB"/>
        </w:rPr>
        <w:t xml:space="preserve">which, as set out above, </w:t>
      </w:r>
      <w:r w:rsidR="005976D3">
        <w:rPr>
          <w:lang w:val="en-GB"/>
        </w:rPr>
        <w:t xml:space="preserve">for example happened in the </w:t>
      </w:r>
      <w:r w:rsidR="005976D3">
        <w:rPr>
          <w:i/>
          <w:lang w:val="en-GB"/>
        </w:rPr>
        <w:t>Vagrancy</w:t>
      </w:r>
      <w:r w:rsidR="00345E88">
        <w:rPr>
          <w:i/>
          <w:lang w:val="en-GB"/>
        </w:rPr>
        <w:t xml:space="preserve"> </w:t>
      </w:r>
      <w:r w:rsidR="00345E88">
        <w:rPr>
          <w:lang w:val="en-GB"/>
        </w:rPr>
        <w:t>(1971)</w:t>
      </w:r>
      <w:r w:rsidR="005976D3">
        <w:rPr>
          <w:lang w:val="en-GB"/>
        </w:rPr>
        <w:t xml:space="preserve">, </w:t>
      </w:r>
      <w:r w:rsidR="005976D3">
        <w:rPr>
          <w:i/>
          <w:lang w:val="en-GB"/>
        </w:rPr>
        <w:t>Marckx</w:t>
      </w:r>
      <w:r w:rsidR="00345E88">
        <w:rPr>
          <w:i/>
          <w:lang w:val="en-GB"/>
        </w:rPr>
        <w:t xml:space="preserve"> </w:t>
      </w:r>
      <w:r w:rsidR="00345E88">
        <w:rPr>
          <w:lang w:val="en-GB"/>
        </w:rPr>
        <w:t>(1979)</w:t>
      </w:r>
      <w:r w:rsidR="005976D3">
        <w:rPr>
          <w:lang w:val="en-GB"/>
        </w:rPr>
        <w:t xml:space="preserve">, </w:t>
      </w:r>
      <w:r w:rsidR="00F17D6A">
        <w:rPr>
          <w:i/>
          <w:lang w:val="en-GB"/>
        </w:rPr>
        <w:t xml:space="preserve">Van </w:t>
      </w:r>
      <w:proofErr w:type="spellStart"/>
      <w:r w:rsidR="00F17D6A">
        <w:rPr>
          <w:i/>
          <w:lang w:val="en-GB"/>
        </w:rPr>
        <w:t>Oosterwijck</w:t>
      </w:r>
      <w:proofErr w:type="spellEnd"/>
      <w:r w:rsidR="00F17D6A">
        <w:rPr>
          <w:i/>
          <w:lang w:val="en-GB"/>
        </w:rPr>
        <w:t xml:space="preserve"> </w:t>
      </w:r>
      <w:r w:rsidR="00345E88">
        <w:rPr>
          <w:lang w:val="en-GB"/>
        </w:rPr>
        <w:t xml:space="preserve">(1980) </w:t>
      </w:r>
      <w:r w:rsidR="00F17D6A">
        <w:rPr>
          <w:lang w:val="en-GB"/>
        </w:rPr>
        <w:t xml:space="preserve">and </w:t>
      </w:r>
      <w:r w:rsidR="005976D3">
        <w:rPr>
          <w:i/>
          <w:lang w:val="en-GB"/>
        </w:rPr>
        <w:t>Le</w:t>
      </w:r>
      <w:r w:rsidR="00F17D6A">
        <w:rPr>
          <w:i/>
          <w:lang w:val="en-GB"/>
        </w:rPr>
        <w:t xml:space="preserve"> </w:t>
      </w:r>
      <w:proofErr w:type="spellStart"/>
      <w:r w:rsidR="00F17D6A">
        <w:rPr>
          <w:i/>
          <w:lang w:val="en-GB"/>
        </w:rPr>
        <w:t>C</w:t>
      </w:r>
      <w:r w:rsidR="005976D3">
        <w:rPr>
          <w:i/>
          <w:lang w:val="en-GB"/>
        </w:rPr>
        <w:t>ompte</w:t>
      </w:r>
      <w:proofErr w:type="spellEnd"/>
      <w:r w:rsidR="005976D3">
        <w:rPr>
          <w:i/>
          <w:lang w:val="en-GB"/>
        </w:rPr>
        <w:t>, De Meyere and Van Leuven</w:t>
      </w:r>
      <w:r w:rsidR="00345E88">
        <w:rPr>
          <w:lang w:val="en-GB"/>
        </w:rPr>
        <w:t xml:space="preserve"> (1980)</w:t>
      </w:r>
      <w:r w:rsidR="005976D3">
        <w:rPr>
          <w:lang w:val="en-GB"/>
        </w:rPr>
        <w:t xml:space="preserve"> (with respect to applicants De Meyere and Van Leuven)</w:t>
      </w:r>
      <w:r w:rsidR="00C40958">
        <w:rPr>
          <w:lang w:val="en-GB"/>
        </w:rPr>
        <w:t xml:space="preserve"> cases. While it cannot of course be excluded that</w:t>
      </w:r>
      <w:r w:rsidR="00C40958" w:rsidRPr="00D278C8">
        <w:rPr>
          <w:lang w:val="en-GB"/>
        </w:rPr>
        <w:t xml:space="preserve"> </w:t>
      </w:r>
      <w:r w:rsidR="00C40958">
        <w:rPr>
          <w:lang w:val="en-GB"/>
        </w:rPr>
        <w:t xml:space="preserve">in a particular case </w:t>
      </w:r>
      <w:r w:rsidR="00C40958" w:rsidRPr="00D278C8">
        <w:rPr>
          <w:lang w:val="en-GB"/>
        </w:rPr>
        <w:t>another lawyer would have been willing to</w:t>
      </w:r>
      <w:r w:rsidR="00C40958">
        <w:rPr>
          <w:lang w:val="en-GB"/>
        </w:rPr>
        <w:t xml:space="preserve"> lodge the application and would have done so equally well</w:t>
      </w:r>
      <w:r w:rsidR="000955A4">
        <w:rPr>
          <w:lang w:val="en-GB"/>
        </w:rPr>
        <w:t>, the discussion above sugg</w:t>
      </w:r>
      <w:r w:rsidR="00805F16">
        <w:rPr>
          <w:lang w:val="en-GB"/>
        </w:rPr>
        <w:t xml:space="preserve">ests that the intervention of </w:t>
      </w:r>
      <w:r w:rsidR="000955A4">
        <w:rPr>
          <w:lang w:val="en-GB"/>
        </w:rPr>
        <w:t>particular type</w:t>
      </w:r>
      <w:r w:rsidR="00805F16">
        <w:rPr>
          <w:lang w:val="en-GB"/>
        </w:rPr>
        <w:t>s</w:t>
      </w:r>
      <w:r w:rsidR="000955A4">
        <w:rPr>
          <w:lang w:val="en-GB"/>
        </w:rPr>
        <w:t xml:space="preserve"> of lawyer</w:t>
      </w:r>
      <w:r w:rsidR="00805F16">
        <w:rPr>
          <w:lang w:val="en-GB"/>
        </w:rPr>
        <w:t>s</w:t>
      </w:r>
      <w:r w:rsidR="000955A4">
        <w:rPr>
          <w:lang w:val="en-GB"/>
        </w:rPr>
        <w:t xml:space="preserve"> –</w:t>
      </w:r>
      <w:r w:rsidR="00805F16">
        <w:rPr>
          <w:lang w:val="en-GB"/>
        </w:rPr>
        <w:t xml:space="preserve"> in particular</w:t>
      </w:r>
      <w:r w:rsidR="000955A4">
        <w:rPr>
          <w:lang w:val="en-GB"/>
        </w:rPr>
        <w:t xml:space="preserve"> young ambitious lawyers and lawyers with an academic profile – willing </w:t>
      </w:r>
      <w:r w:rsidR="00805F16">
        <w:rPr>
          <w:lang w:val="en-GB"/>
        </w:rPr>
        <w:t>to invest their</w:t>
      </w:r>
      <w:r w:rsidR="000955A4">
        <w:rPr>
          <w:lang w:val="en-GB"/>
        </w:rPr>
        <w:t xml:space="preserve"> legal capital</w:t>
      </w:r>
      <w:r w:rsidR="00805F16">
        <w:rPr>
          <w:lang w:val="en-GB"/>
        </w:rPr>
        <w:t xml:space="preserve"> in a certain case increased the likelihood of successful litigation.</w:t>
      </w:r>
    </w:p>
    <w:p w14:paraId="390A4784" w14:textId="0B98D656" w:rsidR="00933BA2" w:rsidRPr="00933BA2" w:rsidRDefault="002F3B3E" w:rsidP="001A19D0">
      <w:pPr>
        <w:ind w:firstLine="708"/>
        <w:jc w:val="both"/>
        <w:rPr>
          <w:lang w:val="en-GB"/>
        </w:rPr>
      </w:pPr>
      <w:r>
        <w:rPr>
          <w:lang w:val="en-GB"/>
        </w:rPr>
        <w:t xml:space="preserve">The willingness of a lawyer to bring an application in Strasbourg may however not be sufficient in the absence of adequate resources. As held above, Raoul Neuroth </w:t>
      </w:r>
      <w:r w:rsidR="00F17D6A">
        <w:rPr>
          <w:lang w:val="en-GB"/>
        </w:rPr>
        <w:t xml:space="preserve">considered that he “had the chance of having Mr. </w:t>
      </w:r>
      <w:proofErr w:type="spellStart"/>
      <w:r w:rsidR="00F17D6A">
        <w:rPr>
          <w:lang w:val="en-GB"/>
        </w:rPr>
        <w:t>Lamy</w:t>
      </w:r>
      <w:proofErr w:type="spellEnd"/>
      <w:r w:rsidR="00F17D6A">
        <w:rPr>
          <w:lang w:val="en-GB"/>
        </w:rPr>
        <w:t>”, a businessman willing to provide the necessary resources to enable Strasbourg litigation. Similarly, Leon Martens reported that it was “fantastic that my clients allowed me to form</w:t>
      </w:r>
      <w:r w:rsidR="00C535C9">
        <w:rPr>
          <w:lang w:val="en-GB"/>
        </w:rPr>
        <w:t>ulate something against Belgium</w:t>
      </w:r>
      <w:r w:rsidR="00F17D6A">
        <w:rPr>
          <w:lang w:val="en-GB"/>
        </w:rPr>
        <w:t>”</w:t>
      </w:r>
      <w:r w:rsidR="00F17D6A">
        <w:rPr>
          <w:rStyle w:val="Voetnootmarkering"/>
          <w:lang w:val="en-GB"/>
        </w:rPr>
        <w:footnoteReference w:id="255"/>
      </w:r>
      <w:r w:rsidR="00C535C9">
        <w:rPr>
          <w:lang w:val="en-GB"/>
        </w:rPr>
        <w:t>.</w:t>
      </w:r>
      <w:r w:rsidR="00F17D6A">
        <w:rPr>
          <w:lang w:val="en-GB"/>
        </w:rPr>
        <w:t xml:space="preserve"> </w:t>
      </w:r>
      <w:r w:rsidR="00345E88">
        <w:rPr>
          <w:lang w:val="en-GB"/>
        </w:rPr>
        <w:t xml:space="preserve">Similarly </w:t>
      </w:r>
      <w:r w:rsidR="00F17D6A">
        <w:rPr>
          <w:lang w:val="en-GB"/>
        </w:rPr>
        <w:t xml:space="preserve">mentioned above, the financial contribution of Herman Le </w:t>
      </w:r>
      <w:proofErr w:type="spellStart"/>
      <w:r w:rsidR="00F17D6A">
        <w:rPr>
          <w:lang w:val="en-GB"/>
        </w:rPr>
        <w:t>Compte</w:t>
      </w:r>
      <w:proofErr w:type="spellEnd"/>
      <w:r w:rsidR="00F17D6A">
        <w:rPr>
          <w:lang w:val="en-GB"/>
        </w:rPr>
        <w:t xml:space="preserve"> enabled Marc De Meyere and </w:t>
      </w:r>
      <w:proofErr w:type="spellStart"/>
      <w:r w:rsidR="00F17D6A">
        <w:rPr>
          <w:lang w:val="en-GB"/>
        </w:rPr>
        <w:t>Frans</w:t>
      </w:r>
      <w:proofErr w:type="spellEnd"/>
      <w:r w:rsidR="00F17D6A">
        <w:rPr>
          <w:lang w:val="en-GB"/>
        </w:rPr>
        <w:t xml:space="preserve"> Van Leuven to join him in going to Strasbourg. </w:t>
      </w:r>
      <w:r w:rsidR="00345E88">
        <w:rPr>
          <w:lang w:val="en-GB"/>
        </w:rPr>
        <w:t>Also i</w:t>
      </w:r>
      <w:r w:rsidR="000058A6">
        <w:rPr>
          <w:lang w:val="en-GB"/>
        </w:rPr>
        <w:t xml:space="preserve">nteresting in this respect is an article by Guy </w:t>
      </w:r>
      <w:proofErr w:type="spellStart"/>
      <w:r w:rsidR="000058A6">
        <w:rPr>
          <w:lang w:val="en-GB"/>
        </w:rPr>
        <w:t>Delfosse</w:t>
      </w:r>
      <w:proofErr w:type="spellEnd"/>
      <w:r w:rsidR="000058A6">
        <w:rPr>
          <w:lang w:val="en-GB"/>
        </w:rPr>
        <w:t xml:space="preserve">, attorney in the </w:t>
      </w:r>
      <w:r w:rsidR="000058A6">
        <w:rPr>
          <w:i/>
          <w:lang w:val="en-GB"/>
        </w:rPr>
        <w:t xml:space="preserve">De Becker </w:t>
      </w:r>
      <w:r w:rsidR="000058A6">
        <w:rPr>
          <w:lang w:val="en-GB"/>
        </w:rPr>
        <w:t>case</w:t>
      </w:r>
      <w:r w:rsidR="00345E88">
        <w:rPr>
          <w:lang w:val="en-GB"/>
        </w:rPr>
        <w:t xml:space="preserve"> (1962)</w:t>
      </w:r>
      <w:r w:rsidR="000058A6">
        <w:rPr>
          <w:lang w:val="en-GB"/>
        </w:rPr>
        <w:t xml:space="preserve">, written decades later. In this article, </w:t>
      </w:r>
      <w:proofErr w:type="spellStart"/>
      <w:r w:rsidR="000058A6">
        <w:rPr>
          <w:lang w:val="en-GB"/>
        </w:rPr>
        <w:t>Delfosse</w:t>
      </w:r>
      <w:proofErr w:type="spellEnd"/>
      <w:r w:rsidR="000058A6">
        <w:rPr>
          <w:lang w:val="en-GB"/>
        </w:rPr>
        <w:t xml:space="preserve"> held</w:t>
      </w:r>
      <w:r w:rsidR="00A32EC9">
        <w:rPr>
          <w:lang w:val="en-GB"/>
        </w:rPr>
        <w:t xml:space="preserve"> </w:t>
      </w:r>
      <w:r w:rsidR="00345E88">
        <w:rPr>
          <w:lang w:val="en-GB"/>
        </w:rPr>
        <w:t xml:space="preserve">that </w:t>
      </w:r>
      <w:r w:rsidR="00A32EC9">
        <w:rPr>
          <w:lang w:val="en-GB"/>
        </w:rPr>
        <w:t xml:space="preserve">he </w:t>
      </w:r>
      <w:r w:rsidR="000058A6">
        <w:rPr>
          <w:lang w:val="en-GB"/>
        </w:rPr>
        <w:t>had</w:t>
      </w:r>
      <w:r w:rsidR="00A32EC9">
        <w:rPr>
          <w:lang w:val="en-GB"/>
        </w:rPr>
        <w:t xml:space="preserve"> </w:t>
      </w:r>
      <w:r w:rsidR="00933BA2">
        <w:rPr>
          <w:lang w:val="en-GB"/>
        </w:rPr>
        <w:t>only</w:t>
      </w:r>
      <w:r w:rsidR="000058A6">
        <w:rPr>
          <w:lang w:val="en-GB"/>
        </w:rPr>
        <w:t xml:space="preserve"> been able to</w:t>
      </w:r>
      <w:r w:rsidR="00933BA2">
        <w:rPr>
          <w:lang w:val="en-GB"/>
        </w:rPr>
        <w:t xml:space="preserve"> </w:t>
      </w:r>
      <w:r w:rsidR="000058A6">
        <w:rPr>
          <w:lang w:val="en-GB"/>
        </w:rPr>
        <w:t>go to Strasbourg</w:t>
      </w:r>
      <w:r w:rsidR="00933BA2">
        <w:rPr>
          <w:lang w:val="en-GB"/>
        </w:rPr>
        <w:t xml:space="preserve"> because </w:t>
      </w:r>
      <w:proofErr w:type="spellStart"/>
      <w:r w:rsidR="00933BA2">
        <w:rPr>
          <w:lang w:val="en-GB"/>
        </w:rPr>
        <w:t>Hergé</w:t>
      </w:r>
      <w:proofErr w:type="spellEnd"/>
      <w:r w:rsidR="00933BA2">
        <w:rPr>
          <w:lang w:val="en-GB"/>
        </w:rPr>
        <w:t xml:space="preserve"> – </w:t>
      </w:r>
      <w:r w:rsidR="00A32EC9">
        <w:rPr>
          <w:lang w:val="en-GB"/>
        </w:rPr>
        <w:t xml:space="preserve">the </w:t>
      </w:r>
      <w:r w:rsidR="00933BA2">
        <w:rPr>
          <w:lang w:val="en-GB"/>
        </w:rPr>
        <w:t xml:space="preserve">author of </w:t>
      </w:r>
      <w:proofErr w:type="spellStart"/>
      <w:r w:rsidR="00933BA2">
        <w:rPr>
          <w:lang w:val="en-GB"/>
        </w:rPr>
        <w:t>Tintin</w:t>
      </w:r>
      <w:proofErr w:type="spellEnd"/>
      <w:r w:rsidR="00A32EC9">
        <w:rPr>
          <w:lang w:val="en-GB"/>
        </w:rPr>
        <w:t xml:space="preserve"> who was grateful because De Becker had </w:t>
      </w:r>
      <w:r w:rsidR="00933BA2">
        <w:rPr>
          <w:lang w:val="en-GB"/>
        </w:rPr>
        <w:t xml:space="preserve">published his cartoons in </w:t>
      </w:r>
      <w:r w:rsidR="00933BA2">
        <w:rPr>
          <w:i/>
          <w:lang w:val="en-GB"/>
        </w:rPr>
        <w:t xml:space="preserve">Le </w:t>
      </w:r>
      <w:proofErr w:type="spellStart"/>
      <w:r w:rsidR="00933BA2">
        <w:rPr>
          <w:i/>
          <w:lang w:val="en-GB"/>
        </w:rPr>
        <w:t>Soir</w:t>
      </w:r>
      <w:proofErr w:type="spellEnd"/>
      <w:r w:rsidR="00933BA2">
        <w:rPr>
          <w:lang w:val="en-GB"/>
        </w:rPr>
        <w:t xml:space="preserve"> during the German occupation – was willing to pay</w:t>
      </w:r>
      <w:r w:rsidR="00A32EC9">
        <w:rPr>
          <w:lang w:val="en-GB"/>
        </w:rPr>
        <w:t xml:space="preserve"> the </w:t>
      </w:r>
      <w:r w:rsidR="00B91224">
        <w:rPr>
          <w:lang w:val="en-GB"/>
        </w:rPr>
        <w:t>expenses</w:t>
      </w:r>
      <w:r w:rsidR="00A32EC9">
        <w:rPr>
          <w:lang w:val="en-GB"/>
        </w:rPr>
        <w:t xml:space="preserve"> involved. According to </w:t>
      </w:r>
      <w:proofErr w:type="spellStart"/>
      <w:r w:rsidR="00A32EC9">
        <w:rPr>
          <w:lang w:val="en-GB"/>
        </w:rPr>
        <w:t>Delfosse</w:t>
      </w:r>
      <w:proofErr w:type="spellEnd"/>
      <w:r w:rsidR="00A32EC9">
        <w:rPr>
          <w:lang w:val="en-GB"/>
        </w:rPr>
        <w:t>, even though he did not receive any lawyer</w:t>
      </w:r>
      <w:r w:rsidR="00B91224">
        <w:rPr>
          <w:lang w:val="en-GB"/>
        </w:rPr>
        <w:t>’s</w:t>
      </w:r>
      <w:r w:rsidR="00A32EC9">
        <w:rPr>
          <w:lang w:val="en-GB"/>
        </w:rPr>
        <w:t xml:space="preserve"> fees for the case, he did enjoy the</w:t>
      </w:r>
      <w:r w:rsidR="00A32EC9">
        <w:rPr>
          <w:i/>
          <w:lang w:val="en-GB"/>
        </w:rPr>
        <w:t xml:space="preserve"> foie </w:t>
      </w:r>
      <w:proofErr w:type="spellStart"/>
      <w:r w:rsidR="00A32EC9">
        <w:rPr>
          <w:i/>
          <w:lang w:val="en-GB"/>
        </w:rPr>
        <w:t>gras</w:t>
      </w:r>
      <w:proofErr w:type="spellEnd"/>
      <w:r w:rsidR="00A32EC9">
        <w:rPr>
          <w:i/>
          <w:lang w:val="en-GB"/>
        </w:rPr>
        <w:t xml:space="preserve"> </w:t>
      </w:r>
      <w:r w:rsidR="00A32EC9">
        <w:rPr>
          <w:lang w:val="en-GB"/>
        </w:rPr>
        <w:t xml:space="preserve">he ate and the </w:t>
      </w:r>
      <w:proofErr w:type="spellStart"/>
      <w:r w:rsidR="00A32EC9">
        <w:rPr>
          <w:i/>
          <w:lang w:val="en-GB"/>
        </w:rPr>
        <w:t>Gewürtztraminer</w:t>
      </w:r>
      <w:proofErr w:type="spellEnd"/>
      <w:r w:rsidR="00A32EC9">
        <w:rPr>
          <w:i/>
          <w:lang w:val="en-GB"/>
        </w:rPr>
        <w:t xml:space="preserve"> </w:t>
      </w:r>
      <w:r w:rsidR="00C535C9">
        <w:rPr>
          <w:lang w:val="en-GB"/>
        </w:rPr>
        <w:t xml:space="preserve">he drank at </w:t>
      </w:r>
      <w:proofErr w:type="spellStart"/>
      <w:r w:rsidR="00C535C9">
        <w:rPr>
          <w:lang w:val="en-GB"/>
        </w:rPr>
        <w:t>Hergé’s</w:t>
      </w:r>
      <w:proofErr w:type="spellEnd"/>
      <w:r w:rsidR="00C535C9">
        <w:rPr>
          <w:lang w:val="en-GB"/>
        </w:rPr>
        <w:t xml:space="preserve"> expense</w:t>
      </w:r>
      <w:r w:rsidR="00A32EC9">
        <w:rPr>
          <w:rStyle w:val="Voetnootmarkering"/>
          <w:lang w:val="en-GB"/>
        </w:rPr>
        <w:footnoteReference w:id="256"/>
      </w:r>
      <w:r w:rsidR="00C535C9">
        <w:rPr>
          <w:lang w:val="en-GB"/>
        </w:rPr>
        <w:t>.</w:t>
      </w:r>
      <w:r w:rsidR="00B91224">
        <w:rPr>
          <w:lang w:val="en-GB"/>
        </w:rPr>
        <w:t xml:space="preserve"> While the European Commission could and in certain cases did grant free legal aid to the applicants, </w:t>
      </w:r>
      <w:r w:rsidR="00D27EFC">
        <w:rPr>
          <w:lang w:val="en-GB"/>
        </w:rPr>
        <w:t>according to Moni Van Look</w:t>
      </w:r>
      <w:r w:rsidR="00345E88">
        <w:rPr>
          <w:lang w:val="en-GB"/>
        </w:rPr>
        <w:t xml:space="preserve"> – </w:t>
      </w:r>
      <w:r w:rsidR="00D27EFC">
        <w:rPr>
          <w:lang w:val="en-GB"/>
        </w:rPr>
        <w:t xml:space="preserve">whose lawyer’s fees in the </w:t>
      </w:r>
      <w:r w:rsidR="00D27EFC">
        <w:rPr>
          <w:i/>
          <w:lang w:val="en-GB"/>
        </w:rPr>
        <w:t xml:space="preserve">Marckx </w:t>
      </w:r>
      <w:r w:rsidR="00D27EFC">
        <w:rPr>
          <w:lang w:val="en-GB"/>
        </w:rPr>
        <w:t xml:space="preserve">case </w:t>
      </w:r>
      <w:r w:rsidR="00345E88">
        <w:rPr>
          <w:lang w:val="en-GB"/>
        </w:rPr>
        <w:t xml:space="preserve">(1979) </w:t>
      </w:r>
      <w:r w:rsidR="00D27EFC">
        <w:rPr>
          <w:lang w:val="en-GB"/>
        </w:rPr>
        <w:t>were paid for by the Commission</w:t>
      </w:r>
      <w:r w:rsidR="00345E88">
        <w:rPr>
          <w:lang w:val="en-GB"/>
        </w:rPr>
        <w:t xml:space="preserve"> – </w:t>
      </w:r>
      <w:r w:rsidR="00D27EFC">
        <w:rPr>
          <w:lang w:val="en-GB"/>
        </w:rPr>
        <w:t>“thes</w:t>
      </w:r>
      <w:r w:rsidR="00C535C9">
        <w:rPr>
          <w:lang w:val="en-GB"/>
        </w:rPr>
        <w:t>e amounts were actually peanuts</w:t>
      </w:r>
      <w:r w:rsidR="00D27EFC">
        <w:rPr>
          <w:lang w:val="en-GB"/>
        </w:rPr>
        <w:t>”</w:t>
      </w:r>
      <w:r w:rsidR="00D27EFC">
        <w:rPr>
          <w:rStyle w:val="Voetnootmarkering"/>
          <w:lang w:val="en-GB"/>
        </w:rPr>
        <w:footnoteReference w:id="257"/>
      </w:r>
      <w:r w:rsidR="00C535C9">
        <w:rPr>
          <w:lang w:val="en-GB"/>
        </w:rPr>
        <w:t>.</w:t>
      </w:r>
      <w:r w:rsidR="00D27EFC">
        <w:rPr>
          <w:lang w:val="en-GB"/>
        </w:rPr>
        <w:t xml:space="preserve"> As a result, it is likely that certain cases did not make it to Strasbourg simply because an applicant was not able to pay for the lawyer’s fees and expenses or </w:t>
      </w:r>
      <w:r w:rsidR="00D27EFC">
        <w:rPr>
          <w:lang w:val="en-GB"/>
        </w:rPr>
        <w:lastRenderedPageBreak/>
        <w:t>because he or she was not able to find a</w:t>
      </w:r>
      <w:r w:rsidR="000058A6">
        <w:rPr>
          <w:lang w:val="en-GB"/>
        </w:rPr>
        <w:t>n attorney willing to act for the amounts paid for by the Commission.</w:t>
      </w:r>
    </w:p>
    <w:p w14:paraId="5A666AD8" w14:textId="77777777" w:rsidR="00E95C0F" w:rsidRDefault="00E95C0F" w:rsidP="00B663ED">
      <w:pPr>
        <w:jc w:val="both"/>
        <w:rPr>
          <w:lang w:val="en-GB"/>
        </w:rPr>
      </w:pPr>
    </w:p>
    <w:p w14:paraId="261DBCC8" w14:textId="77777777" w:rsidR="00CA6E4D" w:rsidRPr="00E60B34" w:rsidRDefault="00434F54" w:rsidP="00B663ED">
      <w:pPr>
        <w:jc w:val="both"/>
        <w:rPr>
          <w:i/>
          <w:lang w:val="en-GB"/>
        </w:rPr>
      </w:pPr>
      <w:r w:rsidRPr="00E60B34">
        <w:rPr>
          <w:i/>
          <w:lang w:val="en-GB"/>
        </w:rPr>
        <w:t xml:space="preserve">The role of the </w:t>
      </w:r>
      <w:r w:rsidR="00C64044" w:rsidRPr="00E60B34">
        <w:rPr>
          <w:i/>
          <w:lang w:val="en-GB"/>
        </w:rPr>
        <w:t>Strasbourg institutions</w:t>
      </w:r>
    </w:p>
    <w:p w14:paraId="5DE0161A" w14:textId="6D7CAB58" w:rsidR="00402704" w:rsidRDefault="00E66721" w:rsidP="001A19D0">
      <w:pPr>
        <w:ind w:firstLine="708"/>
        <w:jc w:val="both"/>
        <w:rPr>
          <w:lang w:val="en-GB"/>
        </w:rPr>
      </w:pPr>
      <w:r>
        <w:rPr>
          <w:lang w:val="en-GB"/>
        </w:rPr>
        <w:t xml:space="preserve">Finally, the Strasbourg institutions’ judicial policy at the time is an important explanatory factor to be taken into account. </w:t>
      </w:r>
      <w:r w:rsidR="00E95C0F" w:rsidRPr="00E60B34">
        <w:rPr>
          <w:lang w:val="en-GB"/>
        </w:rPr>
        <w:t xml:space="preserve">During the period under consideration, </w:t>
      </w:r>
      <w:r w:rsidR="00672437" w:rsidRPr="00E60B34">
        <w:rPr>
          <w:lang w:val="en-GB"/>
        </w:rPr>
        <w:t>the Commission was the key Strasbourg institution, competent to declare cases inadmissible</w:t>
      </w:r>
      <w:r w:rsidR="009D4129" w:rsidRPr="00E60B34">
        <w:rPr>
          <w:lang w:val="en-GB"/>
        </w:rPr>
        <w:t xml:space="preserve"> – at which point the Strasbourg proceedings would end – </w:t>
      </w:r>
      <w:r w:rsidR="00672437" w:rsidRPr="00E60B34">
        <w:rPr>
          <w:lang w:val="en-GB"/>
        </w:rPr>
        <w:t>or to refer admissible applications to the Court</w:t>
      </w:r>
      <w:r w:rsidR="00452452" w:rsidRPr="00E60B34">
        <w:rPr>
          <w:lang w:val="en-GB"/>
        </w:rPr>
        <w:t>.</w:t>
      </w:r>
      <w:r w:rsidR="009D4129" w:rsidRPr="00E60B34">
        <w:rPr>
          <w:lang w:val="en-GB"/>
        </w:rPr>
        <w:t xml:space="preserve"> Especially since the Commission embarked upon a preliminary assessment of the merits of an application – as it was competent to and often did declare cases manifestly ill-founded – the Commission’s</w:t>
      </w:r>
      <w:r w:rsidR="007118F7" w:rsidRPr="00E60B34">
        <w:rPr>
          <w:lang w:val="en-GB"/>
        </w:rPr>
        <w:t xml:space="preserve"> </w:t>
      </w:r>
      <w:r w:rsidR="00DB0A26" w:rsidRPr="00E60B34">
        <w:rPr>
          <w:lang w:val="en-GB"/>
        </w:rPr>
        <w:t xml:space="preserve">case selecting policy is an important factor in explaining why certain cases made it and others did not make it to the Court. To some extent, this may be explained by the Commission’s understanding of the scope of human rights. It </w:t>
      </w:r>
      <w:r w:rsidR="00E930CE" w:rsidRPr="00E60B34">
        <w:rPr>
          <w:lang w:val="en-GB"/>
        </w:rPr>
        <w:t>is for example safe to assume that the reason why the Commission in 1979 declared an application, challenging the requirement to wear a seat belt for drivers and front-seat passengers of cars, inadmissible</w:t>
      </w:r>
      <w:r w:rsidR="00E930CE" w:rsidRPr="00E60B34">
        <w:rPr>
          <w:rStyle w:val="Voetnootmarkering"/>
          <w:lang w:val="en-GB"/>
        </w:rPr>
        <w:footnoteReference w:id="258"/>
      </w:r>
      <w:r w:rsidR="00E930CE" w:rsidRPr="00E60B34">
        <w:rPr>
          <w:lang w:val="en-GB"/>
        </w:rPr>
        <w:t xml:space="preserve"> was because it simply did not consider this case to raise any human rights issues.</w:t>
      </w:r>
      <w:r w:rsidR="009D4129" w:rsidRPr="00E60B34">
        <w:rPr>
          <w:lang w:val="en-GB"/>
        </w:rPr>
        <w:t xml:space="preserve"> </w:t>
      </w:r>
      <w:r w:rsidR="0082175C" w:rsidRPr="00E60B34">
        <w:rPr>
          <w:lang w:val="en-GB"/>
        </w:rPr>
        <w:t>In addition, Madsen and Bates have documented how the Commission exercised “legal diplomacy”</w:t>
      </w:r>
      <w:r w:rsidR="005B3F3E" w:rsidRPr="00E60B34">
        <w:rPr>
          <w:lang w:val="en-GB"/>
        </w:rPr>
        <w:t xml:space="preserve"> in its early decades, avoiding</w:t>
      </w:r>
      <w:r w:rsidR="00452452" w:rsidRPr="00E60B34">
        <w:rPr>
          <w:lang w:val="en-GB"/>
        </w:rPr>
        <w:t xml:space="preserve"> referring </w:t>
      </w:r>
      <w:r w:rsidR="005B3F3E" w:rsidRPr="00E60B34">
        <w:rPr>
          <w:lang w:val="en-GB"/>
        </w:rPr>
        <w:t xml:space="preserve">too many cases to the Court, especially in sensitive cases, in order </w:t>
      </w:r>
      <w:r w:rsidR="00452452" w:rsidRPr="00E60B34">
        <w:rPr>
          <w:lang w:val="en-GB"/>
        </w:rPr>
        <w:t xml:space="preserve">to build the confidence of the states in the right of individual petition – which only progressively changed from the late </w:t>
      </w:r>
      <w:proofErr w:type="spellStart"/>
      <w:r w:rsidR="00452452" w:rsidRPr="00E60B34">
        <w:rPr>
          <w:lang w:val="en-GB"/>
        </w:rPr>
        <w:t>1970s</w:t>
      </w:r>
      <w:proofErr w:type="spellEnd"/>
      <w:r w:rsidR="00452452" w:rsidRPr="00E60B34">
        <w:rPr>
          <w:lang w:val="en-GB"/>
        </w:rPr>
        <w:t xml:space="preserve"> onwards</w:t>
      </w:r>
      <w:r w:rsidR="00452452" w:rsidRPr="00E60B34">
        <w:rPr>
          <w:rStyle w:val="Voetnootmarkering"/>
          <w:lang w:val="en-GB"/>
        </w:rPr>
        <w:footnoteReference w:id="259"/>
      </w:r>
      <w:r w:rsidR="00C535C9">
        <w:rPr>
          <w:lang w:val="en-GB"/>
        </w:rPr>
        <w:t>.</w:t>
      </w:r>
      <w:r w:rsidR="00452452" w:rsidRPr="00E60B34">
        <w:rPr>
          <w:lang w:val="en-GB"/>
        </w:rPr>
        <w:t xml:space="preserve"> According to Bates, the Commission “adopted a diplomatic stance, striving to balance the legally desirable </w:t>
      </w:r>
      <w:r w:rsidR="00C535C9">
        <w:rPr>
          <w:lang w:val="en-GB"/>
        </w:rPr>
        <w:t>with the politically acceptable</w:t>
      </w:r>
      <w:r w:rsidR="00452452" w:rsidRPr="00E60B34">
        <w:rPr>
          <w:lang w:val="en-GB"/>
        </w:rPr>
        <w:t>”</w:t>
      </w:r>
      <w:r w:rsidR="00452452" w:rsidRPr="00E60B34">
        <w:rPr>
          <w:rStyle w:val="Voetnootmarkering"/>
          <w:lang w:val="en-GB"/>
        </w:rPr>
        <w:footnoteReference w:id="260"/>
      </w:r>
      <w:r w:rsidR="00C535C9">
        <w:rPr>
          <w:lang w:val="en-GB"/>
        </w:rPr>
        <w:t>.</w:t>
      </w:r>
      <w:r w:rsidR="00402704">
        <w:rPr>
          <w:lang w:val="en-GB"/>
        </w:rPr>
        <w:t xml:space="preserve"> </w:t>
      </w:r>
      <w:r w:rsidR="00A31FDF" w:rsidRPr="00E60B34">
        <w:rPr>
          <w:lang w:val="en-GB"/>
        </w:rPr>
        <w:t xml:space="preserve">In other words, besides its understanding of the scope of human rights, </w:t>
      </w:r>
      <w:r w:rsidR="00E930CE" w:rsidRPr="00E60B34">
        <w:rPr>
          <w:lang w:val="en-GB"/>
        </w:rPr>
        <w:t>the extent to which the Commission</w:t>
      </w:r>
      <w:r w:rsidR="00A31FDF" w:rsidRPr="00E60B34">
        <w:rPr>
          <w:lang w:val="en-GB"/>
        </w:rPr>
        <w:t xml:space="preserve"> considered referring a case to the Court to be politically acceptable may also explain why certain cases were and other</w:t>
      </w:r>
      <w:r w:rsidR="00E930CE" w:rsidRPr="00E60B34">
        <w:rPr>
          <w:lang w:val="en-GB"/>
        </w:rPr>
        <w:t>s were</w:t>
      </w:r>
      <w:r w:rsidR="003734CC">
        <w:rPr>
          <w:lang w:val="en-GB"/>
        </w:rPr>
        <w:t xml:space="preserve"> not</w:t>
      </w:r>
      <w:r w:rsidR="00E930CE" w:rsidRPr="00E60B34">
        <w:rPr>
          <w:lang w:val="en-GB"/>
        </w:rPr>
        <w:t xml:space="preserve"> d</w:t>
      </w:r>
      <w:r w:rsidR="00402704">
        <w:rPr>
          <w:lang w:val="en-GB"/>
        </w:rPr>
        <w:t>eclared manifestly ill-founded.</w:t>
      </w:r>
    </w:p>
    <w:p w14:paraId="37CC34B5" w14:textId="77777777" w:rsidR="00933231" w:rsidRDefault="004E5EF0" w:rsidP="001A19D0">
      <w:pPr>
        <w:ind w:firstLine="708"/>
        <w:jc w:val="both"/>
        <w:rPr>
          <w:lang w:val="en-GB"/>
        </w:rPr>
      </w:pPr>
      <w:r>
        <w:rPr>
          <w:lang w:val="en-GB"/>
        </w:rPr>
        <w:t xml:space="preserve">The Commission’s “diplomatic stance” seemed to translate in a preference for an incremental rather than a precipitate widening of the scope of Convention rights. In this respect, </w:t>
      </w:r>
      <w:proofErr w:type="spellStart"/>
      <w:r>
        <w:rPr>
          <w:lang w:val="en-GB"/>
        </w:rPr>
        <w:t>Nelissen</w:t>
      </w:r>
      <w:proofErr w:type="spellEnd"/>
      <w:r>
        <w:rPr>
          <w:lang w:val="en-GB"/>
        </w:rPr>
        <w:t xml:space="preserve"> Grade, attorney in the </w:t>
      </w:r>
      <w:r>
        <w:rPr>
          <w:i/>
          <w:lang w:val="en-GB"/>
        </w:rPr>
        <w:t xml:space="preserve">National Union of Belgium Police </w:t>
      </w:r>
      <w:r>
        <w:rPr>
          <w:lang w:val="en-GB"/>
        </w:rPr>
        <w:t xml:space="preserve">case </w:t>
      </w:r>
      <w:r w:rsidR="00345E88">
        <w:rPr>
          <w:lang w:val="en-GB"/>
        </w:rPr>
        <w:t xml:space="preserve">(1975) </w:t>
      </w:r>
      <w:r>
        <w:rPr>
          <w:lang w:val="en-GB"/>
        </w:rPr>
        <w:t>recalls</w:t>
      </w:r>
      <w:r w:rsidR="00402704">
        <w:rPr>
          <w:lang w:val="en-GB"/>
        </w:rPr>
        <w:t xml:space="preserve"> how, after the Commission report was issued (1974),</w:t>
      </w:r>
    </w:p>
    <w:p w14:paraId="78BCCE4A" w14:textId="381A9757" w:rsidR="00402704" w:rsidRDefault="00402704" w:rsidP="00933231">
      <w:pPr>
        <w:ind w:left="708"/>
        <w:jc w:val="both"/>
        <w:rPr>
          <w:lang w:val="en-GB"/>
        </w:rPr>
      </w:pPr>
      <w:proofErr w:type="gramStart"/>
      <w:r>
        <w:rPr>
          <w:lang w:val="en-GB"/>
        </w:rPr>
        <w:t>the</w:t>
      </w:r>
      <w:proofErr w:type="gramEnd"/>
      <w:r>
        <w:rPr>
          <w:lang w:val="en-GB"/>
        </w:rPr>
        <w:t xml:space="preserve"> then president of the Commission, Fawcett I believe, […] told me: ‘well maybe you didn’t win but you did help the jurisprudence develop in the direction of a more elaborate protection of human rights.’ And only then, by the president’s remark, did I fully realize how policy </w:t>
      </w:r>
      <w:r w:rsidR="00345E88">
        <w:rPr>
          <w:lang w:val="en-GB"/>
        </w:rPr>
        <w:t>driven</w:t>
      </w:r>
      <w:r>
        <w:rPr>
          <w:lang w:val="en-GB"/>
        </w:rPr>
        <w:t xml:space="preserve"> that jurisprudence was in fact. They have a clear preference in Strasbourg for an autonomous, teleological […] and </w:t>
      </w:r>
      <w:proofErr w:type="spellStart"/>
      <w:r>
        <w:rPr>
          <w:lang w:val="en-GB"/>
        </w:rPr>
        <w:t>evolutive</w:t>
      </w:r>
      <w:proofErr w:type="spellEnd"/>
      <w:r>
        <w:rPr>
          <w:lang w:val="en-GB"/>
        </w:rPr>
        <w:t xml:space="preserve"> interpretation and they go </w:t>
      </w:r>
      <w:r w:rsidR="00345E88">
        <w:rPr>
          <w:lang w:val="en-GB"/>
        </w:rPr>
        <w:t>as far as they can, but only s</w:t>
      </w:r>
      <w:r>
        <w:rPr>
          <w:lang w:val="en-GB"/>
        </w:rPr>
        <w:t>o</w:t>
      </w:r>
      <w:r w:rsidR="00345E88">
        <w:rPr>
          <w:lang w:val="en-GB"/>
        </w:rPr>
        <w:t xml:space="preserve"> </w:t>
      </w:r>
      <w:r>
        <w:rPr>
          <w:lang w:val="en-GB"/>
        </w:rPr>
        <w:t>far as would remain acceptable for th</w:t>
      </w:r>
      <w:r w:rsidR="00C535C9">
        <w:rPr>
          <w:lang w:val="en-GB"/>
        </w:rPr>
        <w:t>e member states</w:t>
      </w:r>
      <w:r>
        <w:rPr>
          <w:rStyle w:val="Voetnootmarkering"/>
          <w:lang w:val="en-GB"/>
        </w:rPr>
        <w:footnoteReference w:id="261"/>
      </w:r>
      <w:r w:rsidR="00C535C9">
        <w:rPr>
          <w:lang w:val="en-GB"/>
        </w:rPr>
        <w:t>.</w:t>
      </w:r>
    </w:p>
    <w:p w14:paraId="7E42EDD5" w14:textId="772305AB" w:rsidR="001E0C90" w:rsidRDefault="00E97562" w:rsidP="001A19D0">
      <w:pPr>
        <w:ind w:firstLine="708"/>
        <w:jc w:val="both"/>
        <w:rPr>
          <w:lang w:val="en-GB"/>
        </w:rPr>
      </w:pPr>
      <w:r w:rsidRPr="00E60B34">
        <w:rPr>
          <w:lang w:val="en-GB"/>
        </w:rPr>
        <w:t xml:space="preserve">A remarkable example of the Commission’s case selection policy relates to the issue of mentally ill offenders. The findings of </w:t>
      </w:r>
      <w:proofErr w:type="spellStart"/>
      <w:r w:rsidRPr="00E60B34">
        <w:rPr>
          <w:lang w:val="en-GB"/>
        </w:rPr>
        <w:t>Engberts</w:t>
      </w:r>
      <w:proofErr w:type="spellEnd"/>
      <w:r w:rsidRPr="00E60B34">
        <w:rPr>
          <w:lang w:val="en-GB"/>
        </w:rPr>
        <w:t xml:space="preserve"> and de Groot</w:t>
      </w:r>
      <w:r w:rsidR="00A31FDF" w:rsidRPr="00E60B34">
        <w:rPr>
          <w:lang w:val="en-GB"/>
        </w:rPr>
        <w:t xml:space="preserve">, </w:t>
      </w:r>
      <w:r w:rsidRPr="00E60B34">
        <w:rPr>
          <w:lang w:val="en-GB"/>
        </w:rPr>
        <w:t>who studied</w:t>
      </w:r>
      <w:r w:rsidR="00A31FDF" w:rsidRPr="00E60B34">
        <w:rPr>
          <w:lang w:val="en-GB"/>
        </w:rPr>
        <w:t xml:space="preserve"> the cases against Belgium </w:t>
      </w:r>
      <w:r w:rsidR="00A31FDF" w:rsidRPr="00E60B34">
        <w:rPr>
          <w:lang w:val="en-GB"/>
        </w:rPr>
        <w:lastRenderedPageBreak/>
        <w:t>declared inadmissible by the Commission in the period 1955-1979</w:t>
      </w:r>
      <w:r w:rsidR="00E930CE" w:rsidRPr="00E60B34">
        <w:rPr>
          <w:lang w:val="en-GB"/>
        </w:rPr>
        <w:t xml:space="preserve">, </w:t>
      </w:r>
      <w:r w:rsidRPr="00E60B34">
        <w:rPr>
          <w:lang w:val="en-GB"/>
        </w:rPr>
        <w:t>indicate</w:t>
      </w:r>
      <w:r w:rsidR="00E930CE" w:rsidRPr="00E60B34">
        <w:rPr>
          <w:lang w:val="en-GB"/>
        </w:rPr>
        <w:t xml:space="preserve"> that 20 out of 102 of the studied cases concerned applications by </w:t>
      </w:r>
      <w:r w:rsidR="00DF3600" w:rsidRPr="00E60B34">
        <w:rPr>
          <w:lang w:val="en-GB"/>
        </w:rPr>
        <w:t xml:space="preserve">mentally ill offenders, which made them suggest that there may be structural problems concerning the detention </w:t>
      </w:r>
      <w:r w:rsidR="00C535C9">
        <w:rPr>
          <w:lang w:val="en-GB"/>
        </w:rPr>
        <w:t>and treatment of such offenders</w:t>
      </w:r>
      <w:r w:rsidR="00DF3600" w:rsidRPr="00E60B34">
        <w:rPr>
          <w:rStyle w:val="Voetnootmarkering"/>
          <w:lang w:val="en-GB"/>
        </w:rPr>
        <w:footnoteReference w:id="262"/>
      </w:r>
      <w:r w:rsidR="00C535C9">
        <w:rPr>
          <w:lang w:val="en-GB"/>
        </w:rPr>
        <w:t>.</w:t>
      </w:r>
      <w:r w:rsidR="00E930CE" w:rsidRPr="00E60B34">
        <w:rPr>
          <w:lang w:val="en-GB"/>
        </w:rPr>
        <w:t xml:space="preserve"> </w:t>
      </w:r>
      <w:r w:rsidR="00DF3600" w:rsidRPr="00E60B34">
        <w:rPr>
          <w:lang w:val="en-GB"/>
        </w:rPr>
        <w:t xml:space="preserve">It would however take until the 1998 </w:t>
      </w:r>
      <w:proofErr w:type="spellStart"/>
      <w:r w:rsidR="00DF3600" w:rsidRPr="00E60B34">
        <w:rPr>
          <w:i/>
          <w:lang w:val="en-GB"/>
        </w:rPr>
        <w:t>Aerts</w:t>
      </w:r>
      <w:proofErr w:type="spellEnd"/>
      <w:r w:rsidR="00DF3600" w:rsidRPr="00E60B34">
        <w:rPr>
          <w:i/>
          <w:lang w:val="en-GB"/>
        </w:rPr>
        <w:t xml:space="preserve"> </w:t>
      </w:r>
      <w:r w:rsidR="00DF3600" w:rsidRPr="00E60B34">
        <w:rPr>
          <w:lang w:val="en-GB"/>
        </w:rPr>
        <w:t>case</w:t>
      </w:r>
      <w:r w:rsidR="00DF3600" w:rsidRPr="00E60B34">
        <w:rPr>
          <w:rStyle w:val="Voetnootmarkering"/>
          <w:lang w:val="en-GB"/>
        </w:rPr>
        <w:footnoteReference w:id="263"/>
      </w:r>
      <w:r w:rsidR="00DF3600" w:rsidRPr="00E60B34">
        <w:rPr>
          <w:lang w:val="en-GB"/>
        </w:rPr>
        <w:t xml:space="preserve"> before these structural problems – which up to date arguably </w:t>
      </w:r>
      <w:r w:rsidR="00E44F44" w:rsidRPr="00E60B34">
        <w:rPr>
          <w:lang w:val="en-GB"/>
        </w:rPr>
        <w:t>make up</w:t>
      </w:r>
      <w:r w:rsidR="00DF3600" w:rsidRPr="00E60B34">
        <w:rPr>
          <w:lang w:val="en-GB"/>
        </w:rPr>
        <w:t xml:space="preserve"> Belgium’s worst and most systemic human rights issue –</w:t>
      </w:r>
      <w:r w:rsidR="00E44F44" w:rsidRPr="00E60B34">
        <w:rPr>
          <w:lang w:val="en-GB"/>
        </w:rPr>
        <w:t xml:space="preserve"> </w:t>
      </w:r>
      <w:r w:rsidR="00DF3600" w:rsidRPr="00E60B34">
        <w:rPr>
          <w:lang w:val="en-GB"/>
        </w:rPr>
        <w:t>would end up before the Court</w:t>
      </w:r>
      <w:r w:rsidR="00E44F44" w:rsidRPr="00E60B34">
        <w:rPr>
          <w:lang w:val="en-GB"/>
        </w:rPr>
        <w:t xml:space="preserve">, indicating </w:t>
      </w:r>
      <w:r w:rsidRPr="00E60B34">
        <w:rPr>
          <w:lang w:val="en-GB"/>
        </w:rPr>
        <w:t>the Commission’s reluctance to refer such cases to the Court. It is however difficult to second-guess whether this was because the Commission did not consider these cases</w:t>
      </w:r>
      <w:r w:rsidRPr="00E60B34">
        <w:rPr>
          <w:rStyle w:val="Voetnootmarkering"/>
          <w:lang w:val="en-GB"/>
        </w:rPr>
        <w:footnoteReference w:id="264"/>
      </w:r>
      <w:r w:rsidRPr="00E60B34">
        <w:rPr>
          <w:lang w:val="en-GB"/>
        </w:rPr>
        <w:t xml:space="preserve"> to genuinely give rise to human rights issues</w:t>
      </w:r>
      <w:r w:rsidR="00EC4D75" w:rsidRPr="00E60B34">
        <w:rPr>
          <w:rStyle w:val="Voetnootmarkering"/>
          <w:lang w:val="en-GB"/>
        </w:rPr>
        <w:footnoteReference w:id="265"/>
      </w:r>
      <w:r w:rsidRPr="00E60B34">
        <w:rPr>
          <w:lang w:val="en-GB"/>
        </w:rPr>
        <w:t xml:space="preserve"> or rather because it considered these cases to be too politically sensitive in the Belgian context.</w:t>
      </w:r>
    </w:p>
    <w:p w14:paraId="68AAF572" w14:textId="1E871BC1" w:rsidR="00434F54" w:rsidRPr="001E0C90" w:rsidRDefault="00203C7E" w:rsidP="001A19D0">
      <w:pPr>
        <w:ind w:firstLine="708"/>
        <w:jc w:val="both"/>
        <w:rPr>
          <w:b/>
          <w:lang w:val="en-GB"/>
        </w:rPr>
      </w:pPr>
      <w:r>
        <w:rPr>
          <w:lang w:val="en-GB"/>
        </w:rPr>
        <w:t>With respect to the question of political acceptability, it mus</w:t>
      </w:r>
      <w:r w:rsidR="009D644F">
        <w:rPr>
          <w:lang w:val="en-GB"/>
        </w:rPr>
        <w:t>t nonetheless be noted that, already early on, the Commission did refer</w:t>
      </w:r>
      <w:r>
        <w:rPr>
          <w:lang w:val="en-GB"/>
        </w:rPr>
        <w:t xml:space="preserve"> the </w:t>
      </w:r>
      <w:r>
        <w:rPr>
          <w:i/>
          <w:lang w:val="en-GB"/>
        </w:rPr>
        <w:t>De Becker</w:t>
      </w:r>
      <w:r w:rsidR="009D644F">
        <w:rPr>
          <w:lang w:val="en-GB"/>
        </w:rPr>
        <w:t xml:space="preserve"> case </w:t>
      </w:r>
      <w:r w:rsidR="00345E88">
        <w:rPr>
          <w:lang w:val="en-GB"/>
        </w:rPr>
        <w:t xml:space="preserve">(1962) </w:t>
      </w:r>
      <w:r w:rsidR="009D644F">
        <w:rPr>
          <w:lang w:val="en-GB"/>
        </w:rPr>
        <w:t>and</w:t>
      </w:r>
      <w:r>
        <w:rPr>
          <w:lang w:val="en-GB"/>
        </w:rPr>
        <w:t xml:space="preserve"> the </w:t>
      </w:r>
      <w:r>
        <w:rPr>
          <w:i/>
          <w:lang w:val="en-GB"/>
        </w:rPr>
        <w:t>Belgian Linguistics case</w:t>
      </w:r>
      <w:r>
        <w:rPr>
          <w:lang w:val="en-GB"/>
        </w:rPr>
        <w:t xml:space="preserve"> </w:t>
      </w:r>
      <w:r w:rsidR="00345E88">
        <w:rPr>
          <w:lang w:val="en-GB"/>
        </w:rPr>
        <w:t xml:space="preserve">(1968) </w:t>
      </w:r>
      <w:r>
        <w:rPr>
          <w:lang w:val="en-GB"/>
        </w:rPr>
        <w:t>to the Court, respectively concerning wartime collaboration and the language question</w:t>
      </w:r>
      <w:r w:rsidR="009D644F">
        <w:rPr>
          <w:lang w:val="en-GB"/>
        </w:rPr>
        <w:t>, two of the politically most salient issues of 20</w:t>
      </w:r>
      <w:r w:rsidR="009D644F" w:rsidRPr="009D644F">
        <w:rPr>
          <w:vertAlign w:val="superscript"/>
          <w:lang w:val="en-GB"/>
        </w:rPr>
        <w:t>th</w:t>
      </w:r>
      <w:r w:rsidR="009D644F">
        <w:rPr>
          <w:lang w:val="en-GB"/>
        </w:rPr>
        <w:t xml:space="preserve"> century Belgian politics. A hypothesis could be that this was because the Commission perceived the small and traditionally pro-European state of Belgium to be less of a threat to the Convention system and more willing to go along</w:t>
      </w:r>
      <w:r w:rsidR="001E0C90">
        <w:rPr>
          <w:lang w:val="en-GB"/>
        </w:rPr>
        <w:t xml:space="preserve">. With respect to the </w:t>
      </w:r>
      <w:r w:rsidR="001E0C90">
        <w:rPr>
          <w:i/>
          <w:lang w:val="en-GB"/>
        </w:rPr>
        <w:t xml:space="preserve">Belgian Linguistics </w:t>
      </w:r>
      <w:r w:rsidR="001E0C90">
        <w:rPr>
          <w:lang w:val="en-GB"/>
        </w:rPr>
        <w:t xml:space="preserve">case, this perception however almost backfired on Strasbourg, as Belgium in 1965 threatened not to renew its declaration accepting the jurisdiction of the Court as a result of the referral to the Court – it eventually did so with some delay accompanied by a memorandum stating that “the intention of the signatories to the European Convention </w:t>
      </w:r>
      <w:r w:rsidR="00B50379">
        <w:rPr>
          <w:lang w:val="en-GB"/>
        </w:rPr>
        <w:t xml:space="preserve">[…] </w:t>
      </w:r>
      <w:r w:rsidR="001E0C90">
        <w:rPr>
          <w:lang w:val="en-GB"/>
        </w:rPr>
        <w:t>was to leave matters concerning the political and administrative structures of States, in particular relations between communities co-existing within one nation, outsi</w:t>
      </w:r>
      <w:r w:rsidR="00C535C9">
        <w:rPr>
          <w:lang w:val="en-GB"/>
        </w:rPr>
        <w:t>de the scope of the Convention”</w:t>
      </w:r>
      <w:r w:rsidR="001E0C90">
        <w:rPr>
          <w:rStyle w:val="Voetnootmarkering"/>
          <w:lang w:val="en-GB"/>
        </w:rPr>
        <w:footnoteReference w:id="266"/>
      </w:r>
      <w:r w:rsidR="00C535C9">
        <w:rPr>
          <w:lang w:val="en-GB"/>
        </w:rPr>
        <w:t>.</w:t>
      </w:r>
    </w:p>
    <w:p w14:paraId="532E6C8B" w14:textId="77777777" w:rsidR="00933231" w:rsidRDefault="00854354" w:rsidP="001A19D0">
      <w:pPr>
        <w:ind w:firstLine="708"/>
        <w:jc w:val="both"/>
        <w:rPr>
          <w:lang w:val="en-GB"/>
        </w:rPr>
      </w:pPr>
      <w:r>
        <w:rPr>
          <w:lang w:val="en-GB"/>
        </w:rPr>
        <w:t xml:space="preserve">Discussing the </w:t>
      </w:r>
      <w:r>
        <w:rPr>
          <w:i/>
          <w:lang w:val="en-GB"/>
        </w:rPr>
        <w:t xml:space="preserve">Engel </w:t>
      </w:r>
      <w:r w:rsidR="00C0000F">
        <w:rPr>
          <w:lang w:val="en-GB"/>
        </w:rPr>
        <w:t xml:space="preserve">case, van Rossum holds that, in the </w:t>
      </w:r>
      <w:proofErr w:type="spellStart"/>
      <w:r w:rsidR="00C0000F">
        <w:rPr>
          <w:lang w:val="en-GB"/>
        </w:rPr>
        <w:t>1970s</w:t>
      </w:r>
      <w:proofErr w:type="spellEnd"/>
      <w:r w:rsidR="00C0000F">
        <w:rPr>
          <w:lang w:val="en-GB"/>
        </w:rPr>
        <w:t>, the Strasbourg institutions “</w:t>
      </w:r>
      <w:r>
        <w:rPr>
          <w:lang w:val="en-GB"/>
        </w:rPr>
        <w:t>helped in promoting</w:t>
      </w:r>
      <w:r w:rsidR="00C0000F">
        <w:rPr>
          <w:lang w:val="en-GB"/>
        </w:rPr>
        <w:t xml:space="preserve"> </w:t>
      </w:r>
      <w:proofErr w:type="gramStart"/>
      <w:r w:rsidR="00C0000F">
        <w:rPr>
          <w:lang w:val="en-GB"/>
        </w:rPr>
        <w:t>[their]</w:t>
      </w:r>
      <w:r>
        <w:rPr>
          <w:lang w:val="en-GB"/>
        </w:rPr>
        <w:t xml:space="preserve"> own</w:t>
      </w:r>
      <w:proofErr w:type="gramEnd"/>
      <w:r>
        <w:rPr>
          <w:lang w:val="en-GB"/>
        </w:rPr>
        <w:t xml:space="preserve"> discovery by show</w:t>
      </w:r>
      <w:r w:rsidR="00C535C9">
        <w:rPr>
          <w:lang w:val="en-GB"/>
        </w:rPr>
        <w:t>ing a great willingness to help</w:t>
      </w:r>
      <w:r>
        <w:rPr>
          <w:lang w:val="en-GB"/>
        </w:rPr>
        <w:t>”</w:t>
      </w:r>
      <w:r>
        <w:rPr>
          <w:rStyle w:val="Voetnootmarkering"/>
          <w:lang w:val="en-GB"/>
        </w:rPr>
        <w:footnoteReference w:id="267"/>
      </w:r>
      <w:r w:rsidR="00C535C9">
        <w:rPr>
          <w:lang w:val="en-GB"/>
        </w:rPr>
        <w:t>.</w:t>
      </w:r>
      <w:r>
        <w:rPr>
          <w:lang w:val="en-GB"/>
        </w:rPr>
        <w:t xml:space="preserve"> </w:t>
      </w:r>
      <w:r w:rsidR="002D0016">
        <w:rPr>
          <w:lang w:val="en-GB"/>
        </w:rPr>
        <w:t xml:space="preserve">A number of interviewees have indicated how helpful the </w:t>
      </w:r>
      <w:r w:rsidR="001F6E29">
        <w:rPr>
          <w:lang w:val="en-GB"/>
        </w:rPr>
        <w:t>Commission’s secretariat</w:t>
      </w:r>
      <w:r w:rsidR="002D0016">
        <w:rPr>
          <w:lang w:val="en-GB"/>
        </w:rPr>
        <w:t xml:space="preserve"> was in assisting the applicants. As already mentioned above, the Commission encouraged the applicants in the </w:t>
      </w:r>
      <w:r w:rsidR="002D0016">
        <w:rPr>
          <w:i/>
          <w:lang w:val="en-GB"/>
        </w:rPr>
        <w:t xml:space="preserve">Marckx </w:t>
      </w:r>
      <w:r w:rsidR="00345E88">
        <w:rPr>
          <w:lang w:val="en-GB"/>
        </w:rPr>
        <w:t>(197</w:t>
      </w:r>
      <w:r w:rsidR="00C535C9">
        <w:rPr>
          <w:lang w:val="en-GB"/>
        </w:rPr>
        <w:t>9</w:t>
      </w:r>
      <w:r w:rsidR="00345E88">
        <w:rPr>
          <w:lang w:val="en-GB"/>
        </w:rPr>
        <w:t xml:space="preserve">) </w:t>
      </w:r>
      <w:r w:rsidR="002D0016">
        <w:rPr>
          <w:lang w:val="en-GB"/>
        </w:rPr>
        <w:t xml:space="preserve">and the </w:t>
      </w:r>
      <w:r w:rsidR="002D0016">
        <w:rPr>
          <w:i/>
          <w:lang w:val="en-GB"/>
        </w:rPr>
        <w:t xml:space="preserve">De </w:t>
      </w:r>
      <w:proofErr w:type="spellStart"/>
      <w:r w:rsidR="002D0016">
        <w:rPr>
          <w:i/>
          <w:lang w:val="en-GB"/>
        </w:rPr>
        <w:t>Cubber</w:t>
      </w:r>
      <w:proofErr w:type="spellEnd"/>
      <w:r w:rsidR="002D0016">
        <w:rPr>
          <w:i/>
          <w:lang w:val="en-GB"/>
        </w:rPr>
        <w:t xml:space="preserve"> </w:t>
      </w:r>
      <w:r w:rsidR="00345E88">
        <w:rPr>
          <w:lang w:val="en-GB"/>
        </w:rPr>
        <w:t xml:space="preserve">(1984) </w:t>
      </w:r>
      <w:r w:rsidR="002D0016">
        <w:rPr>
          <w:lang w:val="en-GB"/>
        </w:rPr>
        <w:t xml:space="preserve">cases to seek assistance of an attorney to assist them during their proceedings and even took active steps itself to seek an attorney in the </w:t>
      </w:r>
      <w:r w:rsidR="002D0016">
        <w:rPr>
          <w:i/>
          <w:lang w:val="en-GB"/>
        </w:rPr>
        <w:t>Vagrancy</w:t>
      </w:r>
      <w:r w:rsidR="002D0016">
        <w:rPr>
          <w:lang w:val="en-GB"/>
        </w:rPr>
        <w:t xml:space="preserve"> case</w:t>
      </w:r>
      <w:r w:rsidR="00345E88">
        <w:rPr>
          <w:lang w:val="en-GB"/>
        </w:rPr>
        <w:t xml:space="preserve"> (1971)</w:t>
      </w:r>
      <w:r w:rsidR="002D0016">
        <w:rPr>
          <w:lang w:val="en-GB"/>
        </w:rPr>
        <w:t xml:space="preserve">. </w:t>
      </w:r>
      <w:r w:rsidR="001F6E29">
        <w:rPr>
          <w:lang w:val="en-GB"/>
        </w:rPr>
        <w:t>The Commission paid for travel costs and accommodation in Strasbourg to enable applicants and their at</w:t>
      </w:r>
      <w:r w:rsidR="00C535C9">
        <w:rPr>
          <w:lang w:val="en-GB"/>
        </w:rPr>
        <w:t>torneys to travel to Strasbourg</w:t>
      </w:r>
      <w:r w:rsidR="001F6E29">
        <w:rPr>
          <w:rStyle w:val="Voetnootmarkering"/>
          <w:lang w:val="en-GB"/>
        </w:rPr>
        <w:footnoteReference w:id="268"/>
      </w:r>
      <w:r w:rsidR="00C535C9">
        <w:rPr>
          <w:lang w:val="en-GB"/>
        </w:rPr>
        <w:t>.</w:t>
      </w:r>
      <w:r w:rsidR="001F6E29">
        <w:rPr>
          <w:lang w:val="en-GB"/>
        </w:rPr>
        <w:t xml:space="preserve"> The Commission’s secretariat was also particularly active in providing information to attorneys as to what to expect from the proceedings</w:t>
      </w:r>
      <w:r w:rsidR="00933231">
        <w:rPr>
          <w:lang w:val="en-GB"/>
        </w:rPr>
        <w:t xml:space="preserve">. According to </w:t>
      </w:r>
      <w:proofErr w:type="spellStart"/>
      <w:r w:rsidR="00933231">
        <w:rPr>
          <w:lang w:val="en-GB"/>
        </w:rPr>
        <w:t>Nelissen</w:t>
      </w:r>
      <w:proofErr w:type="spellEnd"/>
      <w:r w:rsidR="00933231">
        <w:rPr>
          <w:lang w:val="en-GB"/>
        </w:rPr>
        <w:t xml:space="preserve"> Grade, </w:t>
      </w:r>
    </w:p>
    <w:p w14:paraId="23704321" w14:textId="1E7E40BF" w:rsidR="00933231" w:rsidRDefault="001F6E29" w:rsidP="00933231">
      <w:pPr>
        <w:ind w:left="708"/>
        <w:jc w:val="both"/>
        <w:rPr>
          <w:lang w:val="en-GB"/>
        </w:rPr>
      </w:pPr>
      <w:proofErr w:type="gramStart"/>
      <w:r>
        <w:rPr>
          <w:lang w:val="en-GB"/>
        </w:rPr>
        <w:lastRenderedPageBreak/>
        <w:t>they</w:t>
      </w:r>
      <w:proofErr w:type="gramEnd"/>
      <w:r>
        <w:rPr>
          <w:lang w:val="en-GB"/>
        </w:rPr>
        <w:t xml:space="preserve"> didn’t only want to listen to […] very experienced or specialised lawyers, the secretariat and the Commission tended to assist the applicant somewhat when he encountered difficulties. […] They for example indicated the length of the pleadings, what to expect from the hearing, that you had to write it out, that you should be more concise on certain points and more elaborate on others, that you should prepare for questions because you could expect that not all the Commission members would understand how it works in Bel</w:t>
      </w:r>
      <w:r w:rsidR="00C535C9">
        <w:rPr>
          <w:lang w:val="en-GB"/>
        </w:rPr>
        <w:t>gium</w:t>
      </w:r>
      <w:r>
        <w:rPr>
          <w:rStyle w:val="Voetnootmarkering"/>
          <w:lang w:val="en-GB"/>
        </w:rPr>
        <w:footnoteReference w:id="269"/>
      </w:r>
      <w:r w:rsidR="00C535C9">
        <w:rPr>
          <w:lang w:val="en-GB"/>
        </w:rPr>
        <w:t>.</w:t>
      </w:r>
    </w:p>
    <w:p w14:paraId="0196F401" w14:textId="24CC180A" w:rsidR="00C0000F" w:rsidRPr="00C9310E" w:rsidRDefault="00C9310E" w:rsidP="001A19D0">
      <w:pPr>
        <w:ind w:firstLine="708"/>
        <w:jc w:val="both"/>
        <w:rPr>
          <w:i/>
          <w:lang w:val="en-GB"/>
        </w:rPr>
      </w:pPr>
      <w:r>
        <w:rPr>
          <w:lang w:val="en-GB"/>
        </w:rPr>
        <w:t xml:space="preserve">Xavier </w:t>
      </w:r>
      <w:proofErr w:type="spellStart"/>
      <w:r>
        <w:rPr>
          <w:lang w:val="en-GB"/>
        </w:rPr>
        <w:t>Magnée</w:t>
      </w:r>
      <w:proofErr w:type="spellEnd"/>
      <w:r>
        <w:rPr>
          <w:lang w:val="en-GB"/>
        </w:rPr>
        <w:t xml:space="preserve">, attorney in the </w:t>
      </w:r>
      <w:r>
        <w:rPr>
          <w:i/>
          <w:lang w:val="en-GB"/>
        </w:rPr>
        <w:t xml:space="preserve">Vagrancy </w:t>
      </w:r>
      <w:r>
        <w:rPr>
          <w:lang w:val="en-GB"/>
        </w:rPr>
        <w:t>case</w:t>
      </w:r>
      <w:r w:rsidR="00345E88">
        <w:rPr>
          <w:lang w:val="en-GB"/>
        </w:rPr>
        <w:t xml:space="preserve"> (1971)</w:t>
      </w:r>
      <w:r>
        <w:rPr>
          <w:lang w:val="en-GB"/>
        </w:rPr>
        <w:t xml:space="preserve">, holds that “the case was considered with a very sympathetic eye by the Commission.” Moreover, the Commission managed to convince the Court to allow him to plead before the Court as a member of the Commission’s delegation – at that time only the Commission was formally allowed to do so. According to </w:t>
      </w:r>
      <w:proofErr w:type="spellStart"/>
      <w:r>
        <w:rPr>
          <w:lang w:val="en-GB"/>
        </w:rPr>
        <w:t>Magnée</w:t>
      </w:r>
      <w:proofErr w:type="spellEnd"/>
      <w:r>
        <w:rPr>
          <w:lang w:val="en-GB"/>
        </w:rPr>
        <w:t>, “this was a wholly novel procedural manoeuvre and I was very proud to have been some kind of r</w:t>
      </w:r>
      <w:r w:rsidR="00C535C9">
        <w:rPr>
          <w:lang w:val="en-GB"/>
        </w:rPr>
        <w:t>epresentative of the Commission</w:t>
      </w:r>
      <w:r>
        <w:rPr>
          <w:lang w:val="en-GB"/>
        </w:rPr>
        <w:t>”</w:t>
      </w:r>
      <w:r>
        <w:rPr>
          <w:rStyle w:val="Voetnootmarkering"/>
          <w:lang w:val="en-GB"/>
        </w:rPr>
        <w:footnoteReference w:id="270"/>
      </w:r>
      <w:r w:rsidR="00C535C9">
        <w:rPr>
          <w:lang w:val="en-GB"/>
        </w:rPr>
        <w:t>.</w:t>
      </w:r>
    </w:p>
    <w:p w14:paraId="171B78D2" w14:textId="72B8D535" w:rsidR="00F4262A" w:rsidRDefault="00C31016" w:rsidP="001A19D0">
      <w:pPr>
        <w:ind w:firstLine="708"/>
        <w:jc w:val="both"/>
        <w:rPr>
          <w:lang w:val="en-GB"/>
        </w:rPr>
      </w:pPr>
      <w:r w:rsidRPr="00C31016">
        <w:rPr>
          <w:lang w:val="en-GB"/>
        </w:rPr>
        <w:t xml:space="preserve">Also at the level of the Court, judicial policy considerations were clearly </w:t>
      </w:r>
      <w:r>
        <w:rPr>
          <w:lang w:val="en-GB"/>
        </w:rPr>
        <w:t xml:space="preserve">present. While getting more </w:t>
      </w:r>
      <w:proofErr w:type="gramStart"/>
      <w:r>
        <w:rPr>
          <w:lang w:val="en-GB"/>
        </w:rPr>
        <w:t>activist</w:t>
      </w:r>
      <w:proofErr w:type="gramEnd"/>
      <w:r>
        <w:rPr>
          <w:lang w:val="en-GB"/>
        </w:rPr>
        <w:t xml:space="preserve"> from the second half of the </w:t>
      </w:r>
      <w:proofErr w:type="spellStart"/>
      <w:r>
        <w:rPr>
          <w:lang w:val="en-GB"/>
        </w:rPr>
        <w:t>1970s</w:t>
      </w:r>
      <w:proofErr w:type="spellEnd"/>
      <w:r>
        <w:rPr>
          <w:lang w:val="en-GB"/>
        </w:rPr>
        <w:t xml:space="preserve"> onwards,</w:t>
      </w:r>
      <w:r w:rsidR="00FD2BDD">
        <w:rPr>
          <w:lang w:val="en-GB"/>
        </w:rPr>
        <w:t xml:space="preserve"> the Court did not move forward in a revolutionary manner. According to Madsen, during the </w:t>
      </w:r>
      <w:proofErr w:type="spellStart"/>
      <w:r w:rsidR="00FD2BDD">
        <w:rPr>
          <w:lang w:val="en-GB"/>
        </w:rPr>
        <w:t>1980s</w:t>
      </w:r>
      <w:proofErr w:type="spellEnd"/>
      <w:r w:rsidR="00FD2BDD">
        <w:rPr>
          <w:lang w:val="en-GB"/>
        </w:rPr>
        <w:t>, in which the Strasbourg jurisprudence expanded significantly, the Court was mainly involved in “social issues of a less political nature” and consequently it “could continue to develop its jurisprudence incrementally under the auspices of</w:t>
      </w:r>
      <w:r w:rsidR="00C535C9">
        <w:rPr>
          <w:lang w:val="en-GB"/>
        </w:rPr>
        <w:t xml:space="preserve"> these less controversial cases</w:t>
      </w:r>
      <w:r w:rsidR="00FD2BDD">
        <w:rPr>
          <w:lang w:val="en-GB"/>
        </w:rPr>
        <w:t>”</w:t>
      </w:r>
      <w:r w:rsidR="00FD2BDD">
        <w:rPr>
          <w:rStyle w:val="Voetnootmarkering"/>
          <w:lang w:val="en-GB"/>
        </w:rPr>
        <w:footnoteReference w:id="271"/>
      </w:r>
      <w:r w:rsidR="00C535C9">
        <w:rPr>
          <w:lang w:val="en-GB"/>
        </w:rPr>
        <w:t>.</w:t>
      </w:r>
      <w:r w:rsidR="00FD2BDD">
        <w:rPr>
          <w:lang w:val="en-GB"/>
        </w:rPr>
        <w:t xml:space="preserve"> Discussing the </w:t>
      </w:r>
      <w:r w:rsidR="00FD2BDD">
        <w:rPr>
          <w:i/>
          <w:lang w:val="en-GB"/>
        </w:rPr>
        <w:t xml:space="preserve">Engel </w:t>
      </w:r>
      <w:r w:rsidR="00FD2BDD">
        <w:rPr>
          <w:lang w:val="en-GB"/>
        </w:rPr>
        <w:t xml:space="preserve">case, van Rossum in turn considers that this case was characterized by its reasonableness and by the fact that </w:t>
      </w:r>
      <w:r w:rsidR="002D1ADE">
        <w:rPr>
          <w:lang w:val="en-GB"/>
        </w:rPr>
        <w:t>the Dutch state “was willing to go alo</w:t>
      </w:r>
      <w:r w:rsidR="00C535C9">
        <w:rPr>
          <w:lang w:val="en-GB"/>
        </w:rPr>
        <w:t>ng, even though not too quickly</w:t>
      </w:r>
      <w:r w:rsidR="002D1ADE">
        <w:rPr>
          <w:lang w:val="en-GB"/>
        </w:rPr>
        <w:t>”</w:t>
      </w:r>
      <w:r w:rsidR="002D1ADE">
        <w:rPr>
          <w:rStyle w:val="Voetnootmarkering"/>
          <w:lang w:val="en-GB"/>
        </w:rPr>
        <w:footnoteReference w:id="272"/>
      </w:r>
      <w:r w:rsidR="00C535C9">
        <w:rPr>
          <w:lang w:val="en-GB"/>
        </w:rPr>
        <w:t>.</w:t>
      </w:r>
    </w:p>
    <w:p w14:paraId="634248DD" w14:textId="77777777" w:rsidR="00933231" w:rsidRDefault="00F30380" w:rsidP="001A19D0">
      <w:pPr>
        <w:ind w:firstLine="708"/>
        <w:jc w:val="both"/>
        <w:rPr>
          <w:lang w:val="en-GB"/>
        </w:rPr>
      </w:pPr>
      <w:r w:rsidRPr="00455B3D">
        <w:rPr>
          <w:lang w:val="en-GB"/>
        </w:rPr>
        <w:t xml:space="preserve">Similarly, the interviews suggest that the </w:t>
      </w:r>
      <w:r w:rsidR="006E45E3" w:rsidRPr="00455B3D">
        <w:rPr>
          <w:lang w:val="en-GB"/>
        </w:rPr>
        <w:t>cases in which the Court found a violation of the Convention were chara</w:t>
      </w:r>
      <w:r w:rsidR="00F70115">
        <w:rPr>
          <w:lang w:val="en-GB"/>
        </w:rPr>
        <w:t>cterized by their lack of controversial character</w:t>
      </w:r>
      <w:r w:rsidR="006E45E3" w:rsidRPr="00455B3D">
        <w:rPr>
          <w:lang w:val="en-GB"/>
        </w:rPr>
        <w:t xml:space="preserve">, </w:t>
      </w:r>
      <w:r w:rsidR="00AA7286">
        <w:rPr>
          <w:lang w:val="en-GB"/>
        </w:rPr>
        <w:t xml:space="preserve">as many of them related to issues concerning which a consensus was </w:t>
      </w:r>
      <w:r w:rsidR="00F13516">
        <w:rPr>
          <w:lang w:val="en-GB"/>
        </w:rPr>
        <w:t>growin</w:t>
      </w:r>
      <w:r w:rsidR="00AA7286">
        <w:rPr>
          <w:lang w:val="en-GB"/>
        </w:rPr>
        <w:t>g at the domestic level that there was a need for change.</w:t>
      </w:r>
      <w:r w:rsidR="00F13516">
        <w:rPr>
          <w:lang w:val="en-GB"/>
        </w:rPr>
        <w:t xml:space="preserve"> Françoise De </w:t>
      </w:r>
      <w:proofErr w:type="spellStart"/>
      <w:r w:rsidR="00F13516">
        <w:rPr>
          <w:lang w:val="en-GB"/>
        </w:rPr>
        <w:t>Croo-Desguin</w:t>
      </w:r>
      <w:proofErr w:type="spellEnd"/>
      <w:r w:rsidR="00F13516">
        <w:rPr>
          <w:lang w:val="en-GB"/>
        </w:rPr>
        <w:t xml:space="preserve">, attorney in the </w:t>
      </w:r>
      <w:r w:rsidR="00F13516">
        <w:rPr>
          <w:i/>
          <w:lang w:val="en-GB"/>
        </w:rPr>
        <w:t xml:space="preserve">De </w:t>
      </w:r>
      <w:proofErr w:type="spellStart"/>
      <w:r w:rsidR="00F13516">
        <w:rPr>
          <w:i/>
          <w:lang w:val="en-GB"/>
        </w:rPr>
        <w:t>Cubber</w:t>
      </w:r>
      <w:proofErr w:type="spellEnd"/>
      <w:r w:rsidR="00F13516">
        <w:rPr>
          <w:lang w:val="en-GB"/>
        </w:rPr>
        <w:t xml:space="preserve"> case</w:t>
      </w:r>
      <w:r w:rsidR="00345E88">
        <w:rPr>
          <w:lang w:val="en-GB"/>
        </w:rPr>
        <w:t xml:space="preserve"> (1984)</w:t>
      </w:r>
      <w:r w:rsidR="00F13516">
        <w:rPr>
          <w:lang w:val="en-GB"/>
        </w:rPr>
        <w:t>, for example recalls that at the time “there were voices that said: it’s shouldn’t be allowed [that an investigative judge later decides on</w:t>
      </w:r>
      <w:r w:rsidR="00C535C9">
        <w:rPr>
          <w:lang w:val="en-GB"/>
        </w:rPr>
        <w:t xml:space="preserve"> the merits of a criminal case]</w:t>
      </w:r>
      <w:r w:rsidR="00F13516">
        <w:rPr>
          <w:lang w:val="en-GB"/>
        </w:rPr>
        <w:t>”</w:t>
      </w:r>
      <w:r w:rsidR="00F13516">
        <w:rPr>
          <w:rStyle w:val="Voetnootmarkering"/>
          <w:lang w:val="en-GB"/>
        </w:rPr>
        <w:footnoteReference w:id="273"/>
      </w:r>
      <w:r w:rsidR="00C535C9">
        <w:rPr>
          <w:lang w:val="en-GB"/>
        </w:rPr>
        <w:t>.</w:t>
      </w:r>
      <w:r w:rsidR="00F13516">
        <w:rPr>
          <w:lang w:val="en-GB"/>
        </w:rPr>
        <w:t xml:space="preserve"> According to Luc </w:t>
      </w:r>
      <w:proofErr w:type="spellStart"/>
      <w:r w:rsidR="00F13516">
        <w:rPr>
          <w:lang w:val="en-GB"/>
        </w:rPr>
        <w:t>Peeters</w:t>
      </w:r>
      <w:proofErr w:type="spellEnd"/>
      <w:r w:rsidR="00F13516">
        <w:rPr>
          <w:lang w:val="en-GB"/>
        </w:rPr>
        <w:t xml:space="preserve">, attorney in the </w:t>
      </w:r>
      <w:proofErr w:type="spellStart"/>
      <w:r w:rsidR="00F13516">
        <w:rPr>
          <w:i/>
          <w:lang w:val="en-GB"/>
        </w:rPr>
        <w:t>Pauwels</w:t>
      </w:r>
      <w:proofErr w:type="spellEnd"/>
      <w:r w:rsidR="00F13516">
        <w:rPr>
          <w:i/>
          <w:lang w:val="en-GB"/>
        </w:rPr>
        <w:t xml:space="preserve"> </w:t>
      </w:r>
      <w:r w:rsidR="00F13516">
        <w:rPr>
          <w:lang w:val="en-GB"/>
        </w:rPr>
        <w:t>case</w:t>
      </w:r>
      <w:r w:rsidR="00345E88">
        <w:rPr>
          <w:lang w:val="en-GB"/>
        </w:rPr>
        <w:t xml:space="preserve"> (1988)</w:t>
      </w:r>
      <w:r w:rsidR="00F13516">
        <w:rPr>
          <w:lang w:val="en-GB"/>
        </w:rPr>
        <w:t xml:space="preserve">, the </w:t>
      </w:r>
      <w:proofErr w:type="spellStart"/>
      <w:r w:rsidR="00F13516">
        <w:rPr>
          <w:i/>
          <w:lang w:val="en-GB"/>
        </w:rPr>
        <w:t>auditeur</w:t>
      </w:r>
      <w:proofErr w:type="spellEnd"/>
      <w:r w:rsidR="00F13516">
        <w:rPr>
          <w:i/>
          <w:lang w:val="en-GB"/>
        </w:rPr>
        <w:t xml:space="preserve"> </w:t>
      </w:r>
      <w:proofErr w:type="spellStart"/>
      <w:r w:rsidR="00F13516">
        <w:rPr>
          <w:i/>
          <w:lang w:val="en-GB"/>
        </w:rPr>
        <w:t>général</w:t>
      </w:r>
      <w:proofErr w:type="spellEnd"/>
      <w:r w:rsidR="00F13516">
        <w:rPr>
          <w:lang w:val="en-GB"/>
        </w:rPr>
        <w:t xml:space="preserve"> at the Courts-Martial Appeals Court even encourag</w:t>
      </w:r>
      <w:r w:rsidR="00C535C9">
        <w:rPr>
          <w:lang w:val="en-GB"/>
        </w:rPr>
        <w:t>ed him to push his case forward</w:t>
      </w:r>
      <w:r w:rsidR="00F13516">
        <w:rPr>
          <w:rStyle w:val="Voetnootmarkering"/>
          <w:lang w:val="en-GB"/>
        </w:rPr>
        <w:footnoteReference w:id="274"/>
      </w:r>
      <w:r w:rsidR="00C535C9">
        <w:rPr>
          <w:lang w:val="en-GB"/>
        </w:rPr>
        <w:t>.</w:t>
      </w:r>
      <w:r w:rsidR="00522F9F">
        <w:rPr>
          <w:lang w:val="en-GB"/>
        </w:rPr>
        <w:t xml:space="preserve"> With respect to the </w:t>
      </w:r>
      <w:r w:rsidR="00522F9F">
        <w:rPr>
          <w:i/>
          <w:lang w:val="en-GB"/>
        </w:rPr>
        <w:t>Marckx</w:t>
      </w:r>
      <w:r w:rsidR="00522F9F">
        <w:rPr>
          <w:lang w:val="en-GB"/>
        </w:rPr>
        <w:t xml:space="preserve"> case</w:t>
      </w:r>
      <w:r w:rsidR="00345E88">
        <w:rPr>
          <w:lang w:val="en-GB"/>
        </w:rPr>
        <w:t xml:space="preserve"> (1979)</w:t>
      </w:r>
      <w:r w:rsidR="00522F9F">
        <w:rPr>
          <w:lang w:val="en-GB"/>
        </w:rPr>
        <w:t xml:space="preserve">, attorney Moni Van Look recalls that “the Government itself was convinced that the system had to change. […] After some time, their main argument became: ‘we’re working on it, so please don’t convict us.” </w:t>
      </w:r>
      <w:r w:rsidR="00EC44BC">
        <w:rPr>
          <w:lang w:val="en-GB"/>
        </w:rPr>
        <w:t>According to Van Look, delays resulted from the referral by the Government of the question to a Commission on Ethical Questions, which was however overly occupied with other issues such as the question of anonymous birth, and b</w:t>
      </w:r>
      <w:r w:rsidR="00F4262A">
        <w:rPr>
          <w:lang w:val="en-GB"/>
        </w:rPr>
        <w:t xml:space="preserve">ecause of the numerous changes of Government during a period characterized by political </w:t>
      </w:r>
      <w:r w:rsidR="00F4262A">
        <w:rPr>
          <w:lang w:val="en-GB"/>
        </w:rPr>
        <w:lastRenderedPageBreak/>
        <w:t>instability.  However,</w:t>
      </w:r>
      <w:r w:rsidR="00522F9F">
        <w:rPr>
          <w:lang w:val="en-GB"/>
        </w:rPr>
        <w:t xml:space="preserve"> until the very end the Government tried to obtain a frie</w:t>
      </w:r>
      <w:r w:rsidR="00323646">
        <w:rPr>
          <w:lang w:val="en-GB"/>
        </w:rPr>
        <w:t>ndly settlement: “they meant it,</w:t>
      </w:r>
      <w:r w:rsidR="00522F9F">
        <w:rPr>
          <w:lang w:val="en-GB"/>
        </w:rPr>
        <w:t xml:space="preserve"> that the</w:t>
      </w:r>
      <w:r w:rsidR="00EC44BC">
        <w:rPr>
          <w:lang w:val="en-GB"/>
        </w:rPr>
        <w:t>y</w:t>
      </w:r>
      <w:r w:rsidR="00522F9F">
        <w:rPr>
          <w:lang w:val="en-GB"/>
        </w:rPr>
        <w:t xml:space="preserve"> thought: ‘we will </w:t>
      </w:r>
      <w:r w:rsidR="00EC44BC">
        <w:rPr>
          <w:lang w:val="en-GB"/>
        </w:rPr>
        <w:t>rapidly arrange it</w:t>
      </w:r>
      <w:r w:rsidR="00522F9F">
        <w:rPr>
          <w:lang w:val="en-GB"/>
        </w:rPr>
        <w:t xml:space="preserve"> [i.e. the legal change] and we will obtain a friendly settlement</w:t>
      </w:r>
      <w:r w:rsidR="00EC44BC">
        <w:rPr>
          <w:lang w:val="en-GB"/>
        </w:rPr>
        <w:t>’</w:t>
      </w:r>
      <w:r w:rsidR="00522F9F">
        <w:rPr>
          <w:lang w:val="en-GB"/>
        </w:rPr>
        <w:t xml:space="preserve"> […</w:t>
      </w:r>
      <w:r w:rsidR="00EC44BC">
        <w:rPr>
          <w:lang w:val="en-GB"/>
        </w:rPr>
        <w:t xml:space="preserve">]. </w:t>
      </w:r>
      <w:r w:rsidR="00F4262A">
        <w:rPr>
          <w:lang w:val="en-GB"/>
        </w:rPr>
        <w:t>Their proposal came down to: ‘if you accept that we do our best, your costs will be reimbursed.’ Of course our answer was: forget it!</w:t>
      </w:r>
      <w:r w:rsidR="00522F9F">
        <w:rPr>
          <w:lang w:val="en-GB"/>
        </w:rPr>
        <w:t>”</w:t>
      </w:r>
      <w:r w:rsidR="00522F9F">
        <w:rPr>
          <w:rStyle w:val="Voetnootmarkering"/>
          <w:lang w:val="en-GB"/>
        </w:rPr>
        <w:footnoteReference w:id="275"/>
      </w:r>
      <w:r w:rsidR="00F4262A">
        <w:rPr>
          <w:lang w:val="en-GB"/>
        </w:rPr>
        <w:t xml:space="preserve"> </w:t>
      </w:r>
      <w:r w:rsidR="00075C84">
        <w:rPr>
          <w:lang w:val="en-GB"/>
        </w:rPr>
        <w:t xml:space="preserve">It can </w:t>
      </w:r>
      <w:r w:rsidR="00323646">
        <w:rPr>
          <w:lang w:val="en-GB"/>
        </w:rPr>
        <w:t xml:space="preserve">thus </w:t>
      </w:r>
      <w:r w:rsidR="00075C84">
        <w:rPr>
          <w:lang w:val="en-GB"/>
        </w:rPr>
        <w:t>be assumed that it may be less controversial for the Court to find a violation in a case where legislative change is anticipated anyway, however at too slow a pace. In this respect, Raoul Neuroth, attorn</w:t>
      </w:r>
      <w:r w:rsidR="00F4262A">
        <w:rPr>
          <w:lang w:val="en-GB"/>
        </w:rPr>
        <w:t xml:space="preserve">ey in the </w:t>
      </w:r>
      <w:proofErr w:type="spellStart"/>
      <w:r w:rsidR="00F4262A">
        <w:rPr>
          <w:i/>
          <w:lang w:val="en-GB"/>
        </w:rPr>
        <w:t>Lamy</w:t>
      </w:r>
      <w:proofErr w:type="spellEnd"/>
      <w:r w:rsidR="00F4262A">
        <w:rPr>
          <w:i/>
          <w:lang w:val="en-GB"/>
        </w:rPr>
        <w:t xml:space="preserve"> </w:t>
      </w:r>
      <w:r w:rsidR="00075C84">
        <w:rPr>
          <w:lang w:val="en-GB"/>
        </w:rPr>
        <w:t>case</w:t>
      </w:r>
      <w:r w:rsidR="00323646">
        <w:rPr>
          <w:lang w:val="en-GB"/>
        </w:rPr>
        <w:t xml:space="preserve"> (1989)</w:t>
      </w:r>
      <w:r w:rsidR="00075C84">
        <w:rPr>
          <w:lang w:val="en-GB"/>
        </w:rPr>
        <w:t xml:space="preserve">, holds that he knew he had won the case when the representative of the State, Edouard </w:t>
      </w:r>
      <w:proofErr w:type="spellStart"/>
      <w:r w:rsidR="00075C84">
        <w:rPr>
          <w:lang w:val="en-GB"/>
        </w:rPr>
        <w:t>Jakhian</w:t>
      </w:r>
      <w:proofErr w:type="spellEnd"/>
      <w:r w:rsidR="00075C84">
        <w:rPr>
          <w:lang w:val="en-GB"/>
        </w:rPr>
        <w:t xml:space="preserve">, </w:t>
      </w:r>
      <w:r w:rsidR="00F70115">
        <w:rPr>
          <w:lang w:val="en-GB"/>
        </w:rPr>
        <w:t xml:space="preserve">at the end of his pleadings before the Court </w:t>
      </w:r>
      <w:r w:rsidR="00075C84">
        <w:rPr>
          <w:lang w:val="en-GB"/>
        </w:rPr>
        <w:t>suggested th</w:t>
      </w:r>
      <w:r w:rsidR="00C535C9">
        <w:rPr>
          <w:lang w:val="en-GB"/>
        </w:rPr>
        <w:t>at Belgium would change the law</w:t>
      </w:r>
      <w:r w:rsidR="00075C84">
        <w:rPr>
          <w:rStyle w:val="Voetnootmarkering"/>
          <w:lang w:val="en-GB"/>
        </w:rPr>
        <w:footnoteReference w:id="276"/>
      </w:r>
      <w:r w:rsidR="00C535C9">
        <w:rPr>
          <w:lang w:val="en-GB"/>
        </w:rPr>
        <w:t>.</w:t>
      </w:r>
      <w:r w:rsidR="00075C84">
        <w:rPr>
          <w:lang w:val="en-GB"/>
        </w:rPr>
        <w:t xml:space="preserve"> According</w:t>
      </w:r>
      <w:r w:rsidR="00F70115">
        <w:rPr>
          <w:lang w:val="en-GB"/>
        </w:rPr>
        <w:t xml:space="preserve"> to the record of the hearing, </w:t>
      </w:r>
      <w:proofErr w:type="spellStart"/>
      <w:r w:rsidR="00F70115">
        <w:rPr>
          <w:lang w:val="en-GB"/>
        </w:rPr>
        <w:t>Jack</w:t>
      </w:r>
      <w:r w:rsidR="00933231">
        <w:rPr>
          <w:lang w:val="en-GB"/>
        </w:rPr>
        <w:t>ian</w:t>
      </w:r>
      <w:proofErr w:type="spellEnd"/>
      <w:r w:rsidR="00933231">
        <w:rPr>
          <w:lang w:val="en-GB"/>
        </w:rPr>
        <w:t xml:space="preserve"> stated that</w:t>
      </w:r>
    </w:p>
    <w:p w14:paraId="13F6DB72" w14:textId="2B9D129B" w:rsidR="00AA7286" w:rsidRPr="00F4262A" w:rsidRDefault="00F70115" w:rsidP="00933231">
      <w:pPr>
        <w:ind w:left="708"/>
        <w:jc w:val="both"/>
        <w:rPr>
          <w:lang w:val="en-GB"/>
        </w:rPr>
      </w:pPr>
      <w:r>
        <w:rPr>
          <w:lang w:val="en-GB"/>
        </w:rPr>
        <w:t xml:space="preserve">[t]he stir caused in Belgium by the </w:t>
      </w:r>
      <w:proofErr w:type="spellStart"/>
      <w:r>
        <w:rPr>
          <w:lang w:val="en-GB"/>
        </w:rPr>
        <w:t>Lamy</w:t>
      </w:r>
      <w:proofErr w:type="spellEnd"/>
      <w:r>
        <w:rPr>
          <w:lang w:val="en-GB"/>
        </w:rPr>
        <w:t xml:space="preserve"> case is a matter for satisfaction to me […]; even if the Commission’s decision is not upheld by the Court, it will have had the merit of making the Government, the legal world and the Belgian judiciary more aware of the ancientness of a statute […]. At all events, it is to a State’s credit that it should want to improve it, and Belgium, I am convinced, will rapidly do so in this instance</w:t>
      </w:r>
      <w:r>
        <w:rPr>
          <w:rStyle w:val="Voetnootmarkering"/>
          <w:lang w:val="en-GB"/>
        </w:rPr>
        <w:footnoteReference w:id="277"/>
      </w:r>
      <w:r w:rsidR="00C535C9">
        <w:rPr>
          <w:lang w:val="en-GB"/>
        </w:rPr>
        <w:t>.</w:t>
      </w:r>
    </w:p>
    <w:p w14:paraId="004D6A84" w14:textId="2FD09490" w:rsidR="00C20957" w:rsidRDefault="00F70115" w:rsidP="001A19D0">
      <w:pPr>
        <w:ind w:firstLine="708"/>
        <w:jc w:val="both"/>
        <w:rPr>
          <w:lang w:val="en-GB"/>
        </w:rPr>
      </w:pPr>
      <w:r>
        <w:rPr>
          <w:lang w:val="en-GB"/>
        </w:rPr>
        <w:t>The Court’</w:t>
      </w:r>
      <w:r w:rsidR="00EC5AF0">
        <w:rPr>
          <w:lang w:val="en-GB"/>
        </w:rPr>
        <w:t xml:space="preserve">s disinclination to delivering controversial judgments may explain why the Court did not find a </w:t>
      </w:r>
      <w:r w:rsidR="00014A39">
        <w:rPr>
          <w:lang w:val="en-GB"/>
        </w:rPr>
        <w:t>violation in certain cases where doing so</w:t>
      </w:r>
      <w:r w:rsidR="00EC5AF0">
        <w:rPr>
          <w:lang w:val="en-GB"/>
        </w:rPr>
        <w:t xml:space="preserve"> would either be too progressive for society at that time (</w:t>
      </w:r>
      <w:r w:rsidR="00EC5AF0">
        <w:rPr>
          <w:i/>
          <w:lang w:val="en-GB"/>
        </w:rPr>
        <w:t xml:space="preserve">Van </w:t>
      </w:r>
      <w:proofErr w:type="spellStart"/>
      <w:r w:rsidR="00EC5AF0">
        <w:rPr>
          <w:i/>
          <w:lang w:val="en-GB"/>
        </w:rPr>
        <w:t>Oosterwijck</w:t>
      </w:r>
      <w:proofErr w:type="spellEnd"/>
      <w:r w:rsidR="00EC5AF0">
        <w:rPr>
          <w:lang w:val="en-GB"/>
        </w:rPr>
        <w:t>)</w:t>
      </w:r>
      <w:r w:rsidR="00014A39">
        <w:rPr>
          <w:lang w:val="en-GB"/>
        </w:rPr>
        <w:t>, would</w:t>
      </w:r>
      <w:r w:rsidR="00695949">
        <w:rPr>
          <w:lang w:val="en-GB"/>
        </w:rPr>
        <w:t xml:space="preserve"> have major political</w:t>
      </w:r>
      <w:r w:rsidR="00014A39">
        <w:rPr>
          <w:lang w:val="en-GB"/>
        </w:rPr>
        <w:t xml:space="preserve"> (</w:t>
      </w:r>
      <w:r w:rsidR="00014A39">
        <w:rPr>
          <w:i/>
          <w:lang w:val="en-GB"/>
        </w:rPr>
        <w:t>Mathieu-</w:t>
      </w:r>
      <w:proofErr w:type="spellStart"/>
      <w:r w:rsidR="00014A39">
        <w:rPr>
          <w:i/>
          <w:lang w:val="en-GB"/>
        </w:rPr>
        <w:t>Mohin</w:t>
      </w:r>
      <w:proofErr w:type="spellEnd"/>
      <w:r w:rsidR="00695949">
        <w:rPr>
          <w:lang w:val="en-GB"/>
        </w:rPr>
        <w:t>) or organisational and financial implications for the State (</w:t>
      </w:r>
      <w:r w:rsidR="00695949">
        <w:rPr>
          <w:i/>
          <w:lang w:val="en-GB"/>
        </w:rPr>
        <w:t>National Union of Belgian Police</w:t>
      </w:r>
      <w:r w:rsidR="00323646">
        <w:rPr>
          <w:i/>
          <w:lang w:val="en-GB"/>
        </w:rPr>
        <w:t xml:space="preserve"> </w:t>
      </w:r>
      <w:r w:rsidR="00323646">
        <w:rPr>
          <w:lang w:val="en-GB"/>
        </w:rPr>
        <w:t xml:space="preserve">and </w:t>
      </w:r>
      <w:r w:rsidR="00323646">
        <w:rPr>
          <w:i/>
          <w:lang w:val="en-GB"/>
        </w:rPr>
        <w:t xml:space="preserve">Van der </w:t>
      </w:r>
      <w:proofErr w:type="spellStart"/>
      <w:r w:rsidR="00323646">
        <w:rPr>
          <w:i/>
          <w:lang w:val="en-GB"/>
        </w:rPr>
        <w:t>Mussele</w:t>
      </w:r>
      <w:proofErr w:type="spellEnd"/>
      <w:r w:rsidR="00695949">
        <w:rPr>
          <w:lang w:val="en-GB"/>
        </w:rPr>
        <w:t xml:space="preserve">); or why the Court only found partial violations concerning the less controversial aspects of an application in other cases (the </w:t>
      </w:r>
      <w:r w:rsidR="00695949">
        <w:rPr>
          <w:i/>
          <w:lang w:val="en-GB"/>
        </w:rPr>
        <w:t xml:space="preserve">Belgian Linguistics </w:t>
      </w:r>
      <w:r w:rsidR="00695949" w:rsidRPr="00695949">
        <w:rPr>
          <w:i/>
          <w:lang w:val="en-GB"/>
        </w:rPr>
        <w:t>case</w:t>
      </w:r>
      <w:r w:rsidR="00695949">
        <w:rPr>
          <w:lang w:val="en-GB"/>
        </w:rPr>
        <w:t xml:space="preserve">, </w:t>
      </w:r>
      <w:r w:rsidR="00695949" w:rsidRPr="00695949">
        <w:rPr>
          <w:lang w:val="en-GB"/>
        </w:rPr>
        <w:t>Le</w:t>
      </w:r>
      <w:r w:rsidR="00695949">
        <w:rPr>
          <w:i/>
          <w:lang w:val="en-GB"/>
        </w:rPr>
        <w:t xml:space="preserve"> </w:t>
      </w:r>
      <w:proofErr w:type="spellStart"/>
      <w:r w:rsidR="00695949">
        <w:rPr>
          <w:i/>
          <w:lang w:val="en-GB"/>
        </w:rPr>
        <w:t>Compte</w:t>
      </w:r>
      <w:proofErr w:type="spellEnd"/>
      <w:r w:rsidR="00695949">
        <w:rPr>
          <w:i/>
          <w:lang w:val="en-GB"/>
        </w:rPr>
        <w:t>, Van Leuven and De Meyere</w:t>
      </w:r>
      <w:r w:rsidR="00695949">
        <w:rPr>
          <w:lang w:val="en-GB"/>
        </w:rPr>
        <w:t xml:space="preserve"> and the </w:t>
      </w:r>
      <w:r w:rsidR="00695949">
        <w:rPr>
          <w:i/>
          <w:lang w:val="en-GB"/>
        </w:rPr>
        <w:t xml:space="preserve">Vagrancy </w:t>
      </w:r>
      <w:r w:rsidR="00695949">
        <w:rPr>
          <w:lang w:val="en-GB"/>
        </w:rPr>
        <w:t xml:space="preserve">case). For example, in the </w:t>
      </w:r>
      <w:r w:rsidR="00695949">
        <w:rPr>
          <w:i/>
          <w:lang w:val="en-GB"/>
        </w:rPr>
        <w:t xml:space="preserve">Vagrancy </w:t>
      </w:r>
      <w:r w:rsidR="00695949">
        <w:rPr>
          <w:lang w:val="en-GB"/>
        </w:rPr>
        <w:t xml:space="preserve">case, the Court only found a violation of Article 5 § 4 </w:t>
      </w:r>
      <w:r w:rsidR="00E47B96">
        <w:rPr>
          <w:lang w:val="en-GB"/>
        </w:rPr>
        <w:t xml:space="preserve">on account of </w:t>
      </w:r>
      <w:r w:rsidR="00695949">
        <w:rPr>
          <w:lang w:val="en-GB"/>
        </w:rPr>
        <w:t>the impossibility of vagran</w:t>
      </w:r>
      <w:r w:rsidR="00E47B96">
        <w:rPr>
          <w:lang w:val="en-GB"/>
        </w:rPr>
        <w:t>t</w:t>
      </w:r>
      <w:r w:rsidR="00323646">
        <w:rPr>
          <w:lang w:val="en-GB"/>
        </w:rPr>
        <w:t>s</w:t>
      </w:r>
      <w:r w:rsidR="00695949">
        <w:rPr>
          <w:lang w:val="en-GB"/>
        </w:rPr>
        <w:t xml:space="preserve"> to challenge their det</w:t>
      </w:r>
      <w:r w:rsidR="00E47B96">
        <w:rPr>
          <w:lang w:val="en-GB"/>
        </w:rPr>
        <w:t xml:space="preserve">ention, without considering the system of detention of vagrants to be incompatible with the requirements of Article 5 § 1 as such. According to Xavier </w:t>
      </w:r>
      <w:proofErr w:type="spellStart"/>
      <w:r w:rsidR="00E47B96">
        <w:rPr>
          <w:lang w:val="en-GB"/>
        </w:rPr>
        <w:t>Magnée</w:t>
      </w:r>
      <w:proofErr w:type="spellEnd"/>
      <w:r w:rsidR="00E47B96">
        <w:rPr>
          <w:lang w:val="en-GB"/>
        </w:rPr>
        <w:t>, attorney in that case, “I appreciate that this was a very diplomatic decision by the Court, in the sense that the Court did not follow me where I demanded a co</w:t>
      </w:r>
      <w:r w:rsidR="00A20B1C">
        <w:rPr>
          <w:lang w:val="en-GB"/>
        </w:rPr>
        <w:t>nviction of Belgium that risked entailing financial and administrative consequences that would have been technically impossible to sustain. They have thus issued a decision that was certainly humane but that was also political, that was not</w:t>
      </w:r>
      <w:r w:rsidR="00C535C9">
        <w:rPr>
          <w:lang w:val="en-GB"/>
        </w:rPr>
        <w:t xml:space="preserve"> impossible to apply by Belgium</w:t>
      </w:r>
      <w:r w:rsidR="00A20B1C">
        <w:rPr>
          <w:lang w:val="en-GB"/>
        </w:rPr>
        <w:t>”</w:t>
      </w:r>
      <w:r w:rsidR="00A20B1C">
        <w:rPr>
          <w:rStyle w:val="Voetnootmarkering"/>
          <w:lang w:val="en-GB"/>
        </w:rPr>
        <w:footnoteReference w:id="278"/>
      </w:r>
      <w:r w:rsidR="00C535C9">
        <w:rPr>
          <w:lang w:val="en-GB"/>
        </w:rPr>
        <w:t>.</w:t>
      </w:r>
    </w:p>
    <w:p w14:paraId="34FBE75D" w14:textId="77777777" w:rsidR="00E1343E" w:rsidRDefault="00E1343E" w:rsidP="00E45E15">
      <w:pPr>
        <w:jc w:val="both"/>
        <w:rPr>
          <w:lang w:val="en-GB"/>
        </w:rPr>
      </w:pPr>
    </w:p>
    <w:p w14:paraId="3EE7ACB9" w14:textId="77777777" w:rsidR="00E1343E" w:rsidRDefault="00E1343E" w:rsidP="00E1343E">
      <w:pPr>
        <w:pStyle w:val="Lijstalinea"/>
        <w:numPr>
          <w:ilvl w:val="0"/>
          <w:numId w:val="6"/>
        </w:numPr>
        <w:ind w:left="0" w:firstLine="0"/>
        <w:rPr>
          <w:b/>
          <w:lang w:val="en-GB"/>
        </w:rPr>
      </w:pPr>
      <w:r>
        <w:rPr>
          <w:b/>
          <w:lang w:val="en-GB"/>
        </w:rPr>
        <w:t>Conclusion</w:t>
      </w:r>
    </w:p>
    <w:p w14:paraId="58D9FBD3" w14:textId="77777777" w:rsidR="007E0F82" w:rsidRDefault="00463F8B" w:rsidP="001A19D0">
      <w:pPr>
        <w:ind w:firstLine="708"/>
        <w:jc w:val="both"/>
        <w:rPr>
          <w:lang w:val="en-GB"/>
        </w:rPr>
      </w:pPr>
      <w:r>
        <w:rPr>
          <w:lang w:val="en-GB"/>
        </w:rPr>
        <w:t xml:space="preserve">If, by 1990, the Convention had progressively entered the </w:t>
      </w:r>
      <w:r w:rsidR="00064181">
        <w:rPr>
          <w:lang w:val="en-GB"/>
        </w:rPr>
        <w:t xml:space="preserve">hearts </w:t>
      </w:r>
      <w:r>
        <w:rPr>
          <w:lang w:val="en-GB"/>
        </w:rPr>
        <w:t xml:space="preserve">of Belgian lawyers, this is largely due to the pioneering litigation work of a number of skilled lawyers </w:t>
      </w:r>
      <w:r w:rsidR="007E0F82">
        <w:rPr>
          <w:lang w:val="en-GB"/>
        </w:rPr>
        <w:t xml:space="preserve">– often young ambitious lawyers and lawyers with an academic profile – </w:t>
      </w:r>
      <w:r>
        <w:rPr>
          <w:lang w:val="en-GB"/>
        </w:rPr>
        <w:t>who were willing to think out of the box and invest their legal capital in the uncertain adventure of going to Strasbourg, often pushed so by active applicants who were denied justice at the domestic level.</w:t>
      </w:r>
      <w:r w:rsidR="00064181">
        <w:rPr>
          <w:lang w:val="en-GB"/>
        </w:rPr>
        <w:t xml:space="preserve"> Certainly, it was the right time for </w:t>
      </w:r>
      <w:r w:rsidR="00577C3F">
        <w:rPr>
          <w:lang w:val="en-GB"/>
        </w:rPr>
        <w:t>them to do so</w:t>
      </w:r>
      <w:r w:rsidR="00064181">
        <w:rPr>
          <w:lang w:val="en-GB"/>
        </w:rPr>
        <w:t xml:space="preserve">. On the one hand, by the second half of the </w:t>
      </w:r>
      <w:proofErr w:type="spellStart"/>
      <w:r w:rsidR="00064181">
        <w:rPr>
          <w:lang w:val="en-GB"/>
        </w:rPr>
        <w:t>1970s</w:t>
      </w:r>
      <w:proofErr w:type="spellEnd"/>
      <w:r w:rsidR="00064181">
        <w:rPr>
          <w:lang w:val="en-GB"/>
        </w:rPr>
        <w:t xml:space="preserve">, the legal diplomacy exercised by Commission and Court had enabled them to progressively impose their authority on the member </w:t>
      </w:r>
      <w:r w:rsidR="00064181">
        <w:rPr>
          <w:lang w:val="en-GB"/>
        </w:rPr>
        <w:lastRenderedPageBreak/>
        <w:t xml:space="preserve">states without </w:t>
      </w:r>
      <w:r w:rsidR="00DF0E22">
        <w:rPr>
          <w:lang w:val="en-GB"/>
        </w:rPr>
        <w:t>causin</w:t>
      </w:r>
      <w:r w:rsidR="00064181">
        <w:rPr>
          <w:lang w:val="en-GB"/>
        </w:rPr>
        <w:t xml:space="preserve">g a backlash. </w:t>
      </w:r>
      <w:r w:rsidR="00961C83">
        <w:rPr>
          <w:lang w:val="en-GB"/>
        </w:rPr>
        <w:t xml:space="preserve">On the other hand, in </w:t>
      </w:r>
      <w:r w:rsidR="00577C3F">
        <w:rPr>
          <w:lang w:val="en-GB"/>
        </w:rPr>
        <w:t>an era</w:t>
      </w:r>
      <w:r w:rsidR="00961C83">
        <w:rPr>
          <w:lang w:val="en-GB"/>
        </w:rPr>
        <w:t xml:space="preserve"> of increasing contestation vis-à-vis orthodox social and legal constellations that once seemed unalterable and indisputable, law and</w:t>
      </w:r>
      <w:r w:rsidR="00577C3F">
        <w:rPr>
          <w:lang w:val="en-GB"/>
        </w:rPr>
        <w:t xml:space="preserve"> in particular</w:t>
      </w:r>
      <w:r w:rsidR="00961C83">
        <w:rPr>
          <w:lang w:val="en-GB"/>
        </w:rPr>
        <w:t xml:space="preserve"> human rights law was increasing</w:t>
      </w:r>
      <w:r w:rsidR="00E6410F">
        <w:rPr>
          <w:lang w:val="en-GB"/>
        </w:rPr>
        <w:t xml:space="preserve">ly </w:t>
      </w:r>
      <w:r w:rsidR="0022086D">
        <w:rPr>
          <w:lang w:val="en-GB"/>
        </w:rPr>
        <w:t xml:space="preserve">mobilized and legitimized as </w:t>
      </w:r>
      <w:r w:rsidR="00E6410F">
        <w:rPr>
          <w:lang w:val="en-GB"/>
        </w:rPr>
        <w:t>a tool for applicants to challenge such constellations in order to obtain individual relief and</w:t>
      </w:r>
      <w:r w:rsidR="00704C18">
        <w:rPr>
          <w:lang w:val="en-GB"/>
        </w:rPr>
        <w:t>, often,</w:t>
      </w:r>
      <w:r w:rsidR="00E6410F">
        <w:rPr>
          <w:lang w:val="en-GB"/>
        </w:rPr>
        <w:t xml:space="preserve"> structural change</w:t>
      </w:r>
      <w:r w:rsidR="00704C18">
        <w:rPr>
          <w:lang w:val="en-GB"/>
        </w:rPr>
        <w:t xml:space="preserve"> as well</w:t>
      </w:r>
      <w:r w:rsidR="00E6410F">
        <w:rPr>
          <w:lang w:val="en-GB"/>
        </w:rPr>
        <w:t>.</w:t>
      </w:r>
      <w:r w:rsidR="00577C3F">
        <w:rPr>
          <w:lang w:val="en-GB"/>
        </w:rPr>
        <w:t xml:space="preserve"> </w:t>
      </w:r>
      <w:r w:rsidR="007E0F82">
        <w:rPr>
          <w:lang w:val="en-GB"/>
        </w:rPr>
        <w:t>In the absence of genuine constitutionality review in Belgium during the time under consideration, for many applicants, Strasbourg was the only forum where the</w:t>
      </w:r>
      <w:r w:rsidR="003734CC">
        <w:rPr>
          <w:lang w:val="en-GB"/>
        </w:rPr>
        <w:t>y</w:t>
      </w:r>
      <w:r w:rsidR="007E0F82">
        <w:rPr>
          <w:lang w:val="en-GB"/>
        </w:rPr>
        <w:t xml:space="preserve"> could complain that they were directly affected by legislation or the lack thereof.</w:t>
      </w:r>
    </w:p>
    <w:p w14:paraId="3D9EC23E" w14:textId="77777777" w:rsidR="00BB4F50" w:rsidRDefault="00577C3F" w:rsidP="001A19D0">
      <w:pPr>
        <w:ind w:firstLine="708"/>
        <w:jc w:val="both"/>
        <w:rPr>
          <w:lang w:val="en-GB"/>
        </w:rPr>
      </w:pPr>
      <w:r>
        <w:rPr>
          <w:lang w:val="en-GB"/>
        </w:rPr>
        <w:t>While the Strasbourg inst</w:t>
      </w:r>
      <w:r w:rsidR="0022086D">
        <w:rPr>
          <w:lang w:val="en-GB"/>
        </w:rPr>
        <w:t>it</w:t>
      </w:r>
      <w:r>
        <w:rPr>
          <w:lang w:val="en-GB"/>
        </w:rPr>
        <w:t xml:space="preserve">utions to a certain extent were </w:t>
      </w:r>
      <w:r w:rsidR="00704C18">
        <w:rPr>
          <w:lang w:val="en-GB"/>
        </w:rPr>
        <w:t>willing to facilitate</w:t>
      </w:r>
      <w:r>
        <w:rPr>
          <w:lang w:val="en-GB"/>
        </w:rPr>
        <w:t xml:space="preserve"> applicants and attorneys in</w:t>
      </w:r>
      <w:r w:rsidR="007E0F82">
        <w:rPr>
          <w:lang w:val="en-GB"/>
        </w:rPr>
        <w:t xml:space="preserve"> their endeavours, </w:t>
      </w:r>
      <w:r>
        <w:rPr>
          <w:lang w:val="en-GB"/>
        </w:rPr>
        <w:t xml:space="preserve">it does seem that they </w:t>
      </w:r>
      <w:r w:rsidR="00DF0E22">
        <w:rPr>
          <w:lang w:val="en-GB"/>
        </w:rPr>
        <w:t>had a preference</w:t>
      </w:r>
      <w:r>
        <w:rPr>
          <w:lang w:val="en-GB"/>
        </w:rPr>
        <w:t xml:space="preserve"> </w:t>
      </w:r>
      <w:r w:rsidR="00DF0E22">
        <w:rPr>
          <w:lang w:val="en-GB"/>
        </w:rPr>
        <w:t xml:space="preserve">for </w:t>
      </w:r>
      <w:r>
        <w:rPr>
          <w:lang w:val="en-GB"/>
        </w:rPr>
        <w:t>acting as a catalyst of anticipated change at the domestic level, rather than</w:t>
      </w:r>
      <w:r w:rsidR="00BB4F50">
        <w:rPr>
          <w:lang w:val="en-GB"/>
        </w:rPr>
        <w:t xml:space="preserve"> risking to overplay their hand by pushing for too radical a change. </w:t>
      </w:r>
      <w:r w:rsidR="001C7E6C">
        <w:rPr>
          <w:lang w:val="en-GB"/>
        </w:rPr>
        <w:t>Belgium being a</w:t>
      </w:r>
      <w:r w:rsidR="00BB4F50">
        <w:rPr>
          <w:lang w:val="en-GB"/>
        </w:rPr>
        <w:t xml:space="preserve"> small, pro-European state</w:t>
      </w:r>
      <w:r w:rsidR="0022086D">
        <w:rPr>
          <w:lang w:val="en-GB"/>
        </w:rPr>
        <w:t>, characterized by in</w:t>
      </w:r>
      <w:r w:rsidR="00BB4F50">
        <w:rPr>
          <w:lang w:val="en-GB"/>
        </w:rPr>
        <w:t xml:space="preserve">ertia in the political decision-making process as a result of which outdated legislation was typically only addressed </w:t>
      </w:r>
      <w:r w:rsidR="00704C18">
        <w:rPr>
          <w:lang w:val="en-GB"/>
        </w:rPr>
        <w:t xml:space="preserve">more </w:t>
      </w:r>
      <w:proofErr w:type="spellStart"/>
      <w:r w:rsidR="00704C18">
        <w:rPr>
          <w:lang w:val="en-GB"/>
        </w:rPr>
        <w:t>tardively</w:t>
      </w:r>
      <w:proofErr w:type="spellEnd"/>
      <w:r w:rsidR="00704C18">
        <w:rPr>
          <w:lang w:val="en-GB"/>
        </w:rPr>
        <w:t xml:space="preserve"> than even deemed acceptable at the domestic level</w:t>
      </w:r>
      <w:r w:rsidR="00BB4F50">
        <w:rPr>
          <w:lang w:val="en-GB"/>
        </w:rPr>
        <w:t xml:space="preserve">, </w:t>
      </w:r>
      <w:r w:rsidR="001C7E6C">
        <w:rPr>
          <w:lang w:val="en-GB"/>
        </w:rPr>
        <w:t>Belgian cases</w:t>
      </w:r>
      <w:r w:rsidR="00BB4F50">
        <w:rPr>
          <w:lang w:val="en-GB"/>
        </w:rPr>
        <w:t xml:space="preserve"> may have been obvious candidate</w:t>
      </w:r>
      <w:r w:rsidR="001C7E6C">
        <w:rPr>
          <w:lang w:val="en-GB"/>
        </w:rPr>
        <w:t>s for the Court to progressively develop its jurisprudence during the period under consideration.</w:t>
      </w:r>
      <w:r w:rsidR="00AE2243">
        <w:rPr>
          <w:lang w:val="en-GB"/>
        </w:rPr>
        <w:t xml:space="preserve"> </w:t>
      </w:r>
      <w:r w:rsidR="0022086D">
        <w:rPr>
          <w:lang w:val="en-GB"/>
        </w:rPr>
        <w:t>Successful</w:t>
      </w:r>
      <w:r w:rsidR="00AE2243">
        <w:rPr>
          <w:lang w:val="en-GB"/>
        </w:rPr>
        <w:t xml:space="preserve"> litigation moreover created a snowball effect encouraging more applicants and/or their attorneys to go to Strasbourg, </w:t>
      </w:r>
      <w:r w:rsidR="007E0F82">
        <w:rPr>
          <w:lang w:val="en-GB"/>
        </w:rPr>
        <w:t>not the least</w:t>
      </w:r>
      <w:r w:rsidR="00AE2243">
        <w:rPr>
          <w:lang w:val="en-GB"/>
        </w:rPr>
        <w:t xml:space="preserve"> in areas where Belgium had already been convicted by the Court, such as with respect to the recurrent problems of objective impartiality in the criminal justice system </w:t>
      </w:r>
      <w:r w:rsidR="007E0F82">
        <w:rPr>
          <w:lang w:val="en-GB"/>
        </w:rPr>
        <w:t>and</w:t>
      </w:r>
      <w:r w:rsidR="00AE2243">
        <w:rPr>
          <w:lang w:val="en-GB"/>
        </w:rPr>
        <w:t xml:space="preserve"> the rights of the defence in disciplinary proceedings. </w:t>
      </w:r>
    </w:p>
    <w:p w14:paraId="0E8E9047" w14:textId="52D129B3" w:rsidR="00BB4F50" w:rsidRPr="00463F8B" w:rsidRDefault="00427B62" w:rsidP="001A19D0">
      <w:pPr>
        <w:ind w:firstLine="708"/>
        <w:jc w:val="both"/>
        <w:rPr>
          <w:color w:val="FF0000"/>
          <w:lang w:val="en-GB"/>
        </w:rPr>
      </w:pPr>
      <w:r>
        <w:rPr>
          <w:lang w:val="en-GB"/>
        </w:rPr>
        <w:t xml:space="preserve">Above all, however, the present article is testimony to the richness of the human experience underlying Strasbourg litigation. While the time was certainly right for the actors concerned to do so, it nonetheless did require ingenuity and </w:t>
      </w:r>
      <w:r w:rsidR="00F72541">
        <w:rPr>
          <w:lang w:val="en-GB"/>
        </w:rPr>
        <w:t>perseverance</w:t>
      </w:r>
      <w:r>
        <w:rPr>
          <w:lang w:val="en-GB"/>
        </w:rPr>
        <w:t xml:space="preserve"> to go where few had gone before them.</w:t>
      </w:r>
      <w:r w:rsidR="00F72541">
        <w:rPr>
          <w:lang w:val="en-GB"/>
        </w:rPr>
        <w:t xml:space="preserve"> If, during the period under consideration, going to Strasbourg was an adventure, the heroes were just ordinary people </w:t>
      </w:r>
      <w:r w:rsidR="003734CC">
        <w:rPr>
          <w:lang w:val="en-GB"/>
        </w:rPr>
        <w:t xml:space="preserve">who </w:t>
      </w:r>
      <w:r w:rsidR="00F72541">
        <w:rPr>
          <w:lang w:val="en-GB"/>
        </w:rPr>
        <w:t>were however willing to stand out from the crowd to further their cause and to thereby push the development of European human rights law forward to the common benefit.</w:t>
      </w:r>
    </w:p>
    <w:sectPr w:rsidR="00BB4F50" w:rsidRPr="00463F8B">
      <w:headerReference w:type="default" r:id="rId9"/>
      <w:footerReference w:type="default" r:id="rId1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66C974" w15:done="0"/>
  <w15:commentEx w15:paraId="014B154D" w15:done="0"/>
  <w15:commentEx w15:paraId="387CDA41" w15:done="0"/>
  <w15:commentEx w15:paraId="28CDBAB2" w15:done="0"/>
  <w15:commentEx w15:paraId="777FFDC0" w15:done="0"/>
  <w15:commentEx w15:paraId="0436ACB5" w15:done="0"/>
  <w15:commentEx w15:paraId="408C5C44" w15:done="0"/>
  <w15:commentEx w15:paraId="63BC859A" w15:done="0"/>
  <w15:commentEx w15:paraId="525E4A2C" w15:done="0"/>
  <w15:commentEx w15:paraId="0650630A" w15:done="0"/>
  <w15:commentEx w15:paraId="54F41D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8C2F2" w14:textId="77777777" w:rsidR="00944231" w:rsidRDefault="00944231" w:rsidP="00F91B5B">
      <w:pPr>
        <w:spacing w:after="0" w:line="240" w:lineRule="auto"/>
      </w:pPr>
      <w:r>
        <w:separator/>
      </w:r>
    </w:p>
  </w:endnote>
  <w:endnote w:type="continuationSeparator" w:id="0">
    <w:p w14:paraId="289EBB0B" w14:textId="77777777" w:rsidR="00944231" w:rsidRDefault="00944231" w:rsidP="00F91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GaramondPro-Regular">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438792"/>
      <w:docPartObj>
        <w:docPartGallery w:val="Page Numbers (Bottom of Page)"/>
        <w:docPartUnique/>
      </w:docPartObj>
    </w:sdtPr>
    <w:sdtEndPr/>
    <w:sdtContent>
      <w:p w14:paraId="587AA540" w14:textId="294C1B98" w:rsidR="00B31A46" w:rsidRDefault="00B31A46">
        <w:pPr>
          <w:pStyle w:val="Voettekst"/>
          <w:jc w:val="right"/>
        </w:pPr>
        <w:r>
          <w:fldChar w:fldCharType="begin"/>
        </w:r>
        <w:r>
          <w:instrText>PAGE   \* MERGEFORMAT</w:instrText>
        </w:r>
        <w:r>
          <w:fldChar w:fldCharType="separate"/>
        </w:r>
        <w:r w:rsidR="00F86FE5" w:rsidRPr="00F86FE5">
          <w:rPr>
            <w:noProof/>
            <w:lang w:val="nl-NL"/>
          </w:rPr>
          <w:t>1</w:t>
        </w:r>
        <w:r>
          <w:fldChar w:fldCharType="end"/>
        </w:r>
      </w:p>
    </w:sdtContent>
  </w:sdt>
  <w:p w14:paraId="74227831" w14:textId="77777777" w:rsidR="00B31A46" w:rsidRDefault="00B31A4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DD1E9" w14:textId="77777777" w:rsidR="00944231" w:rsidRDefault="00944231" w:rsidP="00F91B5B">
      <w:pPr>
        <w:spacing w:after="0" w:line="240" w:lineRule="auto"/>
      </w:pPr>
      <w:r>
        <w:separator/>
      </w:r>
    </w:p>
  </w:footnote>
  <w:footnote w:type="continuationSeparator" w:id="0">
    <w:p w14:paraId="2FB1E553" w14:textId="77777777" w:rsidR="00944231" w:rsidRDefault="00944231" w:rsidP="00F91B5B">
      <w:pPr>
        <w:spacing w:after="0" w:line="240" w:lineRule="auto"/>
      </w:pPr>
      <w:r>
        <w:continuationSeparator/>
      </w:r>
    </w:p>
  </w:footnote>
  <w:footnote w:id="1">
    <w:p w14:paraId="0D6ED516" w14:textId="77777777" w:rsidR="00097A97" w:rsidRPr="007A5A90" w:rsidRDefault="00097A97" w:rsidP="00097A97">
      <w:pPr>
        <w:pStyle w:val="Voetnoottekst"/>
        <w:rPr>
          <w:lang w:val="en-GB"/>
        </w:rPr>
      </w:pPr>
      <w:r>
        <w:rPr>
          <w:rStyle w:val="Voetnootmarkering"/>
        </w:rPr>
        <w:footnoteRef/>
      </w:r>
      <w:r w:rsidRPr="007A5A90">
        <w:rPr>
          <w:lang w:val="en-GB"/>
        </w:rPr>
        <w:t xml:space="preserve"> </w:t>
      </w:r>
      <w:proofErr w:type="gramStart"/>
      <w:r>
        <w:rPr>
          <w:lang w:val="en-GB"/>
        </w:rPr>
        <w:t>Postdoctoral researcher at the Human Rights Centre of Ghent University.</w:t>
      </w:r>
      <w:proofErr w:type="gramEnd"/>
      <w:r>
        <w:rPr>
          <w:lang w:val="en-GB"/>
        </w:rPr>
        <w:t xml:space="preserve"> This research was funded by the Research Foundation Flanders (FWO).</w:t>
      </w:r>
    </w:p>
  </w:footnote>
  <w:footnote w:id="2">
    <w:p w14:paraId="316369BD" w14:textId="738D896D" w:rsidR="00B31A46" w:rsidRPr="00244A35" w:rsidRDefault="00B31A46">
      <w:pPr>
        <w:pStyle w:val="Voetnoottekst"/>
        <w:rPr>
          <w:lang w:val="en-GB"/>
        </w:rPr>
      </w:pPr>
      <w:r>
        <w:rPr>
          <w:rStyle w:val="Voetnootmarkering"/>
        </w:rPr>
        <w:footnoteRef/>
      </w:r>
      <w:r w:rsidRPr="004C43F9">
        <w:rPr>
          <w:lang w:val="en-GB"/>
        </w:rPr>
        <w:t xml:space="preserve"> </w:t>
      </w:r>
      <w:r>
        <w:rPr>
          <w:lang w:val="en-GB"/>
        </w:rPr>
        <w:t xml:space="preserve">S. </w:t>
      </w:r>
      <w:proofErr w:type="spellStart"/>
      <w:r>
        <w:rPr>
          <w:lang w:val="en-GB"/>
        </w:rPr>
        <w:t>Moyn</w:t>
      </w:r>
      <w:proofErr w:type="spellEnd"/>
      <w:r>
        <w:rPr>
          <w:lang w:val="en-GB"/>
        </w:rPr>
        <w:t xml:space="preserve">, </w:t>
      </w:r>
      <w:proofErr w:type="gramStart"/>
      <w:r>
        <w:rPr>
          <w:i/>
          <w:lang w:val="en-GB"/>
        </w:rPr>
        <w:t>The</w:t>
      </w:r>
      <w:proofErr w:type="gramEnd"/>
      <w:r>
        <w:rPr>
          <w:i/>
          <w:lang w:val="en-GB"/>
        </w:rPr>
        <w:t xml:space="preserve"> Last Utopia: Human Rights in History</w:t>
      </w:r>
      <w:r>
        <w:rPr>
          <w:lang w:val="en-GB"/>
        </w:rPr>
        <w:t xml:space="preserve">, Harvard, 2010. See, among others, P. Alston, </w:t>
      </w:r>
      <w:r w:rsidRPr="00244A35">
        <w:rPr>
          <w:i/>
          <w:lang w:val="en-GB"/>
        </w:rPr>
        <w:t>Does the past matter? On the origins of human rights</w:t>
      </w:r>
      <w:r>
        <w:rPr>
          <w:lang w:val="en-GB"/>
        </w:rPr>
        <w:t xml:space="preserve">, </w:t>
      </w:r>
      <w:r w:rsidRPr="00244A35">
        <w:rPr>
          <w:lang w:val="en-GB"/>
        </w:rPr>
        <w:t>Harvard Law Review</w:t>
      </w:r>
      <w:r>
        <w:rPr>
          <w:lang w:val="en-GB"/>
        </w:rPr>
        <w:t>, 126</w:t>
      </w:r>
      <w:r>
        <w:rPr>
          <w:i/>
          <w:lang w:val="en-GB"/>
        </w:rPr>
        <w:t xml:space="preserve"> </w:t>
      </w:r>
      <w:r>
        <w:rPr>
          <w:lang w:val="en-GB"/>
        </w:rPr>
        <w:t xml:space="preserve">(2012-13), p. 2043; E. </w:t>
      </w:r>
      <w:proofErr w:type="spellStart"/>
      <w:r>
        <w:rPr>
          <w:lang w:val="en-GB"/>
        </w:rPr>
        <w:t>Weitz</w:t>
      </w:r>
      <w:proofErr w:type="spellEnd"/>
      <w:r>
        <w:rPr>
          <w:lang w:val="en-GB"/>
        </w:rPr>
        <w:t xml:space="preserve">, </w:t>
      </w:r>
      <w:r w:rsidRPr="00244A35">
        <w:rPr>
          <w:i/>
          <w:lang w:val="en-GB"/>
        </w:rPr>
        <w:t xml:space="preserve">Samuel </w:t>
      </w:r>
      <w:proofErr w:type="spellStart"/>
      <w:r w:rsidRPr="00244A35">
        <w:rPr>
          <w:i/>
          <w:lang w:val="en-GB"/>
        </w:rPr>
        <w:t>Moyn</w:t>
      </w:r>
      <w:proofErr w:type="spellEnd"/>
      <w:r w:rsidRPr="00244A35">
        <w:rPr>
          <w:i/>
          <w:lang w:val="en-GB"/>
        </w:rPr>
        <w:t xml:space="preserve"> and the new history of human rights</w:t>
      </w:r>
      <w:r>
        <w:rPr>
          <w:lang w:val="en-GB"/>
        </w:rPr>
        <w:t xml:space="preserve">, </w:t>
      </w:r>
      <w:r w:rsidRPr="00244A35">
        <w:rPr>
          <w:lang w:val="en-GB"/>
        </w:rPr>
        <w:t>European Journal of Political Theory</w:t>
      </w:r>
      <w:r>
        <w:rPr>
          <w:lang w:val="en-GB"/>
        </w:rPr>
        <w:t>, 12</w:t>
      </w:r>
      <w:r w:rsidRPr="00244A35">
        <w:rPr>
          <w:lang w:val="en-GB"/>
        </w:rPr>
        <w:t xml:space="preserve"> </w:t>
      </w:r>
      <w:r>
        <w:rPr>
          <w:lang w:val="en-GB"/>
        </w:rPr>
        <w:t xml:space="preserve">(2013), p. 84-93; D. Pendas, </w:t>
      </w:r>
      <w:r w:rsidRPr="00244A35">
        <w:rPr>
          <w:i/>
          <w:lang w:val="en-GB"/>
        </w:rPr>
        <w:t>Towards a New Politics? On the Recent Historiography of Human Rights</w:t>
      </w:r>
      <w:r>
        <w:rPr>
          <w:lang w:val="en-GB"/>
        </w:rPr>
        <w:t xml:space="preserve">, </w:t>
      </w:r>
      <w:r w:rsidRPr="00244A35">
        <w:rPr>
          <w:lang w:val="en-GB"/>
        </w:rPr>
        <w:t>Contemporary European History</w:t>
      </w:r>
      <w:r>
        <w:rPr>
          <w:lang w:val="en-GB"/>
        </w:rPr>
        <w:t>, 21</w:t>
      </w:r>
      <w:r w:rsidRPr="00244A35">
        <w:rPr>
          <w:lang w:val="en-GB"/>
        </w:rPr>
        <w:t xml:space="preserve"> </w:t>
      </w:r>
      <w:r>
        <w:rPr>
          <w:lang w:val="en-GB"/>
        </w:rPr>
        <w:t>(</w:t>
      </w:r>
      <w:r w:rsidRPr="00244A35">
        <w:rPr>
          <w:lang w:val="en-GB"/>
        </w:rPr>
        <w:t>2012</w:t>
      </w:r>
      <w:r>
        <w:rPr>
          <w:lang w:val="en-GB"/>
        </w:rPr>
        <w:t>)</w:t>
      </w:r>
      <w:r w:rsidRPr="00244A35">
        <w:rPr>
          <w:lang w:val="en-GB"/>
        </w:rPr>
        <w:t>, p. 95-111.</w:t>
      </w:r>
    </w:p>
  </w:footnote>
  <w:footnote w:id="3">
    <w:p w14:paraId="4DDC3C38" w14:textId="5EA13494" w:rsidR="00B31A46" w:rsidRPr="00533B7A" w:rsidRDefault="00B31A46">
      <w:pPr>
        <w:pStyle w:val="Voetnoottekst"/>
        <w:rPr>
          <w:lang w:val="en-GB"/>
        </w:rPr>
      </w:pPr>
      <w:r>
        <w:rPr>
          <w:rStyle w:val="Voetnootmarkering"/>
        </w:rPr>
        <w:footnoteRef/>
      </w:r>
      <w:r w:rsidRPr="00533B7A">
        <w:rPr>
          <w:lang w:val="en-GB"/>
        </w:rPr>
        <w:t xml:space="preserve"> </w:t>
      </w:r>
      <w:r w:rsidRPr="008141A9">
        <w:rPr>
          <w:lang w:val="en-GB"/>
        </w:rPr>
        <w:t>E. Bates,</w:t>
      </w:r>
      <w:r>
        <w:rPr>
          <w:lang w:val="en-GB"/>
        </w:rPr>
        <w:t xml:space="preserve"> </w:t>
      </w:r>
      <w:proofErr w:type="gramStart"/>
      <w:r>
        <w:rPr>
          <w:i/>
          <w:lang w:val="en-GB"/>
        </w:rPr>
        <w:t>The</w:t>
      </w:r>
      <w:proofErr w:type="gramEnd"/>
      <w:r>
        <w:rPr>
          <w:i/>
          <w:lang w:val="en-GB"/>
        </w:rPr>
        <w:t xml:space="preserve"> Evolution of the European Convention on </w:t>
      </w:r>
      <w:r w:rsidRPr="008141A9">
        <w:rPr>
          <w:i/>
          <w:lang w:val="en-GB"/>
        </w:rPr>
        <w:t>Human Rights</w:t>
      </w:r>
      <w:r>
        <w:rPr>
          <w:lang w:val="en-GB"/>
        </w:rPr>
        <w:t>, Oxford, 2010, p. 2.</w:t>
      </w:r>
    </w:p>
  </w:footnote>
  <w:footnote w:id="4">
    <w:p w14:paraId="14FF11E7" w14:textId="3F9B6DFF" w:rsidR="00B31A46" w:rsidRPr="00B21960" w:rsidRDefault="00B31A46">
      <w:pPr>
        <w:pStyle w:val="Voetnoottekst"/>
        <w:rPr>
          <w:lang w:val="en-GB"/>
        </w:rPr>
      </w:pPr>
      <w:r>
        <w:rPr>
          <w:rStyle w:val="Voetnootmarkering"/>
        </w:rPr>
        <w:footnoteRef/>
      </w:r>
      <w:r w:rsidRPr="00B21960">
        <w:rPr>
          <w:lang w:val="en-GB"/>
        </w:rPr>
        <w:t xml:space="preserve"> </w:t>
      </w:r>
      <w:r>
        <w:rPr>
          <w:lang w:val="en-GB"/>
        </w:rPr>
        <w:t>E.g.</w:t>
      </w:r>
      <w:r w:rsidRPr="00B21960">
        <w:rPr>
          <w:lang w:val="en-GB"/>
        </w:rPr>
        <w:t xml:space="preserve"> </w:t>
      </w:r>
      <w:r>
        <w:rPr>
          <w:lang w:val="en-GB"/>
        </w:rPr>
        <w:t xml:space="preserve">A. Simpson, </w:t>
      </w:r>
      <w:r>
        <w:rPr>
          <w:i/>
          <w:lang w:val="en-GB"/>
        </w:rPr>
        <w:t xml:space="preserve">Human Rights and the End of Empire, </w:t>
      </w:r>
      <w:r>
        <w:rPr>
          <w:lang w:val="en-GB"/>
        </w:rPr>
        <w:t xml:space="preserve">Oxford, 2001; </w:t>
      </w:r>
      <w:r w:rsidRPr="008141A9">
        <w:rPr>
          <w:lang w:val="en-GB"/>
        </w:rPr>
        <w:t>E. Bates,</w:t>
      </w:r>
      <w:r>
        <w:rPr>
          <w:lang w:val="en-GB"/>
        </w:rPr>
        <w:t xml:space="preserve"> </w:t>
      </w:r>
      <w:r>
        <w:rPr>
          <w:i/>
          <w:lang w:val="en-GB"/>
        </w:rPr>
        <w:t xml:space="preserve">The Evolution of the European Convention on </w:t>
      </w:r>
      <w:r w:rsidRPr="008141A9">
        <w:rPr>
          <w:i/>
          <w:lang w:val="en-GB"/>
        </w:rPr>
        <w:t>Human Rights</w:t>
      </w:r>
      <w:r>
        <w:rPr>
          <w:lang w:val="en-GB"/>
        </w:rPr>
        <w:t xml:space="preserve">, Oxford University Press, 2010; M. </w:t>
      </w:r>
      <w:proofErr w:type="spellStart"/>
      <w:r>
        <w:rPr>
          <w:lang w:val="en-GB"/>
        </w:rPr>
        <w:t>Duranti</w:t>
      </w:r>
      <w:proofErr w:type="spellEnd"/>
      <w:r>
        <w:rPr>
          <w:lang w:val="en-GB"/>
        </w:rPr>
        <w:t xml:space="preserve">, </w:t>
      </w:r>
      <w:r>
        <w:rPr>
          <w:i/>
          <w:lang w:val="en-GB"/>
        </w:rPr>
        <w:t>The Conservative Human Rights Revolution</w:t>
      </w:r>
      <w:r>
        <w:rPr>
          <w:lang w:val="en-GB"/>
        </w:rPr>
        <w:t xml:space="preserve">, Oxford, 2016; M. Madsen, </w:t>
      </w:r>
      <w:r w:rsidRPr="00244A35">
        <w:rPr>
          <w:i/>
          <w:lang w:val="en-GB"/>
        </w:rPr>
        <w:t>The Challenging Authority of the European Court of Human Rights: From Cold War Legal Diplomacy to the Brighton Declaration and Backlash</w:t>
      </w:r>
      <w:r>
        <w:rPr>
          <w:lang w:val="en-GB"/>
        </w:rPr>
        <w:t xml:space="preserve">, </w:t>
      </w:r>
      <w:r w:rsidRPr="00244A35">
        <w:rPr>
          <w:lang w:val="en-GB"/>
        </w:rPr>
        <w:t>Law and Contemporary Problems</w:t>
      </w:r>
      <w:r>
        <w:rPr>
          <w:lang w:val="en-GB"/>
        </w:rPr>
        <w:t>, 79</w:t>
      </w:r>
      <w:r>
        <w:rPr>
          <w:i/>
          <w:lang w:val="en-GB"/>
        </w:rPr>
        <w:t xml:space="preserve"> </w:t>
      </w:r>
      <w:r>
        <w:rPr>
          <w:lang w:val="en-GB"/>
        </w:rPr>
        <w:t>(2016), p. 141-178.</w:t>
      </w:r>
    </w:p>
  </w:footnote>
  <w:footnote w:id="5">
    <w:p w14:paraId="185E916E" w14:textId="48D7AC53" w:rsidR="00B31A46" w:rsidRPr="00B71E42" w:rsidRDefault="00B31A46">
      <w:pPr>
        <w:pStyle w:val="Voetnoottekst"/>
        <w:rPr>
          <w:lang w:val="fr-BE"/>
        </w:rPr>
      </w:pPr>
      <w:r>
        <w:rPr>
          <w:rStyle w:val="Voetnootmarkering"/>
        </w:rPr>
        <w:footnoteRef/>
      </w:r>
      <w:r w:rsidRPr="00B71E42">
        <w:rPr>
          <w:lang w:val="fr-BE"/>
        </w:rPr>
        <w:t xml:space="preserve"> M. </w:t>
      </w:r>
      <w:proofErr w:type="spellStart"/>
      <w:r w:rsidRPr="00B71E42">
        <w:rPr>
          <w:lang w:val="fr-BE"/>
        </w:rPr>
        <w:t>Madsen</w:t>
      </w:r>
      <w:proofErr w:type="spellEnd"/>
      <w:r w:rsidRPr="00B71E42">
        <w:rPr>
          <w:lang w:val="fr-BE"/>
        </w:rPr>
        <w:t xml:space="preserve">, </w:t>
      </w:r>
      <w:r w:rsidRPr="00B71E42">
        <w:rPr>
          <w:i/>
          <w:lang w:val="fr-BE"/>
        </w:rPr>
        <w:t>La genèse de l’Europe des droits de l’homme</w:t>
      </w:r>
      <w:r>
        <w:rPr>
          <w:lang w:val="fr-BE"/>
        </w:rPr>
        <w:t>, Strasbourg, 2010, p. 22.</w:t>
      </w:r>
    </w:p>
  </w:footnote>
  <w:footnote w:id="6">
    <w:p w14:paraId="7EFDD983" w14:textId="03DF6679" w:rsidR="00B31A46" w:rsidRPr="005C07AC" w:rsidRDefault="00B31A46">
      <w:pPr>
        <w:pStyle w:val="Voetnoottekst"/>
        <w:rPr>
          <w:lang w:val="en-GB"/>
        </w:rPr>
      </w:pPr>
      <w:r>
        <w:rPr>
          <w:rStyle w:val="Voetnootmarkering"/>
        </w:rPr>
        <w:footnoteRef/>
      </w:r>
      <w:r w:rsidRPr="005C07AC">
        <w:rPr>
          <w:lang w:val="en-GB"/>
        </w:rPr>
        <w:t xml:space="preserve"> </w:t>
      </w:r>
      <w:r>
        <w:rPr>
          <w:lang w:val="en-GB"/>
        </w:rPr>
        <w:t xml:space="preserve">M. Madsen, </w:t>
      </w:r>
      <w:proofErr w:type="gramStart"/>
      <w:r w:rsidRPr="00244A35">
        <w:rPr>
          <w:i/>
          <w:lang w:val="en-GB"/>
        </w:rPr>
        <w:t>The</w:t>
      </w:r>
      <w:proofErr w:type="gramEnd"/>
      <w:r w:rsidRPr="00244A35">
        <w:rPr>
          <w:i/>
          <w:lang w:val="en-GB"/>
        </w:rPr>
        <w:t xml:space="preserve"> Challenging Authority of the European Court of Human Rights: From Cold War Legal Diplomacy to the Brighton Declaration and Backlash</w:t>
      </w:r>
      <w:r>
        <w:rPr>
          <w:lang w:val="en-GB"/>
        </w:rPr>
        <w:t xml:space="preserve">, </w:t>
      </w:r>
      <w:r w:rsidRPr="00244A35">
        <w:rPr>
          <w:lang w:val="en-GB"/>
        </w:rPr>
        <w:t>Law and Contemporary Problems</w:t>
      </w:r>
      <w:r>
        <w:rPr>
          <w:lang w:val="en-GB"/>
        </w:rPr>
        <w:t>, 79</w:t>
      </w:r>
      <w:r>
        <w:rPr>
          <w:i/>
          <w:lang w:val="en-GB"/>
        </w:rPr>
        <w:t xml:space="preserve"> </w:t>
      </w:r>
      <w:r>
        <w:rPr>
          <w:lang w:val="en-GB"/>
        </w:rPr>
        <w:t>(2016), p. 141 at p. 142-143.</w:t>
      </w:r>
    </w:p>
  </w:footnote>
  <w:footnote w:id="7">
    <w:p w14:paraId="6B8E6B67" w14:textId="1AF945B9" w:rsidR="00B31A46" w:rsidRPr="00AB5062" w:rsidRDefault="00B31A46">
      <w:pPr>
        <w:pStyle w:val="Voetnoottekst"/>
        <w:rPr>
          <w:lang w:val="en-GB"/>
        </w:rPr>
      </w:pPr>
      <w:r>
        <w:rPr>
          <w:rStyle w:val="Voetnootmarkering"/>
        </w:rPr>
        <w:footnoteRef/>
      </w:r>
      <w:r w:rsidRPr="00AB5062">
        <w:rPr>
          <w:lang w:val="en-GB"/>
        </w:rPr>
        <w:t xml:space="preserve"> </w:t>
      </w:r>
      <w:r w:rsidRPr="008141A9">
        <w:rPr>
          <w:lang w:val="en-GB"/>
        </w:rPr>
        <w:t>E. Bates,</w:t>
      </w:r>
      <w:r>
        <w:rPr>
          <w:lang w:val="en-GB"/>
        </w:rPr>
        <w:t xml:space="preserve"> </w:t>
      </w:r>
      <w:proofErr w:type="gramStart"/>
      <w:r>
        <w:rPr>
          <w:i/>
          <w:lang w:val="en-GB"/>
        </w:rPr>
        <w:t>The</w:t>
      </w:r>
      <w:proofErr w:type="gramEnd"/>
      <w:r>
        <w:rPr>
          <w:i/>
          <w:lang w:val="en-GB"/>
        </w:rPr>
        <w:t xml:space="preserve"> Evolution of the European Convention on </w:t>
      </w:r>
      <w:r w:rsidRPr="008141A9">
        <w:rPr>
          <w:i/>
          <w:lang w:val="en-GB"/>
        </w:rPr>
        <w:t>Human Rights</w:t>
      </w:r>
      <w:r>
        <w:rPr>
          <w:lang w:val="en-GB"/>
        </w:rPr>
        <w:t>, Oxford, 2010, p. 261-263.</w:t>
      </w:r>
    </w:p>
  </w:footnote>
  <w:footnote w:id="8">
    <w:p w14:paraId="51BB2F26" w14:textId="77777777" w:rsidR="00B31A46" w:rsidRPr="001D7701" w:rsidRDefault="00B31A46">
      <w:pPr>
        <w:pStyle w:val="Voetnoottekst"/>
        <w:rPr>
          <w:lang w:val="en-GB"/>
        </w:rPr>
      </w:pPr>
      <w:r>
        <w:rPr>
          <w:rStyle w:val="Voetnootmarkering"/>
        </w:rPr>
        <w:footnoteRef/>
      </w:r>
      <w:r w:rsidRPr="001D7701">
        <w:rPr>
          <w:lang w:val="en-GB"/>
        </w:rPr>
        <w:t xml:space="preserve"> </w:t>
      </w:r>
      <w:proofErr w:type="gramStart"/>
      <w:r w:rsidRPr="001D7701">
        <w:rPr>
          <w:i/>
          <w:lang w:val="en-GB"/>
        </w:rPr>
        <w:t>Ibid.,</w:t>
      </w:r>
      <w:proofErr w:type="gramEnd"/>
      <w:r w:rsidRPr="001D7701">
        <w:rPr>
          <w:lang w:val="en-GB"/>
        </w:rPr>
        <w:t xml:space="preserve"> p. 343-346.</w:t>
      </w:r>
    </w:p>
  </w:footnote>
  <w:footnote w:id="9">
    <w:p w14:paraId="150CB1D4" w14:textId="06B9C444" w:rsidR="00B31A46" w:rsidRPr="00B71E42" w:rsidRDefault="00B31A46">
      <w:pPr>
        <w:pStyle w:val="Voetnoottekst"/>
        <w:rPr>
          <w:lang w:val="en-GB"/>
        </w:rPr>
      </w:pPr>
      <w:r>
        <w:rPr>
          <w:rStyle w:val="Voetnootmarkering"/>
        </w:rPr>
        <w:footnoteRef/>
      </w:r>
      <w:r w:rsidRPr="00B31A46">
        <w:rPr>
          <w:lang w:val="en-GB"/>
        </w:rPr>
        <w:t xml:space="preserve"> Similarly, S. </w:t>
      </w:r>
      <w:proofErr w:type="spellStart"/>
      <w:r w:rsidRPr="00B31A46">
        <w:rPr>
          <w:lang w:val="en-GB"/>
        </w:rPr>
        <w:t>Hennette-Vauchez</w:t>
      </w:r>
      <w:proofErr w:type="spellEnd"/>
      <w:r w:rsidRPr="00B31A46">
        <w:rPr>
          <w:lang w:val="en-GB"/>
        </w:rPr>
        <w:t xml:space="preserve">, </w:t>
      </w:r>
      <w:r w:rsidRPr="00B31A46">
        <w:rPr>
          <w:i/>
          <w:lang w:val="en-GB"/>
        </w:rPr>
        <w:t xml:space="preserve">Constitutional v International? </w:t>
      </w:r>
      <w:proofErr w:type="gramStart"/>
      <w:r w:rsidRPr="00244A35">
        <w:rPr>
          <w:i/>
          <w:lang w:val="en-GB"/>
        </w:rPr>
        <w:t>When Unified Reformatory Rationales Mismatch the Plural Paths of Legitimacy of ECHR Law</w:t>
      </w:r>
      <w:r>
        <w:rPr>
          <w:lang w:val="en-GB"/>
        </w:rPr>
        <w:t xml:space="preserve">, in: J. </w:t>
      </w:r>
      <w:proofErr w:type="spellStart"/>
      <w:r>
        <w:rPr>
          <w:lang w:val="en-GB"/>
        </w:rPr>
        <w:t>Christoffersen</w:t>
      </w:r>
      <w:proofErr w:type="spellEnd"/>
      <w:r>
        <w:rPr>
          <w:lang w:val="en-GB"/>
        </w:rPr>
        <w:t xml:space="preserve"> and M. Madsen (eds.), </w:t>
      </w:r>
      <w:r w:rsidRPr="00244A35">
        <w:rPr>
          <w:lang w:val="en-GB"/>
        </w:rPr>
        <w:t>The European Court of Human Rights between Law and Politics, Oxford, 2011, p. 144 at p. 146.</w:t>
      </w:r>
      <w:proofErr w:type="gramEnd"/>
    </w:p>
  </w:footnote>
  <w:footnote w:id="10">
    <w:p w14:paraId="230ED082" w14:textId="10878422" w:rsidR="00B31A46" w:rsidRPr="0004103E" w:rsidRDefault="00B31A46">
      <w:pPr>
        <w:pStyle w:val="Voetnoottekst"/>
        <w:rPr>
          <w:lang w:val="fr-BE"/>
        </w:rPr>
      </w:pPr>
      <w:r>
        <w:rPr>
          <w:rStyle w:val="Voetnootmarkering"/>
        </w:rPr>
        <w:footnoteRef/>
      </w:r>
      <w:r w:rsidRPr="0004103E">
        <w:rPr>
          <w:lang w:val="fr-BE"/>
        </w:rPr>
        <w:t xml:space="preserve"> </w:t>
      </w:r>
      <w:r w:rsidRPr="005141C4">
        <w:rPr>
          <w:lang w:val="fr-BE"/>
        </w:rPr>
        <w:t xml:space="preserve">M. </w:t>
      </w:r>
      <w:proofErr w:type="spellStart"/>
      <w:r w:rsidRPr="005141C4">
        <w:rPr>
          <w:lang w:val="fr-BE"/>
        </w:rPr>
        <w:t>Madsen</w:t>
      </w:r>
      <w:proofErr w:type="spellEnd"/>
      <w:r w:rsidRPr="005141C4">
        <w:rPr>
          <w:lang w:val="fr-BE"/>
        </w:rPr>
        <w:t xml:space="preserve">, </w:t>
      </w:r>
      <w:r w:rsidRPr="005141C4">
        <w:rPr>
          <w:i/>
          <w:lang w:val="fr-BE"/>
        </w:rPr>
        <w:t>Le genèse de l’Europe des droits de l’homme</w:t>
      </w:r>
      <w:r w:rsidRPr="005141C4">
        <w:rPr>
          <w:lang w:val="fr-BE"/>
        </w:rPr>
        <w:t>, Strasbourg, 2010</w:t>
      </w:r>
      <w:r>
        <w:rPr>
          <w:lang w:val="fr-BE"/>
        </w:rPr>
        <w:t>, p. 25-26.</w:t>
      </w:r>
    </w:p>
  </w:footnote>
  <w:footnote w:id="11">
    <w:p w14:paraId="0A61D170" w14:textId="39E4D40F" w:rsidR="00B31A46" w:rsidRPr="0004103E" w:rsidRDefault="00B31A46">
      <w:pPr>
        <w:pStyle w:val="Voetnoottekst"/>
        <w:rPr>
          <w:lang w:val="fr-BE"/>
        </w:rPr>
      </w:pPr>
      <w:r>
        <w:rPr>
          <w:rStyle w:val="Voetnootmarkering"/>
        </w:rPr>
        <w:footnoteRef/>
      </w:r>
      <w:r w:rsidRPr="0004103E">
        <w:rPr>
          <w:lang w:val="fr-BE"/>
        </w:rPr>
        <w:t xml:space="preserve"> </w:t>
      </w:r>
      <w:proofErr w:type="spellStart"/>
      <w:r w:rsidRPr="0004103E">
        <w:rPr>
          <w:lang w:val="fr-BE"/>
        </w:rPr>
        <w:t>E.g</w:t>
      </w:r>
      <w:proofErr w:type="spellEnd"/>
      <w:r w:rsidRPr="0004103E">
        <w:rPr>
          <w:lang w:val="fr-BE"/>
        </w:rPr>
        <w:t xml:space="preserve">. P. Lambert, </w:t>
      </w:r>
      <w:r w:rsidRPr="00C969EF">
        <w:rPr>
          <w:i/>
          <w:lang w:val="fr-BE"/>
        </w:rPr>
        <w:t xml:space="preserve">La Belgique devant la Cour européenne des droits de l’homme, </w:t>
      </w:r>
      <w:r w:rsidRPr="0004103E">
        <w:rPr>
          <w:lang w:val="fr-BE"/>
        </w:rPr>
        <w:t xml:space="preserve">Brussels, </w:t>
      </w:r>
      <w:r w:rsidRPr="00C969EF">
        <w:rPr>
          <w:lang w:val="fr-BE"/>
        </w:rPr>
        <w:t>2002</w:t>
      </w:r>
      <w:r>
        <w:rPr>
          <w:lang w:val="fr-BE"/>
        </w:rPr>
        <w:t>.</w:t>
      </w:r>
    </w:p>
  </w:footnote>
  <w:footnote w:id="12">
    <w:p w14:paraId="65AC70BB" w14:textId="1AA816C6" w:rsidR="00B31A46" w:rsidRPr="0004103E" w:rsidRDefault="00B31A46">
      <w:pPr>
        <w:pStyle w:val="Voetnoottekst"/>
        <w:rPr>
          <w:lang w:val="fr-BE"/>
        </w:rPr>
      </w:pPr>
      <w:r>
        <w:rPr>
          <w:rStyle w:val="Voetnootmarkering"/>
        </w:rPr>
        <w:footnoteRef/>
      </w:r>
      <w:r w:rsidRPr="0004103E">
        <w:rPr>
          <w:lang w:val="fr-BE"/>
        </w:rPr>
        <w:t xml:space="preserve"> </w:t>
      </w:r>
      <w:proofErr w:type="spellStart"/>
      <w:r w:rsidRPr="0004103E">
        <w:rPr>
          <w:lang w:val="fr-BE"/>
        </w:rPr>
        <w:t>E.g</w:t>
      </w:r>
      <w:proofErr w:type="spellEnd"/>
      <w:r w:rsidRPr="0004103E">
        <w:rPr>
          <w:lang w:val="fr-BE"/>
        </w:rPr>
        <w:t xml:space="preserve">. P. Lambert, </w:t>
      </w:r>
      <w:r w:rsidRPr="0004103E">
        <w:rPr>
          <w:i/>
          <w:lang w:val="fr-BE"/>
        </w:rPr>
        <w:t>La Convention européenne des droits de l’homme dans la jurisprudence belge</w:t>
      </w:r>
      <w:r>
        <w:rPr>
          <w:lang w:val="fr-BE"/>
        </w:rPr>
        <w:t>, Brussels, 1987.</w:t>
      </w:r>
    </w:p>
  </w:footnote>
  <w:footnote w:id="13">
    <w:p w14:paraId="236D94DF" w14:textId="0452314A" w:rsidR="00B31A46" w:rsidRPr="0004103E" w:rsidRDefault="00B31A46">
      <w:pPr>
        <w:pStyle w:val="Voetnoottekst"/>
        <w:rPr>
          <w:lang w:val="fr-BE"/>
        </w:rPr>
      </w:pPr>
      <w:r>
        <w:rPr>
          <w:rStyle w:val="Voetnootmarkering"/>
        </w:rPr>
        <w:footnoteRef/>
      </w:r>
      <w:r>
        <w:rPr>
          <w:lang w:val="fr-BE"/>
        </w:rPr>
        <w:t xml:space="preserve"> </w:t>
      </w:r>
      <w:proofErr w:type="spellStart"/>
      <w:r>
        <w:rPr>
          <w:lang w:val="fr-BE"/>
        </w:rPr>
        <w:t>E.g</w:t>
      </w:r>
      <w:proofErr w:type="spellEnd"/>
      <w:r>
        <w:rPr>
          <w:lang w:val="fr-BE"/>
        </w:rPr>
        <w:t>.</w:t>
      </w:r>
      <w:r w:rsidRPr="001F02CF">
        <w:rPr>
          <w:lang w:val="fr-BE"/>
        </w:rPr>
        <w:t xml:space="preserve"> </w:t>
      </w:r>
      <w:r>
        <w:rPr>
          <w:lang w:val="fr-BE"/>
        </w:rPr>
        <w:t xml:space="preserve">J. </w:t>
      </w:r>
      <w:proofErr w:type="spellStart"/>
      <w:r>
        <w:rPr>
          <w:lang w:val="fr-BE"/>
        </w:rPr>
        <w:t>Pieret</w:t>
      </w:r>
      <w:proofErr w:type="spellEnd"/>
      <w:r>
        <w:rPr>
          <w:lang w:val="fr-BE"/>
        </w:rPr>
        <w:t xml:space="preserve">, </w:t>
      </w:r>
      <w:r w:rsidRPr="00244A35">
        <w:rPr>
          <w:i/>
          <w:lang w:val="fr-BE"/>
        </w:rPr>
        <w:t>L’influence du juge Belge sur l’effectivité de la Convention: retour doctrinal et jurisprudentiel sur le concept d’effet direct</w:t>
      </w:r>
      <w:r>
        <w:rPr>
          <w:lang w:val="fr-BE"/>
        </w:rPr>
        <w:t xml:space="preserve">, in : </w:t>
      </w:r>
      <w:r w:rsidRPr="00244A35">
        <w:rPr>
          <w:lang w:val="fr-BE"/>
        </w:rPr>
        <w:t>Entre Ombres et Lumières : Cinquante ans d’application de la Convention européenne des droits de l’homme en Belgique</w:t>
      </w:r>
      <w:r>
        <w:rPr>
          <w:i/>
          <w:lang w:val="fr-BE"/>
        </w:rPr>
        <w:t xml:space="preserve">, </w:t>
      </w:r>
      <w:r w:rsidRPr="0004103E">
        <w:rPr>
          <w:lang w:val="fr-BE"/>
        </w:rPr>
        <w:t xml:space="preserve">Brussels, </w:t>
      </w:r>
      <w:r>
        <w:rPr>
          <w:lang w:val="fr-BE"/>
        </w:rPr>
        <w:t>2008, p. 83-143.</w:t>
      </w:r>
    </w:p>
  </w:footnote>
  <w:footnote w:id="14">
    <w:p w14:paraId="3DF4E7CF" w14:textId="57369462" w:rsidR="00B31A46" w:rsidRPr="00A95454" w:rsidRDefault="00B31A46" w:rsidP="006C7687">
      <w:pPr>
        <w:pStyle w:val="Voetnoottekst"/>
        <w:rPr>
          <w:lang w:val="en-GB"/>
        </w:rPr>
      </w:pPr>
      <w:r>
        <w:rPr>
          <w:rStyle w:val="Voetnootmarkering"/>
        </w:rPr>
        <w:footnoteRef/>
      </w:r>
      <w:r w:rsidRPr="00A95454">
        <w:rPr>
          <w:lang w:val="en-GB"/>
        </w:rPr>
        <w:t xml:space="preserve"> </w:t>
      </w:r>
      <w:r>
        <w:rPr>
          <w:lang w:val="en-GB"/>
        </w:rPr>
        <w:t xml:space="preserve">See the ranking of countries in E. Boyle and M. Thompson, </w:t>
      </w:r>
      <w:r w:rsidRPr="00244A35">
        <w:rPr>
          <w:i/>
          <w:lang w:val="en-GB"/>
        </w:rPr>
        <w:t>National Politics and Resort to the European Commission on Human Rights</w:t>
      </w:r>
      <w:r>
        <w:rPr>
          <w:lang w:val="en-GB"/>
        </w:rPr>
        <w:t xml:space="preserve">, </w:t>
      </w:r>
      <w:r w:rsidRPr="00244A35">
        <w:rPr>
          <w:lang w:val="en-GB"/>
        </w:rPr>
        <w:t>Law &amp; Society Review</w:t>
      </w:r>
      <w:r>
        <w:rPr>
          <w:lang w:val="en-GB"/>
        </w:rPr>
        <w:t>, 35</w:t>
      </w:r>
      <w:r>
        <w:rPr>
          <w:i/>
          <w:lang w:val="en-GB"/>
        </w:rPr>
        <w:t xml:space="preserve"> </w:t>
      </w:r>
      <w:r>
        <w:rPr>
          <w:lang w:val="en-GB"/>
        </w:rPr>
        <w:t>(2001), p. 321 on p. 334. Belgium was listed respectively 5</w:t>
      </w:r>
      <w:r w:rsidRPr="00A95454">
        <w:rPr>
          <w:vertAlign w:val="superscript"/>
          <w:lang w:val="en-GB"/>
        </w:rPr>
        <w:t>th</w:t>
      </w:r>
      <w:r>
        <w:rPr>
          <w:lang w:val="en-GB"/>
        </w:rPr>
        <w:t>, 6</w:t>
      </w:r>
      <w:r w:rsidRPr="00A95454">
        <w:rPr>
          <w:vertAlign w:val="superscript"/>
          <w:lang w:val="en-GB"/>
        </w:rPr>
        <w:t>th</w:t>
      </w:r>
      <w:r>
        <w:rPr>
          <w:lang w:val="en-GB"/>
        </w:rPr>
        <w:t xml:space="preserve"> and 7</w:t>
      </w:r>
      <w:r w:rsidRPr="00A95454">
        <w:rPr>
          <w:vertAlign w:val="superscript"/>
          <w:lang w:val="en-GB"/>
        </w:rPr>
        <w:t>th</w:t>
      </w:r>
      <w:r>
        <w:rPr>
          <w:lang w:val="en-GB"/>
        </w:rPr>
        <w:t xml:space="preserve"> in terms of applications per million inhabitants in 1976, 1981 and 1986.</w:t>
      </w:r>
    </w:p>
  </w:footnote>
  <w:footnote w:id="15">
    <w:p w14:paraId="776DBDE6" w14:textId="53D9A7EC" w:rsidR="00B31A46" w:rsidRPr="00393A4A" w:rsidRDefault="00B31A46" w:rsidP="006C7687">
      <w:pPr>
        <w:pStyle w:val="Voetnoottekst"/>
        <w:rPr>
          <w:lang w:val="en-GB"/>
        </w:rPr>
      </w:pPr>
      <w:r>
        <w:rPr>
          <w:rStyle w:val="Voetnootmarkering"/>
        </w:rPr>
        <w:footnoteRef/>
      </w:r>
      <w:r w:rsidRPr="00393A4A">
        <w:rPr>
          <w:lang w:val="en-GB"/>
        </w:rPr>
        <w:t xml:space="preserve"> </w:t>
      </w:r>
      <w:r>
        <w:rPr>
          <w:lang w:val="en-GB"/>
        </w:rPr>
        <w:t xml:space="preserve">M. Van Hoecke and S. Vandenbogaerde, </w:t>
      </w:r>
      <w:r w:rsidRPr="00244A35">
        <w:rPr>
          <w:i/>
          <w:lang w:val="en-GB"/>
        </w:rPr>
        <w:t>Basic Features of the Belgian Legal System</w:t>
      </w:r>
      <w:r>
        <w:rPr>
          <w:lang w:val="en-GB"/>
        </w:rPr>
        <w:t xml:space="preserve">, in: M. </w:t>
      </w:r>
      <w:proofErr w:type="spellStart"/>
      <w:r>
        <w:rPr>
          <w:lang w:val="en-GB"/>
        </w:rPr>
        <w:t>Kruithof</w:t>
      </w:r>
      <w:proofErr w:type="spellEnd"/>
      <w:r>
        <w:rPr>
          <w:lang w:val="en-GB"/>
        </w:rPr>
        <w:t xml:space="preserve"> and W. De </w:t>
      </w:r>
      <w:proofErr w:type="spellStart"/>
      <w:r>
        <w:rPr>
          <w:lang w:val="en-GB"/>
        </w:rPr>
        <w:t>Bondt</w:t>
      </w:r>
      <w:proofErr w:type="spellEnd"/>
      <w:r>
        <w:rPr>
          <w:lang w:val="en-GB"/>
        </w:rPr>
        <w:t xml:space="preserve"> (eds.), </w:t>
      </w:r>
      <w:r w:rsidRPr="00244A35">
        <w:rPr>
          <w:lang w:val="en-GB"/>
        </w:rPr>
        <w:t xml:space="preserve">Introduction to Belgian Law, </w:t>
      </w:r>
      <w:r>
        <w:rPr>
          <w:lang w:val="en-GB"/>
        </w:rPr>
        <w:t xml:space="preserve">Alphen </w:t>
      </w:r>
      <w:proofErr w:type="spellStart"/>
      <w:r>
        <w:rPr>
          <w:lang w:val="en-GB"/>
        </w:rPr>
        <w:t>aan</w:t>
      </w:r>
      <w:proofErr w:type="spellEnd"/>
      <w:r>
        <w:rPr>
          <w:lang w:val="en-GB"/>
        </w:rPr>
        <w:t xml:space="preserve"> de Rijn, 2017, p. 25-26.</w:t>
      </w:r>
    </w:p>
  </w:footnote>
  <w:footnote w:id="16">
    <w:p w14:paraId="481B0841" w14:textId="5A430FC7" w:rsidR="00B31A46" w:rsidRPr="006C7687" w:rsidRDefault="00B31A46" w:rsidP="006C7687">
      <w:pPr>
        <w:pStyle w:val="Voetnoottekst"/>
        <w:rPr>
          <w:lang w:val="en-GB"/>
        </w:rPr>
      </w:pPr>
      <w:r>
        <w:rPr>
          <w:rStyle w:val="Voetnootmarkering"/>
        </w:rPr>
        <w:footnoteRef/>
      </w:r>
      <w:r w:rsidRPr="006C7687">
        <w:rPr>
          <w:lang w:val="en-GB"/>
        </w:rPr>
        <w:t xml:space="preserve"> </w:t>
      </w:r>
      <w:r>
        <w:rPr>
          <w:lang w:val="en-GB"/>
        </w:rPr>
        <w:t xml:space="preserve">G.-R. Horn, </w:t>
      </w:r>
      <w:proofErr w:type="gramStart"/>
      <w:r w:rsidRPr="00244A35">
        <w:rPr>
          <w:i/>
          <w:lang w:val="en-GB"/>
        </w:rPr>
        <w:t>The</w:t>
      </w:r>
      <w:proofErr w:type="gramEnd"/>
      <w:r w:rsidRPr="00244A35">
        <w:rPr>
          <w:i/>
          <w:lang w:val="en-GB"/>
        </w:rPr>
        <w:t xml:space="preserve"> Belgian Contribution to Global 1968</w:t>
      </w:r>
      <w:r>
        <w:rPr>
          <w:lang w:val="en-GB"/>
        </w:rPr>
        <w:t xml:space="preserve">, </w:t>
      </w:r>
      <w:r w:rsidRPr="00244A35">
        <w:rPr>
          <w:lang w:val="en-GB"/>
        </w:rPr>
        <w:t>Journal of Belgian History, 35 (2005),</w:t>
      </w:r>
      <w:r>
        <w:rPr>
          <w:lang w:val="en-GB"/>
        </w:rPr>
        <w:t xml:space="preserve"> p. 597 at p. 628-629.</w:t>
      </w:r>
    </w:p>
  </w:footnote>
  <w:footnote w:id="17">
    <w:p w14:paraId="50188E70" w14:textId="7CA834F3" w:rsidR="00B31A46" w:rsidRPr="00731E37" w:rsidRDefault="00B31A46">
      <w:pPr>
        <w:pStyle w:val="Voetnoottekst"/>
        <w:rPr>
          <w:lang w:val="en-GB"/>
        </w:rPr>
      </w:pPr>
      <w:r>
        <w:rPr>
          <w:rStyle w:val="Voetnootmarkering"/>
        </w:rPr>
        <w:footnoteRef/>
      </w:r>
      <w:r w:rsidRPr="00731E37">
        <w:rPr>
          <w:lang w:val="en-GB"/>
        </w:rPr>
        <w:t xml:space="preserve"> </w:t>
      </w:r>
      <w:r>
        <w:rPr>
          <w:lang w:val="en-GB"/>
        </w:rPr>
        <w:t xml:space="preserve">See, generally, M. Madsen, </w:t>
      </w:r>
      <w:r w:rsidRPr="00244A35">
        <w:rPr>
          <w:i/>
          <w:lang w:val="en-GB"/>
        </w:rPr>
        <w:t>The Challenging Authority of the European Court of Human Rights: From Cold War Legal Diplomacy to the Brighton Declaration and Backlash</w:t>
      </w:r>
      <w:r>
        <w:rPr>
          <w:lang w:val="en-GB"/>
        </w:rPr>
        <w:t xml:space="preserve">, </w:t>
      </w:r>
      <w:r w:rsidRPr="00244A35">
        <w:rPr>
          <w:lang w:val="en-GB"/>
        </w:rPr>
        <w:t>Law and Contemporary Problems</w:t>
      </w:r>
      <w:r>
        <w:rPr>
          <w:lang w:val="en-GB"/>
        </w:rPr>
        <w:t>, 79</w:t>
      </w:r>
      <w:r>
        <w:rPr>
          <w:i/>
          <w:lang w:val="en-GB"/>
        </w:rPr>
        <w:t xml:space="preserve"> </w:t>
      </w:r>
      <w:r>
        <w:rPr>
          <w:lang w:val="en-GB"/>
        </w:rPr>
        <w:t>(2016), p. 141-178.</w:t>
      </w:r>
    </w:p>
  </w:footnote>
  <w:footnote w:id="18">
    <w:p w14:paraId="591D3CF2" w14:textId="3D17D594" w:rsidR="00B31A46" w:rsidRPr="00D26DAC" w:rsidRDefault="00B31A46">
      <w:pPr>
        <w:pStyle w:val="Voetnoottekst"/>
        <w:rPr>
          <w:lang w:val="fr-BE"/>
        </w:rPr>
      </w:pPr>
      <w:r>
        <w:rPr>
          <w:rStyle w:val="Voetnootmarkering"/>
        </w:rPr>
        <w:footnoteRef/>
      </w:r>
      <w:r w:rsidRPr="00D26DAC">
        <w:rPr>
          <w:lang w:val="fr-BE"/>
        </w:rPr>
        <w:t xml:space="preserve"> </w:t>
      </w:r>
      <w:r>
        <w:rPr>
          <w:lang w:val="fr-BE"/>
        </w:rPr>
        <w:t xml:space="preserve">R. </w:t>
      </w:r>
      <w:proofErr w:type="spellStart"/>
      <w:r>
        <w:rPr>
          <w:lang w:val="fr-BE"/>
        </w:rPr>
        <w:t>Ergec</w:t>
      </w:r>
      <w:proofErr w:type="spellEnd"/>
      <w:r>
        <w:rPr>
          <w:lang w:val="fr-BE"/>
        </w:rPr>
        <w:t xml:space="preserve">, </w:t>
      </w:r>
      <w:r w:rsidRPr="00244A35">
        <w:rPr>
          <w:i/>
          <w:lang w:val="fr-BE"/>
        </w:rPr>
        <w:t>Propos Introductifs</w:t>
      </w:r>
      <w:r w:rsidRPr="00097FDF">
        <w:rPr>
          <w:lang w:val="fr-BE"/>
        </w:rPr>
        <w:t xml:space="preserve"> in</w:t>
      </w:r>
      <w:r>
        <w:rPr>
          <w:lang w:val="fr-BE"/>
        </w:rPr>
        <w:t>:</w:t>
      </w:r>
      <w:r w:rsidRPr="00097FDF">
        <w:rPr>
          <w:lang w:val="fr-BE"/>
        </w:rPr>
        <w:t xml:space="preserve"> </w:t>
      </w:r>
      <w:r w:rsidRPr="00244A35">
        <w:rPr>
          <w:lang w:val="fr-BE"/>
        </w:rPr>
        <w:t>Entre Ombres et Lumières: Cinquante ans d’application de la Convention européenne des droits de l’homme en Belgique</w:t>
      </w:r>
      <w:r>
        <w:rPr>
          <w:lang w:val="fr-BE"/>
        </w:rPr>
        <w:t xml:space="preserve">, Brussels, 2008, p. 7, </w:t>
      </w:r>
      <w:proofErr w:type="spellStart"/>
      <w:r>
        <w:rPr>
          <w:lang w:val="fr-BE"/>
        </w:rPr>
        <w:t>mentioning</w:t>
      </w:r>
      <w:proofErr w:type="spellEnd"/>
      <w:r>
        <w:rPr>
          <w:lang w:val="fr-BE"/>
        </w:rPr>
        <w:t xml:space="preserve"> the 1968 </w:t>
      </w:r>
      <w:proofErr w:type="spellStart"/>
      <w:r>
        <w:rPr>
          <w:i/>
          <w:lang w:val="fr-BE"/>
        </w:rPr>
        <w:t>Belgian</w:t>
      </w:r>
      <w:proofErr w:type="spellEnd"/>
      <w:r>
        <w:rPr>
          <w:i/>
          <w:lang w:val="fr-BE"/>
        </w:rPr>
        <w:t xml:space="preserve"> </w:t>
      </w:r>
      <w:proofErr w:type="spellStart"/>
      <w:r>
        <w:rPr>
          <w:i/>
          <w:lang w:val="fr-BE"/>
        </w:rPr>
        <w:t>Linguistics</w:t>
      </w:r>
      <w:proofErr w:type="spellEnd"/>
      <w:r>
        <w:rPr>
          <w:i/>
          <w:lang w:val="fr-BE"/>
        </w:rPr>
        <w:t xml:space="preserve"> case</w:t>
      </w:r>
      <w:r>
        <w:rPr>
          <w:lang w:val="fr-BE"/>
        </w:rPr>
        <w:t xml:space="preserve"> as an important factor </w:t>
      </w:r>
      <w:proofErr w:type="spellStart"/>
      <w:r>
        <w:rPr>
          <w:lang w:val="fr-BE"/>
        </w:rPr>
        <w:t>contributing</w:t>
      </w:r>
      <w:proofErr w:type="spellEnd"/>
      <w:r>
        <w:rPr>
          <w:lang w:val="fr-BE"/>
        </w:rPr>
        <w:t xml:space="preserve"> to the ECHR </w:t>
      </w:r>
      <w:proofErr w:type="spellStart"/>
      <w:r>
        <w:rPr>
          <w:lang w:val="fr-BE"/>
        </w:rPr>
        <w:t>progressively</w:t>
      </w:r>
      <w:proofErr w:type="spellEnd"/>
      <w:r>
        <w:rPr>
          <w:lang w:val="fr-BE"/>
        </w:rPr>
        <w:t xml:space="preserve"> </w:t>
      </w:r>
      <w:proofErr w:type="spellStart"/>
      <w:r>
        <w:rPr>
          <w:lang w:val="fr-BE"/>
        </w:rPr>
        <w:t>entering</w:t>
      </w:r>
      <w:proofErr w:type="spellEnd"/>
      <w:r>
        <w:rPr>
          <w:lang w:val="fr-BE"/>
        </w:rPr>
        <w:t xml:space="preserve"> </w:t>
      </w:r>
      <w:proofErr w:type="spellStart"/>
      <w:r>
        <w:rPr>
          <w:lang w:val="fr-BE"/>
        </w:rPr>
        <w:t>Belgian</w:t>
      </w:r>
      <w:proofErr w:type="spellEnd"/>
      <w:r>
        <w:rPr>
          <w:lang w:val="fr-BE"/>
        </w:rPr>
        <w:t xml:space="preserve"> </w:t>
      </w:r>
      <w:proofErr w:type="spellStart"/>
      <w:r>
        <w:rPr>
          <w:lang w:val="fr-BE"/>
        </w:rPr>
        <w:t>law</w:t>
      </w:r>
      <w:proofErr w:type="spellEnd"/>
      <w:r>
        <w:rPr>
          <w:lang w:val="fr-BE"/>
        </w:rPr>
        <w:t>.</w:t>
      </w:r>
    </w:p>
  </w:footnote>
  <w:footnote w:id="19">
    <w:p w14:paraId="51B7FD15" w14:textId="02F803AC" w:rsidR="00B31A46" w:rsidRPr="00E54A3E" w:rsidRDefault="00B31A46">
      <w:pPr>
        <w:pStyle w:val="Voetnoottekst"/>
        <w:rPr>
          <w:lang w:val="en-GB"/>
        </w:rPr>
      </w:pPr>
      <w:r>
        <w:rPr>
          <w:rStyle w:val="Voetnootmarkering"/>
        </w:rPr>
        <w:footnoteRef/>
      </w:r>
      <w:r w:rsidRPr="00E54A3E">
        <w:rPr>
          <w:lang w:val="en-GB"/>
        </w:rPr>
        <w:t xml:space="preserve"> </w:t>
      </w:r>
      <w:r>
        <w:rPr>
          <w:lang w:val="en-GB"/>
        </w:rPr>
        <w:t xml:space="preserve">M. Baumgärtel, </w:t>
      </w:r>
      <w:r w:rsidRPr="00244A35">
        <w:rPr>
          <w:i/>
          <w:lang w:val="en-GB"/>
        </w:rPr>
        <w:t>Perspectives on the ‘User’ – Unpacking a Concept for Human Rights Research</w:t>
      </w:r>
      <w:r>
        <w:rPr>
          <w:lang w:val="en-GB"/>
        </w:rPr>
        <w:t xml:space="preserve">, </w:t>
      </w:r>
      <w:r w:rsidRPr="00244A35">
        <w:rPr>
          <w:lang w:val="en-GB"/>
        </w:rPr>
        <w:t>Human Rights &amp; International Legal Discourse</w:t>
      </w:r>
      <w:r>
        <w:rPr>
          <w:lang w:val="en-GB"/>
        </w:rPr>
        <w:t>, 8</w:t>
      </w:r>
      <w:r w:rsidRPr="00244A35">
        <w:rPr>
          <w:lang w:val="en-GB"/>
        </w:rPr>
        <w:t xml:space="preserve"> </w:t>
      </w:r>
      <w:r>
        <w:rPr>
          <w:lang w:val="en-GB"/>
        </w:rPr>
        <w:t>(2014), p. 142 at p. 145.</w:t>
      </w:r>
    </w:p>
  </w:footnote>
  <w:footnote w:id="20">
    <w:p w14:paraId="1A75016C" w14:textId="1D892865" w:rsidR="00B31A46" w:rsidRPr="00304D1A" w:rsidRDefault="00B31A46">
      <w:pPr>
        <w:pStyle w:val="Voetnoottekst"/>
        <w:rPr>
          <w:lang w:val="en-GB"/>
        </w:rPr>
      </w:pPr>
      <w:r>
        <w:rPr>
          <w:rStyle w:val="Voetnootmarkering"/>
        </w:rPr>
        <w:footnoteRef/>
      </w:r>
      <w:r w:rsidRPr="00304D1A">
        <w:rPr>
          <w:lang w:val="en-GB"/>
        </w:rPr>
        <w:t xml:space="preserve"> </w:t>
      </w:r>
      <w:r>
        <w:rPr>
          <w:lang w:val="en-GB"/>
        </w:rPr>
        <w:t xml:space="preserve">W. Van Rossum, </w:t>
      </w:r>
      <w:r w:rsidRPr="00244A35">
        <w:rPr>
          <w:i/>
          <w:lang w:val="en-GB"/>
        </w:rPr>
        <w:t>The roots of Dutch strategic human rights litigation: comparing ‘Engel’ to ‘SGP’</w:t>
      </w:r>
      <w:r>
        <w:rPr>
          <w:lang w:val="en-GB"/>
        </w:rPr>
        <w:t xml:space="preserve"> in: M. van den Brink, S. </w:t>
      </w:r>
      <w:proofErr w:type="spellStart"/>
      <w:r>
        <w:rPr>
          <w:lang w:val="en-GB"/>
        </w:rPr>
        <w:t>Burri</w:t>
      </w:r>
      <w:proofErr w:type="spellEnd"/>
      <w:r>
        <w:rPr>
          <w:lang w:val="en-GB"/>
        </w:rPr>
        <w:t xml:space="preserve"> and J. Goldschmidt (eds.), </w:t>
      </w:r>
      <w:r w:rsidRPr="00244A35">
        <w:rPr>
          <w:lang w:val="en-GB"/>
        </w:rPr>
        <w:t xml:space="preserve">Equality and human rights: nothing but trouble? </w:t>
      </w:r>
      <w:proofErr w:type="gramStart"/>
      <w:r w:rsidRPr="00244A35">
        <w:rPr>
          <w:lang w:val="en-GB"/>
        </w:rPr>
        <w:t xml:space="preserve">Liber </w:t>
      </w:r>
      <w:proofErr w:type="spellStart"/>
      <w:r w:rsidRPr="00244A35">
        <w:rPr>
          <w:lang w:val="en-GB"/>
        </w:rPr>
        <w:t>amicorum</w:t>
      </w:r>
      <w:proofErr w:type="spellEnd"/>
      <w:r w:rsidRPr="00244A35">
        <w:rPr>
          <w:lang w:val="en-GB"/>
        </w:rPr>
        <w:t xml:space="preserve"> </w:t>
      </w:r>
      <w:proofErr w:type="spellStart"/>
      <w:r w:rsidRPr="00244A35">
        <w:rPr>
          <w:lang w:val="en-GB"/>
        </w:rPr>
        <w:t>Titia</w:t>
      </w:r>
      <w:proofErr w:type="spellEnd"/>
      <w:r w:rsidRPr="00244A35">
        <w:rPr>
          <w:lang w:val="en-GB"/>
        </w:rPr>
        <w:t xml:space="preserve"> </w:t>
      </w:r>
      <w:proofErr w:type="spellStart"/>
      <w:r w:rsidRPr="00244A35">
        <w:rPr>
          <w:lang w:val="en-GB"/>
        </w:rPr>
        <w:t>Loenen</w:t>
      </w:r>
      <w:proofErr w:type="spellEnd"/>
      <w:r w:rsidRPr="00244A35">
        <w:rPr>
          <w:lang w:val="en-GB"/>
        </w:rPr>
        <w:t xml:space="preserve">, </w:t>
      </w:r>
      <w:r>
        <w:rPr>
          <w:lang w:val="en-GB"/>
        </w:rPr>
        <w:t>Utrecht,</w:t>
      </w:r>
      <w:r w:rsidRPr="001F02CF">
        <w:rPr>
          <w:lang w:val="en-GB"/>
        </w:rPr>
        <w:t xml:space="preserve"> 2015, </w:t>
      </w:r>
      <w:r>
        <w:rPr>
          <w:lang w:val="en-GB"/>
        </w:rPr>
        <w:t>p. 387.</w:t>
      </w:r>
      <w:proofErr w:type="gramEnd"/>
    </w:p>
  </w:footnote>
  <w:footnote w:id="21">
    <w:p w14:paraId="15C44A34" w14:textId="6E65CC42" w:rsidR="00B31A46" w:rsidRPr="00A90DBB" w:rsidRDefault="00B31A46">
      <w:pPr>
        <w:pStyle w:val="Voetnoottekst"/>
        <w:rPr>
          <w:lang w:val="en-GB"/>
        </w:rPr>
      </w:pPr>
      <w:r>
        <w:rPr>
          <w:rStyle w:val="Voetnootmarkering"/>
        </w:rPr>
        <w:footnoteRef/>
      </w:r>
      <w:r w:rsidRPr="00A90DBB">
        <w:rPr>
          <w:lang w:val="en-GB"/>
        </w:rPr>
        <w:t xml:space="preserve"> </w:t>
      </w:r>
      <w:r>
        <w:rPr>
          <w:lang w:val="en-GB"/>
        </w:rPr>
        <w:t xml:space="preserve">P. Johnson, </w:t>
      </w:r>
      <w:r>
        <w:rPr>
          <w:i/>
          <w:lang w:val="en-GB"/>
        </w:rPr>
        <w:t>Going to Strasbourg</w:t>
      </w:r>
      <w:r>
        <w:rPr>
          <w:lang w:val="en-GB"/>
        </w:rPr>
        <w:t>, Oxford, 2016.</w:t>
      </w:r>
    </w:p>
  </w:footnote>
  <w:footnote w:id="22">
    <w:p w14:paraId="265F68AF" w14:textId="077CE662" w:rsidR="00B31A46" w:rsidRPr="00A90DBB" w:rsidRDefault="00B31A46">
      <w:pPr>
        <w:pStyle w:val="Voetnoottekst"/>
        <w:rPr>
          <w:lang w:val="en-GB"/>
        </w:rPr>
      </w:pPr>
      <w:r>
        <w:rPr>
          <w:rStyle w:val="Voetnootmarkering"/>
        </w:rPr>
        <w:footnoteRef/>
      </w:r>
      <w:r w:rsidRPr="00A90DBB">
        <w:rPr>
          <w:lang w:val="en-GB"/>
        </w:rPr>
        <w:t xml:space="preserve"> </w:t>
      </w:r>
      <w:r>
        <w:rPr>
          <w:lang w:val="en-GB"/>
        </w:rPr>
        <w:t xml:space="preserve">M. </w:t>
      </w:r>
      <w:proofErr w:type="spellStart"/>
      <w:r>
        <w:rPr>
          <w:lang w:val="en-GB"/>
        </w:rPr>
        <w:t>Goldhaber</w:t>
      </w:r>
      <w:proofErr w:type="spellEnd"/>
      <w:r>
        <w:rPr>
          <w:lang w:val="en-GB"/>
        </w:rPr>
        <w:t xml:space="preserve">, </w:t>
      </w:r>
      <w:proofErr w:type="gramStart"/>
      <w:r w:rsidRPr="00244A35">
        <w:rPr>
          <w:i/>
          <w:lang w:val="en-GB"/>
        </w:rPr>
        <w:t>A</w:t>
      </w:r>
      <w:proofErr w:type="gramEnd"/>
      <w:r w:rsidRPr="00244A35">
        <w:rPr>
          <w:i/>
          <w:lang w:val="en-GB"/>
        </w:rPr>
        <w:t xml:space="preserve"> People’s History of the European Court of Human Rights</w:t>
      </w:r>
      <w:r>
        <w:rPr>
          <w:lang w:val="en-GB"/>
        </w:rPr>
        <w:t>, Rutgers, 2007, p. 181.</w:t>
      </w:r>
    </w:p>
  </w:footnote>
  <w:footnote w:id="23">
    <w:p w14:paraId="353FD977" w14:textId="5D9EE5B0" w:rsidR="00B31A46" w:rsidRPr="002A3354" w:rsidRDefault="00B31A46">
      <w:pPr>
        <w:pStyle w:val="Voetnoottekst"/>
        <w:rPr>
          <w:lang w:val="en-GB"/>
        </w:rPr>
      </w:pPr>
      <w:r>
        <w:rPr>
          <w:rStyle w:val="Voetnootmarkering"/>
        </w:rPr>
        <w:footnoteRef/>
      </w:r>
      <w:r w:rsidRPr="002A3354">
        <w:rPr>
          <w:lang w:val="en-GB"/>
        </w:rPr>
        <w:t xml:space="preserve"> </w:t>
      </w:r>
      <w:r>
        <w:rPr>
          <w:lang w:val="en-GB"/>
        </w:rPr>
        <w:t xml:space="preserve">P. Johnson, </w:t>
      </w:r>
      <w:r>
        <w:rPr>
          <w:i/>
          <w:lang w:val="en-GB"/>
        </w:rPr>
        <w:t>Going to Strasbourg</w:t>
      </w:r>
      <w:r>
        <w:rPr>
          <w:lang w:val="en-GB"/>
        </w:rPr>
        <w:t>, Oxford, 2016, p. 175.</w:t>
      </w:r>
    </w:p>
  </w:footnote>
  <w:footnote w:id="24">
    <w:p w14:paraId="6D86868A" w14:textId="77777777" w:rsidR="00B31A46" w:rsidRPr="00FB1011" w:rsidRDefault="00B31A46">
      <w:pPr>
        <w:pStyle w:val="Voetnoottekst"/>
        <w:rPr>
          <w:lang w:val="en-GB"/>
        </w:rPr>
      </w:pPr>
      <w:r>
        <w:rPr>
          <w:rStyle w:val="Voetnootmarkering"/>
        </w:rPr>
        <w:footnoteRef/>
      </w:r>
      <w:r w:rsidRPr="00FB1011">
        <w:rPr>
          <w:lang w:val="en-GB"/>
        </w:rPr>
        <w:t xml:space="preserve"> </w:t>
      </w:r>
      <w:proofErr w:type="gramStart"/>
      <w:r w:rsidRPr="00E54A3E">
        <w:rPr>
          <w:i/>
          <w:lang w:val="en-GB"/>
        </w:rPr>
        <w:t>Ibid</w:t>
      </w:r>
      <w:r>
        <w:rPr>
          <w:lang w:val="en-GB"/>
        </w:rPr>
        <w:t>, p. 5.</w:t>
      </w:r>
      <w:proofErr w:type="gramEnd"/>
    </w:p>
  </w:footnote>
  <w:footnote w:id="25">
    <w:p w14:paraId="5CE453F1" w14:textId="411073BC" w:rsidR="00B31A46" w:rsidRPr="00903F85" w:rsidRDefault="00B31A46" w:rsidP="0017081D">
      <w:pPr>
        <w:pStyle w:val="Voetnoottekst"/>
        <w:rPr>
          <w:lang w:val="en-GB"/>
        </w:rPr>
      </w:pPr>
      <w:r>
        <w:rPr>
          <w:rStyle w:val="Voetnootmarkering"/>
        </w:rPr>
        <w:footnoteRef/>
      </w:r>
      <w:r w:rsidRPr="00903F85">
        <w:rPr>
          <w:lang w:val="en-GB"/>
        </w:rPr>
        <w:t xml:space="preserve"> </w:t>
      </w:r>
      <w:r>
        <w:rPr>
          <w:lang w:val="en-GB"/>
        </w:rPr>
        <w:t xml:space="preserve">M. Baumgärtel, </w:t>
      </w:r>
      <w:r w:rsidRPr="00244A35">
        <w:rPr>
          <w:i/>
          <w:lang w:val="en-GB"/>
        </w:rPr>
        <w:t>Perspectives on the ‘User’ – Unpacking a Concept for Human Rights Research</w:t>
      </w:r>
      <w:r>
        <w:rPr>
          <w:lang w:val="en-GB"/>
        </w:rPr>
        <w:t xml:space="preserve">, </w:t>
      </w:r>
      <w:r w:rsidRPr="00244A35">
        <w:rPr>
          <w:lang w:val="en-GB"/>
        </w:rPr>
        <w:t>Human Rights &amp; International Legal Discourse</w:t>
      </w:r>
      <w:r>
        <w:rPr>
          <w:lang w:val="en-GB"/>
        </w:rPr>
        <w:t>, 8</w:t>
      </w:r>
      <w:r w:rsidRPr="00244A35">
        <w:rPr>
          <w:lang w:val="en-GB"/>
        </w:rPr>
        <w:t xml:space="preserve"> </w:t>
      </w:r>
      <w:r>
        <w:rPr>
          <w:lang w:val="en-GB"/>
        </w:rPr>
        <w:t>(2014), p. 142 at p. 146.</w:t>
      </w:r>
    </w:p>
  </w:footnote>
  <w:footnote w:id="26">
    <w:p w14:paraId="3E752F79" w14:textId="243AEA75" w:rsidR="00B31A46" w:rsidRPr="00903F85" w:rsidRDefault="00B31A46" w:rsidP="0017081D">
      <w:pPr>
        <w:pStyle w:val="Voetnoottekst"/>
        <w:rPr>
          <w:lang w:val="en-GB"/>
        </w:rPr>
      </w:pPr>
      <w:r>
        <w:rPr>
          <w:rStyle w:val="Voetnootmarkering"/>
        </w:rPr>
        <w:footnoteRef/>
      </w:r>
      <w:r w:rsidRPr="00903F85">
        <w:rPr>
          <w:lang w:val="en-GB"/>
        </w:rPr>
        <w:t xml:space="preserve"> </w:t>
      </w:r>
      <w:r>
        <w:rPr>
          <w:lang w:val="en-GB"/>
        </w:rPr>
        <w:t xml:space="preserve">P. Johnson, </w:t>
      </w:r>
      <w:r>
        <w:rPr>
          <w:i/>
          <w:lang w:val="en-GB"/>
        </w:rPr>
        <w:t>Going to Strasbourg</w:t>
      </w:r>
      <w:r>
        <w:rPr>
          <w:lang w:val="en-GB"/>
        </w:rPr>
        <w:t>, Oxford, 2016, p. 193.</w:t>
      </w:r>
    </w:p>
  </w:footnote>
  <w:footnote w:id="27">
    <w:p w14:paraId="30AB1684" w14:textId="77777777" w:rsidR="00B31A46" w:rsidRPr="00903F85" w:rsidRDefault="00B31A46" w:rsidP="0017081D">
      <w:pPr>
        <w:pStyle w:val="Voetnoottekst"/>
        <w:rPr>
          <w:lang w:val="en-GB"/>
        </w:rPr>
      </w:pPr>
      <w:r>
        <w:rPr>
          <w:rStyle w:val="Voetnootmarkering"/>
        </w:rPr>
        <w:footnoteRef/>
      </w:r>
      <w:r w:rsidRPr="00903F85">
        <w:rPr>
          <w:lang w:val="en-GB"/>
        </w:rPr>
        <w:t xml:space="preserve"> </w:t>
      </w:r>
      <w:r>
        <w:rPr>
          <w:lang w:val="en-GB"/>
        </w:rPr>
        <w:t>Id.</w:t>
      </w:r>
    </w:p>
  </w:footnote>
  <w:footnote w:id="28">
    <w:p w14:paraId="2E8B8C76" w14:textId="77777777" w:rsidR="00B31A46" w:rsidRPr="00DF1E12" w:rsidRDefault="00B31A46" w:rsidP="005141C4">
      <w:pPr>
        <w:pStyle w:val="Voetnoottekst"/>
        <w:rPr>
          <w:lang w:val="en-GB"/>
        </w:rPr>
      </w:pPr>
      <w:r>
        <w:rPr>
          <w:rStyle w:val="Voetnootmarkering"/>
        </w:rPr>
        <w:footnoteRef/>
      </w:r>
      <w:r w:rsidRPr="00DF1E12">
        <w:rPr>
          <w:lang w:val="en-GB"/>
        </w:rPr>
        <w:t xml:space="preserve"> </w:t>
      </w:r>
      <w:r>
        <w:rPr>
          <w:i/>
          <w:lang w:val="en-GB"/>
        </w:rPr>
        <w:t>Ibid</w:t>
      </w:r>
      <w:r>
        <w:rPr>
          <w:lang w:val="en-GB"/>
        </w:rPr>
        <w:t>.</w:t>
      </w:r>
    </w:p>
  </w:footnote>
  <w:footnote w:id="29">
    <w:p w14:paraId="3A9861C9" w14:textId="77777777" w:rsidR="00B31A46" w:rsidRPr="003F514B" w:rsidRDefault="00B31A46">
      <w:pPr>
        <w:pStyle w:val="Voetnoottekst"/>
        <w:rPr>
          <w:lang w:val="en-GB"/>
        </w:rPr>
      </w:pPr>
      <w:r>
        <w:rPr>
          <w:rStyle w:val="Voetnootmarkering"/>
        </w:rPr>
        <w:footnoteRef/>
      </w:r>
      <w:r w:rsidRPr="003F514B">
        <w:rPr>
          <w:lang w:val="en-GB"/>
        </w:rPr>
        <w:t xml:space="preserve"> </w:t>
      </w:r>
      <w:r>
        <w:rPr>
          <w:lang w:val="en-GB"/>
        </w:rPr>
        <w:t xml:space="preserve">ECtHR (Plenary) 8 June 1976, </w:t>
      </w:r>
      <w:r>
        <w:rPr>
          <w:i/>
          <w:lang w:val="en-GB"/>
        </w:rPr>
        <w:t>Engel and Others v. the Netherlands</w:t>
      </w:r>
      <w:r>
        <w:rPr>
          <w:lang w:val="en-GB"/>
        </w:rPr>
        <w:t>, nos. 5100/71; 5101/71; 5102/71; 5354/72; and 5370/72.</w:t>
      </w:r>
    </w:p>
  </w:footnote>
  <w:footnote w:id="30">
    <w:p w14:paraId="02EC2A79" w14:textId="4A2D776F" w:rsidR="00B31A46" w:rsidRPr="00244A35" w:rsidRDefault="00B31A46">
      <w:pPr>
        <w:pStyle w:val="Voetnoottekst"/>
        <w:rPr>
          <w:lang w:val="fr-BE"/>
        </w:rPr>
      </w:pPr>
      <w:r>
        <w:rPr>
          <w:rStyle w:val="Voetnootmarkering"/>
        </w:rPr>
        <w:footnoteRef/>
      </w:r>
      <w:r w:rsidRPr="003F514B">
        <w:rPr>
          <w:lang w:val="en-GB"/>
        </w:rPr>
        <w:t xml:space="preserve"> </w:t>
      </w:r>
      <w:r w:rsidRPr="00490566">
        <w:rPr>
          <w:lang w:val="en-GB"/>
        </w:rPr>
        <w:t>W. Van Ross</w:t>
      </w:r>
      <w:r>
        <w:rPr>
          <w:lang w:val="en-GB"/>
        </w:rPr>
        <w:t xml:space="preserve">um, </w:t>
      </w:r>
      <w:r w:rsidRPr="00244A35">
        <w:rPr>
          <w:i/>
          <w:lang w:val="en-GB"/>
        </w:rPr>
        <w:t>The roots of Dutch strategic human rights litigation: comparing ‘Engel’ to ‘SGP’</w:t>
      </w:r>
      <w:r>
        <w:rPr>
          <w:lang w:val="en-GB"/>
        </w:rPr>
        <w:t xml:space="preserve"> in: M. van den Brink, S. </w:t>
      </w:r>
      <w:proofErr w:type="spellStart"/>
      <w:r>
        <w:rPr>
          <w:lang w:val="en-GB"/>
        </w:rPr>
        <w:t>Burri</w:t>
      </w:r>
      <w:proofErr w:type="spellEnd"/>
      <w:r>
        <w:rPr>
          <w:lang w:val="en-GB"/>
        </w:rPr>
        <w:t xml:space="preserve"> and J. Goldschmidt (eds.), </w:t>
      </w:r>
      <w:r w:rsidRPr="00244A35">
        <w:rPr>
          <w:lang w:val="en-GB"/>
        </w:rPr>
        <w:t xml:space="preserve">Equality and human rights: nothing but trouble? </w:t>
      </w:r>
      <w:r w:rsidRPr="00244A35">
        <w:rPr>
          <w:lang w:val="fr-BE"/>
        </w:rPr>
        <w:t xml:space="preserve">Liber </w:t>
      </w:r>
      <w:proofErr w:type="spellStart"/>
      <w:r w:rsidRPr="00244A35">
        <w:rPr>
          <w:lang w:val="fr-BE"/>
        </w:rPr>
        <w:t>amicorum</w:t>
      </w:r>
      <w:proofErr w:type="spellEnd"/>
      <w:r w:rsidRPr="00244A35">
        <w:rPr>
          <w:lang w:val="fr-BE"/>
        </w:rPr>
        <w:t xml:space="preserve"> </w:t>
      </w:r>
      <w:proofErr w:type="spellStart"/>
      <w:r w:rsidRPr="00244A35">
        <w:rPr>
          <w:lang w:val="fr-BE"/>
        </w:rPr>
        <w:t>Titia</w:t>
      </w:r>
      <w:proofErr w:type="spellEnd"/>
      <w:r w:rsidRPr="00244A35">
        <w:rPr>
          <w:lang w:val="fr-BE"/>
        </w:rPr>
        <w:t xml:space="preserve"> </w:t>
      </w:r>
      <w:proofErr w:type="spellStart"/>
      <w:r w:rsidRPr="00244A35">
        <w:rPr>
          <w:lang w:val="fr-BE"/>
        </w:rPr>
        <w:t>Loenen</w:t>
      </w:r>
      <w:proofErr w:type="spellEnd"/>
      <w:r w:rsidRPr="00244A35">
        <w:rPr>
          <w:lang w:val="fr-BE"/>
        </w:rPr>
        <w:t>, Utrecht, 2015, p. 387-399.</w:t>
      </w:r>
    </w:p>
  </w:footnote>
  <w:footnote w:id="31">
    <w:p w14:paraId="39261E41" w14:textId="63EB89C4" w:rsidR="00B31A46" w:rsidRPr="005141C4" w:rsidRDefault="00B31A46">
      <w:pPr>
        <w:pStyle w:val="Voetnoottekst"/>
        <w:rPr>
          <w:lang w:val="fr-BE"/>
        </w:rPr>
      </w:pPr>
      <w:r>
        <w:rPr>
          <w:rStyle w:val="Voetnootmarkering"/>
        </w:rPr>
        <w:footnoteRef/>
      </w:r>
      <w:r w:rsidRPr="005141C4">
        <w:rPr>
          <w:lang w:val="fr-BE"/>
        </w:rPr>
        <w:t xml:space="preserve"> M. </w:t>
      </w:r>
      <w:proofErr w:type="spellStart"/>
      <w:r w:rsidRPr="005141C4">
        <w:rPr>
          <w:lang w:val="fr-BE"/>
        </w:rPr>
        <w:t>Madsen</w:t>
      </w:r>
      <w:proofErr w:type="spellEnd"/>
      <w:r w:rsidRPr="005141C4">
        <w:rPr>
          <w:lang w:val="fr-BE"/>
        </w:rPr>
        <w:t xml:space="preserve">, </w:t>
      </w:r>
      <w:r w:rsidRPr="005141C4">
        <w:rPr>
          <w:i/>
          <w:lang w:val="fr-BE"/>
        </w:rPr>
        <w:t>Le genèse de l’Europe des droits de l’homme</w:t>
      </w:r>
      <w:r w:rsidRPr="005141C4">
        <w:rPr>
          <w:lang w:val="fr-BE"/>
        </w:rPr>
        <w:t>, Strasbourg, 2010</w:t>
      </w:r>
      <w:r>
        <w:rPr>
          <w:lang w:val="fr-BE"/>
        </w:rPr>
        <w:t>.</w:t>
      </w:r>
    </w:p>
  </w:footnote>
  <w:footnote w:id="32">
    <w:p w14:paraId="0663633C" w14:textId="2E7450F7" w:rsidR="00B31A46" w:rsidRPr="00865B00" w:rsidRDefault="00B31A46" w:rsidP="009E5A54">
      <w:pPr>
        <w:pStyle w:val="Voetnoottekst"/>
        <w:rPr>
          <w:lang w:val="en-GB"/>
        </w:rPr>
      </w:pPr>
      <w:r>
        <w:rPr>
          <w:rStyle w:val="Voetnootmarkering"/>
        </w:rPr>
        <w:footnoteRef/>
      </w:r>
      <w:r w:rsidRPr="00865B00">
        <w:rPr>
          <w:lang w:val="en-GB"/>
        </w:rPr>
        <w:t xml:space="preserve"> </w:t>
      </w:r>
      <w:r>
        <w:rPr>
          <w:lang w:val="en-GB"/>
        </w:rPr>
        <w:t xml:space="preserve">ECtHR, </w:t>
      </w:r>
      <w:r w:rsidRPr="00244A35">
        <w:rPr>
          <w:i/>
          <w:lang w:val="en-GB"/>
        </w:rPr>
        <w:t>Violations by Article and by States (1959-2016)</w:t>
      </w:r>
      <w:r>
        <w:rPr>
          <w:lang w:val="en-GB"/>
        </w:rPr>
        <w:t>, from the statistics section of the ECtHR website.</w:t>
      </w:r>
    </w:p>
  </w:footnote>
  <w:footnote w:id="33">
    <w:p w14:paraId="2DE2A115" w14:textId="001A2247" w:rsidR="00B31A46" w:rsidRPr="00C95EBB" w:rsidRDefault="00B31A46" w:rsidP="009E5A54">
      <w:pPr>
        <w:pStyle w:val="Voetnoottekst"/>
        <w:rPr>
          <w:lang w:val="en-GB"/>
        </w:rPr>
      </w:pPr>
      <w:r>
        <w:rPr>
          <w:rStyle w:val="Voetnootmarkering"/>
        </w:rPr>
        <w:footnoteRef/>
      </w:r>
      <w:r w:rsidRPr="00C95EBB">
        <w:rPr>
          <w:lang w:val="en-GB"/>
        </w:rPr>
        <w:t xml:space="preserve"> </w:t>
      </w:r>
      <w:r>
        <w:rPr>
          <w:lang w:val="en-GB"/>
        </w:rPr>
        <w:t xml:space="preserve">S. Greer, </w:t>
      </w:r>
      <w:proofErr w:type="gramStart"/>
      <w:r>
        <w:rPr>
          <w:i/>
          <w:lang w:val="en-GB"/>
        </w:rPr>
        <w:t>The</w:t>
      </w:r>
      <w:proofErr w:type="gramEnd"/>
      <w:r>
        <w:rPr>
          <w:i/>
          <w:lang w:val="en-GB"/>
        </w:rPr>
        <w:t xml:space="preserve"> European Convention on Human Rights – Achievements, Problems </w:t>
      </w:r>
      <w:r w:rsidRPr="00C95EBB">
        <w:rPr>
          <w:i/>
          <w:lang w:val="en-GB"/>
        </w:rPr>
        <w:t>and Prospects</w:t>
      </w:r>
      <w:r>
        <w:rPr>
          <w:lang w:val="en-GB"/>
        </w:rPr>
        <w:t xml:space="preserve">, Cambridge, p. </w:t>
      </w:r>
      <w:r w:rsidRPr="00C95EBB">
        <w:rPr>
          <w:lang w:val="en-GB"/>
        </w:rPr>
        <w:t>34</w:t>
      </w:r>
      <w:r>
        <w:rPr>
          <w:lang w:val="en-GB"/>
        </w:rPr>
        <w:t>-38.</w:t>
      </w:r>
    </w:p>
  </w:footnote>
  <w:footnote w:id="34">
    <w:p w14:paraId="6A4A6384" w14:textId="513DEF81" w:rsidR="00B31A46" w:rsidRPr="0098282C" w:rsidRDefault="00B31A46">
      <w:pPr>
        <w:pStyle w:val="Voetnoottekst"/>
        <w:rPr>
          <w:lang w:val="fr-BE"/>
        </w:rPr>
      </w:pPr>
      <w:r>
        <w:rPr>
          <w:rStyle w:val="Voetnootmarkering"/>
        </w:rPr>
        <w:footnoteRef/>
      </w:r>
      <w:r>
        <w:rPr>
          <w:lang w:val="fr-BE"/>
        </w:rPr>
        <w:t xml:space="preserve"> P. </w:t>
      </w:r>
      <w:proofErr w:type="spellStart"/>
      <w:r>
        <w:rPr>
          <w:lang w:val="fr-BE"/>
        </w:rPr>
        <w:t>Mahoney</w:t>
      </w:r>
      <w:proofErr w:type="spellEnd"/>
      <w:r>
        <w:rPr>
          <w:lang w:val="fr-BE"/>
        </w:rPr>
        <w:t xml:space="preserve">, </w:t>
      </w:r>
      <w:r w:rsidRPr="00244A35">
        <w:rPr>
          <w:i/>
          <w:lang w:val="fr-BE"/>
        </w:rPr>
        <w:t>Réflexions d’un greffier de la Cour européenne des droits de l’homme à l’heure du départ</w:t>
      </w:r>
      <w:r w:rsidRPr="0098282C">
        <w:rPr>
          <w:lang w:val="fr-BE"/>
        </w:rPr>
        <w:t xml:space="preserve">, </w:t>
      </w:r>
      <w:r w:rsidRPr="00244A35">
        <w:rPr>
          <w:lang w:val="fr-BE"/>
        </w:rPr>
        <w:t>Revue Universelle des Droits de l’Homme</w:t>
      </w:r>
      <w:r>
        <w:rPr>
          <w:lang w:val="fr-BE"/>
        </w:rPr>
        <w:t>, 17</w:t>
      </w:r>
      <w:r>
        <w:rPr>
          <w:i/>
          <w:lang w:val="fr-BE"/>
        </w:rPr>
        <w:t xml:space="preserve"> (</w:t>
      </w:r>
      <w:r>
        <w:rPr>
          <w:lang w:val="fr-BE"/>
        </w:rPr>
        <w:t xml:space="preserve">2005), </w:t>
      </w:r>
      <w:r w:rsidRPr="0098282C">
        <w:rPr>
          <w:lang w:val="fr-BE"/>
        </w:rPr>
        <w:t>p. 4.</w:t>
      </w:r>
    </w:p>
  </w:footnote>
  <w:footnote w:id="35">
    <w:p w14:paraId="42D8A455" w14:textId="29951E29" w:rsidR="00B31A46" w:rsidRPr="00C62478" w:rsidRDefault="00B31A46" w:rsidP="009E5A54">
      <w:pPr>
        <w:pStyle w:val="Voetnoottekst"/>
        <w:rPr>
          <w:lang w:val="en-GB"/>
        </w:rPr>
      </w:pPr>
      <w:r>
        <w:rPr>
          <w:rStyle w:val="Voetnootmarkering"/>
        </w:rPr>
        <w:footnoteRef/>
      </w:r>
      <w:r w:rsidRPr="00C62478">
        <w:rPr>
          <w:lang w:val="en-GB"/>
        </w:rPr>
        <w:t xml:space="preserve"> </w:t>
      </w:r>
      <w:r>
        <w:rPr>
          <w:lang w:val="en-GB"/>
        </w:rPr>
        <w:t xml:space="preserve">M. Madsen, </w:t>
      </w:r>
      <w:proofErr w:type="gramStart"/>
      <w:r w:rsidRPr="00244A35">
        <w:rPr>
          <w:i/>
          <w:lang w:val="en-GB"/>
        </w:rPr>
        <w:t>The</w:t>
      </w:r>
      <w:proofErr w:type="gramEnd"/>
      <w:r w:rsidRPr="00244A35">
        <w:rPr>
          <w:i/>
          <w:lang w:val="en-GB"/>
        </w:rPr>
        <w:t xml:space="preserve"> Challenging Authority of the European Court of Human Rights: From Cold War Legal Diplomacy to the Brighton Declaration and Backlash</w:t>
      </w:r>
      <w:r>
        <w:rPr>
          <w:lang w:val="en-GB"/>
        </w:rPr>
        <w:t xml:space="preserve">, </w:t>
      </w:r>
      <w:r w:rsidRPr="00244A35">
        <w:rPr>
          <w:lang w:val="en-GB"/>
        </w:rPr>
        <w:t>Law and Contemporary Problems,</w:t>
      </w:r>
      <w:r>
        <w:rPr>
          <w:lang w:val="en-GB"/>
        </w:rPr>
        <w:t xml:space="preserve"> 79</w:t>
      </w:r>
      <w:r>
        <w:rPr>
          <w:i/>
          <w:lang w:val="en-GB"/>
        </w:rPr>
        <w:t xml:space="preserve"> </w:t>
      </w:r>
      <w:r>
        <w:rPr>
          <w:lang w:val="en-GB"/>
        </w:rPr>
        <w:t>(2016), p. 141 at p. 145.</w:t>
      </w:r>
    </w:p>
  </w:footnote>
  <w:footnote w:id="36">
    <w:p w14:paraId="0C252181" w14:textId="58B2CA82" w:rsidR="00B31A46" w:rsidRPr="00D82A47" w:rsidRDefault="00B31A46" w:rsidP="009E5A54">
      <w:pPr>
        <w:pStyle w:val="Voetnoottekst"/>
        <w:rPr>
          <w:lang w:val="en-GB"/>
        </w:rPr>
      </w:pPr>
      <w:r>
        <w:rPr>
          <w:rStyle w:val="Voetnootmarkering"/>
        </w:rPr>
        <w:footnoteRef/>
      </w:r>
      <w:r w:rsidRPr="00D82A47">
        <w:rPr>
          <w:lang w:val="en-GB"/>
        </w:rPr>
        <w:t xml:space="preserve"> </w:t>
      </w:r>
      <w:r>
        <w:rPr>
          <w:lang w:val="en-GB"/>
        </w:rPr>
        <w:t xml:space="preserve">Quotes from </w:t>
      </w:r>
      <w:r w:rsidRPr="008141A9">
        <w:rPr>
          <w:lang w:val="en-GB"/>
        </w:rPr>
        <w:t>E. Bates,</w:t>
      </w:r>
      <w:r>
        <w:rPr>
          <w:lang w:val="en-GB"/>
        </w:rPr>
        <w:t xml:space="preserve"> </w:t>
      </w:r>
      <w:proofErr w:type="gramStart"/>
      <w:r>
        <w:rPr>
          <w:i/>
          <w:lang w:val="en-GB"/>
        </w:rPr>
        <w:t>The</w:t>
      </w:r>
      <w:proofErr w:type="gramEnd"/>
      <w:r>
        <w:rPr>
          <w:i/>
          <w:lang w:val="en-GB"/>
        </w:rPr>
        <w:t xml:space="preserve"> Evolution of the European Convention on </w:t>
      </w:r>
      <w:r w:rsidRPr="008141A9">
        <w:rPr>
          <w:i/>
          <w:lang w:val="en-GB"/>
        </w:rPr>
        <w:t>Human Rights</w:t>
      </w:r>
      <w:r>
        <w:rPr>
          <w:lang w:val="en-GB"/>
        </w:rPr>
        <w:t>, Oxford, 2010, p. 20.</w:t>
      </w:r>
    </w:p>
  </w:footnote>
  <w:footnote w:id="37">
    <w:p w14:paraId="0783166D" w14:textId="0220DF4F" w:rsidR="00B31A46" w:rsidRPr="00A0339D" w:rsidRDefault="00B31A46" w:rsidP="009E5A54">
      <w:pPr>
        <w:pStyle w:val="Voetnoottekst"/>
        <w:rPr>
          <w:lang w:val="fr-BE"/>
        </w:rPr>
      </w:pPr>
      <w:r>
        <w:rPr>
          <w:rStyle w:val="Voetnootmarkering"/>
        </w:rPr>
        <w:footnoteRef/>
      </w:r>
      <w:r w:rsidRPr="00A0339D">
        <w:rPr>
          <w:lang w:val="fr-BE"/>
        </w:rPr>
        <w:t xml:space="preserve"> </w:t>
      </w:r>
      <w:r w:rsidRPr="00097FDF">
        <w:rPr>
          <w:lang w:val="fr-BE"/>
        </w:rPr>
        <w:t xml:space="preserve">R. </w:t>
      </w:r>
      <w:proofErr w:type="spellStart"/>
      <w:r w:rsidRPr="00097FDF">
        <w:rPr>
          <w:lang w:val="fr-BE"/>
        </w:rPr>
        <w:t>Ergec</w:t>
      </w:r>
      <w:proofErr w:type="spellEnd"/>
      <w:r w:rsidRPr="00097FDF">
        <w:rPr>
          <w:lang w:val="fr-BE"/>
        </w:rPr>
        <w:t xml:space="preserve">, </w:t>
      </w:r>
      <w:r w:rsidRPr="00244A35">
        <w:rPr>
          <w:i/>
          <w:lang w:val="fr-BE"/>
        </w:rPr>
        <w:t>Propos Introductifs</w:t>
      </w:r>
      <w:r w:rsidRPr="00097FDF">
        <w:rPr>
          <w:lang w:val="fr-BE"/>
        </w:rPr>
        <w:t xml:space="preserve"> in</w:t>
      </w:r>
      <w:r>
        <w:rPr>
          <w:lang w:val="fr-BE"/>
        </w:rPr>
        <w:t> :</w:t>
      </w:r>
      <w:r w:rsidRPr="00097FDF">
        <w:rPr>
          <w:lang w:val="fr-BE"/>
        </w:rPr>
        <w:t xml:space="preserve"> </w:t>
      </w:r>
      <w:r w:rsidRPr="00244A35">
        <w:rPr>
          <w:lang w:val="fr-BE"/>
        </w:rPr>
        <w:t>Entre Ombres et Lumières: Cinquante ans d’application de la Convention européenne des droits de l’homme en Belgique</w:t>
      </w:r>
      <w:r>
        <w:rPr>
          <w:lang w:val="fr-BE"/>
        </w:rPr>
        <w:t xml:space="preserve">, Brussels, 2008, p. 8; </w:t>
      </w:r>
      <w:r>
        <w:rPr>
          <w:rStyle w:val="sfbbfee58"/>
          <w:lang w:val="fr-BE"/>
        </w:rPr>
        <w:t xml:space="preserve">F. </w:t>
      </w:r>
      <w:proofErr w:type="spellStart"/>
      <w:r>
        <w:rPr>
          <w:rStyle w:val="sfbbfee58"/>
          <w:lang w:val="fr-BE"/>
        </w:rPr>
        <w:t>Tulkens</w:t>
      </w:r>
      <w:proofErr w:type="spellEnd"/>
      <w:r>
        <w:rPr>
          <w:rStyle w:val="sfbbfee58"/>
          <w:lang w:val="fr-BE"/>
        </w:rPr>
        <w:t xml:space="preserve">, </w:t>
      </w:r>
      <w:proofErr w:type="spellStart"/>
      <w:r w:rsidRPr="00244A35">
        <w:rPr>
          <w:rStyle w:val="sfbbfee58"/>
          <w:i/>
          <w:lang w:val="fr-BE"/>
        </w:rPr>
        <w:t>Belgium</w:t>
      </w:r>
      <w:proofErr w:type="spellEnd"/>
      <w:r w:rsidRPr="00244A35">
        <w:rPr>
          <w:rStyle w:val="sfbbfee58"/>
          <w:i/>
          <w:lang w:val="fr-BE"/>
        </w:rPr>
        <w:t xml:space="preserve"> </w:t>
      </w:r>
      <w:r w:rsidRPr="00A0339D">
        <w:rPr>
          <w:rStyle w:val="sfbbfee58"/>
          <w:lang w:val="fr-BE"/>
        </w:rPr>
        <w:t>in</w:t>
      </w:r>
      <w:r>
        <w:rPr>
          <w:rStyle w:val="sfbbfee58"/>
          <w:lang w:val="fr-BE"/>
        </w:rPr>
        <w:t>:</w:t>
      </w:r>
      <w:r w:rsidRPr="00A0339D">
        <w:rPr>
          <w:rStyle w:val="sfbbfee58"/>
          <w:lang w:val="fr-BE"/>
        </w:rPr>
        <w:t xml:space="preserve"> M. Delmas-Marty and C. </w:t>
      </w:r>
      <w:proofErr w:type="spellStart"/>
      <w:r w:rsidRPr="00A0339D">
        <w:rPr>
          <w:rStyle w:val="sfbbfee58"/>
          <w:lang w:val="fr-BE"/>
        </w:rPr>
        <w:t>Chodkiewicz</w:t>
      </w:r>
      <w:proofErr w:type="spellEnd"/>
      <w:r>
        <w:rPr>
          <w:rStyle w:val="sfbbfee58"/>
          <w:lang w:val="fr-BE"/>
        </w:rPr>
        <w:t xml:space="preserve"> (</w:t>
      </w:r>
      <w:proofErr w:type="spellStart"/>
      <w:r>
        <w:rPr>
          <w:rStyle w:val="sfbbfee58"/>
          <w:lang w:val="fr-BE"/>
        </w:rPr>
        <w:t>eds</w:t>
      </w:r>
      <w:proofErr w:type="spellEnd"/>
      <w:r>
        <w:rPr>
          <w:rStyle w:val="sfbbfee58"/>
          <w:lang w:val="fr-BE"/>
        </w:rPr>
        <w:t>.)</w:t>
      </w:r>
      <w:r w:rsidRPr="00A0339D">
        <w:rPr>
          <w:rStyle w:val="sfbbfee58"/>
          <w:lang w:val="fr-BE"/>
        </w:rPr>
        <w:t xml:space="preserve">, </w:t>
      </w:r>
      <w:r w:rsidRPr="00244A35">
        <w:rPr>
          <w:rStyle w:val="sfbbfee58"/>
          <w:lang w:val="fr-BE"/>
        </w:rPr>
        <w:t xml:space="preserve">The </w:t>
      </w:r>
      <w:proofErr w:type="spellStart"/>
      <w:r w:rsidRPr="00244A35">
        <w:rPr>
          <w:rStyle w:val="sfbbfee58"/>
          <w:lang w:val="fr-BE"/>
        </w:rPr>
        <w:t>European</w:t>
      </w:r>
      <w:proofErr w:type="spellEnd"/>
      <w:r w:rsidRPr="00244A35">
        <w:rPr>
          <w:rStyle w:val="sfbbfee58"/>
          <w:lang w:val="fr-BE"/>
        </w:rPr>
        <w:t xml:space="preserve"> Convention for the Protection of </w:t>
      </w:r>
      <w:proofErr w:type="spellStart"/>
      <w:r w:rsidRPr="00244A35">
        <w:rPr>
          <w:rStyle w:val="sfbbfee58"/>
          <w:lang w:val="fr-BE"/>
        </w:rPr>
        <w:t>Human</w:t>
      </w:r>
      <w:proofErr w:type="spellEnd"/>
      <w:r w:rsidRPr="00244A35">
        <w:rPr>
          <w:rStyle w:val="sfbbfee58"/>
          <w:lang w:val="fr-BE"/>
        </w:rPr>
        <w:t xml:space="preserve"> </w:t>
      </w:r>
      <w:proofErr w:type="spellStart"/>
      <w:r w:rsidRPr="00244A35">
        <w:rPr>
          <w:rStyle w:val="sfbbfee58"/>
          <w:lang w:val="fr-BE"/>
        </w:rPr>
        <w:t>Rights</w:t>
      </w:r>
      <w:proofErr w:type="spellEnd"/>
      <w:r w:rsidRPr="00244A35">
        <w:rPr>
          <w:rStyle w:val="sfbbfee58"/>
          <w:lang w:val="fr-BE"/>
        </w:rPr>
        <w:t>: International Protection Versus National Restrictions</w:t>
      </w:r>
      <w:r w:rsidRPr="00A0339D">
        <w:rPr>
          <w:rStyle w:val="sfbbfee58"/>
          <w:lang w:val="fr-BE"/>
        </w:rPr>
        <w:t xml:space="preserve">, </w:t>
      </w:r>
      <w:r>
        <w:rPr>
          <w:rStyle w:val="sfbbfee58"/>
          <w:lang w:val="fr-BE"/>
        </w:rPr>
        <w:t xml:space="preserve">Dordrecht, 1992, </w:t>
      </w:r>
      <w:r w:rsidRPr="00A0339D">
        <w:rPr>
          <w:rStyle w:val="sfbbfee58"/>
          <w:lang w:val="fr-BE"/>
        </w:rPr>
        <w:t xml:space="preserve">p. 105 at p. </w:t>
      </w:r>
      <w:r>
        <w:rPr>
          <w:rStyle w:val="sfbbfee58"/>
          <w:lang w:val="fr-BE"/>
        </w:rPr>
        <w:t xml:space="preserve">106; </w:t>
      </w:r>
      <w:r w:rsidRPr="0004103E">
        <w:rPr>
          <w:lang w:val="fr-BE"/>
        </w:rPr>
        <w:t xml:space="preserve">P. Lambert, </w:t>
      </w:r>
      <w:r w:rsidRPr="0004103E">
        <w:rPr>
          <w:i/>
          <w:lang w:val="fr-BE"/>
        </w:rPr>
        <w:t>La Convention européenne des droits de l’homme dans la jurisprudence belge</w:t>
      </w:r>
      <w:r>
        <w:rPr>
          <w:lang w:val="fr-BE"/>
        </w:rPr>
        <w:t>, Brussels, 1987, p. 107.</w:t>
      </w:r>
    </w:p>
  </w:footnote>
  <w:footnote w:id="38">
    <w:p w14:paraId="4B000ECA" w14:textId="1D7DE758" w:rsidR="00B31A46" w:rsidRPr="001B1F80" w:rsidRDefault="00B31A46" w:rsidP="009E5A54">
      <w:pPr>
        <w:pStyle w:val="Voetnoottekst"/>
        <w:rPr>
          <w:lang w:val="fr-BE"/>
        </w:rPr>
      </w:pPr>
      <w:r>
        <w:rPr>
          <w:rStyle w:val="Voetnootmarkering"/>
        </w:rPr>
        <w:footnoteRef/>
      </w:r>
      <w:r w:rsidRPr="001B1F80">
        <w:rPr>
          <w:lang w:val="fr-BE"/>
        </w:rPr>
        <w:t xml:space="preserve"> J. </w:t>
      </w:r>
      <w:proofErr w:type="spellStart"/>
      <w:r w:rsidRPr="001B1F80">
        <w:rPr>
          <w:lang w:val="fr-BE"/>
        </w:rPr>
        <w:t>Vélu</w:t>
      </w:r>
      <w:proofErr w:type="spellEnd"/>
      <w:r w:rsidRPr="001B1F80">
        <w:rPr>
          <w:lang w:val="fr-BE"/>
        </w:rPr>
        <w:t xml:space="preserve"> and R. </w:t>
      </w:r>
      <w:proofErr w:type="spellStart"/>
      <w:r w:rsidRPr="001B1F80">
        <w:rPr>
          <w:lang w:val="fr-BE"/>
        </w:rPr>
        <w:t>Ergec</w:t>
      </w:r>
      <w:proofErr w:type="spellEnd"/>
      <w:r w:rsidRPr="001B1F80">
        <w:rPr>
          <w:lang w:val="fr-BE"/>
        </w:rPr>
        <w:t xml:space="preserve">, </w:t>
      </w:r>
      <w:r w:rsidRPr="001B1F80">
        <w:rPr>
          <w:i/>
          <w:lang w:val="fr-BE"/>
        </w:rPr>
        <w:t>La Convention européenne des droits de l’homme</w:t>
      </w:r>
      <w:r>
        <w:rPr>
          <w:lang w:val="fr-BE"/>
        </w:rPr>
        <w:t>, Brussels, 1990.</w:t>
      </w:r>
    </w:p>
  </w:footnote>
  <w:footnote w:id="39">
    <w:p w14:paraId="5C444841" w14:textId="42237FFD" w:rsidR="00B31A46" w:rsidRPr="007257D9" w:rsidRDefault="00B31A46">
      <w:pPr>
        <w:pStyle w:val="Voetnoottekst"/>
        <w:rPr>
          <w:lang w:val="en-GB"/>
        </w:rPr>
      </w:pPr>
      <w:r>
        <w:rPr>
          <w:rStyle w:val="Voetnootmarkering"/>
        </w:rPr>
        <w:footnoteRef/>
      </w:r>
      <w:r w:rsidRPr="007257D9">
        <w:rPr>
          <w:lang w:val="en-GB"/>
        </w:rPr>
        <w:t xml:space="preserve"> </w:t>
      </w:r>
      <w:r>
        <w:rPr>
          <w:lang w:val="en-GB"/>
        </w:rPr>
        <w:t xml:space="preserve">On the old system of supervision, see P. Van </w:t>
      </w:r>
      <w:proofErr w:type="spellStart"/>
      <w:r>
        <w:rPr>
          <w:lang w:val="en-GB"/>
        </w:rPr>
        <w:t>Dijk</w:t>
      </w:r>
      <w:proofErr w:type="spellEnd"/>
      <w:r>
        <w:rPr>
          <w:lang w:val="en-GB"/>
        </w:rPr>
        <w:t xml:space="preserve">, F. Van Hoof, A. Van Rijn and L. </w:t>
      </w:r>
      <w:proofErr w:type="spellStart"/>
      <w:r>
        <w:rPr>
          <w:lang w:val="en-GB"/>
        </w:rPr>
        <w:t>Zwaak</w:t>
      </w:r>
      <w:proofErr w:type="spellEnd"/>
      <w:r>
        <w:rPr>
          <w:lang w:val="en-GB"/>
        </w:rPr>
        <w:t xml:space="preserve">, </w:t>
      </w:r>
      <w:r>
        <w:rPr>
          <w:i/>
          <w:lang w:val="en-GB"/>
        </w:rPr>
        <w:t xml:space="preserve">Theory and Practice of the European Convention on </w:t>
      </w:r>
      <w:r w:rsidRPr="007257D9">
        <w:rPr>
          <w:i/>
          <w:lang w:val="en-GB"/>
        </w:rPr>
        <w:t>Human Rights</w:t>
      </w:r>
      <w:r>
        <w:rPr>
          <w:lang w:val="en-GB"/>
        </w:rPr>
        <w:t xml:space="preserve">, Oxford, 2006, </w:t>
      </w:r>
      <w:r w:rsidRPr="007257D9">
        <w:rPr>
          <w:lang w:val="en-GB"/>
        </w:rPr>
        <w:t>p</w:t>
      </w:r>
      <w:r>
        <w:rPr>
          <w:lang w:val="en-GB"/>
        </w:rPr>
        <w:t>. 32-35.</w:t>
      </w:r>
    </w:p>
  </w:footnote>
  <w:footnote w:id="40">
    <w:p w14:paraId="4294BC88" w14:textId="66F1DFC8" w:rsidR="00B31A46" w:rsidRPr="001C376F" w:rsidRDefault="00B31A46">
      <w:pPr>
        <w:pStyle w:val="Voetnoottekst"/>
        <w:rPr>
          <w:lang w:val="en-GB"/>
        </w:rPr>
      </w:pPr>
      <w:r>
        <w:rPr>
          <w:rStyle w:val="Voetnootmarkering"/>
        </w:rPr>
        <w:footnoteRef/>
      </w:r>
      <w:r w:rsidRPr="001C376F">
        <w:rPr>
          <w:lang w:val="en-GB"/>
        </w:rPr>
        <w:t xml:space="preserve"> </w:t>
      </w:r>
      <w:r>
        <w:rPr>
          <w:lang w:val="en-GB"/>
        </w:rPr>
        <w:t xml:space="preserve">Similarly, see P. Johnson, </w:t>
      </w:r>
      <w:r>
        <w:rPr>
          <w:i/>
          <w:lang w:val="en-GB"/>
        </w:rPr>
        <w:t>Going to Strasbourg</w:t>
      </w:r>
      <w:r>
        <w:rPr>
          <w:lang w:val="en-GB"/>
        </w:rPr>
        <w:t>, Oxford, 2016, p. 194.</w:t>
      </w:r>
    </w:p>
  </w:footnote>
  <w:footnote w:id="41">
    <w:p w14:paraId="5F117BDB" w14:textId="77777777" w:rsidR="00B31A46" w:rsidRPr="004D5E7E" w:rsidRDefault="00B31A46" w:rsidP="007257D9">
      <w:pPr>
        <w:pStyle w:val="Voetnoottekst"/>
        <w:rPr>
          <w:lang w:val="en-GB"/>
        </w:rPr>
      </w:pPr>
      <w:r>
        <w:rPr>
          <w:rStyle w:val="Voetnootmarkering"/>
        </w:rPr>
        <w:footnoteRef/>
      </w:r>
      <w:r w:rsidRPr="004D5E7E">
        <w:rPr>
          <w:lang w:val="en-GB"/>
        </w:rPr>
        <w:t xml:space="preserve"> </w:t>
      </w:r>
      <w:r>
        <w:rPr>
          <w:lang w:val="en-GB"/>
        </w:rPr>
        <w:t>I</w:t>
      </w:r>
      <w:r w:rsidRPr="004D5E7E">
        <w:rPr>
          <w:lang w:val="en-GB"/>
        </w:rPr>
        <w:t>n addition to the judgment on the merits, there has been a judgment on preliminary objections on questions on procedure respectively in the Belgian Linguistics case and the Vagrancy case</w:t>
      </w:r>
      <w:r>
        <w:rPr>
          <w:lang w:val="en-GB"/>
        </w:rPr>
        <w:t>.</w:t>
      </w:r>
    </w:p>
  </w:footnote>
  <w:footnote w:id="42">
    <w:p w14:paraId="3CC96137" w14:textId="77777777" w:rsidR="00B31A46" w:rsidRPr="00311E90" w:rsidRDefault="00B31A46" w:rsidP="007257D9">
      <w:pPr>
        <w:pStyle w:val="Voetnoottekst"/>
        <w:rPr>
          <w:lang w:val="en-GB"/>
        </w:rPr>
      </w:pPr>
      <w:r>
        <w:rPr>
          <w:rStyle w:val="Voetnootmarkering"/>
        </w:rPr>
        <w:footnoteRef/>
      </w:r>
      <w:r w:rsidRPr="009F3C0B">
        <w:rPr>
          <w:lang w:val="en-GB"/>
        </w:rPr>
        <w:t xml:space="preserve"> </w:t>
      </w:r>
      <w:r>
        <w:rPr>
          <w:lang w:val="en-GB"/>
        </w:rPr>
        <w:t xml:space="preserve">ECtHR (Plenary), 23 July 1968, </w:t>
      </w:r>
      <w:r>
        <w:rPr>
          <w:i/>
          <w:lang w:val="en-GB"/>
        </w:rPr>
        <w:t>Case relating to certain aspects of the laws on the use of languages in education in Belgium</w:t>
      </w:r>
      <w:r>
        <w:rPr>
          <w:lang w:val="en-GB"/>
        </w:rPr>
        <w:t xml:space="preserve">, nos. 1474/62; 1677/62; 1691/62; 1769/63; 1994/63 and 2126/64 (Belgian Linguistics case); ECtHR (Plenary), 18 June 1971, </w:t>
      </w:r>
      <w:r>
        <w:rPr>
          <w:i/>
          <w:lang w:val="en-GB"/>
        </w:rPr>
        <w:t xml:space="preserve">De Wilde, </w:t>
      </w:r>
      <w:proofErr w:type="spellStart"/>
      <w:r>
        <w:rPr>
          <w:i/>
          <w:lang w:val="en-GB"/>
        </w:rPr>
        <w:t>Ooms</w:t>
      </w:r>
      <w:proofErr w:type="spellEnd"/>
      <w:r>
        <w:rPr>
          <w:i/>
          <w:lang w:val="en-GB"/>
        </w:rPr>
        <w:t xml:space="preserve"> and </w:t>
      </w:r>
      <w:proofErr w:type="spellStart"/>
      <w:r>
        <w:rPr>
          <w:i/>
          <w:lang w:val="en-GB"/>
        </w:rPr>
        <w:t>Versyp</w:t>
      </w:r>
      <w:proofErr w:type="spellEnd"/>
      <w:r>
        <w:rPr>
          <w:i/>
          <w:lang w:val="en-GB"/>
        </w:rPr>
        <w:t xml:space="preserve"> v. Belgium</w:t>
      </w:r>
      <w:r>
        <w:rPr>
          <w:lang w:val="en-GB"/>
        </w:rPr>
        <w:t xml:space="preserve">, nos. 2832/66; 2835/66 and 2899/66 (Vagrancy case); ECtHR (Plenary), 13 June 1979, </w:t>
      </w:r>
      <w:r>
        <w:rPr>
          <w:i/>
          <w:lang w:val="en-GB"/>
        </w:rPr>
        <w:t>Marckx v. Belgium</w:t>
      </w:r>
      <w:r>
        <w:rPr>
          <w:lang w:val="en-GB"/>
        </w:rPr>
        <w:t xml:space="preserve">, no. 6833/74; ECtHR, 27 February 1980, </w:t>
      </w:r>
      <w:proofErr w:type="spellStart"/>
      <w:r>
        <w:rPr>
          <w:i/>
          <w:lang w:val="en-GB"/>
        </w:rPr>
        <w:t>Deweer</w:t>
      </w:r>
      <w:proofErr w:type="spellEnd"/>
      <w:r>
        <w:rPr>
          <w:i/>
          <w:lang w:val="en-GB"/>
        </w:rPr>
        <w:t xml:space="preserve"> v. Belgium</w:t>
      </w:r>
      <w:r>
        <w:rPr>
          <w:lang w:val="en-GB"/>
        </w:rPr>
        <w:t xml:space="preserve">, no. 6903/75; ECtHR (Plenary), 23 June 1981, </w:t>
      </w:r>
      <w:r>
        <w:rPr>
          <w:i/>
          <w:lang w:val="en-GB"/>
        </w:rPr>
        <w:t xml:space="preserve">Le </w:t>
      </w:r>
      <w:proofErr w:type="spellStart"/>
      <w:r>
        <w:rPr>
          <w:i/>
          <w:lang w:val="en-GB"/>
        </w:rPr>
        <w:t>Compte</w:t>
      </w:r>
      <w:proofErr w:type="spellEnd"/>
      <w:r>
        <w:rPr>
          <w:i/>
          <w:lang w:val="en-GB"/>
        </w:rPr>
        <w:t>, Van Leuven and De Meyere v. Belgium</w:t>
      </w:r>
      <w:r>
        <w:rPr>
          <w:lang w:val="en-GB"/>
        </w:rPr>
        <w:t xml:space="preserve">, nos. 6878/75 and 7238/75; ECtHR (Plenary), 24 June 1982, </w:t>
      </w:r>
      <w:r>
        <w:rPr>
          <w:i/>
          <w:lang w:val="en-GB"/>
        </w:rPr>
        <w:t xml:space="preserve">Van </w:t>
      </w:r>
      <w:proofErr w:type="spellStart"/>
      <w:r>
        <w:rPr>
          <w:i/>
          <w:lang w:val="en-GB"/>
        </w:rPr>
        <w:t>Droogenbroeck</w:t>
      </w:r>
      <w:proofErr w:type="spellEnd"/>
      <w:r>
        <w:rPr>
          <w:i/>
          <w:lang w:val="en-GB"/>
        </w:rPr>
        <w:t xml:space="preserve"> v. Belgium</w:t>
      </w:r>
      <w:r>
        <w:rPr>
          <w:lang w:val="en-GB"/>
        </w:rPr>
        <w:t xml:space="preserve">, no. 7906/77; ECtHR, 1 October 1982, </w:t>
      </w:r>
      <w:proofErr w:type="spellStart"/>
      <w:r>
        <w:rPr>
          <w:i/>
          <w:lang w:val="en-GB"/>
        </w:rPr>
        <w:t>Piersack</w:t>
      </w:r>
      <w:proofErr w:type="spellEnd"/>
      <w:r>
        <w:rPr>
          <w:i/>
          <w:lang w:val="en-GB"/>
        </w:rPr>
        <w:t xml:space="preserve"> v. Belgium</w:t>
      </w:r>
      <w:r>
        <w:rPr>
          <w:lang w:val="en-GB"/>
        </w:rPr>
        <w:t xml:space="preserve">, no. 8692/79; ECtHR (Plenary), 10 February 1983, </w:t>
      </w:r>
      <w:r>
        <w:rPr>
          <w:i/>
          <w:lang w:val="en-GB"/>
        </w:rPr>
        <w:t xml:space="preserve">Albert and Le </w:t>
      </w:r>
      <w:proofErr w:type="spellStart"/>
      <w:r>
        <w:rPr>
          <w:i/>
          <w:lang w:val="en-GB"/>
        </w:rPr>
        <w:t>Compte</w:t>
      </w:r>
      <w:proofErr w:type="spellEnd"/>
      <w:r>
        <w:rPr>
          <w:i/>
          <w:lang w:val="en-GB"/>
        </w:rPr>
        <w:t xml:space="preserve"> v. Belgium</w:t>
      </w:r>
      <w:r>
        <w:rPr>
          <w:lang w:val="en-GB"/>
        </w:rPr>
        <w:t xml:space="preserve">, nos. 7299/75 and 7496/76; ECtHR, 26 October 1984, </w:t>
      </w:r>
      <w:r>
        <w:rPr>
          <w:i/>
          <w:lang w:val="en-GB"/>
        </w:rPr>
        <w:t xml:space="preserve">De </w:t>
      </w:r>
      <w:proofErr w:type="spellStart"/>
      <w:r>
        <w:rPr>
          <w:i/>
          <w:lang w:val="en-GB"/>
        </w:rPr>
        <w:t>Cubber</w:t>
      </w:r>
      <w:proofErr w:type="spellEnd"/>
      <w:r>
        <w:rPr>
          <w:i/>
          <w:lang w:val="en-GB"/>
        </w:rPr>
        <w:t xml:space="preserve"> v. Belgium</w:t>
      </w:r>
      <w:r>
        <w:rPr>
          <w:lang w:val="en-GB"/>
        </w:rPr>
        <w:t xml:space="preserve">, no. 9186/80; ECtHR (Plenary), 30 November 1987, </w:t>
      </w:r>
      <w:r>
        <w:rPr>
          <w:i/>
          <w:lang w:val="en-GB"/>
        </w:rPr>
        <w:t>H. v. Belgium</w:t>
      </w:r>
      <w:r>
        <w:rPr>
          <w:lang w:val="en-GB"/>
        </w:rPr>
        <w:t xml:space="preserve">, no. 8950/80; ECtHR, 29 February 1988, </w:t>
      </w:r>
      <w:proofErr w:type="spellStart"/>
      <w:r>
        <w:rPr>
          <w:i/>
          <w:lang w:val="en-GB"/>
        </w:rPr>
        <w:t>Bouamar</w:t>
      </w:r>
      <w:proofErr w:type="spellEnd"/>
      <w:r>
        <w:rPr>
          <w:i/>
          <w:lang w:val="en-GB"/>
        </w:rPr>
        <w:t xml:space="preserve"> v. Belgium</w:t>
      </w:r>
      <w:r>
        <w:rPr>
          <w:lang w:val="en-GB"/>
        </w:rPr>
        <w:t>, no. 9106/80; ECtHR, 26 May 1988,</w:t>
      </w:r>
      <w:r>
        <w:rPr>
          <w:i/>
          <w:lang w:val="en-GB"/>
        </w:rPr>
        <w:t xml:space="preserve"> </w:t>
      </w:r>
      <w:proofErr w:type="spellStart"/>
      <w:r>
        <w:rPr>
          <w:i/>
          <w:lang w:val="en-GB"/>
        </w:rPr>
        <w:t>Pauwels</w:t>
      </w:r>
      <w:proofErr w:type="spellEnd"/>
      <w:r>
        <w:rPr>
          <w:i/>
          <w:lang w:val="en-GB"/>
        </w:rPr>
        <w:t xml:space="preserve"> v. Belgium</w:t>
      </w:r>
      <w:r>
        <w:rPr>
          <w:lang w:val="en-GB"/>
        </w:rPr>
        <w:t xml:space="preserve">, no. 10208/82; ECtHR, 30 March 1989, </w:t>
      </w:r>
      <w:proofErr w:type="spellStart"/>
      <w:r>
        <w:rPr>
          <w:i/>
          <w:lang w:val="en-GB"/>
        </w:rPr>
        <w:t>Lamy</w:t>
      </w:r>
      <w:proofErr w:type="spellEnd"/>
      <w:r>
        <w:rPr>
          <w:i/>
          <w:lang w:val="en-GB"/>
        </w:rPr>
        <w:t xml:space="preserve"> v. Belgium</w:t>
      </w:r>
      <w:r>
        <w:rPr>
          <w:lang w:val="en-GB"/>
        </w:rPr>
        <w:t xml:space="preserve">, no. 10444/83; and ECtHR, 7 July 1989, </w:t>
      </w:r>
      <w:proofErr w:type="spellStart"/>
      <w:r>
        <w:rPr>
          <w:i/>
          <w:lang w:val="en-GB"/>
        </w:rPr>
        <w:t>Bricmont</w:t>
      </w:r>
      <w:proofErr w:type="spellEnd"/>
      <w:r>
        <w:rPr>
          <w:i/>
          <w:lang w:val="en-GB"/>
        </w:rPr>
        <w:t xml:space="preserve"> v. Belgium</w:t>
      </w:r>
      <w:r>
        <w:rPr>
          <w:lang w:val="en-GB"/>
        </w:rPr>
        <w:t>, no. 10857/84.</w:t>
      </w:r>
    </w:p>
  </w:footnote>
  <w:footnote w:id="43">
    <w:p w14:paraId="14A360F6" w14:textId="77777777" w:rsidR="00B31A46" w:rsidRPr="009F3C0B" w:rsidRDefault="00B31A46" w:rsidP="007257D9">
      <w:pPr>
        <w:pStyle w:val="Voetnoottekst"/>
        <w:rPr>
          <w:lang w:val="en-GB"/>
        </w:rPr>
      </w:pPr>
      <w:r>
        <w:rPr>
          <w:rStyle w:val="Voetnootmarkering"/>
        </w:rPr>
        <w:footnoteRef/>
      </w:r>
      <w:r w:rsidRPr="00C20F80">
        <w:rPr>
          <w:lang w:val="en-GB"/>
        </w:rPr>
        <w:t xml:space="preserve"> </w:t>
      </w:r>
      <w:r>
        <w:rPr>
          <w:lang w:val="en-GB"/>
        </w:rPr>
        <w:t xml:space="preserve">ECtHR, 17 January 1970, </w:t>
      </w:r>
      <w:proofErr w:type="spellStart"/>
      <w:r>
        <w:rPr>
          <w:i/>
          <w:lang w:val="en-GB"/>
        </w:rPr>
        <w:t>Delcourt</w:t>
      </w:r>
      <w:proofErr w:type="spellEnd"/>
      <w:r>
        <w:rPr>
          <w:i/>
          <w:lang w:val="en-GB"/>
        </w:rPr>
        <w:t xml:space="preserve"> v. Belgium</w:t>
      </w:r>
      <w:r>
        <w:rPr>
          <w:lang w:val="en-GB"/>
        </w:rPr>
        <w:t xml:space="preserve">, no. 2689/65; ECtHR (Plenary), 27 October 1975, </w:t>
      </w:r>
      <w:r>
        <w:rPr>
          <w:i/>
          <w:lang w:val="en-GB"/>
        </w:rPr>
        <w:t>National Union of Belgian Police v. Belgium</w:t>
      </w:r>
      <w:r>
        <w:rPr>
          <w:lang w:val="en-GB"/>
        </w:rPr>
        <w:t xml:space="preserve">, no. 4464/70; ECtHR (Plenary), 23 November 1983; </w:t>
      </w:r>
      <w:r>
        <w:rPr>
          <w:i/>
          <w:lang w:val="en-GB"/>
        </w:rPr>
        <w:t xml:space="preserve">Van der </w:t>
      </w:r>
      <w:proofErr w:type="spellStart"/>
      <w:r>
        <w:rPr>
          <w:i/>
          <w:lang w:val="en-GB"/>
        </w:rPr>
        <w:t>Mussele</w:t>
      </w:r>
      <w:proofErr w:type="spellEnd"/>
      <w:r>
        <w:rPr>
          <w:i/>
          <w:lang w:val="en-GB"/>
        </w:rPr>
        <w:t xml:space="preserve"> v. Belgium</w:t>
      </w:r>
      <w:r>
        <w:rPr>
          <w:lang w:val="en-GB"/>
        </w:rPr>
        <w:t xml:space="preserve">, no. 8919/80; and ECtHR (Plenary), 2 March 1987, </w:t>
      </w:r>
      <w:r>
        <w:rPr>
          <w:i/>
          <w:lang w:val="en-GB"/>
        </w:rPr>
        <w:t>Mathieu-</w:t>
      </w:r>
      <w:proofErr w:type="spellStart"/>
      <w:r>
        <w:rPr>
          <w:i/>
          <w:lang w:val="en-GB"/>
        </w:rPr>
        <w:t>Mohin</w:t>
      </w:r>
      <w:proofErr w:type="spellEnd"/>
      <w:r>
        <w:rPr>
          <w:i/>
          <w:lang w:val="en-GB"/>
        </w:rPr>
        <w:t xml:space="preserve"> and </w:t>
      </w:r>
      <w:proofErr w:type="spellStart"/>
      <w:r>
        <w:rPr>
          <w:i/>
          <w:lang w:val="en-GB"/>
        </w:rPr>
        <w:t>Clerfayt</w:t>
      </w:r>
      <w:proofErr w:type="spellEnd"/>
      <w:r>
        <w:rPr>
          <w:i/>
          <w:lang w:val="en-GB"/>
        </w:rPr>
        <w:t xml:space="preserve"> v. Belgium</w:t>
      </w:r>
      <w:r>
        <w:rPr>
          <w:lang w:val="en-GB"/>
        </w:rPr>
        <w:t>, no. 9267/81.</w:t>
      </w:r>
    </w:p>
  </w:footnote>
  <w:footnote w:id="44">
    <w:p w14:paraId="5ACB7902" w14:textId="77777777" w:rsidR="00B31A46" w:rsidRPr="00C20F80" w:rsidRDefault="00B31A46" w:rsidP="007257D9">
      <w:pPr>
        <w:pStyle w:val="Voetnoottekst"/>
        <w:rPr>
          <w:lang w:val="en-GB"/>
        </w:rPr>
      </w:pPr>
      <w:r>
        <w:rPr>
          <w:rStyle w:val="Voetnootmarkering"/>
        </w:rPr>
        <w:footnoteRef/>
      </w:r>
      <w:r w:rsidRPr="00C20F80">
        <w:rPr>
          <w:lang w:val="en-GB"/>
        </w:rPr>
        <w:t xml:space="preserve"> </w:t>
      </w:r>
      <w:proofErr w:type="gramStart"/>
      <w:r w:rsidRPr="00C20F80">
        <w:rPr>
          <w:lang w:val="en-GB"/>
        </w:rPr>
        <w:t xml:space="preserve">ECtHR (Plenary), 6 November 1980, </w:t>
      </w:r>
      <w:r w:rsidRPr="00C20F80">
        <w:rPr>
          <w:i/>
          <w:lang w:val="en-GB"/>
        </w:rPr>
        <w:t xml:space="preserve">Van </w:t>
      </w:r>
      <w:proofErr w:type="spellStart"/>
      <w:r w:rsidRPr="00C20F80">
        <w:rPr>
          <w:i/>
          <w:lang w:val="en-GB"/>
        </w:rPr>
        <w:t>Oosterwijck</w:t>
      </w:r>
      <w:proofErr w:type="spellEnd"/>
      <w:r w:rsidRPr="00C20F80">
        <w:rPr>
          <w:i/>
          <w:lang w:val="en-GB"/>
        </w:rPr>
        <w:t xml:space="preserve"> v. Belgium </w:t>
      </w:r>
      <w:r w:rsidRPr="00C20F80">
        <w:rPr>
          <w:lang w:val="en-GB"/>
        </w:rPr>
        <w:t xml:space="preserve">(Preliminary Objection), no. </w:t>
      </w:r>
      <w:r>
        <w:rPr>
          <w:lang w:val="en-GB"/>
        </w:rPr>
        <w:t>7654/76.</w:t>
      </w:r>
      <w:proofErr w:type="gramEnd"/>
    </w:p>
  </w:footnote>
  <w:footnote w:id="45">
    <w:p w14:paraId="4AEE320B" w14:textId="77777777" w:rsidR="00B31A46" w:rsidRPr="007257D9" w:rsidRDefault="00B31A46" w:rsidP="007257D9">
      <w:pPr>
        <w:pStyle w:val="Voetnoottekst"/>
        <w:rPr>
          <w:lang w:val="en-GB"/>
        </w:rPr>
      </w:pPr>
      <w:r>
        <w:rPr>
          <w:rStyle w:val="Voetnootmarkering"/>
        </w:rPr>
        <w:footnoteRef/>
      </w:r>
      <w:r w:rsidRPr="007257D9">
        <w:rPr>
          <w:lang w:val="en-GB"/>
        </w:rPr>
        <w:t xml:space="preserve"> ECtHR, 27 November 1987, </w:t>
      </w:r>
      <w:r w:rsidRPr="007257D9">
        <w:rPr>
          <w:i/>
          <w:lang w:val="en-GB"/>
        </w:rPr>
        <w:t xml:space="preserve">Ben </w:t>
      </w:r>
      <w:proofErr w:type="spellStart"/>
      <w:r w:rsidRPr="007257D9">
        <w:rPr>
          <w:i/>
          <w:lang w:val="en-GB"/>
        </w:rPr>
        <w:t>Yaacoub</w:t>
      </w:r>
      <w:proofErr w:type="spellEnd"/>
      <w:r w:rsidRPr="007257D9">
        <w:rPr>
          <w:i/>
          <w:lang w:val="en-GB"/>
        </w:rPr>
        <w:t xml:space="preserve"> v. Belgium</w:t>
      </w:r>
      <w:r w:rsidRPr="007257D9">
        <w:rPr>
          <w:lang w:val="en-GB"/>
        </w:rPr>
        <w:t>, no. 9976/82.</w:t>
      </w:r>
    </w:p>
  </w:footnote>
  <w:footnote w:id="46">
    <w:p w14:paraId="2F02B48D" w14:textId="77777777" w:rsidR="00B31A46" w:rsidRPr="00D66AC7" w:rsidRDefault="00B31A46" w:rsidP="007257D9">
      <w:pPr>
        <w:pStyle w:val="Voetnoottekst"/>
        <w:rPr>
          <w:lang w:val="en-GB"/>
        </w:rPr>
      </w:pPr>
      <w:r>
        <w:rPr>
          <w:rStyle w:val="Voetnootmarkering"/>
        </w:rPr>
        <w:footnoteRef/>
      </w:r>
      <w:r w:rsidRPr="00D66AC7">
        <w:rPr>
          <w:lang w:val="en-GB"/>
        </w:rPr>
        <w:t xml:space="preserve"> </w:t>
      </w:r>
      <w:r>
        <w:rPr>
          <w:lang w:val="en-GB"/>
        </w:rPr>
        <w:t xml:space="preserve">ECtHR, 27 March 1962, </w:t>
      </w:r>
      <w:r w:rsidRPr="00D66AC7">
        <w:rPr>
          <w:i/>
          <w:lang w:val="en-GB"/>
        </w:rPr>
        <w:t>De Becker v. Belgium</w:t>
      </w:r>
      <w:r>
        <w:rPr>
          <w:lang w:val="en-GB"/>
        </w:rPr>
        <w:t>, no. 214/56.</w:t>
      </w:r>
    </w:p>
  </w:footnote>
  <w:footnote w:id="47">
    <w:p w14:paraId="15D555EC" w14:textId="6822E873" w:rsidR="00B31A46" w:rsidRPr="007225B1" w:rsidRDefault="00B31A46">
      <w:pPr>
        <w:pStyle w:val="Voetnoottekst"/>
        <w:rPr>
          <w:lang w:val="en-GB"/>
        </w:rPr>
      </w:pPr>
      <w:r>
        <w:rPr>
          <w:rStyle w:val="Voetnootmarkering"/>
        </w:rPr>
        <w:footnoteRef/>
      </w:r>
      <w:r w:rsidRPr="007225B1">
        <w:rPr>
          <w:lang w:val="en-GB"/>
        </w:rPr>
        <w:t xml:space="preserve"> Also see M. Madsen, </w:t>
      </w:r>
      <w:r w:rsidRPr="007225B1">
        <w:rPr>
          <w:i/>
          <w:lang w:val="en-GB"/>
        </w:rPr>
        <w:t xml:space="preserve">Le </w:t>
      </w:r>
      <w:proofErr w:type="spellStart"/>
      <w:r w:rsidRPr="007225B1">
        <w:rPr>
          <w:i/>
          <w:lang w:val="en-GB"/>
        </w:rPr>
        <w:t>genèse</w:t>
      </w:r>
      <w:proofErr w:type="spellEnd"/>
      <w:r w:rsidRPr="007225B1">
        <w:rPr>
          <w:i/>
          <w:lang w:val="en-GB"/>
        </w:rPr>
        <w:t xml:space="preserve"> de </w:t>
      </w:r>
      <w:proofErr w:type="spellStart"/>
      <w:r w:rsidRPr="007225B1">
        <w:rPr>
          <w:i/>
          <w:lang w:val="en-GB"/>
        </w:rPr>
        <w:t>l’Europe</w:t>
      </w:r>
      <w:proofErr w:type="spellEnd"/>
      <w:r w:rsidRPr="007225B1">
        <w:rPr>
          <w:i/>
          <w:lang w:val="en-GB"/>
        </w:rPr>
        <w:t xml:space="preserve"> des droits de </w:t>
      </w:r>
      <w:proofErr w:type="spellStart"/>
      <w:r w:rsidRPr="007225B1">
        <w:rPr>
          <w:i/>
          <w:lang w:val="en-GB"/>
        </w:rPr>
        <w:t>l’homme</w:t>
      </w:r>
      <w:proofErr w:type="spellEnd"/>
      <w:r w:rsidRPr="007225B1">
        <w:rPr>
          <w:lang w:val="en-GB"/>
        </w:rPr>
        <w:t>, Strasbourg, 2010, p. 26, who focused on lawyers because of their central role to the construction of the field of European human rights.</w:t>
      </w:r>
    </w:p>
  </w:footnote>
  <w:footnote w:id="48">
    <w:p w14:paraId="344E0A43" w14:textId="77777777" w:rsidR="00B31A46" w:rsidRPr="00A96F1D" w:rsidRDefault="00B31A46">
      <w:pPr>
        <w:pStyle w:val="Voetnoottekst"/>
        <w:rPr>
          <w:lang w:val="en-GB"/>
        </w:rPr>
      </w:pPr>
      <w:r>
        <w:rPr>
          <w:rStyle w:val="Voetnootmarkering"/>
        </w:rPr>
        <w:footnoteRef/>
      </w:r>
      <w:r w:rsidRPr="00A96F1D">
        <w:rPr>
          <w:lang w:val="en-GB"/>
        </w:rPr>
        <w:t xml:space="preserve"> </w:t>
      </w:r>
      <w:proofErr w:type="gramStart"/>
      <w:r>
        <w:rPr>
          <w:lang w:val="en-GB"/>
        </w:rPr>
        <w:t xml:space="preserve">The two attorneys representing the applicants in the </w:t>
      </w:r>
      <w:r w:rsidRPr="00A96F1D">
        <w:rPr>
          <w:i/>
          <w:lang w:val="en-GB"/>
        </w:rPr>
        <w:t xml:space="preserve">Albert and Le </w:t>
      </w:r>
      <w:proofErr w:type="spellStart"/>
      <w:r w:rsidRPr="00A96F1D">
        <w:rPr>
          <w:i/>
          <w:lang w:val="en-GB"/>
        </w:rPr>
        <w:t>Compte</w:t>
      </w:r>
      <w:proofErr w:type="spellEnd"/>
      <w:r w:rsidRPr="00A96F1D">
        <w:rPr>
          <w:i/>
          <w:lang w:val="en-GB"/>
        </w:rPr>
        <w:t xml:space="preserve"> </w:t>
      </w:r>
      <w:r>
        <w:rPr>
          <w:lang w:val="en-GB"/>
        </w:rPr>
        <w:t xml:space="preserve">case had before respectively been involved in the Vagrancy case and the </w:t>
      </w:r>
      <w:r w:rsidRPr="00A96F1D">
        <w:rPr>
          <w:i/>
          <w:lang w:val="en-GB"/>
        </w:rPr>
        <w:t xml:space="preserve">Le </w:t>
      </w:r>
      <w:proofErr w:type="spellStart"/>
      <w:r w:rsidRPr="00A96F1D">
        <w:rPr>
          <w:i/>
          <w:lang w:val="en-GB"/>
        </w:rPr>
        <w:t>Compte</w:t>
      </w:r>
      <w:proofErr w:type="spellEnd"/>
      <w:r w:rsidRPr="00A96F1D">
        <w:rPr>
          <w:i/>
          <w:lang w:val="en-GB"/>
        </w:rPr>
        <w:t>, Van Leuven and De Meyere</w:t>
      </w:r>
      <w:r>
        <w:rPr>
          <w:lang w:val="en-GB"/>
        </w:rPr>
        <w:t xml:space="preserve"> case.</w:t>
      </w:r>
      <w:proofErr w:type="gramEnd"/>
    </w:p>
  </w:footnote>
  <w:footnote w:id="49">
    <w:p w14:paraId="30EC89C7" w14:textId="77777777" w:rsidR="00B31A46" w:rsidRPr="00A96F1D" w:rsidRDefault="00B31A46">
      <w:pPr>
        <w:pStyle w:val="Voetnoottekst"/>
        <w:rPr>
          <w:lang w:val="en-GB"/>
        </w:rPr>
      </w:pPr>
      <w:r>
        <w:rPr>
          <w:rStyle w:val="Voetnootmarkering"/>
        </w:rPr>
        <w:footnoteRef/>
      </w:r>
      <w:r w:rsidRPr="00A96F1D">
        <w:rPr>
          <w:lang w:val="en-GB"/>
        </w:rPr>
        <w:t xml:space="preserve"> </w:t>
      </w:r>
      <w:r>
        <w:rPr>
          <w:lang w:val="en-GB"/>
        </w:rPr>
        <w:t xml:space="preserve">In the </w:t>
      </w:r>
      <w:r w:rsidRPr="00A96F1D">
        <w:rPr>
          <w:i/>
          <w:lang w:val="en-GB"/>
        </w:rPr>
        <w:t xml:space="preserve">Le </w:t>
      </w:r>
      <w:proofErr w:type="spellStart"/>
      <w:r w:rsidRPr="00A96F1D">
        <w:rPr>
          <w:i/>
          <w:lang w:val="en-GB"/>
        </w:rPr>
        <w:t>Compte</w:t>
      </w:r>
      <w:proofErr w:type="spellEnd"/>
      <w:r w:rsidRPr="00A96F1D">
        <w:rPr>
          <w:i/>
          <w:lang w:val="en-GB"/>
        </w:rPr>
        <w:t>, Van Leuven and De Meyere</w:t>
      </w:r>
      <w:r>
        <w:rPr>
          <w:lang w:val="en-GB"/>
        </w:rPr>
        <w:t xml:space="preserve"> and </w:t>
      </w:r>
      <w:r w:rsidRPr="00A96F1D">
        <w:rPr>
          <w:i/>
          <w:lang w:val="en-GB"/>
        </w:rPr>
        <w:t xml:space="preserve">Albert and Le </w:t>
      </w:r>
      <w:proofErr w:type="spellStart"/>
      <w:r w:rsidRPr="00A96F1D">
        <w:rPr>
          <w:i/>
          <w:lang w:val="en-GB"/>
        </w:rPr>
        <w:t>Compte</w:t>
      </w:r>
      <w:proofErr w:type="spellEnd"/>
      <w:r>
        <w:rPr>
          <w:lang w:val="en-GB"/>
        </w:rPr>
        <w:t xml:space="preserve"> cases.</w:t>
      </w:r>
    </w:p>
  </w:footnote>
  <w:footnote w:id="50">
    <w:p w14:paraId="7D6E5E2C" w14:textId="77777777" w:rsidR="00B31A46" w:rsidRPr="00A96F1D" w:rsidRDefault="00B31A46">
      <w:pPr>
        <w:pStyle w:val="Voetnoottekst"/>
        <w:rPr>
          <w:lang w:val="en-GB"/>
        </w:rPr>
      </w:pPr>
      <w:r>
        <w:rPr>
          <w:rStyle w:val="Voetnootmarkering"/>
        </w:rPr>
        <w:footnoteRef/>
      </w:r>
      <w:r>
        <w:rPr>
          <w:lang w:val="en-GB"/>
        </w:rPr>
        <w:t xml:space="preserve"> </w:t>
      </w:r>
      <w:proofErr w:type="gramStart"/>
      <w:r>
        <w:rPr>
          <w:lang w:val="en-GB"/>
        </w:rPr>
        <w:t xml:space="preserve">In the </w:t>
      </w:r>
      <w:r>
        <w:rPr>
          <w:i/>
          <w:lang w:val="en-GB"/>
        </w:rPr>
        <w:t xml:space="preserve">Van </w:t>
      </w:r>
      <w:proofErr w:type="spellStart"/>
      <w:r>
        <w:rPr>
          <w:i/>
          <w:lang w:val="en-GB"/>
        </w:rPr>
        <w:t>Oosterwijck</w:t>
      </w:r>
      <w:proofErr w:type="spellEnd"/>
      <w:r>
        <w:rPr>
          <w:i/>
          <w:lang w:val="en-GB"/>
        </w:rPr>
        <w:t xml:space="preserve"> </w:t>
      </w:r>
      <w:r>
        <w:rPr>
          <w:lang w:val="en-GB"/>
        </w:rPr>
        <w:t>case.</w:t>
      </w:r>
      <w:proofErr w:type="gramEnd"/>
    </w:p>
  </w:footnote>
  <w:footnote w:id="51">
    <w:p w14:paraId="0E1FB7BF" w14:textId="672DF8B9" w:rsidR="00B31A46" w:rsidRPr="00DE778E" w:rsidRDefault="00B31A46">
      <w:pPr>
        <w:pStyle w:val="Voetnoottekst"/>
        <w:rPr>
          <w:lang w:val="en-GB"/>
        </w:rPr>
      </w:pPr>
      <w:r>
        <w:rPr>
          <w:rStyle w:val="Voetnootmarkering"/>
        </w:rPr>
        <w:footnoteRef/>
      </w:r>
      <w:r w:rsidRPr="00DE778E">
        <w:rPr>
          <w:lang w:val="en-GB"/>
        </w:rPr>
        <w:t xml:space="preserve"> </w:t>
      </w:r>
      <w:r>
        <w:rPr>
          <w:lang w:val="en-GB"/>
        </w:rPr>
        <w:t xml:space="preserve">A. </w:t>
      </w:r>
      <w:proofErr w:type="spellStart"/>
      <w:r>
        <w:rPr>
          <w:lang w:val="en-GB"/>
        </w:rPr>
        <w:t>Portelli</w:t>
      </w:r>
      <w:proofErr w:type="spellEnd"/>
      <w:r>
        <w:rPr>
          <w:lang w:val="en-GB"/>
        </w:rPr>
        <w:t xml:space="preserve">, </w:t>
      </w:r>
      <w:r w:rsidRPr="00CE628E">
        <w:rPr>
          <w:i/>
          <w:lang w:val="en-GB"/>
        </w:rPr>
        <w:t>What makes oral history different</w:t>
      </w:r>
      <w:r>
        <w:rPr>
          <w:lang w:val="en-GB"/>
        </w:rPr>
        <w:t xml:space="preserve"> in: R. Perks and A. Thompson (eds.), </w:t>
      </w:r>
      <w:proofErr w:type="gramStart"/>
      <w:r w:rsidRPr="00CE628E">
        <w:rPr>
          <w:lang w:val="en-GB"/>
        </w:rPr>
        <w:t>The</w:t>
      </w:r>
      <w:proofErr w:type="gramEnd"/>
      <w:r w:rsidRPr="00CE628E">
        <w:rPr>
          <w:lang w:val="en-GB"/>
        </w:rPr>
        <w:t xml:space="preserve"> oral history reader,</w:t>
      </w:r>
      <w:r>
        <w:rPr>
          <w:i/>
          <w:lang w:val="en-GB"/>
        </w:rPr>
        <w:t xml:space="preserve"> </w:t>
      </w:r>
      <w:r>
        <w:rPr>
          <w:lang w:val="en-GB"/>
        </w:rPr>
        <w:t>London, 1998, p. 63 at p. 67.</w:t>
      </w:r>
    </w:p>
  </w:footnote>
  <w:footnote w:id="52">
    <w:p w14:paraId="71D8D44E" w14:textId="77777777" w:rsidR="00B31A46" w:rsidRPr="0084500C" w:rsidRDefault="00B31A46">
      <w:pPr>
        <w:pStyle w:val="Voetnoottekst"/>
        <w:rPr>
          <w:lang w:val="en-GB"/>
        </w:rPr>
      </w:pPr>
      <w:r>
        <w:rPr>
          <w:rStyle w:val="Voetnootmarkering"/>
        </w:rPr>
        <w:footnoteRef/>
      </w:r>
      <w:r w:rsidRPr="0084500C">
        <w:rPr>
          <w:lang w:val="en-GB"/>
        </w:rPr>
        <w:t xml:space="preserve"> Similarly, </w:t>
      </w:r>
      <w:proofErr w:type="gramStart"/>
      <w:r w:rsidRPr="0084500C">
        <w:rPr>
          <w:i/>
          <w:lang w:val="en-GB"/>
        </w:rPr>
        <w:t>ibid.</w:t>
      </w:r>
      <w:r w:rsidRPr="0084500C">
        <w:rPr>
          <w:lang w:val="en-GB"/>
        </w:rPr>
        <w:t>,</w:t>
      </w:r>
      <w:proofErr w:type="gramEnd"/>
      <w:r w:rsidRPr="0084500C">
        <w:rPr>
          <w:lang w:val="en-GB"/>
        </w:rPr>
        <w:t xml:space="preserve"> p. 68.</w:t>
      </w:r>
    </w:p>
  </w:footnote>
  <w:footnote w:id="53">
    <w:p w14:paraId="26559DD6" w14:textId="77777777" w:rsidR="00B31A46" w:rsidRPr="005879EF" w:rsidRDefault="00B31A46">
      <w:pPr>
        <w:pStyle w:val="Voetnoottekst"/>
        <w:rPr>
          <w:lang w:val="en-GB"/>
        </w:rPr>
      </w:pPr>
      <w:r>
        <w:rPr>
          <w:rStyle w:val="Voetnootmarkering"/>
        </w:rPr>
        <w:footnoteRef/>
      </w:r>
      <w:r w:rsidRPr="005879EF">
        <w:rPr>
          <w:lang w:val="en-GB"/>
        </w:rPr>
        <w:t xml:space="preserve"> </w:t>
      </w:r>
      <w:proofErr w:type="gramStart"/>
      <w:r w:rsidRPr="0084500C">
        <w:rPr>
          <w:i/>
          <w:lang w:val="en-GB"/>
        </w:rPr>
        <w:t>Ibid.</w:t>
      </w:r>
      <w:r>
        <w:rPr>
          <w:lang w:val="en-GB"/>
        </w:rPr>
        <w:t>,</w:t>
      </w:r>
      <w:proofErr w:type="gramEnd"/>
      <w:r>
        <w:rPr>
          <w:lang w:val="en-GB"/>
        </w:rPr>
        <w:t xml:space="preserve"> p. 67.</w:t>
      </w:r>
    </w:p>
  </w:footnote>
  <w:footnote w:id="54">
    <w:p w14:paraId="3D94EAFE" w14:textId="69ABC75E" w:rsidR="00B31A46" w:rsidRPr="0084500C" w:rsidRDefault="00B31A46" w:rsidP="003A7972">
      <w:pPr>
        <w:pStyle w:val="Voetnoottekst"/>
        <w:rPr>
          <w:lang w:val="en-GB"/>
        </w:rPr>
      </w:pPr>
      <w:r>
        <w:rPr>
          <w:rStyle w:val="Voetnootmarkering"/>
        </w:rPr>
        <w:footnoteRef/>
      </w:r>
      <w:r w:rsidRPr="0084500C">
        <w:rPr>
          <w:lang w:val="en-GB"/>
        </w:rPr>
        <w:t xml:space="preserve"> </w:t>
      </w:r>
      <w:r>
        <w:rPr>
          <w:lang w:val="en-GB"/>
        </w:rPr>
        <w:t>F</w:t>
      </w:r>
      <w:r w:rsidRPr="0084500C">
        <w:rPr>
          <w:lang w:val="en-GB"/>
        </w:rPr>
        <w:t>or example</w:t>
      </w:r>
      <w:r>
        <w:rPr>
          <w:lang w:val="en-GB"/>
        </w:rPr>
        <w:t>,</w:t>
      </w:r>
      <w:r w:rsidRPr="0084500C">
        <w:rPr>
          <w:lang w:val="en-GB"/>
        </w:rPr>
        <w:t xml:space="preserve"> the chapter “Why Bastard?” on the Marckx case in </w:t>
      </w:r>
      <w:proofErr w:type="spellStart"/>
      <w:r w:rsidRPr="0084500C">
        <w:rPr>
          <w:lang w:val="en-GB"/>
        </w:rPr>
        <w:t>Goldhaber</w:t>
      </w:r>
      <w:proofErr w:type="spellEnd"/>
      <w:r w:rsidRPr="0084500C">
        <w:rPr>
          <w:lang w:val="en-GB"/>
        </w:rPr>
        <w:t xml:space="preserve">, </w:t>
      </w:r>
      <w:r w:rsidRPr="0084500C">
        <w:rPr>
          <w:i/>
          <w:lang w:val="en-GB"/>
        </w:rPr>
        <w:t>A People’s History of the European Court of Human Rights</w:t>
      </w:r>
      <w:r w:rsidRPr="0084500C">
        <w:rPr>
          <w:lang w:val="en-GB"/>
        </w:rPr>
        <w:t xml:space="preserve">, </w:t>
      </w:r>
      <w:r>
        <w:rPr>
          <w:lang w:val="en-GB"/>
        </w:rPr>
        <w:t xml:space="preserve">Rutgers, 2007, </w:t>
      </w:r>
      <w:r w:rsidRPr="0084500C">
        <w:rPr>
          <w:lang w:val="en-GB"/>
        </w:rPr>
        <w:t>p. 15-25, based on interviews with the applicants and their attorney</w:t>
      </w:r>
      <w:r>
        <w:rPr>
          <w:lang w:val="en-GB"/>
        </w:rPr>
        <w:t>.</w:t>
      </w:r>
    </w:p>
  </w:footnote>
  <w:footnote w:id="55">
    <w:p w14:paraId="1507DA5B" w14:textId="7E0C4C24" w:rsidR="00B31A46" w:rsidRPr="00CE628E" w:rsidRDefault="00B31A46" w:rsidP="003A7972">
      <w:pPr>
        <w:pStyle w:val="Voetnoottekst"/>
        <w:rPr>
          <w:lang w:val="en-GB"/>
        </w:rPr>
      </w:pPr>
      <w:r>
        <w:rPr>
          <w:rStyle w:val="Voetnootmarkering"/>
        </w:rPr>
        <w:footnoteRef/>
      </w:r>
      <w:r w:rsidRPr="00CE628E">
        <w:rPr>
          <w:lang w:val="en-GB"/>
        </w:rPr>
        <w:t xml:space="preserve"> For example, the chapter “</w:t>
      </w:r>
      <w:proofErr w:type="spellStart"/>
      <w:r w:rsidRPr="00CE628E">
        <w:rPr>
          <w:lang w:val="en-GB"/>
        </w:rPr>
        <w:t>Mes</w:t>
      </w:r>
      <w:proofErr w:type="spellEnd"/>
      <w:r w:rsidRPr="00CE628E">
        <w:rPr>
          <w:lang w:val="en-GB"/>
        </w:rPr>
        <w:t xml:space="preserve"> Vagabonds” in Xavier </w:t>
      </w:r>
      <w:proofErr w:type="spellStart"/>
      <w:r w:rsidRPr="00CE628E">
        <w:rPr>
          <w:lang w:val="en-GB"/>
        </w:rPr>
        <w:t>Magnée</w:t>
      </w:r>
      <w:proofErr w:type="spellEnd"/>
      <w:r w:rsidRPr="00CE628E">
        <w:rPr>
          <w:lang w:val="en-GB"/>
        </w:rPr>
        <w:t xml:space="preserve">, </w:t>
      </w:r>
      <w:r w:rsidRPr="00CE628E">
        <w:rPr>
          <w:i/>
          <w:lang w:val="en-GB"/>
        </w:rPr>
        <w:t xml:space="preserve">Somme </w:t>
      </w:r>
      <w:proofErr w:type="spellStart"/>
      <w:r w:rsidRPr="00CE628E">
        <w:rPr>
          <w:i/>
          <w:lang w:val="en-GB"/>
        </w:rPr>
        <w:t>toute</w:t>
      </w:r>
      <w:proofErr w:type="spellEnd"/>
      <w:r w:rsidRPr="00CE628E">
        <w:rPr>
          <w:i/>
          <w:lang w:val="en-GB"/>
        </w:rPr>
        <w:t xml:space="preserve">, </w:t>
      </w:r>
      <w:proofErr w:type="spellStart"/>
      <w:r w:rsidRPr="00CE628E">
        <w:rPr>
          <w:i/>
          <w:lang w:val="en-GB"/>
        </w:rPr>
        <w:t>mémoire</w:t>
      </w:r>
      <w:proofErr w:type="spellEnd"/>
      <w:r w:rsidRPr="00CE628E">
        <w:rPr>
          <w:i/>
          <w:lang w:val="en-GB"/>
        </w:rPr>
        <w:t xml:space="preserve"> à la barre</w:t>
      </w:r>
      <w:r w:rsidRPr="00CE628E">
        <w:rPr>
          <w:lang w:val="en-GB"/>
        </w:rPr>
        <w:t>, Waterloo, 2014, p. 73-76, on the Vagrancy case</w:t>
      </w:r>
    </w:p>
  </w:footnote>
  <w:footnote w:id="56">
    <w:p w14:paraId="6950A4DB" w14:textId="25BC8702" w:rsidR="00B31A46" w:rsidRPr="003A7972" w:rsidRDefault="00B31A46" w:rsidP="003A7972">
      <w:pPr>
        <w:spacing w:after="0" w:line="240" w:lineRule="auto"/>
        <w:jc w:val="both"/>
        <w:rPr>
          <w:sz w:val="20"/>
          <w:szCs w:val="20"/>
          <w:lang w:val="fr-BE"/>
        </w:rPr>
      </w:pPr>
      <w:r w:rsidRPr="003A7972">
        <w:rPr>
          <w:rStyle w:val="Voetnootmarkering"/>
          <w:sz w:val="20"/>
          <w:szCs w:val="20"/>
        </w:rPr>
        <w:footnoteRef/>
      </w:r>
      <w:r w:rsidRPr="003A7972">
        <w:rPr>
          <w:sz w:val="20"/>
          <w:szCs w:val="20"/>
          <w:lang w:val="fr-BE"/>
        </w:rPr>
        <w:t xml:space="preserve"> For </w:t>
      </w:r>
      <w:proofErr w:type="spellStart"/>
      <w:r w:rsidRPr="003A7972">
        <w:rPr>
          <w:sz w:val="20"/>
          <w:szCs w:val="20"/>
          <w:lang w:val="fr-BE"/>
        </w:rPr>
        <w:t>example</w:t>
      </w:r>
      <w:proofErr w:type="spellEnd"/>
      <w:r w:rsidRPr="003A7972">
        <w:rPr>
          <w:sz w:val="20"/>
          <w:szCs w:val="20"/>
          <w:lang w:val="fr-BE"/>
        </w:rPr>
        <w:t xml:space="preserve"> G</w:t>
      </w:r>
      <w:r>
        <w:rPr>
          <w:sz w:val="20"/>
          <w:szCs w:val="20"/>
          <w:lang w:val="fr-BE"/>
        </w:rPr>
        <w:t xml:space="preserve">. </w:t>
      </w:r>
      <w:proofErr w:type="spellStart"/>
      <w:r>
        <w:rPr>
          <w:sz w:val="20"/>
          <w:szCs w:val="20"/>
          <w:lang w:val="fr-BE"/>
        </w:rPr>
        <w:t>Delfosse</w:t>
      </w:r>
      <w:proofErr w:type="spellEnd"/>
      <w:r>
        <w:rPr>
          <w:sz w:val="20"/>
          <w:szCs w:val="20"/>
          <w:lang w:val="fr-BE"/>
        </w:rPr>
        <w:t xml:space="preserve">, </w:t>
      </w:r>
      <w:r w:rsidRPr="00CE628E">
        <w:rPr>
          <w:i/>
          <w:sz w:val="20"/>
          <w:szCs w:val="20"/>
          <w:lang w:val="fr-BE"/>
        </w:rPr>
        <w:t>Au secours des droits de l’homme</w:t>
      </w:r>
      <w:r w:rsidRPr="003A7972">
        <w:rPr>
          <w:sz w:val="20"/>
          <w:szCs w:val="20"/>
          <w:lang w:val="fr-BE"/>
        </w:rPr>
        <w:t xml:space="preserve">, </w:t>
      </w:r>
      <w:r w:rsidRPr="00CE628E">
        <w:rPr>
          <w:sz w:val="20"/>
          <w:szCs w:val="20"/>
          <w:lang w:val="fr-BE"/>
        </w:rPr>
        <w:t>La Conférence [</w:t>
      </w:r>
      <w:proofErr w:type="spellStart"/>
      <w:r w:rsidRPr="00CE628E">
        <w:rPr>
          <w:sz w:val="20"/>
          <w:szCs w:val="20"/>
          <w:lang w:val="fr-BE"/>
        </w:rPr>
        <w:t>edited</w:t>
      </w:r>
      <w:proofErr w:type="spellEnd"/>
      <w:r w:rsidRPr="00CE628E">
        <w:rPr>
          <w:sz w:val="20"/>
          <w:szCs w:val="20"/>
          <w:lang w:val="fr-BE"/>
        </w:rPr>
        <w:t xml:space="preserve"> by la Conférence du Jeune Barreau Bruxelles]</w:t>
      </w:r>
      <w:r w:rsidRPr="003A7972">
        <w:rPr>
          <w:sz w:val="20"/>
          <w:szCs w:val="20"/>
          <w:lang w:val="fr-BE"/>
        </w:rPr>
        <w:t xml:space="preserve">, </w:t>
      </w:r>
      <w:r>
        <w:rPr>
          <w:sz w:val="20"/>
          <w:szCs w:val="20"/>
          <w:lang w:val="fr-BE"/>
        </w:rPr>
        <w:t>(</w:t>
      </w:r>
      <w:r w:rsidRPr="003A7972">
        <w:rPr>
          <w:sz w:val="20"/>
          <w:szCs w:val="20"/>
          <w:lang w:val="fr-BE"/>
        </w:rPr>
        <w:t>1995-1996</w:t>
      </w:r>
      <w:r>
        <w:rPr>
          <w:sz w:val="20"/>
          <w:szCs w:val="20"/>
          <w:lang w:val="fr-BE"/>
        </w:rPr>
        <w:t>)</w:t>
      </w:r>
      <w:r w:rsidRPr="003A7972">
        <w:rPr>
          <w:sz w:val="20"/>
          <w:szCs w:val="20"/>
          <w:lang w:val="fr-BE"/>
        </w:rPr>
        <w:t>, no. 2, p</w:t>
      </w:r>
      <w:r>
        <w:rPr>
          <w:sz w:val="20"/>
          <w:szCs w:val="20"/>
          <w:lang w:val="fr-BE"/>
        </w:rPr>
        <w:t xml:space="preserve">. 11-12, on the </w:t>
      </w:r>
      <w:r w:rsidRPr="00EC44BC">
        <w:rPr>
          <w:i/>
          <w:sz w:val="20"/>
          <w:szCs w:val="20"/>
          <w:lang w:val="fr-BE"/>
        </w:rPr>
        <w:t>De Becker</w:t>
      </w:r>
      <w:r>
        <w:rPr>
          <w:sz w:val="20"/>
          <w:szCs w:val="20"/>
          <w:lang w:val="fr-BE"/>
        </w:rPr>
        <w:t xml:space="preserve"> case.</w:t>
      </w:r>
    </w:p>
  </w:footnote>
  <w:footnote w:id="57">
    <w:p w14:paraId="55D1508E" w14:textId="77777777" w:rsidR="00B31A46" w:rsidRPr="0084500C" w:rsidRDefault="00B31A46">
      <w:pPr>
        <w:pStyle w:val="Voetnoottekst"/>
        <w:rPr>
          <w:lang w:val="en-GB"/>
        </w:rPr>
      </w:pPr>
      <w:r>
        <w:rPr>
          <w:rStyle w:val="Voetnootmarkering"/>
        </w:rPr>
        <w:footnoteRef/>
      </w:r>
      <w:r w:rsidRPr="0084500C">
        <w:rPr>
          <w:lang w:val="en-GB"/>
        </w:rPr>
        <w:t xml:space="preserve"> </w:t>
      </w:r>
      <w:proofErr w:type="gramStart"/>
      <w:r>
        <w:rPr>
          <w:lang w:val="en-GB"/>
        </w:rPr>
        <w:t>S</w:t>
      </w:r>
      <w:r w:rsidRPr="0084500C">
        <w:rPr>
          <w:lang w:val="en-GB"/>
        </w:rPr>
        <w:t>uch as the observations by the applicant and the report of the hearing</w:t>
      </w:r>
      <w:r>
        <w:rPr>
          <w:lang w:val="en-GB"/>
        </w:rPr>
        <w:t>.</w:t>
      </w:r>
      <w:proofErr w:type="gramEnd"/>
    </w:p>
  </w:footnote>
  <w:footnote w:id="58">
    <w:p w14:paraId="5A0C401C" w14:textId="77777777" w:rsidR="00B31A46" w:rsidRPr="00DD06F8" w:rsidRDefault="00B31A46">
      <w:pPr>
        <w:pStyle w:val="Voetnoottekst"/>
        <w:rPr>
          <w:lang w:val="en-GB"/>
        </w:rPr>
      </w:pPr>
      <w:r>
        <w:rPr>
          <w:rStyle w:val="Voetnootmarkering"/>
        </w:rPr>
        <w:footnoteRef/>
      </w:r>
      <w:r w:rsidRPr="00F84B95">
        <w:rPr>
          <w:lang w:val="en-GB"/>
        </w:rPr>
        <w:t xml:space="preserve"> Act of 13 May 1955 concerning the approval of the </w:t>
      </w:r>
      <w:r>
        <w:rPr>
          <w:lang w:val="en-GB"/>
        </w:rPr>
        <w:t xml:space="preserve">Convention for the protection of human rights and fundamental freedoms, signed on 4 November 1950 in Rome, and of the Additional Protocol to this Treaty, signed on 20 March 1952 in Paris, </w:t>
      </w:r>
      <w:proofErr w:type="spellStart"/>
      <w:r>
        <w:rPr>
          <w:i/>
          <w:lang w:val="en-GB"/>
        </w:rPr>
        <w:t>Moniteur</w:t>
      </w:r>
      <w:proofErr w:type="spellEnd"/>
      <w:r>
        <w:rPr>
          <w:i/>
          <w:lang w:val="en-GB"/>
        </w:rPr>
        <w:t xml:space="preserve"> </w:t>
      </w:r>
      <w:proofErr w:type="spellStart"/>
      <w:r>
        <w:rPr>
          <w:i/>
          <w:lang w:val="en-GB"/>
        </w:rPr>
        <w:t>Belge</w:t>
      </w:r>
      <w:proofErr w:type="spellEnd"/>
      <w:r>
        <w:rPr>
          <w:lang w:val="en-GB"/>
        </w:rPr>
        <w:t xml:space="preserve"> 19 August 1955.</w:t>
      </w:r>
    </w:p>
  </w:footnote>
  <w:footnote w:id="59">
    <w:p w14:paraId="23045AEC" w14:textId="41827EFA" w:rsidR="00B31A46" w:rsidRPr="00F86FE5" w:rsidRDefault="00B31A46">
      <w:pPr>
        <w:pStyle w:val="Voetnoottekst"/>
        <w:rPr>
          <w:lang w:val="fr-BE"/>
        </w:rPr>
      </w:pPr>
      <w:r>
        <w:rPr>
          <w:rStyle w:val="Voetnootmarkering"/>
        </w:rPr>
        <w:footnoteRef/>
      </w:r>
      <w:r w:rsidRPr="008141A9">
        <w:rPr>
          <w:lang w:val="en-GB"/>
        </w:rPr>
        <w:t xml:space="preserve"> On 5 July 1955, see E. Bates,</w:t>
      </w:r>
      <w:r>
        <w:rPr>
          <w:lang w:val="en-GB"/>
        </w:rPr>
        <w:t xml:space="preserve"> </w:t>
      </w:r>
      <w:r>
        <w:rPr>
          <w:i/>
          <w:lang w:val="en-GB"/>
        </w:rPr>
        <w:t xml:space="preserve">The Evolution of the European Convention on </w:t>
      </w:r>
      <w:r w:rsidRPr="008141A9">
        <w:rPr>
          <w:i/>
          <w:lang w:val="en-GB"/>
        </w:rPr>
        <w:t>Human Rights</w:t>
      </w:r>
      <w:r>
        <w:rPr>
          <w:lang w:val="en-GB"/>
        </w:rPr>
        <w:t xml:space="preserve">, 2010, p. </w:t>
      </w:r>
      <w:r w:rsidRPr="008141A9">
        <w:rPr>
          <w:lang w:val="en-GB"/>
        </w:rPr>
        <w:t>521</w:t>
      </w:r>
      <w:r>
        <w:rPr>
          <w:lang w:val="en-GB"/>
        </w:rPr>
        <w:t>.</w:t>
      </w:r>
      <w:r w:rsidR="00E53389">
        <w:rPr>
          <w:lang w:val="en-GB"/>
        </w:rPr>
        <w:t xml:space="preserve"> Since the entry into force of Protocol No. 11 on 1 November 1998, ratification of the Convention automatically entails recognition of the individual right </w:t>
      </w:r>
      <w:r w:rsidR="00CB7B66">
        <w:rPr>
          <w:lang w:val="en-GB"/>
        </w:rPr>
        <w:t>to petition</w:t>
      </w:r>
      <w:r w:rsidR="00E53389">
        <w:rPr>
          <w:lang w:val="en-GB"/>
        </w:rPr>
        <w:t xml:space="preserve"> and of the jurisdiction of the Court. Before, both were </w:t>
      </w:r>
      <w:r w:rsidR="00445AE4">
        <w:rPr>
          <w:lang w:val="en-GB"/>
        </w:rPr>
        <w:t xml:space="preserve">however </w:t>
      </w:r>
      <w:r w:rsidR="00E53389">
        <w:rPr>
          <w:lang w:val="en-GB"/>
        </w:rPr>
        <w:t xml:space="preserve">subject to optional declarations by the Member States. </w:t>
      </w:r>
      <w:r w:rsidR="00CB7B66">
        <w:rPr>
          <w:lang w:val="en-GB"/>
        </w:rPr>
        <w:t xml:space="preserve">The right to individual petition was triggered </w:t>
      </w:r>
      <w:r w:rsidR="00445AE4">
        <w:rPr>
          <w:lang w:val="en-GB"/>
        </w:rPr>
        <w:t xml:space="preserve">in </w:t>
      </w:r>
      <w:r w:rsidR="00CB7B66">
        <w:rPr>
          <w:lang w:val="en-GB"/>
        </w:rPr>
        <w:t>1955 when the necessary five Article 25 declarations had been</w:t>
      </w:r>
      <w:r w:rsidR="00445AE4">
        <w:rPr>
          <w:lang w:val="en-GB"/>
        </w:rPr>
        <w:t xml:space="preserve"> deposited (Sweden in</w:t>
      </w:r>
      <w:r w:rsidR="00CB7B66">
        <w:rPr>
          <w:lang w:val="en-GB"/>
        </w:rPr>
        <w:t xml:space="preserve"> 195</w:t>
      </w:r>
      <w:r w:rsidR="00445AE4">
        <w:rPr>
          <w:lang w:val="en-GB"/>
        </w:rPr>
        <w:t>2</w:t>
      </w:r>
      <w:r w:rsidR="00CB7B66">
        <w:rPr>
          <w:lang w:val="en-GB"/>
        </w:rPr>
        <w:t xml:space="preserve">; </w:t>
      </w:r>
      <w:r w:rsidR="00445AE4">
        <w:rPr>
          <w:lang w:val="en-GB"/>
        </w:rPr>
        <w:t>Denmark and Ireland in 1953; Belgium, Iceland and West Germany in 1955)</w:t>
      </w:r>
      <w:r w:rsidR="00CB7B66">
        <w:rPr>
          <w:lang w:val="en-GB"/>
        </w:rPr>
        <w:t>. The Court was instituted in 1959 after the necessary eight Article 46 declarations were achieved in 1958 (</w:t>
      </w:r>
      <w:r w:rsidR="00445AE4">
        <w:rPr>
          <w:lang w:val="en-GB"/>
        </w:rPr>
        <w:t xml:space="preserve">Denmark and Ireland in 1953; the Netherlands in 1954; Belgium and West Germany in 1955; Austria, Iceland and Luxemburg in 1958). </w:t>
      </w:r>
      <w:r w:rsidR="00445AE4" w:rsidRPr="00F86FE5">
        <w:rPr>
          <w:lang w:val="fr-BE"/>
        </w:rPr>
        <w:t>See, E. Bates, p. 134-135.</w:t>
      </w:r>
    </w:p>
  </w:footnote>
  <w:footnote w:id="60">
    <w:p w14:paraId="7920E706" w14:textId="00C255D3" w:rsidR="00B31A46" w:rsidRPr="008141A9" w:rsidRDefault="00B31A46">
      <w:pPr>
        <w:pStyle w:val="Voetnoottekst"/>
        <w:rPr>
          <w:lang w:val="fr-BE"/>
        </w:rPr>
      </w:pPr>
      <w:r>
        <w:rPr>
          <w:rStyle w:val="Voetnootmarkering"/>
        </w:rPr>
        <w:footnoteRef/>
      </w:r>
      <w:r w:rsidRPr="00F86FE5">
        <w:rPr>
          <w:lang w:val="fr-BE"/>
        </w:rPr>
        <w:t xml:space="preserve"> Ibid, p. 114. </w:t>
      </w:r>
      <w:r w:rsidRPr="008141A9">
        <w:rPr>
          <w:lang w:val="fr-BE"/>
        </w:rPr>
        <w:t xml:space="preserve">On the </w:t>
      </w:r>
      <w:proofErr w:type="spellStart"/>
      <w:r w:rsidRPr="008141A9">
        <w:rPr>
          <w:lang w:val="fr-BE"/>
        </w:rPr>
        <w:t>early</w:t>
      </w:r>
      <w:proofErr w:type="spellEnd"/>
      <w:r w:rsidRPr="008141A9">
        <w:rPr>
          <w:lang w:val="fr-BE"/>
        </w:rPr>
        <w:t xml:space="preserve"> </w:t>
      </w:r>
      <w:proofErr w:type="spellStart"/>
      <w:r w:rsidRPr="008141A9">
        <w:rPr>
          <w:lang w:val="fr-BE"/>
        </w:rPr>
        <w:t>history</w:t>
      </w:r>
      <w:proofErr w:type="spellEnd"/>
      <w:r w:rsidRPr="008141A9">
        <w:rPr>
          <w:lang w:val="fr-BE"/>
        </w:rPr>
        <w:t xml:space="preserve"> of the ECHR in </w:t>
      </w:r>
      <w:proofErr w:type="spellStart"/>
      <w:r w:rsidRPr="008141A9">
        <w:rPr>
          <w:lang w:val="fr-BE"/>
        </w:rPr>
        <w:t>Belgium</w:t>
      </w:r>
      <w:proofErr w:type="spellEnd"/>
      <w:r w:rsidRPr="008141A9">
        <w:rPr>
          <w:lang w:val="fr-BE"/>
        </w:rPr>
        <w:t xml:space="preserve">, </w:t>
      </w:r>
      <w:proofErr w:type="spellStart"/>
      <w:r w:rsidRPr="008141A9">
        <w:rPr>
          <w:lang w:val="fr-BE"/>
        </w:rPr>
        <w:t>also</w:t>
      </w:r>
      <w:proofErr w:type="spellEnd"/>
      <w:r w:rsidRPr="008141A9">
        <w:rPr>
          <w:lang w:val="fr-BE"/>
        </w:rPr>
        <w:t xml:space="preserve"> </w:t>
      </w:r>
      <w:proofErr w:type="spellStart"/>
      <w:r w:rsidRPr="008141A9">
        <w:rPr>
          <w:lang w:val="fr-BE"/>
        </w:rPr>
        <w:t>see</w:t>
      </w:r>
      <w:proofErr w:type="spellEnd"/>
      <w:r w:rsidRPr="008141A9">
        <w:rPr>
          <w:lang w:val="fr-BE"/>
        </w:rPr>
        <w:t xml:space="preserve"> </w:t>
      </w:r>
      <w:r>
        <w:rPr>
          <w:lang w:val="fr-BE"/>
        </w:rPr>
        <w:t xml:space="preserve">O. Paye and S. Van </w:t>
      </w:r>
      <w:proofErr w:type="spellStart"/>
      <w:r>
        <w:rPr>
          <w:lang w:val="fr-BE"/>
        </w:rPr>
        <w:t>Drooghenbroeck</w:t>
      </w:r>
      <w:proofErr w:type="spellEnd"/>
      <w:r>
        <w:rPr>
          <w:lang w:val="fr-BE"/>
        </w:rPr>
        <w:t xml:space="preserve">, </w:t>
      </w:r>
      <w:r w:rsidRPr="00CE628E">
        <w:rPr>
          <w:i/>
          <w:lang w:val="fr-BE"/>
        </w:rPr>
        <w:t xml:space="preserve">L’effet préventif de la Convention sur l’action politique en Belgique: entre </w:t>
      </w:r>
      <w:proofErr w:type="spellStart"/>
      <w:r w:rsidRPr="00CE628E">
        <w:rPr>
          <w:i/>
          <w:lang w:val="fr-BE"/>
        </w:rPr>
        <w:t>constrainte</w:t>
      </w:r>
      <w:proofErr w:type="spellEnd"/>
      <w:r w:rsidRPr="00CE628E">
        <w:rPr>
          <w:i/>
          <w:lang w:val="fr-BE"/>
        </w:rPr>
        <w:t xml:space="preserve"> et </w:t>
      </w:r>
      <w:proofErr w:type="spellStart"/>
      <w:r w:rsidRPr="00CE628E">
        <w:rPr>
          <w:i/>
          <w:lang w:val="fr-BE"/>
        </w:rPr>
        <w:t>resource</w:t>
      </w:r>
      <w:proofErr w:type="spellEnd"/>
      <w:r w:rsidRPr="00CE628E">
        <w:rPr>
          <w:i/>
          <w:lang w:val="fr-BE"/>
        </w:rPr>
        <w:t xml:space="preserve">” </w:t>
      </w:r>
      <w:r w:rsidRPr="00097FDF">
        <w:rPr>
          <w:lang w:val="fr-BE"/>
        </w:rPr>
        <w:t>in</w:t>
      </w:r>
      <w:r>
        <w:rPr>
          <w:lang w:val="fr-BE"/>
        </w:rPr>
        <w:t>:</w:t>
      </w:r>
      <w:r w:rsidRPr="00097FDF">
        <w:rPr>
          <w:lang w:val="fr-BE"/>
        </w:rPr>
        <w:t xml:space="preserve"> </w:t>
      </w:r>
      <w:r w:rsidRPr="00CE628E">
        <w:rPr>
          <w:lang w:val="fr-BE"/>
        </w:rPr>
        <w:t>Entre Ombres et Lumières: Cinquante ans d’application de la Convention européenne des droits de l’homme en Belgique,</w:t>
      </w:r>
      <w:r>
        <w:rPr>
          <w:lang w:val="fr-BE"/>
        </w:rPr>
        <w:t xml:space="preserve"> Brussels, 2008, p. 13-15.</w:t>
      </w:r>
    </w:p>
  </w:footnote>
  <w:footnote w:id="61">
    <w:p w14:paraId="7E4BC278" w14:textId="07C7AC08" w:rsidR="00B31A46" w:rsidRPr="00AD7B96" w:rsidRDefault="00B31A46">
      <w:pPr>
        <w:pStyle w:val="Voetnoottekst"/>
        <w:rPr>
          <w:lang w:val="fr-BE"/>
        </w:rPr>
      </w:pPr>
      <w:r>
        <w:rPr>
          <w:rStyle w:val="Voetnootmarkering"/>
        </w:rPr>
        <w:footnoteRef/>
      </w:r>
      <w:r w:rsidRPr="00AD7B96">
        <w:rPr>
          <w:lang w:val="fr-BE"/>
        </w:rPr>
        <w:t xml:space="preserve"> </w:t>
      </w:r>
      <w:r>
        <w:rPr>
          <w:lang w:val="fr-BE"/>
        </w:rPr>
        <w:t xml:space="preserve">C. </w:t>
      </w:r>
      <w:proofErr w:type="spellStart"/>
      <w:r>
        <w:rPr>
          <w:lang w:val="fr-BE"/>
        </w:rPr>
        <w:t>Faider</w:t>
      </w:r>
      <w:proofErr w:type="spellEnd"/>
      <w:r>
        <w:rPr>
          <w:lang w:val="fr-BE"/>
        </w:rPr>
        <w:t xml:space="preserve">, </w:t>
      </w:r>
      <w:r w:rsidRPr="00CE628E">
        <w:rPr>
          <w:i/>
          <w:lang w:val="fr-BE"/>
        </w:rPr>
        <w:t>La topique constitutionnelle</w:t>
      </w:r>
      <w:r>
        <w:rPr>
          <w:lang w:val="fr-BE"/>
        </w:rPr>
        <w:t xml:space="preserve">, </w:t>
      </w:r>
      <w:r>
        <w:rPr>
          <w:i/>
          <w:lang w:val="fr-BE"/>
        </w:rPr>
        <w:t>mercuriale</w:t>
      </w:r>
      <w:r>
        <w:rPr>
          <w:lang w:val="fr-BE"/>
        </w:rPr>
        <w:t xml:space="preserve"> </w:t>
      </w:r>
      <w:proofErr w:type="spellStart"/>
      <w:r>
        <w:rPr>
          <w:lang w:val="fr-BE"/>
        </w:rPr>
        <w:t>pronounced</w:t>
      </w:r>
      <w:proofErr w:type="spellEnd"/>
      <w:r>
        <w:rPr>
          <w:lang w:val="fr-BE"/>
        </w:rPr>
        <w:t xml:space="preserve"> on 15 </w:t>
      </w:r>
      <w:proofErr w:type="spellStart"/>
      <w:r>
        <w:rPr>
          <w:lang w:val="fr-BE"/>
        </w:rPr>
        <w:t>October</w:t>
      </w:r>
      <w:proofErr w:type="spellEnd"/>
      <w:r>
        <w:rPr>
          <w:lang w:val="fr-BE"/>
        </w:rPr>
        <w:t xml:space="preserve"> 1884, </w:t>
      </w:r>
      <w:r>
        <w:rPr>
          <w:i/>
          <w:lang w:val="fr-BE"/>
        </w:rPr>
        <w:t xml:space="preserve">Pas. </w:t>
      </w:r>
      <w:r>
        <w:rPr>
          <w:lang w:val="fr-BE"/>
        </w:rPr>
        <w:t>1884, p. 3 at p. 10.</w:t>
      </w:r>
    </w:p>
  </w:footnote>
  <w:footnote w:id="62">
    <w:p w14:paraId="3B706803" w14:textId="77777777" w:rsidR="00B31A46" w:rsidRPr="006E7F22" w:rsidRDefault="00B31A46">
      <w:pPr>
        <w:pStyle w:val="Voetnoottekst"/>
        <w:rPr>
          <w:lang w:val="en-GB"/>
        </w:rPr>
      </w:pPr>
      <w:r>
        <w:rPr>
          <w:rStyle w:val="Voetnootmarkering"/>
        </w:rPr>
        <w:footnoteRef/>
      </w:r>
      <w:r w:rsidRPr="006E7F22">
        <w:rPr>
          <w:lang w:val="en-GB"/>
        </w:rPr>
        <w:t xml:space="preserve"> Advisory Opinion Council of State, </w:t>
      </w:r>
      <w:r w:rsidRPr="006E7F22">
        <w:rPr>
          <w:rStyle w:val="sfbbfee58"/>
          <w:i/>
          <w:lang w:val="en-GB"/>
        </w:rPr>
        <w:t>Parliamentary Documents Senate</w:t>
      </w:r>
      <w:r>
        <w:rPr>
          <w:rStyle w:val="sfbbfee58"/>
          <w:i/>
          <w:lang w:val="en-GB"/>
        </w:rPr>
        <w:t xml:space="preserve"> </w:t>
      </w:r>
      <w:r>
        <w:rPr>
          <w:rStyle w:val="sfbbfee58"/>
          <w:lang w:val="en-GB"/>
        </w:rPr>
        <w:t>1952-53</w:t>
      </w:r>
      <w:r w:rsidRPr="00F84B95">
        <w:rPr>
          <w:rStyle w:val="sfbbfee58"/>
          <w:lang w:val="en-GB"/>
        </w:rPr>
        <w:t xml:space="preserve">, </w:t>
      </w:r>
      <w:r>
        <w:rPr>
          <w:rStyle w:val="sfbbfee58"/>
          <w:lang w:val="en-GB"/>
        </w:rPr>
        <w:t>6 May 1953, no. 279, p. 36.</w:t>
      </w:r>
    </w:p>
  </w:footnote>
  <w:footnote w:id="63">
    <w:p w14:paraId="6252FCA6" w14:textId="77777777" w:rsidR="00B31A46" w:rsidRPr="006E7F22" w:rsidRDefault="00B31A46">
      <w:pPr>
        <w:pStyle w:val="Voetnoottekst"/>
        <w:rPr>
          <w:lang w:val="en-GB"/>
        </w:rPr>
      </w:pPr>
      <w:r>
        <w:rPr>
          <w:rStyle w:val="Voetnootmarkering"/>
        </w:rPr>
        <w:footnoteRef/>
      </w:r>
      <w:r w:rsidRPr="006E7F22">
        <w:rPr>
          <w:lang w:val="en-GB"/>
        </w:rPr>
        <w:t xml:space="preserve"> In the Senate, 140 voted in favour, 1 against. </w:t>
      </w:r>
      <w:r>
        <w:rPr>
          <w:lang w:val="en-GB"/>
        </w:rPr>
        <w:t>In the Chamber of Representatives, 183 voted in favour, while 6 abstained.</w:t>
      </w:r>
    </w:p>
  </w:footnote>
  <w:footnote w:id="64">
    <w:p w14:paraId="251750BE" w14:textId="5DA4AC53" w:rsidR="00B31A46" w:rsidRPr="00080372" w:rsidRDefault="00B31A46">
      <w:pPr>
        <w:pStyle w:val="Voetnoottekst"/>
        <w:rPr>
          <w:lang w:val="en-GB"/>
        </w:rPr>
      </w:pPr>
      <w:r>
        <w:rPr>
          <w:rStyle w:val="Voetnootmarkering"/>
        </w:rPr>
        <w:footnoteRef/>
      </w:r>
      <w:r w:rsidRPr="00080372">
        <w:rPr>
          <w:lang w:val="en-GB"/>
        </w:rPr>
        <w:t xml:space="preserve"> </w:t>
      </w:r>
      <w:r>
        <w:rPr>
          <w:lang w:val="en-GB"/>
        </w:rPr>
        <w:t xml:space="preserve">See Article 4 of the Approval Act and, </w:t>
      </w:r>
      <w:r w:rsidRPr="00933231">
        <w:rPr>
          <w:i/>
          <w:lang w:val="en-GB"/>
        </w:rPr>
        <w:t>inter alia</w:t>
      </w:r>
      <w:r>
        <w:rPr>
          <w:lang w:val="en-GB"/>
        </w:rPr>
        <w:t xml:space="preserve">, </w:t>
      </w:r>
      <w:proofErr w:type="spellStart"/>
      <w:r w:rsidRPr="00080372">
        <w:rPr>
          <w:i/>
          <w:lang w:val="en-GB"/>
        </w:rPr>
        <w:t>Annales</w:t>
      </w:r>
      <w:proofErr w:type="spellEnd"/>
      <w:r w:rsidRPr="00080372">
        <w:rPr>
          <w:i/>
          <w:lang w:val="en-GB"/>
        </w:rPr>
        <w:t xml:space="preserve"> Senate</w:t>
      </w:r>
      <w:r w:rsidRPr="00080372">
        <w:rPr>
          <w:lang w:val="en-GB"/>
        </w:rPr>
        <w:t xml:space="preserve"> 12 November 1953, p. 27.</w:t>
      </w:r>
    </w:p>
  </w:footnote>
  <w:footnote w:id="65">
    <w:p w14:paraId="24B36A09" w14:textId="368AD84C" w:rsidR="00B31A46" w:rsidRPr="00BD44DE" w:rsidRDefault="00B31A46">
      <w:pPr>
        <w:pStyle w:val="Voetnoottekst"/>
        <w:rPr>
          <w:lang w:val="fr-BE"/>
        </w:rPr>
      </w:pPr>
      <w:r>
        <w:rPr>
          <w:rStyle w:val="Voetnootmarkering"/>
        </w:rPr>
        <w:footnoteRef/>
      </w:r>
      <w:r w:rsidRPr="00BD44DE">
        <w:rPr>
          <w:lang w:val="fr-BE"/>
        </w:rPr>
        <w:t xml:space="preserve"> </w:t>
      </w:r>
      <w:r w:rsidRPr="00BD44DE">
        <w:rPr>
          <w:i/>
          <w:lang w:val="fr-BE"/>
        </w:rPr>
        <w:t xml:space="preserve">Annales </w:t>
      </w:r>
      <w:proofErr w:type="spellStart"/>
      <w:r w:rsidRPr="00BD44DE">
        <w:rPr>
          <w:i/>
          <w:lang w:val="fr-BE"/>
        </w:rPr>
        <w:t>Senate</w:t>
      </w:r>
      <w:proofErr w:type="spellEnd"/>
      <w:r w:rsidRPr="00BD44DE">
        <w:rPr>
          <w:lang w:val="fr-BE"/>
        </w:rPr>
        <w:t xml:space="preserve"> 12 </w:t>
      </w:r>
      <w:proofErr w:type="spellStart"/>
      <w:r w:rsidRPr="00BD44DE">
        <w:rPr>
          <w:lang w:val="fr-BE"/>
        </w:rPr>
        <w:t>November</w:t>
      </w:r>
      <w:proofErr w:type="spellEnd"/>
      <w:r w:rsidRPr="00BD44DE">
        <w:rPr>
          <w:lang w:val="fr-BE"/>
        </w:rPr>
        <w:t xml:space="preserve"> 1953, p. 27.</w:t>
      </w:r>
    </w:p>
  </w:footnote>
  <w:footnote w:id="66">
    <w:p w14:paraId="11F7AD2B" w14:textId="77777777" w:rsidR="00B31A46" w:rsidRPr="00851753" w:rsidRDefault="00B31A46">
      <w:pPr>
        <w:pStyle w:val="Voetnoottekst"/>
        <w:rPr>
          <w:lang w:val="fr-BE"/>
        </w:rPr>
      </w:pPr>
      <w:r>
        <w:rPr>
          <w:rStyle w:val="Voetnootmarkering"/>
        </w:rPr>
        <w:footnoteRef/>
      </w:r>
      <w:r w:rsidRPr="00851753">
        <w:rPr>
          <w:lang w:val="fr-BE"/>
        </w:rPr>
        <w:t xml:space="preserve"> </w:t>
      </w:r>
      <w:r w:rsidRPr="009D6E47">
        <w:rPr>
          <w:i/>
          <w:lang w:val="fr-BE"/>
        </w:rPr>
        <w:t xml:space="preserve">Annales </w:t>
      </w:r>
      <w:proofErr w:type="spellStart"/>
      <w:r w:rsidRPr="009D6E47">
        <w:rPr>
          <w:i/>
          <w:lang w:val="fr-BE"/>
        </w:rPr>
        <w:t>Senate</w:t>
      </w:r>
      <w:proofErr w:type="spellEnd"/>
      <w:r w:rsidRPr="009D6E47">
        <w:rPr>
          <w:lang w:val="fr-BE"/>
        </w:rPr>
        <w:t xml:space="preserve"> 17 </w:t>
      </w:r>
      <w:proofErr w:type="spellStart"/>
      <w:r w:rsidRPr="009D6E47">
        <w:rPr>
          <w:lang w:val="fr-BE"/>
        </w:rPr>
        <w:t>November</w:t>
      </w:r>
      <w:proofErr w:type="spellEnd"/>
      <w:r w:rsidRPr="009D6E47">
        <w:rPr>
          <w:lang w:val="fr-BE"/>
        </w:rPr>
        <w:t xml:space="preserve"> 1953, p. </w:t>
      </w:r>
      <w:r>
        <w:rPr>
          <w:lang w:val="fr-BE"/>
        </w:rPr>
        <w:t>38.</w:t>
      </w:r>
    </w:p>
  </w:footnote>
  <w:footnote w:id="67">
    <w:p w14:paraId="65BB128D" w14:textId="77777777" w:rsidR="00B31A46" w:rsidRPr="009D6E47" w:rsidRDefault="00B31A46" w:rsidP="00885ABE">
      <w:pPr>
        <w:pStyle w:val="Voetnoottekst"/>
        <w:rPr>
          <w:lang w:val="fr-BE"/>
        </w:rPr>
      </w:pPr>
      <w:r>
        <w:rPr>
          <w:rStyle w:val="Voetnootmarkering"/>
        </w:rPr>
        <w:footnoteRef/>
      </w:r>
      <w:r w:rsidRPr="009D6E47">
        <w:rPr>
          <w:lang w:val="fr-BE"/>
        </w:rPr>
        <w:t xml:space="preserve"> </w:t>
      </w:r>
      <w:r w:rsidRPr="009D6E47">
        <w:rPr>
          <w:i/>
          <w:lang w:val="fr-BE"/>
        </w:rPr>
        <w:t xml:space="preserve">Annales </w:t>
      </w:r>
      <w:proofErr w:type="spellStart"/>
      <w:r w:rsidRPr="009D6E47">
        <w:rPr>
          <w:i/>
          <w:lang w:val="fr-BE"/>
        </w:rPr>
        <w:t>Senate</w:t>
      </w:r>
      <w:proofErr w:type="spellEnd"/>
      <w:r w:rsidRPr="009D6E47">
        <w:rPr>
          <w:i/>
          <w:lang w:val="fr-BE"/>
        </w:rPr>
        <w:t xml:space="preserve"> </w:t>
      </w:r>
      <w:r w:rsidRPr="009D6E47">
        <w:rPr>
          <w:lang w:val="fr-BE"/>
        </w:rPr>
        <w:t xml:space="preserve">12 </w:t>
      </w:r>
      <w:proofErr w:type="spellStart"/>
      <w:r w:rsidRPr="009D6E47">
        <w:rPr>
          <w:lang w:val="fr-BE"/>
        </w:rPr>
        <w:t>November</w:t>
      </w:r>
      <w:proofErr w:type="spellEnd"/>
      <w:r w:rsidRPr="009D6E47">
        <w:rPr>
          <w:lang w:val="fr-BE"/>
        </w:rPr>
        <w:t xml:space="preserve"> 1953, p.</w:t>
      </w:r>
      <w:r>
        <w:rPr>
          <w:lang w:val="fr-BE"/>
        </w:rPr>
        <w:t xml:space="preserve"> 22.</w:t>
      </w:r>
    </w:p>
  </w:footnote>
  <w:footnote w:id="68">
    <w:p w14:paraId="54C39372" w14:textId="227AAFC6" w:rsidR="00B31A46" w:rsidRPr="00F6230F" w:rsidRDefault="00B31A46">
      <w:pPr>
        <w:pStyle w:val="Voetnoottekst"/>
        <w:rPr>
          <w:lang w:val="fr-BE"/>
        </w:rPr>
      </w:pPr>
      <w:r>
        <w:rPr>
          <w:rStyle w:val="Voetnootmarkering"/>
        </w:rPr>
        <w:footnoteRef/>
      </w:r>
      <w:r w:rsidRPr="00F6230F">
        <w:rPr>
          <w:lang w:val="fr-BE"/>
        </w:rPr>
        <w:t xml:space="preserve"> </w:t>
      </w:r>
      <w:r>
        <w:rPr>
          <w:lang w:val="fr-BE"/>
        </w:rPr>
        <w:t xml:space="preserve">O. Paye and S. Van </w:t>
      </w:r>
      <w:proofErr w:type="spellStart"/>
      <w:r>
        <w:rPr>
          <w:lang w:val="fr-BE"/>
        </w:rPr>
        <w:t>Drooghenbroeck</w:t>
      </w:r>
      <w:proofErr w:type="spellEnd"/>
      <w:r>
        <w:rPr>
          <w:lang w:val="fr-BE"/>
        </w:rPr>
        <w:t xml:space="preserve">, </w:t>
      </w:r>
      <w:r w:rsidRPr="00CE628E">
        <w:rPr>
          <w:i/>
          <w:lang w:val="fr-BE"/>
        </w:rPr>
        <w:t xml:space="preserve">L’effet préventif de la Convention sur l’action politique en Belgique: entre </w:t>
      </w:r>
      <w:proofErr w:type="spellStart"/>
      <w:r w:rsidRPr="00CE628E">
        <w:rPr>
          <w:i/>
          <w:lang w:val="fr-BE"/>
        </w:rPr>
        <w:t>constrainte</w:t>
      </w:r>
      <w:proofErr w:type="spellEnd"/>
      <w:r w:rsidRPr="00CE628E">
        <w:rPr>
          <w:i/>
          <w:lang w:val="fr-BE"/>
        </w:rPr>
        <w:t xml:space="preserve"> et </w:t>
      </w:r>
      <w:proofErr w:type="spellStart"/>
      <w:r w:rsidRPr="00CE628E">
        <w:rPr>
          <w:i/>
          <w:lang w:val="fr-BE"/>
        </w:rPr>
        <w:t>resource</w:t>
      </w:r>
      <w:proofErr w:type="spellEnd"/>
      <w:r>
        <w:rPr>
          <w:lang w:val="fr-BE"/>
        </w:rPr>
        <w:t xml:space="preserve"> </w:t>
      </w:r>
      <w:r w:rsidRPr="00097FDF">
        <w:rPr>
          <w:lang w:val="fr-BE"/>
        </w:rPr>
        <w:t>in</w:t>
      </w:r>
      <w:r>
        <w:rPr>
          <w:lang w:val="fr-BE"/>
        </w:rPr>
        <w:t>:</w:t>
      </w:r>
      <w:r w:rsidRPr="00097FDF">
        <w:rPr>
          <w:lang w:val="fr-BE"/>
        </w:rPr>
        <w:t xml:space="preserve"> </w:t>
      </w:r>
      <w:r w:rsidRPr="00CE628E">
        <w:rPr>
          <w:lang w:val="fr-BE"/>
        </w:rPr>
        <w:t>Entre Ombres et Lumières: Cinquante ans d’application de la Convention européenne des droits de l’homme en Belgique</w:t>
      </w:r>
      <w:r>
        <w:rPr>
          <w:lang w:val="fr-BE"/>
        </w:rPr>
        <w:t>, Brussels, 2008, p. 14.</w:t>
      </w:r>
    </w:p>
  </w:footnote>
  <w:footnote w:id="69">
    <w:p w14:paraId="6DFC6FA7" w14:textId="0A8DCFD0" w:rsidR="00B31A46" w:rsidRPr="00F6230F" w:rsidRDefault="00B31A46">
      <w:pPr>
        <w:pStyle w:val="Voetnoottekst"/>
        <w:rPr>
          <w:lang w:val="fr-BE"/>
        </w:rPr>
      </w:pPr>
      <w:r>
        <w:rPr>
          <w:rStyle w:val="Voetnootmarkering"/>
        </w:rPr>
        <w:footnoteRef/>
      </w:r>
      <w:r w:rsidRPr="00F6230F">
        <w:rPr>
          <w:lang w:val="fr-BE"/>
        </w:rPr>
        <w:t xml:space="preserve"> </w:t>
      </w:r>
      <w:r w:rsidRPr="00CE628E">
        <w:rPr>
          <w:lang w:val="fr-BE"/>
        </w:rPr>
        <w:t>Journal des Tribunaux</w:t>
      </w:r>
      <w:r>
        <w:rPr>
          <w:lang w:val="fr-BE"/>
        </w:rPr>
        <w:t>, 70 (</w:t>
      </w:r>
      <w:r w:rsidRPr="00CE628E">
        <w:rPr>
          <w:lang w:val="fr-BE"/>
        </w:rPr>
        <w:t>1955</w:t>
      </w:r>
      <w:r>
        <w:rPr>
          <w:lang w:val="fr-BE"/>
        </w:rPr>
        <w:t>), p. 283.</w:t>
      </w:r>
    </w:p>
  </w:footnote>
  <w:footnote w:id="70">
    <w:p w14:paraId="08544173" w14:textId="25AEE3DA" w:rsidR="00B31A46" w:rsidRPr="007F1A03" w:rsidRDefault="00B31A46">
      <w:pPr>
        <w:pStyle w:val="Voetnoottekst"/>
        <w:rPr>
          <w:lang w:val="fr-BE"/>
        </w:rPr>
      </w:pPr>
      <w:r>
        <w:rPr>
          <w:rStyle w:val="Voetnootmarkering"/>
        </w:rPr>
        <w:footnoteRef/>
      </w:r>
      <w:r>
        <w:rPr>
          <w:lang w:val="fr-BE"/>
        </w:rPr>
        <w:t xml:space="preserve"> G. Van </w:t>
      </w:r>
      <w:proofErr w:type="spellStart"/>
      <w:r>
        <w:rPr>
          <w:lang w:val="fr-BE"/>
        </w:rPr>
        <w:t>Hecke</w:t>
      </w:r>
      <w:proofErr w:type="spellEnd"/>
      <w:r>
        <w:rPr>
          <w:lang w:val="fr-BE"/>
        </w:rPr>
        <w:t xml:space="preserve">, </w:t>
      </w:r>
      <w:r w:rsidRPr="00CE628E">
        <w:rPr>
          <w:i/>
          <w:lang w:val="fr-BE"/>
        </w:rPr>
        <w:t>La Structure institutionnelle de la Communauté du charbon et de l’acier</w:t>
      </w:r>
      <w:r>
        <w:rPr>
          <w:lang w:val="fr-BE"/>
        </w:rPr>
        <w:t xml:space="preserve">, </w:t>
      </w:r>
      <w:r w:rsidRPr="00CE628E">
        <w:rPr>
          <w:lang w:val="fr-BE"/>
        </w:rPr>
        <w:t>Journal des Tribunaux</w:t>
      </w:r>
      <w:r>
        <w:rPr>
          <w:lang w:val="fr-BE"/>
        </w:rPr>
        <w:t>, 66</w:t>
      </w:r>
      <w:r w:rsidRPr="00CE628E">
        <w:rPr>
          <w:lang w:val="fr-BE"/>
        </w:rPr>
        <w:t xml:space="preserve"> </w:t>
      </w:r>
      <w:r>
        <w:rPr>
          <w:lang w:val="fr-BE"/>
        </w:rPr>
        <w:t>(</w:t>
      </w:r>
      <w:r w:rsidRPr="00CE628E">
        <w:rPr>
          <w:lang w:val="fr-BE"/>
        </w:rPr>
        <w:t>19</w:t>
      </w:r>
      <w:r>
        <w:rPr>
          <w:lang w:val="fr-BE"/>
        </w:rPr>
        <w:t xml:space="preserve">51), p. 277-279; H. Rolin, </w:t>
      </w:r>
      <w:r w:rsidRPr="00CE628E">
        <w:rPr>
          <w:i/>
          <w:lang w:val="fr-BE"/>
        </w:rPr>
        <w:t>La Cour du charbon et de l’acier</w:t>
      </w:r>
      <w:r w:rsidRPr="007F1A03">
        <w:rPr>
          <w:lang w:val="fr-BE"/>
        </w:rPr>
        <w:t xml:space="preserve">, </w:t>
      </w:r>
      <w:r w:rsidRPr="00CE628E">
        <w:rPr>
          <w:lang w:val="fr-BE"/>
        </w:rPr>
        <w:t>Journal des Tribunaux</w:t>
      </w:r>
      <w:r>
        <w:rPr>
          <w:lang w:val="fr-BE"/>
        </w:rPr>
        <w:t>, 66</w:t>
      </w:r>
      <w:r w:rsidRPr="007F1A03">
        <w:rPr>
          <w:lang w:val="fr-BE"/>
        </w:rPr>
        <w:t xml:space="preserve"> </w:t>
      </w:r>
      <w:r>
        <w:rPr>
          <w:lang w:val="fr-BE"/>
        </w:rPr>
        <w:t>(</w:t>
      </w:r>
      <w:r w:rsidRPr="007F1A03">
        <w:rPr>
          <w:lang w:val="fr-BE"/>
        </w:rPr>
        <w:t>195</w:t>
      </w:r>
      <w:r>
        <w:rPr>
          <w:lang w:val="fr-BE"/>
        </w:rPr>
        <w:t xml:space="preserve">1), p. 345-346; and J. Durieux, </w:t>
      </w:r>
      <w:r w:rsidRPr="00CE628E">
        <w:rPr>
          <w:i/>
          <w:lang w:val="fr-BE"/>
        </w:rPr>
        <w:t>Le plan Schuman et la Constitution belge</w:t>
      </w:r>
      <w:r w:rsidRPr="007F1A03">
        <w:rPr>
          <w:lang w:val="fr-BE"/>
        </w:rPr>
        <w:t xml:space="preserve">, </w:t>
      </w:r>
      <w:r w:rsidRPr="00CE628E">
        <w:rPr>
          <w:lang w:val="fr-BE"/>
        </w:rPr>
        <w:t>Journal des Tribunaux</w:t>
      </w:r>
      <w:r>
        <w:rPr>
          <w:lang w:val="fr-BE"/>
        </w:rPr>
        <w:t>, 66 (1951), p. 677-678.</w:t>
      </w:r>
    </w:p>
  </w:footnote>
  <w:footnote w:id="71">
    <w:p w14:paraId="235F7BEC" w14:textId="147E04E8" w:rsidR="00B31A46" w:rsidRPr="00793CB9" w:rsidRDefault="00B31A46">
      <w:pPr>
        <w:pStyle w:val="Voetnoottekst"/>
      </w:pPr>
      <w:r>
        <w:rPr>
          <w:rStyle w:val="Voetnootmarkering"/>
        </w:rPr>
        <w:footnoteRef/>
      </w:r>
      <w:r w:rsidRPr="00793CB9">
        <w:t xml:space="preserve"> </w:t>
      </w:r>
      <w:r w:rsidRPr="00CE628E">
        <w:t>Rechtskundig Weekblad</w:t>
      </w:r>
      <w:r>
        <w:t>, 19</w:t>
      </w:r>
      <w:r w:rsidRPr="00793CB9">
        <w:t xml:space="preserve"> </w:t>
      </w:r>
      <w:r>
        <w:t>(</w:t>
      </w:r>
      <w:r w:rsidRPr="00793CB9">
        <w:t>1955-56</w:t>
      </w:r>
      <w:r>
        <w:t>)</w:t>
      </w:r>
      <w:r w:rsidRPr="00793CB9">
        <w:t>, p. 156.</w:t>
      </w:r>
    </w:p>
  </w:footnote>
  <w:footnote w:id="72">
    <w:p w14:paraId="2121C77B" w14:textId="3C89F675" w:rsidR="00B31A46" w:rsidRPr="007F1A03" w:rsidRDefault="00B31A46">
      <w:pPr>
        <w:pStyle w:val="Voetnoottekst"/>
        <w:rPr>
          <w:lang w:val="en-GB"/>
        </w:rPr>
      </w:pPr>
      <w:r>
        <w:rPr>
          <w:rStyle w:val="Voetnootmarkering"/>
        </w:rPr>
        <w:footnoteRef/>
      </w:r>
      <w:r>
        <w:t xml:space="preserve"> J. </w:t>
      </w:r>
      <w:proofErr w:type="spellStart"/>
      <w:r>
        <w:t>Bacalu</w:t>
      </w:r>
      <w:proofErr w:type="spellEnd"/>
      <w:r>
        <w:t xml:space="preserve">, </w:t>
      </w:r>
      <w:r w:rsidRPr="00CE628E">
        <w:rPr>
          <w:i/>
        </w:rPr>
        <w:t>Het verdragsrecht betreffende de Rechten van de Mens</w:t>
      </w:r>
      <w:r w:rsidRPr="007F1A03">
        <w:t xml:space="preserve">, </w:t>
      </w:r>
      <w:r w:rsidRPr="00CE628E">
        <w:t>Rechtskundig Weekblad</w:t>
      </w:r>
      <w:r>
        <w:t>, 21</w:t>
      </w:r>
      <w:r w:rsidRPr="00CE628E">
        <w:t xml:space="preserve"> </w:t>
      </w:r>
      <w:r>
        <w:t>(</w:t>
      </w:r>
      <w:r w:rsidRPr="00CE628E">
        <w:t>1957</w:t>
      </w:r>
      <w:r>
        <w:t>-</w:t>
      </w:r>
      <w:r w:rsidRPr="007F1A03">
        <w:t>58</w:t>
      </w:r>
      <w:r>
        <w:t>)</w:t>
      </w:r>
      <w:r w:rsidRPr="007F1A03">
        <w:t xml:space="preserve">, p. 1321-1342; on human </w:t>
      </w:r>
      <w:proofErr w:type="spellStart"/>
      <w:r w:rsidRPr="007F1A03">
        <w:t>rights</w:t>
      </w:r>
      <w:proofErr w:type="spellEnd"/>
      <w:r w:rsidRPr="007F1A03">
        <w:t xml:space="preserve"> in </w:t>
      </w:r>
      <w:r w:rsidRPr="007F1A03">
        <w:rPr>
          <w:i/>
        </w:rPr>
        <w:t>Rechtskundig Weekblad</w:t>
      </w:r>
      <w:r>
        <w:t xml:space="preserve">, </w:t>
      </w:r>
      <w:proofErr w:type="spellStart"/>
      <w:r>
        <w:t>see</w:t>
      </w:r>
      <w:proofErr w:type="spellEnd"/>
      <w:r>
        <w:t xml:space="preserve"> S. Vandenbogaerde, </w:t>
      </w:r>
      <w:proofErr w:type="spellStart"/>
      <w:r w:rsidRPr="00CE628E">
        <w:rPr>
          <w:i/>
        </w:rPr>
        <w:t>They</w:t>
      </w:r>
      <w:proofErr w:type="spellEnd"/>
      <w:r w:rsidRPr="00CE628E">
        <w:rPr>
          <w:i/>
        </w:rPr>
        <w:t xml:space="preserve"> </w:t>
      </w:r>
      <w:proofErr w:type="spellStart"/>
      <w:r w:rsidRPr="00CE628E">
        <w:rPr>
          <w:i/>
        </w:rPr>
        <w:t>Entered</w:t>
      </w:r>
      <w:proofErr w:type="spellEnd"/>
      <w:r w:rsidRPr="00CE628E">
        <w:rPr>
          <w:i/>
        </w:rPr>
        <w:t xml:space="preserve"> without </w:t>
      </w:r>
      <w:proofErr w:type="spellStart"/>
      <w:r w:rsidRPr="00CE628E">
        <w:rPr>
          <w:i/>
        </w:rPr>
        <w:t>any</w:t>
      </w:r>
      <w:proofErr w:type="spellEnd"/>
      <w:r w:rsidRPr="00CE628E">
        <w:rPr>
          <w:i/>
        </w:rPr>
        <w:t xml:space="preserve"> </w:t>
      </w:r>
      <w:proofErr w:type="spellStart"/>
      <w:r w:rsidRPr="00CE628E">
        <w:rPr>
          <w:i/>
        </w:rPr>
        <w:t>Rumour</w:t>
      </w:r>
      <w:proofErr w:type="spellEnd"/>
      <w:r w:rsidRPr="00CE628E">
        <w:rPr>
          <w:i/>
        </w:rPr>
        <w:t xml:space="preserve">. </w:t>
      </w:r>
      <w:r w:rsidRPr="00CE628E">
        <w:rPr>
          <w:i/>
          <w:lang w:val="en-GB"/>
        </w:rPr>
        <w:t>Human Rights in the Belgian Legal Periodicals</w:t>
      </w:r>
      <w:r w:rsidRPr="00CE628E">
        <w:rPr>
          <w:lang w:val="en-GB"/>
        </w:rPr>
        <w:t>,</w:t>
      </w:r>
      <w:r w:rsidRPr="00F84B95">
        <w:rPr>
          <w:lang w:val="en-GB"/>
        </w:rPr>
        <w:t xml:space="preserve"> </w:t>
      </w:r>
      <w:proofErr w:type="spellStart"/>
      <w:r w:rsidRPr="00CE628E">
        <w:rPr>
          <w:lang w:val="en-GB"/>
        </w:rPr>
        <w:t>Goettingen</w:t>
      </w:r>
      <w:proofErr w:type="spellEnd"/>
      <w:r w:rsidRPr="00CE628E">
        <w:rPr>
          <w:lang w:val="en-GB"/>
        </w:rPr>
        <w:t xml:space="preserve"> Journal of International Law</w:t>
      </w:r>
      <w:r>
        <w:rPr>
          <w:lang w:val="en-GB"/>
        </w:rPr>
        <w:t>, 4 (</w:t>
      </w:r>
      <w:r w:rsidRPr="00F84B95">
        <w:rPr>
          <w:lang w:val="en-GB"/>
        </w:rPr>
        <w:t>2012</w:t>
      </w:r>
      <w:r>
        <w:rPr>
          <w:lang w:val="en-GB"/>
        </w:rPr>
        <w:t>)</w:t>
      </w:r>
      <w:r w:rsidRPr="00F84B95">
        <w:rPr>
          <w:lang w:val="en-GB"/>
        </w:rPr>
        <w:t xml:space="preserve">, </w:t>
      </w:r>
      <w:r>
        <w:rPr>
          <w:lang w:val="en-GB"/>
        </w:rPr>
        <w:t xml:space="preserve">p. </w:t>
      </w:r>
      <w:r w:rsidRPr="00F84B95">
        <w:rPr>
          <w:lang w:val="en-GB"/>
        </w:rPr>
        <w:t>291-311</w:t>
      </w:r>
      <w:r>
        <w:rPr>
          <w:lang w:val="en-GB"/>
        </w:rPr>
        <w:t>.</w:t>
      </w:r>
    </w:p>
  </w:footnote>
  <w:footnote w:id="73">
    <w:p w14:paraId="27EE7CBF" w14:textId="1240262C" w:rsidR="00B31A46" w:rsidRPr="007F1A03" w:rsidRDefault="00B31A46">
      <w:pPr>
        <w:pStyle w:val="Voetnoottekst"/>
        <w:rPr>
          <w:lang w:val="fr-BE"/>
        </w:rPr>
      </w:pPr>
      <w:r>
        <w:rPr>
          <w:rStyle w:val="Voetnootmarkering"/>
        </w:rPr>
        <w:footnoteRef/>
      </w:r>
      <w:r>
        <w:rPr>
          <w:lang w:val="fr-BE"/>
        </w:rPr>
        <w:t xml:space="preserve"> H. Rolin, </w:t>
      </w:r>
      <w:r w:rsidRPr="00CE628E">
        <w:rPr>
          <w:i/>
          <w:lang w:val="fr-BE"/>
        </w:rPr>
        <w:t>Un texte de droit positif ignoré des juristes belges: La Convention européenne des Droits de l’Homme</w:t>
      </w:r>
      <w:r w:rsidRPr="007F1A03">
        <w:rPr>
          <w:lang w:val="fr-BE"/>
        </w:rPr>
        <w:t>,</w:t>
      </w:r>
      <w:r>
        <w:rPr>
          <w:lang w:val="fr-BE"/>
        </w:rPr>
        <w:t xml:space="preserve"> </w:t>
      </w:r>
      <w:r w:rsidRPr="00CE628E">
        <w:rPr>
          <w:lang w:val="fr-BE"/>
        </w:rPr>
        <w:t>Journal des Tribunaux</w:t>
      </w:r>
      <w:r>
        <w:rPr>
          <w:lang w:val="fr-BE"/>
        </w:rPr>
        <w:t>, 73</w:t>
      </w:r>
      <w:r>
        <w:rPr>
          <w:i/>
          <w:lang w:val="fr-BE"/>
        </w:rPr>
        <w:t xml:space="preserve"> </w:t>
      </w:r>
      <w:r>
        <w:rPr>
          <w:lang w:val="fr-BE"/>
        </w:rPr>
        <w:t>(1958), p. 515-516.</w:t>
      </w:r>
    </w:p>
  </w:footnote>
  <w:footnote w:id="74">
    <w:p w14:paraId="033474AC" w14:textId="72921244" w:rsidR="00B31A46" w:rsidRPr="007F1A03" w:rsidRDefault="00B31A46">
      <w:pPr>
        <w:pStyle w:val="Voetnoottekst"/>
      </w:pPr>
      <w:r>
        <w:rPr>
          <w:rStyle w:val="Voetnootmarkering"/>
        </w:rPr>
        <w:footnoteRef/>
      </w:r>
      <w:r w:rsidRPr="007F1A03">
        <w:t xml:space="preserve"> </w:t>
      </w:r>
      <w:r w:rsidRPr="00622122">
        <w:t xml:space="preserve">A. </w:t>
      </w:r>
      <w:proofErr w:type="spellStart"/>
      <w:r w:rsidRPr="00622122">
        <w:t>Nyssens</w:t>
      </w:r>
      <w:proofErr w:type="spellEnd"/>
      <w:r w:rsidRPr="00622122">
        <w:t xml:space="preserve">, </w:t>
      </w:r>
      <w:r w:rsidRPr="006214D1">
        <w:rPr>
          <w:i/>
        </w:rPr>
        <w:t xml:space="preserve">Rede van Mr. Albert </w:t>
      </w:r>
      <w:proofErr w:type="spellStart"/>
      <w:r w:rsidRPr="006214D1">
        <w:rPr>
          <w:i/>
        </w:rPr>
        <w:t>Nyssens</w:t>
      </w:r>
      <w:proofErr w:type="spellEnd"/>
      <w:r>
        <w:t xml:space="preserve"> in reply </w:t>
      </w:r>
      <w:proofErr w:type="spellStart"/>
      <w:r>
        <w:t>to</w:t>
      </w:r>
      <w:proofErr w:type="spellEnd"/>
      <w:r>
        <w:t xml:space="preserve"> M. De Kock, </w:t>
      </w:r>
      <w:r w:rsidRPr="006214D1">
        <w:rPr>
          <w:i/>
        </w:rPr>
        <w:t xml:space="preserve">Het Europees Verdrag van de Rechten van de Mens, is </w:t>
      </w:r>
      <w:proofErr w:type="gramStart"/>
      <w:r w:rsidRPr="006214D1">
        <w:rPr>
          <w:i/>
        </w:rPr>
        <w:t>dit</w:t>
      </w:r>
      <w:proofErr w:type="gramEnd"/>
      <w:r w:rsidRPr="006214D1">
        <w:rPr>
          <w:i/>
        </w:rPr>
        <w:t xml:space="preserve"> voldoende bescherming?</w:t>
      </w:r>
      <w:r w:rsidRPr="00622122">
        <w:t>,</w:t>
      </w:r>
      <w:r>
        <w:t xml:space="preserve"> Rechtskundig Weekblad, 23 (1959-1960), p. 1213-1214.</w:t>
      </w:r>
    </w:p>
  </w:footnote>
  <w:footnote w:id="75">
    <w:p w14:paraId="0E6C9054" w14:textId="616EEE0E" w:rsidR="00B31A46" w:rsidRPr="006214D1" w:rsidRDefault="00B31A46">
      <w:pPr>
        <w:pStyle w:val="Voetnoottekst"/>
      </w:pPr>
      <w:r>
        <w:rPr>
          <w:rStyle w:val="Voetnootmarkering"/>
        </w:rPr>
        <w:footnoteRef/>
      </w:r>
      <w:r w:rsidRPr="007F1A03">
        <w:t xml:space="preserve"> </w:t>
      </w:r>
      <w:r>
        <w:t>O</w:t>
      </w:r>
      <w:r w:rsidRPr="007F1A03">
        <w:t xml:space="preserve">n </w:t>
      </w:r>
      <w:proofErr w:type="spellStart"/>
      <w:r w:rsidRPr="007F1A03">
        <w:t>this</w:t>
      </w:r>
      <w:proofErr w:type="spellEnd"/>
      <w:r w:rsidRPr="007F1A03">
        <w:t xml:space="preserve"> case, </w:t>
      </w:r>
      <w:proofErr w:type="spellStart"/>
      <w:r w:rsidRPr="007F1A03">
        <w:t>see</w:t>
      </w:r>
      <w:proofErr w:type="spellEnd"/>
      <w:r w:rsidRPr="007F1A03">
        <w:t xml:space="preserve"> E. </w:t>
      </w:r>
      <w:proofErr w:type="spellStart"/>
      <w:r w:rsidRPr="007F1A03">
        <w:t>Bates</w:t>
      </w:r>
      <w:proofErr w:type="spellEnd"/>
      <w:r w:rsidRPr="007F1A03">
        <w:t xml:space="preserve">, </w:t>
      </w:r>
      <w:r w:rsidRPr="007F1A03">
        <w:rPr>
          <w:i/>
        </w:rPr>
        <w:t xml:space="preserve">The </w:t>
      </w:r>
      <w:proofErr w:type="spellStart"/>
      <w:r w:rsidRPr="007F1A03">
        <w:rPr>
          <w:i/>
        </w:rPr>
        <w:t>Evolution</w:t>
      </w:r>
      <w:proofErr w:type="spellEnd"/>
      <w:r w:rsidRPr="007F1A03">
        <w:rPr>
          <w:i/>
        </w:rPr>
        <w:t xml:space="preserve"> of </w:t>
      </w:r>
      <w:proofErr w:type="spellStart"/>
      <w:r w:rsidRPr="007F1A03">
        <w:rPr>
          <w:i/>
        </w:rPr>
        <w:t>the</w:t>
      </w:r>
      <w:proofErr w:type="spellEnd"/>
      <w:r w:rsidRPr="007F1A03">
        <w:rPr>
          <w:i/>
        </w:rPr>
        <w:t xml:space="preserve"> European </w:t>
      </w:r>
      <w:proofErr w:type="spellStart"/>
      <w:r w:rsidRPr="007F1A03">
        <w:rPr>
          <w:i/>
        </w:rPr>
        <w:t>Convention</w:t>
      </w:r>
      <w:proofErr w:type="spellEnd"/>
      <w:r w:rsidRPr="007F1A03">
        <w:rPr>
          <w:i/>
        </w:rPr>
        <w:t xml:space="preserve"> on Human </w:t>
      </w:r>
      <w:proofErr w:type="spellStart"/>
      <w:r w:rsidRPr="007F1A03">
        <w:rPr>
          <w:i/>
        </w:rPr>
        <w:t>Rights</w:t>
      </w:r>
      <w:proofErr w:type="spellEnd"/>
      <w:r w:rsidRPr="007F1A03">
        <w:t>, Oxford, 2010, p. 206-211</w:t>
      </w:r>
      <w:r>
        <w:t xml:space="preserve">; and K. Aerts, </w:t>
      </w:r>
      <w:proofErr w:type="spellStart"/>
      <w:r w:rsidRPr="006214D1">
        <w:rPr>
          <w:i/>
        </w:rPr>
        <w:t>There’s</w:t>
      </w:r>
      <w:proofErr w:type="spellEnd"/>
      <w:r w:rsidRPr="006214D1">
        <w:rPr>
          <w:i/>
        </w:rPr>
        <w:t xml:space="preserve"> </w:t>
      </w:r>
      <w:proofErr w:type="spellStart"/>
      <w:r w:rsidRPr="006214D1">
        <w:rPr>
          <w:i/>
        </w:rPr>
        <w:t>something</w:t>
      </w:r>
      <w:proofErr w:type="spellEnd"/>
      <w:r w:rsidRPr="006214D1">
        <w:rPr>
          <w:i/>
        </w:rPr>
        <w:t xml:space="preserve"> rotten in </w:t>
      </w:r>
      <w:proofErr w:type="spellStart"/>
      <w:r w:rsidRPr="006214D1">
        <w:rPr>
          <w:i/>
        </w:rPr>
        <w:t>the</w:t>
      </w:r>
      <w:proofErr w:type="spellEnd"/>
      <w:r w:rsidRPr="006214D1">
        <w:rPr>
          <w:i/>
        </w:rPr>
        <w:t xml:space="preserve"> state of Belgium: De liquidatie van de repressie en het Europese Verdrag tot Bescherming van de Rechten van de Mens en de Fundamentele vrijheden: de zaak-De Becker (1956-1962)</w:t>
      </w:r>
      <w:r>
        <w:t xml:space="preserve"> </w:t>
      </w:r>
      <w:r w:rsidRPr="007F1A03">
        <w:t>in</w:t>
      </w:r>
      <w:r>
        <w:t>:</w:t>
      </w:r>
      <w:r w:rsidRPr="007F1A03">
        <w:t xml:space="preserve"> K. Aerts, D. Heirbaut, X. </w:t>
      </w:r>
      <w:proofErr w:type="spellStart"/>
      <w:r w:rsidRPr="007F1A03">
        <w:t>Rousseaux</w:t>
      </w:r>
      <w:proofErr w:type="spellEnd"/>
      <w:r w:rsidRPr="007F1A03">
        <w:t xml:space="preserve"> and A. Wijffels (</w:t>
      </w:r>
      <w:proofErr w:type="spellStart"/>
      <w:r w:rsidRPr="007F1A03">
        <w:t>eds</w:t>
      </w:r>
      <w:proofErr w:type="spellEnd"/>
      <w:r w:rsidRPr="007F1A03">
        <w:t xml:space="preserve">.), </w:t>
      </w:r>
      <w:r w:rsidRPr="006214D1">
        <w:t xml:space="preserve">Justitie- en rechtsgeschiedenis: een nieuwe </w:t>
      </w:r>
      <w:proofErr w:type="spellStart"/>
      <w:r w:rsidRPr="006214D1">
        <w:t>onderzoeksgeneratie</w:t>
      </w:r>
      <w:proofErr w:type="spellEnd"/>
      <w:r w:rsidRPr="006214D1">
        <w:t xml:space="preserve"> = </w:t>
      </w:r>
      <w:proofErr w:type="spellStart"/>
      <w:r w:rsidRPr="006214D1">
        <w:t>Histoire</w:t>
      </w:r>
      <w:proofErr w:type="spellEnd"/>
      <w:r w:rsidRPr="006214D1">
        <w:t xml:space="preserve"> du </w:t>
      </w:r>
      <w:proofErr w:type="spellStart"/>
      <w:r w:rsidRPr="006214D1">
        <w:t>droit</w:t>
      </w:r>
      <w:proofErr w:type="spellEnd"/>
      <w:r w:rsidRPr="006214D1">
        <w:t xml:space="preserve"> et de la </w:t>
      </w:r>
      <w:proofErr w:type="spellStart"/>
      <w:r w:rsidRPr="006214D1">
        <w:t>justice</w:t>
      </w:r>
      <w:proofErr w:type="spellEnd"/>
      <w:r w:rsidRPr="006214D1">
        <w:t xml:space="preserve">: </w:t>
      </w:r>
      <w:proofErr w:type="spellStart"/>
      <w:r w:rsidRPr="006214D1">
        <w:t>une</w:t>
      </w:r>
      <w:proofErr w:type="spellEnd"/>
      <w:r w:rsidRPr="006214D1">
        <w:t xml:space="preserve"> nouvelle </w:t>
      </w:r>
      <w:proofErr w:type="spellStart"/>
      <w:r w:rsidRPr="006214D1">
        <w:t>génération</w:t>
      </w:r>
      <w:proofErr w:type="spellEnd"/>
      <w:r w:rsidRPr="006214D1">
        <w:t xml:space="preserve"> de </w:t>
      </w:r>
      <w:proofErr w:type="gramStart"/>
      <w:r w:rsidRPr="006214D1">
        <w:t>recherches ,</w:t>
      </w:r>
      <w:proofErr w:type="spellStart"/>
      <w:proofErr w:type="gramEnd"/>
      <w:r w:rsidRPr="006214D1">
        <w:t>Louvain</w:t>
      </w:r>
      <w:proofErr w:type="spellEnd"/>
      <w:r w:rsidRPr="006214D1">
        <w:t>-la-</w:t>
      </w:r>
      <w:proofErr w:type="spellStart"/>
      <w:r w:rsidRPr="006214D1">
        <w:t>Neuve</w:t>
      </w:r>
      <w:proofErr w:type="spellEnd"/>
      <w:r w:rsidRPr="006214D1">
        <w:t>, 2010, p. 93-108.</w:t>
      </w:r>
    </w:p>
  </w:footnote>
  <w:footnote w:id="76">
    <w:p w14:paraId="75E98F93" w14:textId="77777777" w:rsidR="00B31A46" w:rsidRPr="00B357BC" w:rsidRDefault="00B31A46">
      <w:pPr>
        <w:pStyle w:val="Voetnoottekst"/>
        <w:rPr>
          <w:lang w:val="en-GB"/>
        </w:rPr>
      </w:pPr>
      <w:r>
        <w:rPr>
          <w:rStyle w:val="Voetnootmarkering"/>
        </w:rPr>
        <w:footnoteRef/>
      </w:r>
      <w:r w:rsidRPr="00885ABE">
        <w:rPr>
          <w:lang w:val="en-GB"/>
        </w:rPr>
        <w:t xml:space="preserve"> </w:t>
      </w:r>
      <w:proofErr w:type="spellStart"/>
      <w:proofErr w:type="gramStart"/>
      <w:r w:rsidRPr="00885ABE">
        <w:rPr>
          <w:lang w:val="en-GB"/>
        </w:rPr>
        <w:t>EComHR</w:t>
      </w:r>
      <w:proofErr w:type="spellEnd"/>
      <w:r w:rsidRPr="00885ABE">
        <w:rPr>
          <w:rStyle w:val="sfbbfee58"/>
          <w:lang w:val="en-GB"/>
        </w:rPr>
        <w:t xml:space="preserve">, Report 8 January 1960, </w:t>
      </w:r>
      <w:r w:rsidRPr="00885ABE">
        <w:rPr>
          <w:rStyle w:val="sfbbfee58"/>
          <w:i/>
          <w:lang w:val="en-GB"/>
        </w:rPr>
        <w:t>De Becker v. Belgium</w:t>
      </w:r>
      <w:r>
        <w:rPr>
          <w:rStyle w:val="sfbbfee58"/>
          <w:lang w:val="en-GB"/>
        </w:rPr>
        <w:t xml:space="preserve">, no. 214/56, </w:t>
      </w:r>
      <w:r w:rsidRPr="00885ABE">
        <w:rPr>
          <w:rStyle w:val="sfbbfee58"/>
          <w:lang w:val="en-GB"/>
        </w:rPr>
        <w:t>para.</w:t>
      </w:r>
      <w:proofErr w:type="gramEnd"/>
      <w:r w:rsidRPr="00885ABE">
        <w:rPr>
          <w:rStyle w:val="sfbbfee58"/>
          <w:lang w:val="en-GB"/>
        </w:rPr>
        <w:t xml:space="preserve"> </w:t>
      </w:r>
      <w:r w:rsidRPr="00B357BC">
        <w:rPr>
          <w:rStyle w:val="sfbbfee58"/>
          <w:lang w:val="en-GB"/>
        </w:rPr>
        <w:t>263.</w:t>
      </w:r>
    </w:p>
  </w:footnote>
  <w:footnote w:id="77">
    <w:p w14:paraId="1C35FFED" w14:textId="77777777" w:rsidR="00B31A46" w:rsidRPr="00885ABE" w:rsidRDefault="00B31A46">
      <w:pPr>
        <w:pStyle w:val="Voetnoottekst"/>
        <w:rPr>
          <w:lang w:val="en-GB"/>
        </w:rPr>
      </w:pPr>
      <w:r>
        <w:rPr>
          <w:rStyle w:val="Voetnootmarkering"/>
        </w:rPr>
        <w:footnoteRef/>
      </w:r>
      <w:r w:rsidRPr="00885ABE">
        <w:rPr>
          <w:lang w:val="en-GB"/>
        </w:rPr>
        <w:t xml:space="preserve"> </w:t>
      </w:r>
      <w:r w:rsidRPr="00885ABE">
        <w:rPr>
          <w:rStyle w:val="sfbbfee58"/>
          <w:i/>
          <w:lang w:val="en-GB"/>
        </w:rPr>
        <w:t>Parliamentary Documents Senate</w:t>
      </w:r>
      <w:r>
        <w:rPr>
          <w:rStyle w:val="sfbbfee58"/>
          <w:lang w:val="en-GB"/>
        </w:rPr>
        <w:t>, 1 June 1961, no. 30, p. 2.</w:t>
      </w:r>
    </w:p>
  </w:footnote>
  <w:footnote w:id="78">
    <w:p w14:paraId="5EA7F4F2" w14:textId="77777777" w:rsidR="00B31A46" w:rsidRPr="00885ABE" w:rsidRDefault="00B31A46">
      <w:pPr>
        <w:pStyle w:val="Voetnoottekst"/>
        <w:rPr>
          <w:lang w:val="en-GB"/>
        </w:rPr>
      </w:pPr>
      <w:r>
        <w:rPr>
          <w:rStyle w:val="Voetnootmarkering"/>
        </w:rPr>
        <w:footnoteRef/>
      </w:r>
      <w:r w:rsidRPr="00885ABE">
        <w:rPr>
          <w:lang w:val="en-GB"/>
        </w:rPr>
        <w:t xml:space="preserve"> </w:t>
      </w:r>
      <w:proofErr w:type="gramStart"/>
      <w:r w:rsidRPr="00F84B95">
        <w:rPr>
          <w:rStyle w:val="sfbbfee58"/>
          <w:lang w:val="en-GB"/>
        </w:rPr>
        <w:t xml:space="preserve">Report of Henri </w:t>
      </w:r>
      <w:proofErr w:type="spellStart"/>
      <w:r w:rsidRPr="00F84B95">
        <w:rPr>
          <w:rStyle w:val="sfbbfee58"/>
          <w:lang w:val="en-GB"/>
        </w:rPr>
        <w:t>Rolin</w:t>
      </w:r>
      <w:proofErr w:type="spellEnd"/>
      <w:r w:rsidRPr="00F84B95">
        <w:rPr>
          <w:rStyle w:val="sfbbfee58"/>
          <w:lang w:val="en-GB"/>
        </w:rPr>
        <w:t xml:space="preserve"> in name of the Commission for Justice, </w:t>
      </w:r>
      <w:r w:rsidRPr="00885ABE">
        <w:rPr>
          <w:rStyle w:val="sfbbfee58"/>
          <w:i/>
          <w:lang w:val="en-GB"/>
        </w:rPr>
        <w:t>Parliamentary Documents Senate</w:t>
      </w:r>
      <w:r w:rsidRPr="00F84B95">
        <w:rPr>
          <w:rStyle w:val="sfbbfee58"/>
          <w:lang w:val="en-GB"/>
        </w:rPr>
        <w:t>, 8 June 1961, no. 50, p. 2</w:t>
      </w:r>
      <w:r>
        <w:rPr>
          <w:rStyle w:val="sfbbfee58"/>
          <w:lang w:val="en-GB"/>
        </w:rPr>
        <w:t>.</w:t>
      </w:r>
      <w:proofErr w:type="gramEnd"/>
    </w:p>
  </w:footnote>
  <w:footnote w:id="79">
    <w:p w14:paraId="6C6CDD8D" w14:textId="77777777" w:rsidR="00B31A46" w:rsidRPr="00885ABE" w:rsidRDefault="00B31A46">
      <w:pPr>
        <w:pStyle w:val="Voetnoottekst"/>
        <w:rPr>
          <w:lang w:val="en-GB"/>
        </w:rPr>
      </w:pPr>
      <w:r>
        <w:rPr>
          <w:rStyle w:val="Voetnootmarkering"/>
        </w:rPr>
        <w:footnoteRef/>
      </w:r>
      <w:r w:rsidRPr="00885ABE">
        <w:rPr>
          <w:lang w:val="en-GB"/>
        </w:rPr>
        <w:t xml:space="preserve"> </w:t>
      </w:r>
      <w:proofErr w:type="gramStart"/>
      <w:r w:rsidRPr="00F84B95">
        <w:rPr>
          <w:rStyle w:val="sfbbfee58"/>
          <w:lang w:val="en-GB"/>
        </w:rPr>
        <w:t xml:space="preserve">Article 4, § </w:t>
      </w:r>
      <w:r>
        <w:rPr>
          <w:rStyle w:val="sfbbfee58"/>
          <w:lang w:val="en-GB"/>
        </w:rPr>
        <w:t xml:space="preserve">4-5 and </w:t>
      </w:r>
      <w:r w:rsidRPr="00F84B95">
        <w:rPr>
          <w:rStyle w:val="sfbbfee58"/>
          <w:lang w:val="en-GB"/>
        </w:rPr>
        <w:t xml:space="preserve">7 Act of 30 June 1961 concerning civic purification, </w:t>
      </w:r>
      <w:proofErr w:type="spellStart"/>
      <w:r w:rsidRPr="00885ABE">
        <w:rPr>
          <w:rStyle w:val="sfbbfee58"/>
          <w:i/>
          <w:lang w:val="en-GB"/>
        </w:rPr>
        <w:t>Moniteur</w:t>
      </w:r>
      <w:proofErr w:type="spellEnd"/>
      <w:r w:rsidRPr="00885ABE">
        <w:rPr>
          <w:rStyle w:val="sfbbfee58"/>
          <w:i/>
          <w:lang w:val="en-GB"/>
        </w:rPr>
        <w:t xml:space="preserve"> </w:t>
      </w:r>
      <w:proofErr w:type="spellStart"/>
      <w:r w:rsidRPr="00885ABE">
        <w:rPr>
          <w:rStyle w:val="sfbbfee58"/>
          <w:i/>
          <w:lang w:val="en-GB"/>
        </w:rPr>
        <w:t>Belge</w:t>
      </w:r>
      <w:proofErr w:type="spellEnd"/>
      <w:r w:rsidRPr="00F84B95">
        <w:rPr>
          <w:rStyle w:val="sfbbfee58"/>
          <w:lang w:val="en-GB"/>
        </w:rPr>
        <w:t xml:space="preserve"> 1 July 1961</w:t>
      </w:r>
      <w:r>
        <w:rPr>
          <w:rStyle w:val="sfbbfee58"/>
          <w:lang w:val="en-GB"/>
        </w:rPr>
        <w:t>.</w:t>
      </w:r>
      <w:proofErr w:type="gramEnd"/>
    </w:p>
  </w:footnote>
  <w:footnote w:id="80">
    <w:p w14:paraId="277C4ACF" w14:textId="77777777" w:rsidR="00B31A46" w:rsidRPr="00885ABE" w:rsidRDefault="00B31A46">
      <w:pPr>
        <w:pStyle w:val="Voetnoottekst"/>
        <w:rPr>
          <w:lang w:val="en-GB"/>
        </w:rPr>
      </w:pPr>
      <w:r>
        <w:rPr>
          <w:rStyle w:val="Voetnootmarkering"/>
        </w:rPr>
        <w:footnoteRef/>
      </w:r>
      <w:r w:rsidRPr="00885ABE">
        <w:rPr>
          <w:lang w:val="en-GB"/>
        </w:rPr>
        <w:t xml:space="preserve"> ECtHR 27 March 1962, </w:t>
      </w:r>
      <w:r w:rsidRPr="00885ABE">
        <w:rPr>
          <w:i/>
          <w:lang w:val="en-GB"/>
        </w:rPr>
        <w:t xml:space="preserve">De Becker v. </w:t>
      </w:r>
      <w:r>
        <w:rPr>
          <w:i/>
          <w:lang w:val="en-GB"/>
        </w:rPr>
        <w:t>Belgium</w:t>
      </w:r>
      <w:r>
        <w:rPr>
          <w:lang w:val="en-GB"/>
        </w:rPr>
        <w:t>, no. 214/56.</w:t>
      </w:r>
    </w:p>
  </w:footnote>
  <w:footnote w:id="81">
    <w:p w14:paraId="664E9FEB" w14:textId="59AF7D6C" w:rsidR="00B31A46" w:rsidRPr="00885ABE" w:rsidRDefault="00B31A46">
      <w:pPr>
        <w:pStyle w:val="Voetnoottekst"/>
        <w:rPr>
          <w:lang w:val="en-GB"/>
        </w:rPr>
      </w:pPr>
      <w:r>
        <w:rPr>
          <w:rStyle w:val="Voetnootmarkering"/>
        </w:rPr>
        <w:footnoteRef/>
      </w:r>
      <w:r w:rsidRPr="00885ABE">
        <w:rPr>
          <w:lang w:val="en-GB"/>
        </w:rPr>
        <w:t xml:space="preserve"> </w:t>
      </w:r>
      <w:r w:rsidRPr="00F84B95">
        <w:rPr>
          <w:rStyle w:val="sfbbfee58"/>
          <w:lang w:val="en-GB"/>
        </w:rPr>
        <w:t xml:space="preserve">Act of 23 December 1970 amending the Act of 2 August 1963 on the use of languages in administrative matters, </w:t>
      </w:r>
      <w:proofErr w:type="spellStart"/>
      <w:r w:rsidRPr="00885ABE">
        <w:rPr>
          <w:rStyle w:val="sfbbfee58"/>
          <w:i/>
          <w:lang w:val="en-GB"/>
        </w:rPr>
        <w:t>Moniteur</w:t>
      </w:r>
      <w:proofErr w:type="spellEnd"/>
      <w:r w:rsidRPr="00885ABE">
        <w:rPr>
          <w:rStyle w:val="sfbbfee58"/>
          <w:i/>
          <w:lang w:val="en-GB"/>
        </w:rPr>
        <w:t xml:space="preserve"> </w:t>
      </w:r>
      <w:proofErr w:type="spellStart"/>
      <w:r w:rsidRPr="00885ABE">
        <w:rPr>
          <w:rStyle w:val="sfbbfee58"/>
          <w:i/>
          <w:lang w:val="en-GB"/>
        </w:rPr>
        <w:t>Belge</w:t>
      </w:r>
      <w:proofErr w:type="spellEnd"/>
      <w:r w:rsidRPr="00F84B95">
        <w:rPr>
          <w:rStyle w:val="sfbbfee58"/>
          <w:lang w:val="en-GB"/>
        </w:rPr>
        <w:t xml:space="preserve"> 1 January 1971</w:t>
      </w:r>
      <w:r>
        <w:rPr>
          <w:rStyle w:val="sfbbfee58"/>
          <w:lang w:val="en-GB"/>
        </w:rPr>
        <w:t xml:space="preserve">, implementing the judgment in the </w:t>
      </w:r>
      <w:r>
        <w:rPr>
          <w:rStyle w:val="sfbbfee58"/>
          <w:i/>
          <w:lang w:val="en-GB"/>
        </w:rPr>
        <w:t>Belgian Linguistics case</w:t>
      </w:r>
      <w:r w:rsidRPr="00F84B95">
        <w:rPr>
          <w:rStyle w:val="sfbbfee58"/>
          <w:lang w:val="en-GB"/>
        </w:rPr>
        <w:t xml:space="preserve">; on the implementation, see A. </w:t>
      </w:r>
      <w:proofErr w:type="spellStart"/>
      <w:r w:rsidRPr="00F84B95">
        <w:rPr>
          <w:rStyle w:val="sfbbfee58"/>
          <w:lang w:val="en-GB"/>
        </w:rPr>
        <w:t>Alen</w:t>
      </w:r>
      <w:proofErr w:type="spellEnd"/>
      <w:r w:rsidRPr="00F84B95">
        <w:rPr>
          <w:rStyle w:val="sfbbfee58"/>
          <w:lang w:val="en-GB"/>
        </w:rPr>
        <w:t xml:space="preserve"> and P. </w:t>
      </w:r>
      <w:proofErr w:type="spellStart"/>
      <w:r w:rsidRPr="00F84B95">
        <w:rPr>
          <w:rStyle w:val="sfbbfee58"/>
          <w:lang w:val="en-GB"/>
        </w:rPr>
        <w:t>Peeters</w:t>
      </w:r>
      <w:proofErr w:type="spellEnd"/>
      <w:r w:rsidRPr="00F84B95">
        <w:rPr>
          <w:rStyle w:val="sfbbfee58"/>
          <w:lang w:val="en-GB"/>
        </w:rPr>
        <w:t xml:space="preserve">, </w:t>
      </w:r>
      <w:r w:rsidRPr="006214D1">
        <w:rPr>
          <w:rStyle w:val="sfbbfee58"/>
          <w:i/>
          <w:lang w:val="en-GB"/>
        </w:rPr>
        <w:t xml:space="preserve">Het Rapport </w:t>
      </w:r>
      <w:proofErr w:type="spellStart"/>
      <w:r w:rsidRPr="006214D1">
        <w:rPr>
          <w:rStyle w:val="sfbbfee58"/>
          <w:i/>
          <w:lang w:val="en-GB"/>
        </w:rPr>
        <w:t>Columberg</w:t>
      </w:r>
      <w:proofErr w:type="spellEnd"/>
      <w:r w:rsidRPr="006214D1">
        <w:rPr>
          <w:rStyle w:val="sfbbfee58"/>
          <w:i/>
          <w:lang w:val="en-GB"/>
        </w:rPr>
        <w:t xml:space="preserve"> </w:t>
      </w:r>
      <w:proofErr w:type="spellStart"/>
      <w:r w:rsidRPr="006214D1">
        <w:rPr>
          <w:rStyle w:val="sfbbfee58"/>
          <w:i/>
          <w:lang w:val="en-GB"/>
        </w:rPr>
        <w:t>namens</w:t>
      </w:r>
      <w:proofErr w:type="spellEnd"/>
      <w:r w:rsidRPr="006214D1">
        <w:rPr>
          <w:rStyle w:val="sfbbfee58"/>
          <w:i/>
          <w:lang w:val="en-GB"/>
        </w:rPr>
        <w:t xml:space="preserve"> de </w:t>
      </w:r>
      <w:proofErr w:type="spellStart"/>
      <w:r w:rsidRPr="006214D1">
        <w:rPr>
          <w:rStyle w:val="sfbbfee58"/>
          <w:i/>
          <w:lang w:val="en-GB"/>
        </w:rPr>
        <w:t>Raad</w:t>
      </w:r>
      <w:proofErr w:type="spellEnd"/>
      <w:r w:rsidRPr="006214D1">
        <w:rPr>
          <w:rStyle w:val="sfbbfee58"/>
          <w:i/>
          <w:lang w:val="en-GB"/>
        </w:rPr>
        <w:t xml:space="preserve"> van Europa </w:t>
      </w:r>
      <w:proofErr w:type="spellStart"/>
      <w:r w:rsidRPr="006214D1">
        <w:rPr>
          <w:rStyle w:val="sfbbfee58"/>
          <w:i/>
          <w:lang w:val="en-GB"/>
        </w:rPr>
        <w:t>en</w:t>
      </w:r>
      <w:proofErr w:type="spellEnd"/>
      <w:r w:rsidRPr="006214D1">
        <w:rPr>
          <w:rStyle w:val="sfbbfee58"/>
          <w:i/>
          <w:lang w:val="en-GB"/>
        </w:rPr>
        <w:t xml:space="preserve"> de </w:t>
      </w:r>
      <w:proofErr w:type="spellStart"/>
      <w:r w:rsidRPr="006214D1">
        <w:rPr>
          <w:rStyle w:val="sfbbfee58"/>
          <w:i/>
          <w:lang w:val="en-GB"/>
        </w:rPr>
        <w:t>Belgische</w:t>
      </w:r>
      <w:proofErr w:type="spellEnd"/>
      <w:r w:rsidRPr="006214D1">
        <w:rPr>
          <w:rStyle w:val="sfbbfee58"/>
          <w:i/>
          <w:lang w:val="en-GB"/>
        </w:rPr>
        <w:t xml:space="preserve"> </w:t>
      </w:r>
      <w:proofErr w:type="spellStart"/>
      <w:r w:rsidRPr="006214D1">
        <w:rPr>
          <w:rStyle w:val="sfbbfee58"/>
          <w:i/>
          <w:lang w:val="en-GB"/>
        </w:rPr>
        <w:t>taalwetgeving</w:t>
      </w:r>
      <w:proofErr w:type="spellEnd"/>
      <w:r w:rsidRPr="006214D1">
        <w:rPr>
          <w:rStyle w:val="sfbbfee58"/>
          <w:i/>
          <w:lang w:val="en-GB"/>
        </w:rPr>
        <w:t xml:space="preserve">: </w:t>
      </w:r>
      <w:proofErr w:type="spellStart"/>
      <w:r w:rsidRPr="006214D1">
        <w:rPr>
          <w:rStyle w:val="sfbbfee58"/>
          <w:i/>
          <w:lang w:val="en-GB"/>
        </w:rPr>
        <w:t>een</w:t>
      </w:r>
      <w:proofErr w:type="spellEnd"/>
      <w:r w:rsidRPr="006214D1">
        <w:rPr>
          <w:rStyle w:val="sfbbfee58"/>
          <w:i/>
          <w:lang w:val="en-GB"/>
        </w:rPr>
        <w:t xml:space="preserve"> storm in </w:t>
      </w:r>
      <w:proofErr w:type="spellStart"/>
      <w:r w:rsidRPr="006214D1">
        <w:rPr>
          <w:rStyle w:val="sfbbfee58"/>
          <w:i/>
          <w:lang w:val="en-GB"/>
        </w:rPr>
        <w:t>een</w:t>
      </w:r>
      <w:proofErr w:type="spellEnd"/>
      <w:r w:rsidRPr="006214D1">
        <w:rPr>
          <w:rStyle w:val="sfbbfee58"/>
          <w:i/>
          <w:lang w:val="en-GB"/>
        </w:rPr>
        <w:t xml:space="preserve"> </w:t>
      </w:r>
      <w:proofErr w:type="spellStart"/>
      <w:r w:rsidRPr="006214D1">
        <w:rPr>
          <w:rStyle w:val="sfbbfee58"/>
          <w:i/>
          <w:lang w:val="en-GB"/>
        </w:rPr>
        <w:t>glas</w:t>
      </w:r>
      <w:proofErr w:type="spellEnd"/>
      <w:r w:rsidRPr="006214D1">
        <w:rPr>
          <w:rStyle w:val="sfbbfee58"/>
          <w:i/>
          <w:lang w:val="en-GB"/>
        </w:rPr>
        <w:t xml:space="preserve"> water</w:t>
      </w:r>
      <w:r w:rsidRPr="00F84B95">
        <w:rPr>
          <w:rStyle w:val="sfbbfee58"/>
          <w:lang w:val="en-GB"/>
        </w:rPr>
        <w:t xml:space="preserve">, </w:t>
      </w:r>
      <w:proofErr w:type="spellStart"/>
      <w:r w:rsidRPr="006214D1">
        <w:rPr>
          <w:rStyle w:val="sfbbfee58"/>
          <w:lang w:val="en-GB"/>
        </w:rPr>
        <w:t>Tijdschrift</w:t>
      </w:r>
      <w:proofErr w:type="spellEnd"/>
      <w:r w:rsidRPr="006214D1">
        <w:rPr>
          <w:rStyle w:val="sfbbfee58"/>
          <w:lang w:val="en-GB"/>
        </w:rPr>
        <w:t xml:space="preserve"> </w:t>
      </w:r>
      <w:proofErr w:type="spellStart"/>
      <w:r w:rsidRPr="006214D1">
        <w:rPr>
          <w:rStyle w:val="sfbbfee58"/>
          <w:lang w:val="en-GB"/>
        </w:rPr>
        <w:t>voor</w:t>
      </w:r>
      <w:proofErr w:type="spellEnd"/>
      <w:r w:rsidRPr="006214D1">
        <w:rPr>
          <w:rStyle w:val="sfbbfee58"/>
          <w:lang w:val="en-GB"/>
        </w:rPr>
        <w:t xml:space="preserve"> </w:t>
      </w:r>
      <w:proofErr w:type="spellStart"/>
      <w:r w:rsidRPr="006214D1">
        <w:rPr>
          <w:rStyle w:val="sfbbfee58"/>
          <w:lang w:val="en-GB"/>
        </w:rPr>
        <w:t>Bestuurswetenschappen</w:t>
      </w:r>
      <w:proofErr w:type="spellEnd"/>
      <w:r w:rsidRPr="006214D1">
        <w:rPr>
          <w:rStyle w:val="sfbbfee58"/>
          <w:lang w:val="en-GB"/>
        </w:rPr>
        <w:t xml:space="preserve"> </w:t>
      </w:r>
      <w:proofErr w:type="spellStart"/>
      <w:r w:rsidRPr="006214D1">
        <w:rPr>
          <w:rStyle w:val="sfbbfee58"/>
          <w:lang w:val="en-GB"/>
        </w:rPr>
        <w:t>en</w:t>
      </w:r>
      <w:proofErr w:type="spellEnd"/>
      <w:r w:rsidRPr="006214D1">
        <w:rPr>
          <w:rStyle w:val="sfbbfee58"/>
          <w:lang w:val="en-GB"/>
        </w:rPr>
        <w:t xml:space="preserve"> </w:t>
      </w:r>
      <w:proofErr w:type="spellStart"/>
      <w:r w:rsidRPr="006214D1">
        <w:rPr>
          <w:rStyle w:val="sfbbfee58"/>
          <w:lang w:val="en-GB"/>
        </w:rPr>
        <w:t>Publiek</w:t>
      </w:r>
      <w:proofErr w:type="spellEnd"/>
      <w:r w:rsidRPr="006214D1">
        <w:rPr>
          <w:rStyle w:val="sfbbfee58"/>
          <w:lang w:val="en-GB"/>
        </w:rPr>
        <w:t xml:space="preserve"> Recht, 54 (1999),</w:t>
      </w:r>
      <w:r w:rsidRPr="00F84B95">
        <w:rPr>
          <w:rStyle w:val="sfbbfee58"/>
          <w:lang w:val="en-GB"/>
        </w:rPr>
        <w:t xml:space="preserve"> </w:t>
      </w:r>
      <w:r>
        <w:rPr>
          <w:rStyle w:val="sfbbfee58"/>
          <w:lang w:val="en-GB"/>
        </w:rPr>
        <w:t xml:space="preserve">p. </w:t>
      </w:r>
      <w:r w:rsidRPr="00F84B95">
        <w:rPr>
          <w:rStyle w:val="sfbbfee58"/>
          <w:lang w:val="en-GB"/>
        </w:rPr>
        <w:t>387 at</w:t>
      </w:r>
      <w:r>
        <w:rPr>
          <w:rStyle w:val="sfbbfee58"/>
          <w:lang w:val="en-GB"/>
        </w:rPr>
        <w:t xml:space="preserve"> p.</w:t>
      </w:r>
      <w:r w:rsidRPr="00F84B95">
        <w:rPr>
          <w:rStyle w:val="sfbbfee58"/>
          <w:lang w:val="en-GB"/>
        </w:rPr>
        <w:t xml:space="preserve"> 390</w:t>
      </w:r>
      <w:r>
        <w:rPr>
          <w:rStyle w:val="sfbbfee58"/>
          <w:lang w:val="en-GB"/>
        </w:rPr>
        <w:t>.</w:t>
      </w:r>
    </w:p>
  </w:footnote>
  <w:footnote w:id="82">
    <w:p w14:paraId="7159E777" w14:textId="77777777" w:rsidR="00B31A46" w:rsidRPr="00885ABE" w:rsidRDefault="00B31A46">
      <w:pPr>
        <w:pStyle w:val="Voetnoottekst"/>
        <w:rPr>
          <w:lang w:val="en-GB"/>
        </w:rPr>
      </w:pPr>
      <w:r>
        <w:rPr>
          <w:rStyle w:val="Voetnootmarkering"/>
        </w:rPr>
        <w:footnoteRef/>
      </w:r>
      <w:r w:rsidRPr="00885ABE">
        <w:rPr>
          <w:lang w:val="en-GB"/>
        </w:rPr>
        <w:t xml:space="preserve"> </w:t>
      </w:r>
      <w:r w:rsidRPr="00F84B95">
        <w:rPr>
          <w:rStyle w:val="sfbbfee58"/>
          <w:lang w:val="en-GB"/>
        </w:rPr>
        <w:t xml:space="preserve">Act of 31 March 1987 amending a number of provisions concerning affiliation, </w:t>
      </w:r>
      <w:proofErr w:type="spellStart"/>
      <w:r w:rsidRPr="00885ABE">
        <w:rPr>
          <w:rStyle w:val="sfbbfee58"/>
          <w:i/>
          <w:lang w:val="en-GB"/>
        </w:rPr>
        <w:t>Moniteur</w:t>
      </w:r>
      <w:proofErr w:type="spellEnd"/>
      <w:r w:rsidRPr="00885ABE">
        <w:rPr>
          <w:rStyle w:val="sfbbfee58"/>
          <w:i/>
          <w:lang w:val="en-GB"/>
        </w:rPr>
        <w:t xml:space="preserve"> </w:t>
      </w:r>
      <w:proofErr w:type="spellStart"/>
      <w:r w:rsidRPr="00885ABE">
        <w:rPr>
          <w:rStyle w:val="sfbbfee58"/>
          <w:i/>
          <w:lang w:val="en-GB"/>
        </w:rPr>
        <w:t>Belge</w:t>
      </w:r>
      <w:proofErr w:type="spellEnd"/>
      <w:r w:rsidRPr="00F84B95">
        <w:rPr>
          <w:rStyle w:val="sfbbfee58"/>
          <w:lang w:val="en-GB"/>
        </w:rPr>
        <w:t xml:space="preserve"> 27 May 1987</w:t>
      </w:r>
      <w:r>
        <w:rPr>
          <w:rStyle w:val="sfbbfee58"/>
          <w:lang w:val="en-GB"/>
        </w:rPr>
        <w:t xml:space="preserve">, implementing the </w:t>
      </w:r>
      <w:r>
        <w:rPr>
          <w:rStyle w:val="sfbbfee58"/>
          <w:i/>
          <w:lang w:val="en-GB"/>
        </w:rPr>
        <w:t xml:space="preserve">Marckx </w:t>
      </w:r>
      <w:r>
        <w:rPr>
          <w:rStyle w:val="sfbbfee58"/>
          <w:lang w:val="en-GB"/>
        </w:rPr>
        <w:t>judgment.</w:t>
      </w:r>
    </w:p>
  </w:footnote>
  <w:footnote w:id="83">
    <w:p w14:paraId="2111AC0E" w14:textId="77777777" w:rsidR="00B31A46" w:rsidRPr="00885ABE" w:rsidRDefault="00B31A46">
      <w:pPr>
        <w:pStyle w:val="Voetnoottekst"/>
        <w:rPr>
          <w:lang w:val="en-GB"/>
        </w:rPr>
      </w:pPr>
      <w:r>
        <w:rPr>
          <w:rStyle w:val="Voetnootmarkering"/>
        </w:rPr>
        <w:footnoteRef/>
      </w:r>
      <w:r w:rsidRPr="00885ABE">
        <w:rPr>
          <w:lang w:val="en-GB"/>
        </w:rPr>
        <w:t xml:space="preserve"> </w:t>
      </w:r>
      <w:r>
        <w:rPr>
          <w:rStyle w:val="sfbbfee58"/>
          <w:lang w:val="en-GB"/>
        </w:rPr>
        <w:t>Act</w:t>
      </w:r>
      <w:r w:rsidRPr="00F84B95">
        <w:rPr>
          <w:rStyle w:val="sfbbfee58"/>
          <w:lang w:val="en-GB"/>
        </w:rPr>
        <w:t xml:space="preserve"> of 13 March 1985 concerning the public conduct of disciplinary proceedings before the Appeals Boards of the Order of Physicians and the Order of Pharmacists, </w:t>
      </w:r>
      <w:proofErr w:type="spellStart"/>
      <w:r w:rsidRPr="00885ABE">
        <w:rPr>
          <w:rStyle w:val="sfbbfee58"/>
          <w:i/>
          <w:lang w:val="en-GB"/>
        </w:rPr>
        <w:t>Moniteur</w:t>
      </w:r>
      <w:proofErr w:type="spellEnd"/>
      <w:r w:rsidRPr="00885ABE">
        <w:rPr>
          <w:rStyle w:val="sfbbfee58"/>
          <w:i/>
          <w:lang w:val="en-GB"/>
        </w:rPr>
        <w:t xml:space="preserve"> </w:t>
      </w:r>
      <w:proofErr w:type="spellStart"/>
      <w:r w:rsidRPr="00885ABE">
        <w:rPr>
          <w:rStyle w:val="sfbbfee58"/>
          <w:i/>
          <w:lang w:val="en-GB"/>
        </w:rPr>
        <w:t>Belge</w:t>
      </w:r>
      <w:proofErr w:type="spellEnd"/>
      <w:r w:rsidRPr="00885ABE">
        <w:rPr>
          <w:rStyle w:val="sfbbfee58"/>
          <w:i/>
          <w:lang w:val="en-GB"/>
        </w:rPr>
        <w:t xml:space="preserve"> </w:t>
      </w:r>
      <w:r w:rsidRPr="00F84B95">
        <w:rPr>
          <w:rStyle w:val="sfbbfee58"/>
          <w:lang w:val="en-GB"/>
        </w:rPr>
        <w:t>29 March 1985</w:t>
      </w:r>
      <w:r>
        <w:rPr>
          <w:rStyle w:val="sfbbfee58"/>
          <w:lang w:val="en-GB"/>
        </w:rPr>
        <w:t xml:space="preserve">, implementing the </w:t>
      </w:r>
      <w:r>
        <w:rPr>
          <w:rStyle w:val="sfbbfee58"/>
          <w:i/>
          <w:lang w:val="en-GB"/>
        </w:rPr>
        <w:t xml:space="preserve">Le </w:t>
      </w:r>
      <w:proofErr w:type="spellStart"/>
      <w:r>
        <w:rPr>
          <w:rStyle w:val="sfbbfee58"/>
          <w:i/>
          <w:lang w:val="en-GB"/>
        </w:rPr>
        <w:t>Compte</w:t>
      </w:r>
      <w:proofErr w:type="spellEnd"/>
      <w:r>
        <w:rPr>
          <w:rStyle w:val="sfbbfee58"/>
          <w:i/>
          <w:lang w:val="en-GB"/>
        </w:rPr>
        <w:t xml:space="preserve">, Van Leuven and De Meyere </w:t>
      </w:r>
      <w:r>
        <w:rPr>
          <w:rStyle w:val="sfbbfee58"/>
          <w:lang w:val="en-GB"/>
        </w:rPr>
        <w:t xml:space="preserve">and </w:t>
      </w:r>
      <w:r>
        <w:rPr>
          <w:rStyle w:val="sfbbfee58"/>
          <w:i/>
          <w:lang w:val="en-GB"/>
        </w:rPr>
        <w:t xml:space="preserve">Albert and Le </w:t>
      </w:r>
      <w:proofErr w:type="spellStart"/>
      <w:r>
        <w:rPr>
          <w:rStyle w:val="sfbbfee58"/>
          <w:i/>
          <w:lang w:val="en-GB"/>
        </w:rPr>
        <w:t>Compte</w:t>
      </w:r>
      <w:proofErr w:type="spellEnd"/>
      <w:r>
        <w:rPr>
          <w:rStyle w:val="sfbbfee58"/>
          <w:i/>
          <w:lang w:val="en-GB"/>
        </w:rPr>
        <w:t xml:space="preserve"> </w:t>
      </w:r>
      <w:r>
        <w:rPr>
          <w:rStyle w:val="sfbbfee58"/>
          <w:lang w:val="en-GB"/>
        </w:rPr>
        <w:t>judgments</w:t>
      </w:r>
      <w:r w:rsidRPr="00F84B95">
        <w:rPr>
          <w:rStyle w:val="sfbbfee58"/>
          <w:lang w:val="en-GB"/>
        </w:rPr>
        <w:t xml:space="preserve">; </w:t>
      </w:r>
      <w:r>
        <w:rPr>
          <w:rStyle w:val="sfbbfee58"/>
          <w:lang w:val="en-GB"/>
        </w:rPr>
        <w:t xml:space="preserve">and the </w:t>
      </w:r>
      <w:r w:rsidRPr="00F84B95">
        <w:rPr>
          <w:rStyle w:val="sfbbfee58"/>
          <w:lang w:val="en-GB"/>
        </w:rPr>
        <w:t xml:space="preserve">Act of 19 November 1992 amending articles 432, 432, 459, 465, 471 and 476 of the Judicial Code and inserting an article </w:t>
      </w:r>
      <w:proofErr w:type="spellStart"/>
      <w:r w:rsidRPr="00F84B95">
        <w:rPr>
          <w:rStyle w:val="sfbbfee58"/>
          <w:lang w:val="en-GB"/>
        </w:rPr>
        <w:t>469bis</w:t>
      </w:r>
      <w:proofErr w:type="spellEnd"/>
      <w:r w:rsidRPr="00F84B95">
        <w:rPr>
          <w:rStyle w:val="sfbbfee58"/>
          <w:lang w:val="en-GB"/>
        </w:rPr>
        <w:t xml:space="preserve"> in the same Code, </w:t>
      </w:r>
      <w:proofErr w:type="spellStart"/>
      <w:r w:rsidRPr="00D8512B">
        <w:rPr>
          <w:rStyle w:val="sfbbfee58"/>
          <w:i/>
          <w:lang w:val="en-GB"/>
        </w:rPr>
        <w:t>Moniteur</w:t>
      </w:r>
      <w:proofErr w:type="spellEnd"/>
      <w:r w:rsidRPr="00D8512B">
        <w:rPr>
          <w:rStyle w:val="sfbbfee58"/>
          <w:i/>
          <w:lang w:val="en-GB"/>
        </w:rPr>
        <w:t xml:space="preserve"> </w:t>
      </w:r>
      <w:proofErr w:type="spellStart"/>
      <w:r w:rsidRPr="00D8512B">
        <w:rPr>
          <w:rStyle w:val="sfbbfee58"/>
          <w:i/>
          <w:lang w:val="en-GB"/>
        </w:rPr>
        <w:t>Belge</w:t>
      </w:r>
      <w:proofErr w:type="spellEnd"/>
      <w:r w:rsidRPr="00F84B95">
        <w:rPr>
          <w:rStyle w:val="sfbbfee58"/>
          <w:lang w:val="en-GB"/>
        </w:rPr>
        <w:t xml:space="preserve"> 18 December 1992</w:t>
      </w:r>
      <w:r>
        <w:rPr>
          <w:rStyle w:val="sfbbfee58"/>
          <w:lang w:val="en-GB"/>
        </w:rPr>
        <w:t>, implementing the</w:t>
      </w:r>
      <w:r w:rsidRPr="00D8512B">
        <w:rPr>
          <w:rStyle w:val="sfbbfee58"/>
          <w:lang w:val="en-GB"/>
        </w:rPr>
        <w:t xml:space="preserve"> </w:t>
      </w:r>
      <w:r w:rsidRPr="00D8512B">
        <w:rPr>
          <w:rStyle w:val="sfbbfee58"/>
          <w:i/>
          <w:lang w:val="en-GB"/>
        </w:rPr>
        <w:t>H.</w:t>
      </w:r>
      <w:r>
        <w:rPr>
          <w:rStyle w:val="sfbbfee58"/>
          <w:lang w:val="en-GB"/>
        </w:rPr>
        <w:t xml:space="preserve"> judgment.</w:t>
      </w:r>
    </w:p>
  </w:footnote>
  <w:footnote w:id="84">
    <w:p w14:paraId="3E025740" w14:textId="77777777" w:rsidR="00B31A46" w:rsidRPr="00D8512B" w:rsidRDefault="00B31A46">
      <w:pPr>
        <w:pStyle w:val="Voetnoottekst"/>
        <w:rPr>
          <w:lang w:val="en-GB"/>
        </w:rPr>
      </w:pPr>
      <w:r>
        <w:rPr>
          <w:rStyle w:val="Voetnootmarkering"/>
        </w:rPr>
        <w:footnoteRef/>
      </w:r>
      <w:r w:rsidRPr="00D8512B">
        <w:rPr>
          <w:lang w:val="en-GB"/>
        </w:rPr>
        <w:t xml:space="preserve"> </w:t>
      </w:r>
      <w:r w:rsidRPr="00F84B95">
        <w:rPr>
          <w:rStyle w:val="sfbbfee58"/>
          <w:lang w:val="en-GB"/>
        </w:rPr>
        <w:t>Act of 6 August 1971 amending the Act of 27 November 1891 for the suppression of vagrancy and begging,</w:t>
      </w:r>
      <w:r>
        <w:rPr>
          <w:rStyle w:val="sfbbfee58"/>
          <w:lang w:val="en-GB"/>
        </w:rPr>
        <w:t xml:space="preserve"> </w:t>
      </w:r>
      <w:proofErr w:type="spellStart"/>
      <w:r w:rsidRPr="00D8512B">
        <w:rPr>
          <w:rStyle w:val="sfbbfee58"/>
          <w:i/>
          <w:lang w:val="en-GB"/>
        </w:rPr>
        <w:t>Moniteur</w:t>
      </w:r>
      <w:proofErr w:type="spellEnd"/>
      <w:r w:rsidRPr="00D8512B">
        <w:rPr>
          <w:rStyle w:val="sfbbfee58"/>
          <w:i/>
          <w:lang w:val="en-GB"/>
        </w:rPr>
        <w:t xml:space="preserve"> </w:t>
      </w:r>
      <w:proofErr w:type="spellStart"/>
      <w:r w:rsidRPr="00D8512B">
        <w:rPr>
          <w:rStyle w:val="sfbbfee58"/>
          <w:i/>
          <w:lang w:val="en-GB"/>
        </w:rPr>
        <w:t>Belge</w:t>
      </w:r>
      <w:proofErr w:type="spellEnd"/>
      <w:r>
        <w:rPr>
          <w:rStyle w:val="sfbbfee58"/>
          <w:lang w:val="en-GB"/>
        </w:rPr>
        <w:t xml:space="preserve"> 25 August 1971, implementing the judgment in the </w:t>
      </w:r>
      <w:r>
        <w:rPr>
          <w:rStyle w:val="sfbbfee58"/>
          <w:i/>
          <w:lang w:val="en-GB"/>
        </w:rPr>
        <w:t>Vagrancy case</w:t>
      </w:r>
      <w:r>
        <w:rPr>
          <w:rStyle w:val="sfbbfee58"/>
          <w:lang w:val="en-GB"/>
        </w:rPr>
        <w:t>.</w:t>
      </w:r>
    </w:p>
  </w:footnote>
  <w:footnote w:id="85">
    <w:p w14:paraId="7AD9F4A2" w14:textId="77777777" w:rsidR="00B31A46" w:rsidRPr="00D8512B" w:rsidRDefault="00B31A46">
      <w:pPr>
        <w:pStyle w:val="Voetnoottekst"/>
        <w:rPr>
          <w:lang w:val="en-GB"/>
        </w:rPr>
      </w:pPr>
      <w:r>
        <w:rPr>
          <w:rStyle w:val="Voetnootmarkering"/>
        </w:rPr>
        <w:footnoteRef/>
      </w:r>
      <w:r w:rsidRPr="00D8512B">
        <w:rPr>
          <w:lang w:val="en-GB"/>
        </w:rPr>
        <w:t xml:space="preserve"> </w:t>
      </w:r>
      <w:r w:rsidRPr="00F84B95">
        <w:rPr>
          <w:rStyle w:val="sfbbfee58"/>
          <w:lang w:val="en-GB"/>
        </w:rPr>
        <w:t>Act of 17 July 1990 amending the Act of 1 July 1964 concerning the protection of society against mental defectives and habitual offender</w:t>
      </w:r>
      <w:r>
        <w:rPr>
          <w:rStyle w:val="sfbbfee58"/>
          <w:lang w:val="en-GB"/>
        </w:rPr>
        <w:t xml:space="preserve">s, </w:t>
      </w:r>
      <w:proofErr w:type="spellStart"/>
      <w:r w:rsidRPr="00D8512B">
        <w:rPr>
          <w:rStyle w:val="sfbbfee58"/>
          <w:i/>
          <w:lang w:val="en-GB"/>
        </w:rPr>
        <w:t>Moniteur</w:t>
      </w:r>
      <w:proofErr w:type="spellEnd"/>
      <w:r w:rsidRPr="00D8512B">
        <w:rPr>
          <w:rStyle w:val="sfbbfee58"/>
          <w:i/>
          <w:lang w:val="en-GB"/>
        </w:rPr>
        <w:t xml:space="preserve"> </w:t>
      </w:r>
      <w:proofErr w:type="spellStart"/>
      <w:r w:rsidRPr="00D8512B">
        <w:rPr>
          <w:rStyle w:val="sfbbfee58"/>
          <w:i/>
          <w:lang w:val="en-GB"/>
        </w:rPr>
        <w:t>Belge</w:t>
      </w:r>
      <w:proofErr w:type="spellEnd"/>
      <w:r>
        <w:rPr>
          <w:rStyle w:val="sfbbfee58"/>
          <w:lang w:val="en-GB"/>
        </w:rPr>
        <w:t xml:space="preserve"> 9 August 1990, implementing the </w:t>
      </w:r>
      <w:r>
        <w:rPr>
          <w:rStyle w:val="sfbbfee58"/>
          <w:i/>
          <w:lang w:val="en-GB"/>
        </w:rPr>
        <w:t xml:space="preserve">Van </w:t>
      </w:r>
      <w:proofErr w:type="spellStart"/>
      <w:r>
        <w:rPr>
          <w:rStyle w:val="sfbbfee58"/>
          <w:i/>
          <w:lang w:val="en-GB"/>
        </w:rPr>
        <w:t>Droogenbroeck</w:t>
      </w:r>
      <w:proofErr w:type="spellEnd"/>
      <w:r>
        <w:rPr>
          <w:rStyle w:val="sfbbfee58"/>
          <w:i/>
          <w:lang w:val="en-GB"/>
        </w:rPr>
        <w:t xml:space="preserve"> </w:t>
      </w:r>
      <w:r>
        <w:rPr>
          <w:rStyle w:val="sfbbfee58"/>
          <w:lang w:val="en-GB"/>
        </w:rPr>
        <w:t>judgment.</w:t>
      </w:r>
    </w:p>
  </w:footnote>
  <w:footnote w:id="86">
    <w:p w14:paraId="168AE882" w14:textId="77777777" w:rsidR="00B31A46" w:rsidRPr="00D8512B" w:rsidRDefault="00B31A46">
      <w:pPr>
        <w:pStyle w:val="Voetnoottekst"/>
        <w:rPr>
          <w:lang w:val="en-GB"/>
        </w:rPr>
      </w:pPr>
      <w:r>
        <w:rPr>
          <w:rStyle w:val="Voetnootmarkering"/>
        </w:rPr>
        <w:footnoteRef/>
      </w:r>
      <w:r w:rsidRPr="00D8512B">
        <w:rPr>
          <w:lang w:val="en-GB"/>
        </w:rPr>
        <w:t xml:space="preserve"> </w:t>
      </w:r>
      <w:r w:rsidRPr="00F84B95">
        <w:rPr>
          <w:rStyle w:val="sfbbfee58"/>
          <w:lang w:val="en-GB"/>
        </w:rPr>
        <w:t xml:space="preserve">Act of 2 February 1994 amending the Act of 8 April 1965 concerning children’s and young persons’ welfare, </w:t>
      </w:r>
      <w:proofErr w:type="spellStart"/>
      <w:r w:rsidRPr="00D8512B">
        <w:rPr>
          <w:rStyle w:val="sfbbfee58"/>
          <w:i/>
          <w:lang w:val="en-GB"/>
        </w:rPr>
        <w:t>Moniteur</w:t>
      </w:r>
      <w:proofErr w:type="spellEnd"/>
      <w:r w:rsidRPr="00D8512B">
        <w:rPr>
          <w:rStyle w:val="sfbbfee58"/>
          <w:i/>
          <w:lang w:val="en-GB"/>
        </w:rPr>
        <w:t xml:space="preserve"> </w:t>
      </w:r>
      <w:proofErr w:type="spellStart"/>
      <w:r w:rsidRPr="00D8512B">
        <w:rPr>
          <w:rStyle w:val="sfbbfee58"/>
          <w:i/>
          <w:lang w:val="en-GB"/>
        </w:rPr>
        <w:t>Belge</w:t>
      </w:r>
      <w:proofErr w:type="spellEnd"/>
      <w:r w:rsidRPr="00F84B95">
        <w:rPr>
          <w:rStyle w:val="sfbbfee58"/>
          <w:lang w:val="en-GB"/>
        </w:rPr>
        <w:t xml:space="preserve"> 17 September 1994</w:t>
      </w:r>
      <w:r>
        <w:rPr>
          <w:rStyle w:val="sfbbfee58"/>
          <w:lang w:val="en-GB"/>
        </w:rPr>
        <w:t xml:space="preserve">, implementing the </w:t>
      </w:r>
      <w:proofErr w:type="spellStart"/>
      <w:r>
        <w:rPr>
          <w:rStyle w:val="sfbbfee58"/>
          <w:i/>
          <w:lang w:val="en-GB"/>
        </w:rPr>
        <w:t>Bouamar</w:t>
      </w:r>
      <w:proofErr w:type="spellEnd"/>
      <w:r>
        <w:rPr>
          <w:rStyle w:val="sfbbfee58"/>
          <w:i/>
          <w:lang w:val="en-GB"/>
        </w:rPr>
        <w:t xml:space="preserve"> </w:t>
      </w:r>
      <w:r>
        <w:rPr>
          <w:rStyle w:val="sfbbfee58"/>
          <w:lang w:val="en-GB"/>
        </w:rPr>
        <w:t>judgment.</w:t>
      </w:r>
    </w:p>
  </w:footnote>
  <w:footnote w:id="87">
    <w:p w14:paraId="6A068E3A" w14:textId="77777777" w:rsidR="00B31A46" w:rsidRPr="00D8512B" w:rsidRDefault="00B31A46">
      <w:pPr>
        <w:pStyle w:val="Voetnoottekst"/>
        <w:rPr>
          <w:lang w:val="en-GB"/>
        </w:rPr>
      </w:pPr>
      <w:r>
        <w:rPr>
          <w:rStyle w:val="Voetnootmarkering"/>
        </w:rPr>
        <w:footnoteRef/>
      </w:r>
      <w:r w:rsidRPr="00D8512B">
        <w:rPr>
          <w:lang w:val="en-GB"/>
        </w:rPr>
        <w:t xml:space="preserve"> </w:t>
      </w:r>
      <w:r w:rsidRPr="00F84B95">
        <w:rPr>
          <w:rStyle w:val="sfbbfee58"/>
          <w:lang w:val="en-GB"/>
        </w:rPr>
        <w:t xml:space="preserve">Act of 20 July 1990 concerning detention on remand, </w:t>
      </w:r>
      <w:proofErr w:type="spellStart"/>
      <w:r w:rsidRPr="00D8512B">
        <w:rPr>
          <w:rStyle w:val="sfbbfee58"/>
          <w:i/>
          <w:lang w:val="en-GB"/>
        </w:rPr>
        <w:t>Moniteur</w:t>
      </w:r>
      <w:proofErr w:type="spellEnd"/>
      <w:r w:rsidRPr="00D8512B">
        <w:rPr>
          <w:rStyle w:val="sfbbfee58"/>
          <w:i/>
          <w:lang w:val="en-GB"/>
        </w:rPr>
        <w:t xml:space="preserve"> </w:t>
      </w:r>
      <w:proofErr w:type="spellStart"/>
      <w:r w:rsidRPr="00D8512B">
        <w:rPr>
          <w:rStyle w:val="sfbbfee58"/>
          <w:i/>
          <w:lang w:val="en-GB"/>
        </w:rPr>
        <w:t>Belge</w:t>
      </w:r>
      <w:proofErr w:type="spellEnd"/>
      <w:r w:rsidRPr="00F84B95">
        <w:rPr>
          <w:rStyle w:val="sfbbfee58"/>
          <w:lang w:val="en-GB"/>
        </w:rPr>
        <w:t xml:space="preserve"> 20 July 1990</w:t>
      </w:r>
      <w:r>
        <w:rPr>
          <w:rStyle w:val="sfbbfee58"/>
          <w:lang w:val="en-GB"/>
        </w:rPr>
        <w:t xml:space="preserve">, implementing the </w:t>
      </w:r>
      <w:proofErr w:type="spellStart"/>
      <w:r>
        <w:rPr>
          <w:rStyle w:val="sfbbfee58"/>
          <w:i/>
          <w:lang w:val="en-GB"/>
        </w:rPr>
        <w:t>Lamy</w:t>
      </w:r>
      <w:proofErr w:type="spellEnd"/>
      <w:r>
        <w:rPr>
          <w:rStyle w:val="sfbbfee58"/>
          <w:i/>
          <w:lang w:val="en-GB"/>
        </w:rPr>
        <w:t xml:space="preserve"> </w:t>
      </w:r>
      <w:r>
        <w:rPr>
          <w:rStyle w:val="sfbbfee58"/>
          <w:lang w:val="en-GB"/>
        </w:rPr>
        <w:t>judgment.</w:t>
      </w:r>
    </w:p>
  </w:footnote>
  <w:footnote w:id="88">
    <w:p w14:paraId="188B4075" w14:textId="77777777" w:rsidR="00B31A46" w:rsidRPr="00D8512B" w:rsidRDefault="00B31A46">
      <w:pPr>
        <w:pStyle w:val="Voetnoottekst"/>
        <w:rPr>
          <w:lang w:val="en-GB"/>
        </w:rPr>
      </w:pPr>
      <w:r>
        <w:rPr>
          <w:rStyle w:val="Voetnootmarkering"/>
        </w:rPr>
        <w:footnoteRef/>
      </w:r>
      <w:r w:rsidRPr="00D8512B">
        <w:rPr>
          <w:lang w:val="en-GB"/>
        </w:rPr>
        <w:t xml:space="preserve"> </w:t>
      </w:r>
      <w:r w:rsidRPr="00F84B95">
        <w:rPr>
          <w:rStyle w:val="sfbbfee58"/>
          <w:lang w:val="en-GB"/>
        </w:rPr>
        <w:t>Act of 6 July 1983 amending the Act of 22 January 1945 concerning the economic regulation and price</w:t>
      </w:r>
      <w:r>
        <w:rPr>
          <w:rStyle w:val="sfbbfee58"/>
          <w:lang w:val="en-GB"/>
        </w:rPr>
        <w:t xml:space="preserve">s, </w:t>
      </w:r>
      <w:proofErr w:type="spellStart"/>
      <w:r w:rsidRPr="00D8512B">
        <w:rPr>
          <w:rStyle w:val="sfbbfee58"/>
          <w:i/>
          <w:lang w:val="en-GB"/>
        </w:rPr>
        <w:t>Moniteur</w:t>
      </w:r>
      <w:proofErr w:type="spellEnd"/>
      <w:r w:rsidRPr="00D8512B">
        <w:rPr>
          <w:rStyle w:val="sfbbfee58"/>
          <w:i/>
          <w:lang w:val="en-GB"/>
        </w:rPr>
        <w:t xml:space="preserve"> </w:t>
      </w:r>
      <w:proofErr w:type="spellStart"/>
      <w:r w:rsidRPr="00D8512B">
        <w:rPr>
          <w:rStyle w:val="sfbbfee58"/>
          <w:i/>
          <w:lang w:val="en-GB"/>
        </w:rPr>
        <w:t>Belge</w:t>
      </w:r>
      <w:proofErr w:type="spellEnd"/>
      <w:r>
        <w:rPr>
          <w:rStyle w:val="sfbbfee58"/>
          <w:lang w:val="en-GB"/>
        </w:rPr>
        <w:t xml:space="preserve"> 27 July 1983, implementing the </w:t>
      </w:r>
      <w:proofErr w:type="spellStart"/>
      <w:r>
        <w:rPr>
          <w:rStyle w:val="sfbbfee58"/>
          <w:i/>
          <w:lang w:val="en-GB"/>
        </w:rPr>
        <w:t>Deweer</w:t>
      </w:r>
      <w:proofErr w:type="spellEnd"/>
      <w:r>
        <w:rPr>
          <w:rStyle w:val="sfbbfee58"/>
          <w:i/>
          <w:lang w:val="en-GB"/>
        </w:rPr>
        <w:t xml:space="preserve"> </w:t>
      </w:r>
      <w:r>
        <w:rPr>
          <w:rStyle w:val="sfbbfee58"/>
          <w:lang w:val="en-GB"/>
        </w:rPr>
        <w:t>judgment.</w:t>
      </w:r>
    </w:p>
  </w:footnote>
  <w:footnote w:id="89">
    <w:p w14:paraId="313485DF" w14:textId="3308F75E" w:rsidR="00B31A46" w:rsidRPr="00D8512B" w:rsidRDefault="00B31A46">
      <w:pPr>
        <w:pStyle w:val="Voetnoottekst"/>
        <w:rPr>
          <w:lang w:val="en-GB"/>
        </w:rPr>
      </w:pPr>
      <w:r>
        <w:rPr>
          <w:rStyle w:val="Voetnootmarkering"/>
        </w:rPr>
        <w:footnoteRef/>
      </w:r>
      <w:r w:rsidRPr="00D8512B">
        <w:rPr>
          <w:lang w:val="en-GB"/>
        </w:rPr>
        <w:t xml:space="preserve"> </w:t>
      </w:r>
      <w:proofErr w:type="gramStart"/>
      <w:r w:rsidRPr="00F84B95">
        <w:rPr>
          <w:rStyle w:val="sfbbfee58"/>
          <w:lang w:val="en-GB"/>
        </w:rPr>
        <w:t xml:space="preserve">Court of Cassation, 18 May 1983, </w:t>
      </w:r>
      <w:r>
        <w:rPr>
          <w:rStyle w:val="sfbbfee58"/>
          <w:i/>
          <w:lang w:val="en-GB"/>
        </w:rPr>
        <w:t>Pas.</w:t>
      </w:r>
      <w:proofErr w:type="gramEnd"/>
      <w:r>
        <w:rPr>
          <w:rStyle w:val="sfbbfee58"/>
          <w:lang w:val="en-GB"/>
        </w:rPr>
        <w:t xml:space="preserve"> 1983, I, p. 1046, implementing the </w:t>
      </w:r>
      <w:proofErr w:type="spellStart"/>
      <w:r>
        <w:rPr>
          <w:rStyle w:val="sfbbfee58"/>
          <w:i/>
          <w:lang w:val="en-GB"/>
        </w:rPr>
        <w:t>Piersack</w:t>
      </w:r>
      <w:proofErr w:type="spellEnd"/>
      <w:r>
        <w:rPr>
          <w:rStyle w:val="sfbbfee58"/>
          <w:i/>
          <w:lang w:val="en-GB"/>
        </w:rPr>
        <w:t xml:space="preserve"> </w:t>
      </w:r>
      <w:r>
        <w:rPr>
          <w:rStyle w:val="sfbbfee58"/>
          <w:lang w:val="en-GB"/>
        </w:rPr>
        <w:t>judgment;</w:t>
      </w:r>
      <w:r w:rsidRPr="00F84B95">
        <w:rPr>
          <w:rStyle w:val="sfbbfee58"/>
          <w:lang w:val="en-GB"/>
        </w:rPr>
        <w:t xml:space="preserve"> and Court of Cassation, 23 January 1985, </w:t>
      </w:r>
      <w:proofErr w:type="spellStart"/>
      <w:proofErr w:type="gramStart"/>
      <w:r w:rsidRPr="00F84B95">
        <w:rPr>
          <w:rStyle w:val="sfbbfee58"/>
          <w:i/>
          <w:lang w:val="en-GB"/>
        </w:rPr>
        <w:t>Rev.dr.pén.crim</w:t>
      </w:r>
      <w:proofErr w:type="spellEnd"/>
      <w:r w:rsidRPr="00F84B95">
        <w:rPr>
          <w:rStyle w:val="sfbbfee58"/>
          <w:i/>
          <w:lang w:val="en-GB"/>
        </w:rPr>
        <w:t>.</w:t>
      </w:r>
      <w:r w:rsidRPr="00F84B95">
        <w:rPr>
          <w:rStyle w:val="sfbbfee58"/>
          <w:lang w:val="en-GB"/>
        </w:rPr>
        <w:t>,</w:t>
      </w:r>
      <w:proofErr w:type="gramEnd"/>
      <w:r w:rsidRPr="00F84B95">
        <w:rPr>
          <w:rStyle w:val="sfbbfee58"/>
          <w:lang w:val="en-GB"/>
        </w:rPr>
        <w:t xml:space="preserve"> 1985, p. 798</w:t>
      </w:r>
      <w:r>
        <w:rPr>
          <w:rStyle w:val="sfbbfee58"/>
          <w:lang w:val="en-GB"/>
        </w:rPr>
        <w:t xml:space="preserve">, implementing the </w:t>
      </w:r>
      <w:r>
        <w:rPr>
          <w:rStyle w:val="sfbbfee58"/>
          <w:i/>
          <w:lang w:val="en-GB"/>
        </w:rPr>
        <w:t xml:space="preserve">De </w:t>
      </w:r>
      <w:proofErr w:type="spellStart"/>
      <w:r>
        <w:rPr>
          <w:rStyle w:val="sfbbfee58"/>
          <w:i/>
          <w:lang w:val="en-GB"/>
        </w:rPr>
        <w:t>Cubber</w:t>
      </w:r>
      <w:proofErr w:type="spellEnd"/>
      <w:r>
        <w:rPr>
          <w:rStyle w:val="sfbbfee58"/>
          <w:i/>
          <w:lang w:val="en-GB"/>
        </w:rPr>
        <w:t xml:space="preserve"> </w:t>
      </w:r>
      <w:r>
        <w:rPr>
          <w:rStyle w:val="sfbbfee58"/>
          <w:lang w:val="en-GB"/>
        </w:rPr>
        <w:t xml:space="preserve">judgment. See F. </w:t>
      </w:r>
      <w:proofErr w:type="spellStart"/>
      <w:r>
        <w:rPr>
          <w:rStyle w:val="sfbbfee58"/>
          <w:lang w:val="en-GB"/>
        </w:rPr>
        <w:t>Tulkens</w:t>
      </w:r>
      <w:proofErr w:type="spellEnd"/>
      <w:r>
        <w:rPr>
          <w:rStyle w:val="sfbbfee58"/>
          <w:lang w:val="en-GB"/>
        </w:rPr>
        <w:t xml:space="preserve">, </w:t>
      </w:r>
      <w:r w:rsidRPr="006214D1">
        <w:rPr>
          <w:rStyle w:val="sfbbfee58"/>
          <w:i/>
          <w:lang w:val="en-GB"/>
        </w:rPr>
        <w:t>Belgium</w:t>
      </w:r>
      <w:r w:rsidRPr="00F84B95">
        <w:rPr>
          <w:rStyle w:val="sfbbfee58"/>
          <w:lang w:val="en-GB"/>
        </w:rPr>
        <w:t xml:space="preserve"> in</w:t>
      </w:r>
      <w:r>
        <w:rPr>
          <w:rStyle w:val="sfbbfee58"/>
          <w:lang w:val="en-GB"/>
        </w:rPr>
        <w:t>:</w:t>
      </w:r>
      <w:r w:rsidRPr="00F84B95">
        <w:rPr>
          <w:rStyle w:val="sfbbfee58"/>
          <w:lang w:val="en-GB"/>
        </w:rPr>
        <w:t xml:space="preserve"> M. </w:t>
      </w:r>
      <w:proofErr w:type="spellStart"/>
      <w:r w:rsidRPr="00F84B95">
        <w:rPr>
          <w:rStyle w:val="sfbbfee58"/>
          <w:lang w:val="en-GB"/>
        </w:rPr>
        <w:t>Delmas</w:t>
      </w:r>
      <w:proofErr w:type="spellEnd"/>
      <w:r w:rsidRPr="00F84B95">
        <w:rPr>
          <w:rStyle w:val="sfbbfee58"/>
          <w:lang w:val="en-GB"/>
        </w:rPr>
        <w:t xml:space="preserve">-Marty and C. </w:t>
      </w:r>
      <w:proofErr w:type="spellStart"/>
      <w:r w:rsidRPr="00F84B95">
        <w:rPr>
          <w:rStyle w:val="sfbbfee58"/>
          <w:lang w:val="en-GB"/>
        </w:rPr>
        <w:t>Chodkiewicz</w:t>
      </w:r>
      <w:proofErr w:type="spellEnd"/>
      <w:r w:rsidRPr="00F84B95">
        <w:rPr>
          <w:rStyle w:val="sfbbfee58"/>
          <w:lang w:val="en-GB"/>
        </w:rPr>
        <w:t xml:space="preserve">, </w:t>
      </w:r>
      <w:proofErr w:type="gramStart"/>
      <w:r w:rsidRPr="006214D1">
        <w:rPr>
          <w:rStyle w:val="sfbbfee58"/>
          <w:lang w:val="en-GB"/>
        </w:rPr>
        <w:t>The</w:t>
      </w:r>
      <w:proofErr w:type="gramEnd"/>
      <w:r w:rsidRPr="006214D1">
        <w:rPr>
          <w:rStyle w:val="sfbbfee58"/>
          <w:lang w:val="en-GB"/>
        </w:rPr>
        <w:t xml:space="preserve"> European Convention for the Protection of Human Rights: International Protection Versus National Restrictions</w:t>
      </w:r>
      <w:r w:rsidRPr="00F84B95">
        <w:rPr>
          <w:rStyle w:val="sfbbfee58"/>
          <w:lang w:val="en-GB"/>
        </w:rPr>
        <w:t>,</w:t>
      </w:r>
      <w:r w:rsidRPr="006214D1">
        <w:rPr>
          <w:rStyle w:val="sfbbfee58"/>
          <w:lang w:val="en-GB"/>
        </w:rPr>
        <w:t xml:space="preserve"> Dordrecht, 1992</w:t>
      </w:r>
      <w:r w:rsidRPr="00F84B95">
        <w:rPr>
          <w:rStyle w:val="sfbbfee58"/>
          <w:lang w:val="en-GB"/>
        </w:rPr>
        <w:t xml:space="preserve"> </w:t>
      </w:r>
      <w:r>
        <w:rPr>
          <w:rStyle w:val="sfbbfee58"/>
          <w:lang w:val="en-GB"/>
        </w:rPr>
        <w:t xml:space="preserve">p. </w:t>
      </w:r>
      <w:r w:rsidRPr="00F84B95">
        <w:rPr>
          <w:rStyle w:val="sfbbfee58"/>
          <w:lang w:val="en-GB"/>
        </w:rPr>
        <w:t xml:space="preserve">105 at </w:t>
      </w:r>
      <w:r>
        <w:rPr>
          <w:rStyle w:val="sfbbfee58"/>
          <w:lang w:val="en-GB"/>
        </w:rPr>
        <w:t xml:space="preserve">p. </w:t>
      </w:r>
      <w:r w:rsidRPr="00F84B95">
        <w:rPr>
          <w:rStyle w:val="sfbbfee58"/>
          <w:lang w:val="en-GB"/>
        </w:rPr>
        <w:t>107</w:t>
      </w:r>
      <w:r>
        <w:rPr>
          <w:rStyle w:val="sfbbfee58"/>
          <w:lang w:val="en-GB"/>
        </w:rPr>
        <w:t>.</w:t>
      </w:r>
    </w:p>
  </w:footnote>
  <w:footnote w:id="90">
    <w:p w14:paraId="47008CC9" w14:textId="77777777" w:rsidR="00B31A46" w:rsidRPr="00D8512B" w:rsidRDefault="00B31A46">
      <w:pPr>
        <w:pStyle w:val="Voetnoottekst"/>
        <w:rPr>
          <w:lang w:val="en-GB"/>
        </w:rPr>
      </w:pPr>
      <w:r>
        <w:rPr>
          <w:rStyle w:val="Voetnootmarkering"/>
        </w:rPr>
        <w:footnoteRef/>
      </w:r>
      <w:r w:rsidRPr="00D8512B">
        <w:rPr>
          <w:lang w:val="en-GB"/>
        </w:rPr>
        <w:t xml:space="preserve"> </w:t>
      </w:r>
      <w:r>
        <w:rPr>
          <w:lang w:val="en-GB"/>
        </w:rPr>
        <w:t>I</w:t>
      </w:r>
      <w:r w:rsidRPr="00F84B95">
        <w:rPr>
          <w:rStyle w:val="sfbbfee58"/>
          <w:lang w:val="en-GB"/>
        </w:rPr>
        <w:t xml:space="preserve">nternal circulars adopted on 29 March 1983, 11 March 1985 and 28 October 1991, </w:t>
      </w:r>
      <w:r>
        <w:rPr>
          <w:rStyle w:val="sfbbfee58"/>
          <w:lang w:val="en-GB"/>
        </w:rPr>
        <w:t xml:space="preserve">implementing the </w:t>
      </w:r>
      <w:proofErr w:type="spellStart"/>
      <w:r>
        <w:rPr>
          <w:rStyle w:val="sfbbfee58"/>
          <w:i/>
          <w:lang w:val="en-GB"/>
        </w:rPr>
        <w:t>Pauwels</w:t>
      </w:r>
      <w:proofErr w:type="spellEnd"/>
      <w:r>
        <w:rPr>
          <w:rStyle w:val="sfbbfee58"/>
          <w:i/>
          <w:lang w:val="en-GB"/>
        </w:rPr>
        <w:t xml:space="preserve"> </w:t>
      </w:r>
      <w:r>
        <w:rPr>
          <w:rStyle w:val="sfbbfee58"/>
          <w:lang w:val="en-GB"/>
        </w:rPr>
        <w:t xml:space="preserve">judgment, </w:t>
      </w:r>
      <w:r w:rsidRPr="00F84B95">
        <w:rPr>
          <w:rStyle w:val="sfbbfee58"/>
          <w:lang w:val="en-GB"/>
        </w:rPr>
        <w:t xml:space="preserve">while awaiting legislative reform by way of the Act of 10 April 2003 concerning the procedure before the military jurisdictions and amending the several legal provisions on the occasion of the abolition of military jurisdictions in times of peace, </w:t>
      </w:r>
      <w:proofErr w:type="spellStart"/>
      <w:r w:rsidRPr="00F84B95">
        <w:rPr>
          <w:rStyle w:val="sfbbfee58"/>
          <w:i/>
          <w:lang w:val="en-GB"/>
        </w:rPr>
        <w:t>Moniteur</w:t>
      </w:r>
      <w:proofErr w:type="spellEnd"/>
      <w:r w:rsidRPr="00F84B95">
        <w:rPr>
          <w:rStyle w:val="sfbbfee58"/>
          <w:i/>
          <w:lang w:val="en-GB"/>
        </w:rPr>
        <w:t xml:space="preserve"> </w:t>
      </w:r>
      <w:proofErr w:type="spellStart"/>
      <w:r w:rsidRPr="00F84B95">
        <w:rPr>
          <w:rStyle w:val="sfbbfee58"/>
          <w:i/>
          <w:lang w:val="en-GB"/>
        </w:rPr>
        <w:t>Belge</w:t>
      </w:r>
      <w:proofErr w:type="spellEnd"/>
      <w:r w:rsidRPr="00F84B95">
        <w:rPr>
          <w:rStyle w:val="sfbbfee58"/>
          <w:i/>
          <w:lang w:val="en-GB"/>
        </w:rPr>
        <w:t xml:space="preserve"> </w:t>
      </w:r>
      <w:r>
        <w:rPr>
          <w:rStyle w:val="sfbbfee58"/>
          <w:lang w:val="en-GB"/>
        </w:rPr>
        <w:t>7 May 2003.</w:t>
      </w:r>
    </w:p>
  </w:footnote>
  <w:footnote w:id="91">
    <w:p w14:paraId="7B25CD83" w14:textId="7F89385A" w:rsidR="00B31A46" w:rsidRPr="002A5D2F" w:rsidRDefault="00B31A46">
      <w:pPr>
        <w:pStyle w:val="Voetnoottekst"/>
        <w:rPr>
          <w:lang w:val="fr-BE"/>
        </w:rPr>
      </w:pPr>
      <w:r>
        <w:rPr>
          <w:rStyle w:val="Voetnootmarkering"/>
        </w:rPr>
        <w:footnoteRef/>
      </w:r>
      <w:r w:rsidRPr="002A5D2F">
        <w:rPr>
          <w:lang w:val="fr-BE"/>
        </w:rPr>
        <w:t xml:space="preserve"> P. Lambert, </w:t>
      </w:r>
      <w:r w:rsidRPr="002A5D2F">
        <w:rPr>
          <w:i/>
          <w:lang w:val="fr-BE"/>
        </w:rPr>
        <w:t>La Convention européenne des droits de l’homme dans la jurisprudence belge</w:t>
      </w:r>
      <w:r>
        <w:rPr>
          <w:lang w:val="fr-BE"/>
        </w:rPr>
        <w:t>, Brussels, 1987, p. 9.</w:t>
      </w:r>
    </w:p>
  </w:footnote>
  <w:footnote w:id="92">
    <w:p w14:paraId="744A1A44" w14:textId="411A0484" w:rsidR="00B31A46" w:rsidRPr="001134E8" w:rsidRDefault="00B31A46">
      <w:pPr>
        <w:pStyle w:val="Voetnoottekst"/>
        <w:rPr>
          <w:lang w:val="fr-BE"/>
        </w:rPr>
      </w:pPr>
      <w:r>
        <w:rPr>
          <w:rStyle w:val="Voetnootmarkering"/>
        </w:rPr>
        <w:footnoteRef/>
      </w:r>
      <w:r w:rsidRPr="001134E8">
        <w:rPr>
          <w:lang w:val="fr-BE"/>
        </w:rPr>
        <w:t xml:space="preserve"> </w:t>
      </w:r>
      <w:proofErr w:type="spellStart"/>
      <w:r w:rsidRPr="001134E8">
        <w:rPr>
          <w:lang w:val="fr-BE"/>
        </w:rPr>
        <w:t>Quote</w:t>
      </w:r>
      <w:proofErr w:type="spellEnd"/>
      <w:r w:rsidRPr="001134E8">
        <w:rPr>
          <w:lang w:val="fr-BE"/>
        </w:rPr>
        <w:t xml:space="preserve"> </w:t>
      </w:r>
      <w:proofErr w:type="spellStart"/>
      <w:r w:rsidRPr="001134E8">
        <w:rPr>
          <w:lang w:val="fr-BE"/>
        </w:rPr>
        <w:t>from</w:t>
      </w:r>
      <w:proofErr w:type="spellEnd"/>
      <w:r w:rsidRPr="001134E8">
        <w:rPr>
          <w:lang w:val="fr-BE"/>
        </w:rPr>
        <w:t xml:space="preserve"> the report by P. Lambert of the </w:t>
      </w:r>
      <w:proofErr w:type="spellStart"/>
      <w:r w:rsidRPr="001134E8">
        <w:rPr>
          <w:lang w:val="fr-BE"/>
        </w:rPr>
        <w:t>seminar</w:t>
      </w:r>
      <w:proofErr w:type="spellEnd"/>
      <w:r w:rsidRPr="001134E8">
        <w:rPr>
          <w:lang w:val="fr-BE"/>
        </w:rPr>
        <w:t xml:space="preserve"> “Introduire un recours à Strasbourg” on 17 </w:t>
      </w:r>
      <w:proofErr w:type="spellStart"/>
      <w:r w:rsidRPr="001134E8">
        <w:rPr>
          <w:lang w:val="fr-BE"/>
        </w:rPr>
        <w:t>January</w:t>
      </w:r>
      <w:proofErr w:type="spellEnd"/>
      <w:r w:rsidRPr="001134E8">
        <w:rPr>
          <w:lang w:val="fr-BE"/>
        </w:rPr>
        <w:t xml:space="preserve"> 1985, </w:t>
      </w:r>
      <w:r w:rsidRPr="006214D1">
        <w:rPr>
          <w:lang w:val="fr-BE"/>
        </w:rPr>
        <w:t>Journal des Tribunaux, 104 (1985),</w:t>
      </w:r>
      <w:r>
        <w:rPr>
          <w:lang w:val="fr-BE"/>
        </w:rPr>
        <w:t xml:space="preserve"> p. 290.</w:t>
      </w:r>
    </w:p>
  </w:footnote>
  <w:footnote w:id="93">
    <w:p w14:paraId="59DE9052" w14:textId="3C845B63" w:rsidR="00B31A46" w:rsidRPr="00DE2F44" w:rsidRDefault="00B31A46" w:rsidP="00DE2F44">
      <w:pPr>
        <w:pStyle w:val="Voetnoottekst"/>
        <w:rPr>
          <w:lang w:val="en-GB"/>
        </w:rPr>
      </w:pPr>
      <w:r>
        <w:rPr>
          <w:rStyle w:val="Voetnootmarkering"/>
        </w:rPr>
        <w:footnoteRef/>
      </w:r>
      <w:r>
        <w:rPr>
          <w:lang w:val="en-GB"/>
        </w:rPr>
        <w:t xml:space="preserve"> S. Vandenbogaerde, </w:t>
      </w:r>
      <w:r w:rsidRPr="006214D1">
        <w:rPr>
          <w:i/>
          <w:lang w:val="en-GB"/>
        </w:rPr>
        <w:t>They Entered without any Rumour. Human Rights in the Belgian Legal Periodicals</w:t>
      </w:r>
      <w:r w:rsidRPr="00F84B95">
        <w:rPr>
          <w:lang w:val="en-GB"/>
        </w:rPr>
        <w:t xml:space="preserve">, </w:t>
      </w:r>
      <w:proofErr w:type="spellStart"/>
      <w:r w:rsidRPr="006214D1">
        <w:rPr>
          <w:lang w:val="en-GB"/>
        </w:rPr>
        <w:t>Goettingen</w:t>
      </w:r>
      <w:proofErr w:type="spellEnd"/>
      <w:r w:rsidRPr="006214D1">
        <w:rPr>
          <w:lang w:val="en-GB"/>
        </w:rPr>
        <w:t xml:space="preserve"> Journal of International Law</w:t>
      </w:r>
      <w:r>
        <w:rPr>
          <w:lang w:val="en-GB"/>
        </w:rPr>
        <w:t>, 4</w:t>
      </w:r>
      <w:r w:rsidRPr="006214D1">
        <w:rPr>
          <w:lang w:val="en-GB"/>
        </w:rPr>
        <w:t xml:space="preserve"> </w:t>
      </w:r>
      <w:r>
        <w:rPr>
          <w:lang w:val="en-GB"/>
        </w:rPr>
        <w:t>(</w:t>
      </w:r>
      <w:r w:rsidRPr="006214D1">
        <w:rPr>
          <w:lang w:val="en-GB"/>
        </w:rPr>
        <w:t>2012</w:t>
      </w:r>
      <w:r>
        <w:rPr>
          <w:lang w:val="en-GB"/>
        </w:rPr>
        <w:t>)</w:t>
      </w:r>
      <w:r w:rsidRPr="00F84B95">
        <w:rPr>
          <w:lang w:val="en-GB"/>
        </w:rPr>
        <w:t xml:space="preserve">, </w:t>
      </w:r>
      <w:r>
        <w:rPr>
          <w:lang w:val="en-GB"/>
        </w:rPr>
        <w:t xml:space="preserve">p. </w:t>
      </w:r>
      <w:r w:rsidRPr="00F84B95">
        <w:rPr>
          <w:lang w:val="en-GB"/>
        </w:rPr>
        <w:t>291-311</w:t>
      </w:r>
      <w:r>
        <w:rPr>
          <w:lang w:val="en-GB"/>
        </w:rPr>
        <w:t xml:space="preserve">. In this article, Vandenbogaerde studies the presence of human rights in the Dutch-speaking </w:t>
      </w:r>
      <w:proofErr w:type="spellStart"/>
      <w:r>
        <w:rPr>
          <w:i/>
          <w:lang w:val="en-GB"/>
        </w:rPr>
        <w:t>Rechtskundig</w:t>
      </w:r>
      <w:proofErr w:type="spellEnd"/>
      <w:r>
        <w:rPr>
          <w:i/>
          <w:lang w:val="en-GB"/>
        </w:rPr>
        <w:t xml:space="preserve"> </w:t>
      </w:r>
      <w:proofErr w:type="spellStart"/>
      <w:r>
        <w:rPr>
          <w:i/>
          <w:lang w:val="en-GB"/>
        </w:rPr>
        <w:t>Weekblad</w:t>
      </w:r>
      <w:proofErr w:type="spellEnd"/>
      <w:r>
        <w:rPr>
          <w:lang w:val="en-GB"/>
        </w:rPr>
        <w:t xml:space="preserve">. Since he argues that legal periodicals may be considered as mirrors of legal culture, these findings concerning </w:t>
      </w:r>
      <w:proofErr w:type="spellStart"/>
      <w:r>
        <w:rPr>
          <w:i/>
          <w:lang w:val="en-GB"/>
        </w:rPr>
        <w:t>Rechtskundig</w:t>
      </w:r>
      <w:proofErr w:type="spellEnd"/>
      <w:r>
        <w:rPr>
          <w:i/>
          <w:lang w:val="en-GB"/>
        </w:rPr>
        <w:t xml:space="preserve"> </w:t>
      </w:r>
      <w:proofErr w:type="spellStart"/>
      <w:r>
        <w:rPr>
          <w:i/>
          <w:lang w:val="en-GB"/>
        </w:rPr>
        <w:t>Weekblad</w:t>
      </w:r>
      <w:proofErr w:type="spellEnd"/>
      <w:r>
        <w:rPr>
          <w:lang w:val="en-GB"/>
        </w:rPr>
        <w:t xml:space="preserve"> may be relevant for Belgian legal culture – or at least Flemish legal culture – as a whole.</w:t>
      </w:r>
    </w:p>
  </w:footnote>
  <w:footnote w:id="94">
    <w:p w14:paraId="02CC0805" w14:textId="585EE861" w:rsidR="00B31A46" w:rsidRPr="00097FDF" w:rsidRDefault="00B31A46">
      <w:pPr>
        <w:pStyle w:val="Voetnoottekst"/>
        <w:rPr>
          <w:lang w:val="fr-BE"/>
        </w:rPr>
      </w:pPr>
      <w:r>
        <w:rPr>
          <w:rStyle w:val="Voetnootmarkering"/>
        </w:rPr>
        <w:footnoteRef/>
      </w:r>
      <w:r w:rsidRPr="00097FDF">
        <w:rPr>
          <w:lang w:val="fr-BE"/>
        </w:rPr>
        <w:t xml:space="preserve"> R. </w:t>
      </w:r>
      <w:proofErr w:type="spellStart"/>
      <w:r w:rsidRPr="00097FDF">
        <w:rPr>
          <w:lang w:val="fr-BE"/>
        </w:rPr>
        <w:t>Ergec</w:t>
      </w:r>
      <w:proofErr w:type="spellEnd"/>
      <w:r w:rsidRPr="00097FDF">
        <w:rPr>
          <w:lang w:val="fr-BE"/>
        </w:rPr>
        <w:t xml:space="preserve">, </w:t>
      </w:r>
      <w:r w:rsidRPr="006214D1">
        <w:rPr>
          <w:i/>
          <w:lang w:val="fr-BE"/>
        </w:rPr>
        <w:t>Propos Introductifs</w:t>
      </w:r>
      <w:r w:rsidRPr="00097FDF">
        <w:rPr>
          <w:lang w:val="fr-BE"/>
        </w:rPr>
        <w:t xml:space="preserve"> in</w:t>
      </w:r>
      <w:r>
        <w:rPr>
          <w:lang w:val="fr-BE"/>
        </w:rPr>
        <w:t>:</w:t>
      </w:r>
      <w:r w:rsidRPr="00097FDF">
        <w:rPr>
          <w:lang w:val="fr-BE"/>
        </w:rPr>
        <w:t xml:space="preserve"> </w:t>
      </w:r>
      <w:r w:rsidRPr="006214D1">
        <w:rPr>
          <w:lang w:val="fr-BE"/>
        </w:rPr>
        <w:t>Entre Ombres et Lumières: Cinquante ans d’application de la Convention européenne des droits de l’homme en Belgique</w:t>
      </w:r>
      <w:r>
        <w:rPr>
          <w:lang w:val="fr-BE"/>
        </w:rPr>
        <w:t>, Brussels, 2008, p. 7.</w:t>
      </w:r>
    </w:p>
  </w:footnote>
  <w:footnote w:id="95">
    <w:p w14:paraId="16F39BBB" w14:textId="51CF769E" w:rsidR="00925D46" w:rsidRPr="00925D46" w:rsidRDefault="00925D46">
      <w:pPr>
        <w:pStyle w:val="Voetnoottekst"/>
        <w:rPr>
          <w:lang w:val="en-GB"/>
        </w:rPr>
      </w:pPr>
      <w:r>
        <w:rPr>
          <w:rStyle w:val="Voetnootmarkering"/>
        </w:rPr>
        <w:footnoteRef/>
      </w:r>
      <w:r w:rsidRPr="00925D46">
        <w:rPr>
          <w:lang w:val="en-GB"/>
        </w:rPr>
        <w:t xml:space="preserve"> </w:t>
      </w:r>
      <w:r>
        <w:rPr>
          <w:lang w:val="en-GB"/>
        </w:rPr>
        <w:t>Until 1971, Belgian judges applied the theory of dualism, according to which treaties only become part of the domestic legal order if they are implemented into domestic law.</w:t>
      </w:r>
    </w:p>
  </w:footnote>
  <w:footnote w:id="96">
    <w:p w14:paraId="71072BCC" w14:textId="77777777" w:rsidR="00623D07" w:rsidRPr="00623D07" w:rsidRDefault="00623D07" w:rsidP="00623D07">
      <w:pPr>
        <w:pStyle w:val="Voetnoottekst"/>
        <w:rPr>
          <w:lang w:val="en-GB"/>
        </w:rPr>
      </w:pPr>
      <w:r>
        <w:rPr>
          <w:rStyle w:val="Voetnootmarkering"/>
        </w:rPr>
        <w:footnoteRef/>
      </w:r>
      <w:r w:rsidRPr="00623D07">
        <w:rPr>
          <w:lang w:val="en-GB"/>
        </w:rPr>
        <w:t xml:space="preserve"> M. Van Hoecke and S. Vandenbogaerde, </w:t>
      </w:r>
      <w:r w:rsidRPr="00623D07">
        <w:rPr>
          <w:i/>
          <w:lang w:val="en-GB"/>
        </w:rPr>
        <w:t>Basic Features of the Belgian Legal System</w:t>
      </w:r>
      <w:r w:rsidRPr="00623D07">
        <w:rPr>
          <w:lang w:val="en-GB"/>
        </w:rPr>
        <w:t xml:space="preserve">, in: M. </w:t>
      </w:r>
      <w:proofErr w:type="spellStart"/>
      <w:r w:rsidRPr="00623D07">
        <w:rPr>
          <w:lang w:val="en-GB"/>
        </w:rPr>
        <w:t>Kruithof</w:t>
      </w:r>
      <w:proofErr w:type="spellEnd"/>
      <w:r w:rsidRPr="00623D07">
        <w:rPr>
          <w:lang w:val="en-GB"/>
        </w:rPr>
        <w:t xml:space="preserve"> and W. De </w:t>
      </w:r>
      <w:proofErr w:type="spellStart"/>
      <w:r w:rsidRPr="00623D07">
        <w:rPr>
          <w:lang w:val="en-GB"/>
        </w:rPr>
        <w:t>Bondt</w:t>
      </w:r>
      <w:proofErr w:type="spellEnd"/>
      <w:r w:rsidRPr="00623D07">
        <w:rPr>
          <w:lang w:val="en-GB"/>
        </w:rPr>
        <w:t xml:space="preserve"> (eds.), Introduction to Belgian Law, Alphen </w:t>
      </w:r>
      <w:proofErr w:type="spellStart"/>
      <w:r w:rsidRPr="00623D07">
        <w:rPr>
          <w:lang w:val="en-GB"/>
        </w:rPr>
        <w:t>aan</w:t>
      </w:r>
      <w:proofErr w:type="spellEnd"/>
      <w:r w:rsidRPr="00623D07">
        <w:rPr>
          <w:lang w:val="en-GB"/>
        </w:rPr>
        <w:t xml:space="preserve"> de Rijn, 2017, p. 3</w:t>
      </w:r>
      <w:r>
        <w:rPr>
          <w:lang w:val="en-GB"/>
        </w:rPr>
        <w:t>7.</w:t>
      </w:r>
    </w:p>
  </w:footnote>
  <w:footnote w:id="97">
    <w:p w14:paraId="22F079A6" w14:textId="77777777" w:rsidR="00623D07" w:rsidRPr="00821E0F" w:rsidRDefault="00623D07" w:rsidP="00623D07">
      <w:pPr>
        <w:pStyle w:val="Voetnoottekst"/>
        <w:rPr>
          <w:lang w:val="fr-BE"/>
        </w:rPr>
      </w:pPr>
      <w:r>
        <w:rPr>
          <w:rStyle w:val="Voetnootmarkering"/>
        </w:rPr>
        <w:footnoteRef/>
      </w:r>
      <w:r w:rsidRPr="00821E0F">
        <w:rPr>
          <w:lang w:val="fr-BE"/>
        </w:rPr>
        <w:t xml:space="preserve"> Court of Cassation, </w:t>
      </w:r>
      <w:r w:rsidRPr="00821E0F">
        <w:rPr>
          <w:i/>
          <w:lang w:val="fr-BE"/>
        </w:rPr>
        <w:t>Franco-Suisse Le Ski</w:t>
      </w:r>
      <w:r>
        <w:rPr>
          <w:lang w:val="fr-BE"/>
        </w:rPr>
        <w:t xml:space="preserve">, Arr. </w:t>
      </w:r>
      <w:proofErr w:type="spellStart"/>
      <w:r>
        <w:rPr>
          <w:lang w:val="fr-BE"/>
        </w:rPr>
        <w:t>Cass</w:t>
      </w:r>
      <w:proofErr w:type="spellEnd"/>
      <w:r>
        <w:rPr>
          <w:lang w:val="fr-BE"/>
        </w:rPr>
        <w:t>. 1971, 959.</w:t>
      </w:r>
    </w:p>
  </w:footnote>
  <w:footnote w:id="98">
    <w:p w14:paraId="685C61BC" w14:textId="4CAD4FA2" w:rsidR="00B31A46" w:rsidRPr="00F84B95" w:rsidRDefault="00B31A46">
      <w:pPr>
        <w:pStyle w:val="Voetnoottekst"/>
        <w:rPr>
          <w:lang w:val="en-GB"/>
        </w:rPr>
      </w:pPr>
      <w:r>
        <w:rPr>
          <w:rStyle w:val="Voetnootmarkering"/>
        </w:rPr>
        <w:footnoteRef/>
      </w:r>
      <w:r>
        <w:rPr>
          <w:lang w:val="fr-BE"/>
        </w:rPr>
        <w:t xml:space="preserve"> J. </w:t>
      </w:r>
      <w:proofErr w:type="spellStart"/>
      <w:r>
        <w:rPr>
          <w:lang w:val="fr-BE"/>
        </w:rPr>
        <w:t>Pieret</w:t>
      </w:r>
      <w:proofErr w:type="spellEnd"/>
      <w:r>
        <w:rPr>
          <w:lang w:val="fr-BE"/>
        </w:rPr>
        <w:t xml:space="preserve">, </w:t>
      </w:r>
      <w:r w:rsidRPr="006214D1">
        <w:rPr>
          <w:i/>
          <w:lang w:val="fr-BE"/>
        </w:rPr>
        <w:t>Influence du juge sur l’effectivité de la Convention</w:t>
      </w:r>
      <w:r w:rsidRPr="00F84B95">
        <w:rPr>
          <w:lang w:val="fr-BE"/>
        </w:rPr>
        <w:t xml:space="preserve"> </w:t>
      </w:r>
      <w:r w:rsidRPr="00097FDF">
        <w:rPr>
          <w:lang w:val="fr-BE"/>
        </w:rPr>
        <w:t>in</w:t>
      </w:r>
      <w:r>
        <w:rPr>
          <w:lang w:val="fr-BE"/>
        </w:rPr>
        <w:t>:</w:t>
      </w:r>
      <w:r w:rsidRPr="00097FDF">
        <w:rPr>
          <w:lang w:val="fr-BE"/>
        </w:rPr>
        <w:t xml:space="preserve"> </w:t>
      </w:r>
      <w:r w:rsidRPr="006214D1">
        <w:rPr>
          <w:lang w:val="fr-BE"/>
        </w:rPr>
        <w:t>Entre Ombres et Lumières: Cinquante ans d’application de la Convention européenne des droits de l’homme en Belgique</w:t>
      </w:r>
      <w:r>
        <w:rPr>
          <w:lang w:val="fr-BE"/>
        </w:rPr>
        <w:t xml:space="preserve">, Brussels, 2008, p. 93. </w:t>
      </w:r>
      <w:r w:rsidRPr="00F84B95">
        <w:rPr>
          <w:lang w:val="en-GB"/>
        </w:rPr>
        <w:t xml:space="preserve">On p. 93-113, </w:t>
      </w:r>
      <w:proofErr w:type="spellStart"/>
      <w:r w:rsidRPr="00F84B95">
        <w:rPr>
          <w:lang w:val="en-GB"/>
        </w:rPr>
        <w:t>Pieret</w:t>
      </w:r>
      <w:proofErr w:type="spellEnd"/>
      <w:r w:rsidRPr="00F84B95">
        <w:rPr>
          <w:lang w:val="en-GB"/>
        </w:rPr>
        <w:t xml:space="preserve"> illustrates this by way of an article-by-article overview of the jurisprudence of the Court of Cassation.</w:t>
      </w:r>
    </w:p>
  </w:footnote>
  <w:footnote w:id="99">
    <w:p w14:paraId="3B1E52CD" w14:textId="77777777" w:rsidR="00B31A46" w:rsidRPr="00FF5A50" w:rsidRDefault="00B31A46">
      <w:pPr>
        <w:pStyle w:val="Voetnoottekst"/>
        <w:rPr>
          <w:lang w:val="en-GB"/>
        </w:rPr>
      </w:pPr>
      <w:r>
        <w:rPr>
          <w:rStyle w:val="Voetnootmarkering"/>
        </w:rPr>
        <w:footnoteRef/>
      </w:r>
      <w:r w:rsidRPr="00FF5A50">
        <w:rPr>
          <w:lang w:val="en-GB"/>
        </w:rPr>
        <w:t xml:space="preserve"> </w:t>
      </w:r>
      <w:proofErr w:type="gramStart"/>
      <w:r>
        <w:rPr>
          <w:lang w:val="en-GB"/>
        </w:rPr>
        <w:t xml:space="preserve">Court of Cassation 18 May 1983, </w:t>
      </w:r>
      <w:r>
        <w:rPr>
          <w:i/>
          <w:lang w:val="en-GB"/>
        </w:rPr>
        <w:t>Pas.</w:t>
      </w:r>
      <w:proofErr w:type="gramEnd"/>
      <w:r>
        <w:rPr>
          <w:i/>
          <w:lang w:val="en-GB"/>
        </w:rPr>
        <w:t xml:space="preserve"> 1983</w:t>
      </w:r>
      <w:r>
        <w:rPr>
          <w:lang w:val="en-GB"/>
        </w:rPr>
        <w:t>, I, p. 1046.</w:t>
      </w:r>
    </w:p>
  </w:footnote>
  <w:footnote w:id="100">
    <w:p w14:paraId="59245425" w14:textId="77777777" w:rsidR="00925D46" w:rsidRPr="00925D46" w:rsidRDefault="00925D46" w:rsidP="00925D46">
      <w:pPr>
        <w:pStyle w:val="Voetnoottekst"/>
        <w:rPr>
          <w:lang w:val="en-GB"/>
        </w:rPr>
      </w:pPr>
      <w:r>
        <w:rPr>
          <w:rStyle w:val="Voetnootmarkering"/>
        </w:rPr>
        <w:footnoteRef/>
      </w:r>
      <w:r w:rsidRPr="00925D46">
        <w:rPr>
          <w:lang w:val="en-GB"/>
        </w:rPr>
        <w:t xml:space="preserve"> ECtHR (Plenary), 13 June 1979, </w:t>
      </w:r>
      <w:r w:rsidRPr="00925D46">
        <w:rPr>
          <w:i/>
          <w:lang w:val="en-GB"/>
        </w:rPr>
        <w:t>Marckx v. Belgium</w:t>
      </w:r>
      <w:r w:rsidRPr="00925D46">
        <w:rPr>
          <w:lang w:val="en-GB"/>
        </w:rPr>
        <w:t>, no. 6833/74, para. 31.</w:t>
      </w:r>
    </w:p>
  </w:footnote>
  <w:footnote w:id="101">
    <w:p w14:paraId="155B435D" w14:textId="77777777" w:rsidR="00B31A46" w:rsidRPr="004A141A" w:rsidRDefault="00B31A46">
      <w:pPr>
        <w:pStyle w:val="Voetnoottekst"/>
        <w:rPr>
          <w:lang w:val="en-GB"/>
        </w:rPr>
      </w:pPr>
      <w:r>
        <w:rPr>
          <w:rStyle w:val="Voetnootmarkering"/>
        </w:rPr>
        <w:footnoteRef/>
      </w:r>
      <w:r w:rsidRPr="004A141A">
        <w:rPr>
          <w:lang w:val="en-GB"/>
        </w:rPr>
        <w:t xml:space="preserve"> </w:t>
      </w:r>
      <w:proofErr w:type="gramStart"/>
      <w:r w:rsidRPr="004A141A">
        <w:rPr>
          <w:lang w:val="en-GB"/>
        </w:rPr>
        <w:t xml:space="preserve">Court of Cassation 10 May 1985, </w:t>
      </w:r>
      <w:r w:rsidRPr="004A141A">
        <w:rPr>
          <w:i/>
          <w:lang w:val="en-GB"/>
        </w:rPr>
        <w:t>Pas.</w:t>
      </w:r>
      <w:proofErr w:type="gramEnd"/>
      <w:r w:rsidRPr="004A141A">
        <w:rPr>
          <w:i/>
          <w:lang w:val="en-GB"/>
        </w:rPr>
        <w:t xml:space="preserve"> </w:t>
      </w:r>
      <w:r w:rsidRPr="004A141A">
        <w:rPr>
          <w:lang w:val="en-GB"/>
        </w:rPr>
        <w:t xml:space="preserve">1985, I, p. </w:t>
      </w:r>
      <w:r>
        <w:rPr>
          <w:lang w:val="en-GB"/>
        </w:rPr>
        <w:t>1122.</w:t>
      </w:r>
    </w:p>
  </w:footnote>
  <w:footnote w:id="102">
    <w:p w14:paraId="693405CC" w14:textId="77777777" w:rsidR="00B31A46" w:rsidRPr="00B357BC" w:rsidRDefault="00B31A46">
      <w:pPr>
        <w:pStyle w:val="Voetnoottekst"/>
        <w:rPr>
          <w:lang w:val="en-GB"/>
        </w:rPr>
      </w:pPr>
      <w:r>
        <w:rPr>
          <w:rStyle w:val="Voetnootmarkering"/>
        </w:rPr>
        <w:footnoteRef/>
      </w:r>
      <w:r w:rsidRPr="00B357BC">
        <w:rPr>
          <w:lang w:val="en-GB"/>
        </w:rPr>
        <w:t xml:space="preserve"> </w:t>
      </w:r>
      <w:proofErr w:type="gramStart"/>
      <w:r w:rsidRPr="00B357BC">
        <w:rPr>
          <w:lang w:val="en-GB"/>
        </w:rPr>
        <w:t xml:space="preserve">ECtHR 29 November 1991, </w:t>
      </w:r>
      <w:proofErr w:type="spellStart"/>
      <w:r w:rsidRPr="00B357BC">
        <w:rPr>
          <w:i/>
          <w:lang w:val="en-GB"/>
        </w:rPr>
        <w:t>Vermeire</w:t>
      </w:r>
      <w:proofErr w:type="spellEnd"/>
      <w:r w:rsidRPr="00B357BC">
        <w:rPr>
          <w:i/>
          <w:lang w:val="en-GB"/>
        </w:rPr>
        <w:t xml:space="preserve"> v. Belgium</w:t>
      </w:r>
      <w:r w:rsidRPr="00B357BC">
        <w:rPr>
          <w:lang w:val="en-GB"/>
        </w:rPr>
        <w:t>, no. 12849/87, para.</w:t>
      </w:r>
      <w:proofErr w:type="gramEnd"/>
      <w:r w:rsidRPr="00B357BC">
        <w:rPr>
          <w:lang w:val="en-GB"/>
        </w:rPr>
        <w:t xml:space="preserve"> 25.</w:t>
      </w:r>
    </w:p>
  </w:footnote>
  <w:footnote w:id="103">
    <w:p w14:paraId="0BCF5A19" w14:textId="77777777" w:rsidR="00B31A46" w:rsidRPr="001525EE" w:rsidRDefault="00B31A46">
      <w:pPr>
        <w:pStyle w:val="Voetnoottekst"/>
        <w:rPr>
          <w:lang w:val="en-GB"/>
        </w:rPr>
      </w:pPr>
      <w:r>
        <w:rPr>
          <w:rStyle w:val="Voetnootmarkering"/>
        </w:rPr>
        <w:footnoteRef/>
      </w:r>
      <w:r w:rsidRPr="001525EE">
        <w:rPr>
          <w:lang w:val="en-GB"/>
        </w:rPr>
        <w:t xml:space="preserve"> </w:t>
      </w:r>
      <w:proofErr w:type="gramStart"/>
      <w:r w:rsidRPr="001525EE">
        <w:rPr>
          <w:lang w:val="en-GB"/>
        </w:rPr>
        <w:t xml:space="preserve">Court of Cassation 10 May 1992, </w:t>
      </w:r>
      <w:r w:rsidRPr="001525EE">
        <w:rPr>
          <w:i/>
          <w:lang w:val="en-GB"/>
        </w:rPr>
        <w:t>Pas.</w:t>
      </w:r>
      <w:proofErr w:type="gramEnd"/>
      <w:r>
        <w:rPr>
          <w:lang w:val="en-GB"/>
        </w:rPr>
        <w:t xml:space="preserve"> 1992, I, p. 804. The ECtHR’s position was already shared by the Court of </w:t>
      </w:r>
      <w:proofErr w:type="gramStart"/>
      <w:r>
        <w:rPr>
          <w:lang w:val="en-GB"/>
        </w:rPr>
        <w:t>Arbitration,</w:t>
      </w:r>
      <w:proofErr w:type="gramEnd"/>
      <w:r>
        <w:rPr>
          <w:lang w:val="en-GB"/>
        </w:rPr>
        <w:t xml:space="preserve"> see Court of Arbitration 4 July 1991, no. 18/91.</w:t>
      </w:r>
    </w:p>
  </w:footnote>
  <w:footnote w:id="104">
    <w:p w14:paraId="2CC035A5" w14:textId="0272AC77" w:rsidR="00B31A46" w:rsidRPr="000031AA" w:rsidRDefault="00B31A46">
      <w:pPr>
        <w:pStyle w:val="Voetnoottekst"/>
        <w:rPr>
          <w:lang w:val="en-GB"/>
        </w:rPr>
      </w:pPr>
      <w:r>
        <w:rPr>
          <w:rStyle w:val="Voetnootmarkering"/>
        </w:rPr>
        <w:footnoteRef/>
      </w:r>
      <w:r>
        <w:rPr>
          <w:lang w:val="en-GB"/>
        </w:rPr>
        <w:t xml:space="preserve"> M. </w:t>
      </w:r>
      <w:proofErr w:type="spellStart"/>
      <w:r>
        <w:rPr>
          <w:lang w:val="en-GB"/>
        </w:rPr>
        <w:t>Bossuyt</w:t>
      </w:r>
      <w:proofErr w:type="spellEnd"/>
      <w:r>
        <w:rPr>
          <w:lang w:val="en-GB"/>
        </w:rPr>
        <w:t xml:space="preserve"> and W. </w:t>
      </w:r>
      <w:proofErr w:type="spellStart"/>
      <w:r>
        <w:rPr>
          <w:lang w:val="en-GB"/>
        </w:rPr>
        <w:t>Verrijdt</w:t>
      </w:r>
      <w:proofErr w:type="spellEnd"/>
      <w:r>
        <w:rPr>
          <w:lang w:val="en-GB"/>
        </w:rPr>
        <w:t xml:space="preserve">, </w:t>
      </w:r>
      <w:r w:rsidRPr="006214D1">
        <w:rPr>
          <w:i/>
          <w:lang w:val="en-GB"/>
        </w:rPr>
        <w:t xml:space="preserve">The Full Effect of EU Law and of Constitutional Review in Belgium and France after the </w:t>
      </w:r>
      <w:proofErr w:type="spellStart"/>
      <w:r w:rsidRPr="006214D1">
        <w:rPr>
          <w:i/>
          <w:lang w:val="en-GB"/>
        </w:rPr>
        <w:t>Melki</w:t>
      </w:r>
      <w:proofErr w:type="spellEnd"/>
      <w:r w:rsidRPr="006214D1">
        <w:rPr>
          <w:i/>
          <w:lang w:val="en-GB"/>
        </w:rPr>
        <w:t xml:space="preserve"> Judgment</w:t>
      </w:r>
      <w:r w:rsidRPr="000031AA">
        <w:rPr>
          <w:lang w:val="en-GB"/>
        </w:rPr>
        <w:t xml:space="preserve">, </w:t>
      </w:r>
      <w:r w:rsidRPr="006214D1">
        <w:rPr>
          <w:lang w:val="en-GB"/>
        </w:rPr>
        <w:t>European Constitutional Law Review</w:t>
      </w:r>
      <w:r>
        <w:rPr>
          <w:lang w:val="en-GB"/>
        </w:rPr>
        <w:t>, 7 (2011), p. 335 at 356.</w:t>
      </w:r>
    </w:p>
  </w:footnote>
  <w:footnote w:id="105">
    <w:p w14:paraId="64D6B622" w14:textId="77777777" w:rsidR="00B31A46" w:rsidRPr="00793CB9" w:rsidRDefault="00B31A46">
      <w:pPr>
        <w:pStyle w:val="Voetnoottekst"/>
        <w:rPr>
          <w:lang w:val="en-GB"/>
        </w:rPr>
      </w:pPr>
      <w:r>
        <w:rPr>
          <w:rStyle w:val="Voetnootmarkering"/>
        </w:rPr>
        <w:footnoteRef/>
      </w:r>
      <w:r w:rsidRPr="00793CB9">
        <w:rPr>
          <w:lang w:val="en-GB"/>
        </w:rPr>
        <w:t xml:space="preserve"> </w:t>
      </w:r>
      <w:proofErr w:type="gramStart"/>
      <w:r w:rsidRPr="00793CB9">
        <w:rPr>
          <w:lang w:val="en-GB"/>
        </w:rPr>
        <w:t>Ibid, at 357.</w:t>
      </w:r>
      <w:proofErr w:type="gramEnd"/>
    </w:p>
  </w:footnote>
  <w:footnote w:id="106">
    <w:p w14:paraId="1C16233A" w14:textId="77777777" w:rsidR="00B31A46" w:rsidRPr="00576047" w:rsidRDefault="00B31A46">
      <w:pPr>
        <w:pStyle w:val="Voetnoottekst"/>
        <w:rPr>
          <w:lang w:val="en-GB"/>
        </w:rPr>
      </w:pPr>
      <w:r>
        <w:rPr>
          <w:rStyle w:val="Voetnootmarkering"/>
        </w:rPr>
        <w:footnoteRef/>
      </w:r>
      <w:r w:rsidRPr="00576047">
        <w:rPr>
          <w:lang w:val="en-GB"/>
        </w:rPr>
        <w:t xml:space="preserve"> Id. See for example Court of Arbitration</w:t>
      </w:r>
      <w:r>
        <w:rPr>
          <w:lang w:val="en-GB"/>
        </w:rPr>
        <w:t xml:space="preserve"> 23 May 1990, no. 18/90, </w:t>
      </w:r>
      <w:proofErr w:type="spellStart"/>
      <w:r>
        <w:rPr>
          <w:lang w:val="en-GB"/>
        </w:rPr>
        <w:t>B.11.3</w:t>
      </w:r>
      <w:proofErr w:type="spellEnd"/>
      <w:r>
        <w:rPr>
          <w:lang w:val="en-GB"/>
        </w:rPr>
        <w:t>.</w:t>
      </w:r>
    </w:p>
  </w:footnote>
  <w:footnote w:id="107">
    <w:p w14:paraId="185218A0" w14:textId="77777777" w:rsidR="00B31A46" w:rsidRPr="00793CB9" w:rsidRDefault="00B31A46">
      <w:pPr>
        <w:pStyle w:val="Voetnoottekst"/>
        <w:rPr>
          <w:lang w:val="en-GB"/>
        </w:rPr>
      </w:pPr>
      <w:r>
        <w:rPr>
          <w:rStyle w:val="Voetnootmarkering"/>
        </w:rPr>
        <w:footnoteRef/>
      </w:r>
      <w:r w:rsidRPr="00793CB9">
        <w:rPr>
          <w:lang w:val="en-GB"/>
        </w:rPr>
        <w:t xml:space="preserve"> Id. </w:t>
      </w:r>
    </w:p>
  </w:footnote>
  <w:footnote w:id="108">
    <w:p w14:paraId="20878094" w14:textId="77777777" w:rsidR="00B31A46" w:rsidRPr="00D321A7" w:rsidRDefault="00B31A46" w:rsidP="00D321A7">
      <w:pPr>
        <w:pStyle w:val="Voetnoottekst"/>
        <w:rPr>
          <w:lang w:val="en-GB"/>
        </w:rPr>
      </w:pPr>
      <w:r>
        <w:rPr>
          <w:rStyle w:val="Voetnootmarkering"/>
        </w:rPr>
        <w:footnoteRef/>
      </w:r>
      <w:r w:rsidRPr="00D321A7">
        <w:rPr>
          <w:lang w:val="en-GB"/>
        </w:rPr>
        <w:t xml:space="preserve"> </w:t>
      </w:r>
      <w:proofErr w:type="gramStart"/>
      <w:r w:rsidRPr="00D321A7">
        <w:rPr>
          <w:lang w:val="en-GB"/>
        </w:rPr>
        <w:t>Ibid, at 358.</w:t>
      </w:r>
      <w:proofErr w:type="gramEnd"/>
      <w:r w:rsidRPr="00D321A7">
        <w:rPr>
          <w:lang w:val="en-GB"/>
        </w:rPr>
        <w:t xml:space="preserve"> See Court of Cassation 22 July 2004, no.</w:t>
      </w:r>
      <w:r>
        <w:rPr>
          <w:lang w:val="en-GB"/>
        </w:rPr>
        <w:t xml:space="preserve"> 136/2004,</w:t>
      </w:r>
      <w:r w:rsidRPr="00D321A7">
        <w:rPr>
          <w:lang w:val="en-GB"/>
        </w:rPr>
        <w:t xml:space="preserve"> </w:t>
      </w:r>
      <w:proofErr w:type="spellStart"/>
      <w:r w:rsidRPr="00D321A7">
        <w:rPr>
          <w:lang w:val="en-GB"/>
        </w:rPr>
        <w:t>B.5.3</w:t>
      </w:r>
      <w:proofErr w:type="spellEnd"/>
      <w:r w:rsidRPr="00D321A7">
        <w:rPr>
          <w:lang w:val="en-GB"/>
        </w:rPr>
        <w:t>.</w:t>
      </w:r>
    </w:p>
  </w:footnote>
  <w:footnote w:id="109">
    <w:p w14:paraId="095C6810" w14:textId="5386CBA5" w:rsidR="00B31A46" w:rsidRPr="000048E7" w:rsidRDefault="00B31A46">
      <w:pPr>
        <w:pStyle w:val="Voetnoottekst"/>
        <w:rPr>
          <w:lang w:val="en-GB"/>
        </w:rPr>
      </w:pPr>
      <w:r>
        <w:rPr>
          <w:rStyle w:val="Voetnootmarkering"/>
        </w:rPr>
        <w:footnoteRef/>
      </w:r>
      <w:r>
        <w:rPr>
          <w:lang w:val="en-GB"/>
        </w:rPr>
        <w:t xml:space="preserve"> L. Lavrysen and J. Theunis, </w:t>
      </w:r>
      <w:r w:rsidRPr="006214D1">
        <w:rPr>
          <w:i/>
          <w:lang w:val="en-GB"/>
        </w:rPr>
        <w:t xml:space="preserve">The Belgian </w:t>
      </w:r>
      <w:proofErr w:type="spellStart"/>
      <w:r w:rsidRPr="006214D1">
        <w:rPr>
          <w:i/>
          <w:lang w:val="en-GB"/>
        </w:rPr>
        <w:t>Consitutional</w:t>
      </w:r>
      <w:proofErr w:type="spellEnd"/>
      <w:r w:rsidRPr="006214D1">
        <w:rPr>
          <w:i/>
          <w:lang w:val="en-GB"/>
        </w:rPr>
        <w:t xml:space="preserve"> Court: A Satellite of the ECtHR</w:t>
      </w:r>
      <w:r>
        <w:rPr>
          <w:lang w:val="en-GB"/>
        </w:rPr>
        <w:t xml:space="preserve"> in: A. </w:t>
      </w:r>
      <w:proofErr w:type="spellStart"/>
      <w:r>
        <w:rPr>
          <w:lang w:val="en-GB"/>
        </w:rPr>
        <w:t>Alen</w:t>
      </w:r>
      <w:proofErr w:type="spellEnd"/>
      <w:r>
        <w:rPr>
          <w:lang w:val="en-GB"/>
        </w:rPr>
        <w:t xml:space="preserve">, V. </w:t>
      </w:r>
      <w:proofErr w:type="spellStart"/>
      <w:r>
        <w:rPr>
          <w:lang w:val="en-GB"/>
        </w:rPr>
        <w:t>Joosten</w:t>
      </w:r>
      <w:proofErr w:type="spellEnd"/>
      <w:r>
        <w:rPr>
          <w:lang w:val="en-GB"/>
        </w:rPr>
        <w:t xml:space="preserve">, R. </w:t>
      </w:r>
      <w:proofErr w:type="spellStart"/>
      <w:r>
        <w:rPr>
          <w:lang w:val="en-GB"/>
        </w:rPr>
        <w:t>Leysen</w:t>
      </w:r>
      <w:proofErr w:type="spellEnd"/>
      <w:r>
        <w:rPr>
          <w:lang w:val="en-GB"/>
        </w:rPr>
        <w:t xml:space="preserve"> and W. </w:t>
      </w:r>
      <w:proofErr w:type="spellStart"/>
      <w:r>
        <w:rPr>
          <w:lang w:val="en-GB"/>
        </w:rPr>
        <w:t>Verrijdt</w:t>
      </w:r>
      <w:proofErr w:type="spellEnd"/>
      <w:r>
        <w:rPr>
          <w:lang w:val="en-GB"/>
        </w:rPr>
        <w:t xml:space="preserve"> (eds.), </w:t>
      </w:r>
      <w:proofErr w:type="spellStart"/>
      <w:r w:rsidRPr="006214D1">
        <w:rPr>
          <w:lang w:val="en-GB"/>
        </w:rPr>
        <w:t>Liberae</w:t>
      </w:r>
      <w:proofErr w:type="spellEnd"/>
      <w:r w:rsidRPr="006214D1">
        <w:rPr>
          <w:lang w:val="en-GB"/>
        </w:rPr>
        <w:t xml:space="preserve"> </w:t>
      </w:r>
      <w:proofErr w:type="spellStart"/>
      <w:r w:rsidRPr="006214D1">
        <w:rPr>
          <w:lang w:val="en-GB"/>
        </w:rPr>
        <w:t>Cogitationes</w:t>
      </w:r>
      <w:proofErr w:type="spellEnd"/>
      <w:r w:rsidRPr="006214D1">
        <w:rPr>
          <w:lang w:val="en-GB"/>
        </w:rPr>
        <w:t xml:space="preserve"> – Liber </w:t>
      </w:r>
      <w:proofErr w:type="spellStart"/>
      <w:r w:rsidRPr="006214D1">
        <w:rPr>
          <w:lang w:val="en-GB"/>
        </w:rPr>
        <w:t>amicorum</w:t>
      </w:r>
      <w:proofErr w:type="spellEnd"/>
      <w:r w:rsidRPr="006214D1">
        <w:rPr>
          <w:lang w:val="en-GB"/>
        </w:rPr>
        <w:t xml:space="preserve"> Marc </w:t>
      </w:r>
      <w:proofErr w:type="spellStart"/>
      <w:r w:rsidRPr="006214D1">
        <w:rPr>
          <w:lang w:val="en-GB"/>
        </w:rPr>
        <w:t>Bossuyt</w:t>
      </w:r>
      <w:proofErr w:type="spellEnd"/>
      <w:r>
        <w:rPr>
          <w:lang w:val="en-GB"/>
        </w:rPr>
        <w:t>, Cambridge, 2013, p. 331 at p. 354.</w:t>
      </w:r>
    </w:p>
  </w:footnote>
  <w:footnote w:id="110">
    <w:p w14:paraId="3910ED6D" w14:textId="77777777" w:rsidR="00B31A46" w:rsidRPr="00483E51" w:rsidRDefault="00B31A46">
      <w:pPr>
        <w:pStyle w:val="Voetnoottekst"/>
        <w:rPr>
          <w:lang w:val="en-GB"/>
        </w:rPr>
      </w:pPr>
      <w:r>
        <w:rPr>
          <w:rStyle w:val="Voetnootmarkering"/>
        </w:rPr>
        <w:footnoteRef/>
      </w:r>
      <w:r w:rsidRPr="00483E51">
        <w:rPr>
          <w:lang w:val="en-GB"/>
        </w:rPr>
        <w:t xml:space="preserve"> Id.</w:t>
      </w:r>
    </w:p>
  </w:footnote>
  <w:footnote w:id="111">
    <w:p w14:paraId="5971509A" w14:textId="1DB3B25E" w:rsidR="00B31A46" w:rsidRPr="00483E51" w:rsidRDefault="00B31A46">
      <w:pPr>
        <w:pStyle w:val="Voetnoottekst"/>
        <w:rPr>
          <w:lang w:val="en-GB"/>
        </w:rPr>
      </w:pPr>
      <w:r>
        <w:rPr>
          <w:rStyle w:val="Voetnootmarkering"/>
        </w:rPr>
        <w:footnoteRef/>
      </w:r>
      <w:r w:rsidRPr="00483E51">
        <w:rPr>
          <w:lang w:val="en-GB"/>
        </w:rPr>
        <w:t xml:space="preserve"> M. Madsen, </w:t>
      </w:r>
      <w:r w:rsidRPr="00483E51">
        <w:rPr>
          <w:i/>
          <w:lang w:val="en-GB"/>
        </w:rPr>
        <w:t xml:space="preserve">Le </w:t>
      </w:r>
      <w:proofErr w:type="spellStart"/>
      <w:r w:rsidRPr="00483E51">
        <w:rPr>
          <w:i/>
          <w:lang w:val="en-GB"/>
        </w:rPr>
        <w:t>genèse</w:t>
      </w:r>
      <w:proofErr w:type="spellEnd"/>
      <w:r w:rsidRPr="00483E51">
        <w:rPr>
          <w:i/>
          <w:lang w:val="en-GB"/>
        </w:rPr>
        <w:t xml:space="preserve"> de </w:t>
      </w:r>
      <w:proofErr w:type="spellStart"/>
      <w:r w:rsidRPr="00483E51">
        <w:rPr>
          <w:i/>
          <w:lang w:val="en-GB"/>
        </w:rPr>
        <w:t>l’Europe</w:t>
      </w:r>
      <w:proofErr w:type="spellEnd"/>
      <w:r w:rsidRPr="00483E51">
        <w:rPr>
          <w:i/>
          <w:lang w:val="en-GB"/>
        </w:rPr>
        <w:t xml:space="preserve"> des droits de </w:t>
      </w:r>
      <w:proofErr w:type="spellStart"/>
      <w:r w:rsidRPr="00483E51">
        <w:rPr>
          <w:i/>
          <w:lang w:val="en-GB"/>
        </w:rPr>
        <w:t>l’homme</w:t>
      </w:r>
      <w:proofErr w:type="spellEnd"/>
      <w:r w:rsidRPr="00483E51">
        <w:rPr>
          <w:lang w:val="en-GB"/>
        </w:rPr>
        <w:t xml:space="preserve">, Strasbourg, 2010, p. 24-25 and p. 42-43; and M. Madsen, </w:t>
      </w:r>
      <w:r w:rsidRPr="006214D1">
        <w:rPr>
          <w:i/>
          <w:lang w:val="en-GB"/>
        </w:rPr>
        <w:t>France, the UK, and the ‘Boomerang’ of the Internationalisation of Human Rights (1945-2000)</w:t>
      </w:r>
      <w:r>
        <w:rPr>
          <w:lang w:val="en-GB"/>
        </w:rPr>
        <w:t xml:space="preserve"> in: S. Halliday and P. Schmidt (eds.), </w:t>
      </w:r>
      <w:r w:rsidRPr="006214D1">
        <w:rPr>
          <w:lang w:val="en-GB"/>
        </w:rPr>
        <w:t>Human Rights Brought Home: Socio-Legal Perspectives on Human Rights in the National Context,</w:t>
      </w:r>
      <w:r>
        <w:rPr>
          <w:lang w:val="en-GB"/>
        </w:rPr>
        <w:t xml:space="preserve"> Oxford, 2004,</w:t>
      </w:r>
      <w:r w:rsidRPr="00483E51">
        <w:rPr>
          <w:lang w:val="en-GB"/>
        </w:rPr>
        <w:t xml:space="preserve"> p. </w:t>
      </w:r>
      <w:r>
        <w:rPr>
          <w:lang w:val="en-GB"/>
        </w:rPr>
        <w:t>57 at p. 58-59 and p. 84-85.</w:t>
      </w:r>
    </w:p>
  </w:footnote>
  <w:footnote w:id="112">
    <w:p w14:paraId="6B2E1443" w14:textId="07955137" w:rsidR="00B31A46" w:rsidRPr="004B25EE" w:rsidRDefault="00B31A46">
      <w:pPr>
        <w:pStyle w:val="Voetnoottekst"/>
        <w:rPr>
          <w:lang w:val="en-GB"/>
        </w:rPr>
      </w:pPr>
      <w:r>
        <w:rPr>
          <w:rStyle w:val="Voetnootmarkering"/>
        </w:rPr>
        <w:footnoteRef/>
      </w:r>
      <w:r>
        <w:rPr>
          <w:lang w:val="en-GB"/>
        </w:rPr>
        <w:t xml:space="preserve"> Contrast with </w:t>
      </w:r>
      <w:r w:rsidRPr="00483E51">
        <w:rPr>
          <w:lang w:val="en-GB"/>
        </w:rPr>
        <w:t xml:space="preserve">M. Madsen, </w:t>
      </w:r>
      <w:r w:rsidRPr="006214D1">
        <w:rPr>
          <w:i/>
          <w:lang w:val="en-GB"/>
        </w:rPr>
        <w:t xml:space="preserve">France, the UK, and the ‘Boomerang’ of the Internationalisation of Human Rights (1945-2000) </w:t>
      </w:r>
      <w:r>
        <w:rPr>
          <w:lang w:val="en-GB"/>
        </w:rPr>
        <w:t xml:space="preserve">in: S. Halliday and P. Schmidt (eds.), </w:t>
      </w:r>
      <w:r w:rsidRPr="006214D1">
        <w:rPr>
          <w:lang w:val="en-GB"/>
        </w:rPr>
        <w:t>Human Rights Brought Home: Socio-Legal Perspectives on Human Rights in the National Context, Oxf</w:t>
      </w:r>
      <w:r>
        <w:rPr>
          <w:lang w:val="en-GB"/>
        </w:rPr>
        <w:t>ord, 2004,</w:t>
      </w:r>
      <w:r w:rsidRPr="00483E51">
        <w:rPr>
          <w:lang w:val="en-GB"/>
        </w:rPr>
        <w:t xml:space="preserve"> p. </w:t>
      </w:r>
      <w:r>
        <w:rPr>
          <w:lang w:val="en-GB"/>
        </w:rPr>
        <w:t>57 at p. 85.</w:t>
      </w:r>
    </w:p>
  </w:footnote>
  <w:footnote w:id="113">
    <w:p w14:paraId="61CC32E4" w14:textId="77777777" w:rsidR="00B31A46" w:rsidRPr="007727F3" w:rsidRDefault="00B31A46">
      <w:pPr>
        <w:pStyle w:val="Voetnoottekst"/>
        <w:rPr>
          <w:lang w:val="fr-BE"/>
        </w:rPr>
      </w:pPr>
      <w:r>
        <w:rPr>
          <w:rStyle w:val="Voetnootmarkering"/>
        </w:rPr>
        <w:footnoteRef/>
      </w:r>
      <w:r w:rsidRPr="007727F3">
        <w:rPr>
          <w:lang w:val="fr-BE"/>
        </w:rPr>
        <w:t xml:space="preserve"> </w:t>
      </w:r>
      <w:r w:rsidRPr="0038777E">
        <w:rPr>
          <w:lang w:val="fr-BE"/>
        </w:rPr>
        <w:t xml:space="preserve">Interview </w:t>
      </w:r>
      <w:r>
        <w:rPr>
          <w:lang w:val="fr-BE"/>
        </w:rPr>
        <w:t>Xavier Magnée</w:t>
      </w:r>
      <w:r w:rsidRPr="0038777E">
        <w:rPr>
          <w:lang w:val="fr-BE"/>
        </w:rPr>
        <w:t>,</w:t>
      </w:r>
      <w:r>
        <w:rPr>
          <w:lang w:val="fr-BE"/>
        </w:rPr>
        <w:t xml:space="preserve"> Brussels</w:t>
      </w:r>
      <w:r w:rsidRPr="0038777E">
        <w:rPr>
          <w:lang w:val="fr-BE"/>
        </w:rPr>
        <w:t xml:space="preserve"> 8 </w:t>
      </w:r>
      <w:proofErr w:type="spellStart"/>
      <w:r>
        <w:rPr>
          <w:lang w:val="fr-BE"/>
        </w:rPr>
        <w:t>June</w:t>
      </w:r>
      <w:proofErr w:type="spellEnd"/>
      <w:r w:rsidRPr="0038777E">
        <w:rPr>
          <w:lang w:val="fr-BE"/>
        </w:rPr>
        <w:t xml:space="preserve"> 2016.</w:t>
      </w:r>
    </w:p>
  </w:footnote>
  <w:footnote w:id="114">
    <w:p w14:paraId="71C94C09" w14:textId="77777777" w:rsidR="00B31A46" w:rsidRPr="00D86143" w:rsidRDefault="00B31A46">
      <w:pPr>
        <w:pStyle w:val="Voetnoottekst"/>
        <w:rPr>
          <w:lang w:val="en-GB"/>
        </w:rPr>
      </w:pPr>
      <w:r>
        <w:rPr>
          <w:rStyle w:val="Voetnootmarkering"/>
        </w:rPr>
        <w:footnoteRef/>
      </w:r>
      <w:r w:rsidRPr="00D86143">
        <w:rPr>
          <w:lang w:val="en-GB"/>
        </w:rPr>
        <w:t xml:space="preserve"> </w:t>
      </w:r>
      <w:r>
        <w:rPr>
          <w:lang w:val="en-GB"/>
        </w:rPr>
        <w:t>Interview Leon Martens, Ghent 21 June 2016.</w:t>
      </w:r>
    </w:p>
  </w:footnote>
  <w:footnote w:id="115">
    <w:p w14:paraId="5276F519" w14:textId="77777777" w:rsidR="00B31A46" w:rsidRPr="006654B2" w:rsidRDefault="00B31A46" w:rsidP="00467BBE">
      <w:pPr>
        <w:pStyle w:val="Voetnoottekst"/>
        <w:rPr>
          <w:lang w:val="en-GB"/>
        </w:rPr>
      </w:pPr>
      <w:r>
        <w:rPr>
          <w:rStyle w:val="Voetnootmarkering"/>
        </w:rPr>
        <w:footnoteRef/>
      </w:r>
      <w:r w:rsidRPr="006654B2">
        <w:rPr>
          <w:lang w:val="en-GB"/>
        </w:rPr>
        <w:t xml:space="preserve"> </w:t>
      </w:r>
      <w:r>
        <w:rPr>
          <w:lang w:val="en-GB"/>
        </w:rPr>
        <w:t>Id.</w:t>
      </w:r>
    </w:p>
  </w:footnote>
  <w:footnote w:id="116">
    <w:p w14:paraId="38A5956D" w14:textId="77777777" w:rsidR="00B31A46" w:rsidRPr="007A5953" w:rsidRDefault="00B31A46" w:rsidP="00467BBE">
      <w:pPr>
        <w:pStyle w:val="Voetnoottekst"/>
        <w:rPr>
          <w:lang w:val="en-GB"/>
        </w:rPr>
      </w:pPr>
      <w:r>
        <w:rPr>
          <w:rStyle w:val="Voetnootmarkering"/>
        </w:rPr>
        <w:footnoteRef/>
      </w:r>
      <w:r w:rsidRPr="007A5953">
        <w:rPr>
          <w:lang w:val="en-GB"/>
        </w:rPr>
        <w:t xml:space="preserve"> </w:t>
      </w:r>
      <w:r>
        <w:rPr>
          <w:lang w:val="en-GB"/>
        </w:rPr>
        <w:t xml:space="preserve">Interview Luc </w:t>
      </w:r>
      <w:proofErr w:type="spellStart"/>
      <w:r>
        <w:rPr>
          <w:lang w:val="en-GB"/>
        </w:rPr>
        <w:t>Peeters</w:t>
      </w:r>
      <w:proofErr w:type="spellEnd"/>
      <w:r>
        <w:rPr>
          <w:lang w:val="en-GB"/>
        </w:rPr>
        <w:t>, Antwerp 24 May 2016.</w:t>
      </w:r>
    </w:p>
  </w:footnote>
  <w:footnote w:id="117">
    <w:p w14:paraId="43624C2A" w14:textId="77777777" w:rsidR="00B31A46" w:rsidRPr="00A44C5D" w:rsidRDefault="00B31A46" w:rsidP="00A0449F">
      <w:pPr>
        <w:pStyle w:val="Voetnoottekst"/>
        <w:rPr>
          <w:lang w:val="en-GB"/>
        </w:rPr>
      </w:pPr>
      <w:r>
        <w:rPr>
          <w:rStyle w:val="Voetnootmarkering"/>
        </w:rPr>
        <w:footnoteRef/>
      </w:r>
      <w:r w:rsidRPr="00A44C5D">
        <w:rPr>
          <w:lang w:val="en-GB"/>
        </w:rPr>
        <w:t xml:space="preserve"> </w:t>
      </w:r>
      <w:r>
        <w:rPr>
          <w:lang w:val="en-GB"/>
        </w:rPr>
        <w:t>Interview Raoul Neuroth, Liège 23 June 2016.</w:t>
      </w:r>
    </w:p>
  </w:footnote>
  <w:footnote w:id="118">
    <w:p w14:paraId="2D10D1BB" w14:textId="77777777" w:rsidR="00B31A46" w:rsidRPr="007858B0" w:rsidRDefault="00B31A46">
      <w:pPr>
        <w:pStyle w:val="Voetnoottekst"/>
        <w:rPr>
          <w:lang w:val="en-GB"/>
        </w:rPr>
      </w:pPr>
      <w:r>
        <w:rPr>
          <w:rStyle w:val="Voetnootmarkering"/>
        </w:rPr>
        <w:footnoteRef/>
      </w:r>
      <w:r w:rsidRPr="007858B0">
        <w:rPr>
          <w:lang w:val="en-GB"/>
        </w:rPr>
        <w:t xml:space="preserve"> Similarly, Jean-Marie </w:t>
      </w:r>
      <w:proofErr w:type="spellStart"/>
      <w:r w:rsidRPr="007858B0">
        <w:rPr>
          <w:lang w:val="en-GB"/>
        </w:rPr>
        <w:t>Nelissen</w:t>
      </w:r>
      <w:proofErr w:type="spellEnd"/>
      <w:r w:rsidRPr="007858B0">
        <w:rPr>
          <w:lang w:val="en-GB"/>
        </w:rPr>
        <w:t xml:space="preserve"> Grade recalls that, in the </w:t>
      </w:r>
      <w:proofErr w:type="spellStart"/>
      <w:r w:rsidRPr="007858B0">
        <w:rPr>
          <w:lang w:val="en-GB"/>
        </w:rPr>
        <w:t>1960s</w:t>
      </w:r>
      <w:proofErr w:type="spellEnd"/>
      <w:r w:rsidRPr="007858B0">
        <w:rPr>
          <w:lang w:val="en-GB"/>
        </w:rPr>
        <w:t>, human rights w</w:t>
      </w:r>
      <w:r>
        <w:rPr>
          <w:lang w:val="en-GB"/>
        </w:rPr>
        <w:t>ere</w:t>
      </w:r>
      <w:r w:rsidRPr="007858B0">
        <w:rPr>
          <w:lang w:val="en-GB"/>
        </w:rPr>
        <w:t xml:space="preserve"> something that appealed to peo</w:t>
      </w:r>
      <w:r>
        <w:rPr>
          <w:lang w:val="en-GB"/>
        </w:rPr>
        <w:t>ple, in particular to students (</w:t>
      </w:r>
      <w:r w:rsidRPr="007858B0">
        <w:rPr>
          <w:lang w:val="en-GB"/>
        </w:rPr>
        <w:t xml:space="preserve">Interview Jean-Marie </w:t>
      </w:r>
      <w:proofErr w:type="spellStart"/>
      <w:r w:rsidRPr="007858B0">
        <w:rPr>
          <w:lang w:val="en-GB"/>
        </w:rPr>
        <w:t>Nelissen</w:t>
      </w:r>
      <w:proofErr w:type="spellEnd"/>
      <w:r w:rsidRPr="007858B0">
        <w:rPr>
          <w:lang w:val="en-GB"/>
        </w:rPr>
        <w:t xml:space="preserve"> Grade, Leuven 15 December 2016</w:t>
      </w:r>
      <w:r>
        <w:rPr>
          <w:lang w:val="en-GB"/>
        </w:rPr>
        <w:t>)</w:t>
      </w:r>
      <w:r w:rsidRPr="007858B0">
        <w:rPr>
          <w:lang w:val="en-GB"/>
        </w:rPr>
        <w:t>.</w:t>
      </w:r>
    </w:p>
  </w:footnote>
  <w:footnote w:id="119">
    <w:p w14:paraId="794AD10A" w14:textId="77777777" w:rsidR="00B31A46" w:rsidRPr="007858B0" w:rsidRDefault="00B31A46">
      <w:pPr>
        <w:pStyle w:val="Voetnoottekst"/>
        <w:rPr>
          <w:lang w:val="en-GB"/>
        </w:rPr>
      </w:pPr>
      <w:r>
        <w:rPr>
          <w:rStyle w:val="Voetnootmarkering"/>
        </w:rPr>
        <w:footnoteRef/>
      </w:r>
      <w:r w:rsidRPr="007858B0">
        <w:rPr>
          <w:lang w:val="en-GB"/>
        </w:rPr>
        <w:t xml:space="preserve"> </w:t>
      </w:r>
      <w:r>
        <w:rPr>
          <w:lang w:val="en-GB"/>
        </w:rPr>
        <w:t>Interview Raoul Neuroth, Liège 23 June 2016.</w:t>
      </w:r>
    </w:p>
  </w:footnote>
  <w:footnote w:id="120">
    <w:p w14:paraId="4642723B" w14:textId="77777777" w:rsidR="00B31A46" w:rsidRPr="00A44C5D" w:rsidRDefault="00B31A46" w:rsidP="00467BBE">
      <w:pPr>
        <w:pStyle w:val="Voetnoottekst"/>
        <w:rPr>
          <w:lang w:val="fr-BE"/>
        </w:rPr>
      </w:pPr>
      <w:r>
        <w:rPr>
          <w:rStyle w:val="Voetnootmarkering"/>
        </w:rPr>
        <w:footnoteRef/>
      </w:r>
      <w:r w:rsidRPr="00A44C5D">
        <w:rPr>
          <w:lang w:val="fr-BE"/>
        </w:rPr>
        <w:t xml:space="preserve"> Interview Françoise De </w:t>
      </w:r>
      <w:proofErr w:type="spellStart"/>
      <w:r w:rsidRPr="00A44C5D">
        <w:rPr>
          <w:lang w:val="fr-BE"/>
        </w:rPr>
        <w:t>Croo-Desguin</w:t>
      </w:r>
      <w:proofErr w:type="spellEnd"/>
      <w:r w:rsidRPr="00A44C5D">
        <w:rPr>
          <w:lang w:val="fr-BE"/>
        </w:rPr>
        <w:t xml:space="preserve">, </w:t>
      </w:r>
      <w:proofErr w:type="spellStart"/>
      <w:r w:rsidRPr="00A44C5D">
        <w:rPr>
          <w:lang w:val="fr-BE"/>
        </w:rPr>
        <w:t>G</w:t>
      </w:r>
      <w:r>
        <w:rPr>
          <w:lang w:val="fr-BE"/>
        </w:rPr>
        <w:t>h</w:t>
      </w:r>
      <w:r w:rsidRPr="00A44C5D">
        <w:rPr>
          <w:lang w:val="fr-BE"/>
        </w:rPr>
        <w:t>ent</w:t>
      </w:r>
      <w:proofErr w:type="spellEnd"/>
      <w:r w:rsidRPr="00A44C5D">
        <w:rPr>
          <w:lang w:val="fr-BE"/>
        </w:rPr>
        <w:t xml:space="preserve"> 18 May 2016.</w:t>
      </w:r>
    </w:p>
  </w:footnote>
  <w:footnote w:id="121">
    <w:p w14:paraId="7E25162D" w14:textId="77777777" w:rsidR="00B31A46" w:rsidRPr="00B1256D" w:rsidRDefault="00B31A46">
      <w:pPr>
        <w:pStyle w:val="Voetnoottekst"/>
        <w:rPr>
          <w:lang w:val="en-GB"/>
        </w:rPr>
      </w:pPr>
      <w:r>
        <w:rPr>
          <w:rStyle w:val="Voetnootmarkering"/>
        </w:rPr>
        <w:footnoteRef/>
      </w:r>
      <w:r w:rsidRPr="00B1256D">
        <w:rPr>
          <w:lang w:val="en-GB"/>
        </w:rPr>
        <w:t xml:space="preserve"> </w:t>
      </w:r>
      <w:r w:rsidRPr="007460AA">
        <w:rPr>
          <w:lang w:val="en-GB"/>
        </w:rPr>
        <w:t>Interview Patrick Devers, G</w:t>
      </w:r>
      <w:r>
        <w:rPr>
          <w:lang w:val="en-GB"/>
        </w:rPr>
        <w:t>h</w:t>
      </w:r>
      <w:r w:rsidRPr="007460AA">
        <w:rPr>
          <w:lang w:val="en-GB"/>
        </w:rPr>
        <w:t>ent 4 March 2017.</w:t>
      </w:r>
    </w:p>
  </w:footnote>
  <w:footnote w:id="122">
    <w:p w14:paraId="6FD0A6E5" w14:textId="77777777" w:rsidR="00B31A46" w:rsidRPr="005B26B5" w:rsidRDefault="00B31A46">
      <w:pPr>
        <w:pStyle w:val="Voetnoottekst"/>
        <w:rPr>
          <w:lang w:val="en-GB"/>
        </w:rPr>
      </w:pPr>
      <w:r>
        <w:rPr>
          <w:rStyle w:val="Voetnootmarkering"/>
        </w:rPr>
        <w:footnoteRef/>
      </w:r>
      <w:r w:rsidRPr="005B26B5">
        <w:rPr>
          <w:lang w:val="en-GB"/>
        </w:rPr>
        <w:t xml:space="preserve"> Excluding Eric Van der </w:t>
      </w:r>
      <w:proofErr w:type="spellStart"/>
      <w:r w:rsidRPr="005B26B5">
        <w:rPr>
          <w:lang w:val="en-GB"/>
        </w:rPr>
        <w:t>Mussele</w:t>
      </w:r>
      <w:proofErr w:type="spellEnd"/>
      <w:r w:rsidRPr="005B26B5">
        <w:rPr>
          <w:lang w:val="en-GB"/>
        </w:rPr>
        <w:t xml:space="preserve"> here, since he was involved in his case as an applicant and not as a lawyer.</w:t>
      </w:r>
    </w:p>
  </w:footnote>
  <w:footnote w:id="123">
    <w:p w14:paraId="329F846C" w14:textId="77777777" w:rsidR="00B31A46" w:rsidRPr="00566597" w:rsidRDefault="00B31A46">
      <w:pPr>
        <w:pStyle w:val="Voetnoottekst"/>
        <w:rPr>
          <w:lang w:val="fr-BE"/>
        </w:rPr>
      </w:pPr>
      <w:r>
        <w:rPr>
          <w:rStyle w:val="Voetnootmarkering"/>
        </w:rPr>
        <w:footnoteRef/>
      </w:r>
      <w:r w:rsidRPr="00566597">
        <w:rPr>
          <w:lang w:val="fr-BE"/>
        </w:rPr>
        <w:t xml:space="preserve"> Xavier Magnée, Bernard Maingain, Leon Martens, Raoul Neuroth and Patrick Devers.</w:t>
      </w:r>
    </w:p>
  </w:footnote>
  <w:footnote w:id="124">
    <w:p w14:paraId="2CA7E5FF" w14:textId="77777777" w:rsidR="00B31A46" w:rsidRPr="00566597" w:rsidRDefault="00B31A46">
      <w:pPr>
        <w:pStyle w:val="Voetnoottekst"/>
        <w:rPr>
          <w:lang w:val="fr-BE"/>
        </w:rPr>
      </w:pPr>
      <w:r>
        <w:rPr>
          <w:rStyle w:val="Voetnootmarkering"/>
        </w:rPr>
        <w:footnoteRef/>
      </w:r>
      <w:r w:rsidRPr="00566597">
        <w:rPr>
          <w:lang w:val="fr-BE"/>
        </w:rPr>
        <w:t xml:space="preserve"> Jean-Marie </w:t>
      </w:r>
      <w:proofErr w:type="spellStart"/>
      <w:r w:rsidRPr="00566597">
        <w:rPr>
          <w:lang w:val="fr-BE"/>
        </w:rPr>
        <w:t>Nelissen</w:t>
      </w:r>
      <w:proofErr w:type="spellEnd"/>
      <w:r w:rsidRPr="00566597">
        <w:rPr>
          <w:lang w:val="fr-BE"/>
        </w:rPr>
        <w:t xml:space="preserve"> Grade.</w:t>
      </w:r>
    </w:p>
  </w:footnote>
  <w:footnote w:id="125">
    <w:p w14:paraId="402F3B68" w14:textId="77777777" w:rsidR="00B31A46" w:rsidRPr="00FD3EAE" w:rsidRDefault="00B31A46">
      <w:pPr>
        <w:pStyle w:val="Voetnoottekst"/>
        <w:rPr>
          <w:lang w:val="fr-BE"/>
        </w:rPr>
      </w:pPr>
      <w:r>
        <w:rPr>
          <w:rStyle w:val="Voetnootmarkering"/>
        </w:rPr>
        <w:footnoteRef/>
      </w:r>
      <w:r w:rsidRPr="00FD3EAE">
        <w:rPr>
          <w:lang w:val="fr-BE"/>
        </w:rPr>
        <w:t xml:space="preserve"> </w:t>
      </w:r>
      <w:r>
        <w:rPr>
          <w:lang w:val="fr-BE"/>
        </w:rPr>
        <w:t xml:space="preserve">Françoise De </w:t>
      </w:r>
      <w:proofErr w:type="spellStart"/>
      <w:r>
        <w:rPr>
          <w:lang w:val="fr-BE"/>
        </w:rPr>
        <w:t>Croo-Desguin</w:t>
      </w:r>
      <w:proofErr w:type="spellEnd"/>
      <w:r>
        <w:rPr>
          <w:lang w:val="fr-BE"/>
        </w:rPr>
        <w:t xml:space="preserve">, </w:t>
      </w:r>
      <w:r w:rsidRPr="00FD3EAE">
        <w:rPr>
          <w:lang w:val="fr-BE"/>
        </w:rPr>
        <w:t xml:space="preserve">Françoise Demol, Albert </w:t>
      </w:r>
      <w:proofErr w:type="spellStart"/>
      <w:r w:rsidRPr="00FD3EAE">
        <w:rPr>
          <w:lang w:val="fr-BE"/>
        </w:rPr>
        <w:t>Fettweis</w:t>
      </w:r>
      <w:proofErr w:type="spellEnd"/>
      <w:r w:rsidRPr="00FD3EAE">
        <w:rPr>
          <w:lang w:val="fr-BE"/>
        </w:rPr>
        <w:t xml:space="preserve">, </w:t>
      </w:r>
      <w:proofErr w:type="spellStart"/>
      <w:r w:rsidRPr="00FD3EAE">
        <w:rPr>
          <w:lang w:val="fr-BE"/>
        </w:rPr>
        <w:t>Moni</w:t>
      </w:r>
      <w:proofErr w:type="spellEnd"/>
      <w:r w:rsidRPr="00FD3EAE">
        <w:rPr>
          <w:lang w:val="fr-BE"/>
        </w:rPr>
        <w:t xml:space="preserve"> Van Look and </w:t>
      </w:r>
      <w:r>
        <w:rPr>
          <w:lang w:val="fr-BE"/>
        </w:rPr>
        <w:t xml:space="preserve">Joe </w:t>
      </w:r>
      <w:proofErr w:type="spellStart"/>
      <w:r>
        <w:rPr>
          <w:lang w:val="fr-BE"/>
        </w:rPr>
        <w:t>Verhoeven</w:t>
      </w:r>
      <w:proofErr w:type="spellEnd"/>
      <w:r>
        <w:rPr>
          <w:lang w:val="fr-BE"/>
        </w:rPr>
        <w:t>.</w:t>
      </w:r>
    </w:p>
  </w:footnote>
  <w:footnote w:id="126">
    <w:p w14:paraId="6F06E177" w14:textId="77777777" w:rsidR="00B31A46" w:rsidRPr="002A7C75" w:rsidRDefault="00B31A46">
      <w:pPr>
        <w:pStyle w:val="Voetnoottekst"/>
      </w:pPr>
      <w:r>
        <w:rPr>
          <w:rStyle w:val="Voetnootmarkering"/>
        </w:rPr>
        <w:footnoteRef/>
      </w:r>
      <w:r w:rsidRPr="000E7FF5">
        <w:t xml:space="preserve"> Interview </w:t>
      </w:r>
      <w:proofErr w:type="spellStart"/>
      <w:r w:rsidRPr="000E7FF5">
        <w:t>Moni</w:t>
      </w:r>
      <w:proofErr w:type="spellEnd"/>
      <w:r w:rsidRPr="000E7FF5">
        <w:t xml:space="preserve"> Van Look, Boortmeerbeek 6 </w:t>
      </w:r>
      <w:proofErr w:type="gramStart"/>
      <w:r w:rsidRPr="000E7FF5">
        <w:t>September</w:t>
      </w:r>
      <w:proofErr w:type="gramEnd"/>
      <w:r w:rsidRPr="000E7FF5">
        <w:t xml:space="preserve"> 2016.</w:t>
      </w:r>
    </w:p>
  </w:footnote>
  <w:footnote w:id="127">
    <w:p w14:paraId="76048684" w14:textId="77777777" w:rsidR="00B31A46" w:rsidRPr="000D07B0" w:rsidRDefault="00B31A46">
      <w:pPr>
        <w:pStyle w:val="Voetnoottekst"/>
        <w:rPr>
          <w:lang w:val="fr-BE"/>
        </w:rPr>
      </w:pPr>
      <w:r>
        <w:rPr>
          <w:rStyle w:val="Voetnootmarkering"/>
        </w:rPr>
        <w:footnoteRef/>
      </w:r>
      <w:r w:rsidRPr="000D07B0">
        <w:rPr>
          <w:lang w:val="fr-BE"/>
        </w:rPr>
        <w:t xml:space="preserve"> Interview Joe </w:t>
      </w:r>
      <w:proofErr w:type="spellStart"/>
      <w:r w:rsidRPr="000D07B0">
        <w:rPr>
          <w:lang w:val="fr-BE"/>
        </w:rPr>
        <w:t>Verhoeven</w:t>
      </w:r>
      <w:proofErr w:type="spellEnd"/>
      <w:r w:rsidRPr="000D07B0">
        <w:rPr>
          <w:lang w:val="fr-BE"/>
        </w:rPr>
        <w:t>, Louvain-l</w:t>
      </w:r>
      <w:r>
        <w:rPr>
          <w:lang w:val="fr-BE"/>
        </w:rPr>
        <w:t>a-Neuve 5 July 2016.</w:t>
      </w:r>
    </w:p>
  </w:footnote>
  <w:footnote w:id="128">
    <w:p w14:paraId="26A97290" w14:textId="77777777" w:rsidR="00B31A46" w:rsidRPr="00B837C4" w:rsidRDefault="00B31A46">
      <w:pPr>
        <w:pStyle w:val="Voetnoottekst"/>
        <w:rPr>
          <w:lang w:val="fr-BE"/>
        </w:rPr>
      </w:pPr>
      <w:r>
        <w:rPr>
          <w:rStyle w:val="Voetnootmarkering"/>
        </w:rPr>
        <w:footnoteRef/>
      </w:r>
      <w:r w:rsidRPr="00B837C4">
        <w:rPr>
          <w:lang w:val="fr-BE"/>
        </w:rPr>
        <w:t xml:space="preserve"> </w:t>
      </w:r>
      <w:r w:rsidRPr="00A44C5D">
        <w:rPr>
          <w:lang w:val="fr-BE"/>
        </w:rPr>
        <w:t xml:space="preserve">Interview Françoise De </w:t>
      </w:r>
      <w:proofErr w:type="spellStart"/>
      <w:r w:rsidRPr="00A44C5D">
        <w:rPr>
          <w:lang w:val="fr-BE"/>
        </w:rPr>
        <w:t>Croo-Desguin</w:t>
      </w:r>
      <w:proofErr w:type="spellEnd"/>
      <w:r w:rsidRPr="00A44C5D">
        <w:rPr>
          <w:lang w:val="fr-BE"/>
        </w:rPr>
        <w:t xml:space="preserve">, </w:t>
      </w:r>
      <w:proofErr w:type="spellStart"/>
      <w:r w:rsidRPr="00A44C5D">
        <w:rPr>
          <w:lang w:val="fr-BE"/>
        </w:rPr>
        <w:t>G</w:t>
      </w:r>
      <w:r>
        <w:rPr>
          <w:lang w:val="fr-BE"/>
        </w:rPr>
        <w:t>h</w:t>
      </w:r>
      <w:r w:rsidRPr="00A44C5D">
        <w:rPr>
          <w:lang w:val="fr-BE"/>
        </w:rPr>
        <w:t>ent</w:t>
      </w:r>
      <w:proofErr w:type="spellEnd"/>
      <w:r w:rsidRPr="00A44C5D">
        <w:rPr>
          <w:lang w:val="fr-BE"/>
        </w:rPr>
        <w:t xml:space="preserve"> 18 May 2016.</w:t>
      </w:r>
    </w:p>
  </w:footnote>
  <w:footnote w:id="129">
    <w:p w14:paraId="4D9CB47C" w14:textId="77777777" w:rsidR="00B31A46" w:rsidRPr="00815FE9" w:rsidRDefault="00B31A46">
      <w:pPr>
        <w:pStyle w:val="Voetnoottekst"/>
        <w:rPr>
          <w:lang w:val="en-GB"/>
        </w:rPr>
      </w:pPr>
      <w:r>
        <w:rPr>
          <w:rStyle w:val="Voetnootmarkering"/>
        </w:rPr>
        <w:footnoteRef/>
      </w:r>
      <w:r w:rsidRPr="00815FE9">
        <w:rPr>
          <w:lang w:val="en-GB"/>
        </w:rPr>
        <w:t xml:space="preserve"> ECtHR, 7 January 2014, </w:t>
      </w:r>
      <w:r w:rsidRPr="00815FE9">
        <w:rPr>
          <w:i/>
          <w:lang w:val="en-GB"/>
        </w:rPr>
        <w:t>Arslan v. Belgium</w:t>
      </w:r>
      <w:r>
        <w:rPr>
          <w:lang w:val="en-GB"/>
        </w:rPr>
        <w:t xml:space="preserve">, no. 9772/10, a follow-up case to ECtHR (Grand Chamber), 16 November 2010, </w:t>
      </w:r>
      <w:proofErr w:type="spellStart"/>
      <w:r>
        <w:rPr>
          <w:i/>
          <w:lang w:val="en-GB"/>
        </w:rPr>
        <w:t>Taxquet</w:t>
      </w:r>
      <w:proofErr w:type="spellEnd"/>
      <w:r>
        <w:rPr>
          <w:i/>
          <w:lang w:val="en-GB"/>
        </w:rPr>
        <w:t xml:space="preserve"> v. Belgium</w:t>
      </w:r>
      <w:r>
        <w:rPr>
          <w:lang w:val="en-GB"/>
        </w:rPr>
        <w:t>, no. 926/05, in which Belgium was convicted for the absence of adequate procedural safeguards to enable the accused to understand reasons for the jury’s verdict in the Assize Court.</w:t>
      </w:r>
    </w:p>
  </w:footnote>
  <w:footnote w:id="130">
    <w:p w14:paraId="0FC4DF67" w14:textId="77777777" w:rsidR="00B31A46" w:rsidRPr="006D7206" w:rsidRDefault="00B31A46">
      <w:pPr>
        <w:pStyle w:val="Voetnoottekst"/>
        <w:rPr>
          <w:lang w:val="en-GB"/>
        </w:rPr>
      </w:pPr>
      <w:r>
        <w:rPr>
          <w:rStyle w:val="Voetnootmarkering"/>
        </w:rPr>
        <w:footnoteRef/>
      </w:r>
      <w:r w:rsidRPr="006D7206">
        <w:rPr>
          <w:lang w:val="en-GB"/>
        </w:rPr>
        <w:t xml:space="preserve"> </w:t>
      </w:r>
      <w:r>
        <w:rPr>
          <w:lang w:val="en-GB"/>
        </w:rPr>
        <w:t>Interview Raoul Neuroth, Liège 23 June 2016.</w:t>
      </w:r>
    </w:p>
  </w:footnote>
  <w:footnote w:id="131">
    <w:p w14:paraId="0EBB2A8B" w14:textId="77777777" w:rsidR="00B31A46" w:rsidRPr="006D7206" w:rsidRDefault="00B31A46">
      <w:pPr>
        <w:pStyle w:val="Voetnoottekst"/>
        <w:rPr>
          <w:lang w:val="en-GB"/>
        </w:rPr>
      </w:pPr>
      <w:r>
        <w:rPr>
          <w:rStyle w:val="Voetnootmarkering"/>
        </w:rPr>
        <w:footnoteRef/>
      </w:r>
      <w:r w:rsidRPr="006D7206">
        <w:rPr>
          <w:lang w:val="en-GB"/>
        </w:rPr>
        <w:t xml:space="preserve"> </w:t>
      </w:r>
      <w:r>
        <w:rPr>
          <w:lang w:val="en-GB"/>
        </w:rPr>
        <w:t>Interview Bernard Maingain, Brussels 2 August 2016.</w:t>
      </w:r>
    </w:p>
  </w:footnote>
  <w:footnote w:id="132">
    <w:p w14:paraId="3D5BCBD8" w14:textId="77777777" w:rsidR="00B31A46" w:rsidRPr="00E54E49" w:rsidRDefault="00B31A46" w:rsidP="00446A07">
      <w:pPr>
        <w:pStyle w:val="Voetnoottekst"/>
        <w:rPr>
          <w:lang w:val="en-GB"/>
        </w:rPr>
      </w:pPr>
      <w:r>
        <w:rPr>
          <w:rStyle w:val="Voetnootmarkering"/>
        </w:rPr>
        <w:footnoteRef/>
      </w:r>
      <w:r w:rsidRPr="00E54E49">
        <w:rPr>
          <w:lang w:val="en-GB"/>
        </w:rPr>
        <w:t xml:space="preserve"> </w:t>
      </w:r>
      <w:r>
        <w:rPr>
          <w:lang w:val="en-GB"/>
        </w:rPr>
        <w:t xml:space="preserve">With the notable exception of Xavier </w:t>
      </w:r>
      <w:proofErr w:type="spellStart"/>
      <w:r>
        <w:rPr>
          <w:lang w:val="en-GB"/>
        </w:rPr>
        <w:t>Magnée</w:t>
      </w:r>
      <w:proofErr w:type="spellEnd"/>
      <w:r>
        <w:rPr>
          <w:lang w:val="en-GB"/>
        </w:rPr>
        <w:t>,</w:t>
      </w:r>
      <w:r w:rsidRPr="00446A07">
        <w:rPr>
          <w:lang w:val="en-GB"/>
        </w:rPr>
        <w:t xml:space="preserve"> </w:t>
      </w:r>
      <w:r w:rsidRPr="00E54E49">
        <w:rPr>
          <w:lang w:val="en-GB"/>
        </w:rPr>
        <w:t xml:space="preserve">the applicants’ attorney in the </w:t>
      </w:r>
      <w:r>
        <w:rPr>
          <w:i/>
          <w:lang w:val="en-GB"/>
        </w:rPr>
        <w:t xml:space="preserve">Vagrancy </w:t>
      </w:r>
      <w:r>
        <w:rPr>
          <w:lang w:val="en-GB"/>
        </w:rPr>
        <w:t xml:space="preserve">case and the attorney of the first applicant in the </w:t>
      </w:r>
      <w:r>
        <w:rPr>
          <w:i/>
          <w:lang w:val="en-GB"/>
        </w:rPr>
        <w:t xml:space="preserve">Albert and Le </w:t>
      </w:r>
      <w:proofErr w:type="spellStart"/>
      <w:r>
        <w:rPr>
          <w:i/>
          <w:lang w:val="en-GB"/>
        </w:rPr>
        <w:t>Compte</w:t>
      </w:r>
      <w:proofErr w:type="spellEnd"/>
      <w:r>
        <w:rPr>
          <w:lang w:val="en-GB"/>
        </w:rPr>
        <w:t xml:space="preserve"> case, who has been most active in this </w:t>
      </w:r>
      <w:proofErr w:type="gramStart"/>
      <w:r>
        <w:rPr>
          <w:lang w:val="en-GB"/>
        </w:rPr>
        <w:t>respect.</w:t>
      </w:r>
      <w:proofErr w:type="gramEnd"/>
      <w:r>
        <w:rPr>
          <w:lang w:val="en-GB"/>
        </w:rPr>
        <w:t xml:space="preserve"> A search in the Court’s HUDOC database teaches us that, in addition to those cases, he has also been involved in at least – since not all inadmissible cases are published in the database – the following cases: </w:t>
      </w:r>
      <w:proofErr w:type="spellStart"/>
      <w:r>
        <w:rPr>
          <w:lang w:val="en-GB"/>
        </w:rPr>
        <w:t>EComHR</w:t>
      </w:r>
      <w:proofErr w:type="spellEnd"/>
      <w:r>
        <w:rPr>
          <w:lang w:val="en-GB"/>
        </w:rPr>
        <w:t xml:space="preserve"> (</w:t>
      </w:r>
      <w:proofErr w:type="spellStart"/>
      <w:r>
        <w:rPr>
          <w:lang w:val="en-GB"/>
        </w:rPr>
        <w:t>inadm</w:t>
      </w:r>
      <w:proofErr w:type="spellEnd"/>
      <w:r>
        <w:rPr>
          <w:lang w:val="en-GB"/>
        </w:rPr>
        <w:t xml:space="preserve">.), 8 September 1988, </w:t>
      </w:r>
      <w:proofErr w:type="spellStart"/>
      <w:r w:rsidRPr="00446A07">
        <w:rPr>
          <w:i/>
          <w:lang w:val="en-GB"/>
        </w:rPr>
        <w:t>Peeters</w:t>
      </w:r>
      <w:proofErr w:type="spellEnd"/>
      <w:r w:rsidRPr="00446A07">
        <w:rPr>
          <w:i/>
          <w:lang w:val="en-GB"/>
        </w:rPr>
        <w:t xml:space="preserve"> v. Belgium</w:t>
      </w:r>
      <w:r>
        <w:rPr>
          <w:lang w:val="en-GB"/>
        </w:rPr>
        <w:t xml:space="preserve">, no. 12882/87; </w:t>
      </w:r>
      <w:proofErr w:type="spellStart"/>
      <w:r>
        <w:rPr>
          <w:lang w:val="en-GB"/>
        </w:rPr>
        <w:t>EComHR</w:t>
      </w:r>
      <w:proofErr w:type="spellEnd"/>
      <w:r>
        <w:rPr>
          <w:lang w:val="en-GB"/>
        </w:rPr>
        <w:t xml:space="preserve"> (</w:t>
      </w:r>
      <w:proofErr w:type="spellStart"/>
      <w:r>
        <w:rPr>
          <w:lang w:val="en-GB"/>
        </w:rPr>
        <w:t>inadm</w:t>
      </w:r>
      <w:proofErr w:type="spellEnd"/>
      <w:r>
        <w:rPr>
          <w:lang w:val="en-GB"/>
        </w:rPr>
        <w:t xml:space="preserve">.), </w:t>
      </w:r>
      <w:r w:rsidRPr="00446A07">
        <w:rPr>
          <w:i/>
          <w:lang w:val="en-GB"/>
        </w:rPr>
        <w:t>Y.D. v. Belgium</w:t>
      </w:r>
      <w:r>
        <w:rPr>
          <w:lang w:val="en-GB"/>
        </w:rPr>
        <w:t xml:space="preserve">, no. 17630/91; </w:t>
      </w:r>
      <w:proofErr w:type="spellStart"/>
      <w:r>
        <w:rPr>
          <w:lang w:val="en-GB"/>
        </w:rPr>
        <w:t>EComHR</w:t>
      </w:r>
      <w:proofErr w:type="spellEnd"/>
      <w:r>
        <w:rPr>
          <w:lang w:val="en-GB"/>
        </w:rPr>
        <w:t xml:space="preserve"> (</w:t>
      </w:r>
      <w:proofErr w:type="spellStart"/>
      <w:r>
        <w:rPr>
          <w:lang w:val="en-GB"/>
        </w:rPr>
        <w:t>inadm</w:t>
      </w:r>
      <w:proofErr w:type="spellEnd"/>
      <w:r>
        <w:rPr>
          <w:lang w:val="en-GB"/>
        </w:rPr>
        <w:t xml:space="preserve">.), 13 October 1993, </w:t>
      </w:r>
      <w:r w:rsidRPr="00446A07">
        <w:rPr>
          <w:i/>
          <w:lang w:val="en-GB"/>
        </w:rPr>
        <w:t>C.Q. v. Belgium</w:t>
      </w:r>
      <w:r>
        <w:rPr>
          <w:lang w:val="en-GB"/>
        </w:rPr>
        <w:t xml:space="preserve">, no. 21877/93; </w:t>
      </w:r>
      <w:proofErr w:type="spellStart"/>
      <w:r>
        <w:rPr>
          <w:lang w:val="en-GB"/>
        </w:rPr>
        <w:t>EComHR</w:t>
      </w:r>
      <w:proofErr w:type="spellEnd"/>
      <w:r>
        <w:rPr>
          <w:lang w:val="en-GB"/>
        </w:rPr>
        <w:t xml:space="preserve"> (</w:t>
      </w:r>
      <w:proofErr w:type="spellStart"/>
      <w:r>
        <w:rPr>
          <w:lang w:val="en-GB"/>
        </w:rPr>
        <w:t>adm.</w:t>
      </w:r>
      <w:proofErr w:type="spellEnd"/>
      <w:r>
        <w:rPr>
          <w:lang w:val="en-GB"/>
        </w:rPr>
        <w:t xml:space="preserve">), 20 October 1993, </w:t>
      </w:r>
      <w:r w:rsidRPr="00446A07">
        <w:rPr>
          <w:i/>
          <w:lang w:val="en-GB"/>
        </w:rPr>
        <w:t xml:space="preserve">Van </w:t>
      </w:r>
      <w:proofErr w:type="spellStart"/>
      <w:r w:rsidRPr="00446A07">
        <w:rPr>
          <w:i/>
          <w:lang w:val="en-GB"/>
        </w:rPr>
        <w:t>Wijck</w:t>
      </w:r>
      <w:proofErr w:type="spellEnd"/>
      <w:r w:rsidRPr="00446A07">
        <w:rPr>
          <w:i/>
          <w:lang w:val="en-GB"/>
        </w:rPr>
        <w:t xml:space="preserve"> v. Belgium</w:t>
      </w:r>
      <w:r>
        <w:rPr>
          <w:lang w:val="en-GB"/>
        </w:rPr>
        <w:t>, no. 17123/90; ECtHR (</w:t>
      </w:r>
      <w:proofErr w:type="spellStart"/>
      <w:r>
        <w:rPr>
          <w:lang w:val="en-GB"/>
        </w:rPr>
        <w:t>inadm</w:t>
      </w:r>
      <w:proofErr w:type="spellEnd"/>
      <w:r>
        <w:rPr>
          <w:lang w:val="en-GB"/>
        </w:rPr>
        <w:t xml:space="preserve">.), 11 December 2001, </w:t>
      </w:r>
      <w:proofErr w:type="spellStart"/>
      <w:r w:rsidRPr="00446A07">
        <w:rPr>
          <w:i/>
          <w:lang w:val="en-GB"/>
        </w:rPr>
        <w:t>Michaïlov</w:t>
      </w:r>
      <w:proofErr w:type="spellEnd"/>
      <w:r w:rsidRPr="00446A07">
        <w:rPr>
          <w:i/>
          <w:lang w:val="en-GB"/>
        </w:rPr>
        <w:t xml:space="preserve"> v. Switzerland</w:t>
      </w:r>
      <w:r>
        <w:rPr>
          <w:lang w:val="en-GB"/>
        </w:rPr>
        <w:t xml:space="preserve">, nos. 38014/97 and 40193/98; ECtHR (Grand Chamber), 10 November 2005, </w:t>
      </w:r>
      <w:r w:rsidRPr="00DD4583">
        <w:rPr>
          <w:rStyle w:val="sb8d990e2"/>
          <w:i/>
          <w:lang w:val="en-GB"/>
        </w:rPr>
        <w:t xml:space="preserve">Leyla </w:t>
      </w:r>
      <w:proofErr w:type="spellStart"/>
      <w:r w:rsidRPr="00DD4583">
        <w:rPr>
          <w:rStyle w:val="sb8d990e2"/>
          <w:i/>
          <w:lang w:val="en-GB"/>
        </w:rPr>
        <w:t>Şahin</w:t>
      </w:r>
      <w:proofErr w:type="spellEnd"/>
      <w:r w:rsidRPr="00DD4583">
        <w:rPr>
          <w:rStyle w:val="sb8d990e2"/>
          <w:i/>
          <w:lang w:val="en-GB"/>
        </w:rPr>
        <w:t xml:space="preserve"> v. Turkey</w:t>
      </w:r>
      <w:r>
        <w:rPr>
          <w:rStyle w:val="sb8d990e2"/>
          <w:lang w:val="en-GB"/>
        </w:rPr>
        <w:t xml:space="preserve">, no. 44774/98; </w:t>
      </w:r>
      <w:r>
        <w:rPr>
          <w:lang w:val="en-GB"/>
        </w:rPr>
        <w:t xml:space="preserve">ECtHR, 16 July 2009, </w:t>
      </w:r>
      <w:proofErr w:type="spellStart"/>
      <w:r>
        <w:rPr>
          <w:i/>
          <w:lang w:val="en-GB"/>
        </w:rPr>
        <w:t>Féret</w:t>
      </w:r>
      <w:proofErr w:type="spellEnd"/>
      <w:r>
        <w:rPr>
          <w:i/>
          <w:lang w:val="en-GB"/>
        </w:rPr>
        <w:t xml:space="preserve"> v. Belgium</w:t>
      </w:r>
      <w:r>
        <w:rPr>
          <w:lang w:val="en-GB"/>
        </w:rPr>
        <w:t xml:space="preserve">, no. 15615/07; ECtHR, 28 October 2014, </w:t>
      </w:r>
      <w:proofErr w:type="spellStart"/>
      <w:r w:rsidRPr="00DD4583">
        <w:rPr>
          <w:i/>
          <w:lang w:val="en-GB"/>
        </w:rPr>
        <w:t>Panju</w:t>
      </w:r>
      <w:proofErr w:type="spellEnd"/>
      <w:r w:rsidRPr="00DD4583">
        <w:rPr>
          <w:i/>
          <w:lang w:val="en-GB"/>
        </w:rPr>
        <w:t xml:space="preserve"> v. Belgium</w:t>
      </w:r>
      <w:r>
        <w:rPr>
          <w:lang w:val="en-GB"/>
        </w:rPr>
        <w:t>, no. 18393/09;</w:t>
      </w:r>
      <w:r>
        <w:rPr>
          <w:i/>
          <w:lang w:val="en-GB"/>
        </w:rPr>
        <w:t xml:space="preserve"> </w:t>
      </w:r>
      <w:r>
        <w:rPr>
          <w:lang w:val="en-GB"/>
        </w:rPr>
        <w:t xml:space="preserve">ECtHR, 15 September 2015, </w:t>
      </w:r>
      <w:proofErr w:type="spellStart"/>
      <w:r w:rsidRPr="00DD4583">
        <w:rPr>
          <w:i/>
          <w:lang w:val="en-GB"/>
        </w:rPr>
        <w:t>Coussios</w:t>
      </w:r>
      <w:proofErr w:type="spellEnd"/>
      <w:r w:rsidRPr="00DD4583">
        <w:rPr>
          <w:i/>
          <w:lang w:val="en-GB"/>
        </w:rPr>
        <w:t xml:space="preserve"> v. Belgium</w:t>
      </w:r>
      <w:r>
        <w:rPr>
          <w:lang w:val="en-GB"/>
        </w:rPr>
        <w:t xml:space="preserve">, no. 23104/08; and ECtHR (Grand Chamber), 29 November 2016, </w:t>
      </w:r>
      <w:proofErr w:type="spellStart"/>
      <w:r>
        <w:rPr>
          <w:i/>
          <w:lang w:val="en-GB"/>
        </w:rPr>
        <w:t>Lhermitte</w:t>
      </w:r>
      <w:proofErr w:type="spellEnd"/>
      <w:r>
        <w:rPr>
          <w:i/>
          <w:lang w:val="en-GB"/>
        </w:rPr>
        <w:t xml:space="preserve"> v</w:t>
      </w:r>
      <w:r w:rsidRPr="00DD4583">
        <w:rPr>
          <w:i/>
          <w:lang w:val="en-GB"/>
        </w:rPr>
        <w:t>. Belgium</w:t>
      </w:r>
      <w:r>
        <w:rPr>
          <w:lang w:val="en-GB"/>
        </w:rPr>
        <w:t xml:space="preserve">, </w:t>
      </w:r>
      <w:r w:rsidRPr="00DD4583">
        <w:rPr>
          <w:lang w:val="en-GB"/>
        </w:rPr>
        <w:t>no</w:t>
      </w:r>
      <w:r>
        <w:rPr>
          <w:lang w:val="en-GB"/>
        </w:rPr>
        <w:t>. 34238/09.</w:t>
      </w:r>
    </w:p>
  </w:footnote>
  <w:footnote w:id="133">
    <w:p w14:paraId="05A803E6" w14:textId="77777777" w:rsidR="00B31A46" w:rsidRPr="00566597" w:rsidRDefault="00B31A46">
      <w:pPr>
        <w:pStyle w:val="Voetnoottekst"/>
      </w:pPr>
      <w:r>
        <w:rPr>
          <w:rStyle w:val="Voetnootmarkering"/>
        </w:rPr>
        <w:footnoteRef/>
      </w:r>
      <w:r w:rsidRPr="00566597">
        <w:t xml:space="preserve"> Interview </w:t>
      </w:r>
      <w:proofErr w:type="spellStart"/>
      <w:r w:rsidRPr="00566597">
        <w:t>Moni</w:t>
      </w:r>
      <w:proofErr w:type="spellEnd"/>
      <w:r w:rsidRPr="00566597">
        <w:t xml:space="preserve"> Van Look, Boortmeerbeek 6 </w:t>
      </w:r>
      <w:proofErr w:type="gramStart"/>
      <w:r w:rsidRPr="00566597">
        <w:t>September</w:t>
      </w:r>
      <w:proofErr w:type="gramEnd"/>
      <w:r w:rsidRPr="00566597">
        <w:t xml:space="preserve"> 2016.</w:t>
      </w:r>
    </w:p>
  </w:footnote>
  <w:footnote w:id="134">
    <w:p w14:paraId="19AA4DA6" w14:textId="77777777" w:rsidR="00B31A46" w:rsidRPr="00566597" w:rsidRDefault="00B31A46">
      <w:pPr>
        <w:pStyle w:val="Voetnoottekst"/>
        <w:rPr>
          <w:lang w:val="fr-BE"/>
        </w:rPr>
      </w:pPr>
      <w:r>
        <w:rPr>
          <w:rStyle w:val="Voetnootmarkering"/>
        </w:rPr>
        <w:footnoteRef/>
      </w:r>
      <w:r w:rsidRPr="00566597">
        <w:rPr>
          <w:lang w:val="fr-BE"/>
        </w:rPr>
        <w:t xml:space="preserve"> Interview Joe </w:t>
      </w:r>
      <w:proofErr w:type="spellStart"/>
      <w:r w:rsidRPr="00566597">
        <w:rPr>
          <w:lang w:val="fr-BE"/>
        </w:rPr>
        <w:t>Verhoeven</w:t>
      </w:r>
      <w:proofErr w:type="spellEnd"/>
      <w:r w:rsidRPr="00566597">
        <w:rPr>
          <w:lang w:val="fr-BE"/>
        </w:rPr>
        <w:t>, Louvain-la-Neuve 5 July 2016.</w:t>
      </w:r>
    </w:p>
  </w:footnote>
  <w:footnote w:id="135">
    <w:p w14:paraId="35718A89" w14:textId="77777777" w:rsidR="00B31A46" w:rsidRPr="00736E7F" w:rsidRDefault="00B31A46" w:rsidP="00520A9C">
      <w:pPr>
        <w:pStyle w:val="Voetnoottekst"/>
        <w:rPr>
          <w:lang w:val="en-GB"/>
        </w:rPr>
      </w:pPr>
      <w:r>
        <w:rPr>
          <w:rStyle w:val="Voetnootmarkering"/>
        </w:rPr>
        <w:footnoteRef/>
      </w:r>
      <w:r w:rsidRPr="00736E7F">
        <w:rPr>
          <w:lang w:val="en-GB"/>
        </w:rPr>
        <w:t xml:space="preserve"> </w:t>
      </w:r>
      <w:r>
        <w:rPr>
          <w:lang w:val="en-GB"/>
        </w:rPr>
        <w:t>Interview Bernard Maingain, Brussels 2 August 2016.</w:t>
      </w:r>
    </w:p>
  </w:footnote>
  <w:footnote w:id="136">
    <w:p w14:paraId="5FDC6A35" w14:textId="77777777" w:rsidR="00B31A46" w:rsidRPr="006956C1" w:rsidRDefault="00B31A46" w:rsidP="00520A9C">
      <w:pPr>
        <w:pStyle w:val="Voetnoottekst"/>
        <w:rPr>
          <w:lang w:val="fr-BE"/>
        </w:rPr>
      </w:pPr>
      <w:r>
        <w:rPr>
          <w:rStyle w:val="Voetnootmarkering"/>
        </w:rPr>
        <w:footnoteRef/>
      </w:r>
      <w:r w:rsidRPr="006956C1">
        <w:rPr>
          <w:lang w:val="fr-BE"/>
        </w:rPr>
        <w:t xml:space="preserve"> Interview Jean-Marie </w:t>
      </w:r>
      <w:proofErr w:type="spellStart"/>
      <w:r w:rsidRPr="006956C1">
        <w:rPr>
          <w:lang w:val="fr-BE"/>
        </w:rPr>
        <w:t>Nelissen</w:t>
      </w:r>
      <w:proofErr w:type="spellEnd"/>
      <w:r w:rsidRPr="006956C1">
        <w:rPr>
          <w:lang w:val="fr-BE"/>
        </w:rPr>
        <w:t xml:space="preserve"> Grade, </w:t>
      </w:r>
      <w:r>
        <w:rPr>
          <w:lang w:val="fr-BE"/>
        </w:rPr>
        <w:t xml:space="preserve">Leuven 15 </w:t>
      </w:r>
      <w:proofErr w:type="spellStart"/>
      <w:r>
        <w:rPr>
          <w:lang w:val="fr-BE"/>
        </w:rPr>
        <w:t>December</w:t>
      </w:r>
      <w:proofErr w:type="spellEnd"/>
      <w:r>
        <w:rPr>
          <w:lang w:val="fr-BE"/>
        </w:rPr>
        <w:t xml:space="preserve"> 2016.</w:t>
      </w:r>
    </w:p>
  </w:footnote>
  <w:footnote w:id="137">
    <w:p w14:paraId="25E35530" w14:textId="77777777" w:rsidR="00B31A46" w:rsidRPr="007E49CA" w:rsidRDefault="00B31A46">
      <w:pPr>
        <w:pStyle w:val="Voetnoottekst"/>
        <w:rPr>
          <w:lang w:val="en-GB"/>
        </w:rPr>
      </w:pPr>
      <w:r>
        <w:rPr>
          <w:rStyle w:val="Voetnootmarkering"/>
        </w:rPr>
        <w:footnoteRef/>
      </w:r>
      <w:r w:rsidRPr="007E49CA">
        <w:rPr>
          <w:lang w:val="en-GB"/>
        </w:rPr>
        <w:t xml:space="preserve"> </w:t>
      </w:r>
      <w:proofErr w:type="spellStart"/>
      <w:proofErr w:type="gramStart"/>
      <w:r w:rsidRPr="007E49CA">
        <w:rPr>
          <w:lang w:val="en-GB"/>
        </w:rPr>
        <w:t>EComHR</w:t>
      </w:r>
      <w:proofErr w:type="spellEnd"/>
      <w:r w:rsidRPr="007E49CA">
        <w:rPr>
          <w:lang w:val="en-GB"/>
        </w:rPr>
        <w:t xml:space="preserve"> (</w:t>
      </w:r>
      <w:proofErr w:type="spellStart"/>
      <w:r w:rsidRPr="007E49CA">
        <w:rPr>
          <w:lang w:val="en-GB"/>
        </w:rPr>
        <w:t>adm.</w:t>
      </w:r>
      <w:proofErr w:type="spellEnd"/>
      <w:r w:rsidRPr="007E49CA">
        <w:rPr>
          <w:lang w:val="en-GB"/>
        </w:rPr>
        <w:t xml:space="preserve">), 14 July 1972, </w:t>
      </w:r>
      <w:proofErr w:type="spellStart"/>
      <w:r w:rsidRPr="007E49CA">
        <w:rPr>
          <w:i/>
          <w:lang w:val="en-GB"/>
        </w:rPr>
        <w:t>Gussenbauer</w:t>
      </w:r>
      <w:proofErr w:type="spellEnd"/>
      <w:r w:rsidRPr="007E49CA">
        <w:rPr>
          <w:i/>
          <w:lang w:val="en-GB"/>
        </w:rPr>
        <w:t xml:space="preserve"> v. Austria</w:t>
      </w:r>
      <w:r w:rsidRPr="007E49CA">
        <w:rPr>
          <w:lang w:val="en-GB"/>
        </w:rPr>
        <w:t xml:space="preserve">, </w:t>
      </w:r>
      <w:r>
        <w:rPr>
          <w:lang w:val="en-GB"/>
        </w:rPr>
        <w:t>nos. 4897/71 and 5219/71.</w:t>
      </w:r>
      <w:proofErr w:type="gramEnd"/>
    </w:p>
  </w:footnote>
  <w:footnote w:id="138">
    <w:p w14:paraId="1D47D56D" w14:textId="77777777" w:rsidR="00B31A46" w:rsidRPr="00C8126B" w:rsidRDefault="00B31A46">
      <w:pPr>
        <w:pStyle w:val="Voetnoottekst"/>
        <w:rPr>
          <w:lang w:val="en-GB"/>
        </w:rPr>
      </w:pPr>
      <w:r>
        <w:rPr>
          <w:rStyle w:val="Voetnootmarkering"/>
        </w:rPr>
        <w:footnoteRef/>
      </w:r>
      <w:r w:rsidRPr="00C8126B">
        <w:rPr>
          <w:lang w:val="en-GB"/>
        </w:rPr>
        <w:t xml:space="preserve"> </w:t>
      </w:r>
      <w:r>
        <w:rPr>
          <w:lang w:val="en-GB"/>
        </w:rPr>
        <w:t xml:space="preserve">Interview Albert </w:t>
      </w:r>
      <w:proofErr w:type="spellStart"/>
      <w:r>
        <w:rPr>
          <w:lang w:val="en-GB"/>
        </w:rPr>
        <w:t>Fettweis</w:t>
      </w:r>
      <w:proofErr w:type="spellEnd"/>
      <w:r>
        <w:rPr>
          <w:lang w:val="en-GB"/>
        </w:rPr>
        <w:t xml:space="preserve">, Brussels 2 August 2016; and Interview Eric Van der </w:t>
      </w:r>
      <w:proofErr w:type="spellStart"/>
      <w:r>
        <w:rPr>
          <w:lang w:val="en-GB"/>
        </w:rPr>
        <w:t>Mussele</w:t>
      </w:r>
      <w:proofErr w:type="spellEnd"/>
      <w:r>
        <w:rPr>
          <w:lang w:val="en-GB"/>
        </w:rPr>
        <w:t>, Antwerp 13 July 2016.</w:t>
      </w:r>
    </w:p>
  </w:footnote>
  <w:footnote w:id="139">
    <w:p w14:paraId="67D378E8" w14:textId="78148087" w:rsidR="00B31A46" w:rsidRPr="00B31A46" w:rsidRDefault="00B31A46" w:rsidP="00736E7F">
      <w:pPr>
        <w:pStyle w:val="Voetnoottekst"/>
        <w:rPr>
          <w:lang w:val="fr-BE"/>
        </w:rPr>
      </w:pPr>
      <w:r>
        <w:rPr>
          <w:rStyle w:val="Voetnootmarkering"/>
        </w:rPr>
        <w:footnoteRef/>
      </w:r>
      <w:r w:rsidRPr="00736E7F">
        <w:rPr>
          <w:lang w:val="en-GB"/>
        </w:rPr>
        <w:t xml:space="preserve"> </w:t>
      </w:r>
      <w:r>
        <w:rPr>
          <w:lang w:val="en-GB"/>
        </w:rPr>
        <w:t>W</w:t>
      </w:r>
      <w:r w:rsidRPr="00490566">
        <w:rPr>
          <w:lang w:val="en-GB"/>
        </w:rPr>
        <w:t xml:space="preserve">. Van Rossum, </w:t>
      </w:r>
      <w:r w:rsidRPr="006214D1">
        <w:rPr>
          <w:i/>
          <w:lang w:val="en-GB"/>
        </w:rPr>
        <w:t>The roots of Dutch strategic human rights litigation: comparing ‘Engel’ to ‘SGP’</w:t>
      </w:r>
      <w:r>
        <w:rPr>
          <w:lang w:val="en-GB"/>
        </w:rPr>
        <w:t xml:space="preserve"> in: M. van den Brink, S. </w:t>
      </w:r>
      <w:proofErr w:type="spellStart"/>
      <w:r>
        <w:rPr>
          <w:lang w:val="en-GB"/>
        </w:rPr>
        <w:t>Burri</w:t>
      </w:r>
      <w:proofErr w:type="spellEnd"/>
      <w:r>
        <w:rPr>
          <w:lang w:val="en-GB"/>
        </w:rPr>
        <w:t xml:space="preserve"> and J. Goldschmidt (eds</w:t>
      </w:r>
      <w:r w:rsidRPr="006214D1">
        <w:rPr>
          <w:lang w:val="en-GB"/>
        </w:rPr>
        <w:t xml:space="preserve">.), Equality and human rights: nothing but trouble? </w:t>
      </w:r>
      <w:r w:rsidRPr="00B31A46">
        <w:rPr>
          <w:lang w:val="fr-BE"/>
        </w:rPr>
        <w:t xml:space="preserve">Liber </w:t>
      </w:r>
      <w:proofErr w:type="spellStart"/>
      <w:r w:rsidRPr="00B31A46">
        <w:rPr>
          <w:lang w:val="fr-BE"/>
        </w:rPr>
        <w:t>amicorum</w:t>
      </w:r>
      <w:proofErr w:type="spellEnd"/>
      <w:r w:rsidRPr="00B31A46">
        <w:rPr>
          <w:lang w:val="fr-BE"/>
        </w:rPr>
        <w:t xml:space="preserve"> </w:t>
      </w:r>
      <w:proofErr w:type="spellStart"/>
      <w:r w:rsidRPr="00B31A46">
        <w:rPr>
          <w:lang w:val="fr-BE"/>
        </w:rPr>
        <w:t>Titia</w:t>
      </w:r>
      <w:proofErr w:type="spellEnd"/>
      <w:r w:rsidRPr="00B31A46">
        <w:rPr>
          <w:lang w:val="fr-BE"/>
        </w:rPr>
        <w:t xml:space="preserve"> </w:t>
      </w:r>
      <w:proofErr w:type="spellStart"/>
      <w:r w:rsidRPr="00B31A46">
        <w:rPr>
          <w:lang w:val="fr-BE"/>
        </w:rPr>
        <w:t>Loenen</w:t>
      </w:r>
      <w:proofErr w:type="spellEnd"/>
      <w:r w:rsidRPr="00B31A46">
        <w:rPr>
          <w:lang w:val="fr-BE"/>
        </w:rPr>
        <w:t>, Utrecht, 2015, p. 387 at p. 395.</w:t>
      </w:r>
    </w:p>
  </w:footnote>
  <w:footnote w:id="140">
    <w:p w14:paraId="36D252F8" w14:textId="77777777" w:rsidR="00B31A46" w:rsidRPr="008B3DD6" w:rsidRDefault="00B31A46">
      <w:pPr>
        <w:pStyle w:val="Voetnoottekst"/>
        <w:rPr>
          <w:lang w:val="fr-BE"/>
        </w:rPr>
      </w:pPr>
      <w:r>
        <w:rPr>
          <w:rStyle w:val="Voetnootmarkering"/>
        </w:rPr>
        <w:footnoteRef/>
      </w:r>
      <w:r w:rsidRPr="008B3DD6">
        <w:rPr>
          <w:lang w:val="fr-BE"/>
        </w:rPr>
        <w:t xml:space="preserve"> Ibid., 396.</w:t>
      </w:r>
    </w:p>
  </w:footnote>
  <w:footnote w:id="141">
    <w:p w14:paraId="3DC5C325" w14:textId="370A3924" w:rsidR="00B31A46" w:rsidRPr="00E0037F" w:rsidRDefault="00B31A46">
      <w:pPr>
        <w:pStyle w:val="Voetnoottekst"/>
        <w:rPr>
          <w:lang w:val="fr-BE"/>
        </w:rPr>
      </w:pPr>
      <w:r>
        <w:rPr>
          <w:rStyle w:val="Voetnootmarkering"/>
        </w:rPr>
        <w:footnoteRef/>
      </w:r>
      <w:r w:rsidRPr="00E0037F">
        <w:rPr>
          <w:lang w:val="fr-BE"/>
        </w:rPr>
        <w:t xml:space="preserve"> </w:t>
      </w:r>
      <w:proofErr w:type="spellStart"/>
      <w:r w:rsidRPr="00E0037F">
        <w:rPr>
          <w:lang w:val="fr-BE"/>
        </w:rPr>
        <w:t>Similarly</w:t>
      </w:r>
      <w:proofErr w:type="spellEnd"/>
      <w:r w:rsidRPr="00E0037F">
        <w:rPr>
          <w:lang w:val="fr-BE"/>
        </w:rPr>
        <w:t xml:space="preserve">, on </w:t>
      </w:r>
      <w:proofErr w:type="spellStart"/>
      <w:r w:rsidRPr="00E0037F">
        <w:rPr>
          <w:lang w:val="fr-BE"/>
        </w:rPr>
        <w:t>Italy</w:t>
      </w:r>
      <w:proofErr w:type="spellEnd"/>
      <w:r w:rsidRPr="00E0037F">
        <w:rPr>
          <w:lang w:val="fr-BE"/>
        </w:rPr>
        <w:t xml:space="preserve"> and Fr</w:t>
      </w:r>
      <w:r>
        <w:rPr>
          <w:lang w:val="fr-BE"/>
        </w:rPr>
        <w:t xml:space="preserve">ance, </w:t>
      </w:r>
      <w:proofErr w:type="spellStart"/>
      <w:r>
        <w:rPr>
          <w:lang w:val="fr-BE"/>
        </w:rPr>
        <w:t>see</w:t>
      </w:r>
      <w:proofErr w:type="spellEnd"/>
      <w:r>
        <w:rPr>
          <w:lang w:val="fr-BE"/>
        </w:rPr>
        <w:t xml:space="preserve"> S. </w:t>
      </w:r>
      <w:proofErr w:type="spellStart"/>
      <w:r>
        <w:rPr>
          <w:lang w:val="fr-BE"/>
        </w:rPr>
        <w:t>Hennette</w:t>
      </w:r>
      <w:proofErr w:type="spellEnd"/>
      <w:r>
        <w:rPr>
          <w:lang w:val="fr-BE"/>
        </w:rPr>
        <w:t xml:space="preserve">-Vauchez, </w:t>
      </w:r>
      <w:r w:rsidRPr="006214D1">
        <w:rPr>
          <w:i/>
          <w:lang w:val="fr-BE"/>
        </w:rPr>
        <w:t>L’Europe au service du droit des droits de l’homme: Réalité politique, entreprise savante et autonomisation d’une branche du droit</w:t>
      </w:r>
      <w:r>
        <w:rPr>
          <w:lang w:val="fr-BE"/>
        </w:rPr>
        <w:t xml:space="preserve">, </w:t>
      </w:r>
      <w:proofErr w:type="spellStart"/>
      <w:r w:rsidRPr="006214D1">
        <w:rPr>
          <w:lang w:val="fr-BE"/>
        </w:rPr>
        <w:t>Politix</w:t>
      </w:r>
      <w:proofErr w:type="spellEnd"/>
      <w:r>
        <w:rPr>
          <w:lang w:val="fr-BE"/>
        </w:rPr>
        <w:t>,</w:t>
      </w:r>
      <w:r w:rsidRPr="006214D1">
        <w:rPr>
          <w:lang w:val="fr-BE"/>
        </w:rPr>
        <w:t xml:space="preserve"> </w:t>
      </w:r>
      <w:r>
        <w:rPr>
          <w:lang w:val="fr-BE"/>
        </w:rPr>
        <w:t>(2010), p. 57-78.</w:t>
      </w:r>
    </w:p>
  </w:footnote>
  <w:footnote w:id="142">
    <w:p w14:paraId="66DC2E1E" w14:textId="77777777" w:rsidR="00B31A46" w:rsidRPr="007163E6" w:rsidRDefault="00B31A46">
      <w:pPr>
        <w:pStyle w:val="Voetnoottekst"/>
        <w:rPr>
          <w:lang w:val="fr-BE"/>
        </w:rPr>
      </w:pPr>
      <w:r>
        <w:rPr>
          <w:rStyle w:val="Voetnootmarkering"/>
        </w:rPr>
        <w:footnoteRef/>
      </w:r>
      <w:r w:rsidRPr="007163E6">
        <w:rPr>
          <w:lang w:val="fr-BE"/>
        </w:rPr>
        <w:t xml:space="preserve"> </w:t>
      </w:r>
      <w:r w:rsidRPr="006956C1">
        <w:rPr>
          <w:lang w:val="fr-BE"/>
        </w:rPr>
        <w:t xml:space="preserve">Interview Jean-Marie </w:t>
      </w:r>
      <w:proofErr w:type="spellStart"/>
      <w:r w:rsidRPr="006956C1">
        <w:rPr>
          <w:lang w:val="fr-BE"/>
        </w:rPr>
        <w:t>Nelissen</w:t>
      </w:r>
      <w:proofErr w:type="spellEnd"/>
      <w:r w:rsidRPr="006956C1">
        <w:rPr>
          <w:lang w:val="fr-BE"/>
        </w:rPr>
        <w:t xml:space="preserve"> Grade, </w:t>
      </w:r>
      <w:r>
        <w:rPr>
          <w:lang w:val="fr-BE"/>
        </w:rPr>
        <w:t xml:space="preserve">Leuven 15 </w:t>
      </w:r>
      <w:proofErr w:type="spellStart"/>
      <w:r>
        <w:rPr>
          <w:lang w:val="fr-BE"/>
        </w:rPr>
        <w:t>December</w:t>
      </w:r>
      <w:proofErr w:type="spellEnd"/>
      <w:r>
        <w:rPr>
          <w:lang w:val="fr-BE"/>
        </w:rPr>
        <w:t xml:space="preserve"> 2016.</w:t>
      </w:r>
    </w:p>
  </w:footnote>
  <w:footnote w:id="143">
    <w:p w14:paraId="27E22046" w14:textId="77777777" w:rsidR="00B31A46" w:rsidRPr="00670E0E" w:rsidRDefault="00B31A46">
      <w:pPr>
        <w:pStyle w:val="Voetnoottekst"/>
        <w:rPr>
          <w:lang w:val="en-GB"/>
        </w:rPr>
      </w:pPr>
      <w:r>
        <w:rPr>
          <w:rStyle w:val="Voetnootmarkering"/>
        </w:rPr>
        <w:footnoteRef/>
      </w:r>
      <w:r w:rsidRPr="00670E0E">
        <w:rPr>
          <w:lang w:val="en-GB"/>
        </w:rPr>
        <w:t xml:space="preserve"> </w:t>
      </w:r>
      <w:r>
        <w:rPr>
          <w:lang w:val="en-GB"/>
        </w:rPr>
        <w:t>Interview Bernard Maingain, Brussels 2 August 2016.</w:t>
      </w:r>
    </w:p>
  </w:footnote>
  <w:footnote w:id="144">
    <w:p w14:paraId="28FCDC12" w14:textId="77777777" w:rsidR="00B31A46" w:rsidRPr="00A72895" w:rsidRDefault="00B31A46">
      <w:pPr>
        <w:pStyle w:val="Voetnoottekst"/>
        <w:rPr>
          <w:lang w:val="fr-BE"/>
        </w:rPr>
      </w:pPr>
      <w:r>
        <w:rPr>
          <w:rStyle w:val="Voetnootmarkering"/>
        </w:rPr>
        <w:footnoteRef/>
      </w:r>
      <w:r w:rsidRPr="00A72895">
        <w:rPr>
          <w:lang w:val="fr-BE"/>
        </w:rPr>
        <w:t xml:space="preserve"> </w:t>
      </w:r>
      <w:r w:rsidRPr="006956C1">
        <w:rPr>
          <w:lang w:val="fr-BE"/>
        </w:rPr>
        <w:t xml:space="preserve">Interview Jean-Marie </w:t>
      </w:r>
      <w:proofErr w:type="spellStart"/>
      <w:r w:rsidRPr="006956C1">
        <w:rPr>
          <w:lang w:val="fr-BE"/>
        </w:rPr>
        <w:t>Nelissen</w:t>
      </w:r>
      <w:proofErr w:type="spellEnd"/>
      <w:r w:rsidRPr="006956C1">
        <w:rPr>
          <w:lang w:val="fr-BE"/>
        </w:rPr>
        <w:t xml:space="preserve"> Grade, </w:t>
      </w:r>
      <w:r>
        <w:rPr>
          <w:lang w:val="fr-BE"/>
        </w:rPr>
        <w:t xml:space="preserve">Leuven 15 </w:t>
      </w:r>
      <w:proofErr w:type="spellStart"/>
      <w:r>
        <w:rPr>
          <w:lang w:val="fr-BE"/>
        </w:rPr>
        <w:t>December</w:t>
      </w:r>
      <w:proofErr w:type="spellEnd"/>
      <w:r>
        <w:rPr>
          <w:lang w:val="fr-BE"/>
        </w:rPr>
        <w:t xml:space="preserve"> 2016.</w:t>
      </w:r>
    </w:p>
  </w:footnote>
  <w:footnote w:id="145">
    <w:p w14:paraId="079372B0" w14:textId="2A0F977A" w:rsidR="00B31A46" w:rsidRPr="0066216C" w:rsidRDefault="00B31A46">
      <w:pPr>
        <w:pStyle w:val="Voetnoottekst"/>
        <w:rPr>
          <w:lang w:val="en-GB"/>
        </w:rPr>
      </w:pPr>
      <w:r>
        <w:rPr>
          <w:rStyle w:val="Voetnootmarkering"/>
        </w:rPr>
        <w:footnoteRef/>
      </w:r>
      <w:r w:rsidRPr="0066216C">
        <w:rPr>
          <w:lang w:val="en-GB"/>
        </w:rPr>
        <w:t xml:space="preserve"> </w:t>
      </w:r>
      <w:r>
        <w:rPr>
          <w:lang w:val="en-GB"/>
        </w:rPr>
        <w:t xml:space="preserve">E. Larson, W. van Rossum and P. Schmidt, </w:t>
      </w:r>
      <w:r w:rsidRPr="006214D1">
        <w:rPr>
          <w:i/>
          <w:lang w:val="en-GB"/>
        </w:rPr>
        <w:t>The Dutch Confession: Compliance, Leadership and National Identity in the Human Rights Order</w:t>
      </w:r>
      <w:r>
        <w:rPr>
          <w:lang w:val="en-GB"/>
        </w:rPr>
        <w:t xml:space="preserve">, </w:t>
      </w:r>
      <w:r w:rsidRPr="006214D1">
        <w:rPr>
          <w:lang w:val="en-GB"/>
        </w:rPr>
        <w:t>Utrecht Law Review</w:t>
      </w:r>
      <w:r>
        <w:rPr>
          <w:lang w:val="en-GB"/>
        </w:rPr>
        <w:t>, 10 (2014), p. 96 at p. 104.</w:t>
      </w:r>
    </w:p>
  </w:footnote>
  <w:footnote w:id="146">
    <w:p w14:paraId="3EA37CBD" w14:textId="61A49B57" w:rsidR="00B31A46" w:rsidRPr="003B36A1" w:rsidRDefault="00B31A46">
      <w:pPr>
        <w:pStyle w:val="Voetnoottekst"/>
        <w:rPr>
          <w:lang w:val="en-GB"/>
        </w:rPr>
      </w:pPr>
      <w:r>
        <w:rPr>
          <w:rStyle w:val="Voetnootmarkering"/>
        </w:rPr>
        <w:footnoteRef/>
      </w:r>
      <w:r w:rsidRPr="003B36A1">
        <w:rPr>
          <w:lang w:val="en-GB"/>
        </w:rPr>
        <w:t xml:space="preserve"> </w:t>
      </w:r>
      <w:r>
        <w:rPr>
          <w:lang w:val="en-GB"/>
        </w:rPr>
        <w:t xml:space="preserve">See L. </w:t>
      </w:r>
      <w:proofErr w:type="spellStart"/>
      <w:r>
        <w:rPr>
          <w:lang w:val="en-GB"/>
        </w:rPr>
        <w:t>Hodson</w:t>
      </w:r>
      <w:proofErr w:type="spellEnd"/>
      <w:r>
        <w:rPr>
          <w:lang w:val="en-GB"/>
        </w:rPr>
        <w:t xml:space="preserve">, </w:t>
      </w:r>
      <w:r>
        <w:rPr>
          <w:i/>
          <w:lang w:val="en-GB"/>
        </w:rPr>
        <w:t>NGOs and the Struggle for Human Rights in Europe</w:t>
      </w:r>
      <w:r>
        <w:rPr>
          <w:lang w:val="en-GB"/>
        </w:rPr>
        <w:t>, Oxford, 2011. Also see, with respect to sexual orientation discrimination cases against the UK,</w:t>
      </w:r>
      <w:r w:rsidRPr="000E3D7D">
        <w:rPr>
          <w:lang w:val="en-GB"/>
        </w:rPr>
        <w:t xml:space="preserve"> </w:t>
      </w:r>
      <w:r>
        <w:rPr>
          <w:lang w:val="en-GB"/>
        </w:rPr>
        <w:t xml:space="preserve">P. Johnson, </w:t>
      </w:r>
      <w:proofErr w:type="gramStart"/>
      <w:r>
        <w:rPr>
          <w:i/>
          <w:lang w:val="en-GB"/>
        </w:rPr>
        <w:t>Going</w:t>
      </w:r>
      <w:proofErr w:type="gramEnd"/>
      <w:r>
        <w:rPr>
          <w:i/>
          <w:lang w:val="en-GB"/>
        </w:rPr>
        <w:t xml:space="preserve"> to Strasbourg</w:t>
      </w:r>
      <w:r>
        <w:rPr>
          <w:lang w:val="en-GB"/>
        </w:rPr>
        <w:t>, Oxford, 2016, p. 153-171 and p. 179-182.</w:t>
      </w:r>
    </w:p>
  </w:footnote>
  <w:footnote w:id="147">
    <w:p w14:paraId="20F53E59" w14:textId="02E84EEC" w:rsidR="00B31A46" w:rsidRPr="00202ABC" w:rsidRDefault="00B31A46">
      <w:pPr>
        <w:pStyle w:val="Voetnoottekst"/>
        <w:rPr>
          <w:lang w:val="en-GB"/>
        </w:rPr>
      </w:pPr>
      <w:r>
        <w:rPr>
          <w:rStyle w:val="Voetnootmarkering"/>
        </w:rPr>
        <w:footnoteRef/>
      </w:r>
      <w:r w:rsidRPr="00202ABC">
        <w:rPr>
          <w:lang w:val="en-GB"/>
        </w:rPr>
        <w:t xml:space="preserve"> </w:t>
      </w:r>
      <w:r>
        <w:rPr>
          <w:lang w:val="en-GB"/>
        </w:rPr>
        <w:t xml:space="preserve">See M. Keck and K. </w:t>
      </w:r>
      <w:proofErr w:type="spellStart"/>
      <w:r>
        <w:rPr>
          <w:lang w:val="en-GB"/>
        </w:rPr>
        <w:t>Sikkink</w:t>
      </w:r>
      <w:proofErr w:type="spellEnd"/>
      <w:r>
        <w:rPr>
          <w:lang w:val="en-GB"/>
        </w:rPr>
        <w:t xml:space="preserve">, </w:t>
      </w:r>
      <w:r>
        <w:rPr>
          <w:i/>
          <w:lang w:val="en-GB"/>
        </w:rPr>
        <w:t xml:space="preserve">Activists </w:t>
      </w:r>
      <w:proofErr w:type="gramStart"/>
      <w:r>
        <w:rPr>
          <w:i/>
          <w:lang w:val="en-GB"/>
        </w:rPr>
        <w:t>Beyond</w:t>
      </w:r>
      <w:proofErr w:type="gramEnd"/>
      <w:r>
        <w:rPr>
          <w:i/>
          <w:lang w:val="en-GB"/>
        </w:rPr>
        <w:t xml:space="preserve"> Borders</w:t>
      </w:r>
      <w:r>
        <w:rPr>
          <w:lang w:val="en-GB"/>
        </w:rPr>
        <w:t>, Cornell, 1998, discussing in particular the role of transnational human rights advocacy networks in Latin America on p. 79-120.</w:t>
      </w:r>
    </w:p>
  </w:footnote>
  <w:footnote w:id="148">
    <w:p w14:paraId="7B658E15" w14:textId="77777777" w:rsidR="00B31A46" w:rsidRPr="00202ABC" w:rsidRDefault="00B31A46">
      <w:pPr>
        <w:pStyle w:val="Voetnoottekst"/>
        <w:rPr>
          <w:lang w:val="en-GB"/>
        </w:rPr>
      </w:pPr>
      <w:r>
        <w:rPr>
          <w:rStyle w:val="Voetnootmarkering"/>
        </w:rPr>
        <w:footnoteRef/>
      </w:r>
      <w:r w:rsidRPr="00202ABC">
        <w:rPr>
          <w:lang w:val="en-GB"/>
        </w:rPr>
        <w:t xml:space="preserve"> </w:t>
      </w:r>
      <w:proofErr w:type="gramStart"/>
      <w:r>
        <w:rPr>
          <w:lang w:val="en-GB"/>
        </w:rPr>
        <w:t>Ibid.,</w:t>
      </w:r>
      <w:proofErr w:type="gramEnd"/>
      <w:r>
        <w:rPr>
          <w:lang w:val="en-GB"/>
        </w:rPr>
        <w:t xml:space="preserve"> p. 200.</w:t>
      </w:r>
    </w:p>
  </w:footnote>
  <w:footnote w:id="149">
    <w:p w14:paraId="0208ACDA" w14:textId="25285FF2" w:rsidR="00B31A46" w:rsidRPr="007304A2" w:rsidRDefault="00B31A46">
      <w:pPr>
        <w:pStyle w:val="Voetnoottekst"/>
        <w:rPr>
          <w:lang w:val="en-GB"/>
        </w:rPr>
      </w:pPr>
      <w:r>
        <w:rPr>
          <w:rStyle w:val="Voetnootmarkering"/>
        </w:rPr>
        <w:footnoteRef/>
      </w:r>
      <w:r w:rsidRPr="007304A2">
        <w:rPr>
          <w:lang w:val="en-GB"/>
        </w:rPr>
        <w:t xml:space="preserve"> </w:t>
      </w:r>
      <w:r>
        <w:rPr>
          <w:lang w:val="en-GB"/>
        </w:rPr>
        <w:t xml:space="preserve">L. </w:t>
      </w:r>
      <w:proofErr w:type="spellStart"/>
      <w:r>
        <w:rPr>
          <w:lang w:val="en-GB"/>
        </w:rPr>
        <w:t>Hodson</w:t>
      </w:r>
      <w:proofErr w:type="spellEnd"/>
      <w:r>
        <w:rPr>
          <w:lang w:val="en-GB"/>
        </w:rPr>
        <w:t xml:space="preserve">, </w:t>
      </w:r>
      <w:r>
        <w:rPr>
          <w:i/>
          <w:lang w:val="en-GB"/>
        </w:rPr>
        <w:t>NGOs and the Struggle for Human Rights in Europe</w:t>
      </w:r>
      <w:r>
        <w:rPr>
          <w:lang w:val="en-GB"/>
        </w:rPr>
        <w:t>, Oxford, 2011, p. 65-95.</w:t>
      </w:r>
    </w:p>
  </w:footnote>
  <w:footnote w:id="150">
    <w:p w14:paraId="21DBC5FE" w14:textId="77777777" w:rsidR="00B31A46" w:rsidRPr="00326527" w:rsidRDefault="00B31A46">
      <w:pPr>
        <w:pStyle w:val="Voetnoottekst"/>
        <w:rPr>
          <w:lang w:val="en-GB"/>
        </w:rPr>
      </w:pPr>
      <w:r>
        <w:rPr>
          <w:rStyle w:val="Voetnootmarkering"/>
        </w:rPr>
        <w:footnoteRef/>
      </w:r>
      <w:r w:rsidRPr="00326527">
        <w:rPr>
          <w:lang w:val="en-GB"/>
        </w:rPr>
        <w:t xml:space="preserve"> </w:t>
      </w:r>
      <w:proofErr w:type="gramStart"/>
      <w:r w:rsidRPr="00326527">
        <w:rPr>
          <w:lang w:val="en-GB"/>
        </w:rPr>
        <w:t xml:space="preserve">Court of Cassation 19 November 1982, </w:t>
      </w:r>
      <w:r w:rsidRPr="00326527">
        <w:rPr>
          <w:i/>
          <w:lang w:val="en-GB"/>
        </w:rPr>
        <w:t>Pas.</w:t>
      </w:r>
      <w:proofErr w:type="gramEnd"/>
      <w:r w:rsidRPr="00326527">
        <w:rPr>
          <w:i/>
          <w:lang w:val="en-GB"/>
        </w:rPr>
        <w:t xml:space="preserve"> </w:t>
      </w:r>
      <w:proofErr w:type="gramStart"/>
      <w:r w:rsidRPr="00326527">
        <w:rPr>
          <w:lang w:val="en-GB"/>
        </w:rPr>
        <w:t>1983, I, p. 338</w:t>
      </w:r>
      <w:r>
        <w:rPr>
          <w:lang w:val="en-GB"/>
        </w:rPr>
        <w:t xml:space="preserve"> (the so-called </w:t>
      </w:r>
      <w:proofErr w:type="spellStart"/>
      <w:r w:rsidRPr="00326527">
        <w:rPr>
          <w:i/>
          <w:lang w:val="en-GB"/>
        </w:rPr>
        <w:t>Eikendael</w:t>
      </w:r>
      <w:proofErr w:type="spellEnd"/>
      <w:r w:rsidRPr="00326527">
        <w:rPr>
          <w:i/>
          <w:lang w:val="en-GB"/>
        </w:rPr>
        <w:t xml:space="preserve"> </w:t>
      </w:r>
      <w:r>
        <w:rPr>
          <w:lang w:val="en-GB"/>
        </w:rPr>
        <w:t>judgment).</w:t>
      </w:r>
      <w:proofErr w:type="gramEnd"/>
    </w:p>
  </w:footnote>
  <w:footnote w:id="151">
    <w:p w14:paraId="07476DDB" w14:textId="7DA38448" w:rsidR="00B31A46" w:rsidRPr="00845D2B" w:rsidRDefault="00B31A46">
      <w:pPr>
        <w:pStyle w:val="Voetnoottekst"/>
        <w:rPr>
          <w:lang w:val="fr-BE"/>
        </w:rPr>
      </w:pPr>
      <w:r>
        <w:rPr>
          <w:rStyle w:val="Voetnootmarkering"/>
        </w:rPr>
        <w:footnoteRef/>
      </w:r>
      <w:r w:rsidRPr="00845D2B">
        <w:rPr>
          <w:lang w:val="en-GB"/>
        </w:rPr>
        <w:t xml:space="preserve"> Moreover, </w:t>
      </w:r>
      <w:r w:rsidRPr="00845D2B">
        <w:rPr>
          <w:i/>
          <w:lang w:val="en-GB"/>
        </w:rPr>
        <w:t>Amnesty International</w:t>
      </w:r>
      <w:r>
        <w:rPr>
          <w:i/>
          <w:lang w:val="en-GB"/>
        </w:rPr>
        <w:t xml:space="preserve"> </w:t>
      </w:r>
      <w:r>
        <w:rPr>
          <w:lang w:val="en-GB"/>
        </w:rPr>
        <w:t xml:space="preserve">historically mainly focused on questions that are detached from Belgium’s most important human rights issues, such as the fate of political prisoners, torture and the death penalty. </w:t>
      </w:r>
      <w:proofErr w:type="spellStart"/>
      <w:r w:rsidRPr="00845D2B">
        <w:rPr>
          <w:lang w:val="fr-BE"/>
        </w:rPr>
        <w:t>See</w:t>
      </w:r>
      <w:proofErr w:type="spellEnd"/>
      <w:r w:rsidRPr="00845D2B">
        <w:rPr>
          <w:lang w:val="fr-BE"/>
        </w:rPr>
        <w:t xml:space="preserve"> A. </w:t>
      </w:r>
      <w:r>
        <w:rPr>
          <w:lang w:val="fr-BE"/>
        </w:rPr>
        <w:t xml:space="preserve">Dieu, </w:t>
      </w:r>
      <w:r>
        <w:rPr>
          <w:i/>
          <w:lang w:val="fr-BE"/>
        </w:rPr>
        <w:t xml:space="preserve">Valeurs et associations: Entre changement et </w:t>
      </w:r>
      <w:r w:rsidRPr="003953CE">
        <w:rPr>
          <w:i/>
          <w:lang w:val="fr-BE"/>
        </w:rPr>
        <w:t>continuité</w:t>
      </w:r>
      <w:r>
        <w:rPr>
          <w:lang w:val="fr-BE"/>
        </w:rPr>
        <w:t xml:space="preserve">, Paris, 1999, p. </w:t>
      </w:r>
      <w:r w:rsidRPr="00845D2B">
        <w:rPr>
          <w:lang w:val="fr-BE"/>
        </w:rPr>
        <w:t>141-143.</w:t>
      </w:r>
    </w:p>
  </w:footnote>
  <w:footnote w:id="152">
    <w:p w14:paraId="5A4E2719" w14:textId="77777777" w:rsidR="00B31A46" w:rsidRPr="00845D2B" w:rsidRDefault="00B31A46">
      <w:pPr>
        <w:pStyle w:val="Voetnoottekst"/>
        <w:rPr>
          <w:lang w:val="fr-BE"/>
        </w:rPr>
      </w:pPr>
      <w:r>
        <w:rPr>
          <w:rStyle w:val="Voetnootmarkering"/>
        </w:rPr>
        <w:footnoteRef/>
      </w:r>
      <w:r w:rsidRPr="00845D2B">
        <w:rPr>
          <w:lang w:val="fr-BE"/>
        </w:rPr>
        <w:t xml:space="preserve"> </w:t>
      </w:r>
      <w:r>
        <w:rPr>
          <w:lang w:val="fr-BE"/>
        </w:rPr>
        <w:t xml:space="preserve">K. Cham, </w:t>
      </w:r>
      <w:r>
        <w:rPr>
          <w:i/>
          <w:lang w:val="fr-BE"/>
        </w:rPr>
        <w:t>La Ligue Belge pour la Défense des Droits de l’Homme : L’action nationale 1954-1978</w:t>
      </w:r>
      <w:r>
        <w:rPr>
          <w:lang w:val="fr-BE"/>
        </w:rPr>
        <w:t xml:space="preserve">, </w:t>
      </w:r>
      <w:proofErr w:type="spellStart"/>
      <w:r>
        <w:rPr>
          <w:lang w:val="fr-BE"/>
        </w:rPr>
        <w:t>thesis</w:t>
      </w:r>
      <w:proofErr w:type="spellEnd"/>
      <w:r>
        <w:rPr>
          <w:lang w:val="fr-BE"/>
        </w:rPr>
        <w:t>, Université Libre de Bruxelles, 1999-2000, p. 125.</w:t>
      </w:r>
    </w:p>
  </w:footnote>
  <w:footnote w:id="153">
    <w:p w14:paraId="033EE14C" w14:textId="5207FE65" w:rsidR="00B31A46" w:rsidRPr="00AE7B79" w:rsidRDefault="00B31A46" w:rsidP="008A5CC8">
      <w:pPr>
        <w:pStyle w:val="Voetnoottekst"/>
        <w:rPr>
          <w:lang w:val="fr-BE"/>
        </w:rPr>
      </w:pPr>
      <w:r>
        <w:rPr>
          <w:rStyle w:val="Voetnootmarkering"/>
        </w:rPr>
        <w:footnoteRef/>
      </w:r>
      <w:r w:rsidRPr="008A5CC8">
        <w:rPr>
          <w:lang w:val="fr-BE"/>
        </w:rPr>
        <w:t xml:space="preserve"> </w:t>
      </w:r>
      <w:r>
        <w:rPr>
          <w:lang w:val="fr-BE"/>
        </w:rPr>
        <w:t xml:space="preserve">For the public </w:t>
      </w:r>
      <w:proofErr w:type="spellStart"/>
      <w:r>
        <w:rPr>
          <w:lang w:val="fr-BE"/>
        </w:rPr>
        <w:t>interest</w:t>
      </w:r>
      <w:proofErr w:type="spellEnd"/>
      <w:r>
        <w:rPr>
          <w:lang w:val="fr-BE"/>
        </w:rPr>
        <w:t xml:space="preserve"> </w:t>
      </w:r>
      <w:proofErr w:type="spellStart"/>
      <w:r>
        <w:rPr>
          <w:lang w:val="fr-BE"/>
        </w:rPr>
        <w:t>litigation</w:t>
      </w:r>
      <w:proofErr w:type="spellEnd"/>
      <w:r>
        <w:rPr>
          <w:lang w:val="fr-BE"/>
        </w:rPr>
        <w:t xml:space="preserve"> </w:t>
      </w:r>
      <w:proofErr w:type="spellStart"/>
      <w:r>
        <w:rPr>
          <w:lang w:val="fr-BE"/>
        </w:rPr>
        <w:t>activities</w:t>
      </w:r>
      <w:proofErr w:type="spellEnd"/>
      <w:r>
        <w:rPr>
          <w:lang w:val="fr-BE"/>
        </w:rPr>
        <w:t xml:space="preserve"> of the French-</w:t>
      </w:r>
      <w:proofErr w:type="spellStart"/>
      <w:r>
        <w:rPr>
          <w:lang w:val="fr-BE"/>
        </w:rPr>
        <w:t>speaking</w:t>
      </w:r>
      <w:proofErr w:type="spellEnd"/>
      <w:r>
        <w:rPr>
          <w:lang w:val="fr-BE"/>
        </w:rPr>
        <w:t xml:space="preserve"> </w:t>
      </w:r>
      <w:r>
        <w:rPr>
          <w:i/>
          <w:lang w:val="fr-BE"/>
        </w:rPr>
        <w:t>Ligue des droits de l’homme</w:t>
      </w:r>
      <w:r>
        <w:rPr>
          <w:lang w:val="fr-BE"/>
        </w:rPr>
        <w:t xml:space="preserve"> in the </w:t>
      </w:r>
      <w:proofErr w:type="spellStart"/>
      <w:r>
        <w:rPr>
          <w:lang w:val="fr-BE"/>
        </w:rPr>
        <w:t>period</w:t>
      </w:r>
      <w:proofErr w:type="spellEnd"/>
      <w:r>
        <w:rPr>
          <w:lang w:val="fr-BE"/>
        </w:rPr>
        <w:t xml:space="preserve"> 1999-2009, </w:t>
      </w:r>
      <w:proofErr w:type="spellStart"/>
      <w:r>
        <w:rPr>
          <w:lang w:val="fr-BE"/>
        </w:rPr>
        <w:t>see</w:t>
      </w:r>
      <w:proofErr w:type="spellEnd"/>
      <w:r>
        <w:rPr>
          <w:lang w:val="fr-BE"/>
        </w:rPr>
        <w:t xml:space="preserve"> M. Lambert, </w:t>
      </w:r>
      <w:r w:rsidRPr="003953CE">
        <w:rPr>
          <w:i/>
          <w:lang w:val="fr-BE"/>
        </w:rPr>
        <w:t>Les actions d’« intérêt collectif » peuvent-elles favoriser l’accès à la Justice?: une question de droits de l’Homme</w:t>
      </w:r>
      <w:r>
        <w:rPr>
          <w:lang w:val="fr-BE"/>
        </w:rPr>
        <w:t xml:space="preserve">, Contribution by the </w:t>
      </w:r>
      <w:r w:rsidRPr="008A5CC8">
        <w:rPr>
          <w:i/>
          <w:lang w:val="fr-BE"/>
        </w:rPr>
        <w:t>Ligue des droits de l’Homme</w:t>
      </w:r>
      <w:r>
        <w:rPr>
          <w:lang w:val="fr-BE"/>
        </w:rPr>
        <w:t xml:space="preserve"> to the </w:t>
      </w:r>
      <w:proofErr w:type="spellStart"/>
      <w:r>
        <w:rPr>
          <w:lang w:val="fr-BE"/>
        </w:rPr>
        <w:t>seminar</w:t>
      </w:r>
      <w:proofErr w:type="spellEnd"/>
      <w:r>
        <w:rPr>
          <w:lang w:val="fr-BE"/>
        </w:rPr>
        <w:t xml:space="preserve"> </w:t>
      </w:r>
      <w:r w:rsidRPr="003953CE">
        <w:rPr>
          <w:lang w:val="fr-BE"/>
        </w:rPr>
        <w:t>« Les Droits de l’Homme et l’efficacité de la Justice »</w:t>
      </w:r>
      <w:r>
        <w:rPr>
          <w:lang w:val="fr-BE"/>
        </w:rPr>
        <w:t xml:space="preserve"> </w:t>
      </w:r>
      <w:proofErr w:type="spellStart"/>
      <w:r>
        <w:rPr>
          <w:lang w:val="fr-BE"/>
        </w:rPr>
        <w:t>organised</w:t>
      </w:r>
      <w:proofErr w:type="spellEnd"/>
      <w:r>
        <w:rPr>
          <w:lang w:val="fr-BE"/>
        </w:rPr>
        <w:t xml:space="preserve"> by the </w:t>
      </w:r>
      <w:r w:rsidRPr="00AE7B79">
        <w:rPr>
          <w:i/>
          <w:lang w:val="fr-BE"/>
        </w:rPr>
        <w:t>Association syndicale des magistrats</w:t>
      </w:r>
      <w:r>
        <w:rPr>
          <w:lang w:val="fr-BE"/>
        </w:rPr>
        <w:t xml:space="preserve"> in </w:t>
      </w:r>
      <w:proofErr w:type="spellStart"/>
      <w:r>
        <w:rPr>
          <w:lang w:val="fr-BE"/>
        </w:rPr>
        <w:t>January</w:t>
      </w:r>
      <w:proofErr w:type="spellEnd"/>
      <w:r>
        <w:rPr>
          <w:lang w:val="fr-BE"/>
        </w:rPr>
        <w:t xml:space="preserve"> 2010, </w:t>
      </w:r>
      <w:proofErr w:type="spellStart"/>
      <w:r>
        <w:rPr>
          <w:lang w:val="fr-BE"/>
        </w:rPr>
        <w:t>www.liguedh.be</w:t>
      </w:r>
      <w:proofErr w:type="spellEnd"/>
      <w:r>
        <w:rPr>
          <w:lang w:val="fr-BE"/>
        </w:rPr>
        <w:t>.</w:t>
      </w:r>
    </w:p>
  </w:footnote>
  <w:footnote w:id="154">
    <w:p w14:paraId="1E55D3B6" w14:textId="212613EB" w:rsidR="00B31A46" w:rsidRPr="00004AB8" w:rsidRDefault="00B31A46">
      <w:pPr>
        <w:pStyle w:val="Voetnoottekst"/>
        <w:rPr>
          <w:lang w:val="fr-BE"/>
        </w:rPr>
      </w:pPr>
      <w:r>
        <w:rPr>
          <w:rStyle w:val="Voetnootmarkering"/>
        </w:rPr>
        <w:footnoteRef/>
      </w:r>
      <w:r w:rsidRPr="00004AB8">
        <w:rPr>
          <w:lang w:val="fr-BE"/>
        </w:rPr>
        <w:t xml:space="preserve"> </w:t>
      </w:r>
      <w:r>
        <w:rPr>
          <w:lang w:val="fr-BE"/>
        </w:rPr>
        <w:t xml:space="preserve">For an </w:t>
      </w:r>
      <w:proofErr w:type="spellStart"/>
      <w:r>
        <w:rPr>
          <w:lang w:val="fr-BE"/>
        </w:rPr>
        <w:t>overview</w:t>
      </w:r>
      <w:proofErr w:type="spellEnd"/>
      <w:r>
        <w:rPr>
          <w:lang w:val="fr-BE"/>
        </w:rPr>
        <w:t xml:space="preserve">, </w:t>
      </w:r>
      <w:proofErr w:type="spellStart"/>
      <w:r>
        <w:rPr>
          <w:lang w:val="fr-BE"/>
        </w:rPr>
        <w:t>see</w:t>
      </w:r>
      <w:proofErr w:type="spellEnd"/>
      <w:r>
        <w:rPr>
          <w:lang w:val="fr-BE"/>
        </w:rPr>
        <w:t xml:space="preserve"> P. Henry, </w:t>
      </w:r>
      <w:r w:rsidRPr="003953CE">
        <w:rPr>
          <w:i/>
          <w:lang w:val="fr-BE"/>
        </w:rPr>
        <w:t>Les avocats d’enfants à Liège: coup d’œil dans le rétroviseur</w:t>
      </w:r>
      <w:r w:rsidRPr="00004AB8">
        <w:rPr>
          <w:lang w:val="fr-BE"/>
        </w:rPr>
        <w:t xml:space="preserve">, </w:t>
      </w:r>
      <w:r w:rsidRPr="003953CE">
        <w:rPr>
          <w:lang w:val="fr-BE"/>
        </w:rPr>
        <w:t>Journal du Droit des Jeunes</w:t>
      </w:r>
      <w:r>
        <w:rPr>
          <w:lang w:val="fr-BE"/>
        </w:rPr>
        <w:t>,</w:t>
      </w:r>
      <w:r>
        <w:rPr>
          <w:i/>
          <w:lang w:val="fr-BE"/>
        </w:rPr>
        <w:t xml:space="preserve"> </w:t>
      </w:r>
      <w:r>
        <w:rPr>
          <w:lang w:val="fr-BE"/>
        </w:rPr>
        <w:t>(2008), no. 271, p. 9 at p. 10-11.</w:t>
      </w:r>
    </w:p>
  </w:footnote>
  <w:footnote w:id="155">
    <w:p w14:paraId="5DA7C250" w14:textId="77777777" w:rsidR="00B31A46" w:rsidRPr="0038777E" w:rsidRDefault="00B31A46">
      <w:pPr>
        <w:pStyle w:val="Voetnoottekst"/>
        <w:rPr>
          <w:lang w:val="fr-BE"/>
        </w:rPr>
      </w:pPr>
      <w:r>
        <w:rPr>
          <w:rStyle w:val="Voetnootmarkering"/>
        </w:rPr>
        <w:footnoteRef/>
      </w:r>
      <w:r w:rsidRPr="0038777E">
        <w:rPr>
          <w:lang w:val="fr-BE"/>
        </w:rPr>
        <w:t xml:space="preserve"> Interview Françoise Demol, Liège 8 August 2016.</w:t>
      </w:r>
    </w:p>
  </w:footnote>
  <w:footnote w:id="156">
    <w:p w14:paraId="07D655B3" w14:textId="77777777" w:rsidR="00B31A46" w:rsidRPr="00EF69B4" w:rsidRDefault="00B31A46">
      <w:pPr>
        <w:pStyle w:val="Voetnoottekst"/>
        <w:rPr>
          <w:lang w:val="fr-BE"/>
        </w:rPr>
      </w:pPr>
      <w:r>
        <w:rPr>
          <w:rStyle w:val="Voetnootmarkering"/>
        </w:rPr>
        <w:footnoteRef/>
      </w:r>
      <w:r w:rsidRPr="00EF69B4">
        <w:rPr>
          <w:lang w:val="en-GB"/>
        </w:rPr>
        <w:t xml:space="preserve"> </w:t>
      </w:r>
      <w:r>
        <w:rPr>
          <w:lang w:val="en-GB"/>
        </w:rPr>
        <w:t xml:space="preserve">ECtHR, 29 February 1988, </w:t>
      </w:r>
      <w:proofErr w:type="spellStart"/>
      <w:r>
        <w:rPr>
          <w:i/>
          <w:lang w:val="en-GB"/>
        </w:rPr>
        <w:t>Bouamar</w:t>
      </w:r>
      <w:proofErr w:type="spellEnd"/>
      <w:r>
        <w:rPr>
          <w:i/>
          <w:lang w:val="en-GB"/>
        </w:rPr>
        <w:t xml:space="preserve"> v. Belgium</w:t>
      </w:r>
      <w:r>
        <w:rPr>
          <w:lang w:val="en-GB"/>
        </w:rPr>
        <w:t xml:space="preserve">, no. 9106/80, paras. </w:t>
      </w:r>
      <w:r w:rsidRPr="00CD0D5A">
        <w:rPr>
          <w:lang w:val="fr-BE"/>
        </w:rPr>
        <w:t>46-53 and 57-64.</w:t>
      </w:r>
    </w:p>
  </w:footnote>
  <w:footnote w:id="157">
    <w:p w14:paraId="44A27750" w14:textId="76445A2A" w:rsidR="00B31A46" w:rsidRPr="00A6153E" w:rsidRDefault="00B31A46">
      <w:pPr>
        <w:pStyle w:val="Voetnoottekst"/>
        <w:rPr>
          <w:lang w:val="fr-BE"/>
        </w:rPr>
      </w:pPr>
      <w:r>
        <w:rPr>
          <w:rStyle w:val="Voetnootmarkering"/>
        </w:rPr>
        <w:footnoteRef/>
      </w:r>
      <w:r w:rsidRPr="00A6153E">
        <w:rPr>
          <w:lang w:val="fr-BE"/>
        </w:rPr>
        <w:t xml:space="preserve"> On the </w:t>
      </w:r>
      <w:proofErr w:type="spellStart"/>
      <w:r w:rsidRPr="00A6153E">
        <w:rPr>
          <w:lang w:val="fr-BE"/>
        </w:rPr>
        <w:t>founda</w:t>
      </w:r>
      <w:r>
        <w:rPr>
          <w:lang w:val="fr-BE"/>
        </w:rPr>
        <w:t>tion</w:t>
      </w:r>
      <w:proofErr w:type="spellEnd"/>
      <w:r>
        <w:rPr>
          <w:lang w:val="fr-BE"/>
        </w:rPr>
        <w:t xml:space="preserve"> of FDF, </w:t>
      </w:r>
      <w:proofErr w:type="spellStart"/>
      <w:r>
        <w:rPr>
          <w:lang w:val="fr-BE"/>
        </w:rPr>
        <w:t>see</w:t>
      </w:r>
      <w:proofErr w:type="spellEnd"/>
      <w:r>
        <w:rPr>
          <w:lang w:val="fr-BE"/>
        </w:rPr>
        <w:t xml:space="preserve"> C. </w:t>
      </w:r>
      <w:proofErr w:type="spellStart"/>
      <w:r>
        <w:rPr>
          <w:lang w:val="fr-BE"/>
        </w:rPr>
        <w:t>Kesteloot</w:t>
      </w:r>
      <w:proofErr w:type="spellEnd"/>
      <w:r>
        <w:rPr>
          <w:lang w:val="fr-BE"/>
        </w:rPr>
        <w:t xml:space="preserve">, </w:t>
      </w:r>
      <w:r w:rsidRPr="003953CE">
        <w:rPr>
          <w:i/>
          <w:lang w:val="fr-BE"/>
        </w:rPr>
        <w:t>De la liberté linguistique au fédéralisme: les débuts du FDF</w:t>
      </w:r>
      <w:r w:rsidRPr="00A6153E">
        <w:rPr>
          <w:lang w:val="fr-BE"/>
        </w:rPr>
        <w:t xml:space="preserve"> in</w:t>
      </w:r>
      <w:r>
        <w:rPr>
          <w:lang w:val="fr-BE"/>
        </w:rPr>
        <w:t xml:space="preserve"> V. Dujardin and V. </w:t>
      </w:r>
      <w:proofErr w:type="spellStart"/>
      <w:r>
        <w:rPr>
          <w:lang w:val="fr-BE"/>
        </w:rPr>
        <w:t>Delcorps</w:t>
      </w:r>
      <w:proofErr w:type="spellEnd"/>
      <w:r>
        <w:rPr>
          <w:lang w:val="fr-BE"/>
        </w:rPr>
        <w:t xml:space="preserve"> (</w:t>
      </w:r>
      <w:proofErr w:type="spellStart"/>
      <w:r>
        <w:rPr>
          <w:lang w:val="fr-BE"/>
        </w:rPr>
        <w:t>eds</w:t>
      </w:r>
      <w:proofErr w:type="spellEnd"/>
      <w:r>
        <w:rPr>
          <w:lang w:val="fr-BE"/>
        </w:rPr>
        <w:t xml:space="preserve">.), </w:t>
      </w:r>
      <w:r w:rsidRPr="003953CE">
        <w:rPr>
          <w:lang w:val="fr-BE"/>
        </w:rPr>
        <w:t>FDF, 50 ans d’engagement politique</w:t>
      </w:r>
      <w:r>
        <w:rPr>
          <w:lang w:val="fr-BE"/>
        </w:rPr>
        <w:t xml:space="preserve">, </w:t>
      </w:r>
      <w:r w:rsidRPr="00A6153E">
        <w:rPr>
          <w:lang w:val="fr-BE"/>
        </w:rPr>
        <w:t xml:space="preserve"> </w:t>
      </w:r>
      <w:r>
        <w:rPr>
          <w:lang w:val="fr-BE"/>
        </w:rPr>
        <w:t>Brussels, 2014, p. 51-84.</w:t>
      </w:r>
    </w:p>
  </w:footnote>
  <w:footnote w:id="158">
    <w:p w14:paraId="27C81640" w14:textId="2106C46C" w:rsidR="00B31A46" w:rsidRPr="00574E2A" w:rsidRDefault="00B31A46">
      <w:pPr>
        <w:pStyle w:val="Voetnoottekst"/>
      </w:pPr>
      <w:r>
        <w:rPr>
          <w:rStyle w:val="Voetnootmarkering"/>
        </w:rPr>
        <w:footnoteRef/>
      </w:r>
      <w:r>
        <w:t xml:space="preserve"> K. </w:t>
      </w:r>
      <w:proofErr w:type="spellStart"/>
      <w:r>
        <w:t>Deschouwer</w:t>
      </w:r>
      <w:proofErr w:type="spellEnd"/>
      <w:r>
        <w:t xml:space="preserve">, </w:t>
      </w:r>
      <w:r w:rsidRPr="003953CE">
        <w:rPr>
          <w:i/>
        </w:rPr>
        <w:t>Continuïteit en contradictie: het FDF in de jaren tachtig</w:t>
      </w:r>
      <w:r w:rsidRPr="00574E2A">
        <w:t xml:space="preserve">, </w:t>
      </w:r>
      <w:r w:rsidRPr="003953CE">
        <w:t>Taal en Sociale Integratie</w:t>
      </w:r>
      <w:r>
        <w:t>,</w:t>
      </w:r>
      <w:r>
        <w:rPr>
          <w:i/>
        </w:rPr>
        <w:t xml:space="preserve"> </w:t>
      </w:r>
      <w:r>
        <w:t xml:space="preserve">7 (1984), p. 105 at </w:t>
      </w:r>
      <w:r w:rsidRPr="00574E2A">
        <w:t>111.</w:t>
      </w:r>
    </w:p>
  </w:footnote>
  <w:footnote w:id="159">
    <w:p w14:paraId="420A5517" w14:textId="7CACB30E" w:rsidR="00B31A46" w:rsidRPr="00D05D58" w:rsidRDefault="00B31A46">
      <w:pPr>
        <w:pStyle w:val="Voetnoottekst"/>
        <w:rPr>
          <w:lang w:val="fr-BE"/>
        </w:rPr>
      </w:pPr>
      <w:r>
        <w:rPr>
          <w:rStyle w:val="Voetnootmarkering"/>
        </w:rPr>
        <w:footnoteRef/>
      </w:r>
      <w:r>
        <w:rPr>
          <w:lang w:val="fr-BE"/>
        </w:rPr>
        <w:t xml:space="preserve"> C. </w:t>
      </w:r>
      <w:proofErr w:type="spellStart"/>
      <w:r>
        <w:rPr>
          <w:lang w:val="fr-BE"/>
        </w:rPr>
        <w:t>Kesteloot</w:t>
      </w:r>
      <w:proofErr w:type="spellEnd"/>
      <w:r>
        <w:rPr>
          <w:lang w:val="fr-BE"/>
        </w:rPr>
        <w:t xml:space="preserve">, </w:t>
      </w:r>
      <w:r w:rsidRPr="003953CE">
        <w:rPr>
          <w:i/>
          <w:lang w:val="fr-BE"/>
        </w:rPr>
        <w:t>De la liberté linguistique au fédéralisme: les débuts du FDF</w:t>
      </w:r>
      <w:r>
        <w:rPr>
          <w:lang w:val="fr-BE"/>
        </w:rPr>
        <w:t xml:space="preserve"> in:</w:t>
      </w:r>
      <w:r w:rsidRPr="00D05D58">
        <w:rPr>
          <w:lang w:val="fr-BE"/>
        </w:rPr>
        <w:t xml:space="preserve"> V. Dujardin and V. </w:t>
      </w:r>
      <w:proofErr w:type="spellStart"/>
      <w:r w:rsidRPr="00D05D58">
        <w:rPr>
          <w:lang w:val="fr-BE"/>
        </w:rPr>
        <w:t>Delcorps</w:t>
      </w:r>
      <w:proofErr w:type="spellEnd"/>
      <w:r w:rsidRPr="00D05D58">
        <w:rPr>
          <w:lang w:val="fr-BE"/>
        </w:rPr>
        <w:t xml:space="preserve"> (</w:t>
      </w:r>
      <w:proofErr w:type="spellStart"/>
      <w:r w:rsidRPr="00D05D58">
        <w:rPr>
          <w:lang w:val="fr-BE"/>
        </w:rPr>
        <w:t>eds</w:t>
      </w:r>
      <w:proofErr w:type="spellEnd"/>
      <w:r w:rsidRPr="00D05D58">
        <w:rPr>
          <w:lang w:val="fr-BE"/>
        </w:rPr>
        <w:t xml:space="preserve">.), </w:t>
      </w:r>
      <w:r w:rsidRPr="003953CE">
        <w:rPr>
          <w:lang w:val="fr-BE"/>
        </w:rPr>
        <w:t>FDF, 50 ans d’engagement politique</w:t>
      </w:r>
      <w:r w:rsidRPr="00D05D58">
        <w:rPr>
          <w:lang w:val="fr-BE"/>
        </w:rPr>
        <w:t>,  Brussels, 2014, p. 51 at p. 69.</w:t>
      </w:r>
    </w:p>
  </w:footnote>
  <w:footnote w:id="160">
    <w:p w14:paraId="216F23E8" w14:textId="77777777" w:rsidR="00B31A46" w:rsidRPr="00AB6C22" w:rsidRDefault="00B31A46">
      <w:pPr>
        <w:pStyle w:val="Voetnoottekst"/>
        <w:rPr>
          <w:lang w:val="en-GB"/>
        </w:rPr>
      </w:pPr>
      <w:r>
        <w:rPr>
          <w:rStyle w:val="Voetnootmarkering"/>
        </w:rPr>
        <w:footnoteRef/>
      </w:r>
      <w:r w:rsidRPr="00AB6C22">
        <w:rPr>
          <w:lang w:val="en-GB"/>
        </w:rPr>
        <w:t xml:space="preserve"> </w:t>
      </w:r>
      <w:r>
        <w:rPr>
          <w:lang w:val="en-GB"/>
        </w:rPr>
        <w:t>Interview Bernard Maingain, Brussels 2 August 2016.</w:t>
      </w:r>
    </w:p>
  </w:footnote>
  <w:footnote w:id="161">
    <w:p w14:paraId="3FC138DF" w14:textId="77777777" w:rsidR="00B31A46" w:rsidRPr="00BC351C" w:rsidRDefault="00B31A46">
      <w:pPr>
        <w:pStyle w:val="Voetnoottekst"/>
        <w:rPr>
          <w:lang w:val="en-GB"/>
        </w:rPr>
      </w:pPr>
      <w:r>
        <w:rPr>
          <w:rStyle w:val="Voetnootmarkering"/>
        </w:rPr>
        <w:footnoteRef/>
      </w:r>
      <w:r w:rsidRPr="00D05D58">
        <w:rPr>
          <w:lang w:val="en-GB"/>
        </w:rPr>
        <w:t xml:space="preserve"> ECtHR (Plenary), 23 July 1968, </w:t>
      </w:r>
      <w:r w:rsidRPr="00D05D58">
        <w:rPr>
          <w:i/>
          <w:lang w:val="en-GB"/>
        </w:rPr>
        <w:t>Case relating to certain aspects of the laws on the use of languages in education in Belgium</w:t>
      </w:r>
      <w:r w:rsidRPr="00D05D58">
        <w:rPr>
          <w:lang w:val="en-GB"/>
        </w:rPr>
        <w:t xml:space="preserve">, </w:t>
      </w:r>
      <w:r>
        <w:rPr>
          <w:lang w:val="en-GB"/>
        </w:rPr>
        <w:t>nos. 1474/62; 1677/62; 1691/62; 1769/63; 1994/63 and 2126/64, para. 7. The Court only found a violation of Article 2 of Protocol 1 in conjunction with Article 14 with respect to a relatively minor issue, being the fact that in the six municipalities with linguistic facilities in the periphery of Brussels, access to education in French was only provided for French-speaking residents of those municipalities, whereas no similar residence requirement was imposed on those wanting to access education in Dutch (para. 32).</w:t>
      </w:r>
    </w:p>
  </w:footnote>
  <w:footnote w:id="162">
    <w:p w14:paraId="72AFA8B0" w14:textId="77777777" w:rsidR="00B31A46" w:rsidRPr="00D458F5" w:rsidRDefault="00B31A46">
      <w:pPr>
        <w:pStyle w:val="Voetnoottekst"/>
        <w:rPr>
          <w:lang w:val="en-GB"/>
        </w:rPr>
      </w:pPr>
      <w:r>
        <w:rPr>
          <w:rStyle w:val="Voetnootmarkering"/>
        </w:rPr>
        <w:footnoteRef/>
      </w:r>
      <w:r w:rsidRPr="00D458F5">
        <w:rPr>
          <w:lang w:val="en-GB"/>
        </w:rPr>
        <w:t xml:space="preserve"> </w:t>
      </w:r>
      <w:r>
        <w:rPr>
          <w:lang w:val="en-GB"/>
        </w:rPr>
        <w:t>Broadly speaking, Regions are competent for matters related to the territory, whereas Communities are competent for matters related to culture and persons. There are three Regions, the Flemish, Walloon and Brussels ones; and three Communities, the Flemish, French and German-speaking ones.</w:t>
      </w:r>
    </w:p>
  </w:footnote>
  <w:footnote w:id="163">
    <w:p w14:paraId="57E7546F" w14:textId="085E082A" w:rsidR="00B31A46" w:rsidRPr="00FB7430" w:rsidRDefault="00B31A46">
      <w:pPr>
        <w:pStyle w:val="Voetnoottekst"/>
      </w:pPr>
      <w:r>
        <w:rPr>
          <w:rStyle w:val="Voetnootmarkering"/>
        </w:rPr>
        <w:footnoteRef/>
      </w:r>
      <w:r w:rsidRPr="00FB7430">
        <w:t xml:space="preserve"> M. </w:t>
      </w:r>
      <w:proofErr w:type="spellStart"/>
      <w:r w:rsidRPr="00FB7430">
        <w:t>Platel</w:t>
      </w:r>
      <w:proofErr w:type="spellEnd"/>
      <w:r w:rsidRPr="00FB7430">
        <w:t xml:space="preserve">, </w:t>
      </w:r>
      <w:r w:rsidRPr="00FB7430">
        <w:rPr>
          <w:i/>
        </w:rPr>
        <w:t xml:space="preserve">Communautaire geschiedenis van België, </w:t>
      </w:r>
      <w:r w:rsidRPr="00FB7430">
        <w:t xml:space="preserve">Leuven, 2004, </w:t>
      </w:r>
      <w:r>
        <w:t>p</w:t>
      </w:r>
      <w:r w:rsidRPr="00FB7430">
        <w:t>. 179-180.</w:t>
      </w:r>
    </w:p>
  </w:footnote>
  <w:footnote w:id="164">
    <w:p w14:paraId="609F00C3" w14:textId="2DFEE0A5" w:rsidR="00B31A46" w:rsidRPr="00401B47" w:rsidRDefault="00B31A46" w:rsidP="005755A9">
      <w:pPr>
        <w:pStyle w:val="Voetnoottekst"/>
        <w:rPr>
          <w:lang w:val="en-GB"/>
        </w:rPr>
      </w:pPr>
      <w:r>
        <w:rPr>
          <w:rStyle w:val="Voetnootmarkering"/>
        </w:rPr>
        <w:footnoteRef/>
      </w:r>
      <w:r w:rsidRPr="00401B47">
        <w:rPr>
          <w:lang w:val="en-GB"/>
        </w:rPr>
        <w:t xml:space="preserve"> </w:t>
      </w:r>
      <w:r>
        <w:rPr>
          <w:lang w:val="en-GB"/>
        </w:rPr>
        <w:t xml:space="preserve">Together with the smaller Walloon regionalist party </w:t>
      </w:r>
      <w:proofErr w:type="spellStart"/>
      <w:r>
        <w:rPr>
          <w:i/>
          <w:lang w:val="en-GB"/>
        </w:rPr>
        <w:t>Rassemblement</w:t>
      </w:r>
      <w:proofErr w:type="spellEnd"/>
      <w:r>
        <w:rPr>
          <w:i/>
          <w:lang w:val="en-GB"/>
        </w:rPr>
        <w:t xml:space="preserve"> </w:t>
      </w:r>
      <w:proofErr w:type="spellStart"/>
      <w:r>
        <w:rPr>
          <w:i/>
          <w:lang w:val="en-GB"/>
        </w:rPr>
        <w:t>Wallon</w:t>
      </w:r>
      <w:proofErr w:type="spellEnd"/>
      <w:r>
        <w:rPr>
          <w:i/>
          <w:lang w:val="en-GB"/>
        </w:rPr>
        <w:t xml:space="preserve"> </w:t>
      </w:r>
      <w:r>
        <w:rPr>
          <w:lang w:val="en-GB"/>
        </w:rPr>
        <w:t xml:space="preserve">and the unitary </w:t>
      </w:r>
      <w:proofErr w:type="spellStart"/>
      <w:r>
        <w:rPr>
          <w:i/>
          <w:lang w:val="en-GB"/>
        </w:rPr>
        <w:t>Parti</w:t>
      </w:r>
      <w:proofErr w:type="spellEnd"/>
      <w:r>
        <w:rPr>
          <w:i/>
          <w:lang w:val="en-GB"/>
        </w:rPr>
        <w:t xml:space="preserve"> </w:t>
      </w:r>
      <w:proofErr w:type="spellStart"/>
      <w:r>
        <w:rPr>
          <w:i/>
          <w:lang w:val="en-GB"/>
        </w:rPr>
        <w:t>Communiste</w:t>
      </w:r>
      <w:proofErr w:type="spellEnd"/>
      <w:r>
        <w:rPr>
          <w:i/>
          <w:lang w:val="en-GB"/>
        </w:rPr>
        <w:t xml:space="preserve"> </w:t>
      </w:r>
      <w:proofErr w:type="spellStart"/>
      <w:r>
        <w:rPr>
          <w:i/>
          <w:lang w:val="en-GB"/>
        </w:rPr>
        <w:t>Belge</w:t>
      </w:r>
      <w:proofErr w:type="spellEnd"/>
      <w:r>
        <w:rPr>
          <w:lang w:val="en-GB"/>
        </w:rPr>
        <w:t xml:space="preserve">. On Flemish side, the Flemish regionalist party </w:t>
      </w:r>
      <w:proofErr w:type="spellStart"/>
      <w:r>
        <w:rPr>
          <w:i/>
          <w:lang w:val="en-GB"/>
        </w:rPr>
        <w:t>Volksunie</w:t>
      </w:r>
      <w:proofErr w:type="spellEnd"/>
      <w:r>
        <w:rPr>
          <w:i/>
          <w:lang w:val="en-GB"/>
        </w:rPr>
        <w:t xml:space="preserve"> </w:t>
      </w:r>
      <w:r>
        <w:rPr>
          <w:lang w:val="en-GB"/>
        </w:rPr>
        <w:t xml:space="preserve">opposed, see P. </w:t>
      </w:r>
      <w:proofErr w:type="spellStart"/>
      <w:r>
        <w:rPr>
          <w:lang w:val="en-GB"/>
        </w:rPr>
        <w:t>Delforge</w:t>
      </w:r>
      <w:proofErr w:type="spellEnd"/>
      <w:r>
        <w:rPr>
          <w:lang w:val="en-GB"/>
        </w:rPr>
        <w:t xml:space="preserve">, </w:t>
      </w:r>
      <w:r w:rsidRPr="003953CE">
        <w:rPr>
          <w:i/>
          <w:lang w:val="en-GB"/>
        </w:rPr>
        <w:t xml:space="preserve">Le FDF et les </w:t>
      </w:r>
      <w:proofErr w:type="spellStart"/>
      <w:r w:rsidRPr="003953CE">
        <w:rPr>
          <w:i/>
          <w:lang w:val="en-GB"/>
        </w:rPr>
        <w:t>réformes</w:t>
      </w:r>
      <w:proofErr w:type="spellEnd"/>
      <w:r w:rsidRPr="003953CE">
        <w:rPr>
          <w:i/>
          <w:lang w:val="en-GB"/>
        </w:rPr>
        <w:t xml:space="preserve"> </w:t>
      </w:r>
      <w:proofErr w:type="spellStart"/>
      <w:r w:rsidRPr="003953CE">
        <w:rPr>
          <w:i/>
          <w:lang w:val="en-GB"/>
        </w:rPr>
        <w:t>institutionnelles</w:t>
      </w:r>
      <w:proofErr w:type="spellEnd"/>
      <w:r w:rsidRPr="003953CE">
        <w:rPr>
          <w:i/>
          <w:lang w:val="en-GB"/>
        </w:rPr>
        <w:t xml:space="preserve"> (1964-2014) </w:t>
      </w:r>
      <w:r w:rsidRPr="00707595">
        <w:rPr>
          <w:lang w:val="en-GB"/>
        </w:rPr>
        <w:t xml:space="preserve">in V. </w:t>
      </w:r>
      <w:proofErr w:type="spellStart"/>
      <w:r w:rsidRPr="00707595">
        <w:rPr>
          <w:lang w:val="en-GB"/>
        </w:rPr>
        <w:t>Dujardin</w:t>
      </w:r>
      <w:proofErr w:type="spellEnd"/>
      <w:r w:rsidRPr="00707595">
        <w:rPr>
          <w:lang w:val="en-GB"/>
        </w:rPr>
        <w:t xml:space="preserve"> and V. </w:t>
      </w:r>
      <w:proofErr w:type="spellStart"/>
      <w:r w:rsidRPr="00707595">
        <w:rPr>
          <w:lang w:val="en-GB"/>
        </w:rPr>
        <w:t>Delcorps</w:t>
      </w:r>
      <w:proofErr w:type="spellEnd"/>
      <w:r w:rsidRPr="00707595">
        <w:rPr>
          <w:lang w:val="en-GB"/>
        </w:rPr>
        <w:t xml:space="preserve"> (eds.), </w:t>
      </w:r>
      <w:r w:rsidRPr="003953CE">
        <w:rPr>
          <w:lang w:val="en-GB"/>
        </w:rPr>
        <w:t xml:space="preserve">FDF, 50 </w:t>
      </w:r>
      <w:proofErr w:type="spellStart"/>
      <w:r w:rsidRPr="003953CE">
        <w:rPr>
          <w:lang w:val="en-GB"/>
        </w:rPr>
        <w:t>ans</w:t>
      </w:r>
      <w:proofErr w:type="spellEnd"/>
      <w:r w:rsidRPr="003953CE">
        <w:rPr>
          <w:lang w:val="en-GB"/>
        </w:rPr>
        <w:t xml:space="preserve"> </w:t>
      </w:r>
      <w:proofErr w:type="spellStart"/>
      <w:r w:rsidRPr="003953CE">
        <w:rPr>
          <w:lang w:val="en-GB"/>
        </w:rPr>
        <w:t>d’engagement</w:t>
      </w:r>
      <w:proofErr w:type="spellEnd"/>
      <w:r w:rsidRPr="003953CE">
        <w:rPr>
          <w:lang w:val="en-GB"/>
        </w:rPr>
        <w:t xml:space="preserve"> </w:t>
      </w:r>
      <w:proofErr w:type="spellStart"/>
      <w:r w:rsidRPr="003953CE">
        <w:rPr>
          <w:lang w:val="en-GB"/>
        </w:rPr>
        <w:t>politique</w:t>
      </w:r>
      <w:proofErr w:type="spellEnd"/>
      <w:r w:rsidRPr="003953CE">
        <w:rPr>
          <w:lang w:val="en-GB"/>
        </w:rPr>
        <w:t xml:space="preserve">, </w:t>
      </w:r>
      <w:r w:rsidRPr="00707595">
        <w:rPr>
          <w:lang w:val="en-GB"/>
        </w:rPr>
        <w:t>Brussels, 2014</w:t>
      </w:r>
      <w:proofErr w:type="gramStart"/>
      <w:r w:rsidRPr="00707595">
        <w:rPr>
          <w:lang w:val="en-GB"/>
        </w:rPr>
        <w:t xml:space="preserve">, </w:t>
      </w:r>
      <w:r>
        <w:rPr>
          <w:lang w:val="en-GB"/>
        </w:rPr>
        <w:t xml:space="preserve"> p</w:t>
      </w:r>
      <w:proofErr w:type="gramEnd"/>
      <w:r>
        <w:rPr>
          <w:lang w:val="en-GB"/>
        </w:rPr>
        <w:t>. 85 at p. 125.</w:t>
      </w:r>
    </w:p>
  </w:footnote>
  <w:footnote w:id="165">
    <w:p w14:paraId="4EED1BE5" w14:textId="0A66EE11" w:rsidR="00B31A46" w:rsidRPr="00707595" w:rsidRDefault="00B31A46" w:rsidP="005755A9">
      <w:pPr>
        <w:pStyle w:val="Voetnoottekst"/>
      </w:pPr>
      <w:r>
        <w:rPr>
          <w:rStyle w:val="Voetnootmarkering"/>
        </w:rPr>
        <w:footnoteRef/>
      </w:r>
      <w:r w:rsidRPr="00707595">
        <w:t xml:space="preserve"> </w:t>
      </w:r>
      <w:r>
        <w:t xml:space="preserve">K. </w:t>
      </w:r>
      <w:proofErr w:type="spellStart"/>
      <w:r>
        <w:t>Deschouwer</w:t>
      </w:r>
      <w:proofErr w:type="spellEnd"/>
      <w:r>
        <w:t xml:space="preserve">, </w:t>
      </w:r>
      <w:r w:rsidRPr="003953CE">
        <w:rPr>
          <w:i/>
        </w:rPr>
        <w:t>Continuïteit en contradictie: het FDF in de jaren tachtig</w:t>
      </w:r>
      <w:r w:rsidRPr="00574E2A">
        <w:t xml:space="preserve">, </w:t>
      </w:r>
      <w:r w:rsidRPr="003953CE">
        <w:t>Taal en Sociale Integratie</w:t>
      </w:r>
      <w:r>
        <w:t>, 7 (</w:t>
      </w:r>
      <w:r w:rsidRPr="003953CE">
        <w:t>1984</w:t>
      </w:r>
      <w:r>
        <w:t>), p. 105 at 106.</w:t>
      </w:r>
    </w:p>
  </w:footnote>
  <w:footnote w:id="166">
    <w:p w14:paraId="7953FEF9" w14:textId="18E0B4DC" w:rsidR="00B31A46" w:rsidRPr="00FB1AC7" w:rsidRDefault="00B31A46">
      <w:pPr>
        <w:pStyle w:val="Voetnoottekst"/>
        <w:rPr>
          <w:lang w:val="fr-BE"/>
        </w:rPr>
      </w:pPr>
      <w:r>
        <w:rPr>
          <w:rStyle w:val="Voetnootmarkering"/>
        </w:rPr>
        <w:footnoteRef/>
      </w:r>
      <w:r>
        <w:rPr>
          <w:lang w:val="fr-BE"/>
        </w:rPr>
        <w:t xml:space="preserve"> P. </w:t>
      </w:r>
      <w:proofErr w:type="spellStart"/>
      <w:r>
        <w:rPr>
          <w:lang w:val="fr-BE"/>
        </w:rPr>
        <w:t>Delforge</w:t>
      </w:r>
      <w:proofErr w:type="spellEnd"/>
      <w:r>
        <w:rPr>
          <w:lang w:val="fr-BE"/>
        </w:rPr>
        <w:t xml:space="preserve">, </w:t>
      </w:r>
      <w:r w:rsidRPr="003953CE">
        <w:rPr>
          <w:i/>
          <w:lang w:val="fr-BE"/>
        </w:rPr>
        <w:t xml:space="preserve">Le FDF et les réformes institutionnelles (1964-2014) </w:t>
      </w:r>
      <w:r w:rsidRPr="00FB1AC7">
        <w:rPr>
          <w:lang w:val="fr-BE"/>
        </w:rPr>
        <w:t xml:space="preserve">in V. Dujardin and V. </w:t>
      </w:r>
      <w:proofErr w:type="spellStart"/>
      <w:r w:rsidRPr="00FB1AC7">
        <w:rPr>
          <w:lang w:val="fr-BE"/>
        </w:rPr>
        <w:t>Delcorps</w:t>
      </w:r>
      <w:proofErr w:type="spellEnd"/>
      <w:r w:rsidRPr="00FB1AC7">
        <w:rPr>
          <w:lang w:val="fr-BE"/>
        </w:rPr>
        <w:t xml:space="preserve"> (</w:t>
      </w:r>
      <w:proofErr w:type="spellStart"/>
      <w:r w:rsidRPr="00FB1AC7">
        <w:rPr>
          <w:lang w:val="fr-BE"/>
        </w:rPr>
        <w:t>eds</w:t>
      </w:r>
      <w:proofErr w:type="spellEnd"/>
      <w:r w:rsidRPr="00FB1AC7">
        <w:rPr>
          <w:lang w:val="fr-BE"/>
        </w:rPr>
        <w:t xml:space="preserve">.), </w:t>
      </w:r>
      <w:r w:rsidRPr="003953CE">
        <w:rPr>
          <w:lang w:val="fr-BE"/>
        </w:rPr>
        <w:t>FDF, 50 ans d’engagement politique,</w:t>
      </w:r>
      <w:r w:rsidRPr="00FB1AC7">
        <w:rPr>
          <w:lang w:val="fr-BE"/>
        </w:rPr>
        <w:t xml:space="preserve">  Brussels, 2014,  p. 85 at p. 125.</w:t>
      </w:r>
    </w:p>
  </w:footnote>
  <w:footnote w:id="167">
    <w:p w14:paraId="26698E0B" w14:textId="77777777" w:rsidR="00B31A46" w:rsidRPr="000A6D45" w:rsidRDefault="00B31A46">
      <w:pPr>
        <w:pStyle w:val="Voetnoottekst"/>
        <w:rPr>
          <w:lang w:val="en-GB"/>
        </w:rPr>
      </w:pPr>
      <w:r>
        <w:rPr>
          <w:rStyle w:val="Voetnootmarkering"/>
        </w:rPr>
        <w:footnoteRef/>
      </w:r>
      <w:r w:rsidRPr="000A6D45">
        <w:rPr>
          <w:lang w:val="en-GB"/>
        </w:rPr>
        <w:t xml:space="preserve"> </w:t>
      </w:r>
      <w:proofErr w:type="gramStart"/>
      <w:r>
        <w:rPr>
          <w:lang w:val="en-GB"/>
        </w:rPr>
        <w:t>Ibid.,</w:t>
      </w:r>
      <w:proofErr w:type="gramEnd"/>
      <w:r>
        <w:rPr>
          <w:lang w:val="en-GB"/>
        </w:rPr>
        <w:t xml:space="preserve"> at p. 132.</w:t>
      </w:r>
    </w:p>
  </w:footnote>
  <w:footnote w:id="168">
    <w:p w14:paraId="3A7B11F1" w14:textId="77777777" w:rsidR="00B31A46" w:rsidRPr="00A06628" w:rsidRDefault="00B31A46">
      <w:pPr>
        <w:pStyle w:val="Voetnoottekst"/>
        <w:rPr>
          <w:lang w:val="en-GB"/>
        </w:rPr>
      </w:pPr>
      <w:r>
        <w:rPr>
          <w:rStyle w:val="Voetnootmarkering"/>
        </w:rPr>
        <w:footnoteRef/>
      </w:r>
      <w:r w:rsidRPr="00A06628">
        <w:rPr>
          <w:lang w:val="en-GB"/>
        </w:rPr>
        <w:t xml:space="preserve"> </w:t>
      </w:r>
      <w:r>
        <w:rPr>
          <w:lang w:val="en-GB"/>
        </w:rPr>
        <w:t>Interview Bernard Maingain, Brussels 2 August 2016.</w:t>
      </w:r>
    </w:p>
  </w:footnote>
  <w:footnote w:id="169">
    <w:p w14:paraId="1E6C0B24" w14:textId="77777777" w:rsidR="00B31A46" w:rsidRPr="00756A1A" w:rsidRDefault="00B31A46">
      <w:pPr>
        <w:pStyle w:val="Voetnoottekst"/>
        <w:rPr>
          <w:lang w:val="en-GB"/>
        </w:rPr>
      </w:pPr>
      <w:r>
        <w:rPr>
          <w:rStyle w:val="Voetnootmarkering"/>
        </w:rPr>
        <w:footnoteRef/>
      </w:r>
      <w:r w:rsidRPr="00756A1A">
        <w:rPr>
          <w:lang w:val="en-GB"/>
        </w:rPr>
        <w:t xml:space="preserve"> </w:t>
      </w:r>
      <w:proofErr w:type="spellStart"/>
      <w:r>
        <w:rPr>
          <w:lang w:val="en-GB"/>
        </w:rPr>
        <w:t>EComHR</w:t>
      </w:r>
      <w:proofErr w:type="spellEnd"/>
      <w:r>
        <w:rPr>
          <w:lang w:val="en-GB"/>
        </w:rPr>
        <w:t xml:space="preserve"> (</w:t>
      </w:r>
      <w:proofErr w:type="spellStart"/>
      <w:r>
        <w:rPr>
          <w:lang w:val="en-GB"/>
        </w:rPr>
        <w:t>inadm</w:t>
      </w:r>
      <w:proofErr w:type="spellEnd"/>
      <w:r>
        <w:rPr>
          <w:lang w:val="en-GB"/>
        </w:rPr>
        <w:t xml:space="preserve">.), 12 July 1983, </w:t>
      </w:r>
      <w:proofErr w:type="spellStart"/>
      <w:r>
        <w:rPr>
          <w:lang w:val="en-GB"/>
        </w:rPr>
        <w:t>Moreaux</w:t>
      </w:r>
      <w:proofErr w:type="spellEnd"/>
      <w:r>
        <w:rPr>
          <w:lang w:val="en-GB"/>
        </w:rPr>
        <w:t xml:space="preserve"> </w:t>
      </w:r>
      <w:proofErr w:type="gramStart"/>
      <w:r>
        <w:rPr>
          <w:lang w:val="en-GB"/>
        </w:rPr>
        <w:t>et</w:t>
      </w:r>
      <w:proofErr w:type="gramEnd"/>
      <w:r>
        <w:rPr>
          <w:lang w:val="en-GB"/>
        </w:rPr>
        <w:t xml:space="preserve">. </w:t>
      </w:r>
      <w:proofErr w:type="gramStart"/>
      <w:r>
        <w:rPr>
          <w:lang w:val="en-GB"/>
        </w:rPr>
        <w:t>al. v. Belgium, no. 9267/81.</w:t>
      </w:r>
      <w:proofErr w:type="gramEnd"/>
    </w:p>
  </w:footnote>
  <w:footnote w:id="170">
    <w:p w14:paraId="31F42D95" w14:textId="77777777" w:rsidR="00B31A46" w:rsidRPr="008878A6" w:rsidRDefault="00B31A46">
      <w:pPr>
        <w:pStyle w:val="Voetnoottekst"/>
        <w:rPr>
          <w:lang w:val="en-GB"/>
        </w:rPr>
      </w:pPr>
      <w:r>
        <w:rPr>
          <w:rStyle w:val="Voetnootmarkering"/>
        </w:rPr>
        <w:footnoteRef/>
      </w:r>
      <w:r w:rsidRPr="008878A6">
        <w:rPr>
          <w:lang w:val="en-GB"/>
        </w:rPr>
        <w:t xml:space="preserve"> </w:t>
      </w:r>
      <w:r>
        <w:rPr>
          <w:lang w:val="en-GB"/>
        </w:rPr>
        <w:t>Before the Court, Mathieu-</w:t>
      </w:r>
      <w:proofErr w:type="spellStart"/>
      <w:r>
        <w:rPr>
          <w:lang w:val="en-GB"/>
        </w:rPr>
        <w:t>Mohin</w:t>
      </w:r>
      <w:proofErr w:type="spellEnd"/>
      <w:r>
        <w:rPr>
          <w:lang w:val="en-GB"/>
        </w:rPr>
        <w:t xml:space="preserve">, who by then had left FDF to join the French-speaking liberal party PRL, was represented by another attorney, Jean-Jacques </w:t>
      </w:r>
      <w:proofErr w:type="spellStart"/>
      <w:r>
        <w:rPr>
          <w:lang w:val="en-GB"/>
        </w:rPr>
        <w:t>Pegorer</w:t>
      </w:r>
      <w:proofErr w:type="spellEnd"/>
      <w:r>
        <w:rPr>
          <w:lang w:val="en-GB"/>
        </w:rPr>
        <w:t>.</w:t>
      </w:r>
    </w:p>
  </w:footnote>
  <w:footnote w:id="171">
    <w:p w14:paraId="7F858E3B" w14:textId="77777777" w:rsidR="00B31A46" w:rsidRPr="00453CC7" w:rsidRDefault="00B31A46" w:rsidP="00FA59E8">
      <w:pPr>
        <w:pStyle w:val="Voetnoottekst"/>
        <w:rPr>
          <w:lang w:val="en-GB"/>
        </w:rPr>
      </w:pPr>
      <w:r>
        <w:rPr>
          <w:rStyle w:val="Voetnootmarkering"/>
        </w:rPr>
        <w:footnoteRef/>
      </w:r>
      <w:r w:rsidRPr="00453CC7">
        <w:rPr>
          <w:lang w:val="en-GB"/>
        </w:rPr>
        <w:t xml:space="preserve"> </w:t>
      </w:r>
      <w:r>
        <w:rPr>
          <w:lang w:val="en-GB"/>
        </w:rPr>
        <w:t>The Flemish Council, now Flemish Parliament, is the parliamentary body of both the Flemish Region and the Flemish Community. On the French-speaking side, the French Community Council, now Parliament of the French Community, and the Walloon Regional Council, now the Parliament of Wallonia, have never merged.</w:t>
      </w:r>
    </w:p>
  </w:footnote>
  <w:footnote w:id="172">
    <w:p w14:paraId="41AE7D39" w14:textId="77777777" w:rsidR="00B31A46" w:rsidRPr="00161527" w:rsidRDefault="00B31A46">
      <w:pPr>
        <w:pStyle w:val="Voetnoottekst"/>
        <w:rPr>
          <w:lang w:val="en-GB"/>
        </w:rPr>
      </w:pPr>
      <w:r>
        <w:rPr>
          <w:rStyle w:val="Voetnootmarkering"/>
        </w:rPr>
        <w:footnoteRef/>
      </w:r>
      <w:r w:rsidRPr="00161527">
        <w:rPr>
          <w:lang w:val="en-GB"/>
        </w:rPr>
        <w:t xml:space="preserve"> </w:t>
      </w:r>
      <w:proofErr w:type="gramStart"/>
      <w:r>
        <w:rPr>
          <w:lang w:val="en-GB"/>
        </w:rPr>
        <w:t>ECtHR (Plenary), 2 March 1987, Mathieu-</w:t>
      </w:r>
      <w:proofErr w:type="spellStart"/>
      <w:r>
        <w:rPr>
          <w:lang w:val="en-GB"/>
        </w:rPr>
        <w:t>Mohin</w:t>
      </w:r>
      <w:proofErr w:type="spellEnd"/>
      <w:r>
        <w:rPr>
          <w:lang w:val="en-GB"/>
        </w:rPr>
        <w:t xml:space="preserve"> and </w:t>
      </w:r>
      <w:proofErr w:type="spellStart"/>
      <w:r>
        <w:rPr>
          <w:lang w:val="en-GB"/>
        </w:rPr>
        <w:t>Clerfayt</w:t>
      </w:r>
      <w:proofErr w:type="spellEnd"/>
      <w:r>
        <w:rPr>
          <w:lang w:val="en-GB"/>
        </w:rPr>
        <w:t xml:space="preserve"> v. Belgium, no. 9267/81, para.</w:t>
      </w:r>
      <w:proofErr w:type="gramEnd"/>
      <w:r>
        <w:rPr>
          <w:lang w:val="en-GB"/>
        </w:rPr>
        <w:t xml:space="preserve"> 57.</w:t>
      </w:r>
    </w:p>
  </w:footnote>
  <w:footnote w:id="173">
    <w:p w14:paraId="5E06BD0F" w14:textId="77777777" w:rsidR="00B31A46" w:rsidRPr="00A16FF8" w:rsidRDefault="00B31A46" w:rsidP="008878A6">
      <w:pPr>
        <w:pStyle w:val="Voetnoottekst"/>
        <w:rPr>
          <w:lang w:val="en-GB"/>
        </w:rPr>
      </w:pPr>
      <w:r>
        <w:rPr>
          <w:rStyle w:val="Voetnootmarkering"/>
        </w:rPr>
        <w:footnoteRef/>
      </w:r>
      <w:r w:rsidRPr="00A16FF8">
        <w:rPr>
          <w:lang w:val="en-GB"/>
        </w:rPr>
        <w:t xml:space="preserve"> </w:t>
      </w:r>
      <w:r>
        <w:rPr>
          <w:lang w:val="en-GB"/>
        </w:rPr>
        <w:t>Interview Bernard Maingain, Brussels 2 August 2016.</w:t>
      </w:r>
    </w:p>
  </w:footnote>
  <w:footnote w:id="174">
    <w:p w14:paraId="438FE1FC" w14:textId="7F8718D6" w:rsidR="00B31A46" w:rsidRPr="00693D9B" w:rsidRDefault="00B31A46">
      <w:pPr>
        <w:pStyle w:val="Voetnoottekst"/>
        <w:rPr>
          <w:lang w:val="en-GB"/>
        </w:rPr>
      </w:pPr>
      <w:r>
        <w:rPr>
          <w:rStyle w:val="Voetnootmarkering"/>
        </w:rPr>
        <w:footnoteRef/>
      </w:r>
      <w:r w:rsidRPr="00693D9B">
        <w:rPr>
          <w:lang w:val="en-GB"/>
        </w:rPr>
        <w:t xml:space="preserve"> </w:t>
      </w:r>
      <w:r>
        <w:rPr>
          <w:lang w:val="en-GB"/>
        </w:rPr>
        <w:t xml:space="preserve">P. Johnson, </w:t>
      </w:r>
      <w:r>
        <w:rPr>
          <w:i/>
          <w:lang w:val="en-GB"/>
        </w:rPr>
        <w:t>Going to Strasbourg</w:t>
      </w:r>
      <w:r>
        <w:rPr>
          <w:lang w:val="en-GB"/>
        </w:rPr>
        <w:t>, Oxford, 2016, p. 175-179.</w:t>
      </w:r>
    </w:p>
  </w:footnote>
  <w:footnote w:id="175">
    <w:p w14:paraId="01DD4BDB" w14:textId="77777777" w:rsidR="00B31A46" w:rsidRPr="00D95ECE" w:rsidRDefault="00B31A46">
      <w:pPr>
        <w:pStyle w:val="Voetnoottekst"/>
        <w:rPr>
          <w:lang w:val="en-GB"/>
        </w:rPr>
      </w:pPr>
      <w:r>
        <w:rPr>
          <w:rStyle w:val="Voetnootmarkering"/>
        </w:rPr>
        <w:footnoteRef/>
      </w:r>
      <w:r w:rsidRPr="00D95ECE">
        <w:rPr>
          <w:lang w:val="en-GB"/>
        </w:rPr>
        <w:t xml:space="preserve"> </w:t>
      </w:r>
      <w:proofErr w:type="gramStart"/>
      <w:r>
        <w:rPr>
          <w:lang w:val="en-GB"/>
        </w:rPr>
        <w:t>Ibid.,</w:t>
      </w:r>
      <w:proofErr w:type="gramEnd"/>
      <w:r>
        <w:rPr>
          <w:lang w:val="en-GB"/>
        </w:rPr>
        <w:t xml:space="preserve"> p. 175-176.</w:t>
      </w:r>
    </w:p>
  </w:footnote>
  <w:footnote w:id="176">
    <w:p w14:paraId="21B3B2BA" w14:textId="77777777" w:rsidR="00B31A46" w:rsidRPr="00320BE1" w:rsidRDefault="00B31A46">
      <w:pPr>
        <w:pStyle w:val="Voetnoottekst"/>
        <w:rPr>
          <w:lang w:val="en-GB"/>
        </w:rPr>
      </w:pPr>
      <w:r>
        <w:rPr>
          <w:rStyle w:val="Voetnootmarkering"/>
        </w:rPr>
        <w:footnoteRef/>
      </w:r>
      <w:r w:rsidRPr="00320BE1">
        <w:rPr>
          <w:lang w:val="en-GB"/>
        </w:rPr>
        <w:t xml:space="preserve"> Interview Joe </w:t>
      </w:r>
      <w:proofErr w:type="spellStart"/>
      <w:r w:rsidRPr="00320BE1">
        <w:rPr>
          <w:lang w:val="en-GB"/>
        </w:rPr>
        <w:t>Verhoeven</w:t>
      </w:r>
      <w:proofErr w:type="spellEnd"/>
      <w:r w:rsidRPr="00320BE1">
        <w:rPr>
          <w:lang w:val="en-GB"/>
        </w:rPr>
        <w:t>, Louvain-la-</w:t>
      </w:r>
      <w:proofErr w:type="spellStart"/>
      <w:r w:rsidRPr="00320BE1">
        <w:rPr>
          <w:lang w:val="en-GB"/>
        </w:rPr>
        <w:t>Neuve</w:t>
      </w:r>
      <w:proofErr w:type="spellEnd"/>
      <w:r w:rsidRPr="00320BE1">
        <w:rPr>
          <w:lang w:val="en-GB"/>
        </w:rPr>
        <w:t xml:space="preserve"> 5 July 2016.</w:t>
      </w:r>
    </w:p>
  </w:footnote>
  <w:footnote w:id="177">
    <w:p w14:paraId="05DC5CD2" w14:textId="77777777" w:rsidR="00B31A46" w:rsidRPr="00330CCA" w:rsidRDefault="00B31A46">
      <w:pPr>
        <w:pStyle w:val="Voetnoottekst"/>
        <w:rPr>
          <w:lang w:val="en-GB"/>
        </w:rPr>
      </w:pPr>
      <w:r>
        <w:rPr>
          <w:rStyle w:val="Voetnootmarkering"/>
        </w:rPr>
        <w:footnoteRef/>
      </w:r>
      <w:r w:rsidRPr="00330CCA">
        <w:rPr>
          <w:lang w:val="en-GB"/>
        </w:rPr>
        <w:t xml:space="preserve"> Interview Paula Marckx, Antwerp 10 May 2016.</w:t>
      </w:r>
    </w:p>
  </w:footnote>
  <w:footnote w:id="178">
    <w:p w14:paraId="71E1A733" w14:textId="77777777" w:rsidR="00B31A46" w:rsidRPr="00330CCA" w:rsidRDefault="00B31A46">
      <w:pPr>
        <w:pStyle w:val="Voetnoottekst"/>
        <w:rPr>
          <w:lang w:val="fr-BE"/>
        </w:rPr>
      </w:pPr>
      <w:r>
        <w:rPr>
          <w:rStyle w:val="Voetnootmarkering"/>
        </w:rPr>
        <w:footnoteRef/>
      </w:r>
      <w:r w:rsidRPr="00330CCA">
        <w:rPr>
          <w:lang w:val="fr-BE"/>
        </w:rPr>
        <w:t xml:space="preserve"> Interview Xavier Magnée, Brussels 8 </w:t>
      </w:r>
      <w:proofErr w:type="spellStart"/>
      <w:r w:rsidRPr="00330CCA">
        <w:rPr>
          <w:lang w:val="fr-BE"/>
        </w:rPr>
        <w:t>June</w:t>
      </w:r>
      <w:proofErr w:type="spellEnd"/>
      <w:r w:rsidRPr="00330CCA">
        <w:rPr>
          <w:lang w:val="fr-BE"/>
        </w:rPr>
        <w:t xml:space="preserve"> 2016.</w:t>
      </w:r>
    </w:p>
  </w:footnote>
  <w:footnote w:id="179">
    <w:p w14:paraId="18E59F3E" w14:textId="77777777" w:rsidR="00B31A46" w:rsidRPr="00EE75DC" w:rsidRDefault="00B31A46">
      <w:pPr>
        <w:pStyle w:val="Voetnoottekst"/>
        <w:rPr>
          <w:lang w:val="en-GB"/>
        </w:rPr>
      </w:pPr>
      <w:r>
        <w:rPr>
          <w:rStyle w:val="Voetnootmarkering"/>
        </w:rPr>
        <w:footnoteRef/>
      </w:r>
      <w:r w:rsidRPr="00EE75DC">
        <w:rPr>
          <w:lang w:val="en-GB"/>
        </w:rPr>
        <w:t xml:space="preserve"> </w:t>
      </w:r>
      <w:r>
        <w:rPr>
          <w:lang w:val="en-GB"/>
        </w:rPr>
        <w:t>Similarly, interview Raoul Neuroth, Liège 23 June 2016.</w:t>
      </w:r>
    </w:p>
  </w:footnote>
  <w:footnote w:id="180">
    <w:p w14:paraId="3C1ADC46" w14:textId="77777777" w:rsidR="00B31A46" w:rsidRPr="00DC3B85" w:rsidRDefault="00B31A46">
      <w:pPr>
        <w:pStyle w:val="Voetnoottekst"/>
        <w:rPr>
          <w:lang w:val="en-GB"/>
        </w:rPr>
      </w:pPr>
      <w:r>
        <w:rPr>
          <w:rStyle w:val="Voetnootmarkering"/>
        </w:rPr>
        <w:footnoteRef/>
      </w:r>
      <w:r w:rsidRPr="00DC3B85">
        <w:rPr>
          <w:lang w:val="en-GB"/>
        </w:rPr>
        <w:t xml:space="preserve"> </w:t>
      </w:r>
      <w:r>
        <w:rPr>
          <w:lang w:val="en-GB"/>
        </w:rPr>
        <w:t xml:space="preserve">Interview Luc </w:t>
      </w:r>
      <w:proofErr w:type="spellStart"/>
      <w:r>
        <w:rPr>
          <w:lang w:val="en-GB"/>
        </w:rPr>
        <w:t>Peeters</w:t>
      </w:r>
      <w:proofErr w:type="spellEnd"/>
      <w:r>
        <w:rPr>
          <w:lang w:val="en-GB"/>
        </w:rPr>
        <w:t>, Antwerp 24 May 2016.</w:t>
      </w:r>
    </w:p>
  </w:footnote>
  <w:footnote w:id="181">
    <w:p w14:paraId="6D813F98" w14:textId="77777777" w:rsidR="00B31A46" w:rsidRPr="00341903" w:rsidRDefault="00B31A46">
      <w:pPr>
        <w:pStyle w:val="Voetnoottekst"/>
        <w:rPr>
          <w:lang w:val="fr-BE"/>
        </w:rPr>
      </w:pPr>
      <w:r>
        <w:rPr>
          <w:rStyle w:val="Voetnootmarkering"/>
        </w:rPr>
        <w:footnoteRef/>
      </w:r>
      <w:r w:rsidRPr="00341903">
        <w:rPr>
          <w:lang w:val="fr-BE"/>
        </w:rPr>
        <w:t xml:space="preserve"> </w:t>
      </w:r>
      <w:r w:rsidRPr="00A44C5D">
        <w:rPr>
          <w:lang w:val="fr-BE"/>
        </w:rPr>
        <w:t xml:space="preserve">Interview Françoise De </w:t>
      </w:r>
      <w:proofErr w:type="spellStart"/>
      <w:r w:rsidRPr="00A44C5D">
        <w:rPr>
          <w:lang w:val="fr-BE"/>
        </w:rPr>
        <w:t>Croo-Desguin</w:t>
      </w:r>
      <w:proofErr w:type="spellEnd"/>
      <w:r w:rsidRPr="00A44C5D">
        <w:rPr>
          <w:lang w:val="fr-BE"/>
        </w:rPr>
        <w:t xml:space="preserve">, </w:t>
      </w:r>
      <w:proofErr w:type="spellStart"/>
      <w:r w:rsidRPr="00A44C5D">
        <w:rPr>
          <w:lang w:val="fr-BE"/>
        </w:rPr>
        <w:t>G</w:t>
      </w:r>
      <w:r>
        <w:rPr>
          <w:lang w:val="fr-BE"/>
        </w:rPr>
        <w:t>h</w:t>
      </w:r>
      <w:r w:rsidRPr="00A44C5D">
        <w:rPr>
          <w:lang w:val="fr-BE"/>
        </w:rPr>
        <w:t>ent</w:t>
      </w:r>
      <w:proofErr w:type="spellEnd"/>
      <w:r w:rsidRPr="00A44C5D">
        <w:rPr>
          <w:lang w:val="fr-BE"/>
        </w:rPr>
        <w:t xml:space="preserve"> 18 May 2016.</w:t>
      </w:r>
    </w:p>
  </w:footnote>
  <w:footnote w:id="182">
    <w:p w14:paraId="1271A614" w14:textId="77777777" w:rsidR="00B31A46" w:rsidRPr="00D84EE6" w:rsidRDefault="00B31A46">
      <w:pPr>
        <w:pStyle w:val="Voetnoottekst"/>
        <w:rPr>
          <w:lang w:val="en-GB"/>
        </w:rPr>
      </w:pPr>
      <w:r>
        <w:rPr>
          <w:rStyle w:val="Voetnootmarkering"/>
        </w:rPr>
        <w:footnoteRef/>
      </w:r>
      <w:r w:rsidRPr="00D84EE6">
        <w:rPr>
          <w:lang w:val="en-GB"/>
        </w:rPr>
        <w:t xml:space="preserve"> </w:t>
      </w:r>
      <w:r>
        <w:rPr>
          <w:lang w:val="en-GB"/>
        </w:rPr>
        <w:t>Interview Leon Martens, Ghent 21 June 2016.</w:t>
      </w:r>
    </w:p>
  </w:footnote>
  <w:footnote w:id="183">
    <w:p w14:paraId="2CFD0A7C" w14:textId="77777777" w:rsidR="00B31A46" w:rsidRPr="00971033" w:rsidRDefault="00B31A46">
      <w:pPr>
        <w:pStyle w:val="Voetnoottekst"/>
        <w:rPr>
          <w:lang w:val="en-GB"/>
        </w:rPr>
      </w:pPr>
      <w:r>
        <w:rPr>
          <w:rStyle w:val="Voetnootmarkering"/>
        </w:rPr>
        <w:footnoteRef/>
      </w:r>
      <w:r w:rsidRPr="00971033">
        <w:rPr>
          <w:lang w:val="en-GB"/>
        </w:rPr>
        <w:t xml:space="preserve"> </w:t>
      </w:r>
      <w:r>
        <w:rPr>
          <w:lang w:val="en-GB"/>
        </w:rPr>
        <w:t>Interview Raoul Neuroth, Liège 23 June 2016.</w:t>
      </w:r>
    </w:p>
  </w:footnote>
  <w:footnote w:id="184">
    <w:p w14:paraId="0287F9E3" w14:textId="77777777" w:rsidR="00B31A46" w:rsidRPr="00E40CF9" w:rsidRDefault="00B31A46">
      <w:pPr>
        <w:pStyle w:val="Voetnoottekst"/>
        <w:rPr>
          <w:lang w:val="en-GB"/>
        </w:rPr>
      </w:pPr>
      <w:r>
        <w:rPr>
          <w:rStyle w:val="Voetnootmarkering"/>
        </w:rPr>
        <w:footnoteRef/>
      </w:r>
      <w:r w:rsidRPr="00E40CF9">
        <w:rPr>
          <w:lang w:val="en-GB"/>
        </w:rPr>
        <w:t xml:space="preserve"> </w:t>
      </w:r>
      <w:r>
        <w:rPr>
          <w:lang w:val="en-GB"/>
        </w:rPr>
        <w:t xml:space="preserve">Interview Luc </w:t>
      </w:r>
      <w:proofErr w:type="spellStart"/>
      <w:r>
        <w:rPr>
          <w:lang w:val="en-GB"/>
        </w:rPr>
        <w:t>Peeters</w:t>
      </w:r>
      <w:proofErr w:type="spellEnd"/>
      <w:r>
        <w:rPr>
          <w:lang w:val="en-GB"/>
        </w:rPr>
        <w:t>, Antwerp 24 May 2016.</w:t>
      </w:r>
    </w:p>
  </w:footnote>
  <w:footnote w:id="185">
    <w:p w14:paraId="358A2DD7" w14:textId="77777777" w:rsidR="00B31A46" w:rsidRPr="007460AA" w:rsidRDefault="00B31A46" w:rsidP="00C75C32">
      <w:pPr>
        <w:pStyle w:val="Voetnoottekst"/>
        <w:rPr>
          <w:lang w:val="en-GB"/>
        </w:rPr>
      </w:pPr>
      <w:r>
        <w:rPr>
          <w:rStyle w:val="Voetnootmarkering"/>
        </w:rPr>
        <w:footnoteRef/>
      </w:r>
      <w:r w:rsidRPr="007460AA">
        <w:rPr>
          <w:lang w:val="en-GB"/>
        </w:rPr>
        <w:t xml:space="preserve"> Interview Patrick Devers, G</w:t>
      </w:r>
      <w:r>
        <w:rPr>
          <w:lang w:val="en-GB"/>
        </w:rPr>
        <w:t>h</w:t>
      </w:r>
      <w:r w:rsidRPr="007460AA">
        <w:rPr>
          <w:lang w:val="en-GB"/>
        </w:rPr>
        <w:t>ent 4 March 2017.</w:t>
      </w:r>
    </w:p>
  </w:footnote>
  <w:footnote w:id="186">
    <w:p w14:paraId="110D69AD" w14:textId="7CD0BD6E" w:rsidR="00B31A46" w:rsidRPr="00850C81" w:rsidRDefault="00B31A46">
      <w:pPr>
        <w:pStyle w:val="Voetnoottekst"/>
        <w:rPr>
          <w:lang w:val="en-GB"/>
        </w:rPr>
      </w:pPr>
      <w:r>
        <w:rPr>
          <w:rStyle w:val="Voetnootmarkering"/>
        </w:rPr>
        <w:footnoteRef/>
      </w:r>
      <w:r w:rsidRPr="00850C81">
        <w:rPr>
          <w:lang w:val="en-GB"/>
        </w:rPr>
        <w:t xml:space="preserve"> </w:t>
      </w:r>
      <w:r>
        <w:rPr>
          <w:lang w:val="en-GB"/>
        </w:rPr>
        <w:t xml:space="preserve">P. Johnson, </w:t>
      </w:r>
      <w:r>
        <w:rPr>
          <w:i/>
          <w:lang w:val="en-GB"/>
        </w:rPr>
        <w:t>Going to Strasbourg</w:t>
      </w:r>
      <w:r>
        <w:rPr>
          <w:lang w:val="en-GB"/>
        </w:rPr>
        <w:t>, Oxford, 2016, p. 178.</w:t>
      </w:r>
    </w:p>
  </w:footnote>
  <w:footnote w:id="187">
    <w:p w14:paraId="4A9BD0C9" w14:textId="77777777" w:rsidR="00B31A46" w:rsidRPr="007E01B9" w:rsidRDefault="00B31A46" w:rsidP="009656CA">
      <w:pPr>
        <w:pStyle w:val="Voetnoottekst"/>
      </w:pPr>
      <w:r>
        <w:rPr>
          <w:rStyle w:val="Voetnootmarkering"/>
        </w:rPr>
        <w:footnoteRef/>
      </w:r>
      <w:r>
        <w:t xml:space="preserve"> </w:t>
      </w:r>
      <w:r w:rsidRPr="007E01B9">
        <w:t xml:space="preserve">Interview Eric Van </w:t>
      </w:r>
      <w:r>
        <w:t>d</w:t>
      </w:r>
      <w:r w:rsidRPr="007E01B9">
        <w:t xml:space="preserve">er </w:t>
      </w:r>
      <w:proofErr w:type="spellStart"/>
      <w:r w:rsidRPr="007E01B9">
        <w:t>Mussele</w:t>
      </w:r>
      <w:proofErr w:type="spellEnd"/>
      <w:r w:rsidRPr="007E01B9">
        <w:t xml:space="preserve">, </w:t>
      </w:r>
      <w:proofErr w:type="spellStart"/>
      <w:r w:rsidRPr="007E01B9">
        <w:t>Antwerp</w:t>
      </w:r>
      <w:proofErr w:type="spellEnd"/>
      <w:r w:rsidRPr="007E01B9">
        <w:t xml:space="preserve"> 13 </w:t>
      </w:r>
      <w:proofErr w:type="spellStart"/>
      <w:r w:rsidRPr="007E01B9">
        <w:t>July</w:t>
      </w:r>
      <w:proofErr w:type="spellEnd"/>
      <w:r w:rsidRPr="007E01B9">
        <w:t xml:space="preserve"> 2016.</w:t>
      </w:r>
    </w:p>
  </w:footnote>
  <w:footnote w:id="188">
    <w:p w14:paraId="56A59F09" w14:textId="77777777" w:rsidR="00B31A46" w:rsidRPr="00246B9C" w:rsidRDefault="00B31A46">
      <w:pPr>
        <w:pStyle w:val="Voetnoottekst"/>
        <w:rPr>
          <w:lang w:val="en-GB"/>
        </w:rPr>
      </w:pPr>
      <w:r>
        <w:rPr>
          <w:rStyle w:val="Voetnootmarkering"/>
        </w:rPr>
        <w:footnoteRef/>
      </w:r>
      <w:r w:rsidRPr="00246B9C">
        <w:rPr>
          <w:lang w:val="en-GB"/>
        </w:rPr>
        <w:t xml:space="preserve"> </w:t>
      </w:r>
      <w:r>
        <w:rPr>
          <w:lang w:val="en-GB"/>
        </w:rPr>
        <w:t xml:space="preserve">Interview Albert </w:t>
      </w:r>
      <w:proofErr w:type="spellStart"/>
      <w:r>
        <w:rPr>
          <w:lang w:val="en-GB"/>
        </w:rPr>
        <w:t>Fettweis</w:t>
      </w:r>
      <w:proofErr w:type="spellEnd"/>
      <w:r>
        <w:rPr>
          <w:lang w:val="en-GB"/>
        </w:rPr>
        <w:t>, Brussels 2 August 2016.</w:t>
      </w:r>
    </w:p>
  </w:footnote>
  <w:footnote w:id="189">
    <w:p w14:paraId="2AD30B51" w14:textId="77777777" w:rsidR="00B31A46" w:rsidRDefault="00B31A46">
      <w:pPr>
        <w:pStyle w:val="Voetnoottekst"/>
      </w:pPr>
      <w:r>
        <w:rPr>
          <w:rStyle w:val="Voetnootmarkering"/>
        </w:rPr>
        <w:footnoteRef/>
      </w:r>
      <w:r>
        <w:t xml:space="preserve"> </w:t>
      </w:r>
      <w:r w:rsidRPr="007E01B9">
        <w:t xml:space="preserve">Interview Eric Van </w:t>
      </w:r>
      <w:r>
        <w:t>d</w:t>
      </w:r>
      <w:r w:rsidRPr="007E01B9">
        <w:t xml:space="preserve">er </w:t>
      </w:r>
      <w:proofErr w:type="spellStart"/>
      <w:r w:rsidRPr="007E01B9">
        <w:t>Mussele</w:t>
      </w:r>
      <w:proofErr w:type="spellEnd"/>
      <w:r w:rsidRPr="007E01B9">
        <w:t xml:space="preserve">, </w:t>
      </w:r>
      <w:proofErr w:type="spellStart"/>
      <w:r w:rsidRPr="007E01B9">
        <w:t>Antwerp</w:t>
      </w:r>
      <w:proofErr w:type="spellEnd"/>
      <w:r w:rsidRPr="007E01B9">
        <w:t xml:space="preserve"> 13 </w:t>
      </w:r>
      <w:proofErr w:type="spellStart"/>
      <w:r w:rsidRPr="007E01B9">
        <w:t>July</w:t>
      </w:r>
      <w:proofErr w:type="spellEnd"/>
      <w:r w:rsidRPr="007E01B9">
        <w:t xml:space="preserve"> 2016.</w:t>
      </w:r>
    </w:p>
  </w:footnote>
  <w:footnote w:id="190">
    <w:p w14:paraId="0F7343DB" w14:textId="77777777" w:rsidR="00B31A46" w:rsidRPr="002E6099" w:rsidRDefault="00B31A46" w:rsidP="00FD6798">
      <w:pPr>
        <w:pStyle w:val="Voetnoottekst"/>
        <w:rPr>
          <w:lang w:val="fr-BE"/>
        </w:rPr>
      </w:pPr>
      <w:r>
        <w:rPr>
          <w:rStyle w:val="Voetnootmarkering"/>
        </w:rPr>
        <w:footnoteRef/>
      </w:r>
      <w:r w:rsidRPr="002E6099">
        <w:rPr>
          <w:lang w:val="fr-BE"/>
        </w:rPr>
        <w:t xml:space="preserve"> Interview Françoise Demol, Liège 8 August 2016.</w:t>
      </w:r>
    </w:p>
  </w:footnote>
  <w:footnote w:id="191">
    <w:p w14:paraId="7D65DD3E" w14:textId="1B7C0894" w:rsidR="00B31A46" w:rsidRPr="002A7C75" w:rsidRDefault="00B31A46">
      <w:pPr>
        <w:pStyle w:val="Voetnoottekst"/>
      </w:pPr>
      <w:r>
        <w:rPr>
          <w:rStyle w:val="Voetnootmarkering"/>
        </w:rPr>
        <w:footnoteRef/>
      </w:r>
      <w:r w:rsidRPr="00BC374C">
        <w:rPr>
          <w:lang w:val="en-GB"/>
        </w:rPr>
        <w:t xml:space="preserve"> On “May 1968” in Belgium, see </w:t>
      </w:r>
      <w:r>
        <w:rPr>
          <w:lang w:val="en-GB"/>
        </w:rPr>
        <w:t xml:space="preserve">G.-R. Horn, </w:t>
      </w:r>
      <w:proofErr w:type="gramStart"/>
      <w:r w:rsidRPr="003953CE">
        <w:rPr>
          <w:i/>
          <w:lang w:val="en-GB"/>
        </w:rPr>
        <w:t>The</w:t>
      </w:r>
      <w:proofErr w:type="gramEnd"/>
      <w:r w:rsidRPr="003953CE">
        <w:rPr>
          <w:i/>
          <w:lang w:val="en-GB"/>
        </w:rPr>
        <w:t xml:space="preserve"> Belgian Contribution to Global 1968</w:t>
      </w:r>
      <w:r>
        <w:rPr>
          <w:lang w:val="en-GB"/>
        </w:rPr>
        <w:t xml:space="preserve">, </w:t>
      </w:r>
      <w:r w:rsidRPr="003953CE">
        <w:rPr>
          <w:lang w:val="en-GB"/>
        </w:rPr>
        <w:t>Journal of Belgian History, 35 (2005), p</w:t>
      </w:r>
      <w:r>
        <w:rPr>
          <w:lang w:val="en-GB"/>
        </w:rPr>
        <w:t xml:space="preserve">. 597 at p. 597-635. </w:t>
      </w:r>
      <w:r w:rsidRPr="000E7FF5">
        <w:t xml:space="preserve">On </w:t>
      </w:r>
      <w:proofErr w:type="spellStart"/>
      <w:r w:rsidRPr="000E7FF5">
        <w:t>emancipatory</w:t>
      </w:r>
      <w:proofErr w:type="spellEnd"/>
      <w:r w:rsidRPr="000E7FF5">
        <w:t xml:space="preserve"> </w:t>
      </w:r>
      <w:proofErr w:type="spellStart"/>
      <w:r w:rsidRPr="000E7FF5">
        <w:t>movements</w:t>
      </w:r>
      <w:proofErr w:type="spellEnd"/>
      <w:r w:rsidRPr="000E7FF5">
        <w:t xml:space="preserve"> in Belgium, </w:t>
      </w:r>
      <w:proofErr w:type="spellStart"/>
      <w:r w:rsidRPr="000E7FF5">
        <w:t>see</w:t>
      </w:r>
      <w:proofErr w:type="spellEnd"/>
      <w:r w:rsidRPr="000E7FF5">
        <w:t xml:space="preserve"> S. Hellemans and M. </w:t>
      </w:r>
      <w:proofErr w:type="spellStart"/>
      <w:r w:rsidRPr="000E7FF5">
        <w:t>Hooghe</w:t>
      </w:r>
      <w:proofErr w:type="spellEnd"/>
      <w:r w:rsidRPr="000E7FF5">
        <w:t xml:space="preserve"> (</w:t>
      </w:r>
      <w:proofErr w:type="spellStart"/>
      <w:r w:rsidRPr="000E7FF5">
        <w:t>eds</w:t>
      </w:r>
      <w:proofErr w:type="spellEnd"/>
      <w:r w:rsidRPr="000E7FF5">
        <w:t xml:space="preserve">.), </w:t>
      </w:r>
      <w:r w:rsidRPr="002A7C75">
        <w:rPr>
          <w:i/>
        </w:rPr>
        <w:t>Van ‘</w:t>
      </w:r>
      <w:proofErr w:type="gramStart"/>
      <w:r w:rsidRPr="002A7C75">
        <w:rPr>
          <w:i/>
        </w:rPr>
        <w:t>Mei</w:t>
      </w:r>
      <w:proofErr w:type="gramEnd"/>
      <w:r w:rsidRPr="002A7C75">
        <w:rPr>
          <w:i/>
        </w:rPr>
        <w:t xml:space="preserve"> 68’ tot ‘Hand in Hand’: Nieuwe sociale bewegingen in België 1965-1995</w:t>
      </w:r>
      <w:r w:rsidRPr="002A7C75">
        <w:t>, Leuven-Apeldoorn, 1995.</w:t>
      </w:r>
    </w:p>
  </w:footnote>
  <w:footnote w:id="192">
    <w:p w14:paraId="47E583EA" w14:textId="6EFBEF86" w:rsidR="00B31A46" w:rsidRPr="00FF214E" w:rsidRDefault="00B31A46">
      <w:pPr>
        <w:pStyle w:val="Voetnoottekst"/>
        <w:rPr>
          <w:lang w:val="en-GB"/>
        </w:rPr>
      </w:pPr>
      <w:r>
        <w:rPr>
          <w:rStyle w:val="Voetnootmarkering"/>
        </w:rPr>
        <w:footnoteRef/>
      </w:r>
      <w:r w:rsidRPr="00FF214E">
        <w:rPr>
          <w:lang w:val="en-GB"/>
        </w:rPr>
        <w:t xml:space="preserve"> </w:t>
      </w:r>
      <w:r>
        <w:rPr>
          <w:lang w:val="en-GB"/>
        </w:rPr>
        <w:t xml:space="preserve">W. Van Rossum, </w:t>
      </w:r>
      <w:r w:rsidRPr="003953CE">
        <w:rPr>
          <w:i/>
          <w:lang w:val="en-GB"/>
        </w:rPr>
        <w:t>The roots of Dutch strategic human rights litigation: comparing ‘Engel’ to ‘SGP’</w:t>
      </w:r>
      <w:r>
        <w:rPr>
          <w:lang w:val="en-GB"/>
        </w:rPr>
        <w:t xml:space="preserve"> in: M. van den Brink, S. </w:t>
      </w:r>
      <w:proofErr w:type="spellStart"/>
      <w:r>
        <w:rPr>
          <w:lang w:val="en-GB"/>
        </w:rPr>
        <w:t>Burri</w:t>
      </w:r>
      <w:proofErr w:type="spellEnd"/>
      <w:r>
        <w:rPr>
          <w:lang w:val="en-GB"/>
        </w:rPr>
        <w:t xml:space="preserve"> and J. Goldschmidt (eds.), </w:t>
      </w:r>
      <w:r w:rsidRPr="003953CE">
        <w:rPr>
          <w:lang w:val="en-GB"/>
        </w:rPr>
        <w:t xml:space="preserve">Equality and human rights: nothing but trouble? </w:t>
      </w:r>
      <w:proofErr w:type="gramStart"/>
      <w:r w:rsidRPr="003953CE">
        <w:rPr>
          <w:lang w:val="en-GB"/>
        </w:rPr>
        <w:t xml:space="preserve">Liber </w:t>
      </w:r>
      <w:proofErr w:type="spellStart"/>
      <w:r w:rsidRPr="003953CE">
        <w:rPr>
          <w:lang w:val="en-GB"/>
        </w:rPr>
        <w:t>amicorum</w:t>
      </w:r>
      <w:proofErr w:type="spellEnd"/>
      <w:r w:rsidRPr="003953CE">
        <w:rPr>
          <w:lang w:val="en-GB"/>
        </w:rPr>
        <w:t xml:space="preserve"> </w:t>
      </w:r>
      <w:proofErr w:type="spellStart"/>
      <w:r w:rsidRPr="003953CE">
        <w:rPr>
          <w:lang w:val="en-GB"/>
        </w:rPr>
        <w:t>Titia</w:t>
      </w:r>
      <w:proofErr w:type="spellEnd"/>
      <w:r w:rsidRPr="003953CE">
        <w:rPr>
          <w:lang w:val="en-GB"/>
        </w:rPr>
        <w:t xml:space="preserve"> </w:t>
      </w:r>
      <w:proofErr w:type="spellStart"/>
      <w:r w:rsidRPr="003953CE">
        <w:rPr>
          <w:lang w:val="en-GB"/>
        </w:rPr>
        <w:t>Loenen</w:t>
      </w:r>
      <w:proofErr w:type="spellEnd"/>
      <w:r w:rsidRPr="003953CE">
        <w:rPr>
          <w:lang w:val="en-GB"/>
        </w:rPr>
        <w:t>,</w:t>
      </w:r>
      <w:r w:rsidRPr="001F02CF">
        <w:rPr>
          <w:lang w:val="en-GB"/>
        </w:rPr>
        <w:t xml:space="preserve"> </w:t>
      </w:r>
      <w:r>
        <w:rPr>
          <w:lang w:val="en-GB"/>
        </w:rPr>
        <w:t>Utrecht</w:t>
      </w:r>
      <w:r w:rsidRPr="001F02CF">
        <w:rPr>
          <w:lang w:val="en-GB"/>
        </w:rPr>
        <w:t xml:space="preserve">, 2015, </w:t>
      </w:r>
      <w:r>
        <w:rPr>
          <w:lang w:val="en-GB"/>
        </w:rPr>
        <w:t>p. 387 at p. 397.</w:t>
      </w:r>
      <w:proofErr w:type="gramEnd"/>
    </w:p>
  </w:footnote>
  <w:footnote w:id="193">
    <w:p w14:paraId="4B029388" w14:textId="3CDE52BA" w:rsidR="00B31A46" w:rsidRPr="00711D97" w:rsidRDefault="00B31A46" w:rsidP="00181D75">
      <w:pPr>
        <w:pStyle w:val="Voetnoottekst"/>
        <w:rPr>
          <w:lang w:val="en-GB"/>
        </w:rPr>
      </w:pPr>
      <w:r>
        <w:rPr>
          <w:rStyle w:val="Voetnootmarkering"/>
        </w:rPr>
        <w:footnoteRef/>
      </w:r>
      <w:r>
        <w:rPr>
          <w:lang w:val="en-GB"/>
        </w:rPr>
        <w:t xml:space="preserve"> M. Madsen, </w:t>
      </w:r>
      <w:r w:rsidRPr="003953CE">
        <w:rPr>
          <w:i/>
          <w:lang w:val="en-GB"/>
        </w:rPr>
        <w:t>The Protracted Institutionalization of the Strasbourg Court: From Legal Diplomacy to Integrationist Jurisprudence</w:t>
      </w:r>
      <w:r>
        <w:rPr>
          <w:lang w:val="en-GB"/>
        </w:rPr>
        <w:t xml:space="preserve"> in: J. </w:t>
      </w:r>
      <w:proofErr w:type="spellStart"/>
      <w:r>
        <w:rPr>
          <w:lang w:val="en-GB"/>
        </w:rPr>
        <w:t>Christoffersen</w:t>
      </w:r>
      <w:proofErr w:type="spellEnd"/>
      <w:r>
        <w:rPr>
          <w:lang w:val="en-GB"/>
        </w:rPr>
        <w:t xml:space="preserve"> and M. Madsen (eds.), </w:t>
      </w:r>
      <w:r>
        <w:rPr>
          <w:i/>
          <w:lang w:val="en-GB"/>
        </w:rPr>
        <w:t xml:space="preserve">The European Court of Human Rights between Law </w:t>
      </w:r>
      <w:r w:rsidRPr="004C11B2">
        <w:rPr>
          <w:i/>
          <w:lang w:val="en-GB"/>
        </w:rPr>
        <w:t>and Politics</w:t>
      </w:r>
      <w:r>
        <w:rPr>
          <w:lang w:val="en-GB"/>
        </w:rPr>
        <w:t xml:space="preserve">, Oxford, 2011, </w:t>
      </w:r>
      <w:r w:rsidRPr="00711D97">
        <w:rPr>
          <w:lang w:val="en-GB"/>
        </w:rPr>
        <w:t xml:space="preserve">p. </w:t>
      </w:r>
      <w:r>
        <w:rPr>
          <w:lang w:val="en-GB"/>
        </w:rPr>
        <w:t>43 at p. 59.</w:t>
      </w:r>
    </w:p>
  </w:footnote>
  <w:footnote w:id="194">
    <w:p w14:paraId="3CE294FC" w14:textId="77777777" w:rsidR="00B31A46" w:rsidRPr="00F2667D" w:rsidRDefault="00B31A46">
      <w:pPr>
        <w:pStyle w:val="Voetnoottekst"/>
        <w:rPr>
          <w:lang w:val="en-GB"/>
        </w:rPr>
      </w:pPr>
      <w:r>
        <w:rPr>
          <w:rStyle w:val="Voetnootmarkering"/>
        </w:rPr>
        <w:footnoteRef/>
      </w:r>
      <w:r w:rsidRPr="00F2667D">
        <w:rPr>
          <w:lang w:val="en-GB"/>
        </w:rPr>
        <w:t xml:space="preserve"> Interview Marc De Meyere, Ghent 27 July 2016.</w:t>
      </w:r>
    </w:p>
  </w:footnote>
  <w:footnote w:id="195">
    <w:p w14:paraId="5B7A5373" w14:textId="1104CFAF" w:rsidR="00B31A46" w:rsidRDefault="00B31A46">
      <w:pPr>
        <w:pStyle w:val="Voetnoottekst"/>
      </w:pPr>
      <w:r>
        <w:rPr>
          <w:rStyle w:val="Voetnootmarkering"/>
        </w:rPr>
        <w:footnoteRef/>
      </w:r>
      <w:r>
        <w:t xml:space="preserve"> Werkgroep Gezondheidsvoorlichting, </w:t>
      </w:r>
      <w:r w:rsidRPr="003953CE">
        <w:rPr>
          <w:i/>
        </w:rPr>
        <w:t>De Orde der Geneesheren en de code van medische plichtenleer</w:t>
      </w:r>
      <w:r>
        <w:t xml:space="preserve">, </w:t>
      </w:r>
      <w:proofErr w:type="spellStart"/>
      <w:r>
        <w:t>bimonthly</w:t>
      </w:r>
      <w:proofErr w:type="spellEnd"/>
      <w:r>
        <w:t xml:space="preserve"> information </w:t>
      </w:r>
      <w:proofErr w:type="spellStart"/>
      <w:r>
        <w:t>journal</w:t>
      </w:r>
      <w:proofErr w:type="spellEnd"/>
      <w:r>
        <w:t xml:space="preserve">, </w:t>
      </w:r>
      <w:proofErr w:type="spellStart"/>
      <w:r>
        <w:t>January</w:t>
      </w:r>
      <w:proofErr w:type="spellEnd"/>
      <w:r>
        <w:t xml:space="preserve"> 1975, p. 35 and 52, copy </w:t>
      </w:r>
      <w:proofErr w:type="spellStart"/>
      <w:r>
        <w:t>obtained</w:t>
      </w:r>
      <w:proofErr w:type="spellEnd"/>
      <w:r>
        <w:t xml:space="preserve"> </w:t>
      </w:r>
      <w:proofErr w:type="spellStart"/>
      <w:r>
        <w:t>through</w:t>
      </w:r>
      <w:proofErr w:type="spellEnd"/>
      <w:r>
        <w:t xml:space="preserve"> Marc De Meyere.</w:t>
      </w:r>
    </w:p>
  </w:footnote>
  <w:footnote w:id="196">
    <w:p w14:paraId="7EE03CB0" w14:textId="77777777" w:rsidR="00B31A46" w:rsidRPr="00A55852" w:rsidRDefault="00B31A46" w:rsidP="00687D0A">
      <w:pPr>
        <w:pStyle w:val="Voetnoottekst"/>
        <w:rPr>
          <w:lang w:val="en-GB"/>
        </w:rPr>
      </w:pPr>
      <w:r>
        <w:rPr>
          <w:rStyle w:val="Voetnootmarkering"/>
        </w:rPr>
        <w:footnoteRef/>
      </w:r>
      <w:r w:rsidRPr="00A55852">
        <w:rPr>
          <w:lang w:val="en-GB"/>
        </w:rPr>
        <w:t xml:space="preserve"> </w:t>
      </w:r>
      <w:r w:rsidRPr="00F2667D">
        <w:rPr>
          <w:lang w:val="en-GB"/>
        </w:rPr>
        <w:t>Interview Marc De Meyere, Ghent 27 July 2016.</w:t>
      </w:r>
    </w:p>
  </w:footnote>
  <w:footnote w:id="197">
    <w:p w14:paraId="7B852AF0" w14:textId="77777777" w:rsidR="00B31A46" w:rsidRPr="005C2AA0" w:rsidRDefault="00B31A46" w:rsidP="00A759F6">
      <w:pPr>
        <w:pStyle w:val="Voetnoottekst"/>
        <w:rPr>
          <w:lang w:val="en-GB"/>
        </w:rPr>
      </w:pPr>
      <w:r>
        <w:rPr>
          <w:rStyle w:val="Voetnootmarkering"/>
        </w:rPr>
        <w:footnoteRef/>
      </w:r>
      <w:r w:rsidRPr="005C2AA0">
        <w:rPr>
          <w:lang w:val="en-GB"/>
        </w:rPr>
        <w:t xml:space="preserve"> </w:t>
      </w:r>
      <w:r w:rsidRPr="007460AA">
        <w:rPr>
          <w:lang w:val="en-GB"/>
        </w:rPr>
        <w:t>Interview Patrick Devers, G</w:t>
      </w:r>
      <w:r>
        <w:rPr>
          <w:lang w:val="en-GB"/>
        </w:rPr>
        <w:t>h</w:t>
      </w:r>
      <w:r w:rsidRPr="007460AA">
        <w:rPr>
          <w:lang w:val="en-GB"/>
        </w:rPr>
        <w:t>ent 4 March 2017.</w:t>
      </w:r>
    </w:p>
  </w:footnote>
  <w:footnote w:id="198">
    <w:p w14:paraId="3ECD34E5" w14:textId="00A018A3" w:rsidR="00B31A46" w:rsidRPr="00F45CB2" w:rsidRDefault="00B31A46">
      <w:pPr>
        <w:pStyle w:val="Voetnoottekst"/>
        <w:rPr>
          <w:lang w:val="en-GB"/>
        </w:rPr>
      </w:pPr>
      <w:r>
        <w:rPr>
          <w:rStyle w:val="Voetnootmarkering"/>
        </w:rPr>
        <w:footnoteRef/>
      </w:r>
      <w:r w:rsidRPr="00F45CB2">
        <w:rPr>
          <w:lang w:val="en-GB"/>
        </w:rPr>
        <w:t xml:space="preserve"> </w:t>
      </w:r>
      <w:r>
        <w:rPr>
          <w:lang w:val="en-GB"/>
        </w:rPr>
        <w:t xml:space="preserve">P. Johnson, </w:t>
      </w:r>
      <w:r>
        <w:rPr>
          <w:i/>
          <w:lang w:val="en-GB"/>
        </w:rPr>
        <w:t>Going to Strasbourg</w:t>
      </w:r>
      <w:r>
        <w:rPr>
          <w:lang w:val="en-GB"/>
        </w:rPr>
        <w:t>, Oxford, 2016, p. 178.</w:t>
      </w:r>
    </w:p>
  </w:footnote>
  <w:footnote w:id="199">
    <w:p w14:paraId="61730AD5" w14:textId="59D659C6" w:rsidR="00B31A46" w:rsidRPr="002A6D26" w:rsidRDefault="00B31A46">
      <w:pPr>
        <w:pStyle w:val="Voetnoottekst"/>
      </w:pPr>
      <w:r>
        <w:rPr>
          <w:rStyle w:val="Voetnootmarkering"/>
        </w:rPr>
        <w:footnoteRef/>
      </w:r>
      <w:r w:rsidRPr="002A6D26">
        <w:rPr>
          <w:lang w:val="en-GB"/>
        </w:rPr>
        <w:t xml:space="preserve"> </w:t>
      </w:r>
      <w:r w:rsidRPr="00F2667D">
        <w:rPr>
          <w:lang w:val="en-GB"/>
        </w:rPr>
        <w:t>Interview Marc De Meyere, Ghent 27 July 2016.</w:t>
      </w:r>
      <w:r>
        <w:rPr>
          <w:lang w:val="en-GB"/>
        </w:rPr>
        <w:t xml:space="preserve"> </w:t>
      </w:r>
      <w:r w:rsidRPr="002A6D26">
        <w:t xml:space="preserve">On </w:t>
      </w:r>
      <w:proofErr w:type="spellStart"/>
      <w:r w:rsidRPr="002A6D26">
        <w:t>this</w:t>
      </w:r>
      <w:proofErr w:type="spellEnd"/>
      <w:r w:rsidRPr="002A6D26">
        <w:t xml:space="preserve"> protest </w:t>
      </w:r>
      <w:proofErr w:type="spellStart"/>
      <w:r w:rsidRPr="002A6D26">
        <w:t>movement</w:t>
      </w:r>
      <w:proofErr w:type="spellEnd"/>
      <w:r w:rsidRPr="002A6D26">
        <w:t xml:space="preserve">, </w:t>
      </w:r>
      <w:proofErr w:type="spellStart"/>
      <w:r w:rsidRPr="002A6D26">
        <w:t>also</w:t>
      </w:r>
      <w:proofErr w:type="spellEnd"/>
      <w:r w:rsidRPr="002A6D26">
        <w:t xml:space="preserve"> </w:t>
      </w:r>
      <w:proofErr w:type="spellStart"/>
      <w:r w:rsidRPr="002A6D26">
        <w:t>see</w:t>
      </w:r>
      <w:proofErr w:type="spellEnd"/>
      <w:r w:rsidRPr="002A6D26">
        <w:t xml:space="preserve"> P. </w:t>
      </w:r>
      <w:proofErr w:type="spellStart"/>
      <w:r w:rsidRPr="002A6D26">
        <w:t>Vankrunkelsven</w:t>
      </w:r>
      <w:proofErr w:type="spellEnd"/>
      <w:r w:rsidRPr="002A6D26">
        <w:t>, K. Merckx, M. De Meye</w:t>
      </w:r>
      <w:r>
        <w:t xml:space="preserve">re and J. Amy, </w:t>
      </w:r>
      <w:r w:rsidRPr="003953CE">
        <w:rPr>
          <w:i/>
        </w:rPr>
        <w:t xml:space="preserve">De Orde van </w:t>
      </w:r>
      <w:proofErr w:type="gramStart"/>
      <w:r w:rsidRPr="003953CE">
        <w:rPr>
          <w:i/>
        </w:rPr>
        <w:t>geneesheren</w:t>
      </w:r>
      <w:proofErr w:type="gramEnd"/>
      <w:r w:rsidRPr="003953CE">
        <w:rPr>
          <w:i/>
        </w:rPr>
        <w:t xml:space="preserve"> op een keerpunt: hervormen of verdwijnen</w:t>
      </w:r>
      <w:r w:rsidRPr="002A6D26">
        <w:t xml:space="preserve">, </w:t>
      </w:r>
      <w:r w:rsidRPr="003953CE">
        <w:t>Tijdschrift voor Geneeskunde, (2012</w:t>
      </w:r>
      <w:r>
        <w:t>), no. 2, p. 57 at 59-60.</w:t>
      </w:r>
    </w:p>
  </w:footnote>
  <w:footnote w:id="200">
    <w:p w14:paraId="15737ED3" w14:textId="77777777" w:rsidR="00B31A46" w:rsidRPr="00F02CFE" w:rsidRDefault="00B31A46">
      <w:pPr>
        <w:pStyle w:val="Voetnoottekst"/>
        <w:rPr>
          <w:lang w:val="en-GB"/>
        </w:rPr>
      </w:pPr>
      <w:r>
        <w:rPr>
          <w:rStyle w:val="Voetnootmarkering"/>
        </w:rPr>
        <w:footnoteRef/>
      </w:r>
      <w:r w:rsidRPr="00F02CFE">
        <w:rPr>
          <w:lang w:val="en-GB"/>
        </w:rPr>
        <w:t xml:space="preserve"> </w:t>
      </w:r>
      <w:r w:rsidRPr="00F2667D">
        <w:rPr>
          <w:lang w:val="en-GB"/>
        </w:rPr>
        <w:t>Interview Marc De Meyere, Ghent 27 July 2016.</w:t>
      </w:r>
    </w:p>
  </w:footnote>
  <w:footnote w:id="201">
    <w:p w14:paraId="0AD51848" w14:textId="77777777" w:rsidR="00B31A46" w:rsidRPr="006B79D1" w:rsidRDefault="00B31A46">
      <w:pPr>
        <w:pStyle w:val="Voetnoottekst"/>
        <w:rPr>
          <w:lang w:val="fr-BE"/>
        </w:rPr>
      </w:pPr>
      <w:r>
        <w:rPr>
          <w:rStyle w:val="Voetnootmarkering"/>
        </w:rPr>
        <w:footnoteRef/>
      </w:r>
      <w:r w:rsidRPr="006B79D1">
        <w:rPr>
          <w:lang w:val="fr-BE"/>
        </w:rPr>
        <w:t xml:space="preserve"> </w:t>
      </w:r>
      <w:r w:rsidRPr="006956C1">
        <w:rPr>
          <w:lang w:val="fr-BE"/>
        </w:rPr>
        <w:t xml:space="preserve">Interview Jean-Marie </w:t>
      </w:r>
      <w:proofErr w:type="spellStart"/>
      <w:r w:rsidRPr="006956C1">
        <w:rPr>
          <w:lang w:val="fr-BE"/>
        </w:rPr>
        <w:t>Nelissen</w:t>
      </w:r>
      <w:proofErr w:type="spellEnd"/>
      <w:r w:rsidRPr="006956C1">
        <w:rPr>
          <w:lang w:val="fr-BE"/>
        </w:rPr>
        <w:t xml:space="preserve"> Grade, </w:t>
      </w:r>
      <w:r>
        <w:rPr>
          <w:lang w:val="fr-BE"/>
        </w:rPr>
        <w:t xml:space="preserve">Leuven 15 </w:t>
      </w:r>
      <w:proofErr w:type="spellStart"/>
      <w:r>
        <w:rPr>
          <w:lang w:val="fr-BE"/>
        </w:rPr>
        <w:t>December</w:t>
      </w:r>
      <w:proofErr w:type="spellEnd"/>
      <w:r>
        <w:rPr>
          <w:lang w:val="fr-BE"/>
        </w:rPr>
        <w:t xml:space="preserve"> 2016.</w:t>
      </w:r>
    </w:p>
  </w:footnote>
  <w:footnote w:id="202">
    <w:p w14:paraId="2C113B67" w14:textId="77777777" w:rsidR="00B31A46" w:rsidRPr="009C69C7" w:rsidRDefault="00B31A46">
      <w:pPr>
        <w:pStyle w:val="Voetnoottekst"/>
        <w:rPr>
          <w:lang w:val="en-GB"/>
        </w:rPr>
      </w:pPr>
      <w:r>
        <w:rPr>
          <w:rStyle w:val="Voetnootmarkering"/>
        </w:rPr>
        <w:footnoteRef/>
      </w:r>
      <w:r w:rsidRPr="009C69C7">
        <w:rPr>
          <w:lang w:val="en-GB"/>
        </w:rPr>
        <w:t xml:space="preserve"> </w:t>
      </w:r>
      <w:r w:rsidRPr="007460AA">
        <w:rPr>
          <w:lang w:val="en-GB"/>
        </w:rPr>
        <w:t>Interview Patrick Devers, G</w:t>
      </w:r>
      <w:r>
        <w:rPr>
          <w:lang w:val="en-GB"/>
        </w:rPr>
        <w:t>h</w:t>
      </w:r>
      <w:r w:rsidRPr="007460AA">
        <w:rPr>
          <w:lang w:val="en-GB"/>
        </w:rPr>
        <w:t>ent 4 March 2017.</w:t>
      </w:r>
    </w:p>
  </w:footnote>
  <w:footnote w:id="203">
    <w:p w14:paraId="2C20AF91" w14:textId="77777777" w:rsidR="00B31A46" w:rsidRPr="00771F76" w:rsidRDefault="00B31A46">
      <w:pPr>
        <w:pStyle w:val="Voetnoottekst"/>
        <w:rPr>
          <w:lang w:val="en-GB"/>
        </w:rPr>
      </w:pPr>
      <w:r>
        <w:rPr>
          <w:rStyle w:val="Voetnootmarkering"/>
        </w:rPr>
        <w:footnoteRef/>
      </w:r>
      <w:r w:rsidRPr="00771F76">
        <w:rPr>
          <w:lang w:val="en-GB"/>
        </w:rPr>
        <w:t xml:space="preserve"> </w:t>
      </w:r>
      <w:r w:rsidRPr="00F2667D">
        <w:rPr>
          <w:lang w:val="en-GB"/>
        </w:rPr>
        <w:t>Interview Marc De Meyere, Ghent 27 July 2016.</w:t>
      </w:r>
    </w:p>
  </w:footnote>
  <w:footnote w:id="204">
    <w:p w14:paraId="7CFC1CA6" w14:textId="77777777" w:rsidR="00B31A46" w:rsidRPr="00534CFA" w:rsidRDefault="00B31A46">
      <w:pPr>
        <w:pStyle w:val="Voetnoottekst"/>
        <w:rPr>
          <w:lang w:val="fr-BE"/>
        </w:rPr>
      </w:pPr>
      <w:r>
        <w:rPr>
          <w:rStyle w:val="Voetnootmarkering"/>
        </w:rPr>
        <w:footnoteRef/>
      </w:r>
      <w:r w:rsidRPr="00534CFA">
        <w:rPr>
          <w:lang w:val="fr-BE"/>
        </w:rPr>
        <w:t xml:space="preserve"> </w:t>
      </w:r>
      <w:r w:rsidRPr="00A44C5D">
        <w:rPr>
          <w:lang w:val="fr-BE"/>
        </w:rPr>
        <w:t xml:space="preserve">Interview Françoise De </w:t>
      </w:r>
      <w:proofErr w:type="spellStart"/>
      <w:r w:rsidRPr="00A44C5D">
        <w:rPr>
          <w:lang w:val="fr-BE"/>
        </w:rPr>
        <w:t>Croo-Desguin</w:t>
      </w:r>
      <w:proofErr w:type="spellEnd"/>
      <w:r w:rsidRPr="00A44C5D">
        <w:rPr>
          <w:lang w:val="fr-BE"/>
        </w:rPr>
        <w:t xml:space="preserve">, </w:t>
      </w:r>
      <w:proofErr w:type="spellStart"/>
      <w:r w:rsidRPr="00A44C5D">
        <w:rPr>
          <w:lang w:val="fr-BE"/>
        </w:rPr>
        <w:t>G</w:t>
      </w:r>
      <w:r>
        <w:rPr>
          <w:lang w:val="fr-BE"/>
        </w:rPr>
        <w:t>h</w:t>
      </w:r>
      <w:r w:rsidRPr="00A44C5D">
        <w:rPr>
          <w:lang w:val="fr-BE"/>
        </w:rPr>
        <w:t>ent</w:t>
      </w:r>
      <w:proofErr w:type="spellEnd"/>
      <w:r w:rsidRPr="00A44C5D">
        <w:rPr>
          <w:lang w:val="fr-BE"/>
        </w:rPr>
        <w:t xml:space="preserve"> 18 May 2016.</w:t>
      </w:r>
    </w:p>
  </w:footnote>
  <w:footnote w:id="205">
    <w:p w14:paraId="3A960D72" w14:textId="77777777" w:rsidR="00B31A46" w:rsidRPr="00566597" w:rsidRDefault="00B31A46" w:rsidP="00CF7DE1">
      <w:pPr>
        <w:pStyle w:val="Voetnoottekst"/>
      </w:pPr>
      <w:r>
        <w:rPr>
          <w:rStyle w:val="Voetnootmarkering"/>
        </w:rPr>
        <w:footnoteRef/>
      </w:r>
      <w:r w:rsidRPr="00566597">
        <w:t xml:space="preserve"> Interview </w:t>
      </w:r>
      <w:proofErr w:type="spellStart"/>
      <w:r w:rsidRPr="00566597">
        <w:t>Moni</w:t>
      </w:r>
      <w:proofErr w:type="spellEnd"/>
      <w:r w:rsidRPr="00566597">
        <w:t xml:space="preserve"> Van Look, Boortmeerbeek 6 </w:t>
      </w:r>
      <w:proofErr w:type="gramStart"/>
      <w:r w:rsidRPr="00566597">
        <w:t>September</w:t>
      </w:r>
      <w:proofErr w:type="gramEnd"/>
      <w:r w:rsidRPr="00566597">
        <w:t xml:space="preserve"> 2016.</w:t>
      </w:r>
    </w:p>
  </w:footnote>
  <w:footnote w:id="206">
    <w:p w14:paraId="298E93B9" w14:textId="77777777" w:rsidR="00B31A46" w:rsidRPr="006B2310" w:rsidRDefault="00B31A46" w:rsidP="0054219E">
      <w:pPr>
        <w:pStyle w:val="Voetnoottekst"/>
        <w:rPr>
          <w:lang w:val="en-GB"/>
        </w:rPr>
      </w:pPr>
      <w:r>
        <w:rPr>
          <w:rStyle w:val="Voetnootmarkering"/>
        </w:rPr>
        <w:footnoteRef/>
      </w:r>
      <w:r w:rsidRPr="006B2310">
        <w:rPr>
          <w:lang w:val="en-GB"/>
        </w:rPr>
        <w:t xml:space="preserve"> </w:t>
      </w:r>
      <w:r>
        <w:rPr>
          <w:lang w:val="en-GB"/>
        </w:rPr>
        <w:t xml:space="preserve">Interview Luc </w:t>
      </w:r>
      <w:proofErr w:type="spellStart"/>
      <w:r>
        <w:rPr>
          <w:lang w:val="en-GB"/>
        </w:rPr>
        <w:t>Peeters</w:t>
      </w:r>
      <w:proofErr w:type="spellEnd"/>
      <w:r>
        <w:rPr>
          <w:lang w:val="en-GB"/>
        </w:rPr>
        <w:t>, Antwerp 24 May 2016.</w:t>
      </w:r>
    </w:p>
  </w:footnote>
  <w:footnote w:id="207">
    <w:p w14:paraId="5DC5FAB8" w14:textId="77777777" w:rsidR="00B31A46" w:rsidRPr="0080121D" w:rsidRDefault="00B31A46">
      <w:pPr>
        <w:pStyle w:val="Voetnoottekst"/>
        <w:rPr>
          <w:lang w:val="en-GB"/>
        </w:rPr>
      </w:pPr>
      <w:r>
        <w:rPr>
          <w:rStyle w:val="Voetnootmarkering"/>
        </w:rPr>
        <w:footnoteRef/>
      </w:r>
      <w:r w:rsidRPr="0080121D">
        <w:rPr>
          <w:lang w:val="en-GB"/>
        </w:rPr>
        <w:t xml:space="preserve"> </w:t>
      </w:r>
      <w:r>
        <w:rPr>
          <w:lang w:val="en-GB"/>
        </w:rPr>
        <w:t>Interview Bernard Maingain, Brussels 2 August 2016.</w:t>
      </w:r>
    </w:p>
  </w:footnote>
  <w:footnote w:id="208">
    <w:p w14:paraId="0F304EDF" w14:textId="0F3EDFA4" w:rsidR="00B31A46" w:rsidRPr="001C54AC" w:rsidRDefault="00B31A46">
      <w:pPr>
        <w:pStyle w:val="Voetnoottekst"/>
        <w:rPr>
          <w:lang w:val="en-GB"/>
        </w:rPr>
      </w:pPr>
      <w:r>
        <w:rPr>
          <w:rStyle w:val="Voetnootmarkering"/>
        </w:rPr>
        <w:footnoteRef/>
      </w:r>
      <w:r w:rsidRPr="001C54AC">
        <w:rPr>
          <w:lang w:val="en-GB"/>
        </w:rPr>
        <w:t xml:space="preserve"> </w:t>
      </w:r>
      <w:r>
        <w:rPr>
          <w:lang w:val="en-GB"/>
        </w:rPr>
        <w:t xml:space="preserve">P. Johnson, </w:t>
      </w:r>
      <w:r>
        <w:rPr>
          <w:i/>
          <w:lang w:val="en-GB"/>
        </w:rPr>
        <w:t>Going to Strasbourg</w:t>
      </w:r>
      <w:r>
        <w:rPr>
          <w:lang w:val="en-GB"/>
        </w:rPr>
        <w:t>, Oxford, 2016.</w:t>
      </w:r>
    </w:p>
  </w:footnote>
  <w:footnote w:id="209">
    <w:p w14:paraId="4B4E7550" w14:textId="77777777" w:rsidR="00B31A46" w:rsidRPr="004516BA" w:rsidRDefault="00B31A46">
      <w:pPr>
        <w:pStyle w:val="Voetnoottekst"/>
        <w:rPr>
          <w:lang w:val="fr-BE"/>
        </w:rPr>
      </w:pPr>
      <w:r>
        <w:rPr>
          <w:rStyle w:val="Voetnootmarkering"/>
        </w:rPr>
        <w:footnoteRef/>
      </w:r>
      <w:r w:rsidRPr="004516BA">
        <w:rPr>
          <w:lang w:val="fr-BE"/>
        </w:rPr>
        <w:t xml:space="preserve"> Interview Leon Martens, </w:t>
      </w:r>
      <w:proofErr w:type="spellStart"/>
      <w:r w:rsidRPr="004516BA">
        <w:rPr>
          <w:lang w:val="fr-BE"/>
        </w:rPr>
        <w:t>Ghent</w:t>
      </w:r>
      <w:proofErr w:type="spellEnd"/>
      <w:r w:rsidRPr="004516BA">
        <w:rPr>
          <w:lang w:val="fr-BE"/>
        </w:rPr>
        <w:t xml:space="preserve"> 21 </w:t>
      </w:r>
      <w:proofErr w:type="spellStart"/>
      <w:r w:rsidRPr="004516BA">
        <w:rPr>
          <w:lang w:val="fr-BE"/>
        </w:rPr>
        <w:t>June</w:t>
      </w:r>
      <w:proofErr w:type="spellEnd"/>
      <w:r w:rsidRPr="004516BA">
        <w:rPr>
          <w:lang w:val="fr-BE"/>
        </w:rPr>
        <w:t xml:space="preserve"> 2016.</w:t>
      </w:r>
    </w:p>
  </w:footnote>
  <w:footnote w:id="210">
    <w:p w14:paraId="1BF74FA9" w14:textId="77777777" w:rsidR="00B31A46" w:rsidRPr="00245B56" w:rsidRDefault="00B31A46">
      <w:pPr>
        <w:pStyle w:val="Voetnoottekst"/>
        <w:rPr>
          <w:lang w:val="fr-BE"/>
        </w:rPr>
      </w:pPr>
      <w:r>
        <w:rPr>
          <w:rStyle w:val="Voetnootmarkering"/>
        </w:rPr>
        <w:footnoteRef/>
      </w:r>
      <w:r w:rsidRPr="00245B56">
        <w:rPr>
          <w:lang w:val="fr-BE"/>
        </w:rPr>
        <w:t xml:space="preserve"> </w:t>
      </w:r>
      <w:r w:rsidRPr="006956C1">
        <w:rPr>
          <w:lang w:val="fr-BE"/>
        </w:rPr>
        <w:t xml:space="preserve">Interview Jean-Marie </w:t>
      </w:r>
      <w:proofErr w:type="spellStart"/>
      <w:r w:rsidRPr="006956C1">
        <w:rPr>
          <w:lang w:val="fr-BE"/>
        </w:rPr>
        <w:t>Nelissen</w:t>
      </w:r>
      <w:proofErr w:type="spellEnd"/>
      <w:r w:rsidRPr="006956C1">
        <w:rPr>
          <w:lang w:val="fr-BE"/>
        </w:rPr>
        <w:t xml:space="preserve"> Grade, </w:t>
      </w:r>
      <w:r>
        <w:rPr>
          <w:lang w:val="fr-BE"/>
        </w:rPr>
        <w:t xml:space="preserve">Leuven 15 </w:t>
      </w:r>
      <w:proofErr w:type="spellStart"/>
      <w:r>
        <w:rPr>
          <w:lang w:val="fr-BE"/>
        </w:rPr>
        <w:t>December</w:t>
      </w:r>
      <w:proofErr w:type="spellEnd"/>
      <w:r>
        <w:rPr>
          <w:lang w:val="fr-BE"/>
        </w:rPr>
        <w:t xml:space="preserve"> 2016.</w:t>
      </w:r>
    </w:p>
  </w:footnote>
  <w:footnote w:id="211">
    <w:p w14:paraId="79B7D8D0" w14:textId="406A41E6" w:rsidR="00B31A46" w:rsidRPr="00687577" w:rsidRDefault="00B31A46">
      <w:pPr>
        <w:pStyle w:val="Voetnoottekst"/>
        <w:rPr>
          <w:lang w:val="en-GB"/>
        </w:rPr>
      </w:pPr>
      <w:r>
        <w:rPr>
          <w:rStyle w:val="Voetnootmarkering"/>
        </w:rPr>
        <w:footnoteRef/>
      </w:r>
      <w:r w:rsidRPr="00687577">
        <w:rPr>
          <w:lang w:val="en-GB"/>
        </w:rPr>
        <w:t xml:space="preserve"> H. </w:t>
      </w:r>
      <w:proofErr w:type="spellStart"/>
      <w:r w:rsidRPr="00687577">
        <w:rPr>
          <w:lang w:val="en-GB"/>
        </w:rPr>
        <w:t>Tolley</w:t>
      </w:r>
      <w:proofErr w:type="spellEnd"/>
      <w:r w:rsidRPr="00687577">
        <w:rPr>
          <w:lang w:val="en-GB"/>
        </w:rPr>
        <w:t xml:space="preserve">, </w:t>
      </w:r>
      <w:r w:rsidRPr="003953CE">
        <w:rPr>
          <w:i/>
          <w:lang w:val="en-GB"/>
        </w:rPr>
        <w:t>Interest Group Litigation to Enforce Human Rights</w:t>
      </w:r>
      <w:r>
        <w:rPr>
          <w:lang w:val="en-GB"/>
        </w:rPr>
        <w:t xml:space="preserve">, </w:t>
      </w:r>
      <w:r w:rsidRPr="003953CE">
        <w:rPr>
          <w:lang w:val="en-GB"/>
        </w:rPr>
        <w:t>Political Science Quarterly</w:t>
      </w:r>
      <w:r>
        <w:rPr>
          <w:lang w:val="en-GB"/>
        </w:rPr>
        <w:t>, 105</w:t>
      </w:r>
      <w:r>
        <w:rPr>
          <w:i/>
          <w:lang w:val="en-GB"/>
        </w:rPr>
        <w:t xml:space="preserve"> </w:t>
      </w:r>
      <w:r>
        <w:rPr>
          <w:lang w:val="en-GB"/>
        </w:rPr>
        <w:t>(1990-91), p. 617 at p. 636-637.</w:t>
      </w:r>
    </w:p>
  </w:footnote>
  <w:footnote w:id="212">
    <w:p w14:paraId="1D059C46" w14:textId="77777777" w:rsidR="00B31A46" w:rsidRPr="00E25733" w:rsidRDefault="00B31A46">
      <w:pPr>
        <w:pStyle w:val="Voetnoottekst"/>
        <w:rPr>
          <w:lang w:val="en-GB"/>
        </w:rPr>
      </w:pPr>
      <w:r>
        <w:rPr>
          <w:rStyle w:val="Voetnootmarkering"/>
        </w:rPr>
        <w:footnoteRef/>
      </w:r>
      <w:r w:rsidRPr="00E25733">
        <w:rPr>
          <w:lang w:val="en-GB"/>
        </w:rPr>
        <w:t xml:space="preserve"> </w:t>
      </w:r>
      <w:r>
        <w:rPr>
          <w:lang w:val="en-GB"/>
        </w:rPr>
        <w:t xml:space="preserve">Interview Albert </w:t>
      </w:r>
      <w:proofErr w:type="spellStart"/>
      <w:r>
        <w:rPr>
          <w:lang w:val="en-GB"/>
        </w:rPr>
        <w:t>Fettweis</w:t>
      </w:r>
      <w:proofErr w:type="spellEnd"/>
      <w:r>
        <w:rPr>
          <w:lang w:val="en-GB"/>
        </w:rPr>
        <w:t xml:space="preserve">, Brussels 2 August 2016; and, similarly, Interview Eric Van der </w:t>
      </w:r>
      <w:proofErr w:type="spellStart"/>
      <w:r>
        <w:rPr>
          <w:lang w:val="en-GB"/>
        </w:rPr>
        <w:t>Mussele</w:t>
      </w:r>
      <w:proofErr w:type="spellEnd"/>
      <w:r>
        <w:rPr>
          <w:lang w:val="en-GB"/>
        </w:rPr>
        <w:t>, Antwerp 13 July 2016.</w:t>
      </w:r>
    </w:p>
  </w:footnote>
  <w:footnote w:id="213">
    <w:p w14:paraId="7B48F4E1" w14:textId="77777777" w:rsidR="00B31A46" w:rsidRPr="00FA65B6" w:rsidRDefault="00B31A46">
      <w:pPr>
        <w:pStyle w:val="Voetnoottekst"/>
        <w:rPr>
          <w:lang w:val="fr-BE"/>
        </w:rPr>
      </w:pPr>
      <w:r>
        <w:rPr>
          <w:rStyle w:val="Voetnootmarkering"/>
        </w:rPr>
        <w:footnoteRef/>
      </w:r>
      <w:r w:rsidRPr="00FA65B6">
        <w:rPr>
          <w:lang w:val="fr-BE"/>
        </w:rPr>
        <w:t xml:space="preserve"> </w:t>
      </w:r>
      <w:r w:rsidRPr="00566597">
        <w:rPr>
          <w:lang w:val="fr-BE"/>
        </w:rPr>
        <w:t xml:space="preserve">Interview Joe </w:t>
      </w:r>
      <w:proofErr w:type="spellStart"/>
      <w:r w:rsidRPr="00566597">
        <w:rPr>
          <w:lang w:val="fr-BE"/>
        </w:rPr>
        <w:t>Verhoeven</w:t>
      </w:r>
      <w:proofErr w:type="spellEnd"/>
      <w:r w:rsidRPr="00566597">
        <w:rPr>
          <w:lang w:val="fr-BE"/>
        </w:rPr>
        <w:t>, Louvain-la-Neuve 5 July 2016.</w:t>
      </w:r>
    </w:p>
  </w:footnote>
  <w:footnote w:id="214">
    <w:p w14:paraId="38E75892" w14:textId="77777777" w:rsidR="00B31A46" w:rsidRPr="002F5698" w:rsidRDefault="00B31A46">
      <w:pPr>
        <w:pStyle w:val="Voetnoottekst"/>
        <w:rPr>
          <w:lang w:val="en-GB"/>
        </w:rPr>
      </w:pPr>
      <w:r>
        <w:rPr>
          <w:rStyle w:val="Voetnootmarkering"/>
        </w:rPr>
        <w:footnoteRef/>
      </w:r>
      <w:r w:rsidRPr="002F5698">
        <w:rPr>
          <w:lang w:val="en-GB"/>
        </w:rPr>
        <w:t xml:space="preserve"> </w:t>
      </w:r>
      <w:r>
        <w:rPr>
          <w:lang w:val="en-GB"/>
        </w:rPr>
        <w:t xml:space="preserve">Interview Luc </w:t>
      </w:r>
      <w:proofErr w:type="spellStart"/>
      <w:r>
        <w:rPr>
          <w:lang w:val="en-GB"/>
        </w:rPr>
        <w:t>Peeters</w:t>
      </w:r>
      <w:proofErr w:type="spellEnd"/>
      <w:r>
        <w:rPr>
          <w:lang w:val="en-GB"/>
        </w:rPr>
        <w:t>, Antwerp 24 May 2016.</w:t>
      </w:r>
    </w:p>
  </w:footnote>
  <w:footnote w:id="215">
    <w:p w14:paraId="1E3DA432" w14:textId="77777777" w:rsidR="00B31A46" w:rsidRPr="009C36A4" w:rsidRDefault="00B31A46">
      <w:pPr>
        <w:pStyle w:val="Voetnoottekst"/>
        <w:rPr>
          <w:lang w:val="en-GB"/>
        </w:rPr>
      </w:pPr>
      <w:r>
        <w:rPr>
          <w:rStyle w:val="Voetnootmarkering"/>
        </w:rPr>
        <w:footnoteRef/>
      </w:r>
      <w:r w:rsidRPr="009C36A4">
        <w:rPr>
          <w:lang w:val="en-GB"/>
        </w:rPr>
        <w:t xml:space="preserve"> </w:t>
      </w:r>
      <w:r>
        <w:rPr>
          <w:lang w:val="en-GB"/>
        </w:rPr>
        <w:t>Interview Raoul Neuroth, Liège 23 June 2016.</w:t>
      </w:r>
    </w:p>
  </w:footnote>
  <w:footnote w:id="216">
    <w:p w14:paraId="3DD0CCC2" w14:textId="77777777" w:rsidR="00B31A46" w:rsidRPr="009965A1" w:rsidRDefault="00B31A46">
      <w:pPr>
        <w:pStyle w:val="Voetnoottekst"/>
        <w:rPr>
          <w:lang w:val="fr-BE"/>
        </w:rPr>
      </w:pPr>
      <w:r>
        <w:rPr>
          <w:rStyle w:val="Voetnootmarkering"/>
        </w:rPr>
        <w:footnoteRef/>
      </w:r>
      <w:r w:rsidRPr="009965A1">
        <w:rPr>
          <w:lang w:val="fr-BE"/>
        </w:rPr>
        <w:t xml:space="preserve"> </w:t>
      </w:r>
      <w:r w:rsidRPr="00A44C5D">
        <w:rPr>
          <w:lang w:val="fr-BE"/>
        </w:rPr>
        <w:t xml:space="preserve">Interview Françoise De </w:t>
      </w:r>
      <w:proofErr w:type="spellStart"/>
      <w:r w:rsidRPr="00A44C5D">
        <w:rPr>
          <w:lang w:val="fr-BE"/>
        </w:rPr>
        <w:t>Croo-Desguin</w:t>
      </w:r>
      <w:proofErr w:type="spellEnd"/>
      <w:r w:rsidRPr="00A44C5D">
        <w:rPr>
          <w:lang w:val="fr-BE"/>
        </w:rPr>
        <w:t xml:space="preserve">, </w:t>
      </w:r>
      <w:proofErr w:type="spellStart"/>
      <w:r w:rsidRPr="00A44C5D">
        <w:rPr>
          <w:lang w:val="fr-BE"/>
        </w:rPr>
        <w:t>G</w:t>
      </w:r>
      <w:r>
        <w:rPr>
          <w:lang w:val="fr-BE"/>
        </w:rPr>
        <w:t>h</w:t>
      </w:r>
      <w:r w:rsidRPr="00A44C5D">
        <w:rPr>
          <w:lang w:val="fr-BE"/>
        </w:rPr>
        <w:t>ent</w:t>
      </w:r>
      <w:proofErr w:type="spellEnd"/>
      <w:r w:rsidRPr="00A44C5D">
        <w:rPr>
          <w:lang w:val="fr-BE"/>
        </w:rPr>
        <w:t xml:space="preserve"> 18 May 2016.</w:t>
      </w:r>
    </w:p>
  </w:footnote>
  <w:footnote w:id="217">
    <w:p w14:paraId="0E4C09F8" w14:textId="77777777" w:rsidR="00B31A46" w:rsidRPr="009C36A4" w:rsidRDefault="00B31A46">
      <w:pPr>
        <w:pStyle w:val="Voetnoottekst"/>
      </w:pPr>
      <w:r>
        <w:rPr>
          <w:rStyle w:val="Voetnootmarkering"/>
        </w:rPr>
        <w:footnoteRef/>
      </w:r>
      <w:r w:rsidRPr="009C36A4">
        <w:t xml:space="preserve"> </w:t>
      </w:r>
      <w:r w:rsidRPr="00C30D51">
        <w:t xml:space="preserve">Interview </w:t>
      </w:r>
      <w:proofErr w:type="spellStart"/>
      <w:r w:rsidRPr="00C30D51">
        <w:t>Moni</w:t>
      </w:r>
      <w:proofErr w:type="spellEnd"/>
      <w:r w:rsidRPr="00C30D51">
        <w:t xml:space="preserve"> Van Look, Boortmeerbeek 6 </w:t>
      </w:r>
      <w:proofErr w:type="gramStart"/>
      <w:r w:rsidRPr="00C30D51">
        <w:t>September</w:t>
      </w:r>
      <w:proofErr w:type="gramEnd"/>
      <w:r w:rsidRPr="00C30D51">
        <w:t xml:space="preserve"> 2016.</w:t>
      </w:r>
    </w:p>
  </w:footnote>
  <w:footnote w:id="218">
    <w:p w14:paraId="16271A41" w14:textId="77777777" w:rsidR="00B31A46" w:rsidRPr="00F14140" w:rsidRDefault="00B31A46">
      <w:pPr>
        <w:pStyle w:val="Voetnoottekst"/>
        <w:rPr>
          <w:lang w:val="en-GB"/>
        </w:rPr>
      </w:pPr>
      <w:r>
        <w:rPr>
          <w:rStyle w:val="Voetnootmarkering"/>
        </w:rPr>
        <w:footnoteRef/>
      </w:r>
      <w:r w:rsidRPr="00F14140">
        <w:rPr>
          <w:lang w:val="en-GB"/>
        </w:rPr>
        <w:t xml:space="preserve"> </w:t>
      </w:r>
      <w:r w:rsidRPr="007460AA">
        <w:rPr>
          <w:lang w:val="en-GB"/>
        </w:rPr>
        <w:t>Interview Patrick Devers, G</w:t>
      </w:r>
      <w:r>
        <w:rPr>
          <w:lang w:val="en-GB"/>
        </w:rPr>
        <w:t>h</w:t>
      </w:r>
      <w:r w:rsidRPr="007460AA">
        <w:rPr>
          <w:lang w:val="en-GB"/>
        </w:rPr>
        <w:t>ent 4 March 2017.</w:t>
      </w:r>
    </w:p>
  </w:footnote>
  <w:footnote w:id="219">
    <w:p w14:paraId="7526FB10" w14:textId="77777777" w:rsidR="00B31A46" w:rsidRPr="000B0A12" w:rsidRDefault="00B31A46">
      <w:pPr>
        <w:pStyle w:val="Voetnoottekst"/>
        <w:rPr>
          <w:lang w:val="en-GB"/>
        </w:rPr>
      </w:pPr>
      <w:r>
        <w:rPr>
          <w:rStyle w:val="Voetnootmarkering"/>
        </w:rPr>
        <w:footnoteRef/>
      </w:r>
      <w:r w:rsidRPr="000B0A12">
        <w:rPr>
          <w:lang w:val="en-GB"/>
        </w:rPr>
        <w:t xml:space="preserve"> </w:t>
      </w:r>
      <w:r>
        <w:rPr>
          <w:lang w:val="en-GB"/>
        </w:rPr>
        <w:t>With the exception of Marc De Meyere, who reported to have been “devastated” by the outcome, see above.</w:t>
      </w:r>
    </w:p>
  </w:footnote>
  <w:footnote w:id="220">
    <w:p w14:paraId="737A91A4" w14:textId="77777777" w:rsidR="00B31A46" w:rsidRPr="0048640C" w:rsidRDefault="00B31A46">
      <w:pPr>
        <w:pStyle w:val="Voetnoottekst"/>
        <w:rPr>
          <w:lang w:val="en-GB"/>
        </w:rPr>
      </w:pPr>
      <w:r>
        <w:rPr>
          <w:rStyle w:val="Voetnootmarkering"/>
        </w:rPr>
        <w:footnoteRef/>
      </w:r>
      <w:r w:rsidRPr="0048640C">
        <w:rPr>
          <w:lang w:val="en-GB"/>
        </w:rPr>
        <w:t xml:space="preserve"> </w:t>
      </w:r>
      <w:r>
        <w:rPr>
          <w:lang w:val="en-GB"/>
        </w:rPr>
        <w:t>Interview Bernard Maingain, Brussels 2 August 2016.</w:t>
      </w:r>
    </w:p>
  </w:footnote>
  <w:footnote w:id="221">
    <w:p w14:paraId="40323218" w14:textId="77777777" w:rsidR="00B31A46" w:rsidRPr="00287026" w:rsidRDefault="00B31A46">
      <w:pPr>
        <w:pStyle w:val="Voetnoottekst"/>
      </w:pPr>
      <w:r>
        <w:rPr>
          <w:rStyle w:val="Voetnootmarkering"/>
        </w:rPr>
        <w:footnoteRef/>
      </w:r>
      <w:r w:rsidRPr="00287026">
        <w:t xml:space="preserve"> Interview Eric Van der </w:t>
      </w:r>
      <w:proofErr w:type="spellStart"/>
      <w:r w:rsidRPr="00287026">
        <w:t>Mussele</w:t>
      </w:r>
      <w:proofErr w:type="spellEnd"/>
      <w:r w:rsidRPr="00287026">
        <w:t xml:space="preserve">, </w:t>
      </w:r>
      <w:proofErr w:type="spellStart"/>
      <w:r w:rsidRPr="00287026">
        <w:t>Antwerp</w:t>
      </w:r>
      <w:proofErr w:type="spellEnd"/>
      <w:r w:rsidRPr="00287026">
        <w:t xml:space="preserve"> 13 </w:t>
      </w:r>
      <w:proofErr w:type="spellStart"/>
      <w:r w:rsidRPr="00287026">
        <w:t>July</w:t>
      </w:r>
      <w:proofErr w:type="spellEnd"/>
      <w:r w:rsidRPr="00287026">
        <w:t xml:space="preserve"> 2016.</w:t>
      </w:r>
    </w:p>
  </w:footnote>
  <w:footnote w:id="222">
    <w:p w14:paraId="60B8A3C0" w14:textId="77777777" w:rsidR="00B31A46" w:rsidRPr="00287026" w:rsidRDefault="00B31A46">
      <w:pPr>
        <w:pStyle w:val="Voetnoottekst"/>
        <w:rPr>
          <w:lang w:val="fr-BE"/>
        </w:rPr>
      </w:pPr>
      <w:r>
        <w:rPr>
          <w:rStyle w:val="Voetnootmarkering"/>
        </w:rPr>
        <w:footnoteRef/>
      </w:r>
      <w:r w:rsidRPr="00287026">
        <w:rPr>
          <w:lang w:val="fr-BE"/>
        </w:rPr>
        <w:t xml:space="preserve"> </w:t>
      </w:r>
      <w:r w:rsidRPr="006956C1">
        <w:rPr>
          <w:lang w:val="fr-BE"/>
        </w:rPr>
        <w:t xml:space="preserve">Interview Jean-Marie </w:t>
      </w:r>
      <w:proofErr w:type="spellStart"/>
      <w:r w:rsidRPr="006956C1">
        <w:rPr>
          <w:lang w:val="fr-BE"/>
        </w:rPr>
        <w:t>Nelissen</w:t>
      </w:r>
      <w:proofErr w:type="spellEnd"/>
      <w:r w:rsidRPr="006956C1">
        <w:rPr>
          <w:lang w:val="fr-BE"/>
        </w:rPr>
        <w:t xml:space="preserve"> Grade, </w:t>
      </w:r>
      <w:r>
        <w:rPr>
          <w:lang w:val="fr-BE"/>
        </w:rPr>
        <w:t xml:space="preserve">Leuven 15 </w:t>
      </w:r>
      <w:proofErr w:type="spellStart"/>
      <w:r>
        <w:rPr>
          <w:lang w:val="fr-BE"/>
        </w:rPr>
        <w:t>December</w:t>
      </w:r>
      <w:proofErr w:type="spellEnd"/>
      <w:r>
        <w:rPr>
          <w:lang w:val="fr-BE"/>
        </w:rPr>
        <w:t xml:space="preserve"> 2016.</w:t>
      </w:r>
    </w:p>
  </w:footnote>
  <w:footnote w:id="223">
    <w:p w14:paraId="266EDF35" w14:textId="77777777" w:rsidR="00B31A46" w:rsidRPr="005D71B2" w:rsidRDefault="00B31A46">
      <w:pPr>
        <w:pStyle w:val="Voetnoottekst"/>
        <w:rPr>
          <w:lang w:val="en-GB"/>
        </w:rPr>
      </w:pPr>
      <w:r>
        <w:rPr>
          <w:rStyle w:val="Voetnootmarkering"/>
        </w:rPr>
        <w:footnoteRef/>
      </w:r>
      <w:r w:rsidRPr="005D71B2">
        <w:rPr>
          <w:lang w:val="en-GB"/>
        </w:rPr>
        <w:t xml:space="preserve"> </w:t>
      </w:r>
      <w:r>
        <w:rPr>
          <w:lang w:val="en-GB"/>
        </w:rPr>
        <w:t xml:space="preserve">S. </w:t>
      </w:r>
      <w:proofErr w:type="spellStart"/>
      <w:r>
        <w:rPr>
          <w:lang w:val="en-GB"/>
        </w:rPr>
        <w:t>Parmentier</w:t>
      </w:r>
      <w:proofErr w:type="spellEnd"/>
      <w:r>
        <w:rPr>
          <w:lang w:val="en-GB"/>
        </w:rPr>
        <w:t xml:space="preserve">, </w:t>
      </w:r>
      <w:proofErr w:type="gramStart"/>
      <w:r>
        <w:rPr>
          <w:i/>
          <w:lang w:val="en-GB"/>
        </w:rPr>
        <w:t>The</w:t>
      </w:r>
      <w:proofErr w:type="gramEnd"/>
      <w:r>
        <w:rPr>
          <w:i/>
          <w:lang w:val="en-GB"/>
        </w:rPr>
        <w:t xml:space="preserve"> Implementation of International Human Rights Norms – A Case Study of the Individual Complaint Procedure Under the European Convention on Human Rights, </w:t>
      </w:r>
      <w:r>
        <w:rPr>
          <w:lang w:val="en-GB"/>
        </w:rPr>
        <w:t xml:space="preserve">PhD dissertation, </w:t>
      </w:r>
      <w:proofErr w:type="spellStart"/>
      <w:r>
        <w:rPr>
          <w:lang w:val="en-GB"/>
        </w:rPr>
        <w:t>Katholieke</w:t>
      </w:r>
      <w:proofErr w:type="spellEnd"/>
      <w:r>
        <w:rPr>
          <w:lang w:val="en-GB"/>
        </w:rPr>
        <w:t xml:space="preserve"> Universiteit Leuven, 1997, p. 362.</w:t>
      </w:r>
    </w:p>
  </w:footnote>
  <w:footnote w:id="224">
    <w:p w14:paraId="0675C1A9" w14:textId="4BE3A58D" w:rsidR="00B31A46" w:rsidRPr="00185B53" w:rsidRDefault="00B31A46">
      <w:pPr>
        <w:pStyle w:val="Voetnoottekst"/>
      </w:pPr>
      <w:r>
        <w:rPr>
          <w:rStyle w:val="Voetnootmarkering"/>
        </w:rPr>
        <w:footnoteRef/>
      </w:r>
      <w:r>
        <w:t xml:space="preserve"> C. Groenendijk, </w:t>
      </w:r>
      <w:r w:rsidRPr="003953CE">
        <w:rPr>
          <w:i/>
        </w:rPr>
        <w:t>Mensenrechten tussen retoriek en praktijk: Gebruik van het klachtrecht in Straatsburg en de bescherming van vreemdelingen</w:t>
      </w:r>
      <w:r>
        <w:t xml:space="preserve"> </w:t>
      </w:r>
      <w:r w:rsidRPr="00185B53">
        <w:t>in</w:t>
      </w:r>
      <w:r>
        <w:t>:</w:t>
      </w:r>
      <w:r w:rsidRPr="00185B53">
        <w:t xml:space="preserve"> </w:t>
      </w:r>
      <w:r>
        <w:t>L. Heyde, J. Leijten, T. Mertens and B. Vermeulen (</w:t>
      </w:r>
      <w:proofErr w:type="spellStart"/>
      <w:r>
        <w:t>eds</w:t>
      </w:r>
      <w:proofErr w:type="spellEnd"/>
      <w:r>
        <w:t xml:space="preserve">.), </w:t>
      </w:r>
      <w:r w:rsidRPr="003953CE">
        <w:t xml:space="preserve">Begrensde Vrijheid – Opstellen over mensenrechten aangeboden aan </w:t>
      </w:r>
      <w:proofErr w:type="spellStart"/>
      <w:r w:rsidRPr="003953CE">
        <w:t>Prof.dr</w:t>
      </w:r>
      <w:proofErr w:type="spellEnd"/>
      <w:r w:rsidRPr="003953CE">
        <w:t xml:space="preserve">. D.F. </w:t>
      </w:r>
      <w:proofErr w:type="spellStart"/>
      <w:r w:rsidRPr="003953CE">
        <w:t>Scheltens</w:t>
      </w:r>
      <w:proofErr w:type="spellEnd"/>
      <w:r w:rsidRPr="003953CE">
        <w:t xml:space="preserve"> bij zijn afscheid als hoogleraar aan de Katholieke Universiteit Nijmegen, </w:t>
      </w:r>
      <w:r>
        <w:t xml:space="preserve">Zwolle, 1989, p. 191 at p. </w:t>
      </w:r>
      <w:r w:rsidRPr="00185B53">
        <w:t>212.</w:t>
      </w:r>
    </w:p>
  </w:footnote>
  <w:footnote w:id="225">
    <w:p w14:paraId="6E9315DB" w14:textId="77777777" w:rsidR="00B31A46" w:rsidRPr="007C1619" w:rsidRDefault="00B31A46">
      <w:pPr>
        <w:pStyle w:val="Voetnoottekst"/>
        <w:rPr>
          <w:lang w:val="en-GB"/>
        </w:rPr>
      </w:pPr>
      <w:r>
        <w:rPr>
          <w:rStyle w:val="Voetnootmarkering"/>
        </w:rPr>
        <w:footnoteRef/>
      </w:r>
      <w:r w:rsidRPr="007C1619">
        <w:rPr>
          <w:lang w:val="en-GB"/>
        </w:rPr>
        <w:t xml:space="preserve"> </w:t>
      </w:r>
      <w:r>
        <w:rPr>
          <w:lang w:val="en-GB"/>
        </w:rPr>
        <w:t xml:space="preserve">Interview Albert </w:t>
      </w:r>
      <w:proofErr w:type="spellStart"/>
      <w:r>
        <w:rPr>
          <w:lang w:val="en-GB"/>
        </w:rPr>
        <w:t>Fettweis</w:t>
      </w:r>
      <w:proofErr w:type="spellEnd"/>
      <w:r>
        <w:rPr>
          <w:lang w:val="en-GB"/>
        </w:rPr>
        <w:t>, Brussels 2 August 2016. Similarly, Interview Raoul Neuroth, Liège 23 June 2016.</w:t>
      </w:r>
    </w:p>
  </w:footnote>
  <w:footnote w:id="226">
    <w:p w14:paraId="1BBA6BDF" w14:textId="77777777" w:rsidR="00B31A46" w:rsidRDefault="00B31A46">
      <w:pPr>
        <w:pStyle w:val="Voetnoottekst"/>
      </w:pPr>
      <w:r>
        <w:rPr>
          <w:rStyle w:val="Voetnootmarkering"/>
        </w:rPr>
        <w:footnoteRef/>
      </w:r>
      <w:r w:rsidRPr="00B357BC">
        <w:t xml:space="preserve"> Interview </w:t>
      </w:r>
      <w:proofErr w:type="spellStart"/>
      <w:r w:rsidRPr="00B357BC">
        <w:t>Moni</w:t>
      </w:r>
      <w:proofErr w:type="spellEnd"/>
      <w:r w:rsidRPr="00B357BC">
        <w:t xml:space="preserve"> </w:t>
      </w:r>
      <w:r w:rsidRPr="00C30D51">
        <w:t xml:space="preserve">Van Look, Boortmeerbeek 6 </w:t>
      </w:r>
      <w:proofErr w:type="gramStart"/>
      <w:r w:rsidRPr="00C30D51">
        <w:t>September</w:t>
      </w:r>
      <w:proofErr w:type="gramEnd"/>
      <w:r w:rsidRPr="00C30D51">
        <w:t xml:space="preserve"> 2016.</w:t>
      </w:r>
    </w:p>
  </w:footnote>
  <w:footnote w:id="227">
    <w:p w14:paraId="59C9007C" w14:textId="77777777" w:rsidR="00B31A46" w:rsidRPr="007A7BAB" w:rsidRDefault="00B31A46">
      <w:pPr>
        <w:pStyle w:val="Voetnoottekst"/>
        <w:rPr>
          <w:lang w:val="fr-BE"/>
        </w:rPr>
      </w:pPr>
      <w:r>
        <w:rPr>
          <w:rStyle w:val="Voetnootmarkering"/>
        </w:rPr>
        <w:footnoteRef/>
      </w:r>
      <w:r w:rsidRPr="007A7BAB">
        <w:rPr>
          <w:lang w:val="fr-BE"/>
        </w:rPr>
        <w:t xml:space="preserve"> </w:t>
      </w:r>
      <w:r w:rsidRPr="00330CCA">
        <w:rPr>
          <w:lang w:val="fr-BE"/>
        </w:rPr>
        <w:t xml:space="preserve">Interview Xavier Magnée, Brussels 8 </w:t>
      </w:r>
      <w:proofErr w:type="spellStart"/>
      <w:r w:rsidRPr="00330CCA">
        <w:rPr>
          <w:lang w:val="fr-BE"/>
        </w:rPr>
        <w:t>June</w:t>
      </w:r>
      <w:proofErr w:type="spellEnd"/>
      <w:r w:rsidRPr="00330CCA">
        <w:rPr>
          <w:lang w:val="fr-BE"/>
        </w:rPr>
        <w:t xml:space="preserve"> 2016.</w:t>
      </w:r>
    </w:p>
  </w:footnote>
  <w:footnote w:id="228">
    <w:p w14:paraId="0F2470EA" w14:textId="77777777" w:rsidR="00B31A46" w:rsidRPr="00C2180F" w:rsidRDefault="00B31A46">
      <w:pPr>
        <w:pStyle w:val="Voetnoottekst"/>
        <w:rPr>
          <w:lang w:val="en-GB"/>
        </w:rPr>
      </w:pPr>
      <w:r>
        <w:rPr>
          <w:rStyle w:val="Voetnootmarkering"/>
        </w:rPr>
        <w:footnoteRef/>
      </w:r>
      <w:r w:rsidRPr="00C2180F">
        <w:rPr>
          <w:lang w:val="en-GB"/>
        </w:rPr>
        <w:t xml:space="preserve"> </w:t>
      </w:r>
      <w:proofErr w:type="gramStart"/>
      <w:r>
        <w:rPr>
          <w:lang w:val="en-GB"/>
        </w:rPr>
        <w:t xml:space="preserve">ECtHR (Plenary), 18 June 1971, </w:t>
      </w:r>
      <w:r>
        <w:rPr>
          <w:i/>
          <w:lang w:val="en-GB"/>
        </w:rPr>
        <w:t xml:space="preserve">De Wilde, </w:t>
      </w:r>
      <w:proofErr w:type="spellStart"/>
      <w:r>
        <w:rPr>
          <w:i/>
          <w:lang w:val="en-GB"/>
        </w:rPr>
        <w:t>Ooms</w:t>
      </w:r>
      <w:proofErr w:type="spellEnd"/>
      <w:r>
        <w:rPr>
          <w:i/>
          <w:lang w:val="en-GB"/>
        </w:rPr>
        <w:t xml:space="preserve"> and </w:t>
      </w:r>
      <w:proofErr w:type="spellStart"/>
      <w:r>
        <w:rPr>
          <w:i/>
          <w:lang w:val="en-GB"/>
        </w:rPr>
        <w:t>Versyp</w:t>
      </w:r>
      <w:proofErr w:type="spellEnd"/>
      <w:r>
        <w:rPr>
          <w:i/>
          <w:lang w:val="en-GB"/>
        </w:rPr>
        <w:t xml:space="preserve"> v. Belgium</w:t>
      </w:r>
      <w:r>
        <w:rPr>
          <w:lang w:val="en-GB"/>
        </w:rPr>
        <w:t>, nos. 2832/66; 2835/66 and 2899/66; paras.</w:t>
      </w:r>
      <w:proofErr w:type="gramEnd"/>
      <w:r>
        <w:rPr>
          <w:lang w:val="en-GB"/>
        </w:rPr>
        <w:t xml:space="preserve"> 74-80.</w:t>
      </w:r>
    </w:p>
  </w:footnote>
  <w:footnote w:id="229">
    <w:p w14:paraId="040C68A6" w14:textId="6926C5A0" w:rsidR="00B31A46" w:rsidRPr="00C73D62" w:rsidRDefault="00B31A46">
      <w:pPr>
        <w:pStyle w:val="Voetnoottekst"/>
        <w:rPr>
          <w:lang w:val="en-GB"/>
        </w:rPr>
      </w:pPr>
      <w:r>
        <w:rPr>
          <w:rStyle w:val="Voetnootmarkering"/>
        </w:rPr>
        <w:footnoteRef/>
      </w:r>
      <w:r>
        <w:rPr>
          <w:lang w:val="en-GB"/>
        </w:rPr>
        <w:t xml:space="preserve"> Mutatis mutandis, B. Swart, </w:t>
      </w:r>
      <w:r w:rsidRPr="003953CE">
        <w:rPr>
          <w:i/>
          <w:lang w:val="en-GB"/>
        </w:rPr>
        <w:t>The European Convention as an Invigorator of Domestic Law in the Netherlands</w:t>
      </w:r>
      <w:r>
        <w:rPr>
          <w:lang w:val="en-GB"/>
        </w:rPr>
        <w:t xml:space="preserve">, </w:t>
      </w:r>
      <w:r w:rsidRPr="003953CE">
        <w:rPr>
          <w:lang w:val="en-GB"/>
        </w:rPr>
        <w:t>Journal of Law and Society, 26 (1999),</w:t>
      </w:r>
      <w:r>
        <w:rPr>
          <w:lang w:val="en-GB"/>
        </w:rPr>
        <w:t xml:space="preserve"> p. 38 at p</w:t>
      </w:r>
      <w:r w:rsidRPr="00C73D62">
        <w:rPr>
          <w:lang w:val="en-GB"/>
        </w:rPr>
        <w:t>.</w:t>
      </w:r>
      <w:r>
        <w:rPr>
          <w:lang w:val="en-GB"/>
        </w:rPr>
        <w:t xml:space="preserve"> </w:t>
      </w:r>
      <w:r w:rsidRPr="00C73D62">
        <w:rPr>
          <w:lang w:val="en-GB"/>
        </w:rPr>
        <w:t>43</w:t>
      </w:r>
      <w:r>
        <w:rPr>
          <w:lang w:val="en-GB"/>
        </w:rPr>
        <w:t>, discussing paternalism in the context of the Dutch criminal justice system.</w:t>
      </w:r>
    </w:p>
  </w:footnote>
  <w:footnote w:id="230">
    <w:p w14:paraId="6B175F26" w14:textId="77777777" w:rsidR="00B31A46" w:rsidRPr="00994B72" w:rsidRDefault="00B31A46">
      <w:pPr>
        <w:pStyle w:val="Voetnoottekst"/>
        <w:rPr>
          <w:lang w:val="en-GB"/>
        </w:rPr>
      </w:pPr>
      <w:r>
        <w:rPr>
          <w:rStyle w:val="Voetnootmarkering"/>
        </w:rPr>
        <w:footnoteRef/>
      </w:r>
      <w:r w:rsidRPr="00994B72">
        <w:rPr>
          <w:lang w:val="en-GB"/>
        </w:rPr>
        <w:t xml:space="preserve"> </w:t>
      </w:r>
      <w:r>
        <w:rPr>
          <w:lang w:val="en-GB"/>
        </w:rPr>
        <w:t xml:space="preserve">ECtHR (Plenary), 24 June 1982, </w:t>
      </w:r>
      <w:r>
        <w:rPr>
          <w:i/>
          <w:lang w:val="en-GB"/>
        </w:rPr>
        <w:t xml:space="preserve">Van </w:t>
      </w:r>
      <w:proofErr w:type="spellStart"/>
      <w:r>
        <w:rPr>
          <w:i/>
          <w:lang w:val="en-GB"/>
        </w:rPr>
        <w:t>Droogenbroeck</w:t>
      </w:r>
      <w:proofErr w:type="spellEnd"/>
      <w:r>
        <w:rPr>
          <w:i/>
          <w:lang w:val="en-GB"/>
        </w:rPr>
        <w:t xml:space="preserve"> v. Belgium</w:t>
      </w:r>
      <w:r>
        <w:rPr>
          <w:lang w:val="en-GB"/>
        </w:rPr>
        <w:t>, no. 7906/77, paras. 50-56.</w:t>
      </w:r>
    </w:p>
  </w:footnote>
  <w:footnote w:id="231">
    <w:p w14:paraId="7AAA3381" w14:textId="77777777" w:rsidR="00B31A46" w:rsidRPr="00CD0D5A" w:rsidRDefault="00B31A46">
      <w:pPr>
        <w:pStyle w:val="Voetnoottekst"/>
        <w:rPr>
          <w:lang w:val="en-GB"/>
        </w:rPr>
      </w:pPr>
      <w:r>
        <w:rPr>
          <w:rStyle w:val="Voetnootmarkering"/>
        </w:rPr>
        <w:footnoteRef/>
      </w:r>
      <w:r w:rsidRPr="003A3D57">
        <w:rPr>
          <w:lang w:val="en-GB"/>
        </w:rPr>
        <w:t xml:space="preserve"> </w:t>
      </w:r>
      <w:r>
        <w:rPr>
          <w:lang w:val="en-GB"/>
        </w:rPr>
        <w:t xml:space="preserve">ECtHR, 29 February 1988, </w:t>
      </w:r>
      <w:proofErr w:type="spellStart"/>
      <w:r>
        <w:rPr>
          <w:i/>
          <w:lang w:val="en-GB"/>
        </w:rPr>
        <w:t>Bouamar</w:t>
      </w:r>
      <w:proofErr w:type="spellEnd"/>
      <w:r>
        <w:rPr>
          <w:i/>
          <w:lang w:val="en-GB"/>
        </w:rPr>
        <w:t xml:space="preserve"> v. Belgium</w:t>
      </w:r>
      <w:r>
        <w:rPr>
          <w:lang w:val="en-GB"/>
        </w:rPr>
        <w:t xml:space="preserve">, no. 9106/80, paras. </w:t>
      </w:r>
      <w:r w:rsidRPr="00CD0D5A">
        <w:rPr>
          <w:lang w:val="en-GB"/>
        </w:rPr>
        <w:t>57-64.</w:t>
      </w:r>
    </w:p>
  </w:footnote>
  <w:footnote w:id="232">
    <w:p w14:paraId="6E86E20F" w14:textId="5CC70699" w:rsidR="00B31A46" w:rsidRPr="00D0589B" w:rsidRDefault="00B31A46">
      <w:pPr>
        <w:pStyle w:val="Voetnoottekst"/>
        <w:rPr>
          <w:lang w:val="en-GB"/>
        </w:rPr>
      </w:pPr>
      <w:r>
        <w:rPr>
          <w:rStyle w:val="Voetnootmarkering"/>
        </w:rPr>
        <w:footnoteRef/>
      </w:r>
      <w:r w:rsidRPr="00D0589B">
        <w:rPr>
          <w:lang w:val="en-GB"/>
        </w:rPr>
        <w:t xml:space="preserve"> </w:t>
      </w:r>
      <w:r w:rsidRPr="00C73D62">
        <w:rPr>
          <w:lang w:val="en-GB"/>
        </w:rPr>
        <w:t xml:space="preserve">B. Swart, </w:t>
      </w:r>
      <w:proofErr w:type="gramStart"/>
      <w:r w:rsidRPr="003953CE">
        <w:rPr>
          <w:i/>
          <w:lang w:val="en-GB"/>
        </w:rPr>
        <w:t>The</w:t>
      </w:r>
      <w:proofErr w:type="gramEnd"/>
      <w:r w:rsidRPr="003953CE">
        <w:rPr>
          <w:i/>
          <w:lang w:val="en-GB"/>
        </w:rPr>
        <w:t xml:space="preserve"> European Convention as an Invigorator of Domestic Law in the Netherlands</w:t>
      </w:r>
      <w:r>
        <w:rPr>
          <w:lang w:val="en-GB"/>
        </w:rPr>
        <w:t xml:space="preserve">, </w:t>
      </w:r>
      <w:r w:rsidRPr="003953CE">
        <w:rPr>
          <w:lang w:val="en-GB"/>
        </w:rPr>
        <w:t>Journal of Law and Society</w:t>
      </w:r>
      <w:r>
        <w:rPr>
          <w:lang w:val="en-GB"/>
        </w:rPr>
        <w:t>, 26</w:t>
      </w:r>
      <w:r w:rsidRPr="003953CE">
        <w:rPr>
          <w:lang w:val="en-GB"/>
        </w:rPr>
        <w:t xml:space="preserve"> </w:t>
      </w:r>
      <w:r>
        <w:rPr>
          <w:lang w:val="en-GB"/>
        </w:rPr>
        <w:t>(1999), p. 38 at p</w:t>
      </w:r>
      <w:r w:rsidRPr="00C73D62">
        <w:rPr>
          <w:lang w:val="en-GB"/>
        </w:rPr>
        <w:t>.</w:t>
      </w:r>
      <w:r>
        <w:rPr>
          <w:lang w:val="en-GB"/>
        </w:rPr>
        <w:t xml:space="preserve"> 42-</w:t>
      </w:r>
      <w:r w:rsidRPr="00C73D62">
        <w:rPr>
          <w:lang w:val="en-GB"/>
        </w:rPr>
        <w:t>43</w:t>
      </w:r>
      <w:r>
        <w:rPr>
          <w:lang w:val="en-GB"/>
        </w:rPr>
        <w:t xml:space="preserve">. Similarly, E. De Wet, </w:t>
      </w:r>
      <w:proofErr w:type="gramStart"/>
      <w:r w:rsidRPr="003953CE">
        <w:rPr>
          <w:i/>
          <w:lang w:val="en-GB"/>
        </w:rPr>
        <w:t>The</w:t>
      </w:r>
      <w:proofErr w:type="gramEnd"/>
      <w:r w:rsidRPr="003953CE">
        <w:rPr>
          <w:i/>
          <w:lang w:val="en-GB"/>
        </w:rPr>
        <w:t xml:space="preserve"> Reception Process in the Netherlands and Belgium </w:t>
      </w:r>
      <w:r>
        <w:rPr>
          <w:lang w:val="en-GB"/>
        </w:rPr>
        <w:t xml:space="preserve">in: H. Keller and A. Stone Sweet (eds.), </w:t>
      </w:r>
      <w:r>
        <w:rPr>
          <w:i/>
          <w:lang w:val="en-GB"/>
        </w:rPr>
        <w:t>A Europe of Rights</w:t>
      </w:r>
      <w:r>
        <w:rPr>
          <w:lang w:val="en-GB"/>
        </w:rPr>
        <w:t>, Oxford, 2008, p. 229 at p. 285.</w:t>
      </w:r>
    </w:p>
  </w:footnote>
  <w:footnote w:id="233">
    <w:p w14:paraId="479B3F94" w14:textId="77777777" w:rsidR="00B31A46" w:rsidRPr="00B31A46" w:rsidRDefault="00B31A46">
      <w:pPr>
        <w:pStyle w:val="Voetnoottekst"/>
        <w:rPr>
          <w:lang w:val="fr-BE"/>
        </w:rPr>
      </w:pPr>
      <w:r>
        <w:rPr>
          <w:rStyle w:val="Voetnootmarkering"/>
        </w:rPr>
        <w:footnoteRef/>
      </w:r>
      <w:r w:rsidRPr="00B31A46">
        <w:rPr>
          <w:lang w:val="fr-BE"/>
        </w:rPr>
        <w:t xml:space="preserve"> Interview Françoise De </w:t>
      </w:r>
      <w:proofErr w:type="spellStart"/>
      <w:r w:rsidRPr="00B31A46">
        <w:rPr>
          <w:lang w:val="fr-BE"/>
        </w:rPr>
        <w:t>Croo-Desguin</w:t>
      </w:r>
      <w:proofErr w:type="spellEnd"/>
      <w:r w:rsidRPr="00B31A46">
        <w:rPr>
          <w:lang w:val="fr-BE"/>
        </w:rPr>
        <w:t xml:space="preserve">, </w:t>
      </w:r>
      <w:proofErr w:type="spellStart"/>
      <w:r w:rsidRPr="00B31A46">
        <w:rPr>
          <w:lang w:val="fr-BE"/>
        </w:rPr>
        <w:t>Ghent</w:t>
      </w:r>
      <w:proofErr w:type="spellEnd"/>
      <w:r w:rsidRPr="00B31A46">
        <w:rPr>
          <w:lang w:val="fr-BE"/>
        </w:rPr>
        <w:t xml:space="preserve"> 18 May 2016.</w:t>
      </w:r>
    </w:p>
  </w:footnote>
  <w:footnote w:id="234">
    <w:p w14:paraId="29E2DA6C" w14:textId="73DE716C" w:rsidR="00B31A46" w:rsidRDefault="00B31A46">
      <w:pPr>
        <w:pStyle w:val="Voetnoottekst"/>
      </w:pPr>
      <w:r w:rsidRPr="00434F54">
        <w:rPr>
          <w:rStyle w:val="Voetnootmarkering"/>
        </w:rPr>
        <w:footnoteRef/>
      </w:r>
      <w:r w:rsidRPr="003953CE">
        <w:t xml:space="preserve"> A. Ooms, </w:t>
      </w:r>
      <w:r w:rsidRPr="003953CE">
        <w:rPr>
          <w:i/>
        </w:rPr>
        <w:t>De rechterlijke onpartijdigheid is niet steeds wat ze lijkt. Een historische en prospectieve analyse over de grens tussen objectieve en subjectieve onpartijdigheid</w:t>
      </w:r>
      <w:r>
        <w:t xml:space="preserve">, </w:t>
      </w:r>
      <w:proofErr w:type="spellStart"/>
      <w:r w:rsidRPr="003953CE">
        <w:t>Chroniques</w:t>
      </w:r>
      <w:proofErr w:type="spellEnd"/>
      <w:r w:rsidRPr="003953CE">
        <w:t xml:space="preserve"> de </w:t>
      </w:r>
      <w:proofErr w:type="spellStart"/>
      <w:r w:rsidRPr="003953CE">
        <w:t>Droit</w:t>
      </w:r>
      <w:proofErr w:type="spellEnd"/>
      <w:r w:rsidRPr="003953CE">
        <w:t xml:space="preserve"> Public – Publiekrechtelijke Kronieken</w:t>
      </w:r>
      <w:r>
        <w:t>, (2010), p. 499 at p. 501-502.</w:t>
      </w:r>
    </w:p>
  </w:footnote>
  <w:footnote w:id="235">
    <w:p w14:paraId="7EE229E9" w14:textId="77777777" w:rsidR="00B31A46" w:rsidRPr="001B5D1A" w:rsidRDefault="00B31A46">
      <w:pPr>
        <w:pStyle w:val="Voetnoottekst"/>
        <w:rPr>
          <w:lang w:val="en-GB"/>
        </w:rPr>
      </w:pPr>
      <w:r>
        <w:rPr>
          <w:rStyle w:val="Voetnootmarkering"/>
        </w:rPr>
        <w:footnoteRef/>
      </w:r>
      <w:r w:rsidRPr="001B5D1A">
        <w:rPr>
          <w:lang w:val="en-GB"/>
        </w:rPr>
        <w:t xml:space="preserve"> </w:t>
      </w:r>
      <w:r>
        <w:rPr>
          <w:lang w:val="en-GB"/>
        </w:rPr>
        <w:t xml:space="preserve">Court of Cassation 18 March 1981, </w:t>
      </w:r>
      <w:r w:rsidRPr="001B5D1A">
        <w:rPr>
          <w:lang w:val="en-GB"/>
        </w:rPr>
        <w:t xml:space="preserve">Conclusion Advocate-General J. </w:t>
      </w:r>
      <w:proofErr w:type="spellStart"/>
      <w:r>
        <w:rPr>
          <w:lang w:val="en-GB"/>
        </w:rPr>
        <w:t>Velu</w:t>
      </w:r>
      <w:proofErr w:type="spellEnd"/>
      <w:r>
        <w:rPr>
          <w:lang w:val="en-GB"/>
        </w:rPr>
        <w:t xml:space="preserve">, </w:t>
      </w:r>
      <w:proofErr w:type="spellStart"/>
      <w:r>
        <w:rPr>
          <w:i/>
          <w:lang w:val="en-GB"/>
        </w:rPr>
        <w:t>Rechtskundig</w:t>
      </w:r>
      <w:proofErr w:type="spellEnd"/>
      <w:r>
        <w:rPr>
          <w:i/>
          <w:lang w:val="en-GB"/>
        </w:rPr>
        <w:t xml:space="preserve"> </w:t>
      </w:r>
      <w:proofErr w:type="spellStart"/>
      <w:r>
        <w:rPr>
          <w:i/>
          <w:lang w:val="en-GB"/>
        </w:rPr>
        <w:t>Weekblad</w:t>
      </w:r>
      <w:proofErr w:type="spellEnd"/>
      <w:r>
        <w:rPr>
          <w:i/>
          <w:lang w:val="en-GB"/>
        </w:rPr>
        <w:t xml:space="preserve"> </w:t>
      </w:r>
      <w:r>
        <w:rPr>
          <w:lang w:val="en-GB"/>
        </w:rPr>
        <w:t xml:space="preserve">1980-81, p. 2533 at p. </w:t>
      </w:r>
      <w:r w:rsidRPr="001B5D1A">
        <w:rPr>
          <w:lang w:val="en-GB"/>
        </w:rPr>
        <w:t>2536-2537.</w:t>
      </w:r>
    </w:p>
  </w:footnote>
  <w:footnote w:id="236">
    <w:p w14:paraId="456ED731" w14:textId="77777777" w:rsidR="00B31A46" w:rsidRPr="00CA6E4D" w:rsidRDefault="00B31A46">
      <w:pPr>
        <w:pStyle w:val="Voetnoottekst"/>
        <w:rPr>
          <w:lang w:val="en-GB"/>
        </w:rPr>
      </w:pPr>
      <w:r>
        <w:rPr>
          <w:rStyle w:val="Voetnootmarkering"/>
        </w:rPr>
        <w:footnoteRef/>
      </w:r>
      <w:r w:rsidRPr="00CA6E4D">
        <w:rPr>
          <w:lang w:val="en-GB"/>
        </w:rPr>
        <w:t xml:space="preserve"> Interview Leon Martens, Ghent 21 June 2016.</w:t>
      </w:r>
    </w:p>
  </w:footnote>
  <w:footnote w:id="237">
    <w:p w14:paraId="48423CE8" w14:textId="77777777" w:rsidR="00B31A46" w:rsidRPr="00C44032" w:rsidRDefault="00B31A46">
      <w:pPr>
        <w:pStyle w:val="Voetnoottekst"/>
        <w:rPr>
          <w:lang w:val="en-GB"/>
        </w:rPr>
      </w:pPr>
      <w:r>
        <w:rPr>
          <w:rStyle w:val="Voetnootmarkering"/>
        </w:rPr>
        <w:footnoteRef/>
      </w:r>
      <w:r w:rsidRPr="00C44032">
        <w:rPr>
          <w:lang w:val="en-GB"/>
        </w:rPr>
        <w:t xml:space="preserve"> In ECtHR (Plenary) 30 October 1991, </w:t>
      </w:r>
      <w:proofErr w:type="spellStart"/>
      <w:r w:rsidRPr="00C44032">
        <w:rPr>
          <w:i/>
          <w:lang w:val="en-GB"/>
        </w:rPr>
        <w:t>Borgers</w:t>
      </w:r>
      <w:proofErr w:type="spellEnd"/>
      <w:r w:rsidRPr="00C44032">
        <w:rPr>
          <w:i/>
          <w:lang w:val="en-GB"/>
        </w:rPr>
        <w:t xml:space="preserve"> v. </w:t>
      </w:r>
      <w:r>
        <w:rPr>
          <w:i/>
          <w:lang w:val="en-GB"/>
        </w:rPr>
        <w:t>Belgium</w:t>
      </w:r>
      <w:r>
        <w:rPr>
          <w:lang w:val="en-GB"/>
        </w:rPr>
        <w:t xml:space="preserve">, no. 12005/86, the Court however found that Article 6 § 1 required the submissions of the </w:t>
      </w:r>
      <w:proofErr w:type="spellStart"/>
      <w:r>
        <w:rPr>
          <w:i/>
          <w:lang w:val="en-GB"/>
        </w:rPr>
        <w:t>procureur</w:t>
      </w:r>
      <w:proofErr w:type="spellEnd"/>
      <w:r>
        <w:rPr>
          <w:i/>
          <w:lang w:val="en-GB"/>
        </w:rPr>
        <w:t xml:space="preserve"> </w:t>
      </w:r>
      <w:proofErr w:type="spellStart"/>
      <w:r>
        <w:rPr>
          <w:i/>
          <w:lang w:val="en-GB"/>
        </w:rPr>
        <w:t>général</w:t>
      </w:r>
      <w:r>
        <w:rPr>
          <w:lang w:val="en-GB"/>
        </w:rPr>
        <w:t>’s</w:t>
      </w:r>
      <w:proofErr w:type="spellEnd"/>
      <w:r>
        <w:rPr>
          <w:lang w:val="en-GB"/>
        </w:rPr>
        <w:t xml:space="preserve"> department to be communicated to the applicant and that he should enjoy the possibility to reply to them.</w:t>
      </w:r>
    </w:p>
  </w:footnote>
  <w:footnote w:id="238">
    <w:p w14:paraId="30275C69" w14:textId="77777777" w:rsidR="00B31A46" w:rsidRPr="006F09F7" w:rsidRDefault="00B31A46">
      <w:pPr>
        <w:pStyle w:val="Voetnoottekst"/>
        <w:rPr>
          <w:lang w:val="en-GB"/>
        </w:rPr>
      </w:pPr>
      <w:r>
        <w:rPr>
          <w:rStyle w:val="Voetnootmarkering"/>
        </w:rPr>
        <w:footnoteRef/>
      </w:r>
      <w:r w:rsidRPr="006F09F7">
        <w:rPr>
          <w:lang w:val="en-GB"/>
        </w:rPr>
        <w:t xml:space="preserve"> </w:t>
      </w:r>
      <w:r>
        <w:rPr>
          <w:lang w:val="en-GB"/>
        </w:rPr>
        <w:t xml:space="preserve">S. </w:t>
      </w:r>
      <w:proofErr w:type="spellStart"/>
      <w:r>
        <w:rPr>
          <w:lang w:val="en-GB"/>
        </w:rPr>
        <w:t>Parmentier</w:t>
      </w:r>
      <w:proofErr w:type="spellEnd"/>
      <w:r>
        <w:rPr>
          <w:lang w:val="en-GB"/>
        </w:rPr>
        <w:t xml:space="preserve">, </w:t>
      </w:r>
      <w:proofErr w:type="gramStart"/>
      <w:r>
        <w:rPr>
          <w:i/>
          <w:lang w:val="en-GB"/>
        </w:rPr>
        <w:t>The</w:t>
      </w:r>
      <w:proofErr w:type="gramEnd"/>
      <w:r>
        <w:rPr>
          <w:i/>
          <w:lang w:val="en-GB"/>
        </w:rPr>
        <w:t xml:space="preserve"> Implementation of International Human Rights Norms – A Case Study of the Individual Complaint Procedure Under the European Convention on Human Rights, </w:t>
      </w:r>
      <w:r>
        <w:rPr>
          <w:lang w:val="en-GB"/>
        </w:rPr>
        <w:t xml:space="preserve">PhD dissertation, </w:t>
      </w:r>
      <w:proofErr w:type="spellStart"/>
      <w:r>
        <w:rPr>
          <w:lang w:val="en-GB"/>
        </w:rPr>
        <w:t>Katholieke</w:t>
      </w:r>
      <w:proofErr w:type="spellEnd"/>
      <w:r>
        <w:rPr>
          <w:lang w:val="en-GB"/>
        </w:rPr>
        <w:t xml:space="preserve"> Universiteit Leuven, 1997, p. 365-366.</w:t>
      </w:r>
    </w:p>
  </w:footnote>
  <w:footnote w:id="239">
    <w:p w14:paraId="7110F099" w14:textId="77777777" w:rsidR="00B31A46" w:rsidRPr="00186080" w:rsidRDefault="00B31A46">
      <w:pPr>
        <w:pStyle w:val="Voetnoottekst"/>
        <w:rPr>
          <w:lang w:val="en-GB"/>
        </w:rPr>
      </w:pPr>
      <w:r>
        <w:rPr>
          <w:rStyle w:val="Voetnootmarkering"/>
        </w:rPr>
        <w:footnoteRef/>
      </w:r>
      <w:r w:rsidRPr="00186080">
        <w:rPr>
          <w:lang w:val="en-GB"/>
        </w:rPr>
        <w:t xml:space="preserve"> </w:t>
      </w:r>
      <w:proofErr w:type="gramStart"/>
      <w:r w:rsidRPr="00186080">
        <w:rPr>
          <w:lang w:val="en-GB"/>
        </w:rPr>
        <w:t>Ibid.,</w:t>
      </w:r>
      <w:proofErr w:type="gramEnd"/>
      <w:r w:rsidRPr="00186080">
        <w:rPr>
          <w:lang w:val="en-GB"/>
        </w:rPr>
        <w:t xml:space="preserve"> p. 366.</w:t>
      </w:r>
    </w:p>
  </w:footnote>
  <w:footnote w:id="240">
    <w:p w14:paraId="31EB1039" w14:textId="77777777" w:rsidR="00B31A46" w:rsidRPr="007C26C8" w:rsidRDefault="00B31A46">
      <w:pPr>
        <w:pStyle w:val="Voetnoottekst"/>
        <w:rPr>
          <w:lang w:val="en-GB"/>
        </w:rPr>
      </w:pPr>
      <w:r>
        <w:rPr>
          <w:rStyle w:val="Voetnootmarkering"/>
        </w:rPr>
        <w:footnoteRef/>
      </w:r>
      <w:r w:rsidRPr="007C26C8">
        <w:rPr>
          <w:lang w:val="en-GB"/>
        </w:rPr>
        <w:t xml:space="preserve"> </w:t>
      </w:r>
      <w:r>
        <w:rPr>
          <w:lang w:val="en-GB"/>
        </w:rPr>
        <w:t>Interview Bernard Maingain, Brussels 2 August 2016.</w:t>
      </w:r>
    </w:p>
  </w:footnote>
  <w:footnote w:id="241">
    <w:p w14:paraId="21DA3140" w14:textId="77777777" w:rsidR="00B31A46" w:rsidRDefault="00B31A46">
      <w:pPr>
        <w:pStyle w:val="Voetnoottekst"/>
      </w:pPr>
      <w:r>
        <w:rPr>
          <w:rStyle w:val="Voetnootmarkering"/>
        </w:rPr>
        <w:footnoteRef/>
      </w:r>
      <w:r>
        <w:t xml:space="preserve"> </w:t>
      </w:r>
      <w:r w:rsidRPr="00566597">
        <w:t xml:space="preserve">Interview </w:t>
      </w:r>
      <w:proofErr w:type="spellStart"/>
      <w:r w:rsidRPr="00566597">
        <w:t>Moni</w:t>
      </w:r>
      <w:proofErr w:type="spellEnd"/>
      <w:r w:rsidRPr="00566597">
        <w:t xml:space="preserve"> Van Look, Boortmeerbeek 6 </w:t>
      </w:r>
      <w:proofErr w:type="gramStart"/>
      <w:r w:rsidRPr="00566597">
        <w:t>September</w:t>
      </w:r>
      <w:proofErr w:type="gramEnd"/>
      <w:r w:rsidRPr="00566597">
        <w:t xml:space="preserve"> 2016.</w:t>
      </w:r>
    </w:p>
  </w:footnote>
  <w:footnote w:id="242">
    <w:p w14:paraId="4AA03639" w14:textId="26C49D1E" w:rsidR="00B31A46" w:rsidRPr="00C44032" w:rsidRDefault="00B31A46">
      <w:pPr>
        <w:pStyle w:val="Voetnoottekst"/>
      </w:pPr>
      <w:r>
        <w:rPr>
          <w:rStyle w:val="Voetnootmarkering"/>
        </w:rPr>
        <w:footnoteRef/>
      </w:r>
      <w:r w:rsidRPr="00C44032">
        <w:t xml:space="preserve"> P. Akkermans, H. </w:t>
      </w:r>
      <w:proofErr w:type="spellStart"/>
      <w:r w:rsidRPr="00C44032">
        <w:t>Elffers</w:t>
      </w:r>
      <w:proofErr w:type="spellEnd"/>
      <w:r w:rsidRPr="00C44032">
        <w:t>, A. Engberts, C. de Groot and A. Wolterbeek-</w:t>
      </w:r>
      <w:proofErr w:type="spellStart"/>
      <w:r w:rsidRPr="00C44032">
        <w:t>Matlung</w:t>
      </w:r>
      <w:proofErr w:type="spellEnd"/>
      <w:r w:rsidRPr="00C44032">
        <w:t xml:space="preserve">, </w:t>
      </w:r>
      <w:proofErr w:type="spellStart"/>
      <w:r w:rsidRPr="00C44032">
        <w:rPr>
          <w:i/>
        </w:rPr>
        <w:t>Complaints</w:t>
      </w:r>
      <w:proofErr w:type="spellEnd"/>
      <w:r w:rsidRPr="00C44032">
        <w:rPr>
          <w:i/>
        </w:rPr>
        <w:t xml:space="preserve"> </w:t>
      </w:r>
      <w:proofErr w:type="spellStart"/>
      <w:r w:rsidRPr="00C44032">
        <w:rPr>
          <w:i/>
        </w:rPr>
        <w:t>about</w:t>
      </w:r>
      <w:proofErr w:type="spellEnd"/>
      <w:r w:rsidRPr="00C44032">
        <w:rPr>
          <w:i/>
        </w:rPr>
        <w:t xml:space="preserve"> </w:t>
      </w:r>
      <w:proofErr w:type="spellStart"/>
      <w:r w:rsidRPr="00C44032">
        <w:rPr>
          <w:i/>
        </w:rPr>
        <w:t>violations</w:t>
      </w:r>
      <w:proofErr w:type="spellEnd"/>
      <w:r w:rsidRPr="00C44032">
        <w:rPr>
          <w:i/>
        </w:rPr>
        <w:t xml:space="preserve"> of human </w:t>
      </w:r>
      <w:proofErr w:type="spellStart"/>
      <w:r w:rsidRPr="00C44032">
        <w:rPr>
          <w:i/>
        </w:rPr>
        <w:t>rights</w:t>
      </w:r>
      <w:proofErr w:type="spellEnd"/>
      <w:r w:rsidRPr="00C44032">
        <w:rPr>
          <w:i/>
        </w:rPr>
        <w:t xml:space="preserve">, </w:t>
      </w:r>
      <w:r w:rsidRPr="00C44032">
        <w:t>Mededelingen van het juridisch instituut no. 19, Rotterdam, 1983, p. 101.</w:t>
      </w:r>
    </w:p>
  </w:footnote>
  <w:footnote w:id="243">
    <w:p w14:paraId="7F4CF79A" w14:textId="77777777" w:rsidR="00B31A46" w:rsidRPr="00193886" w:rsidRDefault="00B31A46">
      <w:pPr>
        <w:pStyle w:val="Voetnoottekst"/>
        <w:rPr>
          <w:lang w:val="en-GB"/>
        </w:rPr>
      </w:pPr>
      <w:r>
        <w:rPr>
          <w:rStyle w:val="Voetnootmarkering"/>
        </w:rPr>
        <w:footnoteRef/>
      </w:r>
      <w:r w:rsidRPr="00193886">
        <w:rPr>
          <w:lang w:val="en-GB"/>
        </w:rPr>
        <w:t xml:space="preserve"> </w:t>
      </w:r>
      <w:r>
        <w:rPr>
          <w:lang w:val="en-GB"/>
        </w:rPr>
        <w:t>Interview Bernard Maingain, Brussels 2 August 2016.</w:t>
      </w:r>
    </w:p>
  </w:footnote>
  <w:footnote w:id="244">
    <w:p w14:paraId="46C3D96A" w14:textId="77777777" w:rsidR="00B31A46" w:rsidRPr="006102C5" w:rsidRDefault="00B31A46">
      <w:pPr>
        <w:pStyle w:val="Voetnoottekst"/>
        <w:rPr>
          <w:lang w:val="fr-BE"/>
        </w:rPr>
      </w:pPr>
      <w:r>
        <w:rPr>
          <w:rStyle w:val="Voetnootmarkering"/>
        </w:rPr>
        <w:footnoteRef/>
      </w:r>
      <w:r w:rsidRPr="006102C5">
        <w:rPr>
          <w:lang w:val="fr-BE"/>
        </w:rPr>
        <w:t xml:space="preserve"> </w:t>
      </w:r>
      <w:r w:rsidRPr="00A44C5D">
        <w:rPr>
          <w:lang w:val="fr-BE"/>
        </w:rPr>
        <w:t xml:space="preserve">Interview Françoise De </w:t>
      </w:r>
      <w:proofErr w:type="spellStart"/>
      <w:r w:rsidRPr="00A44C5D">
        <w:rPr>
          <w:lang w:val="fr-BE"/>
        </w:rPr>
        <w:t>Croo-Desguin</w:t>
      </w:r>
      <w:proofErr w:type="spellEnd"/>
      <w:r w:rsidRPr="00A44C5D">
        <w:rPr>
          <w:lang w:val="fr-BE"/>
        </w:rPr>
        <w:t xml:space="preserve">, </w:t>
      </w:r>
      <w:proofErr w:type="spellStart"/>
      <w:r w:rsidRPr="00A44C5D">
        <w:rPr>
          <w:lang w:val="fr-BE"/>
        </w:rPr>
        <w:t>G</w:t>
      </w:r>
      <w:r>
        <w:rPr>
          <w:lang w:val="fr-BE"/>
        </w:rPr>
        <w:t>h</w:t>
      </w:r>
      <w:r w:rsidRPr="00A44C5D">
        <w:rPr>
          <w:lang w:val="fr-BE"/>
        </w:rPr>
        <w:t>ent</w:t>
      </w:r>
      <w:proofErr w:type="spellEnd"/>
      <w:r w:rsidRPr="00A44C5D">
        <w:rPr>
          <w:lang w:val="fr-BE"/>
        </w:rPr>
        <w:t xml:space="preserve"> 18 May 2016.</w:t>
      </w:r>
    </w:p>
  </w:footnote>
  <w:footnote w:id="245">
    <w:p w14:paraId="627884C2" w14:textId="77777777" w:rsidR="00B31A46" w:rsidRPr="00116184" w:rsidRDefault="00B31A46">
      <w:pPr>
        <w:pStyle w:val="Voetnoottekst"/>
        <w:rPr>
          <w:lang w:val="en-GB"/>
        </w:rPr>
      </w:pPr>
      <w:r>
        <w:rPr>
          <w:rStyle w:val="Voetnootmarkering"/>
        </w:rPr>
        <w:footnoteRef/>
      </w:r>
      <w:r w:rsidRPr="00116184">
        <w:rPr>
          <w:lang w:val="en-GB"/>
        </w:rPr>
        <w:t xml:space="preserve"> See for example </w:t>
      </w:r>
      <w:proofErr w:type="spellStart"/>
      <w:r w:rsidRPr="00116184">
        <w:rPr>
          <w:lang w:val="en-GB"/>
        </w:rPr>
        <w:t>EComHR</w:t>
      </w:r>
      <w:proofErr w:type="spellEnd"/>
      <w:r w:rsidRPr="00116184">
        <w:rPr>
          <w:lang w:val="en-GB"/>
        </w:rPr>
        <w:t xml:space="preserve">, Report of 7 May 1985, Ben </w:t>
      </w:r>
      <w:proofErr w:type="spellStart"/>
      <w:r w:rsidRPr="00116184">
        <w:rPr>
          <w:lang w:val="en-GB"/>
        </w:rPr>
        <w:t>Yaacoub</w:t>
      </w:r>
      <w:proofErr w:type="spellEnd"/>
      <w:r w:rsidRPr="00116184">
        <w:rPr>
          <w:lang w:val="en-GB"/>
        </w:rPr>
        <w:t xml:space="preserve"> </w:t>
      </w:r>
      <w:r>
        <w:rPr>
          <w:lang w:val="en-GB"/>
        </w:rPr>
        <w:t xml:space="preserve">v. Belgium, no. 9976/82, para. 63, in which the applicant refers to the </w:t>
      </w:r>
      <w:proofErr w:type="spellStart"/>
      <w:r>
        <w:rPr>
          <w:i/>
          <w:lang w:val="en-GB"/>
        </w:rPr>
        <w:t>Piersack</w:t>
      </w:r>
      <w:proofErr w:type="spellEnd"/>
      <w:r>
        <w:rPr>
          <w:i/>
          <w:lang w:val="en-GB"/>
        </w:rPr>
        <w:t xml:space="preserve"> </w:t>
      </w:r>
      <w:r>
        <w:rPr>
          <w:lang w:val="en-GB"/>
        </w:rPr>
        <w:t xml:space="preserve">judgment which was delivered on 1 October 1982, three months after the </w:t>
      </w:r>
      <w:r>
        <w:rPr>
          <w:i/>
          <w:lang w:val="en-GB"/>
        </w:rPr>
        <w:t xml:space="preserve">Ben </w:t>
      </w:r>
      <w:proofErr w:type="spellStart"/>
      <w:r>
        <w:rPr>
          <w:i/>
          <w:lang w:val="en-GB"/>
        </w:rPr>
        <w:t>Yaacoub</w:t>
      </w:r>
      <w:proofErr w:type="spellEnd"/>
      <w:r>
        <w:rPr>
          <w:i/>
          <w:lang w:val="en-GB"/>
        </w:rPr>
        <w:t xml:space="preserve"> </w:t>
      </w:r>
      <w:r>
        <w:rPr>
          <w:lang w:val="en-GB"/>
        </w:rPr>
        <w:t>application was lodged with the Commission.</w:t>
      </w:r>
    </w:p>
  </w:footnote>
  <w:footnote w:id="246">
    <w:p w14:paraId="4489EABB" w14:textId="77777777" w:rsidR="00B31A46" w:rsidRPr="00CD0E70" w:rsidRDefault="00B31A46">
      <w:pPr>
        <w:pStyle w:val="Voetnoottekst"/>
        <w:rPr>
          <w:lang w:val="en-GB"/>
        </w:rPr>
      </w:pPr>
      <w:r>
        <w:rPr>
          <w:rStyle w:val="Voetnootmarkering"/>
        </w:rPr>
        <w:footnoteRef/>
      </w:r>
      <w:r w:rsidRPr="00CD0E70">
        <w:rPr>
          <w:lang w:val="en-GB"/>
        </w:rPr>
        <w:t xml:space="preserve"> </w:t>
      </w:r>
      <w:r w:rsidRPr="00330CCA">
        <w:rPr>
          <w:lang w:val="en-GB"/>
        </w:rPr>
        <w:t>Interview Paula Marckx, Antwerp 10 May 2016.</w:t>
      </w:r>
    </w:p>
  </w:footnote>
  <w:footnote w:id="247">
    <w:p w14:paraId="79FEE31E" w14:textId="77777777" w:rsidR="00B31A46" w:rsidRPr="00A13ABC" w:rsidRDefault="00B31A46">
      <w:pPr>
        <w:pStyle w:val="Voetnoottekst"/>
        <w:rPr>
          <w:lang w:val="fr-BE"/>
        </w:rPr>
      </w:pPr>
      <w:r>
        <w:rPr>
          <w:rStyle w:val="Voetnootmarkering"/>
        </w:rPr>
        <w:footnoteRef/>
      </w:r>
      <w:r w:rsidRPr="00A13ABC">
        <w:rPr>
          <w:lang w:val="fr-BE"/>
        </w:rPr>
        <w:t xml:space="preserve"> </w:t>
      </w:r>
      <w:r w:rsidRPr="006956C1">
        <w:rPr>
          <w:lang w:val="fr-BE"/>
        </w:rPr>
        <w:t xml:space="preserve">Interview Jean-Marie </w:t>
      </w:r>
      <w:proofErr w:type="spellStart"/>
      <w:r w:rsidRPr="006956C1">
        <w:rPr>
          <w:lang w:val="fr-BE"/>
        </w:rPr>
        <w:t>Nelissen</w:t>
      </w:r>
      <w:proofErr w:type="spellEnd"/>
      <w:r w:rsidRPr="006956C1">
        <w:rPr>
          <w:lang w:val="fr-BE"/>
        </w:rPr>
        <w:t xml:space="preserve"> Grade, </w:t>
      </w:r>
      <w:r>
        <w:rPr>
          <w:lang w:val="fr-BE"/>
        </w:rPr>
        <w:t xml:space="preserve">Leuven 15 </w:t>
      </w:r>
      <w:proofErr w:type="spellStart"/>
      <w:r>
        <w:rPr>
          <w:lang w:val="fr-BE"/>
        </w:rPr>
        <w:t>December</w:t>
      </w:r>
      <w:proofErr w:type="spellEnd"/>
      <w:r>
        <w:rPr>
          <w:lang w:val="fr-BE"/>
        </w:rPr>
        <w:t xml:space="preserve"> 2016.</w:t>
      </w:r>
    </w:p>
  </w:footnote>
  <w:footnote w:id="248">
    <w:p w14:paraId="425BF846" w14:textId="5FCC54C6" w:rsidR="00B31A46" w:rsidRPr="00400522" w:rsidRDefault="00B31A46">
      <w:pPr>
        <w:pStyle w:val="Voetnoottekst"/>
        <w:rPr>
          <w:lang w:val="en-GB"/>
        </w:rPr>
      </w:pPr>
      <w:r>
        <w:rPr>
          <w:rStyle w:val="Voetnootmarkering"/>
        </w:rPr>
        <w:footnoteRef/>
      </w:r>
      <w:r w:rsidRPr="00400522">
        <w:rPr>
          <w:lang w:val="en-GB"/>
        </w:rPr>
        <w:t xml:space="preserve"> </w:t>
      </w:r>
      <w:r>
        <w:rPr>
          <w:lang w:val="en-GB"/>
        </w:rPr>
        <w:t xml:space="preserve">P. Johnson, </w:t>
      </w:r>
      <w:r>
        <w:rPr>
          <w:i/>
          <w:lang w:val="en-GB"/>
        </w:rPr>
        <w:t>Going to Strasbourg</w:t>
      </w:r>
      <w:r>
        <w:rPr>
          <w:lang w:val="en-GB"/>
        </w:rPr>
        <w:t>, Oxford, 2016, p. 185.</w:t>
      </w:r>
    </w:p>
  </w:footnote>
  <w:footnote w:id="249">
    <w:p w14:paraId="5D50715E" w14:textId="77777777" w:rsidR="00B31A46" w:rsidRPr="00C114C6" w:rsidRDefault="00B31A46">
      <w:pPr>
        <w:pStyle w:val="Voetnoottekst"/>
      </w:pPr>
      <w:r>
        <w:rPr>
          <w:rStyle w:val="Voetnootmarkering"/>
        </w:rPr>
        <w:footnoteRef/>
      </w:r>
      <w:r>
        <w:t xml:space="preserve"> </w:t>
      </w:r>
      <w:r w:rsidRPr="00C114C6">
        <w:t xml:space="preserve">Interview Eric Van der </w:t>
      </w:r>
      <w:proofErr w:type="spellStart"/>
      <w:r w:rsidRPr="00C114C6">
        <w:t>Mussele</w:t>
      </w:r>
      <w:proofErr w:type="spellEnd"/>
      <w:r w:rsidRPr="00C114C6">
        <w:t xml:space="preserve">, </w:t>
      </w:r>
      <w:proofErr w:type="spellStart"/>
      <w:r w:rsidRPr="00C114C6">
        <w:t>Antwerp</w:t>
      </w:r>
      <w:proofErr w:type="spellEnd"/>
      <w:r w:rsidRPr="00C114C6">
        <w:t xml:space="preserve"> 13 </w:t>
      </w:r>
      <w:proofErr w:type="spellStart"/>
      <w:r w:rsidRPr="00C114C6">
        <w:t>July</w:t>
      </w:r>
      <w:proofErr w:type="spellEnd"/>
      <w:r w:rsidRPr="00C114C6">
        <w:t xml:space="preserve"> 2016.</w:t>
      </w:r>
    </w:p>
  </w:footnote>
  <w:footnote w:id="250">
    <w:p w14:paraId="7219F81D" w14:textId="31C5A937" w:rsidR="00B31A46" w:rsidRDefault="00B31A46">
      <w:pPr>
        <w:pStyle w:val="Voetnoottekst"/>
      </w:pPr>
      <w:r>
        <w:rPr>
          <w:rStyle w:val="Voetnootmarkering"/>
        </w:rPr>
        <w:footnoteRef/>
      </w:r>
      <w:r w:rsidRPr="00185B53">
        <w:t xml:space="preserve">C. Groenendijk, </w:t>
      </w:r>
      <w:r w:rsidRPr="00BC365C">
        <w:rPr>
          <w:i/>
        </w:rPr>
        <w:t>Mensenrechten tussen retoriek en praktijk: Gebruik van het klachtrecht in Straatsburg en de bescherming van vreemdelingen</w:t>
      </w:r>
      <w:r w:rsidRPr="00185B53">
        <w:t xml:space="preserve"> in</w:t>
      </w:r>
      <w:r>
        <w:t>:</w:t>
      </w:r>
      <w:r w:rsidRPr="00185B53">
        <w:t xml:space="preserve"> </w:t>
      </w:r>
      <w:r>
        <w:t>L. Heyde, J. Leijten, T. Mertens and B. Vermeulen (</w:t>
      </w:r>
      <w:proofErr w:type="spellStart"/>
      <w:r>
        <w:t>eds</w:t>
      </w:r>
      <w:proofErr w:type="spellEnd"/>
      <w:r>
        <w:t xml:space="preserve">.), </w:t>
      </w:r>
      <w:r w:rsidRPr="00BC365C">
        <w:t xml:space="preserve">Begrensde Vrijheid – Opstellen over mensenrechten aangeboden aan </w:t>
      </w:r>
      <w:proofErr w:type="spellStart"/>
      <w:r w:rsidRPr="00BC365C">
        <w:t>Prof.dr</w:t>
      </w:r>
      <w:proofErr w:type="spellEnd"/>
      <w:r w:rsidRPr="00BC365C">
        <w:t xml:space="preserve">. D.F. </w:t>
      </w:r>
      <w:proofErr w:type="spellStart"/>
      <w:r w:rsidRPr="00BC365C">
        <w:t>Scheltens</w:t>
      </w:r>
      <w:proofErr w:type="spellEnd"/>
      <w:r w:rsidRPr="00BC365C">
        <w:t xml:space="preserve"> bij zijn afscheid als hoogleraar aan de Katholieke Universiteit Nijmegen,</w:t>
      </w:r>
      <w:r>
        <w:t xml:space="preserve"> Zwolle, 1989, p. 191 at p. 226-227. </w:t>
      </w:r>
    </w:p>
  </w:footnote>
  <w:footnote w:id="251">
    <w:p w14:paraId="69506FFC" w14:textId="77777777" w:rsidR="00B31A46" w:rsidRPr="00035967" w:rsidRDefault="00B31A46">
      <w:pPr>
        <w:pStyle w:val="Voetnoottekst"/>
        <w:rPr>
          <w:lang w:val="en-GB"/>
        </w:rPr>
      </w:pPr>
      <w:r>
        <w:rPr>
          <w:rStyle w:val="Voetnootmarkering"/>
        </w:rPr>
        <w:footnoteRef/>
      </w:r>
      <w:r w:rsidRPr="00035967">
        <w:rPr>
          <w:lang w:val="en-GB"/>
        </w:rPr>
        <w:t xml:space="preserve"> In this respect, see for example the </w:t>
      </w:r>
      <w:proofErr w:type="spellStart"/>
      <w:r>
        <w:rPr>
          <w:i/>
          <w:lang w:val="en-GB"/>
        </w:rPr>
        <w:t>Bouamar</w:t>
      </w:r>
      <w:proofErr w:type="spellEnd"/>
      <w:r>
        <w:rPr>
          <w:i/>
          <w:lang w:val="en-GB"/>
        </w:rPr>
        <w:t xml:space="preserve"> </w:t>
      </w:r>
      <w:r>
        <w:rPr>
          <w:lang w:val="en-GB"/>
        </w:rPr>
        <w:t xml:space="preserve">case discussed above, in which the lawyers involved rather than the applicants </w:t>
      </w:r>
    </w:p>
  </w:footnote>
  <w:footnote w:id="252">
    <w:p w14:paraId="4DE515B3" w14:textId="77777777" w:rsidR="00B31A46" w:rsidRPr="00105ED2" w:rsidRDefault="00B31A46">
      <w:pPr>
        <w:pStyle w:val="Voetnoottekst"/>
        <w:rPr>
          <w:lang w:val="en-GB"/>
        </w:rPr>
      </w:pPr>
      <w:r>
        <w:rPr>
          <w:rStyle w:val="Voetnootmarkering"/>
        </w:rPr>
        <w:footnoteRef/>
      </w:r>
      <w:r w:rsidRPr="00105ED2">
        <w:rPr>
          <w:lang w:val="en-GB"/>
        </w:rPr>
        <w:t xml:space="preserve"> Similarly </w:t>
      </w:r>
      <w:r>
        <w:rPr>
          <w:lang w:val="en-GB"/>
        </w:rPr>
        <w:t xml:space="preserve">S. </w:t>
      </w:r>
      <w:proofErr w:type="spellStart"/>
      <w:r>
        <w:rPr>
          <w:lang w:val="en-GB"/>
        </w:rPr>
        <w:t>Parmentier</w:t>
      </w:r>
      <w:proofErr w:type="spellEnd"/>
      <w:r>
        <w:rPr>
          <w:lang w:val="en-GB"/>
        </w:rPr>
        <w:t xml:space="preserve">, </w:t>
      </w:r>
      <w:r>
        <w:rPr>
          <w:i/>
          <w:lang w:val="en-GB"/>
        </w:rPr>
        <w:t xml:space="preserve">The Implementation of International Human Rights Norms – A Case Study of the Individual Complaint Procedure Under the European Convention on Human Rights, </w:t>
      </w:r>
      <w:r>
        <w:rPr>
          <w:lang w:val="en-GB"/>
        </w:rPr>
        <w:t xml:space="preserve">PhD dissertation, </w:t>
      </w:r>
      <w:proofErr w:type="spellStart"/>
      <w:r>
        <w:rPr>
          <w:lang w:val="en-GB"/>
        </w:rPr>
        <w:t>Katholieke</w:t>
      </w:r>
      <w:proofErr w:type="spellEnd"/>
      <w:r>
        <w:rPr>
          <w:lang w:val="en-GB"/>
        </w:rPr>
        <w:t xml:space="preserve"> Universiteit Leuven, 1997, p. 365.</w:t>
      </w:r>
    </w:p>
  </w:footnote>
  <w:footnote w:id="253">
    <w:p w14:paraId="687E573B" w14:textId="5DD26602" w:rsidR="00B31A46" w:rsidRPr="00EC4A76" w:rsidRDefault="00B31A46">
      <w:pPr>
        <w:pStyle w:val="Voetnoottekst"/>
        <w:rPr>
          <w:lang w:val="en-GB"/>
        </w:rPr>
      </w:pPr>
      <w:r>
        <w:rPr>
          <w:rStyle w:val="Voetnootmarkering"/>
        </w:rPr>
        <w:footnoteRef/>
      </w:r>
      <w:r w:rsidRPr="00EC4A76">
        <w:rPr>
          <w:lang w:val="en-GB"/>
        </w:rPr>
        <w:t xml:space="preserve"> </w:t>
      </w:r>
      <w:r w:rsidRPr="00490566">
        <w:rPr>
          <w:lang w:val="en-GB"/>
        </w:rPr>
        <w:t xml:space="preserve">W. Van </w:t>
      </w:r>
      <w:r>
        <w:rPr>
          <w:lang w:val="en-GB"/>
        </w:rPr>
        <w:t xml:space="preserve">Rossum, </w:t>
      </w:r>
      <w:r w:rsidRPr="00BC365C">
        <w:rPr>
          <w:i/>
          <w:lang w:val="en-GB"/>
        </w:rPr>
        <w:t>The roots of Dutch strategic human rights litigation: comparing ‘Engel’ to ‘SGP’</w:t>
      </w:r>
      <w:r>
        <w:rPr>
          <w:lang w:val="en-GB"/>
        </w:rPr>
        <w:t xml:space="preserve"> in M. van den Brink, S. </w:t>
      </w:r>
      <w:proofErr w:type="spellStart"/>
      <w:r>
        <w:rPr>
          <w:lang w:val="en-GB"/>
        </w:rPr>
        <w:t>Burri</w:t>
      </w:r>
      <w:proofErr w:type="spellEnd"/>
      <w:r>
        <w:rPr>
          <w:lang w:val="en-GB"/>
        </w:rPr>
        <w:t xml:space="preserve"> and J. Goldschmidt (eds.), </w:t>
      </w:r>
      <w:r w:rsidRPr="00BC365C">
        <w:rPr>
          <w:lang w:val="en-GB"/>
        </w:rPr>
        <w:t xml:space="preserve">Equality and human rights: nothing but trouble? </w:t>
      </w:r>
      <w:proofErr w:type="gramStart"/>
      <w:r w:rsidRPr="00BC365C">
        <w:rPr>
          <w:lang w:val="en-GB"/>
        </w:rPr>
        <w:t xml:space="preserve">Liber </w:t>
      </w:r>
      <w:proofErr w:type="spellStart"/>
      <w:r w:rsidRPr="00BC365C">
        <w:rPr>
          <w:lang w:val="en-GB"/>
        </w:rPr>
        <w:t>amicorum</w:t>
      </w:r>
      <w:proofErr w:type="spellEnd"/>
      <w:r w:rsidRPr="00BC365C">
        <w:rPr>
          <w:lang w:val="en-GB"/>
        </w:rPr>
        <w:t xml:space="preserve"> </w:t>
      </w:r>
      <w:proofErr w:type="spellStart"/>
      <w:r w:rsidRPr="00BC365C">
        <w:rPr>
          <w:lang w:val="en-GB"/>
        </w:rPr>
        <w:t>Titia</w:t>
      </w:r>
      <w:proofErr w:type="spellEnd"/>
      <w:r w:rsidRPr="00BC365C">
        <w:rPr>
          <w:lang w:val="en-GB"/>
        </w:rPr>
        <w:t xml:space="preserve"> </w:t>
      </w:r>
      <w:proofErr w:type="spellStart"/>
      <w:r w:rsidRPr="00BC365C">
        <w:rPr>
          <w:lang w:val="en-GB"/>
        </w:rPr>
        <w:t>Loenen</w:t>
      </w:r>
      <w:proofErr w:type="spellEnd"/>
      <w:r w:rsidRPr="001F02CF">
        <w:rPr>
          <w:lang w:val="en-GB"/>
        </w:rPr>
        <w:t xml:space="preserve">, </w:t>
      </w:r>
      <w:r>
        <w:rPr>
          <w:lang w:val="en-GB"/>
        </w:rPr>
        <w:t>Utrecht</w:t>
      </w:r>
      <w:r w:rsidRPr="001F02CF">
        <w:rPr>
          <w:lang w:val="en-GB"/>
        </w:rPr>
        <w:t xml:space="preserve">, 2015, </w:t>
      </w:r>
      <w:r>
        <w:rPr>
          <w:lang w:val="en-GB"/>
        </w:rPr>
        <w:t xml:space="preserve">p. </w:t>
      </w:r>
      <w:r w:rsidRPr="001F02CF">
        <w:rPr>
          <w:lang w:val="en-GB"/>
        </w:rPr>
        <w:t>387</w:t>
      </w:r>
      <w:r>
        <w:rPr>
          <w:lang w:val="en-GB"/>
        </w:rPr>
        <w:t xml:space="preserve"> at p. 395.</w:t>
      </w:r>
      <w:proofErr w:type="gramEnd"/>
    </w:p>
  </w:footnote>
  <w:footnote w:id="254">
    <w:p w14:paraId="51E55F27" w14:textId="77777777" w:rsidR="00B31A46" w:rsidRPr="00B31A46" w:rsidRDefault="00B31A46">
      <w:pPr>
        <w:pStyle w:val="Voetnoottekst"/>
        <w:rPr>
          <w:lang w:val="en-GB"/>
        </w:rPr>
      </w:pPr>
      <w:r>
        <w:rPr>
          <w:rStyle w:val="Voetnootmarkering"/>
        </w:rPr>
        <w:footnoteRef/>
      </w:r>
      <w:r w:rsidRPr="00B31A46">
        <w:rPr>
          <w:lang w:val="en-GB"/>
        </w:rPr>
        <w:t xml:space="preserve"> Interview Jean-Marie </w:t>
      </w:r>
      <w:proofErr w:type="spellStart"/>
      <w:r w:rsidRPr="00B31A46">
        <w:rPr>
          <w:lang w:val="en-GB"/>
        </w:rPr>
        <w:t>Nelissen</w:t>
      </w:r>
      <w:proofErr w:type="spellEnd"/>
      <w:r w:rsidRPr="00B31A46">
        <w:rPr>
          <w:lang w:val="en-GB"/>
        </w:rPr>
        <w:t xml:space="preserve"> Grade, Leuven 15 December 2016.</w:t>
      </w:r>
    </w:p>
  </w:footnote>
  <w:footnote w:id="255">
    <w:p w14:paraId="67804A82" w14:textId="77777777" w:rsidR="00B31A46" w:rsidRPr="00B31A46" w:rsidRDefault="00B31A46">
      <w:pPr>
        <w:pStyle w:val="Voetnoottekst"/>
        <w:rPr>
          <w:lang w:val="en-GB"/>
        </w:rPr>
      </w:pPr>
      <w:r>
        <w:rPr>
          <w:rStyle w:val="Voetnootmarkering"/>
        </w:rPr>
        <w:footnoteRef/>
      </w:r>
      <w:r w:rsidRPr="00B31A46">
        <w:rPr>
          <w:lang w:val="en-GB"/>
        </w:rPr>
        <w:t xml:space="preserve"> Interview Leon Martens, Ghent 21 June 2016.</w:t>
      </w:r>
    </w:p>
  </w:footnote>
  <w:footnote w:id="256">
    <w:p w14:paraId="3FB75A48" w14:textId="47FDAF66" w:rsidR="00B31A46" w:rsidRPr="00A32EC9" w:rsidRDefault="00B31A46">
      <w:pPr>
        <w:pStyle w:val="Voetnoottekst"/>
        <w:rPr>
          <w:lang w:val="fr-BE"/>
        </w:rPr>
      </w:pPr>
      <w:r>
        <w:rPr>
          <w:rStyle w:val="Voetnootmarkering"/>
        </w:rPr>
        <w:footnoteRef/>
      </w:r>
      <w:r w:rsidRPr="00A32EC9">
        <w:rPr>
          <w:lang w:val="fr-BE"/>
        </w:rPr>
        <w:t xml:space="preserve"> </w:t>
      </w:r>
      <w:r w:rsidRPr="003A7972">
        <w:rPr>
          <w:lang w:val="fr-BE"/>
        </w:rPr>
        <w:t>G</w:t>
      </w:r>
      <w:r>
        <w:rPr>
          <w:lang w:val="fr-BE"/>
        </w:rPr>
        <w:t xml:space="preserve">. </w:t>
      </w:r>
      <w:proofErr w:type="spellStart"/>
      <w:r>
        <w:rPr>
          <w:lang w:val="fr-BE"/>
        </w:rPr>
        <w:t>Delfosse</w:t>
      </w:r>
      <w:proofErr w:type="spellEnd"/>
      <w:r>
        <w:rPr>
          <w:lang w:val="fr-BE"/>
        </w:rPr>
        <w:t xml:space="preserve">, </w:t>
      </w:r>
      <w:r w:rsidRPr="00BC365C">
        <w:rPr>
          <w:i/>
          <w:lang w:val="fr-BE"/>
        </w:rPr>
        <w:t>Au secours des droits de l’homme</w:t>
      </w:r>
      <w:r w:rsidRPr="003A7972">
        <w:rPr>
          <w:lang w:val="fr-BE"/>
        </w:rPr>
        <w:t xml:space="preserve">, </w:t>
      </w:r>
      <w:r w:rsidRPr="00BC365C">
        <w:rPr>
          <w:lang w:val="fr-BE"/>
        </w:rPr>
        <w:t>La Conférence [</w:t>
      </w:r>
      <w:proofErr w:type="spellStart"/>
      <w:r w:rsidRPr="00BC365C">
        <w:rPr>
          <w:lang w:val="fr-BE"/>
        </w:rPr>
        <w:t>edited</w:t>
      </w:r>
      <w:proofErr w:type="spellEnd"/>
      <w:r w:rsidRPr="00BC365C">
        <w:rPr>
          <w:lang w:val="fr-BE"/>
        </w:rPr>
        <w:t xml:space="preserve"> by la Conférence du Jeune Barreau Bruxelles], </w:t>
      </w:r>
      <w:r>
        <w:rPr>
          <w:lang w:val="fr-BE"/>
        </w:rPr>
        <w:t>(</w:t>
      </w:r>
      <w:r w:rsidRPr="00BC365C">
        <w:rPr>
          <w:lang w:val="fr-BE"/>
        </w:rPr>
        <w:t>1995-1996</w:t>
      </w:r>
      <w:r>
        <w:rPr>
          <w:lang w:val="fr-BE"/>
        </w:rPr>
        <w:t>)</w:t>
      </w:r>
      <w:r w:rsidRPr="00BC365C">
        <w:rPr>
          <w:lang w:val="fr-BE"/>
        </w:rPr>
        <w:t>, no. 2, p. 11.</w:t>
      </w:r>
    </w:p>
  </w:footnote>
  <w:footnote w:id="257">
    <w:p w14:paraId="780F5C10" w14:textId="77777777" w:rsidR="00B31A46" w:rsidRDefault="00B31A46">
      <w:pPr>
        <w:pStyle w:val="Voetnoottekst"/>
      </w:pPr>
      <w:r>
        <w:rPr>
          <w:rStyle w:val="Voetnootmarkering"/>
        </w:rPr>
        <w:footnoteRef/>
      </w:r>
      <w:r>
        <w:t xml:space="preserve"> </w:t>
      </w:r>
      <w:r w:rsidRPr="00566597">
        <w:t xml:space="preserve">Interview </w:t>
      </w:r>
      <w:proofErr w:type="spellStart"/>
      <w:r w:rsidRPr="00566597">
        <w:t>Moni</w:t>
      </w:r>
      <w:proofErr w:type="spellEnd"/>
      <w:r w:rsidRPr="00566597">
        <w:t xml:space="preserve"> Van Look, Boortmeerbeek 6 </w:t>
      </w:r>
      <w:proofErr w:type="gramStart"/>
      <w:r w:rsidRPr="00566597">
        <w:t>September</w:t>
      </w:r>
      <w:proofErr w:type="gramEnd"/>
      <w:r w:rsidRPr="00566597">
        <w:t xml:space="preserve"> 2016.</w:t>
      </w:r>
    </w:p>
  </w:footnote>
  <w:footnote w:id="258">
    <w:p w14:paraId="004BBED6" w14:textId="77777777" w:rsidR="00B31A46" w:rsidRPr="00452452" w:rsidRDefault="00B31A46" w:rsidP="00E930CE">
      <w:pPr>
        <w:pStyle w:val="Voetnoottekst"/>
        <w:rPr>
          <w:lang w:val="en-GB"/>
        </w:rPr>
      </w:pPr>
      <w:r>
        <w:rPr>
          <w:rStyle w:val="Voetnootmarkering"/>
        </w:rPr>
        <w:footnoteRef/>
      </w:r>
      <w:r w:rsidRPr="00B357BC">
        <w:rPr>
          <w:lang w:val="en-GB"/>
        </w:rPr>
        <w:t xml:space="preserve"> </w:t>
      </w:r>
      <w:proofErr w:type="spellStart"/>
      <w:r w:rsidRPr="00B357BC">
        <w:rPr>
          <w:lang w:val="en-GB"/>
        </w:rPr>
        <w:t>EComHR</w:t>
      </w:r>
      <w:proofErr w:type="spellEnd"/>
      <w:r w:rsidRPr="00B357BC">
        <w:rPr>
          <w:lang w:val="en-GB"/>
        </w:rPr>
        <w:t xml:space="preserve"> (</w:t>
      </w:r>
      <w:proofErr w:type="spellStart"/>
      <w:r w:rsidRPr="00B357BC">
        <w:rPr>
          <w:lang w:val="en-GB"/>
        </w:rPr>
        <w:t>inadm</w:t>
      </w:r>
      <w:proofErr w:type="spellEnd"/>
      <w:r w:rsidRPr="00B357BC">
        <w:rPr>
          <w:lang w:val="en-GB"/>
        </w:rPr>
        <w:t xml:space="preserve">.) </w:t>
      </w:r>
      <w:r w:rsidRPr="00452452">
        <w:rPr>
          <w:lang w:val="en-GB"/>
        </w:rPr>
        <w:t xml:space="preserve">13 December 1979, X. v. Belgium, no. </w:t>
      </w:r>
      <w:r>
        <w:rPr>
          <w:lang w:val="en-GB"/>
        </w:rPr>
        <w:t>8707/79.</w:t>
      </w:r>
    </w:p>
  </w:footnote>
  <w:footnote w:id="259">
    <w:p w14:paraId="74E4D64E" w14:textId="101DB755" w:rsidR="00B31A46" w:rsidRPr="00452452" w:rsidRDefault="00B31A46">
      <w:pPr>
        <w:pStyle w:val="Voetnoottekst"/>
        <w:rPr>
          <w:lang w:val="en-GB"/>
        </w:rPr>
      </w:pPr>
      <w:r>
        <w:rPr>
          <w:rStyle w:val="Voetnootmarkering"/>
        </w:rPr>
        <w:footnoteRef/>
      </w:r>
      <w:r w:rsidRPr="00452452">
        <w:rPr>
          <w:lang w:val="en-GB"/>
        </w:rPr>
        <w:t xml:space="preserve"> </w:t>
      </w:r>
      <w:r w:rsidRPr="00711D97">
        <w:rPr>
          <w:lang w:val="en-GB"/>
        </w:rPr>
        <w:t xml:space="preserve">M. Madsen, </w:t>
      </w:r>
      <w:r w:rsidRPr="00BC365C">
        <w:rPr>
          <w:i/>
          <w:lang w:val="en-GB"/>
        </w:rPr>
        <w:t>The Protracted Institutionalization of the Strasbourg Court: From Legal Diplomacy to Integrationist Jurisprudence</w:t>
      </w:r>
      <w:r>
        <w:rPr>
          <w:lang w:val="en-GB"/>
        </w:rPr>
        <w:t xml:space="preserve"> in: J. </w:t>
      </w:r>
      <w:proofErr w:type="spellStart"/>
      <w:r>
        <w:rPr>
          <w:lang w:val="en-GB"/>
        </w:rPr>
        <w:t>Christoffersen</w:t>
      </w:r>
      <w:proofErr w:type="spellEnd"/>
      <w:r>
        <w:rPr>
          <w:lang w:val="en-GB"/>
        </w:rPr>
        <w:t xml:space="preserve"> and M. Madsen (eds.), </w:t>
      </w:r>
      <w:r w:rsidRPr="00BC365C">
        <w:rPr>
          <w:lang w:val="en-GB"/>
        </w:rPr>
        <w:t xml:space="preserve">The European Court of Human Rights between Law and Politics, </w:t>
      </w:r>
      <w:r>
        <w:rPr>
          <w:lang w:val="en-GB"/>
        </w:rPr>
        <w:t xml:space="preserve">Oxford, 2011, </w:t>
      </w:r>
      <w:r w:rsidRPr="00711D97">
        <w:rPr>
          <w:lang w:val="en-GB"/>
        </w:rPr>
        <w:t xml:space="preserve">p. </w:t>
      </w:r>
      <w:r>
        <w:rPr>
          <w:lang w:val="en-GB"/>
        </w:rPr>
        <w:t xml:space="preserve">43-60; </w:t>
      </w:r>
      <w:r w:rsidRPr="008141A9">
        <w:rPr>
          <w:lang w:val="en-GB"/>
        </w:rPr>
        <w:t>E. Bates,</w:t>
      </w:r>
      <w:r>
        <w:rPr>
          <w:lang w:val="en-GB"/>
        </w:rPr>
        <w:t xml:space="preserve"> </w:t>
      </w:r>
      <w:r>
        <w:rPr>
          <w:i/>
          <w:lang w:val="en-GB"/>
        </w:rPr>
        <w:t xml:space="preserve">The Evolution of the European Convention on </w:t>
      </w:r>
      <w:r w:rsidRPr="008141A9">
        <w:rPr>
          <w:i/>
          <w:lang w:val="en-GB"/>
        </w:rPr>
        <w:t>Human Rights</w:t>
      </w:r>
      <w:r>
        <w:rPr>
          <w:lang w:val="en-GB"/>
        </w:rPr>
        <w:t xml:space="preserve">, Oxford, 2010, </w:t>
      </w:r>
      <w:r w:rsidRPr="00452452">
        <w:rPr>
          <w:lang w:val="en-GB"/>
        </w:rPr>
        <w:t xml:space="preserve">p. 14-18, 147-148; 216-225; and </w:t>
      </w:r>
      <w:r w:rsidRPr="00452452">
        <w:rPr>
          <w:rFonts w:cs="Arial"/>
          <w:lang w:val="en-GB"/>
        </w:rPr>
        <w:t>283-286.</w:t>
      </w:r>
    </w:p>
  </w:footnote>
  <w:footnote w:id="260">
    <w:p w14:paraId="09FE61E1" w14:textId="5F0F0428" w:rsidR="00B31A46" w:rsidRPr="00452452" w:rsidRDefault="00B31A46">
      <w:pPr>
        <w:pStyle w:val="Voetnoottekst"/>
        <w:rPr>
          <w:lang w:val="en-GB"/>
        </w:rPr>
      </w:pPr>
      <w:r>
        <w:rPr>
          <w:rStyle w:val="Voetnootmarkering"/>
        </w:rPr>
        <w:footnoteRef/>
      </w:r>
      <w:r w:rsidRPr="00452452">
        <w:rPr>
          <w:lang w:val="en-GB"/>
        </w:rPr>
        <w:t xml:space="preserve"> </w:t>
      </w:r>
      <w:r w:rsidRPr="008141A9">
        <w:rPr>
          <w:lang w:val="en-GB"/>
        </w:rPr>
        <w:t>E. Bates,</w:t>
      </w:r>
      <w:r>
        <w:rPr>
          <w:lang w:val="en-GB"/>
        </w:rPr>
        <w:t xml:space="preserve"> </w:t>
      </w:r>
      <w:proofErr w:type="gramStart"/>
      <w:r>
        <w:rPr>
          <w:i/>
          <w:lang w:val="en-GB"/>
        </w:rPr>
        <w:t>The</w:t>
      </w:r>
      <w:proofErr w:type="gramEnd"/>
      <w:r>
        <w:rPr>
          <w:i/>
          <w:lang w:val="en-GB"/>
        </w:rPr>
        <w:t xml:space="preserve"> Evolution of the European Convention on </w:t>
      </w:r>
      <w:r w:rsidRPr="008141A9">
        <w:rPr>
          <w:i/>
          <w:lang w:val="en-GB"/>
        </w:rPr>
        <w:t>Human Rights</w:t>
      </w:r>
      <w:r>
        <w:rPr>
          <w:lang w:val="en-GB"/>
        </w:rPr>
        <w:t xml:space="preserve">, Oxford, 2010, </w:t>
      </w:r>
      <w:r w:rsidRPr="00452452">
        <w:rPr>
          <w:lang w:val="en-GB"/>
        </w:rPr>
        <w:t xml:space="preserve">p. </w:t>
      </w:r>
      <w:r>
        <w:rPr>
          <w:lang w:val="en-GB"/>
        </w:rPr>
        <w:t>224.</w:t>
      </w:r>
    </w:p>
  </w:footnote>
  <w:footnote w:id="261">
    <w:p w14:paraId="7EFDBA0B" w14:textId="77777777" w:rsidR="00B31A46" w:rsidRPr="00402704" w:rsidRDefault="00B31A46">
      <w:pPr>
        <w:pStyle w:val="Voetnoottekst"/>
        <w:rPr>
          <w:lang w:val="fr-BE"/>
        </w:rPr>
      </w:pPr>
      <w:r>
        <w:rPr>
          <w:rStyle w:val="Voetnootmarkering"/>
        </w:rPr>
        <w:footnoteRef/>
      </w:r>
      <w:r w:rsidRPr="00402704">
        <w:rPr>
          <w:lang w:val="fr-BE"/>
        </w:rPr>
        <w:t xml:space="preserve"> </w:t>
      </w:r>
      <w:r w:rsidRPr="006956C1">
        <w:rPr>
          <w:lang w:val="fr-BE"/>
        </w:rPr>
        <w:t xml:space="preserve">Interview Jean-Marie </w:t>
      </w:r>
      <w:proofErr w:type="spellStart"/>
      <w:r w:rsidRPr="006956C1">
        <w:rPr>
          <w:lang w:val="fr-BE"/>
        </w:rPr>
        <w:t>Nelissen</w:t>
      </w:r>
      <w:proofErr w:type="spellEnd"/>
      <w:r w:rsidRPr="006956C1">
        <w:rPr>
          <w:lang w:val="fr-BE"/>
        </w:rPr>
        <w:t xml:space="preserve"> Grade, </w:t>
      </w:r>
      <w:r>
        <w:rPr>
          <w:lang w:val="fr-BE"/>
        </w:rPr>
        <w:t xml:space="preserve">Leuven 15 </w:t>
      </w:r>
      <w:proofErr w:type="spellStart"/>
      <w:r>
        <w:rPr>
          <w:lang w:val="fr-BE"/>
        </w:rPr>
        <w:t>December</w:t>
      </w:r>
      <w:proofErr w:type="spellEnd"/>
      <w:r>
        <w:rPr>
          <w:lang w:val="fr-BE"/>
        </w:rPr>
        <w:t xml:space="preserve"> 2016.</w:t>
      </w:r>
    </w:p>
  </w:footnote>
  <w:footnote w:id="262">
    <w:p w14:paraId="66D738DF" w14:textId="2B629E09" w:rsidR="00B31A46" w:rsidRPr="00DF3600" w:rsidRDefault="00B31A46">
      <w:pPr>
        <w:pStyle w:val="Voetnoottekst"/>
      </w:pPr>
      <w:r>
        <w:rPr>
          <w:rStyle w:val="Voetnootmarkering"/>
        </w:rPr>
        <w:footnoteRef/>
      </w:r>
      <w:r>
        <w:t xml:space="preserve"> B. Engberts and H. de Groot, </w:t>
      </w:r>
      <w:r w:rsidRPr="00BC365C">
        <w:rPr>
          <w:i/>
        </w:rPr>
        <w:t>België en het Europese Verdrag voor de rechten van de mens</w:t>
      </w:r>
      <w:r>
        <w:t xml:space="preserve">, </w:t>
      </w:r>
      <w:r w:rsidRPr="00BC365C">
        <w:t xml:space="preserve">Jura </w:t>
      </w:r>
      <w:proofErr w:type="spellStart"/>
      <w:r w:rsidRPr="00BC365C">
        <w:t>Falconis</w:t>
      </w:r>
      <w:proofErr w:type="spellEnd"/>
      <w:r>
        <w:t>, 20 (1983-84), p. 235 at p. 245 and 248-252.</w:t>
      </w:r>
    </w:p>
  </w:footnote>
  <w:footnote w:id="263">
    <w:p w14:paraId="69ADAD08" w14:textId="77777777" w:rsidR="00B31A46" w:rsidRPr="00E44F44" w:rsidRDefault="00B31A46">
      <w:pPr>
        <w:pStyle w:val="Voetnoottekst"/>
        <w:rPr>
          <w:lang w:val="en-GB"/>
        </w:rPr>
      </w:pPr>
      <w:r>
        <w:rPr>
          <w:rStyle w:val="Voetnootmarkering"/>
        </w:rPr>
        <w:footnoteRef/>
      </w:r>
      <w:r w:rsidRPr="00E44F44">
        <w:rPr>
          <w:lang w:val="en-GB"/>
        </w:rPr>
        <w:t xml:space="preserve"> ECtHR 30 July 1998, </w:t>
      </w:r>
      <w:proofErr w:type="spellStart"/>
      <w:r w:rsidRPr="00E44F44">
        <w:rPr>
          <w:lang w:val="en-GB"/>
        </w:rPr>
        <w:t>Aerts</w:t>
      </w:r>
      <w:proofErr w:type="spellEnd"/>
      <w:r w:rsidRPr="00E44F44">
        <w:rPr>
          <w:lang w:val="en-GB"/>
        </w:rPr>
        <w:t xml:space="preserve"> v. Belgium, no. </w:t>
      </w:r>
      <w:r>
        <w:rPr>
          <w:lang w:val="en-GB"/>
        </w:rPr>
        <w:t>25357/94.</w:t>
      </w:r>
    </w:p>
  </w:footnote>
  <w:footnote w:id="264">
    <w:p w14:paraId="46D40CEF" w14:textId="77777777" w:rsidR="00B31A46" w:rsidRPr="00E97562" w:rsidRDefault="00B31A46">
      <w:pPr>
        <w:pStyle w:val="Voetnoottekst"/>
        <w:rPr>
          <w:lang w:val="en-GB"/>
        </w:rPr>
      </w:pPr>
      <w:r>
        <w:rPr>
          <w:rStyle w:val="Voetnootmarkering"/>
        </w:rPr>
        <w:footnoteRef/>
      </w:r>
      <w:r w:rsidRPr="00E97562">
        <w:rPr>
          <w:lang w:val="en-GB"/>
        </w:rPr>
        <w:t xml:space="preserve"> </w:t>
      </w:r>
      <w:proofErr w:type="spellStart"/>
      <w:r>
        <w:rPr>
          <w:lang w:val="en-GB"/>
        </w:rPr>
        <w:t>EComHR</w:t>
      </w:r>
      <w:proofErr w:type="spellEnd"/>
      <w:r>
        <w:rPr>
          <w:lang w:val="en-GB"/>
        </w:rPr>
        <w:t xml:space="preserve"> (</w:t>
      </w:r>
      <w:proofErr w:type="spellStart"/>
      <w:r>
        <w:rPr>
          <w:lang w:val="en-GB"/>
        </w:rPr>
        <w:t>inadm</w:t>
      </w:r>
      <w:proofErr w:type="spellEnd"/>
      <w:r>
        <w:rPr>
          <w:lang w:val="en-GB"/>
        </w:rPr>
        <w:t xml:space="preserve">.) 13 March 1975, X. v. Belgium, no. 6692/74; and </w:t>
      </w:r>
      <w:proofErr w:type="spellStart"/>
      <w:r w:rsidRPr="00E97562">
        <w:rPr>
          <w:lang w:val="en-GB"/>
        </w:rPr>
        <w:t>EComHR</w:t>
      </w:r>
      <w:proofErr w:type="spellEnd"/>
      <w:r w:rsidRPr="00E97562">
        <w:rPr>
          <w:lang w:val="en-GB"/>
        </w:rPr>
        <w:t xml:space="preserve"> (</w:t>
      </w:r>
      <w:proofErr w:type="spellStart"/>
      <w:r w:rsidRPr="00E97562">
        <w:rPr>
          <w:lang w:val="en-GB"/>
        </w:rPr>
        <w:t>inadm</w:t>
      </w:r>
      <w:proofErr w:type="spellEnd"/>
      <w:r w:rsidRPr="00E97562">
        <w:rPr>
          <w:lang w:val="en-GB"/>
        </w:rPr>
        <w:t>.) 2 October 1975, X. v. Belgium, no.</w:t>
      </w:r>
      <w:r>
        <w:rPr>
          <w:lang w:val="en-GB"/>
        </w:rPr>
        <w:t xml:space="preserve"> 6859/74; are examples of cases concerning mentally ill offenders declared inadmissible on the merits by the Commission.</w:t>
      </w:r>
    </w:p>
  </w:footnote>
  <w:footnote w:id="265">
    <w:p w14:paraId="5000FE6C" w14:textId="77777777" w:rsidR="00B31A46" w:rsidRPr="00EC4D75" w:rsidRDefault="00B31A46">
      <w:pPr>
        <w:pStyle w:val="Voetnoottekst"/>
        <w:rPr>
          <w:lang w:val="en-GB"/>
        </w:rPr>
      </w:pPr>
      <w:r>
        <w:rPr>
          <w:rStyle w:val="Voetnootmarkering"/>
        </w:rPr>
        <w:footnoteRef/>
      </w:r>
      <w:r w:rsidRPr="00EC4D75">
        <w:rPr>
          <w:lang w:val="en-GB"/>
        </w:rPr>
        <w:t xml:space="preserve"> In this respect, it must </w:t>
      </w:r>
      <w:r>
        <w:rPr>
          <w:lang w:val="en-GB"/>
        </w:rPr>
        <w:t xml:space="preserve">however </w:t>
      </w:r>
      <w:r w:rsidRPr="00EC4D75">
        <w:rPr>
          <w:lang w:val="en-GB"/>
        </w:rPr>
        <w:t xml:space="preserve">be noted that the Commission in the same period of time </w:t>
      </w:r>
      <w:r>
        <w:rPr>
          <w:lang w:val="en-GB"/>
        </w:rPr>
        <w:t xml:space="preserve">as the above-cited cases </w:t>
      </w:r>
      <w:r w:rsidRPr="00EC4D75">
        <w:rPr>
          <w:lang w:val="en-GB"/>
        </w:rPr>
        <w:t>did refer</w:t>
      </w:r>
      <w:r>
        <w:rPr>
          <w:lang w:val="en-GB"/>
        </w:rPr>
        <w:t xml:space="preserve"> the Dutch</w:t>
      </w:r>
      <w:r w:rsidRPr="00EC4D75">
        <w:rPr>
          <w:lang w:val="en-GB"/>
        </w:rPr>
        <w:t xml:space="preserve"> </w:t>
      </w:r>
      <w:proofErr w:type="spellStart"/>
      <w:r w:rsidRPr="00EC4D75">
        <w:rPr>
          <w:i/>
          <w:lang w:val="en-GB"/>
        </w:rPr>
        <w:t>Winterwerp</w:t>
      </w:r>
      <w:proofErr w:type="spellEnd"/>
      <w:r w:rsidRPr="00EC4D75">
        <w:rPr>
          <w:i/>
          <w:lang w:val="en-GB"/>
        </w:rPr>
        <w:t xml:space="preserve"> </w:t>
      </w:r>
      <w:r w:rsidRPr="00EC4D75">
        <w:rPr>
          <w:lang w:val="en-GB"/>
        </w:rPr>
        <w:t>case</w:t>
      </w:r>
      <w:r>
        <w:rPr>
          <w:lang w:val="en-GB"/>
        </w:rPr>
        <w:t>, raising similar issues,</w:t>
      </w:r>
      <w:r w:rsidRPr="00EC4D75">
        <w:rPr>
          <w:lang w:val="en-GB"/>
        </w:rPr>
        <w:t xml:space="preserve"> to th</w:t>
      </w:r>
      <w:r>
        <w:rPr>
          <w:lang w:val="en-GB"/>
        </w:rPr>
        <w:t xml:space="preserve">e Court, see </w:t>
      </w:r>
      <w:proofErr w:type="spellStart"/>
      <w:r>
        <w:rPr>
          <w:lang w:val="en-GB"/>
        </w:rPr>
        <w:t>EComHR</w:t>
      </w:r>
      <w:proofErr w:type="spellEnd"/>
      <w:r>
        <w:rPr>
          <w:lang w:val="en-GB"/>
        </w:rPr>
        <w:t xml:space="preserve"> (</w:t>
      </w:r>
      <w:proofErr w:type="spellStart"/>
      <w:r>
        <w:rPr>
          <w:lang w:val="en-GB"/>
        </w:rPr>
        <w:t>adm.</w:t>
      </w:r>
      <w:proofErr w:type="spellEnd"/>
      <w:r>
        <w:rPr>
          <w:lang w:val="en-GB"/>
        </w:rPr>
        <w:t>) 30 September 1975, X. v. the Netherlands, no. 6301/73.</w:t>
      </w:r>
    </w:p>
  </w:footnote>
  <w:footnote w:id="266">
    <w:p w14:paraId="512D47A8" w14:textId="015584CF" w:rsidR="00B31A46" w:rsidRPr="001E0C90" w:rsidRDefault="00B31A46">
      <w:pPr>
        <w:pStyle w:val="Voetnoottekst"/>
        <w:rPr>
          <w:lang w:val="en-GB"/>
        </w:rPr>
      </w:pPr>
      <w:r>
        <w:rPr>
          <w:rStyle w:val="Voetnootmarkering"/>
        </w:rPr>
        <w:footnoteRef/>
      </w:r>
      <w:r w:rsidRPr="001E0C90">
        <w:rPr>
          <w:lang w:val="en-GB"/>
        </w:rPr>
        <w:t xml:space="preserve"> </w:t>
      </w:r>
      <w:r w:rsidRPr="008141A9">
        <w:rPr>
          <w:lang w:val="en-GB"/>
        </w:rPr>
        <w:t>E. Bates,</w:t>
      </w:r>
      <w:r>
        <w:rPr>
          <w:lang w:val="en-GB"/>
        </w:rPr>
        <w:t xml:space="preserve"> </w:t>
      </w:r>
      <w:proofErr w:type="gramStart"/>
      <w:r>
        <w:rPr>
          <w:i/>
          <w:lang w:val="en-GB"/>
        </w:rPr>
        <w:t>The</w:t>
      </w:r>
      <w:proofErr w:type="gramEnd"/>
      <w:r>
        <w:rPr>
          <w:i/>
          <w:lang w:val="en-GB"/>
        </w:rPr>
        <w:t xml:space="preserve"> Evolution of the European Convention on </w:t>
      </w:r>
      <w:r w:rsidRPr="008141A9">
        <w:rPr>
          <w:i/>
          <w:lang w:val="en-GB"/>
        </w:rPr>
        <w:t>Human Rights</w:t>
      </w:r>
      <w:r>
        <w:rPr>
          <w:lang w:val="en-GB"/>
        </w:rPr>
        <w:t xml:space="preserve">, Oxford, 2010, </w:t>
      </w:r>
      <w:r w:rsidRPr="00452452">
        <w:rPr>
          <w:lang w:val="en-GB"/>
        </w:rPr>
        <w:t xml:space="preserve">p. </w:t>
      </w:r>
      <w:r>
        <w:rPr>
          <w:lang w:val="en-GB"/>
        </w:rPr>
        <w:t>229.</w:t>
      </w:r>
    </w:p>
  </w:footnote>
  <w:footnote w:id="267">
    <w:p w14:paraId="5122CA60" w14:textId="1B7D7F31" w:rsidR="00B31A46" w:rsidRPr="00854354" w:rsidRDefault="00B31A46">
      <w:pPr>
        <w:pStyle w:val="Voetnoottekst"/>
        <w:rPr>
          <w:lang w:val="en-GB"/>
        </w:rPr>
      </w:pPr>
      <w:r>
        <w:rPr>
          <w:rStyle w:val="Voetnootmarkering"/>
        </w:rPr>
        <w:footnoteRef/>
      </w:r>
      <w:r w:rsidRPr="00854354">
        <w:rPr>
          <w:lang w:val="en-GB"/>
        </w:rPr>
        <w:t xml:space="preserve"> </w:t>
      </w:r>
      <w:r>
        <w:rPr>
          <w:lang w:val="en-GB"/>
        </w:rPr>
        <w:t xml:space="preserve">W. Van Rossum, </w:t>
      </w:r>
      <w:r w:rsidRPr="00BC365C">
        <w:rPr>
          <w:i/>
          <w:lang w:val="en-GB"/>
        </w:rPr>
        <w:t>The roots of Dutch strategic human rights litigation: comparing ‘Engel’ to ‘SGP’</w:t>
      </w:r>
      <w:r>
        <w:rPr>
          <w:lang w:val="en-GB"/>
        </w:rPr>
        <w:t xml:space="preserve"> in: M. van den Brink, S. </w:t>
      </w:r>
      <w:proofErr w:type="spellStart"/>
      <w:r>
        <w:rPr>
          <w:lang w:val="en-GB"/>
        </w:rPr>
        <w:t>Burri</w:t>
      </w:r>
      <w:proofErr w:type="spellEnd"/>
      <w:r>
        <w:rPr>
          <w:lang w:val="en-GB"/>
        </w:rPr>
        <w:t xml:space="preserve"> and J. Goldschmidt (eds.), </w:t>
      </w:r>
      <w:r>
        <w:rPr>
          <w:i/>
          <w:lang w:val="en-GB"/>
        </w:rPr>
        <w:t xml:space="preserve">Equality and human rights: nothing but trouble? </w:t>
      </w:r>
      <w:proofErr w:type="gramStart"/>
      <w:r w:rsidRPr="001F02CF">
        <w:rPr>
          <w:i/>
          <w:lang w:val="en-GB"/>
        </w:rPr>
        <w:t xml:space="preserve">Liber </w:t>
      </w:r>
      <w:proofErr w:type="spellStart"/>
      <w:r w:rsidRPr="001F02CF">
        <w:rPr>
          <w:i/>
          <w:lang w:val="en-GB"/>
        </w:rPr>
        <w:t>amicorum</w:t>
      </w:r>
      <w:proofErr w:type="spellEnd"/>
      <w:r w:rsidRPr="001F02CF">
        <w:rPr>
          <w:i/>
          <w:lang w:val="en-GB"/>
        </w:rPr>
        <w:t xml:space="preserve"> </w:t>
      </w:r>
      <w:proofErr w:type="spellStart"/>
      <w:r w:rsidRPr="001F02CF">
        <w:rPr>
          <w:i/>
          <w:lang w:val="en-GB"/>
        </w:rPr>
        <w:t>Titia</w:t>
      </w:r>
      <w:proofErr w:type="spellEnd"/>
      <w:r w:rsidRPr="001F02CF">
        <w:rPr>
          <w:i/>
          <w:lang w:val="en-GB"/>
        </w:rPr>
        <w:t xml:space="preserve"> </w:t>
      </w:r>
      <w:proofErr w:type="spellStart"/>
      <w:r w:rsidRPr="001F02CF">
        <w:rPr>
          <w:i/>
          <w:lang w:val="en-GB"/>
        </w:rPr>
        <w:t>Loenen</w:t>
      </w:r>
      <w:proofErr w:type="spellEnd"/>
      <w:r w:rsidRPr="001F02CF">
        <w:rPr>
          <w:lang w:val="en-GB"/>
        </w:rPr>
        <w:t xml:space="preserve">, </w:t>
      </w:r>
      <w:r>
        <w:rPr>
          <w:lang w:val="en-GB"/>
        </w:rPr>
        <w:t>Utrecht</w:t>
      </w:r>
      <w:r w:rsidRPr="001F02CF">
        <w:rPr>
          <w:lang w:val="en-GB"/>
        </w:rPr>
        <w:t xml:space="preserve">, 2015, </w:t>
      </w:r>
      <w:r>
        <w:rPr>
          <w:lang w:val="en-GB"/>
        </w:rPr>
        <w:t xml:space="preserve">p. </w:t>
      </w:r>
      <w:r w:rsidRPr="001F02CF">
        <w:rPr>
          <w:lang w:val="en-GB"/>
        </w:rPr>
        <w:t>387</w:t>
      </w:r>
      <w:r>
        <w:rPr>
          <w:lang w:val="en-GB"/>
        </w:rPr>
        <w:t xml:space="preserve"> at p. 398.</w:t>
      </w:r>
      <w:proofErr w:type="gramEnd"/>
    </w:p>
  </w:footnote>
  <w:footnote w:id="268">
    <w:p w14:paraId="3EBAB69E" w14:textId="77777777" w:rsidR="00B31A46" w:rsidRPr="001F6E29" w:rsidRDefault="00B31A46">
      <w:pPr>
        <w:pStyle w:val="Voetnoottekst"/>
        <w:rPr>
          <w:lang w:val="en-GB"/>
        </w:rPr>
      </w:pPr>
      <w:r>
        <w:rPr>
          <w:rStyle w:val="Voetnootmarkering"/>
        </w:rPr>
        <w:footnoteRef/>
      </w:r>
      <w:r w:rsidRPr="001F6E29">
        <w:rPr>
          <w:lang w:val="en-GB"/>
        </w:rPr>
        <w:t xml:space="preserve"> </w:t>
      </w:r>
      <w:r w:rsidRPr="00330CCA">
        <w:rPr>
          <w:lang w:val="en-GB"/>
        </w:rPr>
        <w:t>Interview Paula Marckx, Antwerp 10 May 2016.</w:t>
      </w:r>
    </w:p>
  </w:footnote>
  <w:footnote w:id="269">
    <w:p w14:paraId="1BFC9AE6" w14:textId="284CD84E" w:rsidR="00B31A46" w:rsidRPr="006F74EC" w:rsidRDefault="00B31A46">
      <w:pPr>
        <w:pStyle w:val="Voetnoottekst"/>
        <w:rPr>
          <w:lang w:val="en-GB"/>
        </w:rPr>
      </w:pPr>
      <w:r>
        <w:rPr>
          <w:rStyle w:val="Voetnootmarkering"/>
        </w:rPr>
        <w:footnoteRef/>
      </w:r>
      <w:r w:rsidRPr="00B31A46">
        <w:rPr>
          <w:lang w:val="en-GB"/>
        </w:rPr>
        <w:t xml:space="preserve"> Interview Jean-Marie </w:t>
      </w:r>
      <w:proofErr w:type="spellStart"/>
      <w:r w:rsidRPr="00B31A46">
        <w:rPr>
          <w:lang w:val="en-GB"/>
        </w:rPr>
        <w:t>Nelissen</w:t>
      </w:r>
      <w:proofErr w:type="spellEnd"/>
      <w:r w:rsidRPr="00B31A46">
        <w:rPr>
          <w:lang w:val="en-GB"/>
        </w:rPr>
        <w:t xml:space="preserve"> Grade, Leuven 15 December 2016. </w:t>
      </w:r>
      <w:r w:rsidRPr="006F74EC">
        <w:rPr>
          <w:lang w:val="en-GB"/>
        </w:rPr>
        <w:t>Also Moni Van Look, L</w:t>
      </w:r>
      <w:r>
        <w:rPr>
          <w:lang w:val="en-GB"/>
        </w:rPr>
        <w:t>e</w:t>
      </w:r>
      <w:r w:rsidRPr="006F74EC">
        <w:rPr>
          <w:lang w:val="en-GB"/>
        </w:rPr>
        <w:t>on Martens</w:t>
      </w:r>
      <w:r>
        <w:rPr>
          <w:lang w:val="en-GB"/>
        </w:rPr>
        <w:t xml:space="preserve">, </w:t>
      </w:r>
      <w:r w:rsidRPr="006F74EC">
        <w:rPr>
          <w:lang w:val="en-GB"/>
        </w:rPr>
        <w:t xml:space="preserve">Xavier </w:t>
      </w:r>
      <w:proofErr w:type="spellStart"/>
      <w:r w:rsidRPr="006F74EC">
        <w:rPr>
          <w:lang w:val="en-GB"/>
        </w:rPr>
        <w:t>Magnée</w:t>
      </w:r>
      <w:proofErr w:type="spellEnd"/>
      <w:r w:rsidRPr="006F74EC">
        <w:rPr>
          <w:lang w:val="en-GB"/>
        </w:rPr>
        <w:t xml:space="preserve"> and Patrick Devers</w:t>
      </w:r>
      <w:r>
        <w:rPr>
          <w:lang w:val="en-GB"/>
        </w:rPr>
        <w:t xml:space="preserve"> mentioned the helpfulness of the Commission’s secretariat.</w:t>
      </w:r>
    </w:p>
  </w:footnote>
  <w:footnote w:id="270">
    <w:p w14:paraId="44CF38AE" w14:textId="77777777" w:rsidR="00B31A46" w:rsidRPr="00C9310E" w:rsidRDefault="00B31A46">
      <w:pPr>
        <w:pStyle w:val="Voetnoottekst"/>
        <w:rPr>
          <w:lang w:val="en-GB"/>
        </w:rPr>
      </w:pPr>
      <w:r>
        <w:rPr>
          <w:rStyle w:val="Voetnootmarkering"/>
        </w:rPr>
        <w:footnoteRef/>
      </w:r>
      <w:r w:rsidRPr="00C9310E">
        <w:rPr>
          <w:lang w:val="fr-BE"/>
        </w:rPr>
        <w:t xml:space="preserve"> </w:t>
      </w:r>
      <w:r w:rsidRPr="0038777E">
        <w:rPr>
          <w:lang w:val="fr-BE"/>
        </w:rPr>
        <w:t xml:space="preserve">Interview </w:t>
      </w:r>
      <w:r>
        <w:rPr>
          <w:lang w:val="fr-BE"/>
        </w:rPr>
        <w:t>Xavier Magnée</w:t>
      </w:r>
      <w:r w:rsidRPr="0038777E">
        <w:rPr>
          <w:lang w:val="fr-BE"/>
        </w:rPr>
        <w:t>,</w:t>
      </w:r>
      <w:r>
        <w:rPr>
          <w:lang w:val="fr-BE"/>
        </w:rPr>
        <w:t xml:space="preserve"> Brussels</w:t>
      </w:r>
      <w:r w:rsidRPr="0038777E">
        <w:rPr>
          <w:lang w:val="fr-BE"/>
        </w:rPr>
        <w:t xml:space="preserve"> 8 </w:t>
      </w:r>
      <w:proofErr w:type="spellStart"/>
      <w:r>
        <w:rPr>
          <w:lang w:val="fr-BE"/>
        </w:rPr>
        <w:t>June</w:t>
      </w:r>
      <w:proofErr w:type="spellEnd"/>
      <w:r w:rsidRPr="0038777E">
        <w:rPr>
          <w:lang w:val="fr-BE"/>
        </w:rPr>
        <w:t xml:space="preserve"> 2016.</w:t>
      </w:r>
      <w:r>
        <w:rPr>
          <w:lang w:val="fr-BE"/>
        </w:rPr>
        <w:t xml:space="preserve"> </w:t>
      </w:r>
      <w:r w:rsidRPr="00C9310E">
        <w:rPr>
          <w:lang w:val="en-GB"/>
        </w:rPr>
        <w:t xml:space="preserve">Also see ECtHR (Plenary) 18 November 1970, </w:t>
      </w:r>
      <w:r>
        <w:rPr>
          <w:i/>
          <w:lang w:val="en-GB"/>
        </w:rPr>
        <w:t xml:space="preserve">De Wilde, </w:t>
      </w:r>
      <w:proofErr w:type="spellStart"/>
      <w:r>
        <w:rPr>
          <w:i/>
          <w:lang w:val="en-GB"/>
        </w:rPr>
        <w:t>Ooms</w:t>
      </w:r>
      <w:proofErr w:type="spellEnd"/>
      <w:r>
        <w:rPr>
          <w:i/>
          <w:lang w:val="en-GB"/>
        </w:rPr>
        <w:t xml:space="preserve"> and </w:t>
      </w:r>
      <w:proofErr w:type="spellStart"/>
      <w:r>
        <w:rPr>
          <w:i/>
          <w:lang w:val="en-GB"/>
        </w:rPr>
        <w:t>Versyp</w:t>
      </w:r>
      <w:proofErr w:type="spellEnd"/>
      <w:r>
        <w:rPr>
          <w:lang w:val="en-GB"/>
        </w:rPr>
        <w:t xml:space="preserve"> </w:t>
      </w:r>
      <w:r>
        <w:rPr>
          <w:i/>
          <w:lang w:val="en-GB"/>
        </w:rPr>
        <w:t>v. Belgium</w:t>
      </w:r>
      <w:r>
        <w:rPr>
          <w:lang w:val="en-GB"/>
        </w:rPr>
        <w:t xml:space="preserve"> (Questions of Procedure), nos. 2832/66; 2835/66; and 2899/66.</w:t>
      </w:r>
    </w:p>
  </w:footnote>
  <w:footnote w:id="271">
    <w:p w14:paraId="5CBE3DDB" w14:textId="248AF2E3" w:rsidR="00B31A46" w:rsidRPr="00FD2BDD" w:rsidRDefault="00B31A46">
      <w:pPr>
        <w:pStyle w:val="Voetnoottekst"/>
        <w:rPr>
          <w:lang w:val="en-GB"/>
        </w:rPr>
      </w:pPr>
      <w:r>
        <w:rPr>
          <w:rStyle w:val="Voetnootmarkering"/>
        </w:rPr>
        <w:footnoteRef/>
      </w:r>
      <w:r w:rsidRPr="00FD2BDD">
        <w:rPr>
          <w:lang w:val="en-GB"/>
        </w:rPr>
        <w:t xml:space="preserve"> </w:t>
      </w:r>
      <w:r>
        <w:rPr>
          <w:lang w:val="en-GB"/>
        </w:rPr>
        <w:t xml:space="preserve">M. Madsen, </w:t>
      </w:r>
      <w:proofErr w:type="gramStart"/>
      <w:r w:rsidRPr="00BC365C">
        <w:rPr>
          <w:i/>
          <w:lang w:val="en-GB"/>
        </w:rPr>
        <w:t>The</w:t>
      </w:r>
      <w:proofErr w:type="gramEnd"/>
      <w:r w:rsidRPr="00BC365C">
        <w:rPr>
          <w:i/>
          <w:lang w:val="en-GB"/>
        </w:rPr>
        <w:t xml:space="preserve"> Challenging Authority of the European Court of Human Rights: From Cold War Legal Diplomacy to the Brighton Declaration and Backlash</w:t>
      </w:r>
      <w:r>
        <w:rPr>
          <w:lang w:val="en-GB"/>
        </w:rPr>
        <w:t xml:space="preserve">, </w:t>
      </w:r>
      <w:r w:rsidRPr="00BC365C">
        <w:rPr>
          <w:lang w:val="en-GB"/>
        </w:rPr>
        <w:t>Law and Contemporary Problems, 79 (2016),</w:t>
      </w:r>
      <w:r>
        <w:rPr>
          <w:lang w:val="en-GB"/>
        </w:rPr>
        <w:t xml:space="preserve"> p. 141 at p. 154.</w:t>
      </w:r>
    </w:p>
  </w:footnote>
  <w:footnote w:id="272">
    <w:p w14:paraId="0957E1D0" w14:textId="5A0CD069" w:rsidR="00B31A46" w:rsidRPr="002D1ADE" w:rsidRDefault="00B31A46">
      <w:pPr>
        <w:pStyle w:val="Voetnoottekst"/>
        <w:rPr>
          <w:lang w:val="en-GB"/>
        </w:rPr>
      </w:pPr>
      <w:r>
        <w:rPr>
          <w:rStyle w:val="Voetnootmarkering"/>
        </w:rPr>
        <w:footnoteRef/>
      </w:r>
      <w:r w:rsidRPr="002D1ADE">
        <w:rPr>
          <w:lang w:val="en-GB"/>
        </w:rPr>
        <w:t xml:space="preserve"> </w:t>
      </w:r>
      <w:r w:rsidRPr="00490566">
        <w:rPr>
          <w:lang w:val="en-GB"/>
        </w:rPr>
        <w:t xml:space="preserve">W. Van Rossum, </w:t>
      </w:r>
      <w:r w:rsidRPr="00BC365C">
        <w:rPr>
          <w:i/>
          <w:lang w:val="en-GB"/>
        </w:rPr>
        <w:t xml:space="preserve">The roots of Dutch strategic human rights litigation: comparing ‘Engel’ to ‘SGP’ </w:t>
      </w:r>
      <w:r>
        <w:rPr>
          <w:lang w:val="en-GB"/>
        </w:rPr>
        <w:t xml:space="preserve">in: M. van den Brink, S. </w:t>
      </w:r>
      <w:proofErr w:type="spellStart"/>
      <w:r>
        <w:rPr>
          <w:lang w:val="en-GB"/>
        </w:rPr>
        <w:t>Burri</w:t>
      </w:r>
      <w:proofErr w:type="spellEnd"/>
      <w:r>
        <w:rPr>
          <w:lang w:val="en-GB"/>
        </w:rPr>
        <w:t xml:space="preserve"> and J. Goldschmidt, </w:t>
      </w:r>
      <w:r>
        <w:rPr>
          <w:i/>
          <w:lang w:val="en-GB"/>
        </w:rPr>
        <w:t xml:space="preserve">Equality and human rights: nothing but trouble? </w:t>
      </w:r>
      <w:proofErr w:type="gramStart"/>
      <w:r w:rsidRPr="001F02CF">
        <w:rPr>
          <w:i/>
          <w:lang w:val="en-GB"/>
        </w:rPr>
        <w:t xml:space="preserve">Liber </w:t>
      </w:r>
      <w:proofErr w:type="spellStart"/>
      <w:r w:rsidRPr="001F02CF">
        <w:rPr>
          <w:i/>
          <w:lang w:val="en-GB"/>
        </w:rPr>
        <w:t>amicorum</w:t>
      </w:r>
      <w:proofErr w:type="spellEnd"/>
      <w:r w:rsidRPr="001F02CF">
        <w:rPr>
          <w:i/>
          <w:lang w:val="en-GB"/>
        </w:rPr>
        <w:t xml:space="preserve"> </w:t>
      </w:r>
      <w:proofErr w:type="spellStart"/>
      <w:r w:rsidRPr="001F02CF">
        <w:rPr>
          <w:i/>
          <w:lang w:val="en-GB"/>
        </w:rPr>
        <w:t>Titia</w:t>
      </w:r>
      <w:proofErr w:type="spellEnd"/>
      <w:r w:rsidRPr="001F02CF">
        <w:rPr>
          <w:i/>
          <w:lang w:val="en-GB"/>
        </w:rPr>
        <w:t xml:space="preserve"> </w:t>
      </w:r>
      <w:proofErr w:type="spellStart"/>
      <w:r w:rsidRPr="001F02CF">
        <w:rPr>
          <w:i/>
          <w:lang w:val="en-GB"/>
        </w:rPr>
        <w:t>Loenen</w:t>
      </w:r>
      <w:proofErr w:type="spellEnd"/>
      <w:r w:rsidRPr="001F02CF">
        <w:rPr>
          <w:lang w:val="en-GB"/>
        </w:rPr>
        <w:t xml:space="preserve">, </w:t>
      </w:r>
      <w:r>
        <w:rPr>
          <w:lang w:val="en-GB"/>
        </w:rPr>
        <w:t>Utrecht,</w:t>
      </w:r>
      <w:r w:rsidRPr="001F02CF">
        <w:rPr>
          <w:lang w:val="en-GB"/>
        </w:rPr>
        <w:t xml:space="preserve"> 2015, </w:t>
      </w:r>
      <w:r>
        <w:rPr>
          <w:lang w:val="en-GB"/>
        </w:rPr>
        <w:t xml:space="preserve">p. </w:t>
      </w:r>
      <w:r w:rsidRPr="001F02CF">
        <w:rPr>
          <w:lang w:val="en-GB"/>
        </w:rPr>
        <w:t>387</w:t>
      </w:r>
      <w:r>
        <w:rPr>
          <w:lang w:val="en-GB"/>
        </w:rPr>
        <w:t xml:space="preserve"> at p. 394 and 397.</w:t>
      </w:r>
      <w:proofErr w:type="gramEnd"/>
    </w:p>
  </w:footnote>
  <w:footnote w:id="273">
    <w:p w14:paraId="0B7EA795" w14:textId="77777777" w:rsidR="00B31A46" w:rsidRPr="00B31A46" w:rsidRDefault="00B31A46">
      <w:pPr>
        <w:pStyle w:val="Voetnoottekst"/>
        <w:rPr>
          <w:lang w:val="en-GB"/>
        </w:rPr>
      </w:pPr>
      <w:r>
        <w:rPr>
          <w:rStyle w:val="Voetnootmarkering"/>
        </w:rPr>
        <w:footnoteRef/>
      </w:r>
      <w:r w:rsidRPr="00B31A46">
        <w:rPr>
          <w:lang w:val="en-GB"/>
        </w:rPr>
        <w:t xml:space="preserve"> Interview Françoise De </w:t>
      </w:r>
      <w:proofErr w:type="spellStart"/>
      <w:r w:rsidRPr="00B31A46">
        <w:rPr>
          <w:lang w:val="en-GB"/>
        </w:rPr>
        <w:t>Croo-Desguin</w:t>
      </w:r>
      <w:proofErr w:type="spellEnd"/>
      <w:r w:rsidRPr="00B31A46">
        <w:rPr>
          <w:lang w:val="en-GB"/>
        </w:rPr>
        <w:t>, Ghent 18 May 2016.</w:t>
      </w:r>
    </w:p>
  </w:footnote>
  <w:footnote w:id="274">
    <w:p w14:paraId="14EFA964" w14:textId="77777777" w:rsidR="00B31A46" w:rsidRPr="00F13516" w:rsidRDefault="00B31A46">
      <w:pPr>
        <w:pStyle w:val="Voetnoottekst"/>
        <w:rPr>
          <w:lang w:val="en-GB"/>
        </w:rPr>
      </w:pPr>
      <w:r>
        <w:rPr>
          <w:rStyle w:val="Voetnootmarkering"/>
        </w:rPr>
        <w:footnoteRef/>
      </w:r>
      <w:r w:rsidRPr="00F13516">
        <w:rPr>
          <w:lang w:val="en-GB"/>
        </w:rPr>
        <w:t xml:space="preserve"> </w:t>
      </w:r>
      <w:r>
        <w:rPr>
          <w:lang w:val="en-GB"/>
        </w:rPr>
        <w:t xml:space="preserve">Interview Luc </w:t>
      </w:r>
      <w:proofErr w:type="spellStart"/>
      <w:r>
        <w:rPr>
          <w:lang w:val="en-GB"/>
        </w:rPr>
        <w:t>Peeters</w:t>
      </w:r>
      <w:proofErr w:type="spellEnd"/>
      <w:r>
        <w:rPr>
          <w:lang w:val="en-GB"/>
        </w:rPr>
        <w:t>, Antwerp 24 May 2016.</w:t>
      </w:r>
    </w:p>
  </w:footnote>
  <w:footnote w:id="275">
    <w:p w14:paraId="494225E3" w14:textId="77777777" w:rsidR="00B31A46" w:rsidRPr="002A7C75" w:rsidRDefault="00B31A46">
      <w:pPr>
        <w:pStyle w:val="Voetnoottekst"/>
      </w:pPr>
      <w:r>
        <w:rPr>
          <w:rStyle w:val="Voetnootmarkering"/>
        </w:rPr>
        <w:footnoteRef/>
      </w:r>
      <w:r w:rsidRPr="000E7FF5">
        <w:t xml:space="preserve"> Interview </w:t>
      </w:r>
      <w:proofErr w:type="spellStart"/>
      <w:r w:rsidRPr="000E7FF5">
        <w:t>Moni</w:t>
      </w:r>
      <w:proofErr w:type="spellEnd"/>
      <w:r w:rsidRPr="000E7FF5">
        <w:t xml:space="preserve"> Van Look, Boortmeerbeek 6 </w:t>
      </w:r>
      <w:proofErr w:type="gramStart"/>
      <w:r w:rsidRPr="000E7FF5">
        <w:t>September</w:t>
      </w:r>
      <w:proofErr w:type="gramEnd"/>
      <w:r w:rsidRPr="000E7FF5">
        <w:t xml:space="preserve"> 2016.</w:t>
      </w:r>
    </w:p>
  </w:footnote>
  <w:footnote w:id="276">
    <w:p w14:paraId="09B45706" w14:textId="77777777" w:rsidR="00B31A46" w:rsidRPr="00075C84" w:rsidRDefault="00B31A46">
      <w:pPr>
        <w:pStyle w:val="Voetnoottekst"/>
        <w:rPr>
          <w:lang w:val="en-GB"/>
        </w:rPr>
      </w:pPr>
      <w:r>
        <w:rPr>
          <w:rStyle w:val="Voetnootmarkering"/>
        </w:rPr>
        <w:footnoteRef/>
      </w:r>
      <w:r w:rsidRPr="00075C84">
        <w:rPr>
          <w:lang w:val="en-GB"/>
        </w:rPr>
        <w:t xml:space="preserve"> </w:t>
      </w:r>
      <w:r>
        <w:rPr>
          <w:lang w:val="en-GB"/>
        </w:rPr>
        <w:t>Interview Raoul Neuroth, Liège 23 June 2016.</w:t>
      </w:r>
    </w:p>
  </w:footnote>
  <w:footnote w:id="277">
    <w:p w14:paraId="667B47AF" w14:textId="77777777" w:rsidR="00B31A46" w:rsidRPr="00F70115" w:rsidRDefault="00B31A46">
      <w:pPr>
        <w:pStyle w:val="Voetnoottekst"/>
        <w:rPr>
          <w:lang w:val="en-GB"/>
        </w:rPr>
      </w:pPr>
      <w:r>
        <w:rPr>
          <w:rStyle w:val="Voetnootmarkering"/>
        </w:rPr>
        <w:footnoteRef/>
      </w:r>
      <w:r w:rsidRPr="00F70115">
        <w:rPr>
          <w:lang w:val="en-GB"/>
        </w:rPr>
        <w:t xml:space="preserve"> </w:t>
      </w:r>
      <w:r>
        <w:rPr>
          <w:lang w:val="en-GB"/>
        </w:rPr>
        <w:t xml:space="preserve">ECtHR, </w:t>
      </w:r>
      <w:r w:rsidRPr="00F70115">
        <w:rPr>
          <w:lang w:val="en-GB"/>
        </w:rPr>
        <w:t>Verbatim record of the public hearings held on 23 November 1988</w:t>
      </w:r>
      <w:r>
        <w:rPr>
          <w:lang w:val="en-GB"/>
        </w:rPr>
        <w:t xml:space="preserve">, </w:t>
      </w:r>
      <w:proofErr w:type="spellStart"/>
      <w:r>
        <w:rPr>
          <w:lang w:val="en-GB"/>
        </w:rPr>
        <w:t>Lamy</w:t>
      </w:r>
      <w:proofErr w:type="spellEnd"/>
      <w:r>
        <w:rPr>
          <w:lang w:val="en-GB"/>
        </w:rPr>
        <w:t xml:space="preserve"> case, </w:t>
      </w:r>
      <w:proofErr w:type="spellStart"/>
      <w:r>
        <w:rPr>
          <w:lang w:val="en-GB"/>
        </w:rPr>
        <w:t>Cour</w:t>
      </w:r>
      <w:proofErr w:type="spellEnd"/>
      <w:r>
        <w:rPr>
          <w:lang w:val="en-GB"/>
        </w:rPr>
        <w:t>/</w:t>
      </w:r>
      <w:proofErr w:type="spellStart"/>
      <w:r>
        <w:rPr>
          <w:lang w:val="en-GB"/>
        </w:rPr>
        <w:t>Misc</w:t>
      </w:r>
      <w:proofErr w:type="spellEnd"/>
      <w:r>
        <w:rPr>
          <w:lang w:val="en-GB"/>
        </w:rPr>
        <w:t xml:space="preserve"> (88) 299, p.</w:t>
      </w:r>
      <w:r w:rsidRPr="00F70115">
        <w:rPr>
          <w:lang w:val="en-GB"/>
        </w:rPr>
        <w:t xml:space="preserve"> 33</w:t>
      </w:r>
      <w:r>
        <w:rPr>
          <w:lang w:val="en-GB"/>
        </w:rPr>
        <w:t>.</w:t>
      </w:r>
    </w:p>
  </w:footnote>
  <w:footnote w:id="278">
    <w:p w14:paraId="227A01DB" w14:textId="77777777" w:rsidR="00B31A46" w:rsidRPr="00A20B1C" w:rsidRDefault="00B31A46">
      <w:pPr>
        <w:pStyle w:val="Voetnoottekst"/>
        <w:rPr>
          <w:lang w:val="fr-BE"/>
        </w:rPr>
      </w:pPr>
      <w:r>
        <w:rPr>
          <w:rStyle w:val="Voetnootmarkering"/>
        </w:rPr>
        <w:footnoteRef/>
      </w:r>
      <w:r w:rsidRPr="00A20B1C">
        <w:rPr>
          <w:lang w:val="fr-BE"/>
        </w:rPr>
        <w:t xml:space="preserve"> </w:t>
      </w:r>
      <w:r w:rsidRPr="0038777E">
        <w:rPr>
          <w:lang w:val="fr-BE"/>
        </w:rPr>
        <w:t xml:space="preserve">Interview </w:t>
      </w:r>
      <w:r>
        <w:rPr>
          <w:lang w:val="fr-BE"/>
        </w:rPr>
        <w:t>Xavier Magnée</w:t>
      </w:r>
      <w:r w:rsidRPr="0038777E">
        <w:rPr>
          <w:lang w:val="fr-BE"/>
        </w:rPr>
        <w:t>,</w:t>
      </w:r>
      <w:r>
        <w:rPr>
          <w:lang w:val="fr-BE"/>
        </w:rPr>
        <w:t xml:space="preserve"> Brussels</w:t>
      </w:r>
      <w:r w:rsidRPr="0038777E">
        <w:rPr>
          <w:lang w:val="fr-BE"/>
        </w:rPr>
        <w:t xml:space="preserve"> 8 </w:t>
      </w:r>
      <w:proofErr w:type="spellStart"/>
      <w:r>
        <w:rPr>
          <w:lang w:val="fr-BE"/>
        </w:rPr>
        <w:t>June</w:t>
      </w:r>
      <w:proofErr w:type="spellEnd"/>
      <w:r w:rsidRPr="0038777E">
        <w:rPr>
          <w:lang w:val="fr-BE"/>
        </w:rPr>
        <w:t xml:space="preserve">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83A6C" w14:textId="20117E98" w:rsidR="00B31A46" w:rsidRPr="009A5280" w:rsidRDefault="00B31A46">
    <w:pPr>
      <w:pStyle w:val="Koptekst"/>
      <w:rPr>
        <w:lang w:val="en-GB"/>
      </w:rPr>
    </w:pPr>
  </w:p>
  <w:p w14:paraId="0EA7AA35" w14:textId="77777777" w:rsidR="00B31A46" w:rsidRPr="009A5280" w:rsidRDefault="00B31A46">
    <w:pPr>
      <w:pStyle w:val="Kopteks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307E4"/>
    <w:multiLevelType w:val="hybridMultilevel"/>
    <w:tmpl w:val="662614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26A243E1"/>
    <w:multiLevelType w:val="hybridMultilevel"/>
    <w:tmpl w:val="4814A502"/>
    <w:lvl w:ilvl="0" w:tplc="3684E6A8">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2FC136B8"/>
    <w:multiLevelType w:val="hybridMultilevel"/>
    <w:tmpl w:val="E6DADD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5F505B18"/>
    <w:multiLevelType w:val="hybridMultilevel"/>
    <w:tmpl w:val="025255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5FA33B6B"/>
    <w:multiLevelType w:val="multilevel"/>
    <w:tmpl w:val="2AC66288"/>
    <w:lvl w:ilvl="0">
      <w:start w:val="1"/>
      <w:numFmt w:val="decimal"/>
      <w:lvlText w:val="%1."/>
      <w:lvlJc w:val="left"/>
      <w:pPr>
        <w:ind w:left="720" w:hanging="360"/>
      </w:pPr>
    </w:lvl>
    <w:lvl w:ilvl="1">
      <w:start w:val="1"/>
      <w:numFmt w:val="decimal"/>
      <w:isLgl/>
      <w:lvlText w:val="%1.%2."/>
      <w:lvlJc w:val="left"/>
      <w:pPr>
        <w:ind w:left="720" w:hanging="360"/>
      </w:pPr>
      <w:rPr>
        <w:rFonts w:hint="default"/>
        <w:b w:val="0"/>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3D11386"/>
    <w:multiLevelType w:val="hybridMultilevel"/>
    <w:tmpl w:val="DFDEE6B8"/>
    <w:lvl w:ilvl="0" w:tplc="5C80026A">
      <w:start w:val="4"/>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693A2F91"/>
    <w:multiLevelType w:val="hybridMultilevel"/>
    <w:tmpl w:val="052254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2"/>
  </w:num>
  <w:num w:numId="5">
    <w:abstractNumId w:val="1"/>
  </w:num>
  <w:num w:numId="6">
    <w:abstractNumId w:val="4"/>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va Brems">
    <w15:presenceInfo w15:providerId="AD" w15:userId="S-1-5-21-4030456262-320625612-449655040-6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93A"/>
    <w:rsid w:val="00001810"/>
    <w:rsid w:val="000031AA"/>
    <w:rsid w:val="000048E7"/>
    <w:rsid w:val="00004AB8"/>
    <w:rsid w:val="000058A6"/>
    <w:rsid w:val="00005F32"/>
    <w:rsid w:val="000133C8"/>
    <w:rsid w:val="00014A39"/>
    <w:rsid w:val="00022210"/>
    <w:rsid w:val="000233F6"/>
    <w:rsid w:val="0002381A"/>
    <w:rsid w:val="00025DF0"/>
    <w:rsid w:val="00026E11"/>
    <w:rsid w:val="00030958"/>
    <w:rsid w:val="00030DEB"/>
    <w:rsid w:val="000328FD"/>
    <w:rsid w:val="00035967"/>
    <w:rsid w:val="000368B9"/>
    <w:rsid w:val="0004103E"/>
    <w:rsid w:val="00041A69"/>
    <w:rsid w:val="00041F93"/>
    <w:rsid w:val="00043B35"/>
    <w:rsid w:val="00047C1D"/>
    <w:rsid w:val="0005410C"/>
    <w:rsid w:val="00064181"/>
    <w:rsid w:val="00071CB5"/>
    <w:rsid w:val="0007235B"/>
    <w:rsid w:val="0007342A"/>
    <w:rsid w:val="000751F7"/>
    <w:rsid w:val="00075C84"/>
    <w:rsid w:val="00075DBA"/>
    <w:rsid w:val="0007675E"/>
    <w:rsid w:val="000773FA"/>
    <w:rsid w:val="00077E51"/>
    <w:rsid w:val="00080372"/>
    <w:rsid w:val="00082383"/>
    <w:rsid w:val="00084613"/>
    <w:rsid w:val="00085127"/>
    <w:rsid w:val="00091BEB"/>
    <w:rsid w:val="000941AC"/>
    <w:rsid w:val="00094858"/>
    <w:rsid w:val="000955A4"/>
    <w:rsid w:val="00096274"/>
    <w:rsid w:val="00096A39"/>
    <w:rsid w:val="00097A97"/>
    <w:rsid w:val="00097FDF"/>
    <w:rsid w:val="000A322D"/>
    <w:rsid w:val="000A5A4A"/>
    <w:rsid w:val="000A6D45"/>
    <w:rsid w:val="000B0A12"/>
    <w:rsid w:val="000B253B"/>
    <w:rsid w:val="000B72E2"/>
    <w:rsid w:val="000C1974"/>
    <w:rsid w:val="000C509B"/>
    <w:rsid w:val="000C5ACC"/>
    <w:rsid w:val="000C65A4"/>
    <w:rsid w:val="000C7872"/>
    <w:rsid w:val="000D07B0"/>
    <w:rsid w:val="000E3D7D"/>
    <w:rsid w:val="000E7FF5"/>
    <w:rsid w:val="000F4CF5"/>
    <w:rsid w:val="00105ED2"/>
    <w:rsid w:val="00111BBB"/>
    <w:rsid w:val="00111FFE"/>
    <w:rsid w:val="001128EC"/>
    <w:rsid w:val="001134E8"/>
    <w:rsid w:val="00116184"/>
    <w:rsid w:val="001163CB"/>
    <w:rsid w:val="001208B5"/>
    <w:rsid w:val="00125962"/>
    <w:rsid w:val="0012614C"/>
    <w:rsid w:val="00126EE7"/>
    <w:rsid w:val="001362C6"/>
    <w:rsid w:val="00141290"/>
    <w:rsid w:val="00143FD8"/>
    <w:rsid w:val="00147277"/>
    <w:rsid w:val="001525EE"/>
    <w:rsid w:val="00155BCF"/>
    <w:rsid w:val="00161527"/>
    <w:rsid w:val="00164FE2"/>
    <w:rsid w:val="00167253"/>
    <w:rsid w:val="0017081D"/>
    <w:rsid w:val="00172465"/>
    <w:rsid w:val="0017338C"/>
    <w:rsid w:val="0017601F"/>
    <w:rsid w:val="00176C32"/>
    <w:rsid w:val="00181D75"/>
    <w:rsid w:val="00182129"/>
    <w:rsid w:val="001842CF"/>
    <w:rsid w:val="0018436D"/>
    <w:rsid w:val="00185B53"/>
    <w:rsid w:val="00186080"/>
    <w:rsid w:val="00193886"/>
    <w:rsid w:val="00195795"/>
    <w:rsid w:val="00195ED5"/>
    <w:rsid w:val="001A19D0"/>
    <w:rsid w:val="001A1A04"/>
    <w:rsid w:val="001A6E4F"/>
    <w:rsid w:val="001B1F80"/>
    <w:rsid w:val="001B5723"/>
    <w:rsid w:val="001B5D1A"/>
    <w:rsid w:val="001B707F"/>
    <w:rsid w:val="001B7C01"/>
    <w:rsid w:val="001C376F"/>
    <w:rsid w:val="001C4177"/>
    <w:rsid w:val="001C4D3D"/>
    <w:rsid w:val="001C54AC"/>
    <w:rsid w:val="001C7E6C"/>
    <w:rsid w:val="001D3303"/>
    <w:rsid w:val="001D458C"/>
    <w:rsid w:val="001D5C84"/>
    <w:rsid w:val="001D7701"/>
    <w:rsid w:val="001E0B2C"/>
    <w:rsid w:val="001E0C90"/>
    <w:rsid w:val="001E4C68"/>
    <w:rsid w:val="001F4067"/>
    <w:rsid w:val="001F4450"/>
    <w:rsid w:val="001F471B"/>
    <w:rsid w:val="001F6E29"/>
    <w:rsid w:val="001F721F"/>
    <w:rsid w:val="002000A1"/>
    <w:rsid w:val="00200EA9"/>
    <w:rsid w:val="00202ABC"/>
    <w:rsid w:val="00203C7E"/>
    <w:rsid w:val="00204003"/>
    <w:rsid w:val="00211D92"/>
    <w:rsid w:val="0022086D"/>
    <w:rsid w:val="00220B26"/>
    <w:rsid w:val="00221223"/>
    <w:rsid w:val="002216CE"/>
    <w:rsid w:val="00224C2A"/>
    <w:rsid w:val="00230D39"/>
    <w:rsid w:val="00232C57"/>
    <w:rsid w:val="00233D50"/>
    <w:rsid w:val="00235CF6"/>
    <w:rsid w:val="00236DEC"/>
    <w:rsid w:val="00244A35"/>
    <w:rsid w:val="00245B56"/>
    <w:rsid w:val="00246B9C"/>
    <w:rsid w:val="002563CD"/>
    <w:rsid w:val="00256ACC"/>
    <w:rsid w:val="00260A40"/>
    <w:rsid w:val="002628F2"/>
    <w:rsid w:val="002650DC"/>
    <w:rsid w:val="002733F5"/>
    <w:rsid w:val="00275407"/>
    <w:rsid w:val="002837E2"/>
    <w:rsid w:val="00284E2E"/>
    <w:rsid w:val="002856D9"/>
    <w:rsid w:val="00287026"/>
    <w:rsid w:val="0029124A"/>
    <w:rsid w:val="00292BBD"/>
    <w:rsid w:val="00293570"/>
    <w:rsid w:val="002A0C6C"/>
    <w:rsid w:val="002A120A"/>
    <w:rsid w:val="002A3354"/>
    <w:rsid w:val="002A5D2F"/>
    <w:rsid w:val="002A6D26"/>
    <w:rsid w:val="002A7C75"/>
    <w:rsid w:val="002C4595"/>
    <w:rsid w:val="002C627D"/>
    <w:rsid w:val="002C6B77"/>
    <w:rsid w:val="002D0016"/>
    <w:rsid w:val="002D00FF"/>
    <w:rsid w:val="002D05F4"/>
    <w:rsid w:val="002D1ADE"/>
    <w:rsid w:val="002D4246"/>
    <w:rsid w:val="002D4974"/>
    <w:rsid w:val="002E1978"/>
    <w:rsid w:val="002E2CFD"/>
    <w:rsid w:val="002E3CF8"/>
    <w:rsid w:val="002E6099"/>
    <w:rsid w:val="002E7E96"/>
    <w:rsid w:val="002E7F18"/>
    <w:rsid w:val="002F3B3E"/>
    <w:rsid w:val="002F4C87"/>
    <w:rsid w:val="002F553B"/>
    <w:rsid w:val="002F5698"/>
    <w:rsid w:val="002F58EB"/>
    <w:rsid w:val="00300B89"/>
    <w:rsid w:val="00301A1D"/>
    <w:rsid w:val="00301ECB"/>
    <w:rsid w:val="00304909"/>
    <w:rsid w:val="00304D1A"/>
    <w:rsid w:val="003056CF"/>
    <w:rsid w:val="00306B85"/>
    <w:rsid w:val="00311E90"/>
    <w:rsid w:val="003156EA"/>
    <w:rsid w:val="00320BE1"/>
    <w:rsid w:val="00322396"/>
    <w:rsid w:val="00323646"/>
    <w:rsid w:val="00323680"/>
    <w:rsid w:val="00326527"/>
    <w:rsid w:val="00327968"/>
    <w:rsid w:val="00330514"/>
    <w:rsid w:val="00330CCA"/>
    <w:rsid w:val="00333151"/>
    <w:rsid w:val="0033555C"/>
    <w:rsid w:val="00337406"/>
    <w:rsid w:val="00341903"/>
    <w:rsid w:val="00343CCE"/>
    <w:rsid w:val="00345E88"/>
    <w:rsid w:val="00346A5C"/>
    <w:rsid w:val="0034728B"/>
    <w:rsid w:val="00355116"/>
    <w:rsid w:val="003605DA"/>
    <w:rsid w:val="0036221C"/>
    <w:rsid w:val="0036593A"/>
    <w:rsid w:val="003674A8"/>
    <w:rsid w:val="00370701"/>
    <w:rsid w:val="00372136"/>
    <w:rsid w:val="003734CC"/>
    <w:rsid w:val="00373987"/>
    <w:rsid w:val="0038777E"/>
    <w:rsid w:val="003926BC"/>
    <w:rsid w:val="00393A4A"/>
    <w:rsid w:val="00393C5C"/>
    <w:rsid w:val="003952D3"/>
    <w:rsid w:val="003953CE"/>
    <w:rsid w:val="00396064"/>
    <w:rsid w:val="003973CE"/>
    <w:rsid w:val="003A01BA"/>
    <w:rsid w:val="003A103E"/>
    <w:rsid w:val="003A2B24"/>
    <w:rsid w:val="003A3D57"/>
    <w:rsid w:val="003A3ED5"/>
    <w:rsid w:val="003A5647"/>
    <w:rsid w:val="003A7272"/>
    <w:rsid w:val="003A7972"/>
    <w:rsid w:val="003B36A1"/>
    <w:rsid w:val="003B54C0"/>
    <w:rsid w:val="003B7E86"/>
    <w:rsid w:val="003C1606"/>
    <w:rsid w:val="003C76AE"/>
    <w:rsid w:val="003D00C0"/>
    <w:rsid w:val="003D0FD5"/>
    <w:rsid w:val="003D17CD"/>
    <w:rsid w:val="003D2860"/>
    <w:rsid w:val="003D3746"/>
    <w:rsid w:val="003D38F3"/>
    <w:rsid w:val="003D48D9"/>
    <w:rsid w:val="003F05B8"/>
    <w:rsid w:val="003F514B"/>
    <w:rsid w:val="003F73B2"/>
    <w:rsid w:val="003F7718"/>
    <w:rsid w:val="003F792E"/>
    <w:rsid w:val="004003B5"/>
    <w:rsid w:val="00400522"/>
    <w:rsid w:val="004015A8"/>
    <w:rsid w:val="0040184B"/>
    <w:rsid w:val="00401B47"/>
    <w:rsid w:val="00402704"/>
    <w:rsid w:val="00411D11"/>
    <w:rsid w:val="00412A7B"/>
    <w:rsid w:val="00414E16"/>
    <w:rsid w:val="00414F63"/>
    <w:rsid w:val="00420260"/>
    <w:rsid w:val="00420521"/>
    <w:rsid w:val="004228A8"/>
    <w:rsid w:val="00423653"/>
    <w:rsid w:val="00423B84"/>
    <w:rsid w:val="00427462"/>
    <w:rsid w:val="00427B62"/>
    <w:rsid w:val="00432810"/>
    <w:rsid w:val="00432818"/>
    <w:rsid w:val="00434F54"/>
    <w:rsid w:val="00435CC0"/>
    <w:rsid w:val="00436646"/>
    <w:rsid w:val="00437264"/>
    <w:rsid w:val="00443567"/>
    <w:rsid w:val="00445AE4"/>
    <w:rsid w:val="00446A07"/>
    <w:rsid w:val="004510BB"/>
    <w:rsid w:val="004516BA"/>
    <w:rsid w:val="00452452"/>
    <w:rsid w:val="00453911"/>
    <w:rsid w:val="00453CC7"/>
    <w:rsid w:val="00454CC1"/>
    <w:rsid w:val="00455A75"/>
    <w:rsid w:val="00455B3D"/>
    <w:rsid w:val="004568D1"/>
    <w:rsid w:val="00463F8B"/>
    <w:rsid w:val="0046508F"/>
    <w:rsid w:val="00467BBE"/>
    <w:rsid w:val="00470B1E"/>
    <w:rsid w:val="00477986"/>
    <w:rsid w:val="00483E51"/>
    <w:rsid w:val="0048640C"/>
    <w:rsid w:val="004A0A88"/>
    <w:rsid w:val="004A141A"/>
    <w:rsid w:val="004A4DEE"/>
    <w:rsid w:val="004A520F"/>
    <w:rsid w:val="004B25EE"/>
    <w:rsid w:val="004B394C"/>
    <w:rsid w:val="004B3ABB"/>
    <w:rsid w:val="004B549C"/>
    <w:rsid w:val="004B5994"/>
    <w:rsid w:val="004B7C0D"/>
    <w:rsid w:val="004C018E"/>
    <w:rsid w:val="004C11B2"/>
    <w:rsid w:val="004C43F9"/>
    <w:rsid w:val="004C6042"/>
    <w:rsid w:val="004D1A00"/>
    <w:rsid w:val="004D509A"/>
    <w:rsid w:val="004D5E7E"/>
    <w:rsid w:val="004D5E89"/>
    <w:rsid w:val="004D6079"/>
    <w:rsid w:val="004D6BC2"/>
    <w:rsid w:val="004E5EF0"/>
    <w:rsid w:val="004E6A54"/>
    <w:rsid w:val="004F0C0B"/>
    <w:rsid w:val="004F1E94"/>
    <w:rsid w:val="004F7669"/>
    <w:rsid w:val="00501DDF"/>
    <w:rsid w:val="00501E73"/>
    <w:rsid w:val="005034D0"/>
    <w:rsid w:val="0050448C"/>
    <w:rsid w:val="0050474C"/>
    <w:rsid w:val="00507812"/>
    <w:rsid w:val="00510BF4"/>
    <w:rsid w:val="00513E6B"/>
    <w:rsid w:val="005141C4"/>
    <w:rsid w:val="00520A9C"/>
    <w:rsid w:val="00522F9F"/>
    <w:rsid w:val="00531865"/>
    <w:rsid w:val="00532B37"/>
    <w:rsid w:val="00533B7A"/>
    <w:rsid w:val="00534CFA"/>
    <w:rsid w:val="00534E74"/>
    <w:rsid w:val="0054219E"/>
    <w:rsid w:val="0054536D"/>
    <w:rsid w:val="005476A0"/>
    <w:rsid w:val="00551A67"/>
    <w:rsid w:val="00556B2F"/>
    <w:rsid w:val="00563811"/>
    <w:rsid w:val="00566597"/>
    <w:rsid w:val="00571159"/>
    <w:rsid w:val="005737BC"/>
    <w:rsid w:val="00573D75"/>
    <w:rsid w:val="00573EFF"/>
    <w:rsid w:val="00574E2A"/>
    <w:rsid w:val="005755A9"/>
    <w:rsid w:val="00576047"/>
    <w:rsid w:val="0057707D"/>
    <w:rsid w:val="00577C3F"/>
    <w:rsid w:val="00586791"/>
    <w:rsid w:val="005870FB"/>
    <w:rsid w:val="005879EF"/>
    <w:rsid w:val="00587CA1"/>
    <w:rsid w:val="0059032C"/>
    <w:rsid w:val="00592A75"/>
    <w:rsid w:val="005976D3"/>
    <w:rsid w:val="005A23AE"/>
    <w:rsid w:val="005A712F"/>
    <w:rsid w:val="005B180F"/>
    <w:rsid w:val="005B249A"/>
    <w:rsid w:val="005B26B5"/>
    <w:rsid w:val="005B3F3E"/>
    <w:rsid w:val="005C07AC"/>
    <w:rsid w:val="005C1C52"/>
    <w:rsid w:val="005C2AA0"/>
    <w:rsid w:val="005C2CAF"/>
    <w:rsid w:val="005D4D8E"/>
    <w:rsid w:val="005D71B2"/>
    <w:rsid w:val="005E0924"/>
    <w:rsid w:val="005E1177"/>
    <w:rsid w:val="005E15B0"/>
    <w:rsid w:val="005E4F4E"/>
    <w:rsid w:val="005E5682"/>
    <w:rsid w:val="005F0431"/>
    <w:rsid w:val="0060093F"/>
    <w:rsid w:val="006014A6"/>
    <w:rsid w:val="006035E0"/>
    <w:rsid w:val="00604313"/>
    <w:rsid w:val="00606426"/>
    <w:rsid w:val="00607D08"/>
    <w:rsid w:val="006102C5"/>
    <w:rsid w:val="00615946"/>
    <w:rsid w:val="006172B8"/>
    <w:rsid w:val="006214D1"/>
    <w:rsid w:val="00622122"/>
    <w:rsid w:val="00623D07"/>
    <w:rsid w:val="00626286"/>
    <w:rsid w:val="00631475"/>
    <w:rsid w:val="00634A0A"/>
    <w:rsid w:val="00636B7E"/>
    <w:rsid w:val="00642A08"/>
    <w:rsid w:val="00642F41"/>
    <w:rsid w:val="006509A5"/>
    <w:rsid w:val="006527F1"/>
    <w:rsid w:val="00652869"/>
    <w:rsid w:val="00661E00"/>
    <w:rsid w:val="0066216C"/>
    <w:rsid w:val="0066526A"/>
    <w:rsid w:val="006654B2"/>
    <w:rsid w:val="00666CDA"/>
    <w:rsid w:val="00670E0E"/>
    <w:rsid w:val="006721E2"/>
    <w:rsid w:val="00672437"/>
    <w:rsid w:val="00673398"/>
    <w:rsid w:val="00675ED5"/>
    <w:rsid w:val="006763C9"/>
    <w:rsid w:val="00683DA7"/>
    <w:rsid w:val="00687577"/>
    <w:rsid w:val="00687D0A"/>
    <w:rsid w:val="00693D9B"/>
    <w:rsid w:val="006956C1"/>
    <w:rsid w:val="00695949"/>
    <w:rsid w:val="00696BB6"/>
    <w:rsid w:val="006A03F9"/>
    <w:rsid w:val="006A1914"/>
    <w:rsid w:val="006A2EDD"/>
    <w:rsid w:val="006A3ACB"/>
    <w:rsid w:val="006A538D"/>
    <w:rsid w:val="006B2310"/>
    <w:rsid w:val="006B254A"/>
    <w:rsid w:val="006B2800"/>
    <w:rsid w:val="006B47F2"/>
    <w:rsid w:val="006B79D1"/>
    <w:rsid w:val="006C5503"/>
    <w:rsid w:val="006C75FA"/>
    <w:rsid w:val="006C7687"/>
    <w:rsid w:val="006D2861"/>
    <w:rsid w:val="006D329C"/>
    <w:rsid w:val="006D4AFD"/>
    <w:rsid w:val="006D5850"/>
    <w:rsid w:val="006D6259"/>
    <w:rsid w:val="006D6270"/>
    <w:rsid w:val="006D7206"/>
    <w:rsid w:val="006E36DB"/>
    <w:rsid w:val="006E45E3"/>
    <w:rsid w:val="006E7F22"/>
    <w:rsid w:val="006F09F7"/>
    <w:rsid w:val="006F0B15"/>
    <w:rsid w:val="006F3456"/>
    <w:rsid w:val="006F346E"/>
    <w:rsid w:val="006F37D1"/>
    <w:rsid w:val="006F74EC"/>
    <w:rsid w:val="00704C18"/>
    <w:rsid w:val="00707595"/>
    <w:rsid w:val="007116FA"/>
    <w:rsid w:val="007118F7"/>
    <w:rsid w:val="00711D97"/>
    <w:rsid w:val="00715E59"/>
    <w:rsid w:val="007163E6"/>
    <w:rsid w:val="00716BE8"/>
    <w:rsid w:val="0072083A"/>
    <w:rsid w:val="007212DD"/>
    <w:rsid w:val="007225B1"/>
    <w:rsid w:val="00722DD8"/>
    <w:rsid w:val="00724DA1"/>
    <w:rsid w:val="007257D9"/>
    <w:rsid w:val="007304A2"/>
    <w:rsid w:val="00730621"/>
    <w:rsid w:val="00731E37"/>
    <w:rsid w:val="00733902"/>
    <w:rsid w:val="00736E7F"/>
    <w:rsid w:val="00742F71"/>
    <w:rsid w:val="0074418B"/>
    <w:rsid w:val="0074561D"/>
    <w:rsid w:val="007460AA"/>
    <w:rsid w:val="00755B6C"/>
    <w:rsid w:val="00756A1A"/>
    <w:rsid w:val="0076233C"/>
    <w:rsid w:val="00766E60"/>
    <w:rsid w:val="00771F76"/>
    <w:rsid w:val="007727E9"/>
    <w:rsid w:val="007727F3"/>
    <w:rsid w:val="00782ECF"/>
    <w:rsid w:val="007831D2"/>
    <w:rsid w:val="00784984"/>
    <w:rsid w:val="007858B0"/>
    <w:rsid w:val="00793BF3"/>
    <w:rsid w:val="00793CB9"/>
    <w:rsid w:val="00797F30"/>
    <w:rsid w:val="007A5953"/>
    <w:rsid w:val="007A5A90"/>
    <w:rsid w:val="007A77E3"/>
    <w:rsid w:val="007A7BAB"/>
    <w:rsid w:val="007B48FE"/>
    <w:rsid w:val="007B5F31"/>
    <w:rsid w:val="007C1619"/>
    <w:rsid w:val="007C182B"/>
    <w:rsid w:val="007C26C8"/>
    <w:rsid w:val="007D0160"/>
    <w:rsid w:val="007D0967"/>
    <w:rsid w:val="007D0BB2"/>
    <w:rsid w:val="007D2688"/>
    <w:rsid w:val="007D7B15"/>
    <w:rsid w:val="007E01B9"/>
    <w:rsid w:val="007E0F82"/>
    <w:rsid w:val="007E120F"/>
    <w:rsid w:val="007E49CA"/>
    <w:rsid w:val="007E4B84"/>
    <w:rsid w:val="007E5532"/>
    <w:rsid w:val="007E6BC1"/>
    <w:rsid w:val="007F02AF"/>
    <w:rsid w:val="007F1A03"/>
    <w:rsid w:val="007F2DE2"/>
    <w:rsid w:val="007F46AB"/>
    <w:rsid w:val="007F6059"/>
    <w:rsid w:val="0080079F"/>
    <w:rsid w:val="0080121D"/>
    <w:rsid w:val="00802652"/>
    <w:rsid w:val="00802B0A"/>
    <w:rsid w:val="00803351"/>
    <w:rsid w:val="00803BA4"/>
    <w:rsid w:val="00805F16"/>
    <w:rsid w:val="008120C8"/>
    <w:rsid w:val="0081373D"/>
    <w:rsid w:val="00813C7D"/>
    <w:rsid w:val="008141A9"/>
    <w:rsid w:val="00815A38"/>
    <w:rsid w:val="00815D61"/>
    <w:rsid w:val="00815FE9"/>
    <w:rsid w:val="008176E4"/>
    <w:rsid w:val="00817C3C"/>
    <w:rsid w:val="0082175C"/>
    <w:rsid w:val="00821E0F"/>
    <w:rsid w:val="008230F4"/>
    <w:rsid w:val="00825A25"/>
    <w:rsid w:val="008300AF"/>
    <w:rsid w:val="0083469B"/>
    <w:rsid w:val="00837591"/>
    <w:rsid w:val="008378D6"/>
    <w:rsid w:val="008413BF"/>
    <w:rsid w:val="00841A65"/>
    <w:rsid w:val="00843E66"/>
    <w:rsid w:val="0084500C"/>
    <w:rsid w:val="00845D2B"/>
    <w:rsid w:val="00846232"/>
    <w:rsid w:val="0085083A"/>
    <w:rsid w:val="00850C81"/>
    <w:rsid w:val="00851753"/>
    <w:rsid w:val="00851A25"/>
    <w:rsid w:val="00852305"/>
    <w:rsid w:val="00854354"/>
    <w:rsid w:val="00854DDB"/>
    <w:rsid w:val="00856548"/>
    <w:rsid w:val="008649CB"/>
    <w:rsid w:val="00865B00"/>
    <w:rsid w:val="00872884"/>
    <w:rsid w:val="008800E8"/>
    <w:rsid w:val="0088146F"/>
    <w:rsid w:val="00884EF3"/>
    <w:rsid w:val="00885ABE"/>
    <w:rsid w:val="008873C6"/>
    <w:rsid w:val="008878A6"/>
    <w:rsid w:val="00890B05"/>
    <w:rsid w:val="00890CB2"/>
    <w:rsid w:val="00894E0A"/>
    <w:rsid w:val="00895730"/>
    <w:rsid w:val="00897F80"/>
    <w:rsid w:val="008A257A"/>
    <w:rsid w:val="008A369F"/>
    <w:rsid w:val="008A5CC8"/>
    <w:rsid w:val="008B3800"/>
    <w:rsid w:val="008B3DD6"/>
    <w:rsid w:val="008B419F"/>
    <w:rsid w:val="008B69F9"/>
    <w:rsid w:val="008C5BEB"/>
    <w:rsid w:val="008C7156"/>
    <w:rsid w:val="008D0E06"/>
    <w:rsid w:val="008D1C85"/>
    <w:rsid w:val="008D5D72"/>
    <w:rsid w:val="008D7BAB"/>
    <w:rsid w:val="008E3C88"/>
    <w:rsid w:val="008E4243"/>
    <w:rsid w:val="008E7F70"/>
    <w:rsid w:val="008F3BF5"/>
    <w:rsid w:val="00901C84"/>
    <w:rsid w:val="00903CBF"/>
    <w:rsid w:val="00903F85"/>
    <w:rsid w:val="009051E9"/>
    <w:rsid w:val="0091001C"/>
    <w:rsid w:val="009177A5"/>
    <w:rsid w:val="0092213E"/>
    <w:rsid w:val="00925D46"/>
    <w:rsid w:val="0092640E"/>
    <w:rsid w:val="00933231"/>
    <w:rsid w:val="00933BA2"/>
    <w:rsid w:val="00937F22"/>
    <w:rsid w:val="0094325E"/>
    <w:rsid w:val="00944231"/>
    <w:rsid w:val="00944F97"/>
    <w:rsid w:val="00945E10"/>
    <w:rsid w:val="00956BC6"/>
    <w:rsid w:val="00960D56"/>
    <w:rsid w:val="00961C83"/>
    <w:rsid w:val="009656CA"/>
    <w:rsid w:val="0096703C"/>
    <w:rsid w:val="00971033"/>
    <w:rsid w:val="0098060C"/>
    <w:rsid w:val="0098282C"/>
    <w:rsid w:val="00994B72"/>
    <w:rsid w:val="00994DE7"/>
    <w:rsid w:val="009965A1"/>
    <w:rsid w:val="009967B5"/>
    <w:rsid w:val="00997F98"/>
    <w:rsid w:val="009A0409"/>
    <w:rsid w:val="009A5280"/>
    <w:rsid w:val="009A5D3E"/>
    <w:rsid w:val="009B0A96"/>
    <w:rsid w:val="009B4556"/>
    <w:rsid w:val="009C36A4"/>
    <w:rsid w:val="009C3D08"/>
    <w:rsid w:val="009C69C7"/>
    <w:rsid w:val="009D0215"/>
    <w:rsid w:val="009D4129"/>
    <w:rsid w:val="009D644F"/>
    <w:rsid w:val="009D65E3"/>
    <w:rsid w:val="009D6E47"/>
    <w:rsid w:val="009E12E0"/>
    <w:rsid w:val="009E49A3"/>
    <w:rsid w:val="009E5A54"/>
    <w:rsid w:val="009F0283"/>
    <w:rsid w:val="009F3C0B"/>
    <w:rsid w:val="00A00B6E"/>
    <w:rsid w:val="00A00BF1"/>
    <w:rsid w:val="00A027F9"/>
    <w:rsid w:val="00A0339D"/>
    <w:rsid w:val="00A03591"/>
    <w:rsid w:val="00A0449F"/>
    <w:rsid w:val="00A05BA0"/>
    <w:rsid w:val="00A06628"/>
    <w:rsid w:val="00A077CE"/>
    <w:rsid w:val="00A130F2"/>
    <w:rsid w:val="00A13ABC"/>
    <w:rsid w:val="00A16AE0"/>
    <w:rsid w:val="00A16F31"/>
    <w:rsid w:val="00A16FF8"/>
    <w:rsid w:val="00A1727C"/>
    <w:rsid w:val="00A20B1C"/>
    <w:rsid w:val="00A23F94"/>
    <w:rsid w:val="00A30734"/>
    <w:rsid w:val="00A31416"/>
    <w:rsid w:val="00A31FDF"/>
    <w:rsid w:val="00A32EC9"/>
    <w:rsid w:val="00A37131"/>
    <w:rsid w:val="00A411F7"/>
    <w:rsid w:val="00A43FAB"/>
    <w:rsid w:val="00A44C5D"/>
    <w:rsid w:val="00A50026"/>
    <w:rsid w:val="00A52C7F"/>
    <w:rsid w:val="00A54F7D"/>
    <w:rsid w:val="00A55852"/>
    <w:rsid w:val="00A55A59"/>
    <w:rsid w:val="00A6153E"/>
    <w:rsid w:val="00A61E90"/>
    <w:rsid w:val="00A66665"/>
    <w:rsid w:val="00A67ABC"/>
    <w:rsid w:val="00A72895"/>
    <w:rsid w:val="00A759F6"/>
    <w:rsid w:val="00A90DBB"/>
    <w:rsid w:val="00A92D11"/>
    <w:rsid w:val="00A94960"/>
    <w:rsid w:val="00A95454"/>
    <w:rsid w:val="00A96E3B"/>
    <w:rsid w:val="00A96F1D"/>
    <w:rsid w:val="00AA1EE3"/>
    <w:rsid w:val="00AA7286"/>
    <w:rsid w:val="00AB163E"/>
    <w:rsid w:val="00AB2C19"/>
    <w:rsid w:val="00AB5062"/>
    <w:rsid w:val="00AB6C22"/>
    <w:rsid w:val="00AC76B1"/>
    <w:rsid w:val="00AD2A20"/>
    <w:rsid w:val="00AD5726"/>
    <w:rsid w:val="00AD6347"/>
    <w:rsid w:val="00AD7B96"/>
    <w:rsid w:val="00AE0675"/>
    <w:rsid w:val="00AE2243"/>
    <w:rsid w:val="00AE3F29"/>
    <w:rsid w:val="00AE7B79"/>
    <w:rsid w:val="00AF1593"/>
    <w:rsid w:val="00AF1962"/>
    <w:rsid w:val="00AF4609"/>
    <w:rsid w:val="00AF585C"/>
    <w:rsid w:val="00B01804"/>
    <w:rsid w:val="00B05600"/>
    <w:rsid w:val="00B11821"/>
    <w:rsid w:val="00B1256D"/>
    <w:rsid w:val="00B1444F"/>
    <w:rsid w:val="00B15937"/>
    <w:rsid w:val="00B20403"/>
    <w:rsid w:val="00B21960"/>
    <w:rsid w:val="00B21981"/>
    <w:rsid w:val="00B225D7"/>
    <w:rsid w:val="00B24684"/>
    <w:rsid w:val="00B31A46"/>
    <w:rsid w:val="00B327DA"/>
    <w:rsid w:val="00B3362E"/>
    <w:rsid w:val="00B339E7"/>
    <w:rsid w:val="00B357BC"/>
    <w:rsid w:val="00B42C72"/>
    <w:rsid w:val="00B438F3"/>
    <w:rsid w:val="00B4723D"/>
    <w:rsid w:val="00B50379"/>
    <w:rsid w:val="00B5681E"/>
    <w:rsid w:val="00B663ED"/>
    <w:rsid w:val="00B71080"/>
    <w:rsid w:val="00B71DC9"/>
    <w:rsid w:val="00B71E42"/>
    <w:rsid w:val="00B724A7"/>
    <w:rsid w:val="00B837C4"/>
    <w:rsid w:val="00B86A4F"/>
    <w:rsid w:val="00B905D3"/>
    <w:rsid w:val="00B91224"/>
    <w:rsid w:val="00B94060"/>
    <w:rsid w:val="00B951B5"/>
    <w:rsid w:val="00BA1E44"/>
    <w:rsid w:val="00BA3D86"/>
    <w:rsid w:val="00BB4F50"/>
    <w:rsid w:val="00BB7942"/>
    <w:rsid w:val="00BC018B"/>
    <w:rsid w:val="00BC04BA"/>
    <w:rsid w:val="00BC1490"/>
    <w:rsid w:val="00BC351C"/>
    <w:rsid w:val="00BC365C"/>
    <w:rsid w:val="00BC374C"/>
    <w:rsid w:val="00BD44DE"/>
    <w:rsid w:val="00BE030C"/>
    <w:rsid w:val="00BE1126"/>
    <w:rsid w:val="00BE41EA"/>
    <w:rsid w:val="00BE68B5"/>
    <w:rsid w:val="00BF0A66"/>
    <w:rsid w:val="00BF3C1D"/>
    <w:rsid w:val="00BF49A6"/>
    <w:rsid w:val="00C0000F"/>
    <w:rsid w:val="00C04F26"/>
    <w:rsid w:val="00C0518F"/>
    <w:rsid w:val="00C114C6"/>
    <w:rsid w:val="00C12B61"/>
    <w:rsid w:val="00C15B25"/>
    <w:rsid w:val="00C20957"/>
    <w:rsid w:val="00C20F80"/>
    <w:rsid w:val="00C2180F"/>
    <w:rsid w:val="00C21C9A"/>
    <w:rsid w:val="00C22606"/>
    <w:rsid w:val="00C231AA"/>
    <w:rsid w:val="00C233FD"/>
    <w:rsid w:val="00C24571"/>
    <w:rsid w:val="00C27DC6"/>
    <w:rsid w:val="00C30C9E"/>
    <w:rsid w:val="00C30D51"/>
    <w:rsid w:val="00C31016"/>
    <w:rsid w:val="00C33536"/>
    <w:rsid w:val="00C3435B"/>
    <w:rsid w:val="00C34580"/>
    <w:rsid w:val="00C34868"/>
    <w:rsid w:val="00C37EAA"/>
    <w:rsid w:val="00C40958"/>
    <w:rsid w:val="00C40EB1"/>
    <w:rsid w:val="00C41969"/>
    <w:rsid w:val="00C43979"/>
    <w:rsid w:val="00C44032"/>
    <w:rsid w:val="00C4560B"/>
    <w:rsid w:val="00C46601"/>
    <w:rsid w:val="00C50618"/>
    <w:rsid w:val="00C535C9"/>
    <w:rsid w:val="00C61E81"/>
    <w:rsid w:val="00C62478"/>
    <w:rsid w:val="00C64044"/>
    <w:rsid w:val="00C641FF"/>
    <w:rsid w:val="00C70E20"/>
    <w:rsid w:val="00C72488"/>
    <w:rsid w:val="00C73D62"/>
    <w:rsid w:val="00C75C32"/>
    <w:rsid w:val="00C8126B"/>
    <w:rsid w:val="00C81F51"/>
    <w:rsid w:val="00C82BCD"/>
    <w:rsid w:val="00C8307D"/>
    <w:rsid w:val="00C848DD"/>
    <w:rsid w:val="00C87373"/>
    <w:rsid w:val="00C874C5"/>
    <w:rsid w:val="00C911D3"/>
    <w:rsid w:val="00C9310E"/>
    <w:rsid w:val="00C93554"/>
    <w:rsid w:val="00C957A0"/>
    <w:rsid w:val="00C95EBB"/>
    <w:rsid w:val="00C96D4A"/>
    <w:rsid w:val="00CA2E2A"/>
    <w:rsid w:val="00CA4309"/>
    <w:rsid w:val="00CA6E4D"/>
    <w:rsid w:val="00CB4763"/>
    <w:rsid w:val="00CB7B66"/>
    <w:rsid w:val="00CC3373"/>
    <w:rsid w:val="00CC5B9B"/>
    <w:rsid w:val="00CD0D5A"/>
    <w:rsid w:val="00CD0E70"/>
    <w:rsid w:val="00CD126F"/>
    <w:rsid w:val="00CE00DB"/>
    <w:rsid w:val="00CE3892"/>
    <w:rsid w:val="00CE626C"/>
    <w:rsid w:val="00CE628E"/>
    <w:rsid w:val="00CF0ED2"/>
    <w:rsid w:val="00CF66E3"/>
    <w:rsid w:val="00CF7DE1"/>
    <w:rsid w:val="00CF7EC7"/>
    <w:rsid w:val="00D00587"/>
    <w:rsid w:val="00D0589B"/>
    <w:rsid w:val="00D05D58"/>
    <w:rsid w:val="00D07FED"/>
    <w:rsid w:val="00D10D7F"/>
    <w:rsid w:val="00D12059"/>
    <w:rsid w:val="00D1528E"/>
    <w:rsid w:val="00D21000"/>
    <w:rsid w:val="00D21409"/>
    <w:rsid w:val="00D2363B"/>
    <w:rsid w:val="00D2500A"/>
    <w:rsid w:val="00D26187"/>
    <w:rsid w:val="00D26DAC"/>
    <w:rsid w:val="00D278C8"/>
    <w:rsid w:val="00D27EFC"/>
    <w:rsid w:val="00D321A7"/>
    <w:rsid w:val="00D33DF3"/>
    <w:rsid w:val="00D36E44"/>
    <w:rsid w:val="00D3753E"/>
    <w:rsid w:val="00D458F5"/>
    <w:rsid w:val="00D51E12"/>
    <w:rsid w:val="00D53A25"/>
    <w:rsid w:val="00D65D98"/>
    <w:rsid w:val="00D66AC7"/>
    <w:rsid w:val="00D67C56"/>
    <w:rsid w:val="00D77B0A"/>
    <w:rsid w:val="00D82A47"/>
    <w:rsid w:val="00D8317C"/>
    <w:rsid w:val="00D84EE6"/>
    <w:rsid w:val="00D8512B"/>
    <w:rsid w:val="00D86143"/>
    <w:rsid w:val="00D86A86"/>
    <w:rsid w:val="00D87779"/>
    <w:rsid w:val="00D90DF0"/>
    <w:rsid w:val="00D9508E"/>
    <w:rsid w:val="00D95ECE"/>
    <w:rsid w:val="00D976CD"/>
    <w:rsid w:val="00DA06B1"/>
    <w:rsid w:val="00DA5194"/>
    <w:rsid w:val="00DA5F6B"/>
    <w:rsid w:val="00DB02C2"/>
    <w:rsid w:val="00DB0A26"/>
    <w:rsid w:val="00DB47E6"/>
    <w:rsid w:val="00DB5C8C"/>
    <w:rsid w:val="00DB6437"/>
    <w:rsid w:val="00DC2682"/>
    <w:rsid w:val="00DC3B85"/>
    <w:rsid w:val="00DC3D6E"/>
    <w:rsid w:val="00DD06F8"/>
    <w:rsid w:val="00DD32F1"/>
    <w:rsid w:val="00DD4583"/>
    <w:rsid w:val="00DD7AF2"/>
    <w:rsid w:val="00DE2BB0"/>
    <w:rsid w:val="00DE2F44"/>
    <w:rsid w:val="00DE6460"/>
    <w:rsid w:val="00DE778E"/>
    <w:rsid w:val="00DF0E22"/>
    <w:rsid w:val="00DF1105"/>
    <w:rsid w:val="00DF1E12"/>
    <w:rsid w:val="00DF3600"/>
    <w:rsid w:val="00DF363B"/>
    <w:rsid w:val="00E0037F"/>
    <w:rsid w:val="00E030A6"/>
    <w:rsid w:val="00E03CB6"/>
    <w:rsid w:val="00E10E25"/>
    <w:rsid w:val="00E1343E"/>
    <w:rsid w:val="00E20299"/>
    <w:rsid w:val="00E20DDE"/>
    <w:rsid w:val="00E25733"/>
    <w:rsid w:val="00E3230F"/>
    <w:rsid w:val="00E326CE"/>
    <w:rsid w:val="00E32E1F"/>
    <w:rsid w:val="00E3509D"/>
    <w:rsid w:val="00E37CFD"/>
    <w:rsid w:val="00E4070A"/>
    <w:rsid w:val="00E40CF9"/>
    <w:rsid w:val="00E44F44"/>
    <w:rsid w:val="00E45E15"/>
    <w:rsid w:val="00E47B96"/>
    <w:rsid w:val="00E53389"/>
    <w:rsid w:val="00E54A3E"/>
    <w:rsid w:val="00E54E49"/>
    <w:rsid w:val="00E60B34"/>
    <w:rsid w:val="00E60D5D"/>
    <w:rsid w:val="00E62F40"/>
    <w:rsid w:val="00E64040"/>
    <w:rsid w:val="00E6410F"/>
    <w:rsid w:val="00E6635D"/>
    <w:rsid w:val="00E66721"/>
    <w:rsid w:val="00E85118"/>
    <w:rsid w:val="00E85BDF"/>
    <w:rsid w:val="00E90C48"/>
    <w:rsid w:val="00E930CE"/>
    <w:rsid w:val="00E95B30"/>
    <w:rsid w:val="00E95C0F"/>
    <w:rsid w:val="00E97562"/>
    <w:rsid w:val="00EA4E73"/>
    <w:rsid w:val="00EB0C8C"/>
    <w:rsid w:val="00EB6179"/>
    <w:rsid w:val="00EC2A86"/>
    <w:rsid w:val="00EC44BC"/>
    <w:rsid w:val="00EC4765"/>
    <w:rsid w:val="00EC4A76"/>
    <w:rsid w:val="00EC4D75"/>
    <w:rsid w:val="00EC52C4"/>
    <w:rsid w:val="00EC5AF0"/>
    <w:rsid w:val="00ED3663"/>
    <w:rsid w:val="00ED40F9"/>
    <w:rsid w:val="00EE16BE"/>
    <w:rsid w:val="00EE75DC"/>
    <w:rsid w:val="00EF69B4"/>
    <w:rsid w:val="00EF6F69"/>
    <w:rsid w:val="00F016F5"/>
    <w:rsid w:val="00F02CFE"/>
    <w:rsid w:val="00F03D35"/>
    <w:rsid w:val="00F04851"/>
    <w:rsid w:val="00F066C2"/>
    <w:rsid w:val="00F11BAC"/>
    <w:rsid w:val="00F11D96"/>
    <w:rsid w:val="00F13516"/>
    <w:rsid w:val="00F14140"/>
    <w:rsid w:val="00F1537F"/>
    <w:rsid w:val="00F15571"/>
    <w:rsid w:val="00F16D2E"/>
    <w:rsid w:val="00F17D6A"/>
    <w:rsid w:val="00F20AE7"/>
    <w:rsid w:val="00F231F5"/>
    <w:rsid w:val="00F24731"/>
    <w:rsid w:val="00F24AE0"/>
    <w:rsid w:val="00F2667D"/>
    <w:rsid w:val="00F30380"/>
    <w:rsid w:val="00F30C82"/>
    <w:rsid w:val="00F348C3"/>
    <w:rsid w:val="00F35490"/>
    <w:rsid w:val="00F36B57"/>
    <w:rsid w:val="00F4262A"/>
    <w:rsid w:val="00F43837"/>
    <w:rsid w:val="00F45CB2"/>
    <w:rsid w:val="00F47C40"/>
    <w:rsid w:val="00F50D4A"/>
    <w:rsid w:val="00F52F2E"/>
    <w:rsid w:val="00F5608E"/>
    <w:rsid w:val="00F5747A"/>
    <w:rsid w:val="00F612E0"/>
    <w:rsid w:val="00F61CEC"/>
    <w:rsid w:val="00F6230F"/>
    <w:rsid w:val="00F6699D"/>
    <w:rsid w:val="00F6757E"/>
    <w:rsid w:val="00F67F0E"/>
    <w:rsid w:val="00F70115"/>
    <w:rsid w:val="00F72541"/>
    <w:rsid w:val="00F7473C"/>
    <w:rsid w:val="00F74E96"/>
    <w:rsid w:val="00F754AC"/>
    <w:rsid w:val="00F84B95"/>
    <w:rsid w:val="00F84FE0"/>
    <w:rsid w:val="00F86FE5"/>
    <w:rsid w:val="00F871FD"/>
    <w:rsid w:val="00F91B5B"/>
    <w:rsid w:val="00F930BD"/>
    <w:rsid w:val="00FA1BA0"/>
    <w:rsid w:val="00FA538B"/>
    <w:rsid w:val="00FA5496"/>
    <w:rsid w:val="00FA56CD"/>
    <w:rsid w:val="00FA59E8"/>
    <w:rsid w:val="00FA65B6"/>
    <w:rsid w:val="00FB02B1"/>
    <w:rsid w:val="00FB1011"/>
    <w:rsid w:val="00FB1AC7"/>
    <w:rsid w:val="00FB1BCB"/>
    <w:rsid w:val="00FB1E7B"/>
    <w:rsid w:val="00FB73DC"/>
    <w:rsid w:val="00FB7430"/>
    <w:rsid w:val="00FC219E"/>
    <w:rsid w:val="00FC2798"/>
    <w:rsid w:val="00FC4954"/>
    <w:rsid w:val="00FC504E"/>
    <w:rsid w:val="00FC6179"/>
    <w:rsid w:val="00FC7446"/>
    <w:rsid w:val="00FD2BDD"/>
    <w:rsid w:val="00FD3EAE"/>
    <w:rsid w:val="00FD53FC"/>
    <w:rsid w:val="00FD6798"/>
    <w:rsid w:val="00FE1178"/>
    <w:rsid w:val="00FE3360"/>
    <w:rsid w:val="00FE4371"/>
    <w:rsid w:val="00FE7B24"/>
    <w:rsid w:val="00FF0F76"/>
    <w:rsid w:val="00FF1C02"/>
    <w:rsid w:val="00FF214E"/>
    <w:rsid w:val="00FF5A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F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476A0"/>
    <w:pPr>
      <w:ind w:left="720"/>
      <w:contextualSpacing/>
    </w:pPr>
  </w:style>
  <w:style w:type="paragraph" w:styleId="Voetnoottekst">
    <w:name w:val="footnote text"/>
    <w:basedOn w:val="Standaard"/>
    <w:link w:val="VoetnoottekstChar"/>
    <w:uiPriority w:val="99"/>
    <w:unhideWhenUsed/>
    <w:rsid w:val="00F91B5B"/>
    <w:pPr>
      <w:spacing w:after="0" w:line="240" w:lineRule="auto"/>
    </w:pPr>
    <w:rPr>
      <w:sz w:val="20"/>
      <w:szCs w:val="20"/>
    </w:rPr>
  </w:style>
  <w:style w:type="character" w:customStyle="1" w:styleId="VoetnoottekstChar">
    <w:name w:val="Voetnoottekst Char"/>
    <w:basedOn w:val="Standaardalinea-lettertype"/>
    <w:link w:val="Voetnoottekst"/>
    <w:uiPriority w:val="99"/>
    <w:rsid w:val="00F91B5B"/>
    <w:rPr>
      <w:sz w:val="20"/>
      <w:szCs w:val="20"/>
    </w:rPr>
  </w:style>
  <w:style w:type="character" w:styleId="Voetnootmarkering">
    <w:name w:val="footnote reference"/>
    <w:basedOn w:val="Standaardalinea-lettertype"/>
    <w:uiPriority w:val="99"/>
    <w:semiHidden/>
    <w:unhideWhenUsed/>
    <w:rsid w:val="00F91B5B"/>
    <w:rPr>
      <w:vertAlign w:val="superscript"/>
    </w:rPr>
  </w:style>
  <w:style w:type="paragraph" w:styleId="Koptekst">
    <w:name w:val="header"/>
    <w:basedOn w:val="Standaard"/>
    <w:link w:val="KoptekstChar"/>
    <w:uiPriority w:val="99"/>
    <w:unhideWhenUsed/>
    <w:rsid w:val="00960D5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60D56"/>
  </w:style>
  <w:style w:type="paragraph" w:styleId="Voettekst">
    <w:name w:val="footer"/>
    <w:basedOn w:val="Standaard"/>
    <w:link w:val="VoettekstChar"/>
    <w:uiPriority w:val="99"/>
    <w:unhideWhenUsed/>
    <w:rsid w:val="00960D5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0D56"/>
  </w:style>
  <w:style w:type="character" w:customStyle="1" w:styleId="sfbbfee58">
    <w:name w:val="sfbbfee58"/>
    <w:basedOn w:val="Standaardalinea-lettertype"/>
    <w:rsid w:val="00005F32"/>
  </w:style>
  <w:style w:type="character" w:customStyle="1" w:styleId="sb8d990e2">
    <w:name w:val="sb8d990e2"/>
    <w:basedOn w:val="Standaardalinea-lettertype"/>
    <w:rsid w:val="008D7BAB"/>
  </w:style>
  <w:style w:type="character" w:customStyle="1" w:styleId="wordhighlighted">
    <w:name w:val="wordhighlighted"/>
    <w:basedOn w:val="Standaardalinea-lettertype"/>
    <w:rsid w:val="008D7BAB"/>
  </w:style>
  <w:style w:type="character" w:customStyle="1" w:styleId="st">
    <w:name w:val="st"/>
    <w:basedOn w:val="Standaardalinea-lettertype"/>
    <w:rsid w:val="00C87373"/>
  </w:style>
  <w:style w:type="character" w:styleId="Nadruk">
    <w:name w:val="Emphasis"/>
    <w:basedOn w:val="Standaardalinea-lettertype"/>
    <w:uiPriority w:val="20"/>
    <w:qFormat/>
    <w:rsid w:val="00C87373"/>
    <w:rPr>
      <w:i/>
      <w:iCs/>
    </w:rPr>
  </w:style>
  <w:style w:type="character" w:styleId="Hyperlink">
    <w:name w:val="Hyperlink"/>
    <w:basedOn w:val="Standaardalinea-lettertype"/>
    <w:uiPriority w:val="99"/>
    <w:unhideWhenUsed/>
    <w:rsid w:val="00220B26"/>
    <w:rPr>
      <w:color w:val="0000FF" w:themeColor="hyperlink"/>
      <w:u w:val="single"/>
    </w:rPr>
  </w:style>
  <w:style w:type="character" w:styleId="GevolgdeHyperlink">
    <w:name w:val="FollowedHyperlink"/>
    <w:basedOn w:val="Standaardalinea-lettertype"/>
    <w:uiPriority w:val="99"/>
    <w:semiHidden/>
    <w:unhideWhenUsed/>
    <w:rsid w:val="009F0283"/>
    <w:rPr>
      <w:color w:val="800080" w:themeColor="followedHyperlink"/>
      <w:u w:val="single"/>
    </w:rPr>
  </w:style>
  <w:style w:type="character" w:styleId="Verwijzingopmerking">
    <w:name w:val="annotation reference"/>
    <w:basedOn w:val="Standaardalinea-lettertype"/>
    <w:uiPriority w:val="99"/>
    <w:semiHidden/>
    <w:unhideWhenUsed/>
    <w:rsid w:val="004A0A88"/>
    <w:rPr>
      <w:sz w:val="16"/>
      <w:szCs w:val="16"/>
    </w:rPr>
  </w:style>
  <w:style w:type="paragraph" w:styleId="Tekstopmerking">
    <w:name w:val="annotation text"/>
    <w:basedOn w:val="Standaard"/>
    <w:link w:val="TekstopmerkingChar"/>
    <w:uiPriority w:val="99"/>
    <w:semiHidden/>
    <w:unhideWhenUsed/>
    <w:rsid w:val="004A0A8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A0A88"/>
    <w:rPr>
      <w:sz w:val="20"/>
      <w:szCs w:val="20"/>
    </w:rPr>
  </w:style>
  <w:style w:type="paragraph" w:styleId="Onderwerpvanopmerking">
    <w:name w:val="annotation subject"/>
    <w:basedOn w:val="Tekstopmerking"/>
    <w:next w:val="Tekstopmerking"/>
    <w:link w:val="OnderwerpvanopmerkingChar"/>
    <w:uiPriority w:val="99"/>
    <w:semiHidden/>
    <w:unhideWhenUsed/>
    <w:rsid w:val="004A0A88"/>
    <w:rPr>
      <w:b/>
      <w:bCs/>
    </w:rPr>
  </w:style>
  <w:style w:type="character" w:customStyle="1" w:styleId="OnderwerpvanopmerkingChar">
    <w:name w:val="Onderwerp van opmerking Char"/>
    <w:basedOn w:val="TekstopmerkingChar"/>
    <w:link w:val="Onderwerpvanopmerking"/>
    <w:uiPriority w:val="99"/>
    <w:semiHidden/>
    <w:rsid w:val="004A0A88"/>
    <w:rPr>
      <w:b/>
      <w:bCs/>
      <w:sz w:val="20"/>
      <w:szCs w:val="20"/>
    </w:rPr>
  </w:style>
  <w:style w:type="paragraph" w:styleId="Ballontekst">
    <w:name w:val="Balloon Text"/>
    <w:basedOn w:val="Standaard"/>
    <w:link w:val="BallontekstChar"/>
    <w:uiPriority w:val="99"/>
    <w:semiHidden/>
    <w:unhideWhenUsed/>
    <w:rsid w:val="004A0A8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A0A8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476A0"/>
    <w:pPr>
      <w:ind w:left="720"/>
      <w:contextualSpacing/>
    </w:pPr>
  </w:style>
  <w:style w:type="paragraph" w:styleId="Voetnoottekst">
    <w:name w:val="footnote text"/>
    <w:basedOn w:val="Standaard"/>
    <w:link w:val="VoetnoottekstChar"/>
    <w:uiPriority w:val="99"/>
    <w:unhideWhenUsed/>
    <w:rsid w:val="00F91B5B"/>
    <w:pPr>
      <w:spacing w:after="0" w:line="240" w:lineRule="auto"/>
    </w:pPr>
    <w:rPr>
      <w:sz w:val="20"/>
      <w:szCs w:val="20"/>
    </w:rPr>
  </w:style>
  <w:style w:type="character" w:customStyle="1" w:styleId="VoetnoottekstChar">
    <w:name w:val="Voetnoottekst Char"/>
    <w:basedOn w:val="Standaardalinea-lettertype"/>
    <w:link w:val="Voetnoottekst"/>
    <w:uiPriority w:val="99"/>
    <w:rsid w:val="00F91B5B"/>
    <w:rPr>
      <w:sz w:val="20"/>
      <w:szCs w:val="20"/>
    </w:rPr>
  </w:style>
  <w:style w:type="character" w:styleId="Voetnootmarkering">
    <w:name w:val="footnote reference"/>
    <w:basedOn w:val="Standaardalinea-lettertype"/>
    <w:uiPriority w:val="99"/>
    <w:semiHidden/>
    <w:unhideWhenUsed/>
    <w:rsid w:val="00F91B5B"/>
    <w:rPr>
      <w:vertAlign w:val="superscript"/>
    </w:rPr>
  </w:style>
  <w:style w:type="paragraph" w:styleId="Koptekst">
    <w:name w:val="header"/>
    <w:basedOn w:val="Standaard"/>
    <w:link w:val="KoptekstChar"/>
    <w:uiPriority w:val="99"/>
    <w:unhideWhenUsed/>
    <w:rsid w:val="00960D5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60D56"/>
  </w:style>
  <w:style w:type="paragraph" w:styleId="Voettekst">
    <w:name w:val="footer"/>
    <w:basedOn w:val="Standaard"/>
    <w:link w:val="VoettekstChar"/>
    <w:uiPriority w:val="99"/>
    <w:unhideWhenUsed/>
    <w:rsid w:val="00960D5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0D56"/>
  </w:style>
  <w:style w:type="character" w:customStyle="1" w:styleId="sfbbfee58">
    <w:name w:val="sfbbfee58"/>
    <w:basedOn w:val="Standaardalinea-lettertype"/>
    <w:rsid w:val="00005F32"/>
  </w:style>
  <w:style w:type="character" w:customStyle="1" w:styleId="sb8d990e2">
    <w:name w:val="sb8d990e2"/>
    <w:basedOn w:val="Standaardalinea-lettertype"/>
    <w:rsid w:val="008D7BAB"/>
  </w:style>
  <w:style w:type="character" w:customStyle="1" w:styleId="wordhighlighted">
    <w:name w:val="wordhighlighted"/>
    <w:basedOn w:val="Standaardalinea-lettertype"/>
    <w:rsid w:val="008D7BAB"/>
  </w:style>
  <w:style w:type="character" w:customStyle="1" w:styleId="st">
    <w:name w:val="st"/>
    <w:basedOn w:val="Standaardalinea-lettertype"/>
    <w:rsid w:val="00C87373"/>
  </w:style>
  <w:style w:type="character" w:styleId="Nadruk">
    <w:name w:val="Emphasis"/>
    <w:basedOn w:val="Standaardalinea-lettertype"/>
    <w:uiPriority w:val="20"/>
    <w:qFormat/>
    <w:rsid w:val="00C87373"/>
    <w:rPr>
      <w:i/>
      <w:iCs/>
    </w:rPr>
  </w:style>
  <w:style w:type="character" w:styleId="Hyperlink">
    <w:name w:val="Hyperlink"/>
    <w:basedOn w:val="Standaardalinea-lettertype"/>
    <w:uiPriority w:val="99"/>
    <w:unhideWhenUsed/>
    <w:rsid w:val="00220B26"/>
    <w:rPr>
      <w:color w:val="0000FF" w:themeColor="hyperlink"/>
      <w:u w:val="single"/>
    </w:rPr>
  </w:style>
  <w:style w:type="character" w:styleId="GevolgdeHyperlink">
    <w:name w:val="FollowedHyperlink"/>
    <w:basedOn w:val="Standaardalinea-lettertype"/>
    <w:uiPriority w:val="99"/>
    <w:semiHidden/>
    <w:unhideWhenUsed/>
    <w:rsid w:val="009F0283"/>
    <w:rPr>
      <w:color w:val="800080" w:themeColor="followedHyperlink"/>
      <w:u w:val="single"/>
    </w:rPr>
  </w:style>
  <w:style w:type="character" w:styleId="Verwijzingopmerking">
    <w:name w:val="annotation reference"/>
    <w:basedOn w:val="Standaardalinea-lettertype"/>
    <w:uiPriority w:val="99"/>
    <w:semiHidden/>
    <w:unhideWhenUsed/>
    <w:rsid w:val="004A0A88"/>
    <w:rPr>
      <w:sz w:val="16"/>
      <w:szCs w:val="16"/>
    </w:rPr>
  </w:style>
  <w:style w:type="paragraph" w:styleId="Tekstopmerking">
    <w:name w:val="annotation text"/>
    <w:basedOn w:val="Standaard"/>
    <w:link w:val="TekstopmerkingChar"/>
    <w:uiPriority w:val="99"/>
    <w:semiHidden/>
    <w:unhideWhenUsed/>
    <w:rsid w:val="004A0A8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A0A88"/>
    <w:rPr>
      <w:sz w:val="20"/>
      <w:szCs w:val="20"/>
    </w:rPr>
  </w:style>
  <w:style w:type="paragraph" w:styleId="Onderwerpvanopmerking">
    <w:name w:val="annotation subject"/>
    <w:basedOn w:val="Tekstopmerking"/>
    <w:next w:val="Tekstopmerking"/>
    <w:link w:val="OnderwerpvanopmerkingChar"/>
    <w:uiPriority w:val="99"/>
    <w:semiHidden/>
    <w:unhideWhenUsed/>
    <w:rsid w:val="004A0A88"/>
    <w:rPr>
      <w:b/>
      <w:bCs/>
    </w:rPr>
  </w:style>
  <w:style w:type="character" w:customStyle="1" w:styleId="OnderwerpvanopmerkingChar">
    <w:name w:val="Onderwerp van opmerking Char"/>
    <w:basedOn w:val="TekstopmerkingChar"/>
    <w:link w:val="Onderwerpvanopmerking"/>
    <w:uiPriority w:val="99"/>
    <w:semiHidden/>
    <w:rsid w:val="004A0A88"/>
    <w:rPr>
      <w:b/>
      <w:bCs/>
      <w:sz w:val="20"/>
      <w:szCs w:val="20"/>
    </w:rPr>
  </w:style>
  <w:style w:type="paragraph" w:styleId="Ballontekst">
    <w:name w:val="Balloon Text"/>
    <w:basedOn w:val="Standaard"/>
    <w:link w:val="BallontekstChar"/>
    <w:uiPriority w:val="99"/>
    <w:semiHidden/>
    <w:unhideWhenUsed/>
    <w:rsid w:val="004A0A8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A0A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50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9ACE5-1B85-4FB2-A9CB-2068D239F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50</Pages>
  <Words>22086</Words>
  <Characters>121479</Characters>
  <Application>Microsoft Office Word</Application>
  <DocSecurity>0</DocSecurity>
  <Lines>1012</Lines>
  <Paragraphs>286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143279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Laurens Lavrysen</dc:creator>
  <cp:lastModifiedBy>Laurens Lavrysen</cp:lastModifiedBy>
  <cp:revision>16</cp:revision>
  <dcterms:created xsi:type="dcterms:W3CDTF">2018-02-19T11:32:00Z</dcterms:created>
  <dcterms:modified xsi:type="dcterms:W3CDTF">2018-11-22T09:55:00Z</dcterms:modified>
</cp:coreProperties>
</file>