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D2" w:rsidRDefault="004924D2" w:rsidP="004924D2">
      <w:pPr>
        <w:rPr>
          <w:b/>
        </w:rPr>
      </w:pPr>
    </w:p>
    <w:p w:rsidR="00C9034B" w:rsidRDefault="00BB646E" w:rsidP="00BB646E">
      <w:pPr>
        <w:jc w:val="center"/>
        <w:rPr>
          <w:b/>
        </w:rPr>
      </w:pPr>
      <w:r w:rsidRPr="0055464C">
        <w:rPr>
          <w:b/>
        </w:rPr>
        <w:t>Gezond</w:t>
      </w:r>
      <w:r w:rsidR="00C9034B">
        <w:rPr>
          <w:b/>
        </w:rPr>
        <w:t xml:space="preserve">heidsrechtelijke dilemma’s voor vrederechters </w:t>
      </w:r>
      <w:r w:rsidR="00D2156E">
        <w:rPr>
          <w:b/>
        </w:rPr>
        <w:t>en politierechters</w:t>
      </w:r>
    </w:p>
    <w:p w:rsidR="00BB646E" w:rsidRDefault="00BB646E" w:rsidP="00BB646E">
      <w:pPr>
        <w:jc w:val="center"/>
      </w:pPr>
      <w:r>
        <w:t>Tom Balthazar</w:t>
      </w:r>
    </w:p>
    <w:p w:rsidR="00BB646E" w:rsidRDefault="00BB646E" w:rsidP="00BB646E">
      <w:pPr>
        <w:jc w:val="center"/>
      </w:pPr>
      <w:r>
        <w:t xml:space="preserve">Hoofddocent gezondheidsrecht </w:t>
      </w:r>
      <w:proofErr w:type="spellStart"/>
      <w:r>
        <w:t>UGent</w:t>
      </w:r>
      <w:proofErr w:type="spellEnd"/>
    </w:p>
    <w:p w:rsidR="003247BF" w:rsidRDefault="003247BF"/>
    <w:p w:rsidR="00553B8B" w:rsidRPr="0055464C" w:rsidRDefault="00137D32" w:rsidP="007D285F">
      <w:pPr>
        <w:pStyle w:val="Lijstalinea"/>
        <w:numPr>
          <w:ilvl w:val="0"/>
          <w:numId w:val="2"/>
        </w:numPr>
        <w:rPr>
          <w:b/>
        </w:rPr>
      </w:pPr>
      <w:r w:rsidRPr="0055464C">
        <w:rPr>
          <w:b/>
        </w:rPr>
        <w:t>Situering en probleemstelling</w:t>
      </w:r>
    </w:p>
    <w:p w:rsidR="007D285F" w:rsidRDefault="007D285F" w:rsidP="00553B8B"/>
    <w:p w:rsidR="00095761" w:rsidRDefault="00095761" w:rsidP="00F322AD">
      <w:pPr>
        <w:pStyle w:val="Lijstalinea"/>
        <w:numPr>
          <w:ilvl w:val="0"/>
          <w:numId w:val="15"/>
        </w:numPr>
        <w:jc w:val="both"/>
      </w:pPr>
      <w:r>
        <w:t>De wet van 17 maart 2013 hervormde de wetgeving over meerderjarige beschermde personen grondig en integraal en gaf een zware en moeilijke taak aan de vrederechter. De vrederechter staat nu ook voor een aantal moeilijke gezondheidsrechtelijke dilemma’s. Zo moet de vrederechter beslissen of een beschermde persoon nog zelfstandig zijn rechten als patiënt kan uitoefenen, of hij als proefpersoon aan een experiment kan deelnemen en of hij een orgaan kan doneren. We bespreken deze dilemma’s door de wet van 13 maart 2013 te analyseren vanuit een gezondheidsrechtelijk perspectief.</w:t>
      </w:r>
    </w:p>
    <w:p w:rsidR="00ED0508" w:rsidRDefault="00ED0508" w:rsidP="00ED0508">
      <w:pPr>
        <w:pStyle w:val="Lijstalinea"/>
        <w:jc w:val="both"/>
      </w:pPr>
    </w:p>
    <w:p w:rsidR="00ED0508" w:rsidRDefault="00ED0508" w:rsidP="00ED0508">
      <w:pPr>
        <w:pStyle w:val="Lijstalinea"/>
        <w:jc w:val="both"/>
      </w:pPr>
      <w:r>
        <w:t xml:space="preserve">Ook politierechters staan soms voor moeilijke gezondheidsrechtelijke dilemma’s. Een doorgedreven beoordeling van de rijgeschiktheid botst immers op de grenzen van de bescherming van de fysieke integriteit en de privacy van de patiënt en het beroepsgeheim van de arts. Wij onderzoeken vooral de problemen die zich kunnen voordoen indien een bestuurder zijn rijgeschiktheid </w:t>
      </w:r>
      <w:r w:rsidRPr="004A6B2E">
        <w:rPr>
          <w:i/>
        </w:rPr>
        <w:t>verliest.</w:t>
      </w:r>
      <w:r>
        <w:t xml:space="preserve"> In beginsel moet hij dan zelf zijn rijbewijs inleveren, maar om allerlei redenen gebeurt dit vaak niet. Wat kan dan gebeuren? Wat is de taak van behandelende artsen, van de omgeving van de bestuurder en van de politierechter die deze bestuurder </w:t>
      </w:r>
      <w:r w:rsidR="004A6B2E">
        <w:t>n.a.v.  ongeval of een verkeersovertreding voor zich krijgt?</w:t>
      </w:r>
    </w:p>
    <w:p w:rsidR="00DB1104" w:rsidRDefault="00DB1104" w:rsidP="00DB1104"/>
    <w:p w:rsidR="007D285F" w:rsidRPr="0055464C" w:rsidRDefault="007D285F" w:rsidP="007D285F">
      <w:pPr>
        <w:pStyle w:val="Lijstalinea"/>
        <w:numPr>
          <w:ilvl w:val="0"/>
          <w:numId w:val="2"/>
        </w:numPr>
        <w:rPr>
          <w:b/>
        </w:rPr>
      </w:pPr>
      <w:r w:rsidRPr="0055464C">
        <w:rPr>
          <w:b/>
        </w:rPr>
        <w:t>De toepassing van de wet van 17 maart 2013</w:t>
      </w:r>
    </w:p>
    <w:p w:rsidR="007D285F" w:rsidRDefault="007D285F" w:rsidP="007D285F"/>
    <w:p w:rsidR="007D285F" w:rsidRPr="0055464C" w:rsidRDefault="002C474F" w:rsidP="007D285F">
      <w:pPr>
        <w:pStyle w:val="Lijstalinea"/>
        <w:numPr>
          <w:ilvl w:val="0"/>
          <w:numId w:val="1"/>
        </w:numPr>
        <w:rPr>
          <w:b/>
        </w:rPr>
      </w:pPr>
      <w:r w:rsidRPr="0055464C">
        <w:rPr>
          <w:b/>
        </w:rPr>
        <w:t>De beoordeling van de</w:t>
      </w:r>
      <w:r w:rsidR="007D285F" w:rsidRPr="0055464C">
        <w:rPr>
          <w:b/>
        </w:rPr>
        <w:t xml:space="preserve"> omstandig</w:t>
      </w:r>
      <w:r w:rsidRPr="0055464C">
        <w:rPr>
          <w:b/>
        </w:rPr>
        <w:t>e</w:t>
      </w:r>
      <w:r w:rsidR="007D285F" w:rsidRPr="0055464C">
        <w:rPr>
          <w:b/>
        </w:rPr>
        <w:t xml:space="preserve"> geneeskundig</w:t>
      </w:r>
      <w:r w:rsidRPr="0055464C">
        <w:rPr>
          <w:b/>
        </w:rPr>
        <w:t>e verklaring</w:t>
      </w:r>
    </w:p>
    <w:p w:rsidR="002C474F" w:rsidRDefault="002C474F" w:rsidP="00095761"/>
    <w:p w:rsidR="00F322AD" w:rsidRDefault="00095761" w:rsidP="00F322AD">
      <w:pPr>
        <w:pStyle w:val="Lijstalinea"/>
        <w:numPr>
          <w:ilvl w:val="0"/>
          <w:numId w:val="15"/>
        </w:numPr>
      </w:pPr>
      <w:r>
        <w:t xml:space="preserve">Bij </w:t>
      </w:r>
      <w:r w:rsidR="002C474F">
        <w:t xml:space="preserve">de indiening van het verzoekschrift waarbij de </w:t>
      </w:r>
      <w:r>
        <w:t xml:space="preserve">beschermingsmaatregel </w:t>
      </w:r>
      <w:r w:rsidR="00B57C80">
        <w:t>wordt gevraagd</w:t>
      </w:r>
      <w:r w:rsidR="002C474F">
        <w:t xml:space="preserve">, moet een omstandige geneeskundige verklaring gevoegd zijn. Een dergelijke verklaring is ook nodig voor meerdere machtigingen en andere beslissingen in het kader van de toepassing van de wet van 17 maart 2013 </w:t>
      </w:r>
      <w:r w:rsidR="002C474F">
        <w:rPr>
          <w:rStyle w:val="Voetnootmarkering"/>
        </w:rPr>
        <w:footnoteReference w:id="1"/>
      </w:r>
      <w:r w:rsidR="00DE0237">
        <w:t>.</w:t>
      </w:r>
    </w:p>
    <w:p w:rsidR="00F322AD" w:rsidRDefault="00F322AD" w:rsidP="00F322AD">
      <w:pPr>
        <w:pStyle w:val="Lijstalinea"/>
      </w:pPr>
    </w:p>
    <w:p w:rsidR="00CB2EB4" w:rsidRDefault="00CB2EB4" w:rsidP="00F322AD">
      <w:pPr>
        <w:pStyle w:val="Lijstalinea"/>
      </w:pPr>
      <w:r>
        <w:t>Deze verklaring maakt een cruciaal en essentieel onderdeel uit van de procedure. Niet enkel omdat het verzoek niet ontvankelijk is zonder dit voorsc</w:t>
      </w:r>
      <w:r w:rsidR="00282E13">
        <w:t xml:space="preserve">hrift </w:t>
      </w:r>
      <w:r w:rsidR="00282E13">
        <w:rPr>
          <w:rStyle w:val="Voetnootmarkering"/>
        </w:rPr>
        <w:footnoteReference w:id="2"/>
      </w:r>
      <w:r w:rsidR="00926533">
        <w:t>, maar ook omdat</w:t>
      </w:r>
      <w:r>
        <w:t xml:space="preserve"> aan de arts </w:t>
      </w:r>
      <w:r>
        <w:lastRenderedPageBreak/>
        <w:t xml:space="preserve">een bijzondere taak wordt gegeven die eigenlijk veel verder gaat dan een </w:t>
      </w:r>
      <w:r w:rsidR="0090262F">
        <w:t xml:space="preserve">louter medische beoordeling.  Er wordt immers verwacht dat de arts in deze verklaring beschrijft wat de gevolgen zijn van “de gezondheidstoestand op het behoorlijk waarnemen van (de) belangen van vermogensrechtelijke aard of andere aard”. Voor die belangen van “vermogensrechtelijke aard” moet dan nog “inzonderheid vermeld </w:t>
      </w:r>
      <w:r w:rsidR="0055464C">
        <w:t xml:space="preserve">(worden) </w:t>
      </w:r>
      <w:r w:rsidR="0090262F">
        <w:t xml:space="preserve">of de te beschermen persoon nog bij machte is om kennis te nemen van de rekenschap van het beheer”. </w:t>
      </w:r>
      <w:r w:rsidR="00B91610">
        <w:t>Dat is niet eenvoudig</w:t>
      </w:r>
      <w:r w:rsidR="00B6613E">
        <w:t xml:space="preserve">. Aan de arts wordt gevraagd </w:t>
      </w:r>
      <w:r w:rsidR="0055464C">
        <w:t xml:space="preserve">om </w:t>
      </w:r>
      <w:r w:rsidR="00B6613E">
        <w:t xml:space="preserve">zich uit te spreken over </w:t>
      </w:r>
      <w:r w:rsidR="0055464C">
        <w:t xml:space="preserve">de capaciteit om beslissingen </w:t>
      </w:r>
      <w:r w:rsidR="00B6613E">
        <w:t xml:space="preserve">te nemen </w:t>
      </w:r>
      <w:r w:rsidR="0055464C">
        <w:t>met bijzondere juridische gevolgen</w:t>
      </w:r>
      <w:r w:rsidR="00B6613E">
        <w:t xml:space="preserve"> en daarbi</w:t>
      </w:r>
      <w:r w:rsidR="00077268">
        <w:t xml:space="preserve">j concepten te hanteren die </w:t>
      </w:r>
      <w:r w:rsidR="00B6613E">
        <w:t>vele artsen minder goed bekend zijn. D</w:t>
      </w:r>
      <w:r w:rsidR="0055464C">
        <w:t xml:space="preserve">e arts moet zich dus onvermijdelijk vrij ver begeven op een domein </w:t>
      </w:r>
      <w:r w:rsidR="000C3EFB">
        <w:t xml:space="preserve">dat traditioneel aan de rechter voorbehouden was. </w:t>
      </w:r>
      <w:r w:rsidR="0055464C">
        <w:t>D</w:t>
      </w:r>
      <w:r w:rsidR="000C3EFB">
        <w:t xml:space="preserve">e beslissing </w:t>
      </w:r>
      <w:r w:rsidR="0055464C">
        <w:t>blijf</w:t>
      </w:r>
      <w:r w:rsidR="00B6613E">
        <w:t>t</w:t>
      </w:r>
      <w:r w:rsidR="0055464C">
        <w:t xml:space="preserve"> </w:t>
      </w:r>
      <w:r w:rsidR="000C3EFB">
        <w:t>bij de rechter, maar het geneeskundig verslag is een belangrijk element in het besluitvormingsproces</w:t>
      </w:r>
      <w:r w:rsidR="00B6613E">
        <w:t xml:space="preserve">. </w:t>
      </w:r>
      <w:r w:rsidR="00BF3F7C">
        <w:t xml:space="preserve">Het geneeskundig verslag </w:t>
      </w:r>
      <w:r w:rsidR="00E74158">
        <w:t xml:space="preserve">zou </w:t>
      </w:r>
      <w:r w:rsidR="00BF3F7C">
        <w:t xml:space="preserve">de rechter samen met zijn eigen bevindingen ook </w:t>
      </w:r>
      <w:r w:rsidR="00E74158">
        <w:t xml:space="preserve">moeten </w:t>
      </w:r>
      <w:r w:rsidR="00BF3F7C">
        <w:t xml:space="preserve">in staat stellen om over te gaan tot de doorgedreven </w:t>
      </w:r>
      <w:proofErr w:type="spellStart"/>
      <w:r w:rsidR="00BF3F7C">
        <w:t>personalisering</w:t>
      </w:r>
      <w:proofErr w:type="spellEnd"/>
      <w:r w:rsidR="00BF3F7C">
        <w:t xml:space="preserve"> of het zogenaamde </w:t>
      </w:r>
      <w:r w:rsidR="006F743D">
        <w:t xml:space="preserve">“confectiewerk” of  </w:t>
      </w:r>
      <w:r w:rsidR="00BF3F7C">
        <w:t>“maatwerk” in de keuze van de rechtshandelingen waarvoor de beschermde persoon no</w:t>
      </w:r>
      <w:r w:rsidR="006F743D">
        <w:t xml:space="preserve">g zelfstandig bekwaam blijft </w:t>
      </w:r>
      <w:r w:rsidR="006F743D">
        <w:rPr>
          <w:rStyle w:val="Voetnootmarkering"/>
        </w:rPr>
        <w:footnoteReference w:id="3"/>
      </w:r>
      <w:r w:rsidR="006F743D">
        <w:t xml:space="preserve">. </w:t>
      </w:r>
      <w:r w:rsidR="00E74158">
        <w:t xml:space="preserve">Zoals we hierna nader bespreken, rijst de vraag of die zo verregaande </w:t>
      </w:r>
      <w:proofErr w:type="spellStart"/>
      <w:r w:rsidR="00E74158">
        <w:t>personalisering</w:t>
      </w:r>
      <w:proofErr w:type="spellEnd"/>
      <w:r w:rsidR="00E74158">
        <w:t xml:space="preserve"> bij de aanvang van de bescherming wel mogelijk is, zeker m.b.t. de handelingen in de gezondheidszorg </w:t>
      </w:r>
      <w:r w:rsidR="00E74158">
        <w:rPr>
          <w:rStyle w:val="Voetnootmarkering"/>
        </w:rPr>
        <w:footnoteReference w:id="4"/>
      </w:r>
      <w:r w:rsidR="00F322AD">
        <w:t>.</w:t>
      </w:r>
    </w:p>
    <w:p w:rsidR="00F322AD" w:rsidRDefault="00F322AD" w:rsidP="00F322AD">
      <w:pPr>
        <w:pStyle w:val="Lijstalinea"/>
      </w:pPr>
    </w:p>
    <w:p w:rsidR="00DE0237" w:rsidRDefault="00DE0237" w:rsidP="00F322AD">
      <w:pPr>
        <w:pStyle w:val="Lijstalinea"/>
        <w:numPr>
          <w:ilvl w:val="0"/>
          <w:numId w:val="15"/>
        </w:numPr>
      </w:pPr>
      <w:r>
        <w:t>Wij bespreken</w:t>
      </w:r>
      <w:r w:rsidR="00E74158">
        <w:t xml:space="preserve"> eerst</w:t>
      </w:r>
      <w:r>
        <w:t xml:space="preserve"> enkele knelpunten </w:t>
      </w:r>
      <w:r w:rsidR="00BF3F7C">
        <w:t>met betrekking tot het afleveren en beoordelen van de geneeskundige verklaring</w:t>
      </w:r>
      <w:r>
        <w:t>, zoals:</w:t>
      </w:r>
    </w:p>
    <w:p w:rsidR="00DE0237" w:rsidRDefault="00DE0237" w:rsidP="00DE0237">
      <w:pPr>
        <w:pStyle w:val="Lijstalinea"/>
        <w:numPr>
          <w:ilvl w:val="0"/>
          <w:numId w:val="5"/>
        </w:numPr>
      </w:pPr>
      <w:r>
        <w:t>De vraag of de behandelende arts een dergelijke verklaring mag afleveren</w:t>
      </w:r>
      <w:r w:rsidR="00B6613E">
        <w:t xml:space="preserve"> </w:t>
      </w:r>
      <w:r w:rsidR="00B6613E">
        <w:rPr>
          <w:rStyle w:val="Voetnootmarkering"/>
        </w:rPr>
        <w:footnoteReference w:id="5"/>
      </w:r>
      <w:r>
        <w:t>;</w:t>
      </w:r>
    </w:p>
    <w:p w:rsidR="00DE0237" w:rsidRDefault="00DE0237" w:rsidP="00DE0237">
      <w:pPr>
        <w:pStyle w:val="Lijstalinea"/>
        <w:numPr>
          <w:ilvl w:val="0"/>
          <w:numId w:val="5"/>
        </w:numPr>
      </w:pPr>
      <w:r>
        <w:t>In hoeverre het beroepsgeheim een hinderpaal vormt voor de volledige informatie van de vrederechter</w:t>
      </w:r>
      <w:r w:rsidR="00B6613E">
        <w:rPr>
          <w:rStyle w:val="Voetnootmarkering"/>
        </w:rPr>
        <w:footnoteReference w:id="6"/>
      </w:r>
      <w:r>
        <w:t>;</w:t>
      </w:r>
    </w:p>
    <w:p w:rsidR="00DE0237" w:rsidRDefault="00DE0237" w:rsidP="00DE0237">
      <w:pPr>
        <w:pStyle w:val="Lijstalinea"/>
        <w:numPr>
          <w:ilvl w:val="0"/>
          <w:numId w:val="5"/>
        </w:numPr>
      </w:pPr>
      <w:r>
        <w:t>Hoe de vereiste van het recent karakter van de verklaring moet geïnterpreteerd worden</w:t>
      </w:r>
      <w:r w:rsidR="00B6613E">
        <w:rPr>
          <w:rStyle w:val="Voetnootmarkering"/>
        </w:rPr>
        <w:footnoteReference w:id="7"/>
      </w:r>
      <w:r>
        <w:t>;</w:t>
      </w:r>
    </w:p>
    <w:p w:rsidR="00B91610" w:rsidRDefault="00B91610" w:rsidP="00DE0237">
      <w:pPr>
        <w:pStyle w:val="Lijstalinea"/>
        <w:numPr>
          <w:ilvl w:val="0"/>
          <w:numId w:val="5"/>
        </w:numPr>
      </w:pPr>
      <w:r>
        <w:t>Welk gevolg moet gegeven worden aan een verzoekschrift waarbij geen geneeskundige verklaring gevoegd is</w:t>
      </w:r>
      <w:r w:rsidR="00B6613E">
        <w:rPr>
          <w:rStyle w:val="Voetnootmarkering"/>
        </w:rPr>
        <w:footnoteReference w:id="8"/>
      </w:r>
    </w:p>
    <w:p w:rsidR="00DE0237" w:rsidRDefault="00B57C80" w:rsidP="00DE0237">
      <w:pPr>
        <w:pStyle w:val="Lijstalinea"/>
        <w:numPr>
          <w:ilvl w:val="0"/>
          <w:numId w:val="5"/>
        </w:numPr>
      </w:pPr>
      <w:r>
        <w:t>Welk gevolg moet gegeven worden aan een verklaring die niet volgens het voorgeschreven model opgesteld is</w:t>
      </w:r>
      <w:r w:rsidR="00B6613E">
        <w:rPr>
          <w:rStyle w:val="Voetnootmarkering"/>
        </w:rPr>
        <w:footnoteReference w:id="9"/>
      </w:r>
      <w:r>
        <w:t>;</w:t>
      </w:r>
    </w:p>
    <w:p w:rsidR="00B6613E" w:rsidRDefault="00B6613E" w:rsidP="00DE0237">
      <w:pPr>
        <w:pStyle w:val="Lijstalinea"/>
        <w:numPr>
          <w:ilvl w:val="0"/>
          <w:numId w:val="5"/>
        </w:numPr>
      </w:pPr>
      <w:r>
        <w:t xml:space="preserve">In hoeverre het nodig is om een beschrijving te geven van de functioneringsmogelijkheden volgens de ‘International </w:t>
      </w:r>
      <w:proofErr w:type="spellStart"/>
      <w:r>
        <w:t>Classification</w:t>
      </w:r>
      <w:proofErr w:type="spellEnd"/>
      <w:r>
        <w:t xml:space="preserve"> of </w:t>
      </w:r>
      <w:proofErr w:type="spellStart"/>
      <w:r>
        <w:t>Functioning</w:t>
      </w:r>
      <w:proofErr w:type="spellEnd"/>
      <w:r>
        <w:t xml:space="preserve">, </w:t>
      </w:r>
      <w:proofErr w:type="spellStart"/>
      <w:r>
        <w:t>Disability</w:t>
      </w:r>
      <w:proofErr w:type="spellEnd"/>
      <w:r>
        <w:t xml:space="preserve"> </w:t>
      </w:r>
      <w:proofErr w:type="spellStart"/>
      <w:r>
        <w:t>and</w:t>
      </w:r>
      <w:proofErr w:type="spellEnd"/>
      <w:r>
        <w:t xml:space="preserve"> Health’</w:t>
      </w:r>
      <w:r w:rsidR="001B1978">
        <w:rPr>
          <w:rStyle w:val="Voetnootmarkering"/>
        </w:rPr>
        <w:footnoteReference w:id="10"/>
      </w:r>
      <w:r>
        <w:t>;</w:t>
      </w:r>
    </w:p>
    <w:p w:rsidR="00B57C80" w:rsidRDefault="00B57C80" w:rsidP="00DE0237">
      <w:pPr>
        <w:pStyle w:val="Lijstalinea"/>
        <w:numPr>
          <w:ilvl w:val="0"/>
          <w:numId w:val="5"/>
        </w:numPr>
      </w:pPr>
      <w:r>
        <w:t>Welk gevolg moet gegeven worden aan een onvolle</w:t>
      </w:r>
      <w:r w:rsidR="00B6613E">
        <w:t>dige of onduidelijke verklaring</w:t>
      </w:r>
      <w:r w:rsidR="001B1978">
        <w:rPr>
          <w:rStyle w:val="Voetnootmarkering"/>
        </w:rPr>
        <w:footnoteReference w:id="11"/>
      </w:r>
      <w:r w:rsidR="00B6613E">
        <w:t>.</w:t>
      </w:r>
    </w:p>
    <w:p w:rsidR="00B57C80" w:rsidRDefault="00B57C80" w:rsidP="0053234A">
      <w:pPr>
        <w:pStyle w:val="Lijstalinea"/>
      </w:pPr>
    </w:p>
    <w:p w:rsidR="00095761" w:rsidRDefault="00095761" w:rsidP="007D285F"/>
    <w:p w:rsidR="007D285F" w:rsidRPr="00E84EAB" w:rsidRDefault="007D285F" w:rsidP="007D285F">
      <w:pPr>
        <w:pStyle w:val="Lijstalinea"/>
        <w:numPr>
          <w:ilvl w:val="0"/>
          <w:numId w:val="3"/>
        </w:numPr>
        <w:rPr>
          <w:b/>
        </w:rPr>
      </w:pPr>
      <w:r w:rsidRPr="00E84EAB">
        <w:rPr>
          <w:b/>
        </w:rPr>
        <w:t>Van welke arts?</w:t>
      </w:r>
    </w:p>
    <w:p w:rsidR="007D285F" w:rsidRDefault="007D285F" w:rsidP="007D285F"/>
    <w:p w:rsidR="00D354A2" w:rsidRDefault="00D354A2" w:rsidP="00F322AD">
      <w:pPr>
        <w:pStyle w:val="Lijstalinea"/>
        <w:numPr>
          <w:ilvl w:val="0"/>
          <w:numId w:val="15"/>
        </w:numPr>
      </w:pPr>
      <w:r>
        <w:t xml:space="preserve">Een van de potentiële twistpunten is </w:t>
      </w:r>
      <w:r w:rsidR="00077268">
        <w:t xml:space="preserve">de </w:t>
      </w:r>
      <w:r>
        <w:t>vraag of het omstandig geneeskundig getuigschrift mag afkomstig zijn van de behandelende arts van de persoon waarvoor de beschermingsmaatregel wordt gevraagd.</w:t>
      </w:r>
      <w:r w:rsidR="0053234A">
        <w:t xml:space="preserve"> Aangezien patiënten st</w:t>
      </w:r>
      <w:r w:rsidR="00CF3248">
        <w:t>eeds vaker behandeld worden in multidisciplinaire</w:t>
      </w:r>
      <w:r w:rsidR="0053234A">
        <w:t xml:space="preserve"> equipes en het concept van de unieke en exclusieve behandelende arts</w:t>
      </w:r>
      <w:r w:rsidR="00B6613E">
        <w:t xml:space="preserve"> steeds meer artificieel wordt, is het zinvoller om zich af te vragen of de verklaring mag afkomstig zijn van een arts die een therapeutische relatie met de patiënt heeft.</w:t>
      </w:r>
    </w:p>
    <w:p w:rsidR="00D354A2" w:rsidRDefault="00D354A2" w:rsidP="007D285F"/>
    <w:p w:rsidR="00D354A2" w:rsidRDefault="00D354A2" w:rsidP="00F322AD">
      <w:pPr>
        <w:pStyle w:val="Lijstalinea"/>
        <w:numPr>
          <w:ilvl w:val="0"/>
          <w:numId w:val="15"/>
        </w:numPr>
      </w:pPr>
      <w:r>
        <w:t xml:space="preserve">De wet sluit dit zeker niet uitdrukkelijk uit. Slechts van twee </w:t>
      </w:r>
      <w:r w:rsidR="002C5B79">
        <w:t>categorieën</w:t>
      </w:r>
      <w:r>
        <w:t xml:space="preserve"> van artsen kan geen getuigschrift aanvaard worden:</w:t>
      </w:r>
    </w:p>
    <w:p w:rsidR="00D354A2" w:rsidRDefault="00D354A2" w:rsidP="007D285F"/>
    <w:p w:rsidR="00D354A2" w:rsidRDefault="00D354A2" w:rsidP="00D354A2">
      <w:pPr>
        <w:pStyle w:val="Lijstalinea"/>
        <w:numPr>
          <w:ilvl w:val="0"/>
          <w:numId w:val="4"/>
        </w:numPr>
      </w:pPr>
      <w:r>
        <w:t>Artsen die bloed- of aanverwant zijn van de te beschermen persoon of van de verzoeker;</w:t>
      </w:r>
    </w:p>
    <w:p w:rsidR="00F322AD" w:rsidRDefault="002C5B79" w:rsidP="00F322AD">
      <w:pPr>
        <w:pStyle w:val="Lijstalinea"/>
        <w:numPr>
          <w:ilvl w:val="0"/>
          <w:numId w:val="4"/>
        </w:numPr>
      </w:pPr>
      <w:r>
        <w:t xml:space="preserve">Artsen die op enigerlei wijze verbonden zijn aan de instelling waar de te beschermen persoon zich bevindt </w:t>
      </w:r>
      <w:r>
        <w:rPr>
          <w:rStyle w:val="Voetnootmarkering"/>
        </w:rPr>
        <w:footnoteReference w:id="12"/>
      </w:r>
      <w:r>
        <w:t>.</w:t>
      </w:r>
    </w:p>
    <w:p w:rsidR="00F322AD" w:rsidRDefault="00F322AD" w:rsidP="00F322AD">
      <w:pPr>
        <w:pStyle w:val="Lijstalinea"/>
      </w:pPr>
    </w:p>
    <w:p w:rsidR="002C5B79" w:rsidRDefault="002C5B79" w:rsidP="00F322AD">
      <w:pPr>
        <w:pStyle w:val="Lijstalinea"/>
      </w:pPr>
      <w:r>
        <w:t xml:space="preserve">Deze </w:t>
      </w:r>
      <w:r w:rsidR="00B91610">
        <w:t xml:space="preserve">beide </w:t>
      </w:r>
      <w:r>
        <w:t>uitsluiting</w:t>
      </w:r>
      <w:r w:rsidR="00B91610">
        <w:t>en stemmen</w:t>
      </w:r>
      <w:r>
        <w:t xml:space="preserve"> volledig overeen met de regeling in de Wet Bescherming Persoon Geesteszieke</w:t>
      </w:r>
      <w:r w:rsidR="00F92187">
        <w:t xml:space="preserve"> </w:t>
      </w:r>
      <w:r w:rsidR="00CD4618">
        <w:rPr>
          <w:rStyle w:val="Voetnootmarkering"/>
        </w:rPr>
        <w:footnoteReference w:id="13"/>
      </w:r>
      <w:r>
        <w:t>.</w:t>
      </w:r>
    </w:p>
    <w:p w:rsidR="002C5B79" w:rsidRDefault="002C5B79" w:rsidP="002C5B79"/>
    <w:p w:rsidR="00246DF8" w:rsidRDefault="002C5B79" w:rsidP="00F322AD">
      <w:pPr>
        <w:pStyle w:val="Lijstalinea"/>
        <w:numPr>
          <w:ilvl w:val="0"/>
          <w:numId w:val="15"/>
        </w:numPr>
      </w:pPr>
      <w:r>
        <w:t xml:space="preserve">Uit het feit dat de behandelende arts niet uitdrukkelijk </w:t>
      </w:r>
      <w:r w:rsidR="00246DF8">
        <w:t>uitgesloten wordt</w:t>
      </w:r>
      <w:r>
        <w:t xml:space="preserve">, mag niet </w:t>
      </w:r>
      <w:r w:rsidR="00CD4618">
        <w:t xml:space="preserve">zonder meer </w:t>
      </w:r>
      <w:r>
        <w:t xml:space="preserve">afgeleid worden dat de wetgever wel </w:t>
      </w:r>
      <w:r w:rsidR="00761EAA">
        <w:t xml:space="preserve">zou aanvaarden </w:t>
      </w:r>
      <w:r w:rsidR="00B57C80">
        <w:t>dat de behandelende arts deze verklaring</w:t>
      </w:r>
      <w:r>
        <w:t xml:space="preserve"> zou </w:t>
      </w:r>
      <w:r w:rsidR="00B57C80">
        <w:t xml:space="preserve">mogen </w:t>
      </w:r>
      <w:r>
        <w:t>afleveren en dat de bezwaren inzake het gebrek aan onafhankelijkheid en onpartijdigheid, die soms geopperd worden bij de toepassing van de Wet Bescherming Persoon Geesteszieke</w:t>
      </w:r>
      <w:r w:rsidR="00551EE3">
        <w:t xml:space="preserve"> en die aansluiten bij de vereiste van een “</w:t>
      </w:r>
      <w:proofErr w:type="spellStart"/>
      <w:r w:rsidR="00551EE3" w:rsidRPr="00077268">
        <w:rPr>
          <w:i/>
        </w:rPr>
        <w:t>objective</w:t>
      </w:r>
      <w:proofErr w:type="spellEnd"/>
      <w:r w:rsidR="00551EE3" w:rsidRPr="00077268">
        <w:rPr>
          <w:i/>
        </w:rPr>
        <w:t xml:space="preserve"> </w:t>
      </w:r>
      <w:proofErr w:type="spellStart"/>
      <w:r w:rsidR="00551EE3" w:rsidRPr="00077268">
        <w:rPr>
          <w:i/>
        </w:rPr>
        <w:t>medical</w:t>
      </w:r>
      <w:proofErr w:type="spellEnd"/>
      <w:r w:rsidR="00551EE3" w:rsidRPr="00077268">
        <w:rPr>
          <w:i/>
        </w:rPr>
        <w:t xml:space="preserve"> expertise</w:t>
      </w:r>
      <w:r w:rsidR="00551EE3">
        <w:t xml:space="preserve">” die door het EHRM gesteld wordt voor een dwangopneming </w:t>
      </w:r>
      <w:r w:rsidR="00551EE3">
        <w:rPr>
          <w:rStyle w:val="Voetnootmarkering"/>
        </w:rPr>
        <w:footnoteReference w:id="14"/>
      </w:r>
      <w:r>
        <w:t>,</w:t>
      </w:r>
      <w:r w:rsidR="00246DF8">
        <w:t xml:space="preserve"> hier ni</w:t>
      </w:r>
      <w:r w:rsidR="00CD4618">
        <w:t xml:space="preserve">et zouden gelden. Toch vindt men in de tekst van de wet en van het uitvoeringsbesluit </w:t>
      </w:r>
      <w:r w:rsidR="00246DF8">
        <w:t xml:space="preserve">minstens </w:t>
      </w:r>
      <w:r w:rsidR="00B57C80">
        <w:t>twee</w:t>
      </w:r>
      <w:r w:rsidR="00CD4618">
        <w:t xml:space="preserve"> </w:t>
      </w:r>
      <w:r w:rsidR="00246DF8">
        <w:t>indic</w:t>
      </w:r>
      <w:r w:rsidR="00CD4618">
        <w:t>aties dat het getuigschrift wel mag afkomstig zijn van de behandelende arts</w:t>
      </w:r>
      <w:r w:rsidR="00246DF8">
        <w:t>:</w:t>
      </w:r>
    </w:p>
    <w:p w:rsidR="00246DF8" w:rsidRDefault="00246DF8" w:rsidP="002C5B79"/>
    <w:p w:rsidR="007C103C" w:rsidRDefault="00246DF8" w:rsidP="00B57C80">
      <w:pPr>
        <w:pStyle w:val="Lijstalinea"/>
        <w:numPr>
          <w:ilvl w:val="0"/>
          <w:numId w:val="4"/>
        </w:numPr>
      </w:pPr>
      <w:r>
        <w:t xml:space="preserve">De wet voorziet dat het omstandig geneeskundig getuigschrift wordt ingevuld “op basis van (…) een recent onderzoek van de persoon” of “.. van actuele medische gegevens zoals het patiëntendossier” </w:t>
      </w:r>
      <w:r>
        <w:rPr>
          <w:rStyle w:val="Voetnootmarkering"/>
        </w:rPr>
        <w:footnoteReference w:id="15"/>
      </w:r>
      <w:r w:rsidR="00F92187">
        <w:t xml:space="preserve">. Als een van de mogelijke bronnen van de medische informatie wordt dus de toegang tot patiëntendossier weerhouden. Deze toegang is in beginsel voorbehouden aan artsen </w:t>
      </w:r>
      <w:r w:rsidR="002A0CB1">
        <w:t>met een therapeutische relatie met de patiënt</w:t>
      </w:r>
      <w:r w:rsidR="00695940">
        <w:rPr>
          <w:rStyle w:val="Voetnootmarkering"/>
        </w:rPr>
        <w:footnoteReference w:id="16"/>
      </w:r>
      <w:r w:rsidR="00695940">
        <w:t xml:space="preserve"> </w:t>
      </w:r>
      <w:r w:rsidR="00F92187">
        <w:t xml:space="preserve">of aan artsen die toegang hebben tot dit dossier op grond van een bijzondere wettelijke bepaling, zoals de geneesheren-inspecteurs van </w:t>
      </w:r>
      <w:r w:rsidR="00DB1D5F">
        <w:t xml:space="preserve">de </w:t>
      </w:r>
      <w:r w:rsidR="00F92187">
        <w:t>dienst voor geneeskundige evaluatie en controle</w:t>
      </w:r>
      <w:r w:rsidR="00DB1D5F">
        <w:t xml:space="preserve"> van het RIZIV </w:t>
      </w:r>
      <w:r w:rsidR="00DB1D5F">
        <w:rPr>
          <w:rStyle w:val="Voetnootmarkering"/>
        </w:rPr>
        <w:footnoteReference w:id="17"/>
      </w:r>
      <w:r w:rsidR="00F92187">
        <w:t>. Deze bijzondere regelingen</w:t>
      </w:r>
      <w:r w:rsidR="007C103C">
        <w:t xml:space="preserve"> </w:t>
      </w:r>
      <w:r w:rsidR="00F92187">
        <w:t>zijn hier niet relevant</w:t>
      </w:r>
      <w:r w:rsidR="00CD4618">
        <w:t xml:space="preserve"> omdat zij betrek</w:t>
      </w:r>
      <w:r w:rsidR="00B91610">
        <w:t xml:space="preserve">king hebben op externe controle </w:t>
      </w:r>
      <w:r w:rsidR="00B91610">
        <w:lastRenderedPageBreak/>
        <w:t xml:space="preserve">over </w:t>
      </w:r>
      <w:r w:rsidR="00CD4618">
        <w:t xml:space="preserve">het medisch handelen en niet </w:t>
      </w:r>
      <w:r w:rsidR="00B91610">
        <w:t xml:space="preserve">over </w:t>
      </w:r>
      <w:r w:rsidR="00CD4618">
        <w:t>de toestand van de patiënt</w:t>
      </w:r>
      <w:r w:rsidR="006D17C5">
        <w:t xml:space="preserve">. In het model </w:t>
      </w:r>
      <w:r w:rsidR="00E74158">
        <w:t xml:space="preserve">van de geneeskundige verklaring </w:t>
      </w:r>
      <w:r w:rsidR="006D17C5">
        <w:t xml:space="preserve">is voorzien dat </w:t>
      </w:r>
      <w:r w:rsidR="006D17C5" w:rsidRPr="006D17C5">
        <w:rPr>
          <w:i/>
        </w:rPr>
        <w:t>ofwel</w:t>
      </w:r>
      <w:r w:rsidR="006D17C5">
        <w:t xml:space="preserve"> kan aangekruist worden dat de arts de geïnformeerde toestemming heeft verkregen tot consultatie van het medisch dossier </w:t>
      </w:r>
      <w:r w:rsidR="00B57C80">
        <w:t xml:space="preserve">vanwege </w:t>
      </w:r>
      <w:r w:rsidR="006D17C5">
        <w:t>de patië</w:t>
      </w:r>
      <w:r w:rsidR="00B57C80">
        <w:t>nt of diens vertegenwoordiger</w:t>
      </w:r>
      <w:r w:rsidR="006D17C5">
        <w:t xml:space="preserve"> </w:t>
      </w:r>
      <w:r w:rsidR="006D17C5" w:rsidRPr="00B57C80">
        <w:rPr>
          <w:i/>
        </w:rPr>
        <w:t>of</w:t>
      </w:r>
      <w:r w:rsidR="006D17C5">
        <w:t xml:space="preserve"> dat hij het patiëntendossier heef</w:t>
      </w:r>
      <w:r w:rsidR="00B57C80">
        <w:t>t</w:t>
      </w:r>
      <w:r w:rsidR="006D17C5">
        <w:t xml:space="preserve"> geconsulteerd </w:t>
      </w:r>
      <w:r w:rsidR="006D17C5" w:rsidRPr="00CF3248">
        <w:rPr>
          <w:i/>
        </w:rPr>
        <w:t>zonder</w:t>
      </w:r>
      <w:r w:rsidR="006D17C5">
        <w:t xml:space="preserve"> hiertoe de geïnformeerde toestemming te hebben verkregen </w:t>
      </w:r>
      <w:r w:rsidR="006D17C5">
        <w:rPr>
          <w:rStyle w:val="Voetnootmarkering"/>
        </w:rPr>
        <w:footnoteReference w:id="18"/>
      </w:r>
      <w:r w:rsidR="006D17C5">
        <w:t>. Dat laatste is mogelijk voor de behandelende arts die immers geen toestemming nodig heeft om het door hem zelf opgemaakt dossier te consulteren</w:t>
      </w:r>
      <w:r w:rsidR="00B91610">
        <w:t xml:space="preserve">. </w:t>
      </w:r>
      <w:r w:rsidR="00CF3248">
        <w:t xml:space="preserve">Het kan ook door een arts die gevraagd werd om de behandeling verder te zetten, maar dan wel op verzoek van de patiënt </w:t>
      </w:r>
      <w:r w:rsidR="00CF3248">
        <w:rPr>
          <w:rStyle w:val="Voetnootmarkering"/>
        </w:rPr>
        <w:footnoteReference w:id="19"/>
      </w:r>
      <w:r w:rsidR="00E74158">
        <w:t xml:space="preserve">. </w:t>
      </w:r>
      <w:r w:rsidR="00B91610">
        <w:t>Het kan in netwerken van elektronische medische dossiers ook verkregen worden door artsen die expliciet of door het nemen van toegang verklaren dat zij een therapeutisch</w:t>
      </w:r>
      <w:r w:rsidR="00CF3248">
        <w:t>e relatie hebben met de patiënt</w:t>
      </w:r>
      <w:r w:rsidR="00CF3248">
        <w:rPr>
          <w:rStyle w:val="Voetnootmarkering"/>
        </w:rPr>
        <w:footnoteReference w:id="20"/>
      </w:r>
      <w:r w:rsidR="007C103C">
        <w:t>;</w:t>
      </w:r>
    </w:p>
    <w:p w:rsidR="007C103C" w:rsidRDefault="007C103C" w:rsidP="007C103C">
      <w:pPr>
        <w:pStyle w:val="Lijstalinea"/>
      </w:pPr>
    </w:p>
    <w:p w:rsidR="00CD4618" w:rsidRDefault="00F81A3A" w:rsidP="00B57C80">
      <w:pPr>
        <w:pStyle w:val="Lijstalinea"/>
        <w:numPr>
          <w:ilvl w:val="0"/>
          <w:numId w:val="4"/>
        </w:numPr>
      </w:pPr>
      <w:r>
        <w:t xml:space="preserve">In het koninklijk besluit waarbij het model vastgelegd werd voor de omstandige geneeskundige verklaring, is bepaald dat deze verklaring “wordt ingevuld door de geneesheer </w:t>
      </w:r>
      <w:r w:rsidRPr="00F81A3A">
        <w:rPr>
          <w:i/>
        </w:rPr>
        <w:t>van</w:t>
      </w:r>
      <w:r>
        <w:rPr>
          <w:i/>
        </w:rPr>
        <w:t xml:space="preserve"> </w:t>
      </w:r>
      <w:r>
        <w:t xml:space="preserve">de te beschermen persoon” </w:t>
      </w:r>
      <w:r>
        <w:rPr>
          <w:rStyle w:val="Voetnootmarkering"/>
        </w:rPr>
        <w:footnoteReference w:id="21"/>
      </w:r>
      <w:r>
        <w:t>. Dit suggereert dat het gaat om de beh</w:t>
      </w:r>
      <w:r w:rsidR="00B57C80">
        <w:t>andelende arts van deze persoon.</w:t>
      </w:r>
    </w:p>
    <w:p w:rsidR="003937BE" w:rsidRDefault="003937BE" w:rsidP="003937BE">
      <w:pPr>
        <w:pStyle w:val="Lijstalinea"/>
      </w:pPr>
    </w:p>
    <w:p w:rsidR="003937BE" w:rsidRDefault="003937BE" w:rsidP="003937BE"/>
    <w:p w:rsidR="00F322AD" w:rsidRDefault="003937BE" w:rsidP="003937BE">
      <w:pPr>
        <w:pStyle w:val="Lijstalinea"/>
        <w:numPr>
          <w:ilvl w:val="0"/>
          <w:numId w:val="15"/>
        </w:numPr>
      </w:pPr>
      <w:r>
        <w:t xml:space="preserve">Bovendien is het helemaal niet uitgesloten dat een verklaring van de behandelende arts wel </w:t>
      </w:r>
      <w:r w:rsidR="00B91610">
        <w:t xml:space="preserve">kan voldoen </w:t>
      </w:r>
      <w:r>
        <w:t xml:space="preserve">aan de eisen van onafhankelijkheid en onpartijdigheid en </w:t>
      </w:r>
      <w:r w:rsidR="00B91610">
        <w:t xml:space="preserve">dus </w:t>
      </w:r>
      <w:r w:rsidR="00B07B4C">
        <w:t xml:space="preserve">wel </w:t>
      </w:r>
      <w:r>
        <w:t>kan beschouwd worden als “</w:t>
      </w:r>
      <w:proofErr w:type="spellStart"/>
      <w:r>
        <w:t>objective</w:t>
      </w:r>
      <w:proofErr w:type="spellEnd"/>
      <w:r>
        <w:t xml:space="preserve"> </w:t>
      </w:r>
      <w:proofErr w:type="spellStart"/>
      <w:r>
        <w:t>medical</w:t>
      </w:r>
      <w:proofErr w:type="spellEnd"/>
      <w:r>
        <w:t xml:space="preserve"> e</w:t>
      </w:r>
      <w:r w:rsidR="00E74158">
        <w:t xml:space="preserve">xpertise” in de zin van de </w:t>
      </w:r>
      <w:r>
        <w:t>rechtspraak</w:t>
      </w:r>
      <w:r w:rsidR="00E74158">
        <w:t xml:space="preserve"> van het Europees Hof voor de Rechten van de Mens</w:t>
      </w:r>
      <w:r>
        <w:t xml:space="preserve">. Onder verwijzing naar een uitgebreid advies van de Nationale Raad van de Orde der Artsen over de verklaring </w:t>
      </w:r>
      <w:r w:rsidR="00B07B4C">
        <w:t xml:space="preserve">in het kader van </w:t>
      </w:r>
      <w:r>
        <w:t>de gedwongen opneming</w:t>
      </w:r>
      <w:r w:rsidR="00B07B4C">
        <w:t xml:space="preserve"> </w:t>
      </w:r>
      <w:r w:rsidR="00B07B4C">
        <w:rPr>
          <w:rStyle w:val="Voetnootmarkering"/>
        </w:rPr>
        <w:footnoteReference w:id="22"/>
      </w:r>
      <w:r>
        <w:t xml:space="preserve"> betoogt GOFFIN terecht dat de behandelende arts kan </w:t>
      </w:r>
      <w:r w:rsidR="00A00957">
        <w:t xml:space="preserve">optreden </w:t>
      </w:r>
      <w:r>
        <w:t xml:space="preserve">in het belang van zijn patiënt </w:t>
      </w:r>
      <w:r w:rsidR="00B07B4C">
        <w:t xml:space="preserve">door mee te </w:t>
      </w:r>
      <w:r>
        <w:t>werken aan het uitlokken van een beschermingsmaatregel d</w:t>
      </w:r>
      <w:r w:rsidR="00E74158">
        <w:t xml:space="preserve">ie nodig en gepast is voor zijn </w:t>
      </w:r>
      <w:r>
        <w:t>patiënt.</w:t>
      </w:r>
      <w:r w:rsidR="00B07B4C">
        <w:t xml:space="preserve"> De arts behoort bij het opstellen van een dergelijke verklaring objectief te blijven en dient het verslag op te stellen met de nodige zo</w:t>
      </w:r>
      <w:r w:rsidR="00F322AD">
        <w:t xml:space="preserve">rgvuldigheid en bedachtzaamheid. </w:t>
      </w:r>
    </w:p>
    <w:p w:rsidR="00F322AD" w:rsidRDefault="00F322AD" w:rsidP="00F322AD">
      <w:pPr>
        <w:pStyle w:val="Lijstalinea"/>
      </w:pPr>
    </w:p>
    <w:p w:rsidR="002A0CB1" w:rsidRDefault="002A0CB1" w:rsidP="00F322AD">
      <w:pPr>
        <w:pStyle w:val="Lijstalinea"/>
      </w:pPr>
      <w:r>
        <w:t xml:space="preserve">Een belangrijk verschil met de getuigschriften in het kader van de Wet Bescherming Persoon geesteszieke is ook dat de beschermingsmaatregelen in het kader van de wet van 17 maart 2013 niet </w:t>
      </w:r>
      <w:r w:rsidR="00A00957">
        <w:t>(of minstens niet rechtstreeks</w:t>
      </w:r>
      <w:r w:rsidR="00F322AD">
        <w:t xml:space="preserve"> </w:t>
      </w:r>
      <w:r w:rsidR="00A00957">
        <w:t xml:space="preserve">) </w:t>
      </w:r>
      <w:r w:rsidR="00F322AD">
        <w:t xml:space="preserve">kunnen </w:t>
      </w:r>
      <w:r>
        <w:t xml:space="preserve">leiden tot </w:t>
      </w:r>
      <w:r w:rsidR="003831A3">
        <w:t xml:space="preserve">een gedwongen opneming in een ziekenhuis en dus </w:t>
      </w:r>
      <w:r w:rsidR="00A00957">
        <w:t xml:space="preserve">niet </w:t>
      </w:r>
      <w:r w:rsidR="003831A3">
        <w:t>tot een fysieke vrijheidsberoving.</w:t>
      </w:r>
    </w:p>
    <w:p w:rsidR="00A00957" w:rsidRDefault="00A00957" w:rsidP="003937BE"/>
    <w:p w:rsidR="00761EAA" w:rsidRPr="00F81A3A" w:rsidRDefault="00A00957" w:rsidP="00F322AD">
      <w:pPr>
        <w:pStyle w:val="Lijstalinea"/>
        <w:numPr>
          <w:ilvl w:val="0"/>
          <w:numId w:val="15"/>
        </w:numPr>
      </w:pPr>
      <w:r>
        <w:t xml:space="preserve">De behandelende arts mag dus de geneeskundige verklaring opstellen </w:t>
      </w:r>
      <w:r>
        <w:rPr>
          <w:rStyle w:val="Voetnootmarkering"/>
        </w:rPr>
        <w:footnoteReference w:id="23"/>
      </w:r>
      <w:r w:rsidR="00FB231A">
        <w:t xml:space="preserve">. </w:t>
      </w:r>
      <w:r w:rsidR="00B07B4C">
        <w:t>Dit neemt niet weg dat er omstandigheden bestaan waarbij het in het belang van het behoud van de vertrouwensrelatie tussen arts en patiënt</w:t>
      </w:r>
      <w:r w:rsidR="00E74158">
        <w:t>,</w:t>
      </w:r>
      <w:r w:rsidR="00B07B4C">
        <w:t xml:space="preserve"> voor de behande</w:t>
      </w:r>
      <w:r w:rsidR="00FB231A">
        <w:t xml:space="preserve">lende arts aangewezen kan zijn om niet in te gaan op de vraag </w:t>
      </w:r>
      <w:r w:rsidR="00E74158">
        <w:t xml:space="preserve">van de familie of </w:t>
      </w:r>
      <w:r w:rsidR="00F322AD">
        <w:t xml:space="preserve">van </w:t>
      </w:r>
      <w:r w:rsidR="00E74158">
        <w:t xml:space="preserve">een andere verzoeker </w:t>
      </w:r>
      <w:r w:rsidR="00FB231A">
        <w:t xml:space="preserve">om de geneeskundige verklaring af te leveren. Meteen rijst dan </w:t>
      </w:r>
      <w:r w:rsidR="00E74158">
        <w:t>het dilemma welke arts</w:t>
      </w:r>
      <w:r w:rsidR="00FB231A">
        <w:t xml:space="preserve"> de verklaring wel kan afleveren. Niet enkel moet een arts gevonden worden die daartoe bereid is. Hij moet daartoe ook in staat zijn</w:t>
      </w:r>
      <w:r w:rsidR="002C268B">
        <w:t>. Dat houdt in dat hij ofwel</w:t>
      </w:r>
      <w:r w:rsidR="00FB231A">
        <w:t xml:space="preserve"> de patiënt </w:t>
      </w:r>
      <w:r w:rsidR="002C268B">
        <w:t xml:space="preserve">moet </w:t>
      </w:r>
      <w:r w:rsidR="00FB231A">
        <w:t>kunnen onderzoeken of</w:t>
      </w:r>
      <w:r w:rsidR="002C268B">
        <w:t>wel</w:t>
      </w:r>
      <w:r w:rsidR="00FB231A">
        <w:t xml:space="preserve"> van de patiënt of van diens vertegenwoordiger toelating </w:t>
      </w:r>
      <w:r w:rsidR="002C268B">
        <w:t xml:space="preserve">moet </w:t>
      </w:r>
      <w:r w:rsidR="00FB231A">
        <w:t>verkrijgen het dossier in te zien</w:t>
      </w:r>
      <w:r w:rsidR="002C268B">
        <w:t xml:space="preserve"> of op een andere wettelijke g</w:t>
      </w:r>
      <w:r w:rsidR="00F322AD">
        <w:t>rondslag in staat moet zijn om</w:t>
      </w:r>
      <w:r w:rsidR="002C268B">
        <w:t xml:space="preserve"> op geoorloofde wijze he</w:t>
      </w:r>
      <w:r w:rsidR="00926533">
        <w:t>t dossier te raadplegen zonder d</w:t>
      </w:r>
      <w:r w:rsidR="002C268B">
        <w:t>e toestemming van de patiënt</w:t>
      </w:r>
      <w:r w:rsidR="00FB231A">
        <w:t>.</w:t>
      </w:r>
      <w:r w:rsidR="00B52AB1">
        <w:t xml:space="preserve"> Zoals hierna nader toegelicht</w:t>
      </w:r>
      <w:r w:rsidR="00B52AB1">
        <w:rPr>
          <w:rStyle w:val="Voetnootmarkering"/>
        </w:rPr>
        <w:footnoteReference w:id="24"/>
      </w:r>
      <w:r w:rsidR="00FB231A">
        <w:t>, is het mogelijk dat de patiënt elke medewerking weigert en kan dit een reden zijn om te vragen dat een deskundige aangesteld wordt.</w:t>
      </w:r>
    </w:p>
    <w:p w:rsidR="002C5B79" w:rsidRDefault="002C5B79" w:rsidP="002C5B79"/>
    <w:p w:rsidR="005E2611" w:rsidRPr="00E84EAB" w:rsidRDefault="005E2611" w:rsidP="005E2611">
      <w:pPr>
        <w:pStyle w:val="Lijstalinea"/>
        <w:numPr>
          <w:ilvl w:val="0"/>
          <w:numId w:val="3"/>
        </w:numPr>
        <w:rPr>
          <w:b/>
        </w:rPr>
      </w:pPr>
      <w:r w:rsidRPr="00E84EAB">
        <w:rPr>
          <w:b/>
        </w:rPr>
        <w:t>Vormt het beroepsgeheim een hinderpaal?</w:t>
      </w:r>
    </w:p>
    <w:p w:rsidR="005A0425" w:rsidRDefault="005A0425" w:rsidP="00FB231A"/>
    <w:p w:rsidR="00F322AD" w:rsidRDefault="00FB231A" w:rsidP="00A35DDB">
      <w:pPr>
        <w:pStyle w:val="Lijstalinea"/>
        <w:numPr>
          <w:ilvl w:val="0"/>
          <w:numId w:val="15"/>
        </w:numPr>
      </w:pPr>
      <w:r>
        <w:t xml:space="preserve">De geneeskundige verklaring </w:t>
      </w:r>
      <w:r w:rsidR="00A35DDB">
        <w:t>moet “omstandig” zijn en bevat meerdere confidentiële elementen die vallen onder het toepassingsgebied van het beroepsgeheim. Zo moet de verklaring een beschrijving van de gezondheidstoestand bevatten en een beschrijving van de noodzakelijke zorgverlening. Dit verond</w:t>
      </w:r>
      <w:r w:rsidR="00BC56AB">
        <w:t>erstelt onvermijdelijk een mededeling van de diagnose.</w:t>
      </w:r>
    </w:p>
    <w:p w:rsidR="00F322AD" w:rsidRDefault="00F322AD" w:rsidP="00F322AD">
      <w:pPr>
        <w:pStyle w:val="Lijstalinea"/>
      </w:pPr>
    </w:p>
    <w:p w:rsidR="00F322AD" w:rsidRDefault="00BC56AB" w:rsidP="00F322AD">
      <w:pPr>
        <w:pStyle w:val="Lijstalinea"/>
      </w:pPr>
      <w:r>
        <w:t>Toch mogen deze gegevens meegedeeld worden aan de verzoekende partijen en de vrederechter, omdat de regeling in het Gerechtelijk Wetboek over deze geneeskundige verklaring kan beschouwd worden als een uitdrukkelijke wettelijke uitzondering op het beroepsgeheim.</w:t>
      </w:r>
      <w:r w:rsidR="00FA52F7">
        <w:t xml:space="preserve"> Deze uit</w:t>
      </w:r>
      <w:r w:rsidR="00F322AD">
        <w:t>zondering is ook vermeld in de C</w:t>
      </w:r>
      <w:r w:rsidR="00FA52F7">
        <w:t xml:space="preserve">ode voor geneeskundige plichtenleer </w:t>
      </w:r>
      <w:r w:rsidR="00FA52F7">
        <w:rPr>
          <w:rStyle w:val="Voetnootmarkering"/>
        </w:rPr>
        <w:footnoteReference w:id="25"/>
      </w:r>
      <w:r w:rsidR="00F322AD">
        <w:t>.</w:t>
      </w:r>
    </w:p>
    <w:p w:rsidR="00F322AD" w:rsidRDefault="00F322AD" w:rsidP="00F322AD">
      <w:pPr>
        <w:pStyle w:val="Lijstalinea"/>
      </w:pPr>
    </w:p>
    <w:p w:rsidR="00B52AB1" w:rsidRDefault="003A27EB" w:rsidP="00F322AD">
      <w:pPr>
        <w:pStyle w:val="Lijstalinea"/>
      </w:pPr>
      <w:r>
        <w:t>Het geeft aan de arts de mogelijkheid, maar niet de verplichting om deze gegevens mee te delen</w:t>
      </w:r>
      <w:r w:rsidR="0022241C">
        <w:t xml:space="preserve"> </w:t>
      </w:r>
      <w:r w:rsidR="0022241C">
        <w:rPr>
          <w:rStyle w:val="Voetnootmarkering"/>
        </w:rPr>
        <w:footnoteReference w:id="26"/>
      </w:r>
      <w:r w:rsidR="00077268">
        <w:t>.  GOFFIN</w:t>
      </w:r>
      <w:r w:rsidR="0022241C">
        <w:t xml:space="preserve"> weerlegt terecht de redenering van de vrederechter van Zottegem die ervan uitgaat </w:t>
      </w:r>
      <w:r w:rsidR="00B52AB1">
        <w:t xml:space="preserve">dat de regeling in het Gerechtelijk Wetboek niet enkel een toelating tot mededeling van confidentiële gegevens inhoudt, maar ook een verplichting om mee te werken. Dat is niet het geval: een behandelende arts mag de gegevens meedelen, maar kan vanuit de zorg voor </w:t>
      </w:r>
      <w:r w:rsidR="00D85836">
        <w:t xml:space="preserve">het behoud van een goede relatie met </w:t>
      </w:r>
      <w:r w:rsidR="00B52AB1">
        <w:t xml:space="preserve">zijn patiënt of omwille van twijfel of onzekerheid over de implicaties op de vermogensrechtelijke besluitvaardigheid weigeren </w:t>
      </w:r>
      <w:r w:rsidR="00D85836">
        <w:lastRenderedPageBreak/>
        <w:t xml:space="preserve">om </w:t>
      </w:r>
      <w:r w:rsidR="00B52AB1">
        <w:t>een geneeskundige verklaring af te leveren</w:t>
      </w:r>
      <w:r w:rsidR="00FA52F7">
        <w:t xml:space="preserve"> </w:t>
      </w:r>
      <w:r w:rsidR="00FA52F7">
        <w:rPr>
          <w:rStyle w:val="Voetnootmarkering"/>
        </w:rPr>
        <w:footnoteReference w:id="27"/>
      </w:r>
      <w:r w:rsidR="00B52AB1">
        <w:t>. Indien de verzoeker meent dat een beschermingsmaatregel toch nodig is, kan in dergelijke gevallen gevraagd worden aan de vrederechter om een deskundige aan te stellen</w:t>
      </w:r>
      <w:r w:rsidR="00725511">
        <w:t xml:space="preserve"> </w:t>
      </w:r>
      <w:r w:rsidR="00725511">
        <w:rPr>
          <w:rStyle w:val="Voetnootmarkering"/>
        </w:rPr>
        <w:footnoteReference w:id="28"/>
      </w:r>
      <w:r w:rsidR="00B52AB1">
        <w:t xml:space="preserve">. </w:t>
      </w:r>
    </w:p>
    <w:p w:rsidR="00BC56AB" w:rsidRDefault="00BC56AB" w:rsidP="00A35DDB"/>
    <w:p w:rsidR="00F322AD" w:rsidRDefault="00E84EAB" w:rsidP="00A35DDB">
      <w:pPr>
        <w:pStyle w:val="Lijstalinea"/>
        <w:numPr>
          <w:ilvl w:val="0"/>
          <w:numId w:val="15"/>
        </w:numPr>
      </w:pPr>
      <w:r>
        <w:t>In de praktijk gebeurt het dat de geneeskundige verklaring in een g</w:t>
      </w:r>
      <w:r w:rsidR="00B40319">
        <w:t>esloten omslag zit</w:t>
      </w:r>
      <w:r w:rsidR="00D85836">
        <w:t xml:space="preserve"> met op de </w:t>
      </w:r>
      <w:r>
        <w:t xml:space="preserve">omslag “medisch geheim”. </w:t>
      </w:r>
      <w:r w:rsidR="00B40319">
        <w:t xml:space="preserve">Dat werd onder de oude wet ook aangeraden door de Orde der Artsen </w:t>
      </w:r>
      <w:r w:rsidR="00B40319">
        <w:rPr>
          <w:rStyle w:val="Voetnootmarkering"/>
        </w:rPr>
        <w:footnoteReference w:id="29"/>
      </w:r>
      <w:r w:rsidR="00B40319">
        <w:t xml:space="preserve">. </w:t>
      </w:r>
      <w:r w:rsidR="00BC56AB">
        <w:t xml:space="preserve">De vraag rijst of dit een noodzakelijke en goede regeling is. </w:t>
      </w:r>
    </w:p>
    <w:p w:rsidR="00F322AD" w:rsidRDefault="00F322AD" w:rsidP="00F322AD">
      <w:pPr>
        <w:pStyle w:val="Lijstalinea"/>
      </w:pPr>
    </w:p>
    <w:p w:rsidR="00F322AD" w:rsidRDefault="00BC56AB" w:rsidP="00F322AD">
      <w:pPr>
        <w:pStyle w:val="Lijstalinea"/>
      </w:pPr>
      <w:r>
        <w:t xml:space="preserve">Hoewel het verspreiden van medische gegevens best zo beperkt mogelijk gehouden wordt, kan een dergelijke praktijk die niet wettelijk voorgeschreven is, </w:t>
      </w:r>
      <w:r w:rsidR="00D85836">
        <w:t xml:space="preserve">toch complicaties geven en </w:t>
      </w:r>
      <w:r>
        <w:t xml:space="preserve">niet uitsluiten dat </w:t>
      </w:r>
      <w:r w:rsidR="00945094">
        <w:t>de gezondheidsgegevens ook vernomen worden door personen die geen gezondheidszorgbeoefenaar zijn.</w:t>
      </w:r>
    </w:p>
    <w:p w:rsidR="00F322AD" w:rsidRDefault="00F322AD" w:rsidP="00F322AD">
      <w:pPr>
        <w:pStyle w:val="Lijstalinea"/>
      </w:pPr>
    </w:p>
    <w:p w:rsidR="00BC56AB" w:rsidRDefault="00535442" w:rsidP="00F322AD">
      <w:pPr>
        <w:pStyle w:val="Lijstalinea"/>
      </w:pPr>
      <w:r>
        <w:t xml:space="preserve">In elk geval moet de vrederechter kennis kunnen nemen van de inhoud van de verklaring. Maar </w:t>
      </w:r>
      <w:r w:rsidR="00BC56AB">
        <w:t xml:space="preserve">ook andere personen dan de vrederechter </w:t>
      </w:r>
      <w:r w:rsidR="008B794C">
        <w:t xml:space="preserve">zelf </w:t>
      </w:r>
      <w:r>
        <w:t xml:space="preserve">zullen </w:t>
      </w:r>
      <w:r w:rsidR="00BC56AB">
        <w:t xml:space="preserve">kennis </w:t>
      </w:r>
      <w:r>
        <w:t xml:space="preserve">kunnen </w:t>
      </w:r>
      <w:r w:rsidR="00BC56AB">
        <w:t>nemen van de inhoud van de verklaring. De verklaring zal immers moeten toegevoegd worden aan het dossier van de rechtsple</w:t>
      </w:r>
      <w:r>
        <w:t>ging,</w:t>
      </w:r>
      <w:r w:rsidR="008B794C">
        <w:t xml:space="preserve"> waar ook de verzoekende </w:t>
      </w:r>
      <w:r w:rsidR="00BC56AB">
        <w:t>partijen</w:t>
      </w:r>
      <w:r w:rsidR="008B794C">
        <w:t>, hun advocaat</w:t>
      </w:r>
      <w:r w:rsidR="00BC56AB">
        <w:t xml:space="preserve"> en de griffier to</w:t>
      </w:r>
      <w:r w:rsidR="008B794C">
        <w:t>egang toe hebben. Evident hebben</w:t>
      </w:r>
      <w:r w:rsidR="00BC56AB">
        <w:t xml:space="preserve"> ook de persoon waarvan de besc</w:t>
      </w:r>
      <w:r w:rsidR="008B794C">
        <w:t>herming wordt gevraagd en diens</w:t>
      </w:r>
      <w:r w:rsidR="00BC56AB">
        <w:t xml:space="preserve"> advocaat hier toegang toe. </w:t>
      </w:r>
      <w:r w:rsidR="008B794C">
        <w:t xml:space="preserve">Het is dus een illusie dat enkel de vrederechter kennis zou nemen van de verklaring door ze in een gesloten omslag over te maken. </w:t>
      </w:r>
    </w:p>
    <w:p w:rsidR="008B794C" w:rsidRDefault="008B794C" w:rsidP="00A35DDB"/>
    <w:p w:rsidR="005E2611" w:rsidRDefault="005E2611" w:rsidP="008B794C">
      <w:pPr>
        <w:pStyle w:val="Lijstalinea"/>
        <w:numPr>
          <w:ilvl w:val="0"/>
          <w:numId w:val="3"/>
        </w:numPr>
        <w:rPr>
          <w:b/>
        </w:rPr>
      </w:pPr>
      <w:r w:rsidRPr="00E84EAB">
        <w:rPr>
          <w:b/>
        </w:rPr>
        <w:t xml:space="preserve">Moet de te beschermen persoon </w:t>
      </w:r>
      <w:r w:rsidR="00BE1E7E" w:rsidRPr="00E84EAB">
        <w:rPr>
          <w:b/>
        </w:rPr>
        <w:t>(</w:t>
      </w:r>
      <w:r w:rsidRPr="00E84EAB">
        <w:rPr>
          <w:b/>
        </w:rPr>
        <w:t>recent</w:t>
      </w:r>
      <w:r w:rsidR="00BE1E7E" w:rsidRPr="00E84EAB">
        <w:rPr>
          <w:b/>
        </w:rPr>
        <w:t>)</w:t>
      </w:r>
      <w:r w:rsidRPr="00E84EAB">
        <w:rPr>
          <w:b/>
        </w:rPr>
        <w:t xml:space="preserve"> onderzocht zijn</w:t>
      </w:r>
      <w:r w:rsidR="002C474F" w:rsidRPr="00E84EAB">
        <w:rPr>
          <w:b/>
        </w:rPr>
        <w:t>?</w:t>
      </w:r>
    </w:p>
    <w:p w:rsidR="00F322AD" w:rsidRPr="00E84EAB" w:rsidRDefault="00F322AD" w:rsidP="00F322AD">
      <w:pPr>
        <w:pStyle w:val="Lijstalinea"/>
        <w:rPr>
          <w:b/>
        </w:rPr>
      </w:pPr>
    </w:p>
    <w:p w:rsidR="008B794C" w:rsidRDefault="00BE1E7E" w:rsidP="00F322AD">
      <w:pPr>
        <w:pStyle w:val="Lijstalinea"/>
        <w:numPr>
          <w:ilvl w:val="0"/>
          <w:numId w:val="15"/>
        </w:numPr>
      </w:pPr>
      <w:r>
        <w:t>De wet schrijft voor dat de geneeskundige verklaring die bij het verzoekschrift gevoegd wordt “ten hoogste vij</w:t>
      </w:r>
      <w:r w:rsidR="00F322AD">
        <w:t>ftien dagen oud is”. Uit de tekst</w:t>
      </w:r>
      <w:r>
        <w:t xml:space="preserve"> van het standaardmodel blijkt duidelijk dat niet verwacht wordt dat de arts die de verklaring opstelt de betrokken persoon noodzakelijk zelf onderzocht heeft noch dat dit onderzoek van recente datum moet zijn. Wel moet de bron van de informatie duidelijk vermeld worden</w:t>
      </w:r>
      <w:r w:rsidR="00535442">
        <w:t xml:space="preserve"> en moet uit de vermelding van de bron kunnen afgeleid worden wanneer de attesterende arts zich geïnformeerd heeft</w:t>
      </w:r>
      <w:r>
        <w:t>. Daarbij kan gekozen worden uit drie mogelijke bronnen:</w:t>
      </w:r>
    </w:p>
    <w:p w:rsidR="00BE1E7E" w:rsidRDefault="00BE1E7E" w:rsidP="008B794C"/>
    <w:p w:rsidR="00BE1E7E" w:rsidRDefault="00BE1E7E" w:rsidP="00BE1E7E">
      <w:pPr>
        <w:pStyle w:val="Lijstalinea"/>
        <w:numPr>
          <w:ilvl w:val="0"/>
          <w:numId w:val="4"/>
        </w:numPr>
      </w:pPr>
      <w:r>
        <w:t xml:space="preserve">Een persoonlijk onderzoek (met vermelding van </w:t>
      </w:r>
      <w:r w:rsidR="00F322AD">
        <w:t xml:space="preserve">de </w:t>
      </w:r>
      <w:r>
        <w:t>datum van het onderzoek);</w:t>
      </w:r>
    </w:p>
    <w:p w:rsidR="00BE1E7E" w:rsidRDefault="00BE1E7E" w:rsidP="00BE1E7E">
      <w:pPr>
        <w:pStyle w:val="Lijstalinea"/>
        <w:numPr>
          <w:ilvl w:val="0"/>
          <w:numId w:val="4"/>
        </w:numPr>
      </w:pPr>
      <w:r>
        <w:t>Een consultatie van het patiëntendossier met toestemming van de te beschermen persoon of dienst vertegenwoordiger (met vermelding van de datum van de consultatie);</w:t>
      </w:r>
    </w:p>
    <w:p w:rsidR="00F322AD" w:rsidRDefault="00362439" w:rsidP="00F322AD">
      <w:pPr>
        <w:pStyle w:val="Lijstalinea"/>
        <w:numPr>
          <w:ilvl w:val="0"/>
          <w:numId w:val="4"/>
        </w:numPr>
      </w:pPr>
      <w:r>
        <w:t xml:space="preserve">Een consultatie van het patiëntendossier zonder toestemming van de te beschermen persoon of diens vertegenwoordiger (met vermelding van de datum van de consultatie). In dat laatste geval is consultatie van het patiëntendossier enkel geoorloofd indien er een andere hoedanigheid is op grond waarvan men toegang mag krijgen (of nemen) tot het </w:t>
      </w:r>
      <w:r>
        <w:lastRenderedPageBreak/>
        <w:t>patiëntendossier. Hiervoor moet een th</w:t>
      </w:r>
      <w:r w:rsidR="00535442">
        <w:t xml:space="preserve">erapeutische relatie bestaan </w:t>
      </w:r>
      <w:r w:rsidR="001B59A5">
        <w:t xml:space="preserve">of een </w:t>
      </w:r>
      <w:r w:rsidR="009A460E">
        <w:t>bijzondere wettelijke grondslag, voorbehouden aan artsen met een extra-curatieve controletaak</w:t>
      </w:r>
      <w:r w:rsidR="00535442">
        <w:t xml:space="preserve"> </w:t>
      </w:r>
      <w:r w:rsidR="00535442">
        <w:rPr>
          <w:rStyle w:val="Voetnootmarkering"/>
        </w:rPr>
        <w:footnoteReference w:id="30"/>
      </w:r>
      <w:r w:rsidR="009A460E">
        <w:t>.</w:t>
      </w:r>
    </w:p>
    <w:p w:rsidR="00F322AD" w:rsidRDefault="00F322AD" w:rsidP="00F322AD">
      <w:pPr>
        <w:pStyle w:val="Lijstalinea"/>
      </w:pPr>
    </w:p>
    <w:p w:rsidR="00F322AD" w:rsidRDefault="00A323EF" w:rsidP="00F322AD">
      <w:pPr>
        <w:pStyle w:val="Lijstalinea"/>
      </w:pPr>
      <w:r>
        <w:t xml:space="preserve">Het is dus duidelijk dat de verklaring recent moet opgesteld en ondertekend zijn, maar dat het niet nodig is dat de persoon tijdens de periode van vijftien dagen voorafgaand aan het verzoek ook gezien werd door de arts die </w:t>
      </w:r>
      <w:r w:rsidR="00077268">
        <w:t>de verklaring ondertekende</w:t>
      </w:r>
      <w:r>
        <w:t>.</w:t>
      </w:r>
    </w:p>
    <w:p w:rsidR="00A323EF" w:rsidRDefault="00A323EF" w:rsidP="00F322AD">
      <w:pPr>
        <w:pStyle w:val="Lijstalinea"/>
      </w:pPr>
      <w:r>
        <w:t xml:space="preserve">Over de tijd tussen het laatste onderzoek en het opstellen van de verklaring is niets bepaald. Wel voorziet het model dat de arts behoort te attesteren dat hij de verklaring opstelt “op basis van </w:t>
      </w:r>
      <w:r w:rsidRPr="00A323EF">
        <w:rPr>
          <w:i/>
          <w:u w:val="single"/>
        </w:rPr>
        <w:t>actuele</w:t>
      </w:r>
      <w:r w:rsidRPr="00A323EF">
        <w:rPr>
          <w:i/>
        </w:rPr>
        <w:t xml:space="preserve"> </w:t>
      </w:r>
      <w:r>
        <w:t>gegevens uit het patiëntendossier”.</w:t>
      </w:r>
    </w:p>
    <w:p w:rsidR="008B794C" w:rsidRDefault="008B794C" w:rsidP="008B794C"/>
    <w:p w:rsidR="00B91610" w:rsidRPr="00FA52F7" w:rsidRDefault="00B91610" w:rsidP="00B91610">
      <w:pPr>
        <w:pStyle w:val="Lijstalinea"/>
        <w:numPr>
          <w:ilvl w:val="0"/>
          <w:numId w:val="3"/>
        </w:numPr>
        <w:rPr>
          <w:b/>
        </w:rPr>
      </w:pPr>
      <w:r w:rsidRPr="00FA52F7">
        <w:rPr>
          <w:b/>
        </w:rPr>
        <w:t>Wat bij een ontbrekende geneeskundige verklaring?</w:t>
      </w:r>
    </w:p>
    <w:p w:rsidR="00B91610" w:rsidRDefault="00B91610" w:rsidP="00B91610"/>
    <w:p w:rsidR="00F322AD" w:rsidRDefault="0020538A" w:rsidP="00137D32">
      <w:pPr>
        <w:pStyle w:val="Lijstalinea"/>
        <w:numPr>
          <w:ilvl w:val="0"/>
          <w:numId w:val="15"/>
        </w:numPr>
      </w:pPr>
      <w:r>
        <w:t>Het is ook mogelijk dat er</w:t>
      </w:r>
      <w:r w:rsidR="00137D32">
        <w:t xml:space="preserve"> helemaal </w:t>
      </w:r>
      <w:r>
        <w:t xml:space="preserve">geen geneeskundige verklaring bij het verzoekschrift gevoegd is. Ofwel omdat </w:t>
      </w:r>
      <w:r w:rsidR="00965C83">
        <w:t xml:space="preserve">dit </w:t>
      </w:r>
      <w:r>
        <w:t xml:space="preserve">eenvoudig vergeten of over het hoofd gezien werd. Ofwel omdat de verzoeker of de verzoekers er niet in geslaagd zijn </w:t>
      </w:r>
      <w:r w:rsidR="00965C83">
        <w:t xml:space="preserve">om </w:t>
      </w:r>
      <w:r>
        <w:t>een arts te vinden of te overtuigen die in staat is of bereid is om de noodzakelijke verklaring op te stellen.</w:t>
      </w:r>
    </w:p>
    <w:p w:rsidR="00F322AD" w:rsidRDefault="00F322AD" w:rsidP="00F322AD">
      <w:pPr>
        <w:pStyle w:val="Lijstalinea"/>
      </w:pPr>
    </w:p>
    <w:p w:rsidR="00F322AD" w:rsidRDefault="0020538A" w:rsidP="00F322AD">
      <w:pPr>
        <w:pStyle w:val="Lijstalinea"/>
      </w:pPr>
      <w:r>
        <w:t>Voor het ontbreken van de geneeskundige verklaring voorziet de wet een dui</w:t>
      </w:r>
      <w:r w:rsidR="00965C83">
        <w:t xml:space="preserve">delijke, maar radicale sanctie: de niet-ontvankelijkheid van het verzoek </w:t>
      </w:r>
      <w:r w:rsidR="00965C83">
        <w:rPr>
          <w:rStyle w:val="Voetnootmarkering"/>
        </w:rPr>
        <w:footnoteReference w:id="31"/>
      </w:r>
      <w:r w:rsidR="00965C83">
        <w:t>.</w:t>
      </w:r>
    </w:p>
    <w:p w:rsidR="00F322AD" w:rsidRDefault="00F322AD" w:rsidP="00F322AD">
      <w:pPr>
        <w:pStyle w:val="Lijstalinea"/>
      </w:pPr>
    </w:p>
    <w:p w:rsidR="00965C83" w:rsidRDefault="00926533" w:rsidP="00F322AD">
      <w:pPr>
        <w:pStyle w:val="Lijstalinea"/>
      </w:pPr>
      <w:r>
        <w:t>Dit belet niet dat het</w:t>
      </w:r>
      <w:r w:rsidR="00965C83">
        <w:t>zelfde verzoek opnieuw kan ingediend worden, vergezeld van de noodzakelijke geneeskundige verklaring.</w:t>
      </w:r>
    </w:p>
    <w:p w:rsidR="00965C83" w:rsidRDefault="00965C83" w:rsidP="00137D32"/>
    <w:p w:rsidR="00965C83" w:rsidRDefault="00965C83" w:rsidP="00F322AD">
      <w:pPr>
        <w:pStyle w:val="Lijstalinea"/>
        <w:numPr>
          <w:ilvl w:val="0"/>
          <w:numId w:val="15"/>
        </w:numPr>
      </w:pPr>
      <w:r>
        <w:t>Het is evenwel mogelijk dat de verzoeker gewoon niet in staat is om aan deze vereiste te voldoen. Bij voorbeeld omdat de te beschermen persoon in lange tijd geen contact heeft gehad met een arts en niet kan overtuigd worden om zich te laten onderzoeken</w:t>
      </w:r>
      <w:r w:rsidR="00F379C1">
        <w:t xml:space="preserve"> of dit </w:t>
      </w:r>
      <w:r w:rsidR="00535442">
        <w:t xml:space="preserve">zelfs </w:t>
      </w:r>
      <w:r w:rsidR="00F379C1">
        <w:t>radicaal weigert</w:t>
      </w:r>
      <w:r>
        <w:t>. Of omdat er geen arts kan gevonden worden die bereid is de noodzakelijke geneeskundige verklaring a</w:t>
      </w:r>
      <w:r w:rsidR="00F379C1">
        <w:t xml:space="preserve">f te leveren. Voor dergelijke gevallen voorziet de wet de mogelijkheid dat de vrederechter een deskundige aanstelt. Daartoe moet de </w:t>
      </w:r>
      <w:r w:rsidR="00D22D2E">
        <w:t xml:space="preserve">verzoeker </w:t>
      </w:r>
      <w:r w:rsidR="00F379C1">
        <w:t xml:space="preserve">in het verzoekschrift uitdrukkelijk de redenen opgeven waarom hij “in de absolute onmogelijkheid </w:t>
      </w:r>
      <w:r w:rsidR="00114CEF">
        <w:t>verkeert” om een geneeskundige verklaring toe te voegen.</w:t>
      </w:r>
      <w:r w:rsidR="00D22D2E">
        <w:t xml:space="preserve"> We bespreken hierna hoe scherp deze vereiste moet geïnterpreteerd worden en wat dan precies de taak is van de deskundige </w:t>
      </w:r>
      <w:r w:rsidR="00D22D2E">
        <w:rPr>
          <w:rStyle w:val="Voetnootmarkering"/>
        </w:rPr>
        <w:footnoteReference w:id="32"/>
      </w:r>
      <w:r w:rsidR="00D22D2E">
        <w:t>.</w:t>
      </w:r>
    </w:p>
    <w:p w:rsidR="00B91610" w:rsidRDefault="00B91610" w:rsidP="005E2611">
      <w:pPr>
        <w:pStyle w:val="Lijstalinea"/>
      </w:pPr>
    </w:p>
    <w:p w:rsidR="002C5B79" w:rsidRPr="00FA52F7" w:rsidRDefault="00B91610" w:rsidP="005E2611">
      <w:pPr>
        <w:pStyle w:val="Lijstalinea"/>
        <w:numPr>
          <w:ilvl w:val="0"/>
          <w:numId w:val="3"/>
        </w:numPr>
        <w:rPr>
          <w:b/>
        </w:rPr>
      </w:pPr>
      <w:r w:rsidRPr="00FA52F7">
        <w:rPr>
          <w:b/>
        </w:rPr>
        <w:t>Wat bij een geneeskundige verklaring die niet v</w:t>
      </w:r>
      <w:r w:rsidR="005E2611" w:rsidRPr="00FA52F7">
        <w:rPr>
          <w:b/>
        </w:rPr>
        <w:t>olgens het model</w:t>
      </w:r>
      <w:r w:rsidRPr="00FA52F7">
        <w:rPr>
          <w:b/>
        </w:rPr>
        <w:t xml:space="preserve"> opgesteld is</w:t>
      </w:r>
      <w:r w:rsidR="005E2611" w:rsidRPr="00FA52F7">
        <w:rPr>
          <w:b/>
        </w:rPr>
        <w:t>?</w:t>
      </w:r>
    </w:p>
    <w:p w:rsidR="005E2611" w:rsidRDefault="005E2611" w:rsidP="005E2611">
      <w:pPr>
        <w:pStyle w:val="Lijstalinea"/>
      </w:pPr>
    </w:p>
    <w:p w:rsidR="00F322AD" w:rsidRDefault="005E2611" w:rsidP="005E2611">
      <w:pPr>
        <w:pStyle w:val="Lijstalinea"/>
        <w:numPr>
          <w:ilvl w:val="0"/>
          <w:numId w:val="15"/>
        </w:numPr>
      </w:pPr>
      <w:r>
        <w:t xml:space="preserve">Het kan gebeuren dat bij het verzoekschrift een geneeskundig getuigschrift gevoegd wordt dat niet opgemaakt is overeenkomstig het model voorzien bij K.B. van </w:t>
      </w:r>
      <w:r w:rsidR="00DA56F3">
        <w:t>31 augustus 2014.</w:t>
      </w:r>
    </w:p>
    <w:p w:rsidR="00F322AD" w:rsidRDefault="00F322AD" w:rsidP="00F322AD">
      <w:pPr>
        <w:pStyle w:val="Lijstalinea"/>
      </w:pPr>
    </w:p>
    <w:p w:rsidR="00F322AD" w:rsidRDefault="00696FB4" w:rsidP="00F322AD">
      <w:pPr>
        <w:pStyle w:val="Lijstalinea"/>
      </w:pPr>
      <w:r>
        <w:t xml:space="preserve">Volgens SCHEERS “kan het geen probleem zijn wanneer een geneeskundige verklaring wordt opgesteld die niet is opgesteld in overeenstemming met het bij het koninklijk besluit </w:t>
      </w:r>
      <w:r>
        <w:lastRenderedPageBreak/>
        <w:t xml:space="preserve">voorgeschreven formulier. Wel is het noodzakelijk dat de door artikel 1241 Ger. W. opgesomde vermeldingen aanwezig zijn” </w:t>
      </w:r>
      <w:r>
        <w:rPr>
          <w:rStyle w:val="Voetnootmarkering"/>
        </w:rPr>
        <w:footnoteReference w:id="33"/>
      </w:r>
      <w:r w:rsidR="001B59A5">
        <w:t>.</w:t>
      </w:r>
    </w:p>
    <w:p w:rsidR="00F322AD" w:rsidRDefault="00F322AD" w:rsidP="00F322AD">
      <w:pPr>
        <w:pStyle w:val="Lijstalinea"/>
      </w:pPr>
    </w:p>
    <w:p w:rsidR="00F322AD" w:rsidRDefault="001B59A5" w:rsidP="00F322AD">
      <w:pPr>
        <w:pStyle w:val="Lijstalinea"/>
      </w:pPr>
      <w:r>
        <w:t>De wet voorziet de mogelijkheid om een model op te stellen, maar verbindt geen sanctie aan het feit dat dit model niet gebruikt wordt. Het i</w:t>
      </w:r>
      <w:r w:rsidR="00F379C1">
        <w:t>s immers mogelijk dat een arts een eigen verklaring opstelt waarbij de verschillende elementen die opgenomen moeten zijn in het standaardformulier wel vermeld worden, maar in een andere volgorde of volgens een ander sjabloon.</w:t>
      </w:r>
    </w:p>
    <w:p w:rsidR="00F322AD" w:rsidRDefault="00F322AD" w:rsidP="00F322AD">
      <w:pPr>
        <w:pStyle w:val="Lijstalinea"/>
      </w:pPr>
    </w:p>
    <w:p w:rsidR="005140FF" w:rsidRDefault="005140FF" w:rsidP="00F322AD">
      <w:pPr>
        <w:pStyle w:val="Lijstalinea"/>
      </w:pPr>
      <w:r>
        <w:t xml:space="preserve">We bespreken hierna hoe kan gehandeld worden indien de verklaring onvolledig of onduidelijk is </w:t>
      </w:r>
      <w:r>
        <w:rPr>
          <w:rStyle w:val="Voetnootmarkering"/>
        </w:rPr>
        <w:footnoteReference w:id="34"/>
      </w:r>
      <w:r w:rsidR="00F322AD">
        <w:t>.</w:t>
      </w:r>
    </w:p>
    <w:p w:rsidR="00DA56F3" w:rsidRDefault="00DA56F3" w:rsidP="005E2611"/>
    <w:p w:rsidR="00754BA1" w:rsidRPr="00FA52F7" w:rsidRDefault="00912409" w:rsidP="00912409">
      <w:pPr>
        <w:pStyle w:val="Lijstalinea"/>
        <w:numPr>
          <w:ilvl w:val="0"/>
          <w:numId w:val="3"/>
        </w:numPr>
        <w:rPr>
          <w:b/>
        </w:rPr>
      </w:pPr>
      <w:r w:rsidRPr="00FA52F7">
        <w:rPr>
          <w:b/>
        </w:rPr>
        <w:t xml:space="preserve">De beschrijving van de functioneringsmogelijkheden volgens de ‘International </w:t>
      </w:r>
      <w:proofErr w:type="spellStart"/>
      <w:r w:rsidRPr="00FA52F7">
        <w:rPr>
          <w:b/>
        </w:rPr>
        <w:t>Classification</w:t>
      </w:r>
      <w:proofErr w:type="spellEnd"/>
      <w:r w:rsidRPr="00FA52F7">
        <w:rPr>
          <w:b/>
        </w:rPr>
        <w:t xml:space="preserve"> of </w:t>
      </w:r>
      <w:proofErr w:type="spellStart"/>
      <w:r w:rsidRPr="00FA52F7">
        <w:rPr>
          <w:b/>
        </w:rPr>
        <w:t>Functioning</w:t>
      </w:r>
      <w:proofErr w:type="spellEnd"/>
      <w:r w:rsidRPr="00FA52F7">
        <w:rPr>
          <w:b/>
        </w:rPr>
        <w:t xml:space="preserve">, </w:t>
      </w:r>
      <w:proofErr w:type="spellStart"/>
      <w:r w:rsidR="00F42F11" w:rsidRPr="00FA52F7">
        <w:rPr>
          <w:b/>
        </w:rPr>
        <w:t>Disability</w:t>
      </w:r>
      <w:proofErr w:type="spellEnd"/>
      <w:r w:rsidR="00F42F11" w:rsidRPr="00FA52F7">
        <w:rPr>
          <w:b/>
        </w:rPr>
        <w:t xml:space="preserve"> </w:t>
      </w:r>
      <w:proofErr w:type="spellStart"/>
      <w:r w:rsidR="00F42F11" w:rsidRPr="00FA52F7">
        <w:rPr>
          <w:b/>
        </w:rPr>
        <w:t>and</w:t>
      </w:r>
      <w:proofErr w:type="spellEnd"/>
      <w:r w:rsidR="00F42F11" w:rsidRPr="00FA52F7">
        <w:rPr>
          <w:b/>
        </w:rPr>
        <w:t xml:space="preserve"> Health’</w:t>
      </w:r>
    </w:p>
    <w:p w:rsidR="000622FB" w:rsidRDefault="000622FB" w:rsidP="00754BA1"/>
    <w:p w:rsidR="00F322AD" w:rsidRDefault="005140FF" w:rsidP="00754BA1">
      <w:pPr>
        <w:pStyle w:val="Lijstalinea"/>
        <w:numPr>
          <w:ilvl w:val="0"/>
          <w:numId w:val="15"/>
        </w:numPr>
      </w:pPr>
      <w:r>
        <w:t xml:space="preserve">Een van de zes elementen die in het standaardformulier moeten opgenomen worden en die daadwerkelijk terug te vinden zijn in het model, zijn “de gevolgen van de vastgestelde gezondheidstoestand op het functioneren volgens de ‘International </w:t>
      </w:r>
      <w:proofErr w:type="spellStart"/>
      <w:r>
        <w:t>Classification</w:t>
      </w:r>
      <w:proofErr w:type="spellEnd"/>
      <w:r>
        <w:t xml:space="preserve"> of </w:t>
      </w:r>
      <w:proofErr w:type="spellStart"/>
      <w:r>
        <w:t>Functioning</w:t>
      </w:r>
      <w:proofErr w:type="spellEnd"/>
      <w:r>
        <w:t xml:space="preserve">, </w:t>
      </w:r>
      <w:proofErr w:type="spellStart"/>
      <w:r>
        <w:t>Disability</w:t>
      </w:r>
      <w:proofErr w:type="spellEnd"/>
      <w:r>
        <w:t xml:space="preserve"> </w:t>
      </w:r>
      <w:proofErr w:type="spellStart"/>
      <w:r>
        <w:t>and</w:t>
      </w:r>
      <w:proofErr w:type="spellEnd"/>
      <w:r>
        <w:t xml:space="preserve"> Health’</w:t>
      </w:r>
      <w:r w:rsidR="009728AA">
        <w:t xml:space="preserve"> (doorgaans afgekort als ICF</w:t>
      </w:r>
      <w:r w:rsidR="00402C9A">
        <w:t>)</w:t>
      </w:r>
      <w:r>
        <w:t xml:space="preserve"> die op 22 mei 2001 door de vierenvijftigste Wereldgezondheidsvergadering (WHA) werd aangenomen” </w:t>
      </w:r>
      <w:r>
        <w:rPr>
          <w:rStyle w:val="Voetnootmarkering"/>
        </w:rPr>
        <w:footnoteReference w:id="35"/>
      </w:r>
      <w:r w:rsidR="00402C9A">
        <w:t>.</w:t>
      </w:r>
    </w:p>
    <w:p w:rsidR="00F322AD" w:rsidRDefault="00F322AD" w:rsidP="00F322AD">
      <w:pPr>
        <w:pStyle w:val="Lijstalinea"/>
      </w:pPr>
    </w:p>
    <w:p w:rsidR="00402C9A" w:rsidRDefault="00402C9A" w:rsidP="00F322AD">
      <w:pPr>
        <w:pStyle w:val="Lijstalinea"/>
      </w:pPr>
      <w:r>
        <w:t xml:space="preserve">Het gebruik van </w:t>
      </w:r>
      <w:r w:rsidR="009728AA">
        <w:t>deze classificatie zou moeten helpen om de beoordeling te professionaliseren en preciezer te maken.</w:t>
      </w:r>
    </w:p>
    <w:p w:rsidR="009728AA" w:rsidRDefault="009728AA" w:rsidP="00754BA1"/>
    <w:p w:rsidR="00F322AD" w:rsidRDefault="009728AA" w:rsidP="00754BA1">
      <w:pPr>
        <w:pStyle w:val="Lijstalinea"/>
        <w:numPr>
          <w:ilvl w:val="0"/>
          <w:numId w:val="15"/>
        </w:numPr>
      </w:pPr>
      <w:r>
        <w:t>Het gaat evenwel om een vrij complex en uitgebreid document, dat bij vele artsen en zeker bij huisartsen minder gekend was</w:t>
      </w:r>
      <w:r w:rsidR="008A177C">
        <w:t>. D</w:t>
      </w:r>
      <w:r w:rsidR="00F37D02">
        <w:t>e “</w:t>
      </w:r>
      <w:r w:rsidR="00F37D02" w:rsidRPr="00077268">
        <w:rPr>
          <w:i/>
        </w:rPr>
        <w:t>practical m</w:t>
      </w:r>
      <w:r w:rsidRPr="00077268">
        <w:rPr>
          <w:i/>
        </w:rPr>
        <w:t>anual</w:t>
      </w:r>
      <w:r w:rsidR="00F37D02">
        <w:t>” bij deze classificatie</w:t>
      </w:r>
      <w:r>
        <w:t xml:space="preserve"> omvat 122 bladzijden </w:t>
      </w:r>
      <w:r>
        <w:rPr>
          <w:rStyle w:val="Voetnootmarkering"/>
        </w:rPr>
        <w:footnoteReference w:id="36"/>
      </w:r>
      <w:r w:rsidR="008A177C">
        <w:t>. De classificatie wer</w:t>
      </w:r>
      <w:r w:rsidR="00F37D02">
        <w:t>kt m</w:t>
      </w:r>
      <w:r w:rsidR="00402E01">
        <w:t>et een uitgebreide checkl</w:t>
      </w:r>
      <w:r w:rsidR="00F322AD">
        <w:t>ist, waarbij vele vragen eerder</w:t>
      </w:r>
      <w:r w:rsidR="00402E01">
        <w:t xml:space="preserve"> betrekking hebben op de fysieke capaciteiten en zeer nuttig kunnen zijn voor de evaluatie van de </w:t>
      </w:r>
      <w:proofErr w:type="spellStart"/>
      <w:r w:rsidR="00402E01">
        <w:t>arbeids</w:t>
      </w:r>
      <w:proofErr w:type="spellEnd"/>
      <w:r w:rsidR="00F322AD">
        <w:t>(-on)</w:t>
      </w:r>
      <w:r w:rsidR="00402E01">
        <w:t>geschiktheid, de re-integratiemogelijkheden en de nodige hulp</w:t>
      </w:r>
      <w:r w:rsidR="00457242">
        <w:t xml:space="preserve"> in het dagelijks leven</w:t>
      </w:r>
      <w:r w:rsidR="00402E01">
        <w:t xml:space="preserve">, maar niet of veel minder relevant zijn voor de </w:t>
      </w:r>
      <w:r w:rsidR="00457242">
        <w:t xml:space="preserve">juridische </w:t>
      </w:r>
      <w:r w:rsidR="00402E01">
        <w:t>vragen die moeten beslecht worden door de vrederechter.</w:t>
      </w:r>
    </w:p>
    <w:p w:rsidR="00F322AD" w:rsidRDefault="00F322AD" w:rsidP="00F322AD">
      <w:pPr>
        <w:pStyle w:val="Lijstalinea"/>
      </w:pPr>
    </w:p>
    <w:p w:rsidR="002B3065" w:rsidRDefault="00457242" w:rsidP="00F322AD">
      <w:pPr>
        <w:pStyle w:val="Lijstalinea"/>
      </w:pPr>
      <w:r>
        <w:t>Snel rezen kritische b</w:t>
      </w:r>
      <w:r w:rsidR="00DE2D6D">
        <w:t xml:space="preserve">edenkingen bij dit instrument </w:t>
      </w:r>
      <w:r w:rsidR="0058142C">
        <w:rPr>
          <w:rStyle w:val="Voetnootmarkering"/>
        </w:rPr>
        <w:footnoteReference w:id="37"/>
      </w:r>
      <w:r>
        <w:t xml:space="preserve">. Zowel over </w:t>
      </w:r>
      <w:r w:rsidR="00DE2D6D">
        <w:t xml:space="preserve">de </w:t>
      </w:r>
      <w:r>
        <w:t>bruikbaarheid, de opportuniteit van de legislatieve keuze als over de gevolgen van het niet beschrijven van de functioneringsmogelijkhed</w:t>
      </w:r>
      <w:r w:rsidR="0058142C">
        <w:t xml:space="preserve">en volgens deze classificatie. </w:t>
      </w:r>
      <w:r w:rsidR="002B3065">
        <w:t xml:space="preserve">Een vrederechter ging zo ver om het </w:t>
      </w:r>
      <w:r w:rsidR="002B3065">
        <w:lastRenderedPageBreak/>
        <w:t>verzoek onontvankelijk te verklaren</w:t>
      </w:r>
      <w:r w:rsidR="0058142C">
        <w:t xml:space="preserve"> omdat de gevolgen volgens de ICF-</w:t>
      </w:r>
      <w:r w:rsidR="002B3065">
        <w:t xml:space="preserve">classificatie niet beschreven waren </w:t>
      </w:r>
      <w:r w:rsidR="002B3065">
        <w:rPr>
          <w:rStyle w:val="Voetnootmarkering"/>
        </w:rPr>
        <w:footnoteReference w:id="38"/>
      </w:r>
      <w:r w:rsidR="00DE2D6D">
        <w:t>.</w:t>
      </w:r>
    </w:p>
    <w:p w:rsidR="008D4CB5" w:rsidRDefault="008D4CB5" w:rsidP="00754BA1"/>
    <w:p w:rsidR="000622FB" w:rsidRDefault="008D4CB5" w:rsidP="00FC5011">
      <w:pPr>
        <w:pStyle w:val="Lijstalinea"/>
        <w:numPr>
          <w:ilvl w:val="0"/>
          <w:numId w:val="15"/>
        </w:numPr>
      </w:pPr>
      <w:r>
        <w:t xml:space="preserve">Om meer vorming toe te laten en de artsen beter vertrouwd te maken met dit instrument, werd de </w:t>
      </w:r>
      <w:r w:rsidR="000622FB">
        <w:t>noodzaak van de</w:t>
      </w:r>
      <w:r>
        <w:t xml:space="preserve"> verwijzing naar de ICF</w:t>
      </w:r>
      <w:r w:rsidR="007C0391">
        <w:t>-</w:t>
      </w:r>
      <w:r>
        <w:t xml:space="preserve">classificatie tijdelijk opgeschort. Of meer precies: in een bijkomende overgangsmaatregel werd bepaald dat de vermelding van deze gegevens tot 1 september 2017 niet voorgeschreven is op straffe van niet-ontvankelijkheid van het verzoekschrift </w:t>
      </w:r>
      <w:r>
        <w:rPr>
          <w:rStyle w:val="Voetnootmarkering"/>
        </w:rPr>
        <w:footnoteReference w:id="39"/>
      </w:r>
      <w:r>
        <w:t>.</w:t>
      </w:r>
      <w:r w:rsidR="007C0391">
        <w:t xml:space="preserve"> </w:t>
      </w:r>
    </w:p>
    <w:p w:rsidR="003057D1" w:rsidRDefault="003057D1" w:rsidP="00754BA1"/>
    <w:p w:rsidR="001742C5" w:rsidRDefault="003057D1" w:rsidP="00FC5011">
      <w:pPr>
        <w:pStyle w:val="Lijstalinea"/>
        <w:numPr>
          <w:ilvl w:val="0"/>
          <w:numId w:val="15"/>
        </w:numPr>
      </w:pPr>
      <w:r>
        <w:t xml:space="preserve">De tekst van </w:t>
      </w:r>
      <w:r w:rsidR="00077268">
        <w:t xml:space="preserve">deze </w:t>
      </w:r>
      <w:r>
        <w:t>overgangsmaatregel doet veronderstellen dat de vermelding van de functioneringsmogelijkheden vanaf 1 september 2017 dan wel zal voorgeschreven zijn op straffe van niet-ontvankelijkheid, en dat dit ook geldt</w:t>
      </w:r>
      <w:r w:rsidR="007C0391">
        <w:t xml:space="preserve"> (en </w:t>
      </w:r>
      <w:r w:rsidR="00FC5011">
        <w:t xml:space="preserve">voordien </w:t>
      </w:r>
      <w:r w:rsidR="007C0391">
        <w:t>reeds gold)</w:t>
      </w:r>
      <w:r>
        <w:t xml:space="preserve"> voor de andere </w:t>
      </w:r>
      <w:r w:rsidR="001742C5">
        <w:t xml:space="preserve">afzonderlijke </w:t>
      </w:r>
      <w:r>
        <w:t xml:space="preserve">elementen van de geneeskundige verklaring. Zoals hierna nader wordt toegelicht, zijn er toch goede redenen om </w:t>
      </w:r>
      <w:r w:rsidR="001742C5">
        <w:t xml:space="preserve">het verzoek toch te behandelen op basis van </w:t>
      </w:r>
      <w:r>
        <w:t>een geneeskundige verklaring die onvolledig is, maar</w:t>
      </w:r>
      <w:r w:rsidR="001742C5">
        <w:t xml:space="preserve"> in combinatie met de eigen bevindingen en onderzoeksmogelijkheden van de vrederechter </w:t>
      </w:r>
      <w:r w:rsidR="00FC5011">
        <w:t xml:space="preserve">toch </w:t>
      </w:r>
      <w:r w:rsidR="001742C5">
        <w:t xml:space="preserve">toelaat om de vordering te beoordelen </w:t>
      </w:r>
      <w:r w:rsidR="001742C5">
        <w:rPr>
          <w:rStyle w:val="Voetnootmarkering"/>
        </w:rPr>
        <w:footnoteReference w:id="40"/>
      </w:r>
      <w:r w:rsidR="001742C5">
        <w:t>.</w:t>
      </w:r>
    </w:p>
    <w:p w:rsidR="001742C5" w:rsidRDefault="001742C5" w:rsidP="00754BA1"/>
    <w:p w:rsidR="00FC5011" w:rsidRDefault="001742C5" w:rsidP="00754BA1">
      <w:pPr>
        <w:pStyle w:val="Lijstalinea"/>
        <w:numPr>
          <w:ilvl w:val="0"/>
          <w:numId w:val="15"/>
        </w:numPr>
      </w:pPr>
      <w:r>
        <w:t>Het is bovendien absoluut niet zeker of de overgangsperiode van twee jaar wel zal helpen om de ICF-classificatie beter en vlotter te gebruiken</w:t>
      </w:r>
      <w:r w:rsidR="00FC5011">
        <w:t>.</w:t>
      </w:r>
    </w:p>
    <w:p w:rsidR="00FC5011" w:rsidRDefault="00FC5011" w:rsidP="00FC5011">
      <w:pPr>
        <w:pStyle w:val="Lijstalinea"/>
      </w:pPr>
    </w:p>
    <w:p w:rsidR="00FC5011" w:rsidRDefault="000622FB" w:rsidP="00FC5011">
      <w:pPr>
        <w:pStyle w:val="Lijstalinea"/>
      </w:pPr>
      <w:r>
        <w:t>Dit uitstel kwam er om aan artsen en vrederechter toe te laten om dit instrument beter te leren kennen.</w:t>
      </w:r>
      <w:r w:rsidR="00FC5011">
        <w:t xml:space="preserve"> </w:t>
      </w:r>
      <w:r>
        <w:t>De vraag rijst of dit tegen 1 september 2017 wel het geval zal zijn</w:t>
      </w:r>
      <w:r w:rsidR="00FC5011">
        <w:t>. M</w:t>
      </w:r>
      <w:r>
        <w:t xml:space="preserve">eer fundamenteel </w:t>
      </w:r>
      <w:r w:rsidR="00FC5011">
        <w:t xml:space="preserve">moet de vraag gesteld worden </w:t>
      </w:r>
      <w:r>
        <w:t>of deze WHO-classifi</w:t>
      </w:r>
      <w:r w:rsidR="003D2519">
        <w:t xml:space="preserve">catie wel het goede instrument is voor de </w:t>
      </w:r>
      <w:r w:rsidR="007C0391">
        <w:t xml:space="preserve">noodzakelijke </w:t>
      </w:r>
      <w:proofErr w:type="spellStart"/>
      <w:r w:rsidR="003D2519">
        <w:t>personalisering</w:t>
      </w:r>
      <w:proofErr w:type="spellEnd"/>
      <w:r w:rsidR="003D2519">
        <w:t xml:space="preserve"> en het juridische “maatwerk”. </w:t>
      </w:r>
    </w:p>
    <w:p w:rsidR="00FC5011" w:rsidRDefault="00FC5011" w:rsidP="00FC5011">
      <w:pPr>
        <w:pStyle w:val="Lijstalinea"/>
      </w:pPr>
    </w:p>
    <w:p w:rsidR="003D2519" w:rsidRDefault="003D2519" w:rsidP="00FC5011">
      <w:pPr>
        <w:pStyle w:val="Lijstalinea"/>
      </w:pPr>
      <w:r>
        <w:t xml:space="preserve">Voor de beslissingen die de vrederechter moet nemen over de besluitvormingscapaciteit van de beschermde persoon, kan de ICF-classificatie weinig helpen. Niet omdat het geen goed of professioneel instrument zou zijn, maar omdat het met andere doeleinden opgesteld is. De kans bestaat </w:t>
      </w:r>
      <w:r w:rsidR="00FC5011">
        <w:t xml:space="preserve">dus dat dit instrument niet kan </w:t>
      </w:r>
      <w:r>
        <w:t xml:space="preserve">leiden tot noodzakelijke optimale voorlichting van de vrederechter door de arts. Een bijsturing op grond van adviezen die best tot stand zouden komen </w:t>
      </w:r>
      <w:r w:rsidR="0091408E">
        <w:t xml:space="preserve">na </w:t>
      </w:r>
      <w:r>
        <w:t>een dialoog tussen artsen en magistraten, lijkt aangewezen.</w:t>
      </w:r>
    </w:p>
    <w:p w:rsidR="007C0391" w:rsidRDefault="007C0391" w:rsidP="00754BA1"/>
    <w:p w:rsidR="005E2611" w:rsidRPr="003D2519" w:rsidRDefault="005E2611" w:rsidP="005E2611">
      <w:pPr>
        <w:pStyle w:val="Lijstalinea"/>
        <w:numPr>
          <w:ilvl w:val="0"/>
          <w:numId w:val="3"/>
        </w:numPr>
        <w:rPr>
          <w:b/>
        </w:rPr>
      </w:pPr>
      <w:r w:rsidRPr="003D2519">
        <w:rPr>
          <w:b/>
        </w:rPr>
        <w:t>Wat bij een onduidelijk</w:t>
      </w:r>
      <w:r w:rsidR="00754BA1" w:rsidRPr="003D2519">
        <w:rPr>
          <w:b/>
        </w:rPr>
        <w:t>e</w:t>
      </w:r>
      <w:r w:rsidRPr="003D2519">
        <w:rPr>
          <w:b/>
        </w:rPr>
        <w:t xml:space="preserve"> of onvolledig</w:t>
      </w:r>
      <w:r w:rsidR="00754BA1" w:rsidRPr="003D2519">
        <w:rPr>
          <w:b/>
        </w:rPr>
        <w:t>e geneeskundige verklaring</w:t>
      </w:r>
      <w:r w:rsidRPr="003D2519">
        <w:rPr>
          <w:b/>
        </w:rPr>
        <w:t>?</w:t>
      </w:r>
    </w:p>
    <w:p w:rsidR="005E2611" w:rsidRDefault="005E2611" w:rsidP="002C474F"/>
    <w:p w:rsidR="00B10AEA" w:rsidRDefault="00D22D2E" w:rsidP="002C474F">
      <w:pPr>
        <w:pStyle w:val="Lijstalinea"/>
        <w:numPr>
          <w:ilvl w:val="0"/>
          <w:numId w:val="15"/>
        </w:numPr>
      </w:pPr>
      <w:r>
        <w:t>Het is mogelijk dat dat de arts de verklaring onvolledig invult of op sommige vragen</w:t>
      </w:r>
      <w:r w:rsidR="0051485B">
        <w:t xml:space="preserve"> onduidelijke </w:t>
      </w:r>
      <w:r>
        <w:t>antwoorden geeft.</w:t>
      </w:r>
    </w:p>
    <w:p w:rsidR="00B10AEA" w:rsidRDefault="00B10AEA" w:rsidP="00B10AEA">
      <w:pPr>
        <w:pStyle w:val="Lijstalinea"/>
      </w:pPr>
    </w:p>
    <w:p w:rsidR="00B10AEA" w:rsidRDefault="007C0391" w:rsidP="00B10AEA">
      <w:pPr>
        <w:pStyle w:val="Lijstalinea"/>
      </w:pPr>
      <w:r>
        <w:lastRenderedPageBreak/>
        <w:t>Bij een strikte interpretatie zou het niet vermelden van één van de elementen vermeld in art. 1241 Ger. W. moeten leiden tot de niet-ontvankelijkheid van het verzoekschrift.  Zo wordt het in elk geval door DANDOY afgeleid uit de bijkomende overgangsregeling vervat i</w:t>
      </w:r>
      <w:r w:rsidR="005B5BA4">
        <w:t xml:space="preserve">n de wet van 10 augustus 2015  </w:t>
      </w:r>
      <w:r w:rsidR="005F4647">
        <w:rPr>
          <w:rStyle w:val="Voetnootmarkering"/>
        </w:rPr>
        <w:footnoteReference w:id="41"/>
      </w:r>
      <w:r w:rsidR="001E3E75">
        <w:t>.</w:t>
      </w:r>
    </w:p>
    <w:p w:rsidR="00B10AEA" w:rsidRDefault="001E3E75" w:rsidP="00B10AEA">
      <w:pPr>
        <w:pStyle w:val="Lijstalinea"/>
      </w:pPr>
      <w:r>
        <w:t>De vraag rijst of een dergelijke strikte interpretatie wel nodig is. Het is duidelijk dat een geneeskundige verklaring moet gevoegd zijn bij het verzoekschrift en dat de vrederechter niet de mogelijkheid heeft om dit essentieel vormvoorschrift te negeren. Maar voor de inhoud lijkt er toch wel een beoor</w:t>
      </w:r>
      <w:r w:rsidR="0091408E">
        <w:t>delingsmarge mogelijk. De derde alinea van art. 1241 Ger. W.</w:t>
      </w:r>
      <w:r>
        <w:t xml:space="preserve"> beschrijft wat </w:t>
      </w:r>
      <w:r w:rsidR="0091408E">
        <w:t xml:space="preserve">“minstens” </w:t>
      </w:r>
      <w:r>
        <w:t xml:space="preserve">in </w:t>
      </w:r>
      <w:r w:rsidR="0091408E">
        <w:t>het model moet staan</w:t>
      </w:r>
      <w:r w:rsidR="005B5BA4">
        <w:t>.</w:t>
      </w:r>
    </w:p>
    <w:p w:rsidR="00B10AEA" w:rsidRDefault="00B10AEA" w:rsidP="00B10AEA">
      <w:pPr>
        <w:pStyle w:val="Lijstalinea"/>
      </w:pPr>
    </w:p>
    <w:p w:rsidR="00B10AEA" w:rsidRDefault="005B5BA4" w:rsidP="00B10AEA">
      <w:pPr>
        <w:pStyle w:val="Lijstalinea"/>
      </w:pPr>
      <w:r>
        <w:t>Moet hieruit afgeleid worden dat dit model steeds volledig moet ingevuld wo</w:t>
      </w:r>
      <w:r w:rsidR="00E76841">
        <w:t xml:space="preserve">rden en dat het niet of te synoptisch </w:t>
      </w:r>
      <w:r>
        <w:t>invullen van een rubriek noodzakelijk moet leiden tot het afwijzen van het verzoek als niet-ontvankelijk?</w:t>
      </w:r>
    </w:p>
    <w:p w:rsidR="00B10AEA" w:rsidRDefault="00B10AEA" w:rsidP="00B10AEA">
      <w:pPr>
        <w:pStyle w:val="Lijstalinea"/>
      </w:pPr>
    </w:p>
    <w:p w:rsidR="00E76841" w:rsidRDefault="00E76841" w:rsidP="00B10AEA">
      <w:pPr>
        <w:pStyle w:val="Lijstalinea"/>
      </w:pPr>
      <w:r>
        <w:t>Op grond van de overgangsregeling betreffende de ICF-classificatie lijkt een dergelijke strikte interpretatie gewenst door de wetgever</w:t>
      </w:r>
      <w:r w:rsidR="005F4647">
        <w:t xml:space="preserve"> </w:t>
      </w:r>
      <w:r w:rsidR="005F4647">
        <w:rPr>
          <w:rStyle w:val="Voetnootmarkering"/>
        </w:rPr>
        <w:footnoteReference w:id="42"/>
      </w:r>
      <w:r>
        <w:t>. Toch menen wij dat een pragmatische benadering verantwoord is indien de vrederechter in staat is om het verzoek degelijk te beoordelen en over de nodige informatie kan beschikken over alle elementen van het model. Die aanvullende informatie kan op twee wijzen bekomen worden:</w:t>
      </w:r>
    </w:p>
    <w:p w:rsidR="00B10AEA" w:rsidRDefault="00B10AEA" w:rsidP="00B10AEA">
      <w:pPr>
        <w:pStyle w:val="Lijstalinea"/>
      </w:pPr>
    </w:p>
    <w:p w:rsidR="00E76841" w:rsidRDefault="00E76841" w:rsidP="00E76841">
      <w:pPr>
        <w:pStyle w:val="Lijstalinea"/>
        <w:numPr>
          <w:ilvl w:val="0"/>
          <w:numId w:val="4"/>
        </w:numPr>
      </w:pPr>
      <w:r>
        <w:t>Door toelichtende vragen te stellen aan de arts die de verklaring opstelde;</w:t>
      </w:r>
    </w:p>
    <w:p w:rsidR="003325A9" w:rsidRDefault="00E76841" w:rsidP="003325A9">
      <w:pPr>
        <w:pStyle w:val="Lijstalinea"/>
        <w:numPr>
          <w:ilvl w:val="0"/>
          <w:numId w:val="4"/>
        </w:numPr>
      </w:pPr>
      <w:r>
        <w:t xml:space="preserve">Door de </w:t>
      </w:r>
      <w:r w:rsidR="003325A9">
        <w:t>geneeskundige verklaring aan te vullen met andere informatie.</w:t>
      </w:r>
    </w:p>
    <w:p w:rsidR="003325A9" w:rsidRDefault="003325A9" w:rsidP="003325A9">
      <w:pPr>
        <w:pStyle w:val="Lijstalinea"/>
      </w:pPr>
    </w:p>
    <w:p w:rsidR="0051485B" w:rsidRDefault="005B5BA4" w:rsidP="00B10AEA">
      <w:pPr>
        <w:pStyle w:val="Lijstalinea"/>
        <w:numPr>
          <w:ilvl w:val="0"/>
          <w:numId w:val="15"/>
        </w:numPr>
      </w:pPr>
      <w:r>
        <w:t>Het is zeker</w:t>
      </w:r>
      <w:r w:rsidR="0051485B">
        <w:t xml:space="preserve"> mogelijk om toelichtende vragen te stellen aan de arts die </w:t>
      </w:r>
      <w:r w:rsidR="00077268">
        <w:t xml:space="preserve">de </w:t>
      </w:r>
      <w:r w:rsidR="0051485B">
        <w:t xml:space="preserve">verklaring opstelde. </w:t>
      </w:r>
      <w:r w:rsidR="00B304F0">
        <w:t xml:space="preserve">De vrederechter mag immers “eenieder horen die hem </w:t>
      </w:r>
      <w:r w:rsidR="00B10AEA">
        <w:t xml:space="preserve">kan </w:t>
      </w:r>
      <w:r w:rsidR="00B304F0">
        <w:t xml:space="preserve">inlichten” </w:t>
      </w:r>
      <w:r w:rsidR="00B304F0">
        <w:rPr>
          <w:rStyle w:val="Voetnootmarkering"/>
        </w:rPr>
        <w:footnoteReference w:id="43"/>
      </w:r>
      <w:r w:rsidR="00B304F0">
        <w:t>. Het beroepsgeheim vormt geen belemmering om vragen te stellen. Het inlichten van de vrederechter in het kader van deze procedure vormt immers een door de wet voorziene uitzondering op het beroepsgeheim</w:t>
      </w:r>
      <w:r w:rsidR="003325A9">
        <w:t xml:space="preserve"> </w:t>
      </w:r>
      <w:r w:rsidR="003325A9">
        <w:rPr>
          <w:rStyle w:val="Voetnootmarkering"/>
        </w:rPr>
        <w:footnoteReference w:id="44"/>
      </w:r>
      <w:r w:rsidR="00B304F0">
        <w:t>. Bovendien besliste de attesterende arts voordien reeds om confidentiële gegevens vrij te geven bij het opstellen van de verklaring.</w:t>
      </w:r>
      <w:r w:rsidR="00FA52F7">
        <w:t xml:space="preserve"> Het toelichten of aanvullen van deze verklaring steunt dan op dezelfde wetteli</w:t>
      </w:r>
      <w:r w:rsidR="005F4647">
        <w:t xml:space="preserve">jke en deontologische basis. </w:t>
      </w:r>
      <w:r w:rsidR="00B304F0">
        <w:t xml:space="preserve">Dit sluit evenwel niet uit dat de attesterende arts </w:t>
      </w:r>
      <w:r w:rsidR="005F4647">
        <w:t>kan en mag weigeren</w:t>
      </w:r>
      <w:r w:rsidR="00B304F0">
        <w:t xml:space="preserve"> </w:t>
      </w:r>
      <w:r w:rsidR="005F4647">
        <w:t xml:space="preserve">om </w:t>
      </w:r>
      <w:r w:rsidR="00B304F0">
        <w:t xml:space="preserve">te antwoorden op de gestelde vragen omdat hij meent </w:t>
      </w:r>
      <w:r w:rsidR="00077268">
        <w:t xml:space="preserve">dat </w:t>
      </w:r>
      <w:r w:rsidR="00B304F0">
        <w:t>zij verder gaan dan nodig en dus de grenzen van de uitzondering op het beroepsgeheim overschrijden.</w:t>
      </w:r>
    </w:p>
    <w:p w:rsidR="00B10AEA" w:rsidRDefault="00B10AEA" w:rsidP="00B10AEA">
      <w:pPr>
        <w:pStyle w:val="Lijstalinea"/>
      </w:pPr>
    </w:p>
    <w:p w:rsidR="005B5BA4" w:rsidRDefault="005B5BA4" w:rsidP="00B10AEA">
      <w:pPr>
        <w:pStyle w:val="Lijstalinea"/>
        <w:numPr>
          <w:ilvl w:val="0"/>
          <w:numId w:val="15"/>
        </w:numPr>
      </w:pPr>
      <w:r>
        <w:t xml:space="preserve">Het is </w:t>
      </w:r>
      <w:r w:rsidR="003325A9">
        <w:t xml:space="preserve">ook </w:t>
      </w:r>
      <w:r>
        <w:t xml:space="preserve">mogelijk </w:t>
      </w:r>
      <w:r w:rsidR="00B34C2C">
        <w:t xml:space="preserve">dat de vrederechter de informatie </w:t>
      </w:r>
      <w:r>
        <w:t xml:space="preserve">die de </w:t>
      </w:r>
      <w:r w:rsidR="00B34C2C">
        <w:t xml:space="preserve">– mogelijke </w:t>
      </w:r>
      <w:r w:rsidR="005F4647">
        <w:t>onvoll</w:t>
      </w:r>
      <w:r w:rsidR="00B34C2C">
        <w:t xml:space="preserve">edige of onvoldoende duidelijke - </w:t>
      </w:r>
      <w:r w:rsidR="005F4647">
        <w:t xml:space="preserve"> </w:t>
      </w:r>
      <w:r>
        <w:t xml:space="preserve">geneeskundige verklaring </w:t>
      </w:r>
      <w:proofErr w:type="spellStart"/>
      <w:r>
        <w:t>wèl</w:t>
      </w:r>
      <w:proofErr w:type="spellEnd"/>
      <w:r>
        <w:t xml:space="preserve"> bevat</w:t>
      </w:r>
      <w:r w:rsidR="005F4647">
        <w:t xml:space="preserve">, </w:t>
      </w:r>
      <w:r>
        <w:t>kan aanvullen met andere gegevens die aangebracht worden door de verzoek</w:t>
      </w:r>
      <w:r w:rsidR="005F4647">
        <w:t>er of door de</w:t>
      </w:r>
      <w:r>
        <w:t xml:space="preserve"> eigen bevindingen</w:t>
      </w:r>
      <w:r w:rsidR="005F4647">
        <w:t xml:space="preserve"> van de vrederechter</w:t>
      </w:r>
      <w:r>
        <w:t xml:space="preserve">,  o.m. door het horen van de betrokkene </w:t>
      </w:r>
      <w:r>
        <w:rPr>
          <w:rStyle w:val="Voetnootmarkering"/>
        </w:rPr>
        <w:footnoteReference w:id="45"/>
      </w:r>
      <w:r>
        <w:t xml:space="preserve"> en diens omgeving </w:t>
      </w:r>
      <w:r>
        <w:rPr>
          <w:rStyle w:val="Voetnootmarkering"/>
        </w:rPr>
        <w:footnoteReference w:id="46"/>
      </w:r>
      <w:r>
        <w:t xml:space="preserve">. </w:t>
      </w:r>
    </w:p>
    <w:p w:rsidR="00B10AEA" w:rsidRDefault="00B10AEA" w:rsidP="00B10AEA">
      <w:pPr>
        <w:pStyle w:val="Lijstalinea"/>
      </w:pPr>
    </w:p>
    <w:p w:rsidR="00B10AEA" w:rsidRDefault="00B10AEA" w:rsidP="00B10AEA">
      <w:pPr>
        <w:pStyle w:val="Lijstalinea"/>
      </w:pPr>
    </w:p>
    <w:p w:rsidR="00B304F0" w:rsidRDefault="003325A9" w:rsidP="00B10AEA">
      <w:pPr>
        <w:pStyle w:val="Lijstalinea"/>
        <w:numPr>
          <w:ilvl w:val="0"/>
          <w:numId w:val="15"/>
        </w:numPr>
      </w:pPr>
      <w:r>
        <w:lastRenderedPageBreak/>
        <w:t xml:space="preserve">Het is bovendien </w:t>
      </w:r>
      <w:r w:rsidR="00B304F0">
        <w:t xml:space="preserve">mogelijk dat de vrederechter </w:t>
      </w:r>
      <w:r w:rsidR="000E53EB">
        <w:t>omwille van de onduidelijkheid, de onvolle</w:t>
      </w:r>
      <w:r w:rsidR="00077268">
        <w:t>digheid of inconsistentie van het</w:t>
      </w:r>
      <w:r w:rsidR="000E53EB">
        <w:t xml:space="preserve"> voorgelegde </w:t>
      </w:r>
      <w:r w:rsidR="00B304F0">
        <w:t xml:space="preserve">geneeskundige </w:t>
      </w:r>
      <w:r w:rsidR="000E53EB">
        <w:t xml:space="preserve">besluit om een deskundige aan te stellen. De mogelijkheid om een arts-deskundige aan te stellen is zeker niet beperkt tot de situatie waarin de verzoeker zelf niet in staat is een geneeskundige verklaring voor te leggen </w:t>
      </w:r>
      <w:r w:rsidR="000E53EB">
        <w:rPr>
          <w:rStyle w:val="Voetnootmarkering"/>
        </w:rPr>
        <w:footnoteReference w:id="47"/>
      </w:r>
      <w:r w:rsidR="000E53EB">
        <w:t>.</w:t>
      </w:r>
    </w:p>
    <w:p w:rsidR="00B10AEA" w:rsidRDefault="00B10AEA" w:rsidP="00B10AEA">
      <w:pPr>
        <w:pStyle w:val="Lijstalinea"/>
      </w:pPr>
    </w:p>
    <w:p w:rsidR="00B10AEA" w:rsidRDefault="00DD79C1" w:rsidP="002C474F">
      <w:pPr>
        <w:pStyle w:val="Lijstalinea"/>
        <w:numPr>
          <w:ilvl w:val="0"/>
          <w:numId w:val="15"/>
        </w:numPr>
      </w:pPr>
      <w:r>
        <w:t>Indien de geneeskundige verklaring onvoldoende duidelijk is over de noodzaak om een bewindvoerder aan te stellen, moet op grond van de essentiële principes van noodzaak, subsidiariteit en proportionaliteit besloten worden om geen beschermin</w:t>
      </w:r>
      <w:r w:rsidR="00B34C2C">
        <w:t xml:space="preserve">gsmaatregel op te leggen. </w:t>
      </w:r>
    </w:p>
    <w:p w:rsidR="00B10AEA" w:rsidRDefault="00B10AEA" w:rsidP="00B10AEA">
      <w:pPr>
        <w:pStyle w:val="Lijstalinea"/>
      </w:pPr>
    </w:p>
    <w:p w:rsidR="002A0CB1" w:rsidRDefault="00A0498E" w:rsidP="00B10AEA">
      <w:pPr>
        <w:pStyle w:val="Lijstalinea"/>
      </w:pPr>
      <w:r>
        <w:t xml:space="preserve">De beschermingsmaatregel kan ook niet gevraagd worden als een soort preventieve maatregel omdat gevreesd wordt dat een ziekteproces verder zal evolueren en de patiënt binnenkort niet meer in staat zal zijn om zijn vermogen zelfstandig te beheren </w:t>
      </w:r>
      <w:r>
        <w:rPr>
          <w:rStyle w:val="Voetnootmarkering"/>
        </w:rPr>
        <w:footnoteReference w:id="48"/>
      </w:r>
      <w:r w:rsidR="00B34C2C">
        <w:t>. Het is de actuele en niet de vermoedelijk toekomstige situatie die moet beoordeeld worden.</w:t>
      </w:r>
    </w:p>
    <w:p w:rsidR="00B34C2C" w:rsidRDefault="00B34C2C" w:rsidP="002C474F"/>
    <w:p w:rsidR="00BB646E" w:rsidRPr="00884FBC" w:rsidRDefault="005219A6" w:rsidP="005E2611">
      <w:pPr>
        <w:pStyle w:val="Lijstalinea"/>
        <w:numPr>
          <w:ilvl w:val="0"/>
          <w:numId w:val="1"/>
        </w:numPr>
        <w:rPr>
          <w:b/>
        </w:rPr>
      </w:pPr>
      <w:r>
        <w:t xml:space="preserve"> </w:t>
      </w:r>
      <w:r w:rsidR="005E2611" w:rsidRPr="00884FBC">
        <w:rPr>
          <w:b/>
        </w:rPr>
        <w:t xml:space="preserve">De beoordeling door een </w:t>
      </w:r>
      <w:r w:rsidR="00912409" w:rsidRPr="00884FBC">
        <w:rPr>
          <w:b/>
        </w:rPr>
        <w:t>arts-</w:t>
      </w:r>
      <w:r w:rsidR="005E2611" w:rsidRPr="00884FBC">
        <w:rPr>
          <w:b/>
        </w:rPr>
        <w:t>deskundige</w:t>
      </w:r>
    </w:p>
    <w:p w:rsidR="00204ECC" w:rsidRDefault="00204ECC" w:rsidP="00204ECC"/>
    <w:p w:rsidR="00912409" w:rsidRDefault="00912409" w:rsidP="00912409">
      <w:pPr>
        <w:pStyle w:val="Lijstalinea"/>
        <w:numPr>
          <w:ilvl w:val="0"/>
          <w:numId w:val="6"/>
        </w:numPr>
        <w:rPr>
          <w:b/>
        </w:rPr>
      </w:pPr>
      <w:r w:rsidRPr="00884FBC">
        <w:rPr>
          <w:b/>
        </w:rPr>
        <w:t>Algemeen</w:t>
      </w:r>
    </w:p>
    <w:p w:rsidR="00B10AEA" w:rsidRPr="00884FBC" w:rsidRDefault="00B10AEA" w:rsidP="00B10AEA">
      <w:pPr>
        <w:pStyle w:val="Lijstalinea"/>
        <w:rPr>
          <w:b/>
        </w:rPr>
      </w:pPr>
    </w:p>
    <w:p w:rsidR="00912409" w:rsidRDefault="00912409" w:rsidP="00B10AEA">
      <w:pPr>
        <w:pStyle w:val="Lijstalinea"/>
        <w:numPr>
          <w:ilvl w:val="0"/>
          <w:numId w:val="15"/>
        </w:numPr>
      </w:pPr>
      <w:r>
        <w:t>De vrederechter kan op vraag v</w:t>
      </w:r>
      <w:r w:rsidR="0099338C">
        <w:t>an de verzoeker of op eig</w:t>
      </w:r>
      <w:r w:rsidR="00B34C2C">
        <w:t>en initiatief een deskundige aan stellen. De mogelijkheid tot aanstelling van een deskundige wordt in het Gerechtelijk Wetboek voorzien in drie gevallen:</w:t>
      </w:r>
    </w:p>
    <w:p w:rsidR="00B34C2C" w:rsidRDefault="00B34C2C" w:rsidP="00B34C2C">
      <w:pPr>
        <w:pStyle w:val="Lijstalinea"/>
        <w:numPr>
          <w:ilvl w:val="0"/>
          <w:numId w:val="4"/>
        </w:numPr>
      </w:pPr>
      <w:r>
        <w:t xml:space="preserve">“Indien er wegens dringendheid geen geneeskundige verklaring bij het verzoekschrift is gevoegd” </w:t>
      </w:r>
      <w:r>
        <w:rPr>
          <w:rStyle w:val="Voetnootmarkering"/>
        </w:rPr>
        <w:footnoteReference w:id="49"/>
      </w:r>
      <w:r>
        <w:t>;</w:t>
      </w:r>
    </w:p>
    <w:p w:rsidR="00B34C2C" w:rsidRDefault="00B34C2C" w:rsidP="00B34C2C">
      <w:pPr>
        <w:pStyle w:val="Lijstalinea"/>
        <w:numPr>
          <w:ilvl w:val="0"/>
          <w:numId w:val="4"/>
        </w:numPr>
      </w:pPr>
      <w:r>
        <w:t xml:space="preserve">“indien de verzoeker in de absolute onmogelijkheid verkeert” om een geneeskundige verklaring bij het verzoekschrift te voegen </w:t>
      </w:r>
      <w:r>
        <w:rPr>
          <w:rStyle w:val="Voetnootmarkering"/>
        </w:rPr>
        <w:footnoteReference w:id="50"/>
      </w:r>
      <w:r>
        <w:t>;</w:t>
      </w:r>
    </w:p>
    <w:p w:rsidR="00884FBC" w:rsidRDefault="00B34C2C" w:rsidP="00884FBC">
      <w:pPr>
        <w:pStyle w:val="Lijstalinea"/>
        <w:numPr>
          <w:ilvl w:val="0"/>
          <w:numId w:val="4"/>
        </w:numPr>
      </w:pPr>
      <w:r>
        <w:t>Indien de vrederechter meent dat dit voor de beoordeling van het verzoek nodig is</w:t>
      </w:r>
      <w:r w:rsidR="00884FBC">
        <w:t xml:space="preserve"> </w:t>
      </w:r>
      <w:r w:rsidR="00884FBC">
        <w:rPr>
          <w:rStyle w:val="Voetnootmarkering"/>
        </w:rPr>
        <w:footnoteReference w:id="51"/>
      </w:r>
      <w:r w:rsidR="00884FBC">
        <w:t>. Dit kan o.m. het geval zijn indien de door de verzoeker afgeleverde geneeskundige verklar</w:t>
      </w:r>
      <w:r w:rsidR="00B10AEA">
        <w:t>ing niet voldoende duidelijk</w:t>
      </w:r>
      <w:r w:rsidR="00884FBC">
        <w:t xml:space="preserve"> of niet voldoende overtuigend is of indien de persoon waarvoor een beschermingsmaatregel wordt gevraagd deze betwist, eventueel met bijstand van een door hem of haar aangezocht arts.</w:t>
      </w:r>
    </w:p>
    <w:p w:rsidR="00884FBC" w:rsidRDefault="00884FBC" w:rsidP="00884FBC">
      <w:pPr>
        <w:pStyle w:val="Lijstalinea"/>
      </w:pPr>
    </w:p>
    <w:p w:rsidR="00204ECC" w:rsidRDefault="00204ECC" w:rsidP="00204ECC">
      <w:pPr>
        <w:pStyle w:val="Lijstalinea"/>
        <w:numPr>
          <w:ilvl w:val="0"/>
          <w:numId w:val="6"/>
        </w:numPr>
        <w:rPr>
          <w:b/>
        </w:rPr>
      </w:pPr>
      <w:r w:rsidRPr="00884FBC">
        <w:rPr>
          <w:b/>
        </w:rPr>
        <w:t>In spoedeisende en uitzonderlijke situaties</w:t>
      </w:r>
    </w:p>
    <w:p w:rsidR="00B10AEA" w:rsidRPr="00884FBC" w:rsidRDefault="00B10AEA" w:rsidP="00B10AEA">
      <w:pPr>
        <w:pStyle w:val="Lijstalinea"/>
        <w:rPr>
          <w:b/>
        </w:rPr>
      </w:pPr>
    </w:p>
    <w:p w:rsidR="00B10AEA" w:rsidRDefault="00B25CA5" w:rsidP="0099338C">
      <w:pPr>
        <w:pStyle w:val="Lijstalinea"/>
        <w:numPr>
          <w:ilvl w:val="0"/>
          <w:numId w:val="15"/>
        </w:numPr>
      </w:pPr>
      <w:r>
        <w:t>In twee gevallen kan de verzoeker zelf vragen een deskundige aan te stellen: indien er “wegens dringendheid” geen verklaring kon bij gevoegd worden of indien de verzoeker “in de absolute onmogelijkheid” verkeert om een geneeskundige verklaring bij te voegen. De redenen voor deze “absolute onmogelijkheid”  moeten uitdrukkelijk toegelicht worden in het verzoekschrift.</w:t>
      </w:r>
    </w:p>
    <w:p w:rsidR="008E2576" w:rsidRDefault="008E2576" w:rsidP="00B10AEA">
      <w:pPr>
        <w:pStyle w:val="Lijstalinea"/>
      </w:pPr>
      <w:r>
        <w:lastRenderedPageBreak/>
        <w:t xml:space="preserve">Het is duidelijk dat deze bepaling o.m. bedoeld is voor de gevallen waarbij de patiënt weigert om zich te laten onderzoeken </w:t>
      </w:r>
      <w:r>
        <w:rPr>
          <w:rStyle w:val="Voetnootmarkering"/>
        </w:rPr>
        <w:footnoteReference w:id="52"/>
      </w:r>
      <w:r w:rsidR="00B25CA5">
        <w:t>. Ook de situatie waarbij aan een arts gevraagd wordt om een verklaring af te l</w:t>
      </w:r>
      <w:r w:rsidR="00B61283">
        <w:t>everen, maar deze weigert dat te doen, valt onder deze voorwaarde.</w:t>
      </w:r>
    </w:p>
    <w:p w:rsidR="00B61283" w:rsidRDefault="00B61283" w:rsidP="0099338C"/>
    <w:p w:rsidR="00B10AEA" w:rsidRDefault="00B61283" w:rsidP="0099338C">
      <w:pPr>
        <w:pStyle w:val="Lijstalinea"/>
        <w:numPr>
          <w:ilvl w:val="0"/>
          <w:numId w:val="15"/>
        </w:numPr>
      </w:pPr>
      <w:r>
        <w:t xml:space="preserve">De verzoeker dient wel uiteen te zetten welke pogingen ondernomen werden om een geneeskundige verklaring te bekomen en waarom deze gefaald hebben. </w:t>
      </w:r>
      <w:r w:rsidR="00A5145B">
        <w:t xml:space="preserve">De eenvoudige vermelding in het verzoekschrift dat men niet in staat was om een geneeskundige verklaring te bekomen, volstaat niet </w:t>
      </w:r>
      <w:r w:rsidR="00A5145B">
        <w:rPr>
          <w:rStyle w:val="Voetnootmarkering"/>
        </w:rPr>
        <w:footnoteReference w:id="53"/>
      </w:r>
      <w:r>
        <w:t>.</w:t>
      </w:r>
    </w:p>
    <w:p w:rsidR="00B10AEA" w:rsidRDefault="00B10AEA" w:rsidP="00B10AEA">
      <w:pPr>
        <w:pStyle w:val="Lijstalinea"/>
      </w:pPr>
    </w:p>
    <w:p w:rsidR="00C3728B" w:rsidRDefault="00F3494F" w:rsidP="00B10AEA">
      <w:pPr>
        <w:pStyle w:val="Lijstalinea"/>
      </w:pPr>
      <w:r>
        <w:t>Sommige rechters stellen wel erg hoge eisen en voeren aan dat moeilijkheden om de geneeskundige verklaring te bekomen niet volstaan om de “absolute onmogelijkheid” aan te tonen. Zo voert de vrederechter van Fléron aan dat de weigering van een ar</w:t>
      </w:r>
      <w:r w:rsidR="00E2499F">
        <w:t>t</w:t>
      </w:r>
      <w:r>
        <w:t>s om de verklaring af te leveren niet volstaat om de absolute onmogelijkheid aan te tonen vermits de verzoeker nog de kans heeft om een ander</w:t>
      </w:r>
      <w:r w:rsidR="00E2499F">
        <w:t xml:space="preserve">e arts te consulteren </w:t>
      </w:r>
      <w:r w:rsidR="00E2499F">
        <w:rPr>
          <w:rStyle w:val="Voetnootmarkering"/>
        </w:rPr>
        <w:footnoteReference w:id="54"/>
      </w:r>
      <w:r w:rsidR="00E2499F">
        <w:t>.</w:t>
      </w:r>
      <w:r>
        <w:t xml:space="preserve"> Hij wijst daarbij o.m. op het feit dat de geneeskundige verklaring niet noodzakelijk hoeft opgesteld </w:t>
      </w:r>
      <w:r w:rsidR="00077268">
        <w:t xml:space="preserve">te </w:t>
      </w:r>
      <w:r>
        <w:t>worden op basis van een onderzoek van de persoon, maar dat dit ook mogelijk is op basis van de consultatie van het patiëntendossier, en dat het model voorz</w:t>
      </w:r>
      <w:r w:rsidR="00B10AEA">
        <w:t>iet dat dit mogelijk is zonder d</w:t>
      </w:r>
      <w:r>
        <w:t>e toestemming van de patiënt. Hierbij mag wel niet uit het o</w:t>
      </w:r>
      <w:r w:rsidR="00E2499F">
        <w:t>og verloren worden dat de vermelding van deze</w:t>
      </w:r>
      <w:r>
        <w:t xml:space="preserve"> mogelijkheid in het model niet zomaar toelaat om een patiënten</w:t>
      </w:r>
      <w:r w:rsidR="00E2499F">
        <w:t>dossier</w:t>
      </w:r>
      <w:r>
        <w:t xml:space="preserve"> in te kijken:</w:t>
      </w:r>
    </w:p>
    <w:p w:rsidR="00F3494F" w:rsidRDefault="00F3494F" w:rsidP="0099338C"/>
    <w:p w:rsidR="00F3494F" w:rsidRDefault="00F3494F" w:rsidP="00F3494F">
      <w:pPr>
        <w:pStyle w:val="Lijstalinea"/>
        <w:numPr>
          <w:ilvl w:val="0"/>
          <w:numId w:val="4"/>
        </w:numPr>
      </w:pPr>
      <w:r>
        <w:t xml:space="preserve">Ofwel gebeurt dit op grond van de toestemming van de vertegenwoordiger, maar dan moet de arts die toegang heeft tot het dossier wel overtuigd zijn dat de patiënt niet wilsbekwaam is en niet zelf in staat is om zijn </w:t>
      </w:r>
      <w:proofErr w:type="spellStart"/>
      <w:r>
        <w:t>patiëntenrechten</w:t>
      </w:r>
      <w:proofErr w:type="spellEnd"/>
      <w:r>
        <w:t xml:space="preserve"> uit te oefenen;</w:t>
      </w:r>
    </w:p>
    <w:p w:rsidR="00F3494F" w:rsidRDefault="00F3494F" w:rsidP="00F3494F">
      <w:pPr>
        <w:pStyle w:val="Lijstalinea"/>
        <w:numPr>
          <w:ilvl w:val="0"/>
          <w:numId w:val="4"/>
        </w:numPr>
      </w:pPr>
      <w:r>
        <w:t xml:space="preserve">Ofwel moet de arts een therapeutische relatie hebben met de patiënt of </w:t>
      </w:r>
      <w:r w:rsidR="00E2499F">
        <w:t xml:space="preserve">moet er </w:t>
      </w:r>
      <w:r>
        <w:t xml:space="preserve">een andere grondslag </w:t>
      </w:r>
      <w:r w:rsidR="00E2499F">
        <w:t xml:space="preserve">bestaan </w:t>
      </w:r>
      <w:r>
        <w:t xml:space="preserve">om het dossier te mogen inzien </w:t>
      </w:r>
      <w:r w:rsidR="00E2499F">
        <w:rPr>
          <w:rStyle w:val="Voetnootmarkering"/>
        </w:rPr>
        <w:footnoteReference w:id="55"/>
      </w:r>
      <w:r w:rsidR="00E2499F">
        <w:t>.</w:t>
      </w:r>
    </w:p>
    <w:p w:rsidR="00C3728B" w:rsidRDefault="00C3728B" w:rsidP="0099338C"/>
    <w:p w:rsidR="00965C83" w:rsidRDefault="00E2499F" w:rsidP="0099338C">
      <w:pPr>
        <w:pStyle w:val="Lijstalinea"/>
        <w:numPr>
          <w:ilvl w:val="0"/>
          <w:numId w:val="6"/>
        </w:numPr>
        <w:rPr>
          <w:b/>
        </w:rPr>
      </w:pPr>
      <w:r w:rsidRPr="002040BD">
        <w:rPr>
          <w:b/>
        </w:rPr>
        <w:t>B</w:t>
      </w:r>
      <w:r w:rsidR="00965C83" w:rsidRPr="002040BD">
        <w:rPr>
          <w:b/>
        </w:rPr>
        <w:t>ij twijfel</w:t>
      </w:r>
      <w:r w:rsidRPr="002040BD">
        <w:rPr>
          <w:b/>
        </w:rPr>
        <w:t>, onduidelijkheid</w:t>
      </w:r>
      <w:r w:rsidR="00965C83" w:rsidRPr="002040BD">
        <w:rPr>
          <w:b/>
        </w:rPr>
        <w:t xml:space="preserve"> of verzet</w:t>
      </w:r>
      <w:r w:rsidR="002040BD" w:rsidRPr="002040BD">
        <w:rPr>
          <w:b/>
        </w:rPr>
        <w:t xml:space="preserve"> tegen de beschermingsmaatregel</w:t>
      </w:r>
    </w:p>
    <w:p w:rsidR="00B10AEA" w:rsidRPr="002040BD" w:rsidRDefault="00B10AEA" w:rsidP="00B10AEA">
      <w:pPr>
        <w:pStyle w:val="Lijstalinea"/>
        <w:rPr>
          <w:b/>
        </w:rPr>
      </w:pPr>
    </w:p>
    <w:p w:rsidR="00B10AEA" w:rsidRDefault="00E2499F" w:rsidP="00E2499F">
      <w:pPr>
        <w:pStyle w:val="Lijstalinea"/>
        <w:numPr>
          <w:ilvl w:val="0"/>
          <w:numId w:val="15"/>
        </w:numPr>
      </w:pPr>
      <w:r>
        <w:t>De mogelijkheid van de vrederechter om een deskundige aan te stellen, beperkt z</w:t>
      </w:r>
      <w:r w:rsidR="00B930E9">
        <w:t>ich zeker niet tot de gevallen waarin de verzoeker dit vraagt. De vrederechter kan ook op eigen initiat</w:t>
      </w:r>
      <w:r w:rsidR="002040BD">
        <w:t>ief een deskundige aanstellen. De informatiemogelijkheden voorzien in art. 1244, § 1 Ger. W. maken dit mogelijk, in aanvulling bij andere informatievormen, zoals het horen van de omgeving van de te beschermen persoon.</w:t>
      </w:r>
    </w:p>
    <w:p w:rsidR="00B10AEA" w:rsidRDefault="00B10AEA" w:rsidP="00B10AEA">
      <w:pPr>
        <w:pStyle w:val="Lijstalinea"/>
      </w:pPr>
    </w:p>
    <w:p w:rsidR="00B10AEA" w:rsidRDefault="002040BD" w:rsidP="00B10AEA">
      <w:pPr>
        <w:pStyle w:val="Lijstalinea"/>
      </w:pPr>
      <w:r>
        <w:t xml:space="preserve">De aanstelling van een deskundige zou ook kunnen gevraagd worden door de te beschermen persoon of zijn advocaat. </w:t>
      </w:r>
    </w:p>
    <w:p w:rsidR="00B10AEA" w:rsidRDefault="00B10AEA" w:rsidP="00B10AEA">
      <w:pPr>
        <w:pStyle w:val="Lijstalinea"/>
      </w:pPr>
    </w:p>
    <w:p w:rsidR="002040BD" w:rsidRDefault="002040BD" w:rsidP="00B10AEA">
      <w:pPr>
        <w:pStyle w:val="Lijstalinea"/>
      </w:pPr>
      <w:r>
        <w:lastRenderedPageBreak/>
        <w:t>Deze onderzoeksmaatregel lijkt zelfs aangewezen indien de te beschermen persoon zich tijdens de hoorzitting door een arts laat bijstaan</w:t>
      </w:r>
      <w:r w:rsidR="00FB7430">
        <w:t xml:space="preserve"> </w:t>
      </w:r>
      <w:r w:rsidR="00FB7430">
        <w:rPr>
          <w:rStyle w:val="Voetnootmarkering"/>
        </w:rPr>
        <w:footnoteReference w:id="56"/>
      </w:r>
      <w:r>
        <w:t xml:space="preserve"> </w:t>
      </w:r>
      <w:r w:rsidR="00FB7430">
        <w:t xml:space="preserve"> </w:t>
      </w:r>
      <w:r>
        <w:t>en deze arts de inhoud van de door de verzoeker voorgelegde geneeskundige verklaring betwist.</w:t>
      </w:r>
      <w:r w:rsidR="00FB7430">
        <w:t xml:space="preserve"> De vrederechter wordt dan immers verplicht om stelling te nemen in een inhoudelijke discussie tussen artsen, en kan hiervoor best beroep doen op onafhankelijk advies.</w:t>
      </w:r>
      <w:r>
        <w:t xml:space="preserve"> </w:t>
      </w:r>
    </w:p>
    <w:p w:rsidR="002040BD" w:rsidRDefault="002040BD" w:rsidP="002040BD"/>
    <w:p w:rsidR="00204ECC" w:rsidRPr="00FB7430" w:rsidRDefault="00204ECC" w:rsidP="00FB7430">
      <w:pPr>
        <w:pStyle w:val="Lijstalinea"/>
        <w:numPr>
          <w:ilvl w:val="0"/>
          <w:numId w:val="6"/>
        </w:numPr>
        <w:rPr>
          <w:b/>
        </w:rPr>
      </w:pPr>
      <w:r w:rsidRPr="00FB7430">
        <w:rPr>
          <w:b/>
        </w:rPr>
        <w:t>Taak van deskundige</w:t>
      </w:r>
    </w:p>
    <w:p w:rsidR="00B10AEA" w:rsidRDefault="00B10AEA" w:rsidP="00B10AEA">
      <w:pPr>
        <w:pStyle w:val="Lijstalinea"/>
      </w:pPr>
    </w:p>
    <w:p w:rsidR="00B10AEA" w:rsidRDefault="00FB7430" w:rsidP="0099338C">
      <w:pPr>
        <w:pStyle w:val="Lijstalinea"/>
        <w:numPr>
          <w:ilvl w:val="0"/>
          <w:numId w:val="15"/>
        </w:numPr>
      </w:pPr>
      <w:r>
        <w:t xml:space="preserve">De opdrachten van </w:t>
      </w:r>
      <w:r w:rsidR="00077268">
        <w:t>de deskundige worden</w:t>
      </w:r>
      <w:r>
        <w:t xml:space="preserve"> vrij bepaald door de rechter, hoewel vaak terug gegrepen wordt naar gestandaardiseerde formuleringen.</w:t>
      </w:r>
    </w:p>
    <w:p w:rsidR="00B10AEA" w:rsidRDefault="00B10AEA" w:rsidP="00B10AEA">
      <w:pPr>
        <w:pStyle w:val="Lijstalinea"/>
      </w:pPr>
    </w:p>
    <w:p w:rsidR="00B10AEA" w:rsidRDefault="00FB7430" w:rsidP="00B10AEA">
      <w:pPr>
        <w:pStyle w:val="Lijstalinea"/>
      </w:pPr>
      <w:r>
        <w:t xml:space="preserve">Essentieel zal aan de deskundige gevraagd worden om na te gaan of aan de voorwaarden voor het opleggen van een </w:t>
      </w:r>
      <w:r w:rsidR="0032038E">
        <w:t>beschermingsmaatregel voldaan is en worden best ook de vragen voorzien in het modelformulier</w:t>
      </w:r>
      <w:r w:rsidR="00077268">
        <w:t>,</w:t>
      </w:r>
      <w:r w:rsidR="0032038E">
        <w:t xml:space="preserve"> ter toetsing voorgelegd.</w:t>
      </w:r>
    </w:p>
    <w:p w:rsidR="00B10AEA" w:rsidRDefault="00B10AEA" w:rsidP="00B10AEA">
      <w:pPr>
        <w:pStyle w:val="Lijstalinea"/>
      </w:pPr>
    </w:p>
    <w:p w:rsidR="00FB7430" w:rsidRDefault="0032038E" w:rsidP="00B10AEA">
      <w:pPr>
        <w:pStyle w:val="Lijstalinea"/>
        <w:numPr>
          <w:ilvl w:val="0"/>
          <w:numId w:val="15"/>
        </w:numPr>
      </w:pPr>
      <w:r>
        <w:t xml:space="preserve">Het is ook mogelijk dat </w:t>
      </w:r>
      <w:r w:rsidR="00926533">
        <w:t xml:space="preserve">de </w:t>
      </w:r>
      <w:r>
        <w:t>rechter wel overtuigd is dat een beschermingsmaatregel noodzakelijk is</w:t>
      </w:r>
      <w:r w:rsidR="00926533">
        <w:t xml:space="preserve">, maar dat in het kader van de </w:t>
      </w:r>
      <w:r>
        <w:t>noodzakelijke m</w:t>
      </w:r>
      <w:r w:rsidR="00077268">
        <w:t>aatregel twijfel of discussie bestaat</w:t>
      </w:r>
      <w:r>
        <w:t xml:space="preserve"> over de modaliteiten. In dat geval kan aan de deskundige </w:t>
      </w:r>
      <w:r w:rsidR="00077268">
        <w:t xml:space="preserve">een </w:t>
      </w:r>
      <w:r>
        <w:t>meer gedetailleerd of gericht advies over de capaciteiten van de te beschermen persoon gevraagd worden.</w:t>
      </w:r>
    </w:p>
    <w:p w:rsidR="0032038E" w:rsidRDefault="0032038E" w:rsidP="0099338C"/>
    <w:p w:rsidR="00204ECC" w:rsidRDefault="00204ECC" w:rsidP="00204ECC">
      <w:pPr>
        <w:pStyle w:val="Lijstalinea"/>
        <w:numPr>
          <w:ilvl w:val="0"/>
          <w:numId w:val="6"/>
        </w:numPr>
        <w:rPr>
          <w:b/>
        </w:rPr>
      </w:pPr>
      <w:r w:rsidRPr="0032038E">
        <w:rPr>
          <w:b/>
        </w:rPr>
        <w:t>Hoe kan de deskundige aan de nodige informatie komen?</w:t>
      </w:r>
    </w:p>
    <w:p w:rsidR="0032038E" w:rsidRDefault="0032038E" w:rsidP="0032038E"/>
    <w:p w:rsidR="0032038E" w:rsidRDefault="00B46D27" w:rsidP="00B10AEA">
      <w:pPr>
        <w:pStyle w:val="Lijstalinea"/>
        <w:numPr>
          <w:ilvl w:val="0"/>
          <w:numId w:val="15"/>
        </w:numPr>
      </w:pPr>
      <w:r>
        <w:t>De deskundige kan zich voor de uitvoering van zijn opdracht op diverse bronnen baseren:</w:t>
      </w:r>
    </w:p>
    <w:p w:rsidR="00B46D27" w:rsidRDefault="00B46D27" w:rsidP="0032038E"/>
    <w:p w:rsidR="00B46D27" w:rsidRDefault="00B46D27" w:rsidP="00B46D27">
      <w:pPr>
        <w:pStyle w:val="Lijstalinea"/>
        <w:numPr>
          <w:ilvl w:val="0"/>
          <w:numId w:val="4"/>
        </w:numPr>
      </w:pPr>
      <w:r>
        <w:t xml:space="preserve">De stukken die deel uitmaken van het rechtsplegingsdossier: het verzoekschrift en eventueel </w:t>
      </w:r>
      <w:r w:rsidR="000E2A45">
        <w:t>de geneeskundige verklaring die reeds voorgelegd werd door de verzoeker;</w:t>
      </w:r>
    </w:p>
    <w:p w:rsidR="000E2A45" w:rsidRDefault="000E2A45" w:rsidP="00B46D27">
      <w:pPr>
        <w:pStyle w:val="Lijstalinea"/>
        <w:numPr>
          <w:ilvl w:val="0"/>
          <w:numId w:val="4"/>
        </w:numPr>
      </w:pPr>
      <w:r>
        <w:t>Stukken overgemaakt door de verzoeker of de te beschermen persoon;</w:t>
      </w:r>
    </w:p>
    <w:p w:rsidR="000E2A45" w:rsidRDefault="000E2A45" w:rsidP="000E2A45">
      <w:pPr>
        <w:pStyle w:val="Lijstalinea"/>
        <w:numPr>
          <w:ilvl w:val="0"/>
          <w:numId w:val="4"/>
        </w:numPr>
      </w:pPr>
      <w:r>
        <w:t>Het onderzoek van de te beschermen persoon;</w:t>
      </w:r>
    </w:p>
    <w:p w:rsidR="000E2A45" w:rsidRDefault="000E2A45" w:rsidP="000E2A45">
      <w:pPr>
        <w:pStyle w:val="Lijstalinea"/>
        <w:numPr>
          <w:ilvl w:val="0"/>
          <w:numId w:val="4"/>
        </w:numPr>
      </w:pPr>
      <w:r>
        <w:t>Het consulteren van het patiëntendossier over de te beschermen persoon.</w:t>
      </w:r>
    </w:p>
    <w:p w:rsidR="004E614C" w:rsidRDefault="004E614C" w:rsidP="004E614C"/>
    <w:p w:rsidR="00427F36" w:rsidRDefault="004E614C" w:rsidP="004E614C">
      <w:pPr>
        <w:pStyle w:val="Lijstalinea"/>
        <w:numPr>
          <w:ilvl w:val="0"/>
          <w:numId w:val="15"/>
        </w:numPr>
      </w:pPr>
      <w:r>
        <w:t>Bij het onderzoek van de te beschermen persoon is het niet uitgesloten dat deze niet wil meewerken.  Het vonnis vo</w:t>
      </w:r>
      <w:r w:rsidR="009D240F">
        <w:t>rmt wel de basis voor het onderzoek, maar laat geen gedwongen</w:t>
      </w:r>
      <w:r w:rsidR="00574E7E">
        <w:t xml:space="preserve"> uitvoering toe.</w:t>
      </w:r>
    </w:p>
    <w:p w:rsidR="00427F36" w:rsidRDefault="00427F36" w:rsidP="00427F36">
      <w:pPr>
        <w:pStyle w:val="Lijstalinea"/>
      </w:pPr>
    </w:p>
    <w:p w:rsidR="008640BE" w:rsidRDefault="009D240F" w:rsidP="00427F36">
      <w:pPr>
        <w:pStyle w:val="Lijstalinea"/>
      </w:pPr>
      <w:r>
        <w:t xml:space="preserve">Voor het verkrijgen van de nodige medische gegevens, kan niet enkel gerekend worden op </w:t>
      </w:r>
      <w:r w:rsidR="00077268">
        <w:t xml:space="preserve">het </w:t>
      </w:r>
      <w:r>
        <w:t xml:space="preserve">overmaken van gegevens door de partijen. Een expertise in het kader </w:t>
      </w:r>
      <w:r w:rsidR="00C7231F">
        <w:t>van het mogelijk opleggen van beschermingsmaatregelen kan niet vergeleken worden met een civiele expertise waarbij de partijen dienen mee te werken aan het onderzoek en alle ter zake dienende gegevens aan de gerecht</w:t>
      </w:r>
      <w:r w:rsidR="008640BE">
        <w:t>sd</w:t>
      </w:r>
      <w:r w:rsidR="00574E7E">
        <w:t xml:space="preserve">eskundige dienen te bezorgen </w:t>
      </w:r>
      <w:r w:rsidR="00574E7E">
        <w:rPr>
          <w:rStyle w:val="Voetnootmarkering"/>
        </w:rPr>
        <w:footnoteReference w:id="57"/>
      </w:r>
      <w:r w:rsidR="00574E7E">
        <w:t>.</w:t>
      </w:r>
      <w:r w:rsidR="008640BE">
        <w:t xml:space="preserve"> </w:t>
      </w:r>
      <w:r w:rsidR="00C7231F">
        <w:t xml:space="preserve">Het is daarom </w:t>
      </w:r>
      <w:r w:rsidR="00C7231F">
        <w:lastRenderedPageBreak/>
        <w:t xml:space="preserve">aangewezen dat de rechter in het vonnis </w:t>
      </w:r>
      <w:r w:rsidR="008640BE">
        <w:t>de gerechtsdeskundige macht</w:t>
      </w:r>
      <w:r w:rsidR="00427F36">
        <w:t>igt</w:t>
      </w:r>
      <w:r w:rsidR="008640BE">
        <w:t xml:space="preserve"> om alle relevante gegevens op te vragen bij de artsen die de te beschermen persoon behandelden of onderzochten. Desnoods kan bij toepassing van art. 877 Ger. de mededeling van </w:t>
      </w:r>
      <w:r w:rsidR="00574E7E">
        <w:t>(</w:t>
      </w:r>
      <w:r w:rsidR="008640BE">
        <w:t>een kopie van</w:t>
      </w:r>
      <w:r w:rsidR="00574E7E">
        <w:t>)</w:t>
      </w:r>
      <w:r w:rsidR="008640BE">
        <w:t xml:space="preserve"> het patiëntendossier bevolen worden. De mogelijkheid bestaat dat een door het beroepsgeheim gebonden arts hier net zoals bij de getuigenis in rechte het met het beroepsgeheim samen hangende “verschoningsrecht” of zwijgrecht inroept. Aangezien de weigering  om gegevens over te maken op grond van het zwijgrecht moet gebaseerd zijn op het belang van de patiënt</w:t>
      </w:r>
      <w:r w:rsidR="00471B59">
        <w:t xml:space="preserve"> </w:t>
      </w:r>
      <w:r w:rsidR="00471B59">
        <w:rPr>
          <w:rStyle w:val="Voetnootmarkering"/>
        </w:rPr>
        <w:footnoteReference w:id="58"/>
      </w:r>
      <w:r w:rsidR="008640BE">
        <w:t>, zal dit in beginsel niet kunnen ingeroepen worden voor het niet meedelen van stukken aan een deskundige</w:t>
      </w:r>
      <w:r w:rsidR="00574E7E">
        <w:t xml:space="preserve">. De deskundige moet immers bijdragen tot het zo </w:t>
      </w:r>
      <w:r w:rsidR="008640BE">
        <w:t>zorgvuldig mogelijk beoordelen van een beschermingsmaatregel die enkel kan uitgevaardigd worden indien dit nodig is voor de patiënt.</w:t>
      </w:r>
    </w:p>
    <w:p w:rsidR="003C4F05" w:rsidRDefault="003C4F05" w:rsidP="00204ECC"/>
    <w:p w:rsidR="00BB646E" w:rsidRPr="00397CE2" w:rsidRDefault="005A0425" w:rsidP="00BB646E">
      <w:pPr>
        <w:pStyle w:val="Lijstalinea"/>
        <w:numPr>
          <w:ilvl w:val="0"/>
          <w:numId w:val="1"/>
        </w:numPr>
        <w:rPr>
          <w:b/>
        </w:rPr>
      </w:pPr>
      <w:r w:rsidRPr="00397CE2">
        <w:rPr>
          <w:b/>
        </w:rPr>
        <w:t>H</w:t>
      </w:r>
      <w:r w:rsidR="00204ECC" w:rsidRPr="00397CE2">
        <w:rPr>
          <w:b/>
        </w:rPr>
        <w:t xml:space="preserve">andelingen </w:t>
      </w:r>
      <w:r w:rsidRPr="00397CE2">
        <w:rPr>
          <w:b/>
        </w:rPr>
        <w:t xml:space="preserve">in de gezondheidszorg </w:t>
      </w:r>
      <w:r w:rsidR="004924D2">
        <w:rPr>
          <w:b/>
        </w:rPr>
        <w:t>waarover de vrederechter een beslissing moet of kan nemen</w:t>
      </w:r>
    </w:p>
    <w:p w:rsidR="00FB2ED7" w:rsidRDefault="00FB2ED7" w:rsidP="00FB2ED7"/>
    <w:p w:rsidR="004924D2" w:rsidRPr="000956B1" w:rsidRDefault="004924D2" w:rsidP="004924D2">
      <w:pPr>
        <w:pStyle w:val="Lijstalinea"/>
        <w:numPr>
          <w:ilvl w:val="0"/>
          <w:numId w:val="13"/>
        </w:numPr>
        <w:rPr>
          <w:b/>
        </w:rPr>
      </w:pPr>
      <w:r w:rsidRPr="000956B1">
        <w:rPr>
          <w:b/>
        </w:rPr>
        <w:t>Algemeen</w:t>
      </w:r>
    </w:p>
    <w:p w:rsidR="004924D2" w:rsidRDefault="004924D2" w:rsidP="004924D2"/>
    <w:p w:rsidR="004924D2" w:rsidRDefault="004924D2" w:rsidP="00427F36">
      <w:pPr>
        <w:pStyle w:val="Lijstalinea"/>
        <w:numPr>
          <w:ilvl w:val="0"/>
          <w:numId w:val="15"/>
        </w:numPr>
      </w:pPr>
      <w:r>
        <w:t>Bij het uitvaardigen van een bescher</w:t>
      </w:r>
      <w:r w:rsidR="00926533">
        <w:t>mingsmaatregel</w:t>
      </w:r>
      <w:r w:rsidR="002F3FC9">
        <w:t xml:space="preserve"> moet de vrederechter ook een reeks moeilijke en delicate beslissingen nemen over de </w:t>
      </w:r>
      <w:r w:rsidR="002968D3">
        <w:t>bekwaamheid</w:t>
      </w:r>
      <w:r w:rsidR="002F3FC9">
        <w:t xml:space="preserve"> van de beschermde persoon om zelfstandig beslissingen te nemen in d</w:t>
      </w:r>
      <w:r w:rsidR="00077268">
        <w:t>e gezondheidzorg. Daarbij moet</w:t>
      </w:r>
      <w:r w:rsidR="002F3FC9">
        <w:t xml:space="preserve"> een onderscheid gemaakt worden tussen:</w:t>
      </w:r>
    </w:p>
    <w:p w:rsidR="002F3FC9" w:rsidRDefault="002F3FC9" w:rsidP="004924D2"/>
    <w:p w:rsidR="002F3FC9" w:rsidRDefault="002F3FC9" w:rsidP="002F3FC9">
      <w:pPr>
        <w:pStyle w:val="Lijstalinea"/>
        <w:numPr>
          <w:ilvl w:val="0"/>
          <w:numId w:val="4"/>
        </w:numPr>
      </w:pPr>
      <w:r>
        <w:t>Rechtshandelingen waarover de vrederechter zich moet uitspreken volgens de verplichte “checklist”;</w:t>
      </w:r>
    </w:p>
    <w:p w:rsidR="002F3FC9" w:rsidRDefault="002F3FC9" w:rsidP="002F3FC9">
      <w:pPr>
        <w:pStyle w:val="Lijstalinea"/>
        <w:numPr>
          <w:ilvl w:val="0"/>
          <w:numId w:val="4"/>
        </w:numPr>
      </w:pPr>
      <w:r>
        <w:t>Rechtshandelingen waarover de vrederechter de mogelijkheid heeft om een onbekwaamheid uit te spreken;</w:t>
      </w:r>
    </w:p>
    <w:p w:rsidR="00427F36" w:rsidRDefault="002968D3" w:rsidP="002968D3">
      <w:pPr>
        <w:pStyle w:val="Lijstalinea"/>
        <w:numPr>
          <w:ilvl w:val="0"/>
          <w:numId w:val="4"/>
        </w:numPr>
      </w:pPr>
      <w:r>
        <w:t xml:space="preserve">Rechtshandelingen waarvoor vertegenwoordiging door de bewindvoerder mogelijk is </w:t>
      </w:r>
      <w:r w:rsidR="00427F36">
        <w:t xml:space="preserve">en </w:t>
      </w:r>
      <w:r>
        <w:t>handelingen waarvoor vertegenwoordiging  uitgesloten is. Tot deze laatste categorie behoren zeer delicate en persoonsgebonden handelingen zoals euthanasie. Daarvoor kan de rechter dus de autonome beslissingsbevoegdheid van de beschermde persoon uitsluiten zonder enige delegatiemogelijkheid aan een bewindvoerder.</w:t>
      </w:r>
    </w:p>
    <w:p w:rsidR="00427F36" w:rsidRDefault="00427F36" w:rsidP="00427F36">
      <w:pPr>
        <w:pStyle w:val="Lijstalinea"/>
      </w:pPr>
    </w:p>
    <w:p w:rsidR="002968D3" w:rsidRDefault="002968D3" w:rsidP="00427F36">
      <w:pPr>
        <w:pStyle w:val="Lijstalinea"/>
      </w:pPr>
      <w:r>
        <w:t xml:space="preserve">Wij bespreken hierna deze verschillende handelingen en de wetgeving die nog </w:t>
      </w:r>
      <w:proofErr w:type="spellStart"/>
      <w:r>
        <w:t>vòòr</w:t>
      </w:r>
      <w:proofErr w:type="spellEnd"/>
      <w:r>
        <w:t xml:space="preserve"> de inwerkingtreding op grond van de diepgravende analyse</w:t>
      </w:r>
      <w:r w:rsidR="00427F36">
        <w:t>s</w:t>
      </w:r>
      <w:r>
        <w:t xml:space="preserve"> van SWENNEN, NYS en BODDEZ bijgestuurd werd  </w:t>
      </w:r>
      <w:r w:rsidR="00A1697B">
        <w:rPr>
          <w:rStyle w:val="Voetnootmarkering"/>
        </w:rPr>
        <w:footnoteReference w:id="59"/>
      </w:r>
      <w:r w:rsidR="00427F36">
        <w:t>.</w:t>
      </w:r>
    </w:p>
    <w:p w:rsidR="002F3FC9" w:rsidRDefault="002F3FC9" w:rsidP="002F3FC9">
      <w:pPr>
        <w:ind w:left="360"/>
      </w:pPr>
    </w:p>
    <w:p w:rsidR="004924D2" w:rsidRDefault="004924D2" w:rsidP="004924D2"/>
    <w:p w:rsidR="004924D2" w:rsidRDefault="004924D2" w:rsidP="004924D2">
      <w:pPr>
        <w:pStyle w:val="Lijstalinea"/>
        <w:numPr>
          <w:ilvl w:val="0"/>
          <w:numId w:val="13"/>
        </w:numPr>
        <w:rPr>
          <w:b/>
        </w:rPr>
      </w:pPr>
      <w:r w:rsidRPr="000956B1">
        <w:rPr>
          <w:b/>
        </w:rPr>
        <w:t>Rechtshandelingen waarover een beslissing moet genomen worden</w:t>
      </w:r>
    </w:p>
    <w:p w:rsidR="00427F36" w:rsidRPr="000956B1" w:rsidRDefault="00427F36" w:rsidP="00427F36">
      <w:pPr>
        <w:pStyle w:val="Lijstalinea"/>
        <w:rPr>
          <w:b/>
        </w:rPr>
      </w:pPr>
    </w:p>
    <w:p w:rsidR="00427F36" w:rsidRDefault="00397CE2" w:rsidP="00397CE2">
      <w:pPr>
        <w:pStyle w:val="Lijstalinea"/>
        <w:numPr>
          <w:ilvl w:val="0"/>
          <w:numId w:val="15"/>
        </w:numPr>
      </w:pPr>
      <w:r>
        <w:t>Telkens wanneer een vrederechter een rechterlijke beschermingsmaatregel met betrekking tot de persoon beveelt</w:t>
      </w:r>
      <w:r w:rsidRPr="00427F36">
        <w:rPr>
          <w:b/>
          <w:i/>
        </w:rPr>
        <w:t>, moet</w:t>
      </w:r>
      <w:r>
        <w:t xml:space="preserve"> in de beschikking uitdrukkelijk geoordeeld worden over de bekwaamheid tot het verrichten van 19 rechtshandelingen</w:t>
      </w:r>
      <w:r w:rsidR="00284B39">
        <w:t xml:space="preserve"> </w:t>
      </w:r>
      <w:r w:rsidR="00284B39">
        <w:rPr>
          <w:rStyle w:val="Voetnootmarkering"/>
        </w:rPr>
        <w:footnoteReference w:id="60"/>
      </w:r>
      <w:r>
        <w:t xml:space="preserve">. </w:t>
      </w:r>
      <w:r>
        <w:br/>
      </w:r>
    </w:p>
    <w:p w:rsidR="00427F36" w:rsidRDefault="00397CE2" w:rsidP="00427F36">
      <w:pPr>
        <w:pStyle w:val="Lijstalinea"/>
      </w:pPr>
      <w:r>
        <w:t xml:space="preserve">Dat is een bijzonder moeilijke opdracht die de vrederechter in het kader van het veel geprezen “maatwerk” en de noodzakelijke </w:t>
      </w:r>
      <w:proofErr w:type="spellStart"/>
      <w:r>
        <w:t>personalisering</w:t>
      </w:r>
      <w:proofErr w:type="spellEnd"/>
      <w:r>
        <w:t xml:space="preserve"> </w:t>
      </w:r>
      <w:r w:rsidR="00100D9B">
        <w:t xml:space="preserve">van de beschermingsmaatregelen </w:t>
      </w:r>
      <w:r>
        <w:t xml:space="preserve">moet verrichten op basis van de geneeskundige verklaring, de hoorzitting en </w:t>
      </w:r>
      <w:r w:rsidR="00077268">
        <w:t xml:space="preserve">de </w:t>
      </w:r>
      <w:r>
        <w:t xml:space="preserve">eventuele </w:t>
      </w:r>
      <w:r w:rsidR="00100D9B">
        <w:t>onderzoeksmaatregelen zoals een gesprek met de omgeving.</w:t>
      </w:r>
    </w:p>
    <w:p w:rsidR="00427F36" w:rsidRDefault="00427F36" w:rsidP="00427F36">
      <w:pPr>
        <w:pStyle w:val="Lijstalinea"/>
      </w:pPr>
    </w:p>
    <w:p w:rsidR="00427F36" w:rsidRDefault="00100D9B" w:rsidP="00427F36">
      <w:pPr>
        <w:pStyle w:val="Lijstalinea"/>
      </w:pPr>
      <w:r>
        <w:t>Het precieze onderscheid tussen de intellectuele en emotionele capaciteiten nodig voor deze 19 verschillende handelingen is uiterst moeilijk en</w:t>
      </w:r>
      <w:r w:rsidR="00875470">
        <w:t xml:space="preserve"> kan</w:t>
      </w:r>
      <w:r>
        <w:t xml:space="preserve"> op basis van de verkregen informatie misschien zelf</w:t>
      </w:r>
      <w:r w:rsidR="00875470">
        <w:t xml:space="preserve">s niet </w:t>
      </w:r>
      <w:r w:rsidR="00427F36">
        <w:t xml:space="preserve">voldoende correct en genuanceerd </w:t>
      </w:r>
      <w:r w:rsidR="00875470">
        <w:t>gemaakt worden</w:t>
      </w:r>
      <w:r>
        <w:t xml:space="preserve">. In elk geval is de ICF-classificatie niet geschikt om een dergelijk subtiel onderscheid te maken. Dat is vermoedelijk de reden waarom het in de praktijk vaak gebeurt dat </w:t>
      </w:r>
      <w:r w:rsidR="00875470">
        <w:t xml:space="preserve">de beschermde personen </w:t>
      </w:r>
      <w:r>
        <w:t>ofwel voor alle 19 handelingen onbekwaam verklaard worden, ofwel voor geen enkele.</w:t>
      </w:r>
      <w:r w:rsidR="004924D2">
        <w:t xml:space="preserve"> No</w:t>
      </w:r>
      <w:r w:rsidR="000956B1">
        <w:t>chtans zou de checklist moeten leiden “tot een ernstige beoordeling handeling per handeling” en tot “een meer genuanceerd</w:t>
      </w:r>
      <w:r w:rsidR="004F660C">
        <w:t>e</w:t>
      </w:r>
      <w:r w:rsidR="000956B1">
        <w:t xml:space="preserve"> benadering” met “diepgaande reflectie” over wat de te beschermen persoon nog wel en niet zelfstandig kan </w:t>
      </w:r>
      <w:r w:rsidR="000956B1">
        <w:rPr>
          <w:rStyle w:val="Voetnootmarkering"/>
        </w:rPr>
        <w:footnoteReference w:id="61"/>
      </w:r>
      <w:r w:rsidR="00427F36">
        <w:t>.</w:t>
      </w:r>
    </w:p>
    <w:p w:rsidR="00427F36" w:rsidRDefault="00427F36" w:rsidP="00427F36">
      <w:pPr>
        <w:pStyle w:val="Lijstalinea"/>
      </w:pPr>
    </w:p>
    <w:p w:rsidR="00100D9B" w:rsidRDefault="00100D9B" w:rsidP="00427F36">
      <w:pPr>
        <w:pStyle w:val="Lijstalinea"/>
      </w:pPr>
      <w:r>
        <w:t>Tot de 19 rechtshandelingen behoren enkele belangrijke beslissingen uit het domein van de gezondheidszorg:</w:t>
      </w:r>
    </w:p>
    <w:p w:rsidR="00100D9B" w:rsidRDefault="00100D9B" w:rsidP="00397CE2"/>
    <w:p w:rsidR="00100D9B" w:rsidRDefault="00100D9B" w:rsidP="00100D9B">
      <w:pPr>
        <w:pStyle w:val="Lijstalinea"/>
        <w:numPr>
          <w:ilvl w:val="0"/>
          <w:numId w:val="4"/>
        </w:numPr>
      </w:pPr>
      <w:r>
        <w:t xml:space="preserve">De uitoefening van de rechten als patiënt </w:t>
      </w:r>
      <w:r>
        <w:rPr>
          <w:rStyle w:val="Voetnootmarkering"/>
        </w:rPr>
        <w:footnoteReference w:id="62"/>
      </w:r>
      <w:r>
        <w:t>;</w:t>
      </w:r>
    </w:p>
    <w:p w:rsidR="00100D9B" w:rsidRDefault="00FE4A6A" w:rsidP="00100D9B">
      <w:pPr>
        <w:pStyle w:val="Lijstalinea"/>
        <w:numPr>
          <w:ilvl w:val="0"/>
          <w:numId w:val="4"/>
        </w:numPr>
      </w:pPr>
      <w:r>
        <w:t xml:space="preserve">Het verlenen van toestemming om een experiment uit te voeren </w:t>
      </w:r>
      <w:r>
        <w:rPr>
          <w:rStyle w:val="Voetnootmarkering"/>
        </w:rPr>
        <w:footnoteReference w:id="63"/>
      </w:r>
      <w:r>
        <w:t>;</w:t>
      </w:r>
    </w:p>
    <w:p w:rsidR="00FE4A6A" w:rsidRDefault="00FE4A6A" w:rsidP="00100D9B">
      <w:pPr>
        <w:pStyle w:val="Lijstalinea"/>
        <w:numPr>
          <w:ilvl w:val="0"/>
          <w:numId w:val="4"/>
        </w:numPr>
      </w:pPr>
      <w:r>
        <w:t xml:space="preserve">Het verlenen van de toestemming tot het wegnemen van organen </w:t>
      </w:r>
      <w:r>
        <w:rPr>
          <w:rStyle w:val="Voetnootmarkering"/>
        </w:rPr>
        <w:footnoteReference w:id="64"/>
      </w:r>
      <w:r>
        <w:t>;</w:t>
      </w:r>
    </w:p>
    <w:p w:rsidR="00FE4A6A" w:rsidRDefault="00FE4A6A" w:rsidP="00100D9B">
      <w:pPr>
        <w:pStyle w:val="Lijstalinea"/>
        <w:numPr>
          <w:ilvl w:val="0"/>
          <w:numId w:val="4"/>
        </w:numPr>
      </w:pPr>
      <w:r>
        <w:t>Het verlenen van toestemming tot het wegnemen van lichaam</w:t>
      </w:r>
      <w:r w:rsidR="00875470">
        <w:t>s</w:t>
      </w:r>
      <w:r>
        <w:t xml:space="preserve">materiaal </w:t>
      </w:r>
      <w:r>
        <w:rPr>
          <w:rStyle w:val="Voetnootmarkering"/>
        </w:rPr>
        <w:footnoteReference w:id="65"/>
      </w:r>
      <w:r w:rsidR="00875470">
        <w:t>.</w:t>
      </w:r>
    </w:p>
    <w:p w:rsidR="00875470" w:rsidRDefault="00875470" w:rsidP="00875470"/>
    <w:p w:rsidR="00875470" w:rsidRDefault="00875470" w:rsidP="00427F36">
      <w:pPr>
        <w:pStyle w:val="Lijstalinea"/>
        <w:numPr>
          <w:ilvl w:val="0"/>
          <w:numId w:val="15"/>
        </w:numPr>
      </w:pPr>
      <w:r>
        <w:t>Bij twijfel en vrees voor misbruik van de persoon zou men er voor kunnen kiezen om een onderscheid te maken tussen:</w:t>
      </w:r>
    </w:p>
    <w:p w:rsidR="00875470" w:rsidRDefault="00875470" w:rsidP="00875470"/>
    <w:p w:rsidR="00875470" w:rsidRDefault="00875470" w:rsidP="00875470">
      <w:pPr>
        <w:pStyle w:val="Lijstalinea"/>
        <w:numPr>
          <w:ilvl w:val="0"/>
          <w:numId w:val="4"/>
        </w:numPr>
      </w:pPr>
      <w:r>
        <w:t>Handelingen die eerder gesteld worden ten bate van andere patiënten of d</w:t>
      </w:r>
      <w:r w:rsidR="00367CB1">
        <w:t xml:space="preserve">e gemeenschap (organen </w:t>
      </w:r>
      <w:r>
        <w:t>en lichaamsmateriaal wegnemen</w:t>
      </w:r>
      <w:r w:rsidR="00367CB1">
        <w:t xml:space="preserve"> en doneren</w:t>
      </w:r>
      <w:r>
        <w:t xml:space="preserve">): hier kan </w:t>
      </w:r>
      <w:r w:rsidR="007E79AF">
        <w:t xml:space="preserve">de </w:t>
      </w:r>
      <w:r>
        <w:t>veiligste optie gekozen worden en kan de patiënt onbekwaam verklaard worden;</w:t>
      </w:r>
    </w:p>
    <w:p w:rsidR="007E79AF" w:rsidRDefault="00875470" w:rsidP="00875470">
      <w:pPr>
        <w:pStyle w:val="Lijstalinea"/>
        <w:numPr>
          <w:ilvl w:val="0"/>
          <w:numId w:val="4"/>
        </w:numPr>
      </w:pPr>
      <w:r>
        <w:lastRenderedPageBreak/>
        <w:t>Handelingen die gesteld worden in het voordeel van de patiënt zelf en die door zorgbeoefenaars enkel mogen voorgesteld word</w:t>
      </w:r>
      <w:r w:rsidR="00410313">
        <w:t>en in het belang van de patiënt:</w:t>
      </w:r>
      <w:r>
        <w:t xml:space="preserve"> hier</w:t>
      </w:r>
      <w:r w:rsidR="007E79AF">
        <w:t xml:space="preserve"> is meer reden om de autonomie maximaal te handhaven en de </w:t>
      </w:r>
      <w:r w:rsidR="00410313">
        <w:t>patiënt</w:t>
      </w:r>
      <w:r w:rsidR="007E79AF">
        <w:t xml:space="preserve"> zo lang mogelijk zelf te laten beslissen. Zoals hierna nader uiteengezet</w:t>
      </w:r>
      <w:r w:rsidR="00410313">
        <w:t xml:space="preserve"> </w:t>
      </w:r>
      <w:r w:rsidR="00410313">
        <w:rPr>
          <w:rStyle w:val="Voetnootmarkering"/>
        </w:rPr>
        <w:footnoteReference w:id="66"/>
      </w:r>
      <w:r w:rsidR="007E79AF">
        <w:t xml:space="preserve">, past hierbij wel een belangrijke nuancering: de arts kan een patiënt bij wie de rechter de bewindvoerder machtigde om de </w:t>
      </w:r>
      <w:proofErr w:type="spellStart"/>
      <w:r w:rsidR="007E79AF">
        <w:t>patiëntenrechten</w:t>
      </w:r>
      <w:proofErr w:type="spellEnd"/>
      <w:r w:rsidR="007E79AF">
        <w:t xml:space="preserve"> uit te oefenen</w:t>
      </w:r>
      <w:r w:rsidR="004F660C">
        <w:t>,</w:t>
      </w:r>
      <w:r w:rsidR="007E79AF">
        <w:t xml:space="preserve"> nog ste</w:t>
      </w:r>
      <w:r w:rsidR="002F3FC9">
        <w:t>eds zelfstandig laten beslissen indien de arts de patiënt daartoe wilsbekwaam acht</w:t>
      </w:r>
      <w:r w:rsidR="00367CB1">
        <w:t>.</w:t>
      </w:r>
    </w:p>
    <w:p w:rsidR="007E79AF" w:rsidRDefault="007E79AF" w:rsidP="007E79AF"/>
    <w:p w:rsidR="00CC2A43" w:rsidRPr="00E71329" w:rsidRDefault="00410313" w:rsidP="00E71329">
      <w:pPr>
        <w:pStyle w:val="Lijstalinea"/>
        <w:numPr>
          <w:ilvl w:val="0"/>
          <w:numId w:val="15"/>
        </w:numPr>
        <w:rPr>
          <w:color w:val="1F497D"/>
        </w:rPr>
      </w:pPr>
      <w:r>
        <w:t xml:space="preserve">Het deelnemen aan experimenten is niet zo eenvoudig te vatten in deze rudimentaire indeling. Een experiment strekt immers tot kennisvermeerdering en </w:t>
      </w:r>
      <w:r w:rsidR="00367CB1">
        <w:t xml:space="preserve">tot de </w:t>
      </w:r>
      <w:r>
        <w:t xml:space="preserve">vooruitgang van het wetenschappelijk onderzoek en </w:t>
      </w:r>
      <w:r w:rsidR="00A30732">
        <w:t>de ontwikkeling van nieuwe gen</w:t>
      </w:r>
      <w:r w:rsidR="004F660C">
        <w:t>eesmiddelen, maar een zogenaamd</w:t>
      </w:r>
      <w:r w:rsidR="00A30732">
        <w:t xml:space="preserve"> “therapeutisch experiment” strekt ook tot voordeel van de patiënt zelf </w:t>
      </w:r>
      <w:r w:rsidR="00A30732">
        <w:rPr>
          <w:rStyle w:val="Voetnootmarkering"/>
        </w:rPr>
        <w:footnoteReference w:id="67"/>
      </w:r>
      <w:r w:rsidR="00A30732">
        <w:t xml:space="preserve">. Zeker indien voor de pathologie waardoor hij of zij getroffen is nog geen bevredigende, erkende therapie bestaat. </w:t>
      </w:r>
      <w:r w:rsidR="00CC2A43">
        <w:t xml:space="preserve">Er zijn dus goede redenen om een persoon niet uit te sluiten van de mogelijke toekomstige deelname aan een experiment. Anderzijds houdt het onbekwaam verklaren van een persoon om zelfstandig toestemming te geven voor het deelnemen aan een experiment niet in dat deze persoon niet meer zou kunnen genieten van de voordelen van een therapeutisch experiment. Het is immers een rechtshandeling waarvoor de bewindvoerder bevoegd kan gemaakt worden om deze in de plaats van de beschermde </w:t>
      </w:r>
      <w:r w:rsidR="002F3FC9">
        <w:t>persoon te stellen.</w:t>
      </w:r>
      <w:r w:rsidR="00065383">
        <w:t xml:space="preserve"> Bovendien zijn er grenzen aan de geoorloofdheid van experimenten bij volwassen wilson</w:t>
      </w:r>
      <w:r w:rsidR="00E71329">
        <w:t>bekwamen: het is enkel mogelijk i</w:t>
      </w:r>
      <w:bookmarkStart w:id="0" w:name="_GoBack"/>
      <w:bookmarkEnd w:id="0"/>
      <w:r w:rsidR="00E71329" w:rsidRPr="00E71329">
        <w:rPr>
          <w:color w:val="1F497D"/>
        </w:rPr>
        <w:t>ndien het experiment verband houdt met de levensbedreigende of ernstige klinische toestand van de persoon of van essentieel belang is om de resultaten te kunnen bevestigen van experimenten die bij wilsbekwame p</w:t>
      </w:r>
      <w:r w:rsidR="00E71329" w:rsidRPr="00E71329">
        <w:rPr>
          <w:color w:val="1F497D"/>
        </w:rPr>
        <w:t>roefpersonen werden uitgevoerd”</w:t>
      </w:r>
      <w:r w:rsidR="00065383">
        <w:t xml:space="preserve"> </w:t>
      </w:r>
      <w:r w:rsidR="00065383">
        <w:rPr>
          <w:rStyle w:val="Voetnootmarkering"/>
        </w:rPr>
        <w:footnoteReference w:id="68"/>
      </w:r>
      <w:r w:rsidR="00E71329">
        <w:t>.</w:t>
      </w:r>
    </w:p>
    <w:p w:rsidR="007E79AF" w:rsidRDefault="007E79AF" w:rsidP="007E79AF"/>
    <w:p w:rsidR="007E79AF" w:rsidRDefault="007E79AF" w:rsidP="007E79AF"/>
    <w:p w:rsidR="004924D2" w:rsidRPr="00E36935" w:rsidRDefault="00367CB1" w:rsidP="004924D2">
      <w:pPr>
        <w:pStyle w:val="Lijstalinea"/>
        <w:numPr>
          <w:ilvl w:val="0"/>
          <w:numId w:val="13"/>
        </w:numPr>
        <w:rPr>
          <w:b/>
        </w:rPr>
      </w:pPr>
      <w:r w:rsidRPr="00E36935">
        <w:rPr>
          <w:b/>
        </w:rPr>
        <w:t xml:space="preserve">Rechtshandelingen waarvoor de beschermde persoon onbekwaam </w:t>
      </w:r>
      <w:r w:rsidRPr="00E36935">
        <w:rPr>
          <w:b/>
          <w:i/>
        </w:rPr>
        <w:t>kan</w:t>
      </w:r>
      <w:r w:rsidRPr="00E36935">
        <w:rPr>
          <w:b/>
        </w:rPr>
        <w:t xml:space="preserve"> verklaard worden</w:t>
      </w:r>
    </w:p>
    <w:p w:rsidR="00367CB1" w:rsidRDefault="00367CB1" w:rsidP="00367CB1"/>
    <w:p w:rsidR="00572BE7" w:rsidRDefault="00367CB1" w:rsidP="00367CB1">
      <w:pPr>
        <w:pStyle w:val="Lijstalinea"/>
        <w:numPr>
          <w:ilvl w:val="0"/>
          <w:numId w:val="15"/>
        </w:numPr>
      </w:pPr>
      <w:r>
        <w:t xml:space="preserve">Voor een reeks handelingen in de gezondheidszorg kan de rechter de beschermde persoon onbekwaam verklaren </w:t>
      </w:r>
      <w:r w:rsidR="004F660C">
        <w:t>zonder dat hier noodzakelijk een beslissing moet over genomen worden. Het bijzondere is wel dat voor deze “hoogstpersoonlijke handelingen” – zoals het instemmen met een huwelijk – geen bijstand of vertegenwoordiging mogelijk is.</w:t>
      </w:r>
      <w:r w:rsidR="00813F5D">
        <w:t xml:space="preserve"> Zoals VERSCHELDEN terecht benadrukt, is het gevolg hiervan dat de beschermde persoon ten gevolge van de beschermingsmaatregel dan niet meer kan genieten van deze rechten en op dat vlak dus “</w:t>
      </w:r>
      <w:proofErr w:type="spellStart"/>
      <w:r w:rsidR="00813F5D">
        <w:t>genotsonbekwaam</w:t>
      </w:r>
      <w:proofErr w:type="spellEnd"/>
      <w:r w:rsidR="00813F5D">
        <w:t xml:space="preserve">” wordt </w:t>
      </w:r>
      <w:r w:rsidR="00813F5D">
        <w:rPr>
          <w:rStyle w:val="Voetnootmarkering"/>
        </w:rPr>
        <w:footnoteReference w:id="69"/>
      </w:r>
      <w:r w:rsidR="00813F5D">
        <w:t>.</w:t>
      </w:r>
    </w:p>
    <w:p w:rsidR="00572BE7" w:rsidRDefault="00572BE7" w:rsidP="00572BE7">
      <w:pPr>
        <w:pStyle w:val="Lijstalinea"/>
      </w:pPr>
    </w:p>
    <w:p w:rsidR="004F660C" w:rsidRDefault="004F660C" w:rsidP="00572BE7">
      <w:pPr>
        <w:pStyle w:val="Lijstalinea"/>
      </w:pPr>
      <w:r>
        <w:t xml:space="preserve">Het gaat om </w:t>
      </w:r>
      <w:r w:rsidR="00077268">
        <w:t xml:space="preserve">de </w:t>
      </w:r>
      <w:r>
        <w:t>volgende handelingen in de gezondheidszorg:</w:t>
      </w:r>
    </w:p>
    <w:p w:rsidR="004F660C" w:rsidRDefault="004F660C" w:rsidP="00367CB1"/>
    <w:p w:rsidR="004F660C" w:rsidRDefault="004F660C" w:rsidP="004F660C">
      <w:pPr>
        <w:pStyle w:val="Lijstalinea"/>
        <w:numPr>
          <w:ilvl w:val="0"/>
          <w:numId w:val="4"/>
        </w:numPr>
      </w:pPr>
      <w:r>
        <w:t xml:space="preserve">Het verlenen van toestemming tot sterilisatie </w:t>
      </w:r>
      <w:r>
        <w:rPr>
          <w:rStyle w:val="Voetnootmarkering"/>
        </w:rPr>
        <w:footnoteReference w:id="70"/>
      </w:r>
      <w:r>
        <w:t>;</w:t>
      </w:r>
    </w:p>
    <w:p w:rsidR="004F660C" w:rsidRDefault="004F660C" w:rsidP="004F660C">
      <w:pPr>
        <w:pStyle w:val="Lijstalinea"/>
        <w:numPr>
          <w:ilvl w:val="0"/>
          <w:numId w:val="4"/>
        </w:numPr>
      </w:pPr>
      <w:r>
        <w:t xml:space="preserve">Het verlenen van toestemming tot een handeling van medisch begeleide voortplanting </w:t>
      </w:r>
      <w:r>
        <w:rPr>
          <w:rStyle w:val="Voetnootmarkering"/>
        </w:rPr>
        <w:footnoteReference w:id="71"/>
      </w:r>
      <w:r>
        <w:t>;</w:t>
      </w:r>
    </w:p>
    <w:p w:rsidR="004F660C" w:rsidRDefault="004F660C" w:rsidP="004F660C">
      <w:pPr>
        <w:pStyle w:val="Lijstalinea"/>
        <w:numPr>
          <w:ilvl w:val="0"/>
          <w:numId w:val="4"/>
        </w:numPr>
      </w:pPr>
      <w:r>
        <w:t xml:space="preserve">Het verzoek tot euthanasie </w:t>
      </w:r>
      <w:r>
        <w:rPr>
          <w:rStyle w:val="Voetnootmarkering"/>
        </w:rPr>
        <w:footnoteReference w:id="72"/>
      </w:r>
      <w:r>
        <w:t>;</w:t>
      </w:r>
    </w:p>
    <w:p w:rsidR="004F660C" w:rsidRDefault="004F660C" w:rsidP="004F660C">
      <w:pPr>
        <w:pStyle w:val="Lijstalinea"/>
        <w:numPr>
          <w:ilvl w:val="0"/>
          <w:numId w:val="4"/>
        </w:numPr>
      </w:pPr>
      <w:r>
        <w:t xml:space="preserve">Het verzoek tot uitvoering van een zwangerschapsafbreking </w:t>
      </w:r>
      <w:r>
        <w:rPr>
          <w:rStyle w:val="Voetnootmarkering"/>
        </w:rPr>
        <w:footnoteReference w:id="73"/>
      </w:r>
      <w:r>
        <w:t>;</w:t>
      </w:r>
    </w:p>
    <w:p w:rsidR="004F660C" w:rsidRDefault="00E36935" w:rsidP="004F660C">
      <w:pPr>
        <w:pStyle w:val="Lijstalinea"/>
        <w:numPr>
          <w:ilvl w:val="0"/>
          <w:numId w:val="4"/>
        </w:numPr>
      </w:pPr>
      <w:r>
        <w:t xml:space="preserve">Het verlenen van toestemming voor onderzoek op gameten of embryo’s </w:t>
      </w:r>
      <w:r>
        <w:rPr>
          <w:rStyle w:val="Voetnootmarkering"/>
        </w:rPr>
        <w:footnoteReference w:id="74"/>
      </w:r>
      <w:r>
        <w:t>;</w:t>
      </w:r>
    </w:p>
    <w:p w:rsidR="00E36935" w:rsidRDefault="00E36935" w:rsidP="004F660C">
      <w:pPr>
        <w:pStyle w:val="Lijstalinea"/>
        <w:numPr>
          <w:ilvl w:val="0"/>
          <w:numId w:val="4"/>
        </w:numPr>
      </w:pPr>
      <w:r>
        <w:t xml:space="preserve">Het verlenen van toestemming tot het afnemen van bloed </w:t>
      </w:r>
      <w:r>
        <w:rPr>
          <w:rStyle w:val="Voetnootmarkering"/>
        </w:rPr>
        <w:footnoteReference w:id="75"/>
      </w:r>
      <w:r>
        <w:t>.</w:t>
      </w:r>
    </w:p>
    <w:p w:rsidR="004924D2" w:rsidRDefault="004924D2" w:rsidP="004924D2"/>
    <w:p w:rsidR="004924D2" w:rsidRPr="00E36935" w:rsidRDefault="004924D2" w:rsidP="004924D2">
      <w:pPr>
        <w:pStyle w:val="Lijstalinea"/>
        <w:numPr>
          <w:ilvl w:val="0"/>
          <w:numId w:val="1"/>
        </w:numPr>
        <w:rPr>
          <w:b/>
        </w:rPr>
      </w:pPr>
      <w:r w:rsidRPr="00E36935">
        <w:rPr>
          <w:b/>
        </w:rPr>
        <w:t>Handelingen zonder enige vertegenwoordigingsmogelijkheid</w:t>
      </w:r>
    </w:p>
    <w:p w:rsidR="004924D2" w:rsidRDefault="004924D2" w:rsidP="007E79AF"/>
    <w:p w:rsidR="00E36935" w:rsidRPr="00E36935" w:rsidRDefault="002F03CA" w:rsidP="00E36935">
      <w:pPr>
        <w:pStyle w:val="Lijstalinea"/>
        <w:numPr>
          <w:ilvl w:val="0"/>
          <w:numId w:val="14"/>
        </w:numPr>
        <w:rPr>
          <w:b/>
        </w:rPr>
      </w:pPr>
      <w:r>
        <w:rPr>
          <w:b/>
        </w:rPr>
        <w:t xml:space="preserve">Algemeen:  onderscheid volgens het </w:t>
      </w:r>
      <w:r w:rsidR="00E36935" w:rsidRPr="00E36935">
        <w:rPr>
          <w:b/>
        </w:rPr>
        <w:t>belang voor de beschermde persoon</w:t>
      </w:r>
    </w:p>
    <w:p w:rsidR="007E79AF" w:rsidRDefault="007E79AF" w:rsidP="007E79AF"/>
    <w:p w:rsidR="00D06805" w:rsidRDefault="00111D52" w:rsidP="007E79AF">
      <w:pPr>
        <w:pStyle w:val="Lijstalinea"/>
        <w:numPr>
          <w:ilvl w:val="0"/>
          <w:numId w:val="15"/>
        </w:numPr>
      </w:pPr>
      <w:r>
        <w:t xml:space="preserve">Voor de hoogstpersoonlijke handelingen moet de vrederechter geen beslissing nemen, maar is </w:t>
      </w:r>
      <w:proofErr w:type="spellStart"/>
      <w:r>
        <w:t>personalisering</w:t>
      </w:r>
      <w:proofErr w:type="spellEnd"/>
      <w:r>
        <w:t xml:space="preserve"> ook nodig. Gelet op de moeilijkheden om een goede inschatting te maken van de capaciteiten van de beschermde persoon, kan ook hier de neiging bestaan om een beslissing “</w:t>
      </w:r>
      <w:r w:rsidRPr="00077268">
        <w:rPr>
          <w:i/>
        </w:rPr>
        <w:t xml:space="preserve">en </w:t>
      </w:r>
      <w:proofErr w:type="spellStart"/>
      <w:r w:rsidRPr="00077268">
        <w:rPr>
          <w:i/>
        </w:rPr>
        <w:t>bloc</w:t>
      </w:r>
      <w:proofErr w:type="spellEnd"/>
      <w:r>
        <w:t>” te nemen: ofwel bekwaam voor alle 26 handelingen in art. 497/2 BW, ofwel onbekwaam voor alle 26 handelingen in deze lijst.</w:t>
      </w:r>
      <w:r w:rsidR="002F03CA">
        <w:t xml:space="preserve"> </w:t>
      </w:r>
    </w:p>
    <w:p w:rsidR="00D06805" w:rsidRDefault="00D06805" w:rsidP="00D06805">
      <w:pPr>
        <w:pStyle w:val="Lijstalinea"/>
      </w:pPr>
    </w:p>
    <w:p w:rsidR="002F03CA" w:rsidRDefault="00111D52" w:rsidP="00D06805">
      <w:pPr>
        <w:pStyle w:val="Lijstalinea"/>
      </w:pPr>
      <w:r>
        <w:t xml:space="preserve">Met begrip voor de moeilijkheden om op voldoende gefundeerde wijze het onderscheid te maken </w:t>
      </w:r>
      <w:r w:rsidR="00EE0871">
        <w:t xml:space="preserve">tussen de verschillende rechtshandelingen, menen wij dat voor de handelingen in de gezondheidszorg toch een onderscheid kan gemaakt worden </w:t>
      </w:r>
      <w:r w:rsidR="00D06805">
        <w:t xml:space="preserve">op basis van </w:t>
      </w:r>
      <w:r w:rsidR="00EE0871">
        <w:t xml:space="preserve">het therapeutisch belang en de noodzaak voor de beschermde persoon zelf. Sommige handelingen uit de lijst </w:t>
      </w:r>
      <w:r w:rsidR="002F03CA">
        <w:t>(zoals bloed geven of onderzoek op embryo’s toestaan) hebben enkel belang voor de gemeenschap</w:t>
      </w:r>
      <w:r w:rsidR="00DA27E2">
        <w:t xml:space="preserve"> of </w:t>
      </w:r>
      <w:r w:rsidR="00D06805">
        <w:t xml:space="preserve">voor </w:t>
      </w:r>
      <w:r w:rsidR="00DA27E2">
        <w:t>andere patiënten</w:t>
      </w:r>
      <w:r w:rsidR="002F03CA">
        <w:t>. De beschermde persoon ondervindt geen enkel persoonlijk nadeel indien hij onbekwaam wordt verklaard om hiervoor toestemming te geven. Andere handelingen kunnen een zeer grote impact hebben op het persoonlijk leven van de beschermde persoon. Het voorbeeld bij uitstek is de zwangerschapsafbreking. Ook de beschermde vrouw kan ongewenst zwanger zijn en zich in een noodsituatie bevinden die leidt tot de volgehouden wens om de zwangerschap te beëindigen. Indien zij onbekwaam wordt verklaard om een verzoek tot zwangerschapsafbreking te formuleren, is het gevolg hiervan dat zij zal bevallen van het ongewenste kind, dat mogelijk verwekt is in omstandigheden die de opvang en de opvoeding uiterst moeilijk maken.</w:t>
      </w:r>
    </w:p>
    <w:p w:rsidR="002F03CA" w:rsidRDefault="002F03CA" w:rsidP="007E79AF"/>
    <w:p w:rsidR="009732FC" w:rsidRPr="006E319F" w:rsidRDefault="009732FC" w:rsidP="00E36935">
      <w:pPr>
        <w:pStyle w:val="Lijstalinea"/>
        <w:numPr>
          <w:ilvl w:val="0"/>
          <w:numId w:val="14"/>
        </w:numPr>
        <w:rPr>
          <w:b/>
        </w:rPr>
      </w:pPr>
      <w:r w:rsidRPr="006E319F">
        <w:rPr>
          <w:b/>
        </w:rPr>
        <w:t>Sterilisatie</w:t>
      </w:r>
    </w:p>
    <w:p w:rsidR="009A460E" w:rsidRDefault="009A460E" w:rsidP="009A460E">
      <w:pPr>
        <w:pStyle w:val="Lijstalinea"/>
      </w:pPr>
    </w:p>
    <w:p w:rsidR="00D06805" w:rsidRDefault="006E319F" w:rsidP="009A460E">
      <w:pPr>
        <w:pStyle w:val="Lijstalinea"/>
        <w:numPr>
          <w:ilvl w:val="0"/>
          <w:numId w:val="15"/>
        </w:numPr>
      </w:pPr>
      <w:r>
        <w:lastRenderedPageBreak/>
        <w:t xml:space="preserve">De sterilisatie van personen met een ernstige mentale handicap is een delicate en complexe materie </w:t>
      </w:r>
      <w:r w:rsidR="007A0C33">
        <w:rPr>
          <w:rStyle w:val="Voetnootmarkering"/>
        </w:rPr>
        <w:footnoteReference w:id="76"/>
      </w:r>
      <w:r w:rsidR="00D06805">
        <w:t xml:space="preserve"> </w:t>
      </w:r>
      <w:r>
        <w:t>waarover reeds advies werd verleend door het Raadgevend Comité voor Bio-ethiek</w:t>
      </w:r>
      <w:r w:rsidR="00E57F11">
        <w:t xml:space="preserve"> </w:t>
      </w:r>
      <w:r w:rsidR="00E57F11">
        <w:rPr>
          <w:rStyle w:val="Voetnootmarkering"/>
        </w:rPr>
        <w:footnoteReference w:id="77"/>
      </w:r>
      <w:r>
        <w:t xml:space="preserve"> en de Nationale Raad van de Orde der Artsen </w:t>
      </w:r>
      <w:r>
        <w:rPr>
          <w:rStyle w:val="Voetnootmarkering"/>
        </w:rPr>
        <w:footnoteReference w:id="78"/>
      </w:r>
      <w:r>
        <w:t xml:space="preserve">. </w:t>
      </w:r>
      <w:r w:rsidR="00D06805">
        <w:t xml:space="preserve"> </w:t>
      </w:r>
    </w:p>
    <w:p w:rsidR="00D06805" w:rsidRDefault="00D06805" w:rsidP="00D06805">
      <w:pPr>
        <w:pStyle w:val="Lijstalinea"/>
      </w:pPr>
    </w:p>
    <w:p w:rsidR="00D06805" w:rsidRDefault="00E57F11" w:rsidP="00D06805">
      <w:pPr>
        <w:pStyle w:val="Lijstalinea"/>
      </w:pPr>
      <w:r>
        <w:t xml:space="preserve">In uitzonderlijke omstandigheden werd aanvaard dat de sterilisatie van een handelingsonbekwame </w:t>
      </w:r>
      <w:r w:rsidR="009C144B">
        <w:t>meerderjarige die valt onder een beschermingsstatuut (zoals het oude statu</w:t>
      </w:r>
      <w:r w:rsidR="007A0C33">
        <w:t>u</w:t>
      </w:r>
      <w:r w:rsidR="009C144B">
        <w:t xml:space="preserve">t van </w:t>
      </w:r>
      <w:r w:rsidR="00D06805">
        <w:t xml:space="preserve">de </w:t>
      </w:r>
      <w:r w:rsidR="009C144B">
        <w:t xml:space="preserve">verlengde minderjarigheid) </w:t>
      </w:r>
      <w:r w:rsidR="007A0C33">
        <w:t>mogelijk is.</w:t>
      </w:r>
    </w:p>
    <w:p w:rsidR="00D06805" w:rsidRDefault="00D06805" w:rsidP="00D06805">
      <w:pPr>
        <w:pStyle w:val="Lijstalinea"/>
      </w:pPr>
    </w:p>
    <w:p w:rsidR="00D06805" w:rsidRDefault="007A0C33" w:rsidP="00D06805">
      <w:pPr>
        <w:pStyle w:val="Lijstalinea"/>
      </w:pPr>
      <w:r>
        <w:t>De wet van 17 maart 2013 heeft</w:t>
      </w:r>
      <w:r w:rsidR="007A54B2">
        <w:t xml:space="preserve"> de sterilisatie uitdrukkelijk uitgesloten als handeling die door </w:t>
      </w:r>
      <w:r w:rsidR="00077268">
        <w:t xml:space="preserve">de </w:t>
      </w:r>
      <w:r w:rsidR="007A54B2">
        <w:t>bewindvoerder bij vertegenwoordiging kan toegelaten worden. Zowel SWENNEN als NYS en BODDEZ hebben reeds terecht gepleit voor een aanpassing van de wet op dit punt</w:t>
      </w:r>
      <w:r w:rsidR="00A1697B">
        <w:t xml:space="preserve"> </w:t>
      </w:r>
      <w:r w:rsidR="00A1697B">
        <w:rPr>
          <w:rStyle w:val="Voetnootmarkering"/>
        </w:rPr>
        <w:footnoteReference w:id="79"/>
      </w:r>
      <w:r w:rsidR="007A54B2">
        <w:t>.</w:t>
      </w:r>
    </w:p>
    <w:p w:rsidR="00D06805" w:rsidRDefault="00D06805" w:rsidP="00D06805">
      <w:pPr>
        <w:pStyle w:val="Lijstalinea"/>
      </w:pPr>
    </w:p>
    <w:p w:rsidR="00D06805" w:rsidRDefault="007A54B2" w:rsidP="009A460E">
      <w:pPr>
        <w:pStyle w:val="Lijstalinea"/>
        <w:numPr>
          <w:ilvl w:val="0"/>
          <w:numId w:val="15"/>
        </w:numPr>
      </w:pPr>
      <w:r>
        <w:t xml:space="preserve">In een uitgebreid advies wees de Nationale Raad van de Orde der Artsen </w:t>
      </w:r>
      <w:r w:rsidR="004708D1">
        <w:t xml:space="preserve">in 2014 </w:t>
      </w:r>
      <w:r>
        <w:t xml:space="preserve">ook op </w:t>
      </w:r>
      <w:r w:rsidR="00077268">
        <w:t xml:space="preserve">een </w:t>
      </w:r>
      <w:r>
        <w:t>tegenstrijdigheid tussen de</w:t>
      </w:r>
      <w:r w:rsidR="004708D1">
        <w:t xml:space="preserve"> omvang van de</w:t>
      </w:r>
      <w:r>
        <w:t xml:space="preserve"> vertegenwoordi</w:t>
      </w:r>
      <w:r w:rsidR="004708D1">
        <w:t>gi</w:t>
      </w:r>
      <w:r>
        <w:t>ngsbevoegdheid van de bewindvoerder over de pe</w:t>
      </w:r>
      <w:r w:rsidR="00D06805">
        <w:t>rsoon, de (door de patiënt) benoemde vertegenwoordiger</w:t>
      </w:r>
      <w:r w:rsidR="004708D1">
        <w:t xml:space="preserve"> en de wettelijke vertegenwoordiger</w:t>
      </w:r>
      <w:r w:rsidR="007E3750">
        <w:t xml:space="preserve"> </w:t>
      </w:r>
      <w:r w:rsidR="007E3750">
        <w:rPr>
          <w:rStyle w:val="Voetnootmarkering"/>
        </w:rPr>
        <w:footnoteReference w:id="80"/>
      </w:r>
      <w:r w:rsidR="004708D1">
        <w:t>. De Orde meent dat het in uitzonderlijke omstandigheden en indien andere anticonceptiemiddelen onbetrouwbaar of schadelijk zouden zijn, met voldoende zorgvuldigheid en extern advies moet mogelijk blijven om een st</w:t>
      </w:r>
      <w:r w:rsidR="00A1697B">
        <w:t xml:space="preserve">erilisatie met toestemming van een </w:t>
      </w:r>
      <w:r w:rsidR="004708D1">
        <w:t xml:space="preserve">vertegenwoordiger uit te voeren. In een brief aan de minister van volksgezondheid werd </w:t>
      </w:r>
      <w:r w:rsidR="00D06805">
        <w:t xml:space="preserve">in 2014 </w:t>
      </w:r>
      <w:r w:rsidR="004708D1">
        <w:t>gevra</w:t>
      </w:r>
      <w:r w:rsidR="00D06805">
        <w:t xml:space="preserve">agd om hierover advies in te winnen bij </w:t>
      </w:r>
      <w:r w:rsidR="004708D1">
        <w:t>de Federale Commissie “Rechten van de Patiënt”. Dit advies werd tot op heden nog niet uitgebracht (of minstens nog niet gepubliceerd).</w:t>
      </w:r>
    </w:p>
    <w:p w:rsidR="00D06805" w:rsidRDefault="00D06805" w:rsidP="00D06805">
      <w:pPr>
        <w:pStyle w:val="Lijstalinea"/>
      </w:pPr>
    </w:p>
    <w:p w:rsidR="009A460E" w:rsidRDefault="007E3750" w:rsidP="009A460E">
      <w:pPr>
        <w:pStyle w:val="Lijstalinea"/>
        <w:numPr>
          <w:ilvl w:val="0"/>
          <w:numId w:val="15"/>
        </w:numPr>
      </w:pPr>
      <w:r>
        <w:t xml:space="preserve">Een voor de praktijk belangrijke nuance is wel dat het niet uitgesloten is om de bewindvoerder toe te laten om in te stemmen met andere anticonceptiemiddelen zoals de zogenaamde “prikpil”. Indien de beschermde persoon onbekwaam wordt verklaard om zelf zijn rechten als patiënt uit te oefenen, kan de bewindvoerder aangeduid worden om de rechten als patiënt uit te oefenen en kan de bewindvoerder aan de vrederechter machtiging vragen om in te stemmen met een contraceptieve handeling. Zo machtigde de </w:t>
      </w:r>
      <w:r w:rsidR="002A57C6">
        <w:t xml:space="preserve">vrederechter van het vijfde kanton </w:t>
      </w:r>
      <w:r>
        <w:t xml:space="preserve">Brussel </w:t>
      </w:r>
      <w:r w:rsidR="002A57C6">
        <w:t xml:space="preserve">de bewindvoerder om de </w:t>
      </w:r>
      <w:proofErr w:type="spellStart"/>
      <w:r w:rsidR="002A57C6">
        <w:t>patiëntenrechten</w:t>
      </w:r>
      <w:proofErr w:type="spellEnd"/>
      <w:r w:rsidR="002A57C6">
        <w:t xml:space="preserve"> uit te oefenen in verband met een medische behandeling omschreven als “</w:t>
      </w:r>
      <w:proofErr w:type="spellStart"/>
      <w:r w:rsidR="002A57C6">
        <w:t>médicati</w:t>
      </w:r>
      <w:r w:rsidR="00926533">
        <w:t>on</w:t>
      </w:r>
      <w:proofErr w:type="spellEnd"/>
      <w:r w:rsidR="00926533">
        <w:t xml:space="preserve"> à </w:t>
      </w:r>
      <w:proofErr w:type="spellStart"/>
      <w:r w:rsidR="00926533">
        <w:t>visée</w:t>
      </w:r>
      <w:proofErr w:type="spellEnd"/>
      <w:r w:rsidR="00926533">
        <w:t xml:space="preserve"> </w:t>
      </w:r>
      <w:proofErr w:type="spellStart"/>
      <w:r w:rsidR="00926533">
        <w:t>contraceptive</w:t>
      </w:r>
      <w:proofErr w:type="spellEnd"/>
      <w:r w:rsidR="00926533">
        <w:t xml:space="preserve"> </w:t>
      </w:r>
      <w:proofErr w:type="spellStart"/>
      <w:r w:rsidR="00926533">
        <w:t>adapté</w:t>
      </w:r>
      <w:r w:rsidR="002A57C6">
        <w:t>e</w:t>
      </w:r>
      <w:proofErr w:type="spellEnd"/>
      <w:r w:rsidR="002A57C6">
        <w:t xml:space="preserve"> à </w:t>
      </w:r>
      <w:proofErr w:type="spellStart"/>
      <w:r w:rsidR="002A57C6">
        <w:t>son</w:t>
      </w:r>
      <w:proofErr w:type="spellEnd"/>
      <w:r w:rsidR="002A57C6">
        <w:t xml:space="preserve"> </w:t>
      </w:r>
      <w:proofErr w:type="spellStart"/>
      <w:r w:rsidR="002A57C6">
        <w:t>état</w:t>
      </w:r>
      <w:proofErr w:type="spellEnd"/>
      <w:r w:rsidR="002A57C6">
        <w:t xml:space="preserve"> de santé”</w:t>
      </w:r>
      <w:r>
        <w:t xml:space="preserve"> </w:t>
      </w:r>
      <w:r w:rsidR="002A57C6">
        <w:rPr>
          <w:rStyle w:val="Voetnootmarkering"/>
        </w:rPr>
        <w:footnoteReference w:id="81"/>
      </w:r>
      <w:r>
        <w:t>.</w:t>
      </w:r>
    </w:p>
    <w:p w:rsidR="00C024B9" w:rsidRDefault="00C024B9" w:rsidP="009A460E"/>
    <w:p w:rsidR="009732FC" w:rsidRPr="00E972FB" w:rsidRDefault="009732FC" w:rsidP="00E36935">
      <w:pPr>
        <w:pStyle w:val="Lijstalinea"/>
        <w:numPr>
          <w:ilvl w:val="0"/>
          <w:numId w:val="14"/>
        </w:numPr>
        <w:rPr>
          <w:b/>
        </w:rPr>
      </w:pPr>
      <w:r w:rsidRPr="00E972FB">
        <w:rPr>
          <w:b/>
        </w:rPr>
        <w:t>Medisch begeleide voortplanting</w:t>
      </w:r>
    </w:p>
    <w:p w:rsidR="00D06805" w:rsidRDefault="00E972FB" w:rsidP="00E972FB">
      <w:pPr>
        <w:pStyle w:val="Lijstalinea"/>
        <w:numPr>
          <w:ilvl w:val="0"/>
          <w:numId w:val="15"/>
        </w:numPr>
      </w:pPr>
      <w:r>
        <w:lastRenderedPageBreak/>
        <w:t>De beschermde persoon kan ook onbekwaam verklaard worden voor het verlenen van toestemming  tot een handeling van medisch begeleide voortplanting zoals bedoeld in de wet van 6 juli 2007 betreffende de medische begeleide voortplanting</w:t>
      </w:r>
      <w:r w:rsidR="00CB07C5">
        <w:t>.</w:t>
      </w:r>
    </w:p>
    <w:p w:rsidR="00D06805" w:rsidRDefault="00D06805" w:rsidP="00D06805">
      <w:pPr>
        <w:pStyle w:val="Lijstalinea"/>
      </w:pPr>
    </w:p>
    <w:p w:rsidR="00D06805" w:rsidRDefault="00CB07C5" w:rsidP="00D06805">
      <w:pPr>
        <w:pStyle w:val="Lijstalinea"/>
      </w:pPr>
      <w:r>
        <w:t>Het gaat om alle handelingen van medisch begeleide voortplanting</w:t>
      </w:r>
      <w:r w:rsidR="00F52721">
        <w:t xml:space="preserve"> bedoeld in de wet van 2007</w:t>
      </w:r>
      <w:r>
        <w:t xml:space="preserve">. Zowel de meer eenvoudige </w:t>
      </w:r>
      <w:r w:rsidR="00F52721">
        <w:t xml:space="preserve">handelingen </w:t>
      </w:r>
      <w:r>
        <w:t xml:space="preserve">zoals kunstmatige inseminatie </w:t>
      </w:r>
      <w:r w:rsidR="00C024B9">
        <w:t xml:space="preserve">(KI) </w:t>
      </w:r>
      <w:r>
        <w:t xml:space="preserve">als de “hoogtechnologische” zoals </w:t>
      </w:r>
      <w:proofErr w:type="spellStart"/>
      <w:r>
        <w:t>in-vitro-fertilisatie</w:t>
      </w:r>
      <w:proofErr w:type="spellEnd"/>
      <w:r w:rsidR="00C024B9">
        <w:t xml:space="preserve"> (IVF)</w:t>
      </w:r>
      <w:r>
        <w:t xml:space="preserve"> en pre-implantatie-di</w:t>
      </w:r>
      <w:r w:rsidR="00F52721">
        <w:t xml:space="preserve">agnose na </w:t>
      </w:r>
      <w:proofErr w:type="spellStart"/>
      <w:r w:rsidR="00F52721">
        <w:t>in-vitro-fertilisatie</w:t>
      </w:r>
      <w:proofErr w:type="spellEnd"/>
      <w:r w:rsidR="00F52721">
        <w:t xml:space="preserve"> </w:t>
      </w:r>
      <w:r w:rsidR="00F52721">
        <w:rPr>
          <w:rStyle w:val="Voetnootmarkering"/>
        </w:rPr>
        <w:footnoteReference w:id="82"/>
      </w:r>
      <w:r w:rsidR="00F52721">
        <w:t>. Andere fertiliteitsb</w:t>
      </w:r>
      <w:r w:rsidR="00D06805">
        <w:t>ehandelingen die enkel ingrijpen op de man of de vrouw afzonderlijk</w:t>
      </w:r>
      <w:r w:rsidR="00F52721">
        <w:t xml:space="preserve"> (zoals hormoontherapie of chirurgische ingrepen aan baarmoeder of testes) vallen hier niet onder.</w:t>
      </w:r>
    </w:p>
    <w:p w:rsidR="00D06805" w:rsidRDefault="00D06805" w:rsidP="00D06805">
      <w:pPr>
        <w:pStyle w:val="Lijstalinea"/>
      </w:pPr>
    </w:p>
    <w:p w:rsidR="00D06805" w:rsidRDefault="00CB07C5" w:rsidP="00E972FB">
      <w:pPr>
        <w:pStyle w:val="Lijstalinea"/>
        <w:numPr>
          <w:ilvl w:val="0"/>
          <w:numId w:val="15"/>
        </w:numPr>
      </w:pPr>
      <w:r>
        <w:t>Het gaat over een hoogstpersoonlijke handeling waarvoor geen vertegenwoordiging door de bewindvoerder mogelijk is. Concreet gevo</w:t>
      </w:r>
      <w:r w:rsidR="00C024B9">
        <w:t xml:space="preserve">lg van de </w:t>
      </w:r>
      <w:proofErr w:type="spellStart"/>
      <w:r w:rsidR="00C024B9">
        <w:t>onbekwaamverklaring</w:t>
      </w:r>
      <w:proofErr w:type="spellEnd"/>
      <w:r w:rsidR="00C024B9">
        <w:t xml:space="preserve"> zal dus zijn</w:t>
      </w:r>
      <w:r>
        <w:t xml:space="preserve"> dat een beschermde persoon met</w:t>
      </w:r>
      <w:r w:rsidR="00F52721">
        <w:t xml:space="preserve"> fertiliteitsproblemen waarvoor KI of IVF nodig is, </w:t>
      </w:r>
      <w:r>
        <w:t xml:space="preserve">geen kinderen zal kunnen krijgen. Dit kan – in het belang van </w:t>
      </w:r>
      <w:r w:rsidR="00D06805">
        <w:t xml:space="preserve">de </w:t>
      </w:r>
      <w:r>
        <w:t>mogelijk toekomstige kinderen – een geoorloofde bedoeling van de maatregel zijn, maar het is wel een verregaande ingreep in het principiële recht van elke persoon om zich voort te planten.</w:t>
      </w:r>
      <w:r w:rsidR="00C024B9">
        <w:t xml:space="preserve"> Het maakt het ook onmogelijk om door middel van pre-implantatie-diagnose de overdracht van een genetische aandoening te vermijden.</w:t>
      </w:r>
    </w:p>
    <w:p w:rsidR="00D06805" w:rsidRDefault="00D06805" w:rsidP="00D06805">
      <w:pPr>
        <w:pStyle w:val="Lijstalinea"/>
      </w:pPr>
    </w:p>
    <w:p w:rsidR="00CB07C5" w:rsidRDefault="00CB07C5" w:rsidP="00D06805">
      <w:pPr>
        <w:pStyle w:val="Lijstalinea"/>
      </w:pPr>
      <w:r>
        <w:t xml:space="preserve">Indien de vrederechter meent dat er geen bezwaar is dat de beschermde persoon door gewoon </w:t>
      </w:r>
      <w:r w:rsidR="00D06805">
        <w:t xml:space="preserve">onbeschermd </w:t>
      </w:r>
      <w:r w:rsidR="00077268">
        <w:t>seksueel</w:t>
      </w:r>
      <w:r>
        <w:t xml:space="preserve"> contact ouder zou kunnen worden,  </w:t>
      </w:r>
      <w:r w:rsidR="00C024B9">
        <w:t xml:space="preserve">zien wij dan ook geen reden om de persoon onbekwaam te verklaren om in te stemmen met </w:t>
      </w:r>
      <w:r w:rsidR="00077268">
        <w:t xml:space="preserve">een </w:t>
      </w:r>
      <w:r w:rsidR="00C024B9">
        <w:t>medisch begeleide voortplanting.</w:t>
      </w:r>
    </w:p>
    <w:p w:rsidR="00E972FB" w:rsidRDefault="00E972FB" w:rsidP="00E972FB"/>
    <w:p w:rsidR="009732FC" w:rsidRDefault="00A2326D" w:rsidP="00E36935">
      <w:pPr>
        <w:pStyle w:val="Lijstalinea"/>
        <w:numPr>
          <w:ilvl w:val="0"/>
          <w:numId w:val="14"/>
        </w:numPr>
        <w:rPr>
          <w:b/>
        </w:rPr>
      </w:pPr>
      <w:r w:rsidRPr="00C024B9">
        <w:rPr>
          <w:b/>
        </w:rPr>
        <w:t>Euthanasie</w:t>
      </w:r>
    </w:p>
    <w:p w:rsidR="00D06805" w:rsidRPr="00C024B9" w:rsidRDefault="00D06805" w:rsidP="00D06805">
      <w:pPr>
        <w:pStyle w:val="Lijstalinea"/>
        <w:rPr>
          <w:b/>
        </w:rPr>
      </w:pPr>
    </w:p>
    <w:p w:rsidR="00D06805" w:rsidRDefault="00636A90" w:rsidP="00D06805">
      <w:pPr>
        <w:pStyle w:val="Lijstalinea"/>
        <w:numPr>
          <w:ilvl w:val="0"/>
          <w:numId w:val="15"/>
        </w:numPr>
      </w:pPr>
      <w:r>
        <w:t>Indien de beschermde persoon onbekwaam wordt verklaard om een euthanasieverzoek in</w:t>
      </w:r>
      <w:r w:rsidR="004C7C95">
        <w:t xml:space="preserve"> te dienen, zal euthanasie op actueel verzoek onmogelijk worden. </w:t>
      </w:r>
      <w:r w:rsidR="00D06805">
        <w:t>Vertegenwoordiging is immers onmogelijk.</w:t>
      </w:r>
    </w:p>
    <w:p w:rsidR="00D06805" w:rsidRDefault="00D06805" w:rsidP="00D06805">
      <w:pPr>
        <w:pStyle w:val="Lijstalinea"/>
      </w:pPr>
    </w:p>
    <w:p w:rsidR="00D06805" w:rsidRDefault="004C7C95" w:rsidP="00D06805">
      <w:pPr>
        <w:pStyle w:val="Lijstalinea"/>
      </w:pPr>
      <w:r>
        <w:t>Voor een patiënt die voldoet aan de criteria voor een beschermingsmaatregel is deze beslissing van de vrederechter eigenlijk overbodig. De arts die de euthanasie uitvoert moet er zich immers (vooraf) “van verzekerd” hebben dat de patiënt een “handelingsbekwame meerderjarige” is of een “</w:t>
      </w:r>
      <w:proofErr w:type="spellStart"/>
      <w:r>
        <w:t>oordeelsbekwame</w:t>
      </w:r>
      <w:proofErr w:type="spellEnd"/>
      <w:r>
        <w:t xml:space="preserve"> minderjarige” en dat deze “bewust is op het ogenblik van zijn verzoek”  </w:t>
      </w:r>
      <w:r>
        <w:rPr>
          <w:rStyle w:val="Voetnootmarkering"/>
        </w:rPr>
        <w:footnoteReference w:id="83"/>
      </w:r>
      <w:r>
        <w:t>.</w:t>
      </w:r>
      <w:r w:rsidR="00E1033B">
        <w:t xml:space="preserve"> </w:t>
      </w:r>
      <w:r w:rsidR="00602175">
        <w:t xml:space="preserve"> Men mag er dus van uitgaan dat de toetsing van de handelingsbekwaamheid gebeurt op het ogenblik waarop de patiënt de euthanasie vraagt. Het is immers de kern van de euthanasiewet dat euthanasie slechts kan gevraagd worden door een handelingsbekwame patiënt.</w:t>
      </w:r>
    </w:p>
    <w:p w:rsidR="00D06805" w:rsidRDefault="00D06805" w:rsidP="00D06805">
      <w:pPr>
        <w:pStyle w:val="Lijstalinea"/>
      </w:pPr>
    </w:p>
    <w:p w:rsidR="00D06805" w:rsidRDefault="004C7C95" w:rsidP="00D06805">
      <w:pPr>
        <w:pStyle w:val="Lijstalinea"/>
      </w:pPr>
      <w:r>
        <w:t>Ook het ondertekenen van een wilsverklaring tot euthanasie kan door de beslissing van de vrederechter onmogelijk worden</w:t>
      </w:r>
      <w:r w:rsidR="00E1033B">
        <w:t xml:space="preserve">, maar was </w:t>
      </w:r>
      <w:proofErr w:type="spellStart"/>
      <w:r w:rsidR="00602175">
        <w:t>vòòr</w:t>
      </w:r>
      <w:proofErr w:type="spellEnd"/>
      <w:r w:rsidR="00602175">
        <w:t xml:space="preserve"> de wet van 17 maart 2013 </w:t>
      </w:r>
      <w:r w:rsidR="00E1033B">
        <w:t xml:space="preserve">reeds gebonden aan de voorwaarde dat de patiënt op het </w:t>
      </w:r>
      <w:r w:rsidR="00D06805">
        <w:t>ogenblik van de ondertekening handelings</w:t>
      </w:r>
      <w:r w:rsidR="00E1033B">
        <w:t xml:space="preserve">bekwaam was. Hier kan de beslissing van de vrederechter wel duidelijkheid </w:t>
      </w:r>
      <w:r w:rsidR="00E1033B">
        <w:lastRenderedPageBreak/>
        <w:t>scheppen over het moment vanaf wanneer de betrokkene handelingsonbekwaam was. Dit is bij een retroactieve beoordeling van een vijf jaar geldige wilsverklaring immers niet eenvoudig</w:t>
      </w:r>
      <w:r w:rsidR="00602175">
        <w:t>.</w:t>
      </w:r>
    </w:p>
    <w:p w:rsidR="00D06805" w:rsidRDefault="00D06805" w:rsidP="00D06805">
      <w:pPr>
        <w:pStyle w:val="Lijstalinea"/>
      </w:pPr>
    </w:p>
    <w:p w:rsidR="00D06805" w:rsidRDefault="00602175" w:rsidP="00D06805">
      <w:pPr>
        <w:pStyle w:val="Lijstalinea"/>
        <w:numPr>
          <w:ilvl w:val="0"/>
          <w:numId w:val="15"/>
        </w:numPr>
      </w:pPr>
      <w:r>
        <w:t xml:space="preserve">Het is wel belangrijk om het uiterst beperkt toepassingsgebied van de wilsverklaring inzake euthanasie niet uit het oog te verliezen. De wilsverklaring mag slechts toegepast worden bij een patiënt die niet meer bij bewustzijn is en waarbij de toestand van verlies van bewustzijn door twee artsen als onomkeerbaar wordt aanzien </w:t>
      </w:r>
      <w:r>
        <w:rPr>
          <w:rStyle w:val="Voetnootmarkering"/>
        </w:rPr>
        <w:footnoteReference w:id="84"/>
      </w:r>
      <w:r w:rsidR="005F05C9">
        <w:t xml:space="preserve">. Het verlies van bewustzijn houdt in dat de patiënt zijn wil niet meer kan uiten en niet meer reageert op externe prikkels </w:t>
      </w:r>
      <w:r w:rsidR="005F05C9">
        <w:rPr>
          <w:rStyle w:val="Voetnootmarkering"/>
        </w:rPr>
        <w:footnoteReference w:id="85"/>
      </w:r>
      <w:r w:rsidR="005F05C9">
        <w:t>.</w:t>
      </w:r>
    </w:p>
    <w:p w:rsidR="00D06805" w:rsidRDefault="00D06805" w:rsidP="00D06805">
      <w:pPr>
        <w:pStyle w:val="Lijstalinea"/>
      </w:pPr>
    </w:p>
    <w:p w:rsidR="00D23B33" w:rsidRDefault="00A5145B" w:rsidP="00A5145B">
      <w:pPr>
        <w:pStyle w:val="Lijstalinea"/>
        <w:numPr>
          <w:ilvl w:val="0"/>
          <w:numId w:val="15"/>
        </w:numPr>
      </w:pPr>
      <w:r>
        <w:t xml:space="preserve">In een bijzonder geval werd aan de vrederechter, die eerder de bewindvoerder gemachtigd had de </w:t>
      </w:r>
      <w:proofErr w:type="spellStart"/>
      <w:r>
        <w:t>patiëntenrechten</w:t>
      </w:r>
      <w:proofErr w:type="spellEnd"/>
      <w:r>
        <w:t xml:space="preserve"> uit te oefenen, gevraagd om deze bewindvoerder te machtigen een wilsverklaring inzake euthanasie te tekenen</w:t>
      </w:r>
      <w:r w:rsidR="000C54EB">
        <w:t xml:space="preserve"> </w:t>
      </w:r>
      <w:r w:rsidR="000C54EB">
        <w:rPr>
          <w:rStyle w:val="Voetnootmarkering"/>
        </w:rPr>
        <w:footnoteReference w:id="86"/>
      </w:r>
      <w:r>
        <w:t>. De vrederech</w:t>
      </w:r>
      <w:r w:rsidR="00B46D4B">
        <w:t>ter wees dit verzoek terecht af omdat volgens de euthanasiewet een wilsverklaring moet ondertekend worden door een persoon die op het ogenblik van de wilsuiting “handelingsbekwaam” is en geldt voor de situatie waarbij de persoon in de toekomst zou getroffen zijn door een ernstige en ongeneeslijke aandoening en op onomkeerbare wijze niet meer bij bewustzijn is</w:t>
      </w:r>
      <w:r w:rsidR="00B46D4B">
        <w:rPr>
          <w:rStyle w:val="Voetnootmarkering"/>
        </w:rPr>
        <w:footnoteReference w:id="87"/>
      </w:r>
      <w:r w:rsidR="00D23B33">
        <w:t>.</w:t>
      </w:r>
    </w:p>
    <w:p w:rsidR="00D06805" w:rsidRDefault="00D06805" w:rsidP="00D06805">
      <w:pPr>
        <w:pStyle w:val="Lijstalinea"/>
      </w:pPr>
    </w:p>
    <w:p w:rsidR="00D06805" w:rsidRDefault="00D06805" w:rsidP="00D06805">
      <w:pPr>
        <w:pStyle w:val="Lijstalinea"/>
      </w:pPr>
    </w:p>
    <w:p w:rsidR="00A5145B" w:rsidRDefault="00E527E7" w:rsidP="00D06805">
      <w:pPr>
        <w:pStyle w:val="Lijstalinea"/>
        <w:numPr>
          <w:ilvl w:val="0"/>
          <w:numId w:val="15"/>
        </w:numPr>
      </w:pPr>
      <w:r>
        <w:t xml:space="preserve">In een ander geval vroegen de bewindvoerders, die namens de beschermde dame haar </w:t>
      </w:r>
      <w:proofErr w:type="spellStart"/>
      <w:r>
        <w:t>patiëntenrechten</w:t>
      </w:r>
      <w:proofErr w:type="spellEnd"/>
      <w:r>
        <w:t xml:space="preserve"> mochten uitoefenen,  aan de vrederechter machtiging om de geldigheidsduur te mogen verlengen van een wilsverklaring die eerder door de beschermde persoon was ondertekend, maar waarvan de geldigheidsduur van vijf jaar verstreken was. In het oorspronkelijk vonnis betreffende de beschermingsmaatregel was de betrokken vrouw evenwel niet onbekwaam verk</w:t>
      </w:r>
      <w:r w:rsidR="00B3214B">
        <w:t xml:space="preserve">laard om </w:t>
      </w:r>
      <w:r>
        <w:t>een verzoek tot euthanasie</w:t>
      </w:r>
      <w:r w:rsidR="00B3214B">
        <w:t xml:space="preserve"> in te dienen. De vrederechter meende dan ook dat de beschermde persoon zelf bevoegd bleef om een verzoek tot euthanasie te formuleren en de wilsverklaring te herbevestigen </w:t>
      </w:r>
      <w:r w:rsidR="00D23B33">
        <w:rPr>
          <w:rStyle w:val="Voetnootmarkering"/>
        </w:rPr>
        <w:footnoteReference w:id="88"/>
      </w:r>
      <w:r w:rsidR="00B3214B">
        <w:t xml:space="preserve">. </w:t>
      </w:r>
      <w:r w:rsidR="00B46D4B">
        <w:t xml:space="preserve"> </w:t>
      </w:r>
      <w:r w:rsidR="00B3214B">
        <w:t>Indien de beschermde persoon initieel wel onbekwaam zou verklaard zou geweest zijn om euthanasie te vragen, zou het verzoek van de bewindvoerders moeten afgewezen zijn aangezien dit een handeling is waarvoor geen vertegenwoordiging mogelijk is. De casus toont wel de onvermoede neveneffecten van de geldigheidsduur aan die kan verstrijken op een ogenblik waarop de patiënt onbekwaam kan zijn om een nieuwe wilsverklaring af te leggen.</w:t>
      </w:r>
    </w:p>
    <w:p w:rsidR="00B3214B" w:rsidRDefault="00B3214B" w:rsidP="00A5145B"/>
    <w:p w:rsidR="005F05C9" w:rsidRDefault="00B3214B" w:rsidP="00D06805">
      <w:pPr>
        <w:pStyle w:val="Lijstalinea"/>
        <w:numPr>
          <w:ilvl w:val="0"/>
          <w:numId w:val="15"/>
        </w:numPr>
      </w:pPr>
      <w:r>
        <w:t>Dat de bewindvoerder de beschermde persoon niet kan vertegenwoordigen bij de formulering van een euthana</w:t>
      </w:r>
      <w:r w:rsidR="00ED2FA5">
        <w:t xml:space="preserve">sieverzoek, sluit wel niet uit dat hij op </w:t>
      </w:r>
      <w:r w:rsidR="00AC477B">
        <w:t xml:space="preserve">een </w:t>
      </w:r>
      <w:r w:rsidR="00ED2FA5">
        <w:t>andere wijze kan waken of mee kan waken over medische besl</w:t>
      </w:r>
      <w:r w:rsidR="00D023C8">
        <w:t xml:space="preserve">issingen inzake het levenseinde. </w:t>
      </w:r>
      <w:r w:rsidR="00ED2FA5">
        <w:t>Zo</w:t>
      </w:r>
      <w:r w:rsidR="00D023C8">
        <w:t xml:space="preserve"> is het mogelijk dat de beschermde persoon vroeger </w:t>
      </w:r>
      <w:r w:rsidR="00ED2FA5">
        <w:t>een negatieve voorafgaande w</w:t>
      </w:r>
      <w:r w:rsidR="00DD7569">
        <w:t>ilsverklaring heeft afgelegd</w:t>
      </w:r>
      <w:r w:rsidR="00D023C8">
        <w:t xml:space="preserve"> met beschrijving van de medische handelingen (zoals reanimatie of kunstmatige beademing) waarvan hij niet wenst dat zij gestart worden </w:t>
      </w:r>
      <w:r w:rsidR="00DD7569">
        <w:t>. I</w:t>
      </w:r>
      <w:r w:rsidR="00D023C8">
        <w:t xml:space="preserve">ndien de </w:t>
      </w:r>
      <w:r w:rsidR="00D023C8">
        <w:lastRenderedPageBreak/>
        <w:t xml:space="preserve">bewindvoerder de </w:t>
      </w:r>
      <w:proofErr w:type="spellStart"/>
      <w:r w:rsidR="00D023C8">
        <w:t>patiëntenrechten</w:t>
      </w:r>
      <w:proofErr w:type="spellEnd"/>
      <w:r w:rsidR="00D023C8">
        <w:t xml:space="preserve"> van de beschermde persoon uitoefent, kan hij mee waken over de eerbiediging van deze negatieve voorafgaande wilsverklaring.</w:t>
      </w:r>
    </w:p>
    <w:p w:rsidR="005F05C9" w:rsidRDefault="005F05C9" w:rsidP="00A5145B"/>
    <w:p w:rsidR="00A2326D" w:rsidRPr="00C024B9" w:rsidRDefault="00A2326D" w:rsidP="00E36935">
      <w:pPr>
        <w:pStyle w:val="Lijstalinea"/>
        <w:numPr>
          <w:ilvl w:val="0"/>
          <w:numId w:val="14"/>
        </w:numPr>
        <w:rPr>
          <w:b/>
        </w:rPr>
      </w:pPr>
      <w:r w:rsidRPr="00C024B9">
        <w:rPr>
          <w:b/>
        </w:rPr>
        <w:t>Zwangerschapsafbreking</w:t>
      </w:r>
    </w:p>
    <w:p w:rsidR="00C024B9" w:rsidRDefault="00C024B9" w:rsidP="00D06805">
      <w:pPr>
        <w:pStyle w:val="Lijstalinea"/>
        <w:numPr>
          <w:ilvl w:val="0"/>
          <w:numId w:val="15"/>
        </w:numPr>
      </w:pPr>
      <w:r>
        <w:t>Indien de beschermde persoon onbekwaam wordt verklaard om een zwangerschapsafbreking te vragen, zal een legaal uitgevoerde abortus dus volledig onmogelijk worden, zowel op grond van een noodsituatie tijdens de eerste twaalf weken van de zwangerschap, als op grond van een “uiterst zware kwaal” bij de foetus tijdens de latere periode van de zwangerschap.</w:t>
      </w:r>
    </w:p>
    <w:p w:rsidR="00C024B9" w:rsidRDefault="00C024B9" w:rsidP="00E36935"/>
    <w:p w:rsidR="00C024B9" w:rsidRDefault="00C024B9" w:rsidP="00D06805">
      <w:pPr>
        <w:pStyle w:val="Lijstalinea"/>
        <w:numPr>
          <w:ilvl w:val="0"/>
          <w:numId w:val="15"/>
        </w:numPr>
      </w:pPr>
      <w:r>
        <w:t>Dit kan dus tot gevolg hebben dat een ongewenste en ongeplande zwangerschap bij een vrouw die mogelijk niet in staat is om zelf</w:t>
      </w:r>
      <w:r w:rsidR="00D329A0">
        <w:t>standig voor het kind te zorgen</w:t>
      </w:r>
      <w:r w:rsidR="00636A90">
        <w:t>, moet voldragen worden en dat ook niet kan ingegrepen worden indien tijdens het tweede trimester van de zwangerschap een ernstige handicap bij de foetus vastgesteld wordt.</w:t>
      </w:r>
    </w:p>
    <w:p w:rsidR="00636A90" w:rsidRDefault="00636A90" w:rsidP="00E36935"/>
    <w:p w:rsidR="00D023C8" w:rsidRDefault="00D023C8">
      <w:pPr>
        <w:spacing w:line="259" w:lineRule="auto"/>
      </w:pPr>
      <w:r>
        <w:br w:type="page"/>
      </w:r>
    </w:p>
    <w:p w:rsidR="00E527E7" w:rsidRDefault="00E527E7" w:rsidP="00E36935"/>
    <w:p w:rsidR="00FB2ED7" w:rsidRPr="002134CA" w:rsidRDefault="00FB2ED7" w:rsidP="00FB2ED7">
      <w:pPr>
        <w:pStyle w:val="Lijstalinea"/>
        <w:numPr>
          <w:ilvl w:val="0"/>
          <w:numId w:val="1"/>
        </w:numPr>
        <w:rPr>
          <w:b/>
        </w:rPr>
      </w:pPr>
      <w:r w:rsidRPr="002134CA">
        <w:rPr>
          <w:b/>
        </w:rPr>
        <w:t>Handeling in de gezondheidszo</w:t>
      </w:r>
      <w:r w:rsidR="008379E7" w:rsidRPr="002134CA">
        <w:rPr>
          <w:b/>
        </w:rPr>
        <w:t>rg waarvoor de bewindvoerder de beschermde persoon kan vertegenwoordigen</w:t>
      </w:r>
    </w:p>
    <w:p w:rsidR="001A1852" w:rsidRDefault="001A1852" w:rsidP="001A1852"/>
    <w:p w:rsidR="001A1852" w:rsidRPr="00F07566" w:rsidRDefault="001A1852" w:rsidP="001A1852">
      <w:pPr>
        <w:pStyle w:val="Lijstalinea"/>
        <w:numPr>
          <w:ilvl w:val="0"/>
          <w:numId w:val="7"/>
        </w:numPr>
        <w:rPr>
          <w:b/>
        </w:rPr>
      </w:pPr>
      <w:r w:rsidRPr="00F07566">
        <w:rPr>
          <w:b/>
        </w:rPr>
        <w:t>Algemeen</w:t>
      </w:r>
      <w:r w:rsidR="00F07566">
        <w:rPr>
          <w:b/>
        </w:rPr>
        <w:t>: de onbekwaam verklaarde beschermde persoon kan door de arts toch als wilsbekwaam behandeld worden</w:t>
      </w:r>
    </w:p>
    <w:p w:rsidR="001E5961" w:rsidRDefault="001E5961" w:rsidP="001E5961"/>
    <w:p w:rsidR="001E5961" w:rsidRDefault="001E5961" w:rsidP="00F07566">
      <w:pPr>
        <w:pStyle w:val="Lijstalinea"/>
        <w:numPr>
          <w:ilvl w:val="0"/>
          <w:numId w:val="15"/>
        </w:numPr>
      </w:pPr>
      <w:r>
        <w:t>Zoals gezegd, moet de vrederechter zich steeds uitspreken over de bekwaamheid om volgende rechtshandelingen in de gezondheidszorg te verrichten:</w:t>
      </w:r>
    </w:p>
    <w:p w:rsidR="001E5961" w:rsidRDefault="001E5961" w:rsidP="001E5961">
      <w:pPr>
        <w:pStyle w:val="Lijstalinea"/>
        <w:numPr>
          <w:ilvl w:val="0"/>
          <w:numId w:val="4"/>
        </w:numPr>
      </w:pPr>
      <w:r>
        <w:t>De uitoefening van de rechten als patiënt;</w:t>
      </w:r>
    </w:p>
    <w:p w:rsidR="001E5961" w:rsidRDefault="001E5961" w:rsidP="001E5961">
      <w:pPr>
        <w:pStyle w:val="Lijstalinea"/>
        <w:numPr>
          <w:ilvl w:val="0"/>
          <w:numId w:val="4"/>
        </w:numPr>
      </w:pPr>
      <w:r>
        <w:t>Het verlenen van toestemming om een experiment uit te voeren;</w:t>
      </w:r>
    </w:p>
    <w:p w:rsidR="001E5961" w:rsidRDefault="001E5961" w:rsidP="001E5961">
      <w:pPr>
        <w:pStyle w:val="Lijstalinea"/>
        <w:numPr>
          <w:ilvl w:val="0"/>
          <w:numId w:val="4"/>
        </w:numPr>
      </w:pPr>
      <w:r>
        <w:t>Het verlenen van de toestemming tot het wegnemen van organen;</w:t>
      </w:r>
    </w:p>
    <w:p w:rsidR="00F07566" w:rsidRDefault="001E5961" w:rsidP="00F07566">
      <w:pPr>
        <w:pStyle w:val="Lijstalinea"/>
        <w:numPr>
          <w:ilvl w:val="0"/>
          <w:numId w:val="4"/>
        </w:numPr>
      </w:pPr>
      <w:r>
        <w:t>Het verlenen van toestemming tot het wegnemen van lichaamsmateriaal.</w:t>
      </w:r>
    </w:p>
    <w:p w:rsidR="00F07566" w:rsidRDefault="00F07566" w:rsidP="00F07566">
      <w:pPr>
        <w:pStyle w:val="Lijstalinea"/>
      </w:pPr>
    </w:p>
    <w:p w:rsidR="00F07566" w:rsidRDefault="00766160" w:rsidP="00F07566">
      <w:pPr>
        <w:pStyle w:val="Lijstalinea"/>
      </w:pPr>
      <w:r>
        <w:t>De bewindvoerder kan de patiënt vertegenwoor</w:t>
      </w:r>
      <w:r w:rsidR="00442F96">
        <w:t xml:space="preserve">digen voor deze handelingen, maar er moet hierbij goed rekening gehouden worden met de wijzigingen die werden doorgevoerd in de Wet Patiëntenrechten, de Experimentenwet en de Wet Menselijk </w:t>
      </w:r>
      <w:proofErr w:type="spellStart"/>
      <w:r w:rsidR="00442F96">
        <w:t>Lichaammateriaal</w:t>
      </w:r>
      <w:proofErr w:type="spellEnd"/>
      <w:r w:rsidR="00442F96">
        <w:t>. Deze bijzondere wetten primeren op de algemene rege</w:t>
      </w:r>
      <w:r w:rsidR="00F07566">
        <w:t>ling van het Burgerlijk Wetboek.</w:t>
      </w:r>
    </w:p>
    <w:p w:rsidR="00F07566" w:rsidRDefault="00F07566" w:rsidP="00F07566">
      <w:pPr>
        <w:pStyle w:val="Lijstalinea"/>
      </w:pPr>
    </w:p>
    <w:p w:rsidR="00F07566" w:rsidRDefault="004C63EC" w:rsidP="00F07566">
      <w:pPr>
        <w:pStyle w:val="Lijstalinea"/>
      </w:pPr>
      <w:r>
        <w:t>Specifiek voor de Wet Patiëntenrechten (en onrechtstreeks ook voor de Wet Menselijk Lichaamsmateriaal) houdt dit in dat ondanks het feit dat de vrederechter de beschermde persoon onbekwaam verklaarde het toch mogelijk is dat de arts de betrokken persoon wilsbekwaam acht voor de handeling waarvoor deze arts de</w:t>
      </w:r>
      <w:r w:rsidR="00F07566">
        <w:t xml:space="preserve"> toestemming nodig heeft. </w:t>
      </w:r>
    </w:p>
    <w:p w:rsidR="00F07566" w:rsidRDefault="00F07566" w:rsidP="00F07566">
      <w:pPr>
        <w:pStyle w:val="Lijstalinea"/>
      </w:pPr>
    </w:p>
    <w:p w:rsidR="004C63EC" w:rsidRDefault="004C63EC" w:rsidP="00F07566">
      <w:pPr>
        <w:pStyle w:val="Lijstalinea"/>
      </w:pPr>
      <w:r>
        <w:t xml:space="preserve">Zoals Verschelden op grond van de parlementaire voorbereiding concludeert, heeft de wetgever uitdrukkelijk gewild dat, zelfs ingeval de vrederechter een persoon onbekwaam heeft verklaard om (een van) deze rechten uit te oefenen, deze beschermde persoon zelf en zelfstandig kan optreden ingeval de geneesheer de persoon daartoe wilsbekwaam acht. De </w:t>
      </w:r>
      <w:proofErr w:type="spellStart"/>
      <w:r>
        <w:t>onbekwaamverklaring</w:t>
      </w:r>
      <w:proofErr w:type="spellEnd"/>
      <w:r>
        <w:t xml:space="preserve"> is vereist om de bewindvoerder bevoegd te maken om, in voorkomend geval, deze rechten in de plaats van de beschermde persoon uit te oefenen</w:t>
      </w:r>
      <w:r w:rsidR="00F07566">
        <w:t xml:space="preserve"> </w:t>
      </w:r>
      <w:r w:rsidR="00F07566">
        <w:rPr>
          <w:rStyle w:val="Voetnootmarkering"/>
        </w:rPr>
        <w:footnoteReference w:id="89"/>
      </w:r>
    </w:p>
    <w:p w:rsidR="008379E7" w:rsidRDefault="008379E7" w:rsidP="008379E7"/>
    <w:p w:rsidR="001A1852" w:rsidRDefault="001A1852" w:rsidP="001A1852">
      <w:pPr>
        <w:pStyle w:val="Lijstalinea"/>
        <w:numPr>
          <w:ilvl w:val="0"/>
          <w:numId w:val="7"/>
        </w:numPr>
      </w:pPr>
      <w:r>
        <w:t xml:space="preserve">De uitoefening van de </w:t>
      </w:r>
      <w:proofErr w:type="spellStart"/>
      <w:r>
        <w:t>patiëntenrechten</w:t>
      </w:r>
      <w:proofErr w:type="spellEnd"/>
    </w:p>
    <w:p w:rsidR="004C63EC" w:rsidRDefault="004C63EC" w:rsidP="004C63EC"/>
    <w:p w:rsidR="00C312A4" w:rsidRDefault="004C63EC" w:rsidP="004C63EC">
      <w:pPr>
        <w:pStyle w:val="Lijstalinea"/>
        <w:numPr>
          <w:ilvl w:val="0"/>
          <w:numId w:val="15"/>
        </w:numPr>
      </w:pPr>
      <w:r>
        <w:t>De Wet Patiëntenrechten werd vrij ingrijpend gewijzigd door de wet van 17 maart 20</w:t>
      </w:r>
      <w:r w:rsidR="00F07566">
        <w:t>13 en werd gecorrigeerd na de terechte opmerkingen van SWENNEN en NYS en BODDEZ.</w:t>
      </w:r>
    </w:p>
    <w:p w:rsidR="00C312A4" w:rsidRDefault="00C312A4" w:rsidP="00C312A4">
      <w:pPr>
        <w:pStyle w:val="Lijstalinea"/>
      </w:pPr>
    </w:p>
    <w:p w:rsidR="00F07566" w:rsidRDefault="00F07566" w:rsidP="00C312A4">
      <w:pPr>
        <w:pStyle w:val="Lijstalinea"/>
      </w:pPr>
      <w:r>
        <w:t xml:space="preserve">De hiërarchie van de mogelijke vertegenwoordigers werd aangepast en een door de rechter aangewezen vertegenwoordiger kreeg de mogelijkheid om de </w:t>
      </w:r>
      <w:proofErr w:type="spellStart"/>
      <w:r>
        <w:t>patiëntenrechten</w:t>
      </w:r>
      <w:proofErr w:type="spellEnd"/>
      <w:r>
        <w:t xml:space="preserve"> uit te oefenen.</w:t>
      </w:r>
    </w:p>
    <w:p w:rsidR="00F07566" w:rsidRDefault="00F07566" w:rsidP="004C63EC"/>
    <w:p w:rsidR="00F07566" w:rsidRDefault="00F07566" w:rsidP="004C63EC"/>
    <w:p w:rsidR="00C312A4" w:rsidRDefault="00EA2D83" w:rsidP="005B4900">
      <w:pPr>
        <w:pStyle w:val="Lijstalinea"/>
        <w:numPr>
          <w:ilvl w:val="0"/>
          <w:numId w:val="15"/>
        </w:numPr>
      </w:pPr>
      <w:r>
        <w:t xml:space="preserve">Belangrijk is vooreerst dat de arts steeds in </w:t>
      </w:r>
      <w:proofErr w:type="spellStart"/>
      <w:r>
        <w:t>concreto</w:t>
      </w:r>
      <w:proofErr w:type="spellEnd"/>
      <w:r>
        <w:t xml:space="preserve"> – en dus handeling per handeling – zal vaststellen of de patiënt als wilsbekwaam moet beschouwd worden. Het is dus mogelijk dat dit varieert volgens de arts, de periode</w:t>
      </w:r>
      <w:r w:rsidR="005B4900">
        <w:t xml:space="preserve"> (van de evolutie in de mentale to</w:t>
      </w:r>
      <w:r w:rsidR="00DF74CE">
        <w:t xml:space="preserve">estand van de patiënt) </w:t>
      </w:r>
      <w:r>
        <w:t>en de aard van de medische handeli</w:t>
      </w:r>
      <w:r w:rsidR="00C312A4">
        <w:t>ng.</w:t>
      </w:r>
    </w:p>
    <w:p w:rsidR="00C312A4" w:rsidRDefault="00C312A4" w:rsidP="00C312A4">
      <w:pPr>
        <w:pStyle w:val="Lijstalinea"/>
      </w:pPr>
    </w:p>
    <w:p w:rsidR="00C312A4" w:rsidRDefault="005B4900" w:rsidP="00C312A4">
      <w:pPr>
        <w:pStyle w:val="Lijstalinea"/>
      </w:pPr>
      <w:r>
        <w:t xml:space="preserve">Een interessante toepassing vonden wij in een vonnis van de vrederechter van Vorst: voor een patiënt met een bipolaire stoornis (met manische en depressieve episodes) werd gevraagd dat de bewindvoerder zou gemachtigd worden om de </w:t>
      </w:r>
      <w:proofErr w:type="spellStart"/>
      <w:r>
        <w:t>patiëntenrechten</w:t>
      </w:r>
      <w:proofErr w:type="spellEnd"/>
      <w:r>
        <w:t xml:space="preserve"> uit te oefenen ten einde een gedwongen behandeling mogelijk te maken. De vrederechter wees op het absoluut uitzonderlijk karakter van de mogelijkheden om een patiënt tegen diens wil te behandelen en op de noodzaak tot medewerking van een patiënt bij psychiatrische behandelingen. Toch machtigt hij de bewindvoerder ervan uitgaande dat de arts nog steeds kan oordelen wanneer de patiënt wilsbekwaam is </w:t>
      </w:r>
      <w:r>
        <w:rPr>
          <w:rStyle w:val="Voetnootmarkering"/>
        </w:rPr>
        <w:footnoteReference w:id="90"/>
      </w:r>
      <w:r>
        <w:t>.</w:t>
      </w:r>
    </w:p>
    <w:p w:rsidR="00C312A4" w:rsidRDefault="00C312A4" w:rsidP="00C312A4">
      <w:pPr>
        <w:pStyle w:val="Lijstalinea"/>
      </w:pPr>
    </w:p>
    <w:p w:rsidR="00EA2D83" w:rsidRDefault="00EA2D83" w:rsidP="00C312A4">
      <w:pPr>
        <w:pStyle w:val="Lijstalinea"/>
        <w:numPr>
          <w:ilvl w:val="0"/>
          <w:numId w:val="15"/>
        </w:numPr>
      </w:pPr>
      <w:r>
        <w:t>Indien de patiënt niet in staat is, om zelf zijn rechten uit te oefenen, dan zal dit gebeuren door een vertegenwoordiger volgens volgende hiërarchie:</w:t>
      </w:r>
    </w:p>
    <w:p w:rsidR="00EA2D83" w:rsidRDefault="00EA2D83" w:rsidP="004C63EC"/>
    <w:p w:rsidR="00EA2D83" w:rsidRDefault="00EA2D83" w:rsidP="00EA2D83">
      <w:pPr>
        <w:pStyle w:val="Lijstalinea"/>
        <w:numPr>
          <w:ilvl w:val="0"/>
          <w:numId w:val="4"/>
        </w:numPr>
      </w:pPr>
      <w:r>
        <w:t>Eerst de door de patiënt benoemde of aangewezen vertegenwoordiger: deze primeert</w:t>
      </w:r>
      <w:r w:rsidR="005B4900">
        <w:t xml:space="preserve"> op alle anderen</w:t>
      </w:r>
      <w:r>
        <w:t>;</w:t>
      </w:r>
    </w:p>
    <w:p w:rsidR="00EA2D83" w:rsidRDefault="00EA2D83" w:rsidP="00EA2D83">
      <w:pPr>
        <w:pStyle w:val="Lijstalinea"/>
        <w:numPr>
          <w:ilvl w:val="0"/>
          <w:numId w:val="4"/>
        </w:numPr>
      </w:pPr>
      <w:r>
        <w:t xml:space="preserve">Indien de patiënt geen vertegenwoordiger heeft aangewezen of deze niet optreedt: de bewindvoerder, na machtiging van de vrederechter, en met de uitdrukkelijke toevoeging “voor zover en zolang de beschermde persoon niet in staat is om zijn rechten uit te oefenen” </w:t>
      </w:r>
    </w:p>
    <w:p w:rsidR="004C63EC" w:rsidRDefault="00FA0E95" w:rsidP="004C63EC">
      <w:pPr>
        <w:pStyle w:val="Lijstalinea"/>
        <w:numPr>
          <w:ilvl w:val="0"/>
          <w:numId w:val="4"/>
        </w:numPr>
      </w:pPr>
      <w:r>
        <w:t>Indien geen bewindvoerder werd benoemd: de wettelijke vertegenwoordigers, volgens de zogenaamde piramide of cascade:</w:t>
      </w:r>
    </w:p>
    <w:p w:rsidR="00FA0E95" w:rsidRDefault="00FA0E95" w:rsidP="00FA0E95">
      <w:pPr>
        <w:pStyle w:val="Lijstalinea"/>
        <w:numPr>
          <w:ilvl w:val="1"/>
          <w:numId w:val="4"/>
        </w:numPr>
      </w:pPr>
      <w:r>
        <w:t>Eerst de samenwonende ech</w:t>
      </w:r>
      <w:r w:rsidR="005B4900">
        <w:t>t</w:t>
      </w:r>
      <w:r>
        <w:t>genoot, de wettelijke samenwonende partner of de feitelijk samenwonende partner;</w:t>
      </w:r>
    </w:p>
    <w:p w:rsidR="00FA0E95" w:rsidRDefault="00FA0E95" w:rsidP="00FA0E95">
      <w:pPr>
        <w:pStyle w:val="Lijstalinea"/>
        <w:numPr>
          <w:ilvl w:val="1"/>
          <w:numId w:val="4"/>
        </w:numPr>
      </w:pPr>
      <w:r>
        <w:t>Indien deze dat niet wenst te doen of ontbreekt: de andere familieleden “in opeenvolgende volgorde”: een meerderjarig kind</w:t>
      </w:r>
      <w:r w:rsidR="00C312A4">
        <w:t>, een ouder of een broer of zus.</w:t>
      </w:r>
    </w:p>
    <w:p w:rsidR="00C312A4" w:rsidRDefault="00C312A4" w:rsidP="00C312A4">
      <w:pPr>
        <w:pStyle w:val="Lijstalinea"/>
        <w:ind w:left="1440"/>
      </w:pPr>
    </w:p>
    <w:p w:rsidR="005B4900" w:rsidRDefault="005B4900" w:rsidP="00C312A4">
      <w:pPr>
        <w:pStyle w:val="Lijstalinea"/>
        <w:numPr>
          <w:ilvl w:val="0"/>
          <w:numId w:val="15"/>
        </w:numPr>
      </w:pPr>
      <w:r>
        <w:t xml:space="preserve">In een door de rechtsleer sterkt bekritiseerde bepaling is voorzien dat de bewindvoerder steeds machtiging </w:t>
      </w:r>
      <w:r w:rsidR="00C312A4">
        <w:t xml:space="preserve">aan de vrederechter moet vragen om de </w:t>
      </w:r>
      <w:proofErr w:type="spellStart"/>
      <w:r w:rsidR="00C312A4">
        <w:t>patiëntenrechten</w:t>
      </w:r>
      <w:proofErr w:type="spellEnd"/>
      <w:r w:rsidR="00C312A4">
        <w:t xml:space="preserve"> uit te oefenen. Enige verzachting bij deze zware last:</w:t>
      </w:r>
    </w:p>
    <w:p w:rsidR="00C312A4" w:rsidRDefault="00C312A4" w:rsidP="00BE2505"/>
    <w:p w:rsidR="00C312A4" w:rsidRDefault="00C312A4" w:rsidP="00C312A4">
      <w:pPr>
        <w:pStyle w:val="Lijstalinea"/>
        <w:numPr>
          <w:ilvl w:val="0"/>
          <w:numId w:val="4"/>
        </w:numPr>
      </w:pPr>
      <w:r>
        <w:t xml:space="preserve">De vrederechter kan deze machtiging ook verlenen voor </w:t>
      </w:r>
      <w:r w:rsidRPr="00B940E1">
        <w:rPr>
          <w:i/>
        </w:rPr>
        <w:t xml:space="preserve">alle </w:t>
      </w:r>
      <w:r>
        <w:t>rechten met betrekking tot een bepaalde behandeling</w:t>
      </w:r>
      <w:r w:rsidR="00B940E1">
        <w:t xml:space="preserve"> (dus </w:t>
      </w:r>
      <w:proofErr w:type="spellStart"/>
      <w:r w:rsidR="00B940E1">
        <w:t>bvb</w:t>
      </w:r>
      <w:proofErr w:type="spellEnd"/>
      <w:r w:rsidR="00B940E1">
        <w:t>. alles wat gedurende de volledige duur van de therapie moet beslist worden voor de behandeling van een in het vonnis omschreven pathologie)</w:t>
      </w:r>
      <w:r>
        <w:t>;</w:t>
      </w:r>
    </w:p>
    <w:p w:rsidR="00C312A4" w:rsidRDefault="00C312A4" w:rsidP="00C312A4">
      <w:pPr>
        <w:pStyle w:val="Lijstalinea"/>
        <w:numPr>
          <w:ilvl w:val="0"/>
          <w:numId w:val="4"/>
        </w:numPr>
      </w:pPr>
      <w:r>
        <w:t>De machtiging moet niet gevraagd worden in geval van dringende noodzakelijkheid.</w:t>
      </w:r>
    </w:p>
    <w:p w:rsidR="00C312A4" w:rsidRDefault="00C312A4" w:rsidP="00C312A4">
      <w:pPr>
        <w:pStyle w:val="Lijstalinea"/>
      </w:pPr>
    </w:p>
    <w:p w:rsidR="00C312A4" w:rsidRDefault="00C312A4" w:rsidP="00C312A4">
      <w:pPr>
        <w:pStyle w:val="Lijstalinea"/>
      </w:pPr>
      <w:r>
        <w:t xml:space="preserve">De machtigingsvereiste houdt geen rekening </w:t>
      </w:r>
      <w:r w:rsidR="00DF74CE">
        <w:t xml:space="preserve">met het feit dat de arts ook </w:t>
      </w:r>
      <w:r>
        <w:t xml:space="preserve">steeds de vragen en beslissingen van de vertegenwoordiger moet toetsen en hiervan in het belang van de patiënt gemotiveerd </w:t>
      </w:r>
      <w:r w:rsidR="00B940E1">
        <w:t xml:space="preserve">en na multidisciplinair overleg </w:t>
      </w:r>
      <w:r>
        <w:t>kan van afwijken</w:t>
      </w:r>
      <w:r w:rsidR="00B940E1">
        <w:t xml:space="preserve"> </w:t>
      </w:r>
      <w:r w:rsidR="00B940E1">
        <w:rPr>
          <w:rStyle w:val="Voetnootmarkering"/>
        </w:rPr>
        <w:footnoteReference w:id="91"/>
      </w:r>
      <w:r>
        <w:t>.</w:t>
      </w:r>
      <w:r w:rsidR="00B940E1">
        <w:t xml:space="preserve"> De Wet Patiëntenrechten </w:t>
      </w:r>
      <w:r w:rsidR="00B940E1">
        <w:lastRenderedPageBreak/>
        <w:t>bevatte dus reeds grendels tegen mogelijk onverantwoorde of irrationele beslissingen van een vertegenwoordiger.</w:t>
      </w:r>
    </w:p>
    <w:p w:rsidR="006E319F" w:rsidRDefault="006E319F" w:rsidP="00BE2505"/>
    <w:p w:rsidR="00E449D2" w:rsidRDefault="00B60BDB" w:rsidP="00C312A4">
      <w:pPr>
        <w:pStyle w:val="Lijstalinea"/>
        <w:numPr>
          <w:ilvl w:val="0"/>
          <w:numId w:val="15"/>
        </w:numPr>
      </w:pPr>
      <w:r>
        <w:t>De v</w:t>
      </w:r>
      <w:r w:rsidR="00BE2505">
        <w:t xml:space="preserve">rederechter van </w:t>
      </w:r>
      <w:r>
        <w:t xml:space="preserve">het derde kanton van </w:t>
      </w:r>
      <w:r w:rsidR="00BE2505">
        <w:t xml:space="preserve">Luik machtigde de bewindvoerder om de </w:t>
      </w:r>
      <w:proofErr w:type="spellStart"/>
      <w:r w:rsidR="00BE2505">
        <w:t>patiëntenrechten</w:t>
      </w:r>
      <w:proofErr w:type="spellEnd"/>
      <w:r w:rsidR="00BE2505">
        <w:t xml:space="preserve"> van de beschermde persoon uit te oefenen en motiveerde dit uitdrukkelijk met de mogelijkheid om daardoor in te stemmen met een hospitalisering, die door de betrokkene (die zwaar alco</w:t>
      </w:r>
      <w:r w:rsidR="006F7DD1">
        <w:t>holverslaafd was) geweigerd was. In de motivering werd</w:t>
      </w:r>
      <w:r w:rsidR="00BE2505">
        <w:t xml:space="preserve"> de mogelijkheid van een verzorging zonder de toestemming van de patiënt en buiten het kader van de maatregelen voorzien in de Wet Bescherming Persoon Geesteszieke</w:t>
      </w:r>
      <w:r>
        <w:t>, beschreven</w:t>
      </w:r>
      <w:r w:rsidR="00BE2505">
        <w:t xml:space="preserve"> </w:t>
      </w:r>
      <w:r w:rsidR="00CD6913">
        <w:t>als een van belangri</w:t>
      </w:r>
      <w:r>
        <w:t xml:space="preserve">jke stappen vooruit van de wet </w:t>
      </w:r>
      <w:r w:rsidR="00CD6913">
        <w:rPr>
          <w:rStyle w:val="Voetnootmarkering"/>
        </w:rPr>
        <w:footnoteReference w:id="92"/>
      </w:r>
      <w:r>
        <w:t xml:space="preserve">. </w:t>
      </w:r>
      <w:r w:rsidR="00A0498E">
        <w:t xml:space="preserve">Dezelfde vrederechter stelde een bewindvoerder aan met machtiging om de </w:t>
      </w:r>
      <w:proofErr w:type="spellStart"/>
      <w:r w:rsidR="00A0498E">
        <w:t>patiëntenrechten</w:t>
      </w:r>
      <w:proofErr w:type="spellEnd"/>
      <w:r w:rsidR="00A0498E">
        <w:t xml:space="preserve"> uit te oefenen en met de uitdrukkelijke bedoeling om een hospitalisering mogelijk te maken van een dame voor wie een verzoek tot in observatiestelling in een psychiatrisch ziekenhuis op grond van de Wet Bescherming Persoon Geesteszieke </w:t>
      </w:r>
      <w:r w:rsidR="006F7DD1">
        <w:t xml:space="preserve">door hem </w:t>
      </w:r>
      <w:r w:rsidR="00A0498E">
        <w:t>was afgewezen</w:t>
      </w:r>
      <w:r w:rsidR="006F7DD1">
        <w:t xml:space="preserve">. De vrederechter vond het niet gepast om de dame (die volgens het vonnis cocaïneverslaafd en anorectisch was en zwaar verzwakt door een longontsteking) op te nemen in een psychiatrische inrichting, maar wel noodzakelijk om haar te laten verzorgen in een algemeen ziekenhuis en tegelijk een psychiatrisch bilan op te maken </w:t>
      </w:r>
      <w:r w:rsidR="006F7DD1">
        <w:rPr>
          <w:rStyle w:val="Voetnootmarkering"/>
        </w:rPr>
        <w:footnoteReference w:id="93"/>
      </w:r>
      <w:r w:rsidR="006F7DD1">
        <w:t>.</w:t>
      </w:r>
    </w:p>
    <w:p w:rsidR="00C312A4" w:rsidRDefault="00C312A4" w:rsidP="00C312A4">
      <w:pPr>
        <w:pStyle w:val="Lijstalinea"/>
      </w:pPr>
    </w:p>
    <w:p w:rsidR="00E449D2" w:rsidRDefault="00E449D2" w:rsidP="00C312A4">
      <w:pPr>
        <w:pStyle w:val="Lijstalinea"/>
        <w:numPr>
          <w:ilvl w:val="0"/>
          <w:numId w:val="15"/>
        </w:numPr>
      </w:pPr>
      <w:r>
        <w:t xml:space="preserve">Zeer boeiend is dat bij een gelijkaardig geval van alcoholverslaving het verzoek om de bewindvoerder ook te machtigen om de </w:t>
      </w:r>
      <w:proofErr w:type="spellStart"/>
      <w:r>
        <w:t>patiëntenrechten</w:t>
      </w:r>
      <w:proofErr w:type="spellEnd"/>
      <w:r>
        <w:t xml:space="preserve"> uit te oefenen met het oog op een gedwongen behandeling  gemotiveerd afgewezen werd. De vrederechter wees uitdrukkelijk op het recht om een behandeling te weigeren en overwoog ook dat een behandeling bij alcoholverslaving slechts kans op slagen heeft indien de patiënt overtuigd is e</w:t>
      </w:r>
      <w:r w:rsidR="005B4900">
        <w:t>n actief meewerkt. In</w:t>
      </w:r>
      <w:r>
        <w:t xml:space="preserve"> het literair gemotiveerde vonnis wordt zelfs geciteerd uit </w:t>
      </w:r>
      <w:r w:rsidR="007B6B5E">
        <w:t xml:space="preserve">‘Brave New World’ van Aldous Huxley waar een van de personages het recht om ongelukkig te zijn opeist </w:t>
      </w:r>
      <w:r w:rsidR="007B6B5E">
        <w:rPr>
          <w:rStyle w:val="Voetnootmarkering"/>
        </w:rPr>
        <w:footnoteReference w:id="94"/>
      </w:r>
      <w:r w:rsidR="007B6B5E">
        <w:t>.</w:t>
      </w:r>
    </w:p>
    <w:p w:rsidR="00B4534A" w:rsidRDefault="00B4534A" w:rsidP="00B4534A">
      <w:pPr>
        <w:pStyle w:val="Lijstalinea"/>
      </w:pPr>
    </w:p>
    <w:p w:rsidR="00DB1104" w:rsidRDefault="00DB1104" w:rsidP="00553B8B"/>
    <w:p w:rsidR="00DB1104" w:rsidRPr="00AF3BB4" w:rsidRDefault="00A9428E" w:rsidP="00DB1104">
      <w:pPr>
        <w:pStyle w:val="Lijstalinea"/>
        <w:numPr>
          <w:ilvl w:val="0"/>
          <w:numId w:val="2"/>
        </w:numPr>
        <w:rPr>
          <w:b/>
        </w:rPr>
      </w:pPr>
      <w:r w:rsidRPr="00AF3BB4">
        <w:rPr>
          <w:b/>
        </w:rPr>
        <w:t>Dilemma’s bij de</w:t>
      </w:r>
      <w:r w:rsidR="00DB1104" w:rsidRPr="00AF3BB4">
        <w:rPr>
          <w:b/>
        </w:rPr>
        <w:t xml:space="preserve"> toetsing van </w:t>
      </w:r>
      <w:r w:rsidR="008E111C" w:rsidRPr="00AF3BB4">
        <w:rPr>
          <w:b/>
        </w:rPr>
        <w:t xml:space="preserve">de </w:t>
      </w:r>
      <w:r w:rsidRPr="00AF3BB4">
        <w:rPr>
          <w:b/>
        </w:rPr>
        <w:t>geschiktheid</w:t>
      </w:r>
      <w:r w:rsidR="00AF3BB4" w:rsidRPr="00AF3BB4">
        <w:rPr>
          <w:b/>
        </w:rPr>
        <w:t xml:space="preserve"> om een voertuig te besturen</w:t>
      </w:r>
    </w:p>
    <w:p w:rsidR="00DB1104" w:rsidRDefault="00DB1104" w:rsidP="00DB1104"/>
    <w:p w:rsidR="00DB1104" w:rsidRPr="00517629" w:rsidRDefault="00DB1104" w:rsidP="00DB1104">
      <w:pPr>
        <w:pStyle w:val="Lijstalinea"/>
        <w:numPr>
          <w:ilvl w:val="0"/>
          <w:numId w:val="19"/>
        </w:numPr>
        <w:rPr>
          <w:b/>
        </w:rPr>
      </w:pPr>
      <w:r w:rsidRPr="00517629">
        <w:rPr>
          <w:b/>
        </w:rPr>
        <w:t>Algemeen</w:t>
      </w:r>
      <w:r w:rsidR="008E111C" w:rsidRPr="00517629">
        <w:rPr>
          <w:b/>
        </w:rPr>
        <w:t xml:space="preserve">: gevolgen van gebrek aan of verlies van </w:t>
      </w:r>
      <w:r w:rsidR="00A9428E" w:rsidRPr="00517629">
        <w:rPr>
          <w:b/>
        </w:rPr>
        <w:t>rijgeschiktheid</w:t>
      </w:r>
    </w:p>
    <w:p w:rsidR="00B4534A" w:rsidRDefault="00B4534A" w:rsidP="00DB1104"/>
    <w:p w:rsidR="003B53A7" w:rsidRDefault="00A9428E" w:rsidP="003B53A7">
      <w:pPr>
        <w:pStyle w:val="Lijstalinea"/>
        <w:numPr>
          <w:ilvl w:val="0"/>
          <w:numId w:val="15"/>
        </w:numPr>
      </w:pPr>
      <w:r>
        <w:t xml:space="preserve">Niemand mag op de openbare weg een voertuig besturen zonder rijbewijs </w:t>
      </w:r>
      <w:r>
        <w:rPr>
          <w:rStyle w:val="Voetnootmarkering"/>
        </w:rPr>
        <w:footnoteReference w:id="95"/>
      </w:r>
      <w:r>
        <w:t xml:space="preserve">. Om een rijbewijs te verkrijgen </w:t>
      </w:r>
      <w:proofErr w:type="spellStart"/>
      <w:r>
        <w:t>èn</w:t>
      </w:r>
      <w:proofErr w:type="spellEnd"/>
      <w:r>
        <w:t xml:space="preserve"> te behouden moet men daartoe lichamelijk en geestelijk geschikt</w:t>
      </w:r>
      <w:r w:rsidR="00BB0856">
        <w:t xml:space="preserve"> zijn. </w:t>
      </w:r>
      <w:r w:rsidR="00DD4757">
        <w:t xml:space="preserve">De criteria daartoe zijn </w:t>
      </w:r>
      <w:r w:rsidR="00982177">
        <w:t xml:space="preserve">Europees geharmoniseerd </w:t>
      </w:r>
      <w:r w:rsidR="00982177">
        <w:rPr>
          <w:rStyle w:val="Voetnootmarkering"/>
        </w:rPr>
        <w:footnoteReference w:id="96"/>
      </w:r>
      <w:r w:rsidR="003B53A7">
        <w:t xml:space="preserve"> </w:t>
      </w:r>
      <w:r w:rsidR="00982177">
        <w:t xml:space="preserve">en </w:t>
      </w:r>
      <w:r w:rsidR="00DD4757">
        <w:t>vri</w:t>
      </w:r>
      <w:r w:rsidR="00AF3BB4">
        <w:t xml:space="preserve">j gedetailleerd uiteengezet in </w:t>
      </w:r>
      <w:r w:rsidR="00AF3BB4">
        <w:lastRenderedPageBreak/>
        <w:t xml:space="preserve">een bijlage bij het basisbesluit betreffende het rijbewijs </w:t>
      </w:r>
      <w:r w:rsidR="00AF3BB4">
        <w:rPr>
          <w:rStyle w:val="Voetnootmarkering"/>
        </w:rPr>
        <w:footnoteReference w:id="97"/>
      </w:r>
      <w:r w:rsidR="00863DEA">
        <w:t>.</w:t>
      </w:r>
      <w:r w:rsidR="00DD4757">
        <w:t xml:space="preserve"> </w:t>
      </w:r>
      <w:r w:rsidR="00BB0856">
        <w:t xml:space="preserve">Bij het verkrijgen van het rijbewijs </w:t>
      </w:r>
      <w:r w:rsidR="00DD4757">
        <w:t>wordt een belangrijk onderscheid gemaakt tussen professionele best</w:t>
      </w:r>
      <w:r w:rsidR="00863DEA">
        <w:t xml:space="preserve">uurders en andere bestuurders . </w:t>
      </w:r>
      <w:r w:rsidR="004042C8">
        <w:t>Sterk samengevat</w:t>
      </w:r>
      <w:r w:rsidR="00720EE3">
        <w:t xml:space="preserve"> </w:t>
      </w:r>
      <w:r w:rsidR="004042C8">
        <w:t xml:space="preserve"> moeten professionele bestuurders</w:t>
      </w:r>
      <w:r w:rsidR="00FB3EAA">
        <w:t xml:space="preserve"> (of kandidaten van groep 2 </w:t>
      </w:r>
      <w:r w:rsidR="00FB3EAA">
        <w:rPr>
          <w:rStyle w:val="Voetnootmarkering"/>
        </w:rPr>
        <w:footnoteReference w:id="98"/>
      </w:r>
      <w:r w:rsidR="00FB3EAA">
        <w:t xml:space="preserve">) </w:t>
      </w:r>
      <w:r w:rsidR="004042C8">
        <w:t>steeds een medische onderzoek ondergaan, terwijl andere bestuurders</w:t>
      </w:r>
      <w:r w:rsidR="00FB3EAA">
        <w:t xml:space="preserve"> (of kandidaten van groep 1 </w:t>
      </w:r>
      <w:r w:rsidR="00FB3EAA">
        <w:rPr>
          <w:rStyle w:val="Voetnootmarkering"/>
        </w:rPr>
        <w:footnoteReference w:id="99"/>
      </w:r>
      <w:r w:rsidR="00FB3EAA">
        <w:t>)</w:t>
      </w:r>
      <w:r w:rsidR="004042C8">
        <w:t xml:space="preserve"> een verklaring </w:t>
      </w:r>
      <w:r w:rsidR="00720EE3">
        <w:t xml:space="preserve">op </w:t>
      </w:r>
      <w:r w:rsidR="003A70B8">
        <w:t xml:space="preserve">hun “woord van eer” </w:t>
      </w:r>
      <w:r w:rsidR="004042C8">
        <w:t xml:space="preserve">moeten ondertekenen </w:t>
      </w:r>
      <w:r w:rsidR="00720EE3">
        <w:t>en zelf moeten beslissen of medisch onderzoek of advies nodig is</w:t>
      </w:r>
      <w:r w:rsidR="003A70B8">
        <w:t xml:space="preserve"> </w:t>
      </w:r>
      <w:r w:rsidR="003A70B8">
        <w:rPr>
          <w:rStyle w:val="Voetnootmarkering"/>
        </w:rPr>
        <w:footnoteReference w:id="100"/>
      </w:r>
      <w:r w:rsidR="00720EE3">
        <w:t>.</w:t>
      </w:r>
      <w:r w:rsidR="0081246A">
        <w:t xml:space="preserve"> Dat medisch onderzoek leidt dan tot een rijgeschiktheidsattest waarbij de arts de kandidaat wel of niet rijgeschikt kan verklaren, maar </w:t>
      </w:r>
      <w:r w:rsidR="00374D6B">
        <w:t>ook rijgeschikt met beperking of voorwaarden. Zo kan een kandidaat rijgeschikt verklaard worden, maar dan enkel zonder passagiers of enkel overdag</w:t>
      </w:r>
      <w:r w:rsidR="00374D6B">
        <w:rPr>
          <w:rStyle w:val="Voetnootmarkering"/>
        </w:rPr>
        <w:footnoteReference w:id="101"/>
      </w:r>
      <w:r w:rsidR="003A70B8">
        <w:t>.</w:t>
      </w:r>
    </w:p>
    <w:p w:rsidR="003B53A7" w:rsidRDefault="003B53A7" w:rsidP="003B53A7">
      <w:pPr>
        <w:pStyle w:val="Lijstalinea"/>
      </w:pPr>
    </w:p>
    <w:p w:rsidR="003B53A7" w:rsidRDefault="00387635" w:rsidP="00DB1104">
      <w:pPr>
        <w:pStyle w:val="Lijstalinea"/>
        <w:numPr>
          <w:ilvl w:val="0"/>
          <w:numId w:val="15"/>
        </w:numPr>
      </w:pPr>
      <w:r>
        <w:t>Naast de verplichting om te beschikken over een rijbewijs, is in de Wegcode ook de ve</w:t>
      </w:r>
      <w:r w:rsidR="003B53A7">
        <w:t>rplichting opgelegd om in de realiteit</w:t>
      </w:r>
      <w:r>
        <w:t xml:space="preserve"> – op het moment waarop voertuig bestuurd wordt – in staat te zijn om te sturen en “de vereiste lichaamsgeschiktheid en de nodige kennis en rijvaardigheid (te) bezitten</w:t>
      </w:r>
      <w:r>
        <w:rPr>
          <w:rStyle w:val="Voetnootmarkering"/>
        </w:rPr>
        <w:footnoteReference w:id="102"/>
      </w:r>
    </w:p>
    <w:p w:rsidR="003B53A7" w:rsidRDefault="003B53A7" w:rsidP="003B53A7">
      <w:pPr>
        <w:pStyle w:val="Lijstalinea"/>
      </w:pPr>
    </w:p>
    <w:p w:rsidR="003B53A7" w:rsidRDefault="00DD4757" w:rsidP="00DB1104">
      <w:pPr>
        <w:pStyle w:val="Lijstalinea"/>
        <w:numPr>
          <w:ilvl w:val="0"/>
          <w:numId w:val="15"/>
        </w:numPr>
      </w:pPr>
      <w:r>
        <w:t xml:space="preserve">De toetsing van de rijgeschiktheid bij het </w:t>
      </w:r>
      <w:r w:rsidRPr="003B53A7">
        <w:rPr>
          <w:b/>
          <w:i/>
        </w:rPr>
        <w:t>verkrijgen</w:t>
      </w:r>
      <w:r w:rsidRPr="003B53A7">
        <w:rPr>
          <w:b/>
        </w:rPr>
        <w:t xml:space="preserve"> </w:t>
      </w:r>
      <w:r>
        <w:t xml:space="preserve">van het rijbewijs is belangrijk en vraagt soms uitgebreide medische onderzoeken met moeilijke afweging van criteria. Voor artsen is dit niet eenvoudig omdat niet enkel medisch-technische criteria moeten getoetst worden, maar bij twijfel of onzekerheid ook moet beslist worden </w:t>
      </w:r>
      <w:r w:rsidR="00720EE3">
        <w:t>binnen</w:t>
      </w:r>
      <w:r w:rsidR="003B53A7">
        <w:t xml:space="preserve"> een </w:t>
      </w:r>
      <w:r w:rsidR="00304D79">
        <w:t>conflict</w:t>
      </w:r>
      <w:r>
        <w:t xml:space="preserve"> tussen twee belangrijke waarden: de bescherming van de verkeersveiligheid (met impact voor</w:t>
      </w:r>
      <w:r w:rsidR="00863DEA">
        <w:t xml:space="preserve"> derden, maar ook voor de </w:t>
      </w:r>
      <w:r>
        <w:t>patiënt zelf) en de vaak erg actieve vraag va</w:t>
      </w:r>
      <w:r w:rsidR="00304D79">
        <w:t xml:space="preserve">n de patiënt om te mogen rijden. De mogelijkheid om te rijden kan immers </w:t>
      </w:r>
      <w:r>
        <w:t>niet enkel een grote impact h</w:t>
      </w:r>
      <w:r w:rsidR="006F572B">
        <w:t>ebben op de individuele ontplooiingsmogelijkheden</w:t>
      </w:r>
      <w:r>
        <w:t>, maar ook op de uitoefening van meerder</w:t>
      </w:r>
      <w:r w:rsidR="00863DEA">
        <w:t>e</w:t>
      </w:r>
      <w:r w:rsidR="00720EE3">
        <w:t xml:space="preserve"> beroepen en dus op de economische zelfstandigheid van de patiënt.</w:t>
      </w:r>
    </w:p>
    <w:p w:rsidR="003B53A7" w:rsidRDefault="003B53A7" w:rsidP="003B53A7">
      <w:pPr>
        <w:pStyle w:val="Lijstalinea"/>
      </w:pPr>
    </w:p>
    <w:p w:rsidR="003B53A7" w:rsidRDefault="00304D79" w:rsidP="00DB1104">
      <w:pPr>
        <w:pStyle w:val="Lijstalinea"/>
        <w:numPr>
          <w:ilvl w:val="0"/>
          <w:numId w:val="15"/>
        </w:numPr>
      </w:pPr>
      <w:r>
        <w:t>De dilem</w:t>
      </w:r>
      <w:r w:rsidR="00AF3BB4">
        <w:t xml:space="preserve">ma’s zijn evenwel nog moeilijker en treffen niet enkel artsen, maar ook magistraten en de omgeving van de betrokkene indien er moet overwogen om het rijbewijs tijdelijk of definitief </w:t>
      </w:r>
      <w:r w:rsidR="00AF3BB4" w:rsidRPr="003B53A7">
        <w:rPr>
          <w:b/>
          <w:i/>
        </w:rPr>
        <w:t>in te trekken</w:t>
      </w:r>
      <w:r w:rsidR="00AF3BB4">
        <w:t xml:space="preserve"> bij een </w:t>
      </w:r>
      <w:r w:rsidR="00AF3BB4" w:rsidRPr="003B53A7">
        <w:rPr>
          <w:b/>
          <w:i/>
        </w:rPr>
        <w:t>verlies</w:t>
      </w:r>
      <w:r w:rsidR="00AF3BB4">
        <w:t xml:space="preserve"> van de geschiktheid om te rijden. In beginsel moet de houder van het rijbewijs stoppen met rijden en zijn rijbewijs zelf inleveren</w:t>
      </w:r>
      <w:r w:rsidR="006F572B">
        <w:rPr>
          <w:rStyle w:val="Voetnootmarkering"/>
        </w:rPr>
        <w:footnoteReference w:id="103"/>
      </w:r>
      <w:r w:rsidR="006F572B">
        <w:t xml:space="preserve">. Dit niet doen is zelfs strafbaar </w:t>
      </w:r>
      <w:r w:rsidR="006F572B">
        <w:rPr>
          <w:rStyle w:val="Voetnootmarkering"/>
        </w:rPr>
        <w:footnoteReference w:id="104"/>
      </w:r>
      <w:r w:rsidR="006F572B">
        <w:t>. Vaak gebeurt dit evenwel niet. Soms uit onwetendheid of een gebrek aan besef van de (vaak gradueel) verminderde capaciteit. Soms ook omdat de chauffeur te zeer gehecht is aan de voordelen van het zelfstandig rijden en deze niet wil opgeven ondanks het gevaar en de wettelijke verplichting.</w:t>
      </w:r>
    </w:p>
    <w:p w:rsidR="003B53A7" w:rsidRDefault="003B53A7" w:rsidP="003B53A7">
      <w:pPr>
        <w:pStyle w:val="Lijstalinea"/>
      </w:pPr>
    </w:p>
    <w:p w:rsidR="003B53A7" w:rsidRDefault="00720EE3" w:rsidP="00DB1104">
      <w:pPr>
        <w:pStyle w:val="Lijstalinea"/>
        <w:numPr>
          <w:ilvl w:val="0"/>
          <w:numId w:val="15"/>
        </w:numPr>
      </w:pPr>
      <w:r>
        <w:lastRenderedPageBreak/>
        <w:t xml:space="preserve">Voor de professionele bestuurders wordt dit probleem gedeeltelijk opgevangen door de </w:t>
      </w:r>
      <w:r w:rsidR="00C574AD">
        <w:t xml:space="preserve">beperking tot vijf jaar (of eventueel korter) van de duur van het geneeskundig attest zodat de rijgeschiktheid opnieuw moet geëvalueerd worden. </w:t>
      </w:r>
      <w:r>
        <w:t xml:space="preserve">Voor niet professionele bestuurders </w:t>
      </w:r>
      <w:r w:rsidR="003A70B8">
        <w:t>wordt in de eerste plaats</w:t>
      </w:r>
      <w:r w:rsidR="00C574AD">
        <w:t xml:space="preserve"> </w:t>
      </w:r>
      <w:r w:rsidR="00B23976">
        <w:t>gerekend op hun eigen verantwoordelijkheid en moet de omgeving die (</w:t>
      </w:r>
      <w:r w:rsidR="00C574AD">
        <w:t xml:space="preserve">als </w:t>
      </w:r>
      <w:r w:rsidR="00B23976">
        <w:t>professioneel of als leek) merkt dat zij hun rij</w:t>
      </w:r>
      <w:r w:rsidR="00F40DB8">
        <w:t xml:space="preserve">geschiktheid verloren zijn hen waarschuwen en </w:t>
      </w:r>
      <w:r w:rsidR="003A70B8">
        <w:t xml:space="preserve">hen </w:t>
      </w:r>
      <w:r w:rsidR="00F40DB8">
        <w:t>aanmanen hun verantwoordelijkheid te nem</w:t>
      </w:r>
      <w:r w:rsidR="003A70B8">
        <w:t>en. In een dergelijk stelsel is het mogelijk</w:t>
      </w:r>
      <w:r w:rsidR="00F40DB8">
        <w:t xml:space="preserve"> het beroepsgeheim en de vertrouwensrelatie met behandelende artsen</w:t>
      </w:r>
      <w:r w:rsidR="003A70B8">
        <w:t xml:space="preserve"> te bewaren</w:t>
      </w:r>
      <w:r w:rsidR="00F40DB8">
        <w:t>, en kan vermeden worden dat mensen die een gezondheidsprobleem hebben dat mogelijk zou kunnen leiden tot verval van het rijbewijs ui</w:t>
      </w:r>
      <w:r w:rsidR="003A70B8">
        <w:t>t schrik voor de gevolgen op dat</w:t>
      </w:r>
      <w:r w:rsidR="00F40DB8">
        <w:t xml:space="preserve"> gebied geen arts meer </w:t>
      </w:r>
      <w:r w:rsidR="003A70B8">
        <w:t xml:space="preserve">zouden </w:t>
      </w:r>
      <w:r w:rsidR="00F40DB8">
        <w:t>raadplegen. Een arts  moet in de eerst</w:t>
      </w:r>
      <w:r w:rsidR="003B53A7">
        <w:t>e</w:t>
      </w:r>
      <w:r w:rsidR="00F40DB8">
        <w:t xml:space="preserve"> plaats een behandelaar en een vertrouwenspersoon blijven en geen verl</w:t>
      </w:r>
      <w:r w:rsidR="005D4D26">
        <w:t xml:space="preserve">engstuk van politie of gerecht </w:t>
      </w:r>
      <w:r w:rsidR="005D4D26">
        <w:rPr>
          <w:rStyle w:val="Voetnootmarkering"/>
        </w:rPr>
        <w:footnoteReference w:id="105"/>
      </w:r>
      <w:r w:rsidR="00F40DB8">
        <w:t xml:space="preserve"> Anderzijds is het mogelijk dat mensen met sterk verminderde rijvaardigheid nog een motorvoertuig besturen en daardoor enorme gevaren veroorzaken voor </w:t>
      </w:r>
      <w:r w:rsidR="00AB4AC7">
        <w:t xml:space="preserve">henzelf en andere weggebruikers </w:t>
      </w:r>
      <w:r w:rsidR="00AB4AC7">
        <w:rPr>
          <w:rStyle w:val="Voetnootmarkering"/>
        </w:rPr>
        <w:footnoteReference w:id="106"/>
      </w:r>
      <w:r w:rsidR="005D4D26">
        <w:t>. Dat kan o.m. het gevolg zijn van het feit dat deze personen de raadgevingen van de arts (</w:t>
      </w:r>
      <w:proofErr w:type="spellStart"/>
      <w:r w:rsidR="003B53A7">
        <w:t>bvb</w:t>
      </w:r>
      <w:proofErr w:type="spellEnd"/>
      <w:r w:rsidR="003B53A7">
        <w:t xml:space="preserve">. </w:t>
      </w:r>
      <w:r w:rsidR="005D4D26">
        <w:t>over medicatiegebruik) niet naleven.</w:t>
      </w:r>
    </w:p>
    <w:p w:rsidR="003B53A7" w:rsidRDefault="003B53A7" w:rsidP="003B53A7">
      <w:pPr>
        <w:pStyle w:val="Lijstalinea"/>
      </w:pPr>
    </w:p>
    <w:p w:rsidR="00DD4757" w:rsidRDefault="006F572B" w:rsidP="00DB1104">
      <w:pPr>
        <w:pStyle w:val="Lijstalinea"/>
        <w:numPr>
          <w:ilvl w:val="0"/>
          <w:numId w:val="15"/>
        </w:numPr>
      </w:pPr>
      <w:r>
        <w:t xml:space="preserve">Wij gaan in op enkele dilemma’s rond het verval van het recht om te sturen , in het bijzonder bij de toepassing van art. </w:t>
      </w:r>
      <w:r w:rsidR="00863DEA">
        <w:t>42 van de Wegverkeerswet (het “verval uitgesproken wegens lichamelijke of geestelijke ongeschiktheid”) of bi</w:t>
      </w:r>
      <w:r w:rsidR="00950B3F">
        <w:t>j de toepassing van art. 38</w:t>
      </w:r>
      <w:r w:rsidR="00863DEA">
        <w:t xml:space="preserve"> van de Wegverkeerswet (onderzoek naar de rijgeschiktheid na verval uitgesproken als straf).</w:t>
      </w:r>
    </w:p>
    <w:p w:rsidR="00DB1104" w:rsidRDefault="00DB1104" w:rsidP="005904A1"/>
    <w:p w:rsidR="005904A1" w:rsidRPr="00097E02" w:rsidRDefault="005D4D26" w:rsidP="005904A1">
      <w:pPr>
        <w:pStyle w:val="Lijstalinea"/>
        <w:numPr>
          <w:ilvl w:val="0"/>
          <w:numId w:val="19"/>
        </w:numPr>
        <w:rPr>
          <w:b/>
        </w:rPr>
      </w:pPr>
      <w:r>
        <w:rPr>
          <w:b/>
        </w:rPr>
        <w:t>De verplichting van de arts bij verlies van rijgeschiktheid en de mogelijke verantwoordelijkheid van diens omgeving</w:t>
      </w:r>
    </w:p>
    <w:p w:rsidR="00A9428E" w:rsidRDefault="00A9428E" w:rsidP="00A9428E"/>
    <w:p w:rsidR="003B53A7" w:rsidRDefault="003166BD" w:rsidP="00A9428E">
      <w:pPr>
        <w:pStyle w:val="Lijstalinea"/>
        <w:numPr>
          <w:ilvl w:val="0"/>
          <w:numId w:val="15"/>
        </w:numPr>
      </w:pPr>
      <w:r>
        <w:t>Wie een voertuig</w:t>
      </w:r>
      <w:r w:rsidR="000078E8">
        <w:t xml:space="preserve"> bestuurt of</w:t>
      </w:r>
      <w:r>
        <w:t xml:space="preserve"> </w:t>
      </w:r>
      <w:r w:rsidR="000078E8">
        <w:t>blijft besturen</w:t>
      </w:r>
      <w:r>
        <w:t xml:space="preserve"> terwijl hij lijdt aan één van de ”gebreken” of aandoeningen  vermeld in de lijst, is strafbaar</w:t>
      </w:r>
      <w:r w:rsidR="000078E8">
        <w:t xml:space="preserve"> </w:t>
      </w:r>
      <w:r w:rsidR="000078E8">
        <w:rPr>
          <w:rStyle w:val="Voetnootmarkering"/>
        </w:rPr>
        <w:footnoteReference w:id="107"/>
      </w:r>
      <w:r>
        <w:t xml:space="preserve">. Het Hof van Cassatie bevestigde dat het niet noodzakelijk is dat deze aandoeningen door de arts werden vastgesteld op het ogenblik van het misdrijf en dat een retroactieve medische beoordeling dus mogelijk is </w:t>
      </w:r>
      <w:r>
        <w:rPr>
          <w:rStyle w:val="Voetnootmarkering"/>
        </w:rPr>
        <w:footnoteReference w:id="108"/>
      </w:r>
      <w:r w:rsidR="0029279E">
        <w:t>.</w:t>
      </w:r>
    </w:p>
    <w:p w:rsidR="003B53A7" w:rsidRDefault="003B53A7" w:rsidP="003B53A7">
      <w:pPr>
        <w:pStyle w:val="Lijstalinea"/>
      </w:pPr>
    </w:p>
    <w:p w:rsidR="003B53A7" w:rsidRDefault="00956EF5" w:rsidP="003B53A7">
      <w:pPr>
        <w:pStyle w:val="Lijstalinea"/>
      </w:pPr>
      <w:r>
        <w:t xml:space="preserve">De verplichting om </w:t>
      </w:r>
      <w:r w:rsidR="000078E8">
        <w:t xml:space="preserve">bij verlies van rijgeschiktheid </w:t>
      </w:r>
      <w:r>
        <w:t xml:space="preserve">het rijbewijs in te leveren </w:t>
      </w:r>
      <w:r w:rsidR="000078E8">
        <w:t xml:space="preserve">“hetzij voor kanttekening, hetzij voor intrekking”, </w:t>
      </w:r>
      <w:r>
        <w:t>rust op de houder van het rijbewijs</w:t>
      </w:r>
      <w:r w:rsidR="000078E8">
        <w:t xml:space="preserve"> </w:t>
      </w:r>
      <w:r w:rsidR="000078E8">
        <w:rPr>
          <w:rStyle w:val="Voetnootmarkering"/>
        </w:rPr>
        <w:footnoteReference w:id="109"/>
      </w:r>
      <w:r>
        <w:t>.</w:t>
      </w:r>
    </w:p>
    <w:p w:rsidR="003B53A7" w:rsidRDefault="003B53A7" w:rsidP="003B53A7">
      <w:pPr>
        <w:pStyle w:val="Lijstalinea"/>
      </w:pPr>
    </w:p>
    <w:p w:rsidR="00AB4AC7" w:rsidRDefault="00956EF5" w:rsidP="003B53A7">
      <w:pPr>
        <w:pStyle w:val="Lijstalinea"/>
      </w:pPr>
      <w:r>
        <w:t>Het is mogelijk</w:t>
      </w:r>
      <w:r w:rsidR="000078E8">
        <w:t xml:space="preserve"> dat de omgeving van de bestuurder merkt dat hij niet meer in staat is om veilig te rijden en ziet dat hij dit toch blijft doen.  In dat geval kan het </w:t>
      </w:r>
      <w:r w:rsidR="00D06FF9">
        <w:t xml:space="preserve">aangewezen zijn dat zijn familieleden, collega’s of vrienden niet louter passief blijven toezien. De beste maatregel is de bestuurder te overtuigen om zelf de nodige maatregelen te nemen, te stoppen met rijden en zijn rijbewijs in te leveren. Indien deze dat niet doet, kan bij reëel gevaar </w:t>
      </w:r>
      <w:r w:rsidR="00D06FF9">
        <w:lastRenderedPageBreak/>
        <w:t>aangewezen of zelfs noodzakelijk zijn om de politie of het parket te verwittigen</w:t>
      </w:r>
      <w:r w:rsidR="003A70B8">
        <w:t xml:space="preserve"> of andere beveiligingsmaatregelen te nemen (zoals de vrije bruikbaarheid van het gezinsvoertuig belemmeren of onmogelijk maken)</w:t>
      </w:r>
      <w:r w:rsidR="00D06FF9">
        <w:t>.  Wij kennen geen rechtspraak</w:t>
      </w:r>
      <w:r w:rsidR="00C574AD">
        <w:t xml:space="preserve"> waarb</w:t>
      </w:r>
      <w:r w:rsidR="003A70B8">
        <w:t xml:space="preserve">ij een derde </w:t>
      </w:r>
      <w:r w:rsidR="007657BD">
        <w:t xml:space="preserve">civielrechtelijk </w:t>
      </w:r>
      <w:r w:rsidR="003A70B8">
        <w:t>aansprakelijk werd</w:t>
      </w:r>
      <w:r w:rsidR="00C574AD">
        <w:t xml:space="preserve"> verklaard voor de gevolgen van een ongeval omdat hij op de hoogte was van het verlies van ri</w:t>
      </w:r>
      <w:r w:rsidR="003B53A7">
        <w:t>jgeschiktheid van de</w:t>
      </w:r>
      <w:r w:rsidR="00C574AD">
        <w:t xml:space="preserve"> bestuurder en geen enkel initiatief heeft genomen om het daardoor veroorzaakte gevaar te vermijden. Toch lijkt dit niet onmogelijk. Denk aan de werkgever van een bestuurder die hem een voertuig blijft toevertrouwen hoewel hij weet dat hij dit voertuig niet meer veilig kan besturen.</w:t>
      </w:r>
    </w:p>
    <w:p w:rsidR="00D06FF9" w:rsidRDefault="00D06FF9" w:rsidP="00A9428E"/>
    <w:p w:rsidR="005904A1" w:rsidRPr="001D31C7" w:rsidRDefault="00950B3F" w:rsidP="005904A1">
      <w:pPr>
        <w:pStyle w:val="Lijstalinea"/>
        <w:numPr>
          <w:ilvl w:val="0"/>
          <w:numId w:val="19"/>
        </w:numPr>
        <w:rPr>
          <w:b/>
        </w:rPr>
      </w:pPr>
      <w:r w:rsidRPr="001D31C7">
        <w:rPr>
          <w:b/>
        </w:rPr>
        <w:t xml:space="preserve">De taak van de </w:t>
      </w:r>
      <w:r w:rsidR="005904A1" w:rsidRPr="001D31C7">
        <w:rPr>
          <w:b/>
        </w:rPr>
        <w:t xml:space="preserve">arts </w:t>
      </w:r>
      <w:r w:rsidR="00F13CAD" w:rsidRPr="001D31C7">
        <w:rPr>
          <w:b/>
        </w:rPr>
        <w:t xml:space="preserve">bij </w:t>
      </w:r>
      <w:r w:rsidRPr="001D31C7">
        <w:rPr>
          <w:b/>
        </w:rPr>
        <w:t>verlies van rijgeschiktheid</w:t>
      </w:r>
    </w:p>
    <w:p w:rsidR="008E111C" w:rsidRDefault="008E111C" w:rsidP="008E111C"/>
    <w:p w:rsidR="003B53A7" w:rsidRDefault="00210FB1" w:rsidP="008E111C">
      <w:pPr>
        <w:pStyle w:val="Lijstalinea"/>
        <w:numPr>
          <w:ilvl w:val="0"/>
          <w:numId w:val="15"/>
        </w:numPr>
      </w:pPr>
      <w:r>
        <w:t xml:space="preserve">Het is goed mogelijk dat een arts vast stelt dat een persoon die ooit wel geschikt was om een voertuig te besturen, deze geschiktheid (tijdelijk </w:t>
      </w:r>
      <w:r w:rsidR="001D31C7">
        <w:t>of definitief) verloren is. H</w:t>
      </w:r>
      <w:r>
        <w:t xml:space="preserve">et Rijbewijsbesluit </w:t>
      </w:r>
      <w:r w:rsidR="001D31C7">
        <w:t>bepaalt</w:t>
      </w:r>
      <w:r>
        <w:t xml:space="preserve"> dat de arts die vaststelt dat de houder van een rijbewijs niet meer voldoet aan de minimumnormen voor de lichamelijke en geestelijke geschiktheid “de belanghebbende (moet) op de hoogte stellen van  zijn verplichting om zijn rijbewijs (…) in te leveren” </w:t>
      </w:r>
      <w:r>
        <w:rPr>
          <w:rStyle w:val="Voetnootmarkering"/>
        </w:rPr>
        <w:footnoteReference w:id="110"/>
      </w:r>
      <w:r>
        <w:t xml:space="preserve"> .</w:t>
      </w:r>
    </w:p>
    <w:p w:rsidR="003B53A7" w:rsidRDefault="003B53A7" w:rsidP="003B53A7">
      <w:pPr>
        <w:pStyle w:val="Lijstalinea"/>
      </w:pPr>
    </w:p>
    <w:p w:rsidR="00210FB1" w:rsidRDefault="00210FB1" w:rsidP="003B53A7">
      <w:pPr>
        <w:pStyle w:val="Lijstalinea"/>
      </w:pPr>
      <w:r>
        <w:t>Deze bepaling is evenwel slechts van toepassing op artsen die voordien een onderzoek hebben uit</w:t>
      </w:r>
      <w:r w:rsidR="001D31C7">
        <w:t>gevoerd naar de rijgeschiktheid. Het gaat dus om:</w:t>
      </w:r>
    </w:p>
    <w:p w:rsidR="00210FB1" w:rsidRDefault="00210FB1" w:rsidP="008E111C"/>
    <w:p w:rsidR="00210FB1" w:rsidRDefault="001D31C7" w:rsidP="00210FB1">
      <w:pPr>
        <w:pStyle w:val="Lijstalinea"/>
        <w:numPr>
          <w:ilvl w:val="0"/>
          <w:numId w:val="4"/>
        </w:numPr>
      </w:pPr>
      <w:r>
        <w:t>Ofwel een</w:t>
      </w:r>
      <w:r w:rsidR="00210FB1">
        <w:t xml:space="preserve"> vrij gekozen arts</w:t>
      </w:r>
      <w:r w:rsidR="0069399D">
        <w:t>, die geconsulteerd werd omdat de kandidaat (van groep 1) oordeelde dat hij niet “op zijn woord van eer” kon bevestigen dat hij niet leed aan een van de gebreken of aandoeningen bepaald in de lijst</w:t>
      </w:r>
      <w:r w:rsidR="0069399D">
        <w:rPr>
          <w:rStyle w:val="Voetnootmarkering"/>
        </w:rPr>
        <w:footnoteReference w:id="111"/>
      </w:r>
      <w:r w:rsidR="0069399D">
        <w:t>;</w:t>
      </w:r>
    </w:p>
    <w:p w:rsidR="003B53A7" w:rsidRDefault="001D31C7" w:rsidP="002703D2">
      <w:pPr>
        <w:pStyle w:val="Lijstalinea"/>
        <w:numPr>
          <w:ilvl w:val="0"/>
          <w:numId w:val="4"/>
        </w:numPr>
      </w:pPr>
      <w:r>
        <w:t>Ofwel een</w:t>
      </w:r>
      <w:r w:rsidR="0069399D">
        <w:t xml:space="preserve"> arts met een offici</w:t>
      </w:r>
      <w:r w:rsidR="002703D2">
        <w:t xml:space="preserve">ële functie </w:t>
      </w:r>
      <w:r w:rsidR="0069399D">
        <w:t xml:space="preserve"> </w:t>
      </w:r>
      <w:r>
        <w:t xml:space="preserve">bij het beoordelen van de rijgeschiktheid </w:t>
      </w:r>
      <w:r w:rsidR="0069399D">
        <w:t>(</w:t>
      </w:r>
      <w:r w:rsidR="002703D2">
        <w:t xml:space="preserve">bedoeld wordt een </w:t>
      </w:r>
      <w:r w:rsidR="0069399D">
        <w:t xml:space="preserve">arts </w:t>
      </w:r>
      <w:r w:rsidR="002703D2">
        <w:t xml:space="preserve">verbonden aan </w:t>
      </w:r>
      <w:r w:rsidR="0069399D">
        <w:t xml:space="preserve">het “Bestuur van de medische expertise” </w:t>
      </w:r>
      <w:r w:rsidR="0069399D">
        <w:rPr>
          <w:rStyle w:val="Voetnootmarkering"/>
        </w:rPr>
        <w:footnoteReference w:id="112"/>
      </w:r>
      <w:r w:rsidR="002703D2">
        <w:t xml:space="preserve"> of een</w:t>
      </w:r>
      <w:r w:rsidR="0069399D">
        <w:t xml:space="preserve"> arts </w:t>
      </w:r>
      <w:r w:rsidR="002703D2">
        <w:t xml:space="preserve">verbonden aan </w:t>
      </w:r>
      <w:r w:rsidR="0069399D">
        <w:t xml:space="preserve">een arbeidsgeneeskundige dienst, de Vlaamse Dienst voor Arbeidsbemiddeling en Beroepsopleiding, de medische dienst van het leger, een Centrum voor Leerlingenbegeleiding of de medische dienst van de Federale Politie </w:t>
      </w:r>
      <w:r w:rsidR="0069399D">
        <w:rPr>
          <w:rStyle w:val="Voetnootmarkering"/>
        </w:rPr>
        <w:footnoteReference w:id="113"/>
      </w:r>
      <w:r w:rsidR="002703D2">
        <w:t xml:space="preserve"> of een arts verbonden aan het CARA (‘Centrum voor Rijgeschiktheid en voertuig-Aanpassing’) </w:t>
      </w:r>
      <w:r w:rsidR="002703D2">
        <w:rPr>
          <w:rStyle w:val="Voetnootmarkering"/>
        </w:rPr>
        <w:footnoteReference w:id="114"/>
      </w:r>
      <w:r w:rsidR="002703D2">
        <w:t>).</w:t>
      </w:r>
    </w:p>
    <w:p w:rsidR="003B53A7" w:rsidRDefault="003B53A7" w:rsidP="003B53A7">
      <w:pPr>
        <w:pStyle w:val="Lijstalinea"/>
      </w:pPr>
    </w:p>
    <w:p w:rsidR="003B53A7" w:rsidRDefault="002703D2" w:rsidP="003B53A7">
      <w:pPr>
        <w:pStyle w:val="Lijstalinea"/>
      </w:pPr>
      <w:r>
        <w:t>Bij een letterlijke interpretatie zou een behandelende</w:t>
      </w:r>
      <w:r w:rsidR="00C22F14">
        <w:t xml:space="preserve"> arts van een persoon die bij het aanvragen van het rijbewijs eenvoudig</w:t>
      </w:r>
      <w:r>
        <w:t xml:space="preserve"> (en mogelijk terecht) de verklaring op eer heeft ondertekend en bij wie later tekenen van ve</w:t>
      </w:r>
      <w:r w:rsidR="00A87B7C">
        <w:t xml:space="preserve">rlies van rijgeschiktheid worden </w:t>
      </w:r>
      <w:r>
        <w:t>vast gesteld, niet de verplichting hebben om de</w:t>
      </w:r>
      <w:r w:rsidR="00951BCD">
        <w:t xml:space="preserve"> patiënt hierover in te lichten</w:t>
      </w:r>
      <w:r>
        <w:t>.</w:t>
      </w:r>
    </w:p>
    <w:p w:rsidR="003B53A7" w:rsidRDefault="003B53A7" w:rsidP="003B53A7">
      <w:pPr>
        <w:pStyle w:val="Lijstalinea"/>
      </w:pPr>
    </w:p>
    <w:p w:rsidR="003B53A7" w:rsidRDefault="001D31C7" w:rsidP="003B53A7">
      <w:pPr>
        <w:pStyle w:val="Lijstalinea"/>
      </w:pPr>
      <w:r>
        <w:t xml:space="preserve">Dit zou ongewenste en mogelijk erg gevaarlijke gevolgen kunnen hebben. </w:t>
      </w:r>
    </w:p>
    <w:p w:rsidR="003B53A7" w:rsidRDefault="003B53A7" w:rsidP="003B53A7">
      <w:pPr>
        <w:pStyle w:val="Lijstalinea"/>
      </w:pPr>
    </w:p>
    <w:p w:rsidR="003B53A7" w:rsidRDefault="002703D2" w:rsidP="003B53A7">
      <w:pPr>
        <w:pStyle w:val="Lijstalinea"/>
      </w:pPr>
      <w:r>
        <w:lastRenderedPageBreak/>
        <w:t>De Nationale Raad van de Orde der Ar</w:t>
      </w:r>
      <w:r w:rsidR="00951BCD">
        <w:t xml:space="preserve">tsen ging in 2013 in twee adviezen vrij uitgebreid in op deze problematiek </w:t>
      </w:r>
      <w:r w:rsidR="00951BCD">
        <w:rPr>
          <w:rStyle w:val="Voetnootmarkering"/>
        </w:rPr>
        <w:footnoteReference w:id="115"/>
      </w:r>
      <w:r w:rsidR="00951BCD">
        <w:t xml:space="preserve">. De Nationale Raad wees er op dat een arts op grond van de </w:t>
      </w:r>
      <w:r w:rsidR="00C22F14">
        <w:t xml:space="preserve">Wet </w:t>
      </w:r>
      <w:r w:rsidR="00951BCD">
        <w:t>Pati</w:t>
      </w:r>
      <w:r w:rsidR="00C22F14">
        <w:t xml:space="preserve">ëntenrechten de patiënt </w:t>
      </w:r>
      <w:r w:rsidR="00951BCD">
        <w:t xml:space="preserve">steeds moet informeren over zijn gezondheidstoestand en de vermoedelijke evolutie. </w:t>
      </w:r>
      <w:r w:rsidR="00C22F14">
        <w:t>“Een arts die zijn patiënt niet inlicht over de medische rijgeschiktheid, doet</w:t>
      </w:r>
      <w:r w:rsidR="0029279E">
        <w:t xml:space="preserve">” – volgens de Nationale Raad </w:t>
      </w:r>
      <w:r w:rsidR="00C22F14">
        <w:t xml:space="preserve"> </w:t>
      </w:r>
      <w:r w:rsidR="0029279E">
        <w:t>“</w:t>
      </w:r>
      <w:r w:rsidR="00C22F14">
        <w:t xml:space="preserve">afbreuk aan dit </w:t>
      </w:r>
      <w:proofErr w:type="spellStart"/>
      <w:r w:rsidR="00C22F14">
        <w:t>patiëntenrecht</w:t>
      </w:r>
      <w:proofErr w:type="spellEnd"/>
      <w:r w:rsidR="00C22F14">
        <w:t xml:space="preserve">”. Bovendien moet van deze informatie melding gemaakt worden in het patiëntendossier </w:t>
      </w:r>
      <w:r w:rsidR="00C22F14">
        <w:rPr>
          <w:rStyle w:val="Voetnootmarkering"/>
        </w:rPr>
        <w:footnoteReference w:id="116"/>
      </w:r>
      <w:r w:rsidR="00C22F14">
        <w:t xml:space="preserve">. Het is daarbij onduidelijk of bedoeld wordt dat melding moet gemaakt worden van de implicaties van </w:t>
      </w:r>
      <w:r w:rsidR="00A87B7C">
        <w:t xml:space="preserve">de </w:t>
      </w:r>
      <w:r w:rsidR="00C22F14">
        <w:t xml:space="preserve">gezondheidstoestand op de rijgeschiktheid en/of </w:t>
      </w:r>
      <w:r w:rsidR="00EC5325">
        <w:t>van het feit dat de patiënt hiervoor geïnformeerd (en gewaarschuwd) werd. Wij menen dat het aangewezen is dat beide aspecten vermeld</w:t>
      </w:r>
      <w:r w:rsidR="0029279E">
        <w:t xml:space="preserve"> worden in het patiëntendossier, en dat uit het dossier dus blijkt dat de patiënt gewaarschuwd werd. Dit kan ook belangrijk zijn voor de beoordeling van de mogelijke aansprakelijkheid van de arts indien de patiënt toch een ongeval met schade zou veroorzaken.</w:t>
      </w:r>
    </w:p>
    <w:p w:rsidR="003B53A7" w:rsidRDefault="003B53A7" w:rsidP="003B53A7">
      <w:pPr>
        <w:pStyle w:val="Lijstalinea"/>
      </w:pPr>
    </w:p>
    <w:p w:rsidR="003B53A7" w:rsidRDefault="00C22F14" w:rsidP="003B53A7">
      <w:pPr>
        <w:pStyle w:val="Lijstalinea"/>
      </w:pPr>
      <w:r>
        <w:t>Op grond van de algemene zorgvuldighei</w:t>
      </w:r>
      <w:r w:rsidR="00EC5325">
        <w:t>dsplicht, voegt de raad er aan toe dat de arts ook de verplichting heeft om de patiënt “er op attent te maken” dat hij zijn rijbewijs dient in te leveren of te laten aanpassen</w:t>
      </w:r>
      <w:r w:rsidR="006D3028">
        <w:t xml:space="preserve">. Er wordt aangeraden om het </w:t>
      </w:r>
      <w:r w:rsidR="007657BD">
        <w:t xml:space="preserve">zogenaamde model VII </w:t>
      </w:r>
      <w:r w:rsidR="007657BD">
        <w:rPr>
          <w:rStyle w:val="Voetnootmarkering"/>
        </w:rPr>
        <w:footnoteReference w:id="117"/>
      </w:r>
      <w:r w:rsidR="006D3028">
        <w:t xml:space="preserve"> in te vullen en dit aan de patiënt te overhandigen. De patiënt moet zelf de nodige stappen ondernemen. Dit wil zeggen: het formulier aan het gemeentestuur bezorgen, stoppen met rijden of de beperkingen naleven.  De arts mag het dossier zelf niet bezorgen aan het gemeentebestuur. De Nationale Raad maakt duidelijk dat dit een schending van het beroepsgeheim zou inhouden.</w:t>
      </w:r>
      <w:r w:rsidR="001E3C27">
        <w:t xml:space="preserve"> De Nationale Raad overweegt ook dat de arts niet moet controleren of de patiënt wel gevolgen gekoppeld heeft aan het attest.</w:t>
      </w:r>
    </w:p>
    <w:p w:rsidR="003B53A7" w:rsidRDefault="003B53A7" w:rsidP="003B53A7">
      <w:pPr>
        <w:pStyle w:val="Lijstalinea"/>
      </w:pPr>
    </w:p>
    <w:p w:rsidR="003B53A7" w:rsidRDefault="00354DAB" w:rsidP="003B53A7">
      <w:pPr>
        <w:pStyle w:val="Lijstalinea"/>
      </w:pPr>
      <w:r>
        <w:t>Deze algemene waarschuwingsverplichting is overigens uitdrukkelijk opgenomen in bijlage 6 bij het Rijbewijsbesluit in de bepaling over de gevolgen van geneesmiddele</w:t>
      </w:r>
      <w:r w:rsidR="0034795B">
        <w:t xml:space="preserve">ngebruik op de rijgeschiktheid. Daar is bepaald dat “bij de vaststelling van een behandeling of het voorschrijven van geneesmiddelen (…) de geneesheer (nagaat) wat de invloed van de behandeling, van elk geneesmiddel afzonderlijk of van de combinatie met andere geneesmiddelen of alcohol op het rijgedrag is”. Daar wordt aan toegevoegd dat de arts “zijn patiënt (inlicht) over de mogelijke gevolgen voor zijn rijgedrag en (hem) wijst op zijn eventuele verplichtingen betreffende het gebruik van zijn rijbewijs” </w:t>
      </w:r>
      <w:r w:rsidR="0034795B">
        <w:rPr>
          <w:rStyle w:val="Voetnootmarkering"/>
        </w:rPr>
        <w:footnoteReference w:id="118"/>
      </w:r>
    </w:p>
    <w:p w:rsidR="003B53A7" w:rsidRDefault="003B53A7" w:rsidP="003B53A7">
      <w:pPr>
        <w:pStyle w:val="Lijstalinea"/>
      </w:pPr>
    </w:p>
    <w:p w:rsidR="003B53A7" w:rsidRDefault="00354DAB" w:rsidP="002703D2">
      <w:pPr>
        <w:pStyle w:val="Lijstalinea"/>
        <w:numPr>
          <w:ilvl w:val="0"/>
          <w:numId w:val="15"/>
        </w:numPr>
      </w:pPr>
      <w:r>
        <w:t>Over de vorm waarop de pa</w:t>
      </w:r>
      <w:r w:rsidR="00A87B7C">
        <w:t xml:space="preserve">tiënt moet geïnformeerd worden, zijn geen uitdrukkelijke bepalingen voorzien. </w:t>
      </w:r>
      <w:r w:rsidR="001E3C27">
        <w:t>De raadgeving aan de patiënt verloopt in beginsel via een gewoon mondeling gesprek, waarvan melding gemaakt wordt in het patiëntendossier.</w:t>
      </w:r>
      <w:r>
        <w:t xml:space="preserve"> De mondelinge com</w:t>
      </w:r>
      <w:r w:rsidR="00DF3F79">
        <w:t xml:space="preserve">municatie is immers de regel. Bij informatieverstrekking kan de patiënt vragen dat de informatie hem schriftelijk wordt bevestigd </w:t>
      </w:r>
      <w:r w:rsidR="00DF3F79">
        <w:rPr>
          <w:rStyle w:val="Voetnootmarkering"/>
        </w:rPr>
        <w:footnoteReference w:id="119"/>
      </w:r>
      <w:r w:rsidR="00DF3F79">
        <w:t xml:space="preserve"> . Voor een hele reeks ingrijpende handelingen – zoals experimenten</w:t>
      </w:r>
      <w:r w:rsidR="00A3616A">
        <w:rPr>
          <w:rStyle w:val="Voetnootmarkering"/>
        </w:rPr>
        <w:footnoteReference w:id="120"/>
      </w:r>
      <w:r w:rsidR="00DF3F79">
        <w:t>, het wegnemen van organen</w:t>
      </w:r>
      <w:r w:rsidR="00A3616A">
        <w:t xml:space="preserve"> bij levenden</w:t>
      </w:r>
      <w:r w:rsidR="00A3616A">
        <w:rPr>
          <w:rStyle w:val="Voetnootmarkering"/>
        </w:rPr>
        <w:footnoteReference w:id="121"/>
      </w:r>
      <w:r w:rsidR="00DF3F79">
        <w:t xml:space="preserve"> of het beëindigen van </w:t>
      </w:r>
      <w:r w:rsidR="00DF3F79">
        <w:lastRenderedPageBreak/>
        <w:t>de zwangerschap</w:t>
      </w:r>
      <w:r w:rsidR="00A3616A">
        <w:rPr>
          <w:rStyle w:val="Voetnootmarkering"/>
        </w:rPr>
        <w:footnoteReference w:id="122"/>
      </w:r>
      <w:r w:rsidR="00DF3F79">
        <w:t xml:space="preserve"> – is </w:t>
      </w:r>
      <w:r w:rsidR="00A3616A">
        <w:t xml:space="preserve">in bijzondere wetgeving </w:t>
      </w:r>
      <w:r w:rsidR="00DF3F79">
        <w:t>voorzien dat de informatie en de toestemming schriftelijk moeten bevestigd worden. Voor andere handelingen kan dit met instemming van arts en patiënt</w:t>
      </w:r>
      <w:r w:rsidR="00A3616A">
        <w:t xml:space="preserve"> schriftelijk vast gelegd worden</w:t>
      </w:r>
      <w:r w:rsidR="00DF3F79">
        <w:rPr>
          <w:rStyle w:val="Voetnootmarkering"/>
        </w:rPr>
        <w:footnoteReference w:id="123"/>
      </w:r>
      <w:r w:rsidR="00A3616A">
        <w:t>.</w:t>
      </w:r>
      <w:r w:rsidR="00DF3F79">
        <w:t xml:space="preserve"> </w:t>
      </w:r>
    </w:p>
    <w:p w:rsidR="003B53A7" w:rsidRDefault="003B53A7" w:rsidP="003B53A7">
      <w:pPr>
        <w:pStyle w:val="Lijstalinea"/>
      </w:pPr>
    </w:p>
    <w:p w:rsidR="001E3C27" w:rsidRDefault="00AF26A5" w:rsidP="002703D2">
      <w:pPr>
        <w:pStyle w:val="Lijstalinea"/>
        <w:numPr>
          <w:ilvl w:val="0"/>
          <w:numId w:val="15"/>
        </w:numPr>
      </w:pPr>
      <w:r>
        <w:t xml:space="preserve">Toch is het niet uitgesloten dat een arts zelf het initiatief zou nemen om informatie schriftelijk mee te delen. </w:t>
      </w:r>
      <w:r w:rsidR="001E3C27">
        <w:t xml:space="preserve">Hoewel dit ongebruikelijk is, kan het zinvol zijn om het advies (of de aanmaning) om te stoppen met rijden </w:t>
      </w:r>
      <w:r>
        <w:t xml:space="preserve">en het rijbewijs in te leveren </w:t>
      </w:r>
      <w:r w:rsidR="001E3C27">
        <w:t xml:space="preserve">ook schriftelijk – via brief of e-mail </w:t>
      </w:r>
      <w:r>
        <w:t xml:space="preserve">- </w:t>
      </w:r>
      <w:r w:rsidR="001E3C27">
        <w:t>te herhalen. Dit is nergens voorgeschreven, maar het kan de ernst van de boodschap beklemtonen</w:t>
      </w:r>
      <w:r>
        <w:t xml:space="preserve"> en de patiënt doen nadenken</w:t>
      </w:r>
      <w:r w:rsidR="001E3C27">
        <w:t>. Het kan eventueel ook een bewijselement vormen bij mogelijke geschillen over de aansprakelijkheid van de arts, maar is daartoe niet nodig. Een vermelding in het patiëntendossier vormt in</w:t>
      </w:r>
      <w:r w:rsidR="00634611">
        <w:t xml:space="preserve"> d</w:t>
      </w:r>
      <w:r w:rsidR="00A3616A">
        <w:t xml:space="preserve">e regel een voldoende bewijs </w:t>
      </w:r>
      <w:r w:rsidR="00A3616A">
        <w:rPr>
          <w:rStyle w:val="Voetnootmarkering"/>
        </w:rPr>
        <w:footnoteReference w:id="124"/>
      </w:r>
      <w:r w:rsidR="00A3616A">
        <w:t>.</w:t>
      </w:r>
    </w:p>
    <w:p w:rsidR="003B53A7" w:rsidRDefault="003B53A7" w:rsidP="003B53A7">
      <w:pPr>
        <w:pStyle w:val="Lijstalinea"/>
      </w:pPr>
    </w:p>
    <w:p w:rsidR="003B53A7" w:rsidRDefault="003B53A7" w:rsidP="003B53A7">
      <w:pPr>
        <w:pStyle w:val="Lijstalinea"/>
      </w:pPr>
    </w:p>
    <w:p w:rsidR="003B53A7" w:rsidRDefault="001E3C27" w:rsidP="002703D2">
      <w:pPr>
        <w:pStyle w:val="Lijstalinea"/>
        <w:numPr>
          <w:ilvl w:val="0"/>
          <w:numId w:val="15"/>
        </w:numPr>
      </w:pPr>
      <w:r>
        <w:t xml:space="preserve">Dit neemt niet weg dat een arts kan merken dat een patiënt gevaarlijk blijft of is geworden en dat het onverantwoord is dat hij nog langer deelneemt aan het </w:t>
      </w:r>
      <w:r w:rsidR="007A0202">
        <w:t>verkeer. Indien een patiënt geen gevolg geeft aan de adviezen en aanmaningen, kan de noodtoestand uitzonderlijk rechtvaardigen dat de arts de procureur des</w:t>
      </w:r>
      <w:r w:rsidR="00012A02">
        <w:t xml:space="preserve"> Konings (of een magistraat van het parket</w:t>
      </w:r>
      <w:r w:rsidR="00012A02">
        <w:rPr>
          <w:rStyle w:val="Voetnootmarkering"/>
        </w:rPr>
        <w:footnoteReference w:id="125"/>
      </w:r>
      <w:r w:rsidR="003B53A7">
        <w:t>)</w:t>
      </w:r>
      <w:r w:rsidR="00012A02">
        <w:t xml:space="preserve"> op de hoogte brengt </w:t>
      </w:r>
      <w:r w:rsidR="00012A02">
        <w:rPr>
          <w:rStyle w:val="Voetnootmarkering"/>
        </w:rPr>
        <w:footnoteReference w:id="126"/>
      </w:r>
      <w:r w:rsidR="007A0202">
        <w:t xml:space="preserve"> . De Nationale Raad van de Orde der Artsen bevestigde dit reeds in adviezen van 1990 en 1992 </w:t>
      </w:r>
      <w:r w:rsidR="007A0202">
        <w:rPr>
          <w:rStyle w:val="Voetnootmarkering"/>
        </w:rPr>
        <w:footnoteReference w:id="127"/>
      </w:r>
      <w:r w:rsidR="00972F6D">
        <w:t>.</w:t>
      </w:r>
    </w:p>
    <w:p w:rsidR="003B53A7" w:rsidRDefault="003B53A7" w:rsidP="003B53A7">
      <w:pPr>
        <w:pStyle w:val="Lijstalinea"/>
      </w:pPr>
    </w:p>
    <w:p w:rsidR="00972F6D" w:rsidRDefault="00972F6D" w:rsidP="002703D2">
      <w:pPr>
        <w:pStyle w:val="Lijstalinea"/>
        <w:numPr>
          <w:ilvl w:val="0"/>
          <w:numId w:val="15"/>
        </w:numPr>
      </w:pPr>
      <w:r>
        <w:t>Een interessante en nog niet behandelde vraag is of die melding noodzakelijk moet gebeuren aan de Procureur des Konings. Zou het bij voorbeeld verantwoord kunnen zijn dat de arts van een oudere man met gradueel verergerende visuele of neurologische stoornissen contact opneemt met de echtgen</w:t>
      </w:r>
      <w:r w:rsidR="0071581D">
        <w:t xml:space="preserve">ote of de kinderen van die man? </w:t>
      </w:r>
      <w:r>
        <w:t>Hij kan hen op de hoogte brengen van de ernst van de toestand en hen vragen te helpen om hun man of vader te overtuigen om te stoppen met rijden. Indien de patiënt voo</w:t>
      </w:r>
      <w:r w:rsidR="00AF26A5">
        <w:t xml:space="preserve">rafgaand gewaarschuwd werd over </w:t>
      </w:r>
      <w:r>
        <w:t xml:space="preserve">deze </w:t>
      </w:r>
      <w:r w:rsidR="00AF26A5">
        <w:t xml:space="preserve">voorgenomen </w:t>
      </w:r>
      <w:r>
        <w:t>stap, zien wij hi</w:t>
      </w:r>
      <w:r w:rsidR="00012A02">
        <w:t>er geen bezwaar tegen. Indien dit de meest gepaste w</w:t>
      </w:r>
      <w:r w:rsidR="00AF26A5">
        <w:t>ijze is om het gevaar te vermijden</w:t>
      </w:r>
      <w:r w:rsidR="00012A02">
        <w:t xml:space="preserve"> met het minst interferentie op de vertrouwensrelatie</w:t>
      </w:r>
      <w:r w:rsidR="00AF26A5">
        <w:t xml:space="preserve"> en het behoud van confidentiële gegevens</w:t>
      </w:r>
      <w:r w:rsidR="00012A02">
        <w:t>, kan dit een verantwoorde oplossing zijn.</w:t>
      </w:r>
    </w:p>
    <w:p w:rsidR="00EC5325" w:rsidRDefault="00EC5325" w:rsidP="002703D2"/>
    <w:p w:rsidR="00210FB1" w:rsidRDefault="00210FB1" w:rsidP="008E111C"/>
    <w:p w:rsidR="001D31C7" w:rsidRDefault="001D31C7" w:rsidP="001D31C7"/>
    <w:p w:rsidR="001D31C7" w:rsidRDefault="001D31C7" w:rsidP="001D31C7"/>
    <w:p w:rsidR="00B4534A" w:rsidRPr="004A6B2E" w:rsidRDefault="00950B3F" w:rsidP="00B4534A">
      <w:pPr>
        <w:pStyle w:val="Lijstalinea"/>
        <w:numPr>
          <w:ilvl w:val="0"/>
          <w:numId w:val="19"/>
        </w:numPr>
        <w:rPr>
          <w:b/>
        </w:rPr>
      </w:pPr>
      <w:r w:rsidRPr="004A6B2E">
        <w:rPr>
          <w:b/>
        </w:rPr>
        <w:t>De tussenkomst van de vrederechter bij indicaties van verlies van rijgeschiktheid</w:t>
      </w:r>
    </w:p>
    <w:p w:rsidR="00950B3F" w:rsidRDefault="00950B3F" w:rsidP="00950B3F"/>
    <w:p w:rsidR="003B53A7" w:rsidRDefault="00950B3F" w:rsidP="00950B3F">
      <w:pPr>
        <w:pStyle w:val="Lijstalinea"/>
        <w:numPr>
          <w:ilvl w:val="0"/>
          <w:numId w:val="15"/>
        </w:numPr>
      </w:pPr>
      <w:r>
        <w:t>Het is mogelijk dat de vredere</w:t>
      </w:r>
      <w:r w:rsidR="00AF26A5">
        <w:t>chter n.a.v. een verzoek om een persoon onder gerechtelijke bescherming te pla</w:t>
      </w:r>
      <w:r w:rsidR="00F457B2">
        <w:t xml:space="preserve">atsen op grond van de wet van 17 maart 2013 </w:t>
      </w:r>
      <w:r w:rsidR="00AF26A5">
        <w:t>merkt dat de persoon niet meer geschikt is om te rijden.</w:t>
      </w:r>
      <w:r>
        <w:t xml:space="preserve"> Zo </w:t>
      </w:r>
      <w:r w:rsidR="00AF26A5">
        <w:t xml:space="preserve">is het mogelijk </w:t>
      </w:r>
      <w:r>
        <w:t>dat uit het omstandig geneeskundig verslag blijkt dat de te beschermen persoon aangetast is door de zi</w:t>
      </w:r>
      <w:r w:rsidR="00AF26A5">
        <w:t xml:space="preserve">ekte van Alzheimer of na een herseninfarct getroffen is door </w:t>
      </w:r>
      <w:r>
        <w:t>een ernstig neurologisch deficit</w:t>
      </w:r>
      <w:r w:rsidR="00AF26A5">
        <w:t xml:space="preserve">. </w:t>
      </w:r>
      <w:r>
        <w:t>In dergelijke gevallen is het duidelijk dat de te beschermen persoon niet meer kan noch mag rijden.</w:t>
      </w:r>
      <w:r w:rsidR="00AF26A5">
        <w:t xml:space="preserve"> De vrederechter van Neerpelt-Lommel </w:t>
      </w:r>
      <w:r w:rsidR="00F457B2">
        <w:t xml:space="preserve">werd geconfronteerd met een casus waarbij de sociaal assistente die de beschermde persoon begeleidde zich ernstige zorgen maakte over diens rijgeschiktheid terwijl de man vond dat hij wel nog veilig kon rijden. Hij stelde daarom een arts-deskundige aan met de opdracht de rijgeschiktheid van de man te onderzoeken </w:t>
      </w:r>
      <w:r w:rsidR="00F457B2">
        <w:rPr>
          <w:rStyle w:val="Voetnootmarkering"/>
        </w:rPr>
        <w:footnoteReference w:id="128"/>
      </w:r>
      <w:r w:rsidR="00F457B2">
        <w:t>.</w:t>
      </w:r>
    </w:p>
    <w:p w:rsidR="003B53A7" w:rsidRDefault="003B53A7" w:rsidP="003B53A7">
      <w:pPr>
        <w:pStyle w:val="Lijstalinea"/>
      </w:pPr>
    </w:p>
    <w:p w:rsidR="003B53A7" w:rsidRDefault="00F457B2" w:rsidP="003B53A7">
      <w:pPr>
        <w:pStyle w:val="Lijstalinea"/>
      </w:pPr>
      <w:r>
        <w:t>De vraag r</w:t>
      </w:r>
      <w:r w:rsidR="001214E9">
        <w:t>ijst of dit de gepaste weg is. Indien de betrokken man na de expertise bevolen door de vrederechter blijft rijden, heeft de vrederechter zelf geen mogelijkheden om in te grijpen.</w:t>
      </w:r>
    </w:p>
    <w:p w:rsidR="003B53A7" w:rsidRDefault="003B53A7" w:rsidP="003B53A7">
      <w:pPr>
        <w:pStyle w:val="Lijstalinea"/>
      </w:pPr>
    </w:p>
    <w:p w:rsidR="001214E9" w:rsidRDefault="001214E9" w:rsidP="003B53A7">
      <w:pPr>
        <w:pStyle w:val="Lijstalinea"/>
      </w:pPr>
      <w:r>
        <w:t>Het komt ons dan ook voor dat in dergelijke gevallen de informatie best wordt overgemaakt aan</w:t>
      </w:r>
      <w:r w:rsidR="00387635">
        <w:t xml:space="preserve"> de Procureur des Konings. Het parket kan laten vast stellen dat er toch gereden wordt en gelet op de inbreuk op art. 8.3. van de Wegcode in dringende gevallen </w:t>
      </w:r>
      <w:r w:rsidR="001C6A71">
        <w:t xml:space="preserve">overgaan tot intrekking van het rijbewijs. Voor het vervallen verklaren van het recht tot sturen moet de zaak aanhangig gemaakt worden bij de politierechtbank, waar na de hierna besproken expertise kan beslist worden op grond van art. 42 van de Wegverkeerswet </w:t>
      </w:r>
      <w:r w:rsidR="001C6A71">
        <w:rPr>
          <w:rStyle w:val="Voetnootmarkering"/>
        </w:rPr>
        <w:footnoteReference w:id="129"/>
      </w:r>
      <w:r w:rsidR="001C6A71">
        <w:t>.</w:t>
      </w:r>
    </w:p>
    <w:p w:rsidR="00B4534A" w:rsidRDefault="00B4534A" w:rsidP="00A9428E"/>
    <w:p w:rsidR="005904A1" w:rsidRPr="005351BF" w:rsidRDefault="001214E9" w:rsidP="005904A1">
      <w:pPr>
        <w:pStyle w:val="Lijstalinea"/>
        <w:numPr>
          <w:ilvl w:val="0"/>
          <w:numId w:val="19"/>
        </w:numPr>
        <w:rPr>
          <w:b/>
        </w:rPr>
      </w:pPr>
      <w:r w:rsidRPr="005351BF">
        <w:rPr>
          <w:b/>
        </w:rPr>
        <w:t>De t</w:t>
      </w:r>
      <w:r w:rsidR="005904A1" w:rsidRPr="005351BF">
        <w:rPr>
          <w:b/>
        </w:rPr>
        <w:t xml:space="preserve">aak </w:t>
      </w:r>
      <w:r w:rsidRPr="005351BF">
        <w:rPr>
          <w:b/>
        </w:rPr>
        <w:t xml:space="preserve"> van de </w:t>
      </w:r>
      <w:r w:rsidR="005904A1" w:rsidRPr="005351BF">
        <w:rPr>
          <w:b/>
        </w:rPr>
        <w:t>politierechter</w:t>
      </w:r>
      <w:r w:rsidRPr="005351BF">
        <w:rPr>
          <w:b/>
        </w:rPr>
        <w:t xml:space="preserve"> bij verlies van rijgeschiktheid </w:t>
      </w:r>
    </w:p>
    <w:p w:rsidR="00393C07" w:rsidRDefault="00393C07" w:rsidP="00393C07"/>
    <w:p w:rsidR="00416A7F" w:rsidRPr="005351BF" w:rsidRDefault="00416A7F" w:rsidP="00416A7F">
      <w:pPr>
        <w:pStyle w:val="Lijstalinea"/>
        <w:numPr>
          <w:ilvl w:val="0"/>
          <w:numId w:val="20"/>
        </w:numPr>
        <w:rPr>
          <w:b/>
        </w:rPr>
      </w:pPr>
      <w:r w:rsidRPr="005351BF">
        <w:rPr>
          <w:b/>
        </w:rPr>
        <w:t>Bij de toepassing van art. 42 Wegverkeerswet</w:t>
      </w:r>
    </w:p>
    <w:p w:rsidR="00416A7F" w:rsidRDefault="00416A7F" w:rsidP="00416A7F"/>
    <w:p w:rsidR="00416A7F" w:rsidRDefault="004B4831" w:rsidP="004B4831">
      <w:pPr>
        <w:pStyle w:val="Lijstalinea"/>
        <w:numPr>
          <w:ilvl w:val="0"/>
          <w:numId w:val="21"/>
        </w:numPr>
        <w:rPr>
          <w:b/>
        </w:rPr>
      </w:pPr>
      <w:r w:rsidRPr="005351BF">
        <w:rPr>
          <w:b/>
        </w:rPr>
        <w:t>Algemeen</w:t>
      </w:r>
    </w:p>
    <w:p w:rsidR="003B53A7" w:rsidRPr="005351BF" w:rsidRDefault="003B53A7" w:rsidP="003B53A7">
      <w:pPr>
        <w:pStyle w:val="Lijstalinea"/>
        <w:rPr>
          <w:b/>
        </w:rPr>
      </w:pPr>
    </w:p>
    <w:p w:rsidR="003B53A7" w:rsidRDefault="004B4831" w:rsidP="004B4831">
      <w:pPr>
        <w:pStyle w:val="Lijstalinea"/>
        <w:numPr>
          <w:ilvl w:val="0"/>
          <w:numId w:val="15"/>
        </w:numPr>
      </w:pPr>
      <w:r>
        <w:t xml:space="preserve">Artikel 42 van de Wegverkeerswet bepaalt dat verval van het recht tot sturen moet uitgesproken worden “wanneer naar aanleiding van een veroordeling wegens overtreding van de politie over het wegverkeer of wegens een verkeersongeval te wijten aan het persoonlijk toedoen van de dader, de schuldige lichamelijk </w:t>
      </w:r>
      <w:r w:rsidR="000A0A54">
        <w:t>of geestelijk ongeschikt worden bevonden tot het besturen van een motorvoertuig”</w:t>
      </w:r>
      <w:r w:rsidR="009F70C7">
        <w:t xml:space="preserve"> </w:t>
      </w:r>
      <w:r w:rsidR="009F70C7">
        <w:rPr>
          <w:rStyle w:val="Voetnootmarkering"/>
        </w:rPr>
        <w:footnoteReference w:id="130"/>
      </w:r>
      <w:r w:rsidR="000A0A54">
        <w:t xml:space="preserve">. Dat verval kan tijdelijk of definitief zijn. De betrokkene kan na twee jaar om opheffing van het verval verzoeken via een verzoekschrift bij de Procureur </w:t>
      </w:r>
      <w:r w:rsidR="000A0A54">
        <w:rPr>
          <w:rStyle w:val="Voetnootmarkering"/>
        </w:rPr>
        <w:footnoteReference w:id="131"/>
      </w:r>
      <w:r w:rsidR="000A0A54">
        <w:t>.</w:t>
      </w:r>
    </w:p>
    <w:p w:rsidR="003B53A7" w:rsidRDefault="00E4477F" w:rsidP="003B53A7">
      <w:pPr>
        <w:pStyle w:val="Lijstalinea"/>
      </w:pPr>
      <w:r>
        <w:lastRenderedPageBreak/>
        <w:t xml:space="preserve">Het verval op grond van art. 42 is een veiligheidsmaatregel. Het verval op grond van art. 38 is een straf </w:t>
      </w:r>
      <w:r>
        <w:rPr>
          <w:rStyle w:val="Voetnootmarkering"/>
        </w:rPr>
        <w:footnoteReference w:id="132"/>
      </w:r>
      <w:r w:rsidR="005351BF">
        <w:t xml:space="preserve">, maar na een langer verval moet de rijgeschiktheid opnieuw getoetst worden </w:t>
      </w:r>
      <w:r w:rsidR="00193EC9">
        <w:t xml:space="preserve">via een zogenaamd herstelonderzoek </w:t>
      </w:r>
      <w:r w:rsidR="00B2309B">
        <w:rPr>
          <w:rStyle w:val="Voetnootmarkering"/>
        </w:rPr>
        <w:footnoteReference w:id="133"/>
      </w:r>
      <w:r w:rsidR="00193EC9">
        <w:t>.</w:t>
      </w:r>
    </w:p>
    <w:p w:rsidR="003B53A7" w:rsidRDefault="003B53A7" w:rsidP="003B53A7">
      <w:pPr>
        <w:pStyle w:val="Lijstalinea"/>
      </w:pPr>
    </w:p>
    <w:p w:rsidR="00085632" w:rsidRDefault="00085632" w:rsidP="003B53A7">
      <w:pPr>
        <w:pStyle w:val="Lijstalinea"/>
      </w:pPr>
      <w:r>
        <w:t xml:space="preserve">De toepassing van dit artikel is niet zo eenvoudig.  De rechter moet immers een beslissing nemen over de lichamelijke of geestelijke geschiktheid en zal daarbij vaak een </w:t>
      </w:r>
      <w:r w:rsidR="005351BF">
        <w:t>beroep doen op medi</w:t>
      </w:r>
      <w:r w:rsidR="00B2309B">
        <w:t>sch advies.  Daarbij komen alle</w:t>
      </w:r>
      <w:r w:rsidR="005351BF">
        <w:t xml:space="preserve"> </w:t>
      </w:r>
      <w:r w:rsidR="00B940E1">
        <w:t xml:space="preserve">klassieke </w:t>
      </w:r>
      <w:r w:rsidR="005351BF">
        <w:t>problemen inzake de interpretatie van het expertiseverslag om de hoek</w:t>
      </w:r>
      <w:r w:rsidR="00B2309B">
        <w:t>, samen met de vraag hoe gerech</w:t>
      </w:r>
      <w:r w:rsidR="006A503C">
        <w:t>t</w:t>
      </w:r>
      <w:r w:rsidR="00B2309B">
        <w:t>sdeskundige aan informatie kan komen en of de betrokken bestuurder kan gedwongen worden om mee te werken aan het onderzoek. Maar in de fase vooraf rijst een andere vraag: hoe kan de politierechter eigenlijk weten dat er een probleem van verminderde rijgeschiktheid is? Op grond waarvan mag de onde</w:t>
      </w:r>
      <w:r w:rsidR="006A503C">
        <w:t>rzoeksmaatregel opgelegd worden?</w:t>
      </w:r>
    </w:p>
    <w:p w:rsidR="00B2309B" w:rsidRDefault="00B2309B" w:rsidP="004B4831"/>
    <w:p w:rsidR="004B4831" w:rsidRPr="00B940E1" w:rsidRDefault="006A503C" w:rsidP="004B4831">
      <w:pPr>
        <w:pStyle w:val="Lijstalinea"/>
        <w:numPr>
          <w:ilvl w:val="0"/>
          <w:numId w:val="21"/>
        </w:numPr>
        <w:rPr>
          <w:b/>
        </w:rPr>
      </w:pPr>
      <w:r w:rsidRPr="00B940E1">
        <w:rPr>
          <w:b/>
        </w:rPr>
        <w:t>Waaruit blijkt de mogel</w:t>
      </w:r>
      <w:r w:rsidR="00B940E1" w:rsidRPr="00B940E1">
        <w:rPr>
          <w:b/>
        </w:rPr>
        <w:t>ijk verminderde rijgeschiktheid die aanleiding kan geven tot een expertise?</w:t>
      </w:r>
    </w:p>
    <w:p w:rsidR="006969A9" w:rsidRPr="00B940E1" w:rsidRDefault="006969A9" w:rsidP="006969A9">
      <w:pPr>
        <w:rPr>
          <w:b/>
        </w:rPr>
      </w:pPr>
    </w:p>
    <w:p w:rsidR="003B53A7" w:rsidRDefault="006A503C" w:rsidP="006969A9">
      <w:pPr>
        <w:pStyle w:val="Lijstalinea"/>
        <w:numPr>
          <w:ilvl w:val="0"/>
          <w:numId w:val="15"/>
        </w:numPr>
      </w:pPr>
      <w:r>
        <w:t xml:space="preserve">De wet maakt duidelijk dat het verval uitgesproken kan worden </w:t>
      </w:r>
      <w:r w:rsidR="00B940E1">
        <w:t xml:space="preserve">indien </w:t>
      </w:r>
      <w:r>
        <w:t xml:space="preserve">de verminderde rijgeschiktheid blijkt </w:t>
      </w:r>
      <w:r w:rsidRPr="003B53A7">
        <w:rPr>
          <w:b/>
          <w:i/>
        </w:rPr>
        <w:t>naar aanleiding van</w:t>
      </w:r>
      <w:r w:rsidRPr="003B53A7">
        <w:rPr>
          <w:b/>
        </w:rPr>
        <w:t xml:space="preserve"> </w:t>
      </w:r>
      <w:r>
        <w:t>een veroordeling wegens politie van het wegverkeer of wegens een verkeersongeval.</w:t>
      </w:r>
    </w:p>
    <w:p w:rsidR="003B53A7" w:rsidRDefault="003B53A7" w:rsidP="003B53A7">
      <w:pPr>
        <w:pStyle w:val="Lijstalinea"/>
      </w:pPr>
    </w:p>
    <w:p w:rsidR="003B53A7" w:rsidRDefault="006A503C" w:rsidP="003B53A7">
      <w:pPr>
        <w:pStyle w:val="Lijstalinea"/>
      </w:pPr>
      <w:r>
        <w:t xml:space="preserve">De feiten waarvoor </w:t>
      </w:r>
      <w:r w:rsidR="00B940E1">
        <w:t xml:space="preserve">de beschuldigde met het oog op </w:t>
      </w:r>
      <w:r>
        <w:t xml:space="preserve">een andere veroordeling </w:t>
      </w:r>
      <w:r w:rsidR="00674768">
        <w:t xml:space="preserve">voor de politierechtbank </w:t>
      </w:r>
      <w:r>
        <w:t xml:space="preserve">wordt </w:t>
      </w:r>
      <w:r w:rsidR="00674768">
        <w:t xml:space="preserve">gedaagd, </w:t>
      </w:r>
      <w:r>
        <w:t xml:space="preserve">kunnen dus een indicatie vormen voor de verminderde rijgeschiktheid. Dit kan blijken uit de omstandigheden van het ongeval, de getuigenverklaringen, maar ook </w:t>
      </w:r>
      <w:r w:rsidR="00674768">
        <w:t xml:space="preserve">uit </w:t>
      </w:r>
      <w:r>
        <w:t xml:space="preserve">meldingen door derden zoals </w:t>
      </w:r>
      <w:r w:rsidR="00674768">
        <w:t xml:space="preserve">bezorgde familieleden, buren, </w:t>
      </w:r>
      <w:r>
        <w:t>collega</w:t>
      </w:r>
      <w:r w:rsidR="00674768">
        <w:t>’</w:t>
      </w:r>
      <w:r>
        <w:t>s</w:t>
      </w:r>
      <w:r w:rsidR="00674768">
        <w:t xml:space="preserve"> of de werkgever</w:t>
      </w:r>
      <w:r>
        <w:t xml:space="preserve">. Zoals hierboven uiteengezet, kan het ook dat een behandelende </w:t>
      </w:r>
      <w:r w:rsidR="00193EC9">
        <w:t xml:space="preserve">arts dit meldt aan het parket indien zijn patiënt ondanks raadgevingen en waarschuwingen niet zelf stopt met rijden en zijn rijbewijs </w:t>
      </w:r>
      <w:r w:rsidR="00674768">
        <w:t xml:space="preserve"> niet </w:t>
      </w:r>
      <w:r w:rsidR="00193EC9">
        <w:t>inlevert</w:t>
      </w:r>
      <w:r w:rsidR="00674768">
        <w:t xml:space="preserve"> </w:t>
      </w:r>
      <w:r w:rsidR="00674768">
        <w:rPr>
          <w:rStyle w:val="Voetnootmarkering"/>
        </w:rPr>
        <w:footnoteReference w:id="134"/>
      </w:r>
      <w:r w:rsidR="00193EC9">
        <w:t>.</w:t>
      </w:r>
    </w:p>
    <w:p w:rsidR="003B53A7" w:rsidRDefault="003B53A7" w:rsidP="003B53A7">
      <w:pPr>
        <w:pStyle w:val="Lijstalinea"/>
      </w:pPr>
    </w:p>
    <w:p w:rsidR="003B53A7" w:rsidRDefault="00193EC9" w:rsidP="003B53A7">
      <w:pPr>
        <w:pStyle w:val="Lijstalinea"/>
      </w:pPr>
      <w:r>
        <w:t>Het is ook mogelijk dat het probleem of minstens de indicaties ervan kunnen vast gesteld worden door de politierechter tijdens de zitting. Indien de beklaagde de indruk geeft niet stab</w:t>
      </w:r>
      <w:r w:rsidR="00D81626">
        <w:t>iel te lopen, slecht te zien, onsamenhangend te spreken, kunnen dit indicaties zijn van een verminderde rijgeschiktheid. Het zijn geen elementen op grond waarvan men tot een besluit over de verminderde rijgeschiktheid kan komen, maar ze kunnen de grondslag vormen om een expertise te bevelen.</w:t>
      </w:r>
    </w:p>
    <w:p w:rsidR="003B53A7" w:rsidRDefault="003B53A7" w:rsidP="003B53A7">
      <w:pPr>
        <w:pStyle w:val="Lijstalinea"/>
      </w:pPr>
    </w:p>
    <w:p w:rsidR="006A503C" w:rsidRPr="006A503C" w:rsidRDefault="00D81626" w:rsidP="003B53A7">
      <w:pPr>
        <w:pStyle w:val="Lijstalinea"/>
      </w:pPr>
      <w:r>
        <w:t xml:space="preserve">Ook de indicaties - uit het dossier of het verloop van de zitting </w:t>
      </w:r>
      <w:r w:rsidR="00BC6D30">
        <w:t>–</w:t>
      </w:r>
      <w:r>
        <w:t xml:space="preserve"> v</w:t>
      </w:r>
      <w:r w:rsidR="00BC6D30">
        <w:t xml:space="preserve">an </w:t>
      </w:r>
      <w:r>
        <w:t>een verslaving aan alcohol</w:t>
      </w:r>
      <w:r w:rsidR="00BC6D30">
        <w:t xml:space="preserve"> of drugs, kunnen een reden zijn voor verder onderzoek.</w:t>
      </w:r>
    </w:p>
    <w:p w:rsidR="006969A9" w:rsidRDefault="006969A9" w:rsidP="006969A9"/>
    <w:p w:rsidR="006969A9" w:rsidRDefault="00E42C52" w:rsidP="003B53A7">
      <w:pPr>
        <w:pStyle w:val="Lijstalinea"/>
        <w:numPr>
          <w:ilvl w:val="0"/>
          <w:numId w:val="15"/>
        </w:numPr>
      </w:pPr>
      <w:r>
        <w:t>Alcoholverslav</w:t>
      </w:r>
      <w:r w:rsidR="00BC6D30">
        <w:t xml:space="preserve">ing is zeker een grondslag om art. 42 van de Wegverkeerswet toe te passen </w:t>
      </w:r>
      <w:r w:rsidR="00BC6D30">
        <w:rPr>
          <w:rStyle w:val="Voetnootmarkering"/>
        </w:rPr>
        <w:footnoteReference w:id="135"/>
      </w:r>
      <w:r w:rsidR="00BC6D30">
        <w:t xml:space="preserve">. </w:t>
      </w:r>
      <w:r w:rsidR="00A63BD1">
        <w:t xml:space="preserve">Het is uitdrukkelijk vermeld bij de medische criteria voor de rijgeschiktheid </w:t>
      </w:r>
      <w:r w:rsidR="00A63BD1">
        <w:rPr>
          <w:rStyle w:val="Voetnootmarkering"/>
        </w:rPr>
        <w:footnoteReference w:id="136"/>
      </w:r>
      <w:r w:rsidR="00A63BD1">
        <w:t xml:space="preserve">: “de kandidaat </w:t>
      </w:r>
      <w:r w:rsidR="00A63BD1">
        <w:lastRenderedPageBreak/>
        <w:t xml:space="preserve">die aan alcohol verslaafd is of zich niet kan onthouden van alcoholgebruik wanneer hij een motorvoertuig bestuurt, is niet rijgeschikt”.  </w:t>
      </w:r>
      <w:r w:rsidR="002F3436">
        <w:t>In d</w:t>
      </w:r>
      <w:r w:rsidR="00A63BD1">
        <w:t>e criteria</w:t>
      </w:r>
      <w:r w:rsidR="00BC6D30">
        <w:t xml:space="preserve"> is</w:t>
      </w:r>
      <w:r w:rsidR="00A63BD1">
        <w:t xml:space="preserve"> voorzien dat men na een “bewezen onthouding van minstens zes maanden” opnieuw rijgeschikt kan verklaard worden, maar dan </w:t>
      </w:r>
      <w:r w:rsidR="002F3436">
        <w:t xml:space="preserve">wel </w:t>
      </w:r>
      <w:r w:rsidR="00A63BD1">
        <w:t xml:space="preserve">voor een (verlengbare) periode van drie jaar </w:t>
      </w:r>
      <w:r w:rsidR="00A63BD1">
        <w:rPr>
          <w:rStyle w:val="Voetnootmarkering"/>
        </w:rPr>
        <w:footnoteReference w:id="137"/>
      </w:r>
      <w:r w:rsidR="002F3436">
        <w:t xml:space="preserve">. In een door het Hof van Cassatie wettig bevonden vonnis oordeelde de correctionele rechtbank van Brugge dat het ondanks de bewezen periode van onthouding van zes maanden mogelijk is dat de rechter de betrokkene toch verder ongeschikt verklaard </w:t>
      </w:r>
      <w:r w:rsidR="002F3436">
        <w:rPr>
          <w:rStyle w:val="Voetnootmarkering"/>
        </w:rPr>
        <w:footnoteReference w:id="138"/>
      </w:r>
      <w:r w:rsidR="002F3436">
        <w:t xml:space="preserve">. In de casus had de gerechtsdeskundige vastgesteld dat de bestuurster “door chronisch alcoholgebruik erg veel schade heeft opgelopen, zowel op </w:t>
      </w:r>
      <w:proofErr w:type="spellStart"/>
      <w:r w:rsidR="002F3436">
        <w:t>psycho</w:t>
      </w:r>
      <w:proofErr w:type="spellEnd"/>
      <w:r w:rsidR="002F3436">
        <w:t xml:space="preserve">-organisch als </w:t>
      </w:r>
      <w:r w:rsidR="00BC6D30">
        <w:t>maatschappelijk vlak en dat zij</w:t>
      </w:r>
      <w:r w:rsidR="002F3436">
        <w:t xml:space="preserve"> op heden niet stabiel is in haar abstinentie”</w:t>
      </w:r>
      <w:r w:rsidR="00BC6D30">
        <w:t>.</w:t>
      </w:r>
    </w:p>
    <w:p w:rsidR="00BC6D30" w:rsidRDefault="00BC6D30" w:rsidP="006969A9"/>
    <w:p w:rsidR="00396B29" w:rsidRDefault="00BC6D30" w:rsidP="003B53A7">
      <w:pPr>
        <w:pStyle w:val="Lijstalinea"/>
        <w:numPr>
          <w:ilvl w:val="0"/>
          <w:numId w:val="15"/>
        </w:numPr>
      </w:pPr>
      <w:r>
        <w:t xml:space="preserve">Een moeilijke vraag is hoe moet omgegaan worden met beklaagden die aanvoeren dat zij zich laten behandelen voor een verslavingsproblematiek. Uit de stukken die zij neerleggen – zoals attesten van artsen of therapeuten </w:t>
      </w:r>
      <w:r w:rsidR="00783FC8">
        <w:t>–</w:t>
      </w:r>
      <w:r>
        <w:t xml:space="preserve"> </w:t>
      </w:r>
      <w:r w:rsidR="00783FC8">
        <w:t>kan blijken dat er een verslavingsproblematiek bestond of mogelijk nog bestaat, maar dat zij actief werken aan de beheersing hiervan. In dergelijke gevallen zou het uitspreken van het verval van het recht tot sturen of het routineus opleggen van een expertise, ku</w:t>
      </w:r>
      <w:r w:rsidR="00396B29">
        <w:t>nnen aangevoeld worden als een onbillijke bestraffing van hun eerlijkheid.  Anderzijds kan een mogelijk reëel gevaar voor de verkeersveilighei</w:t>
      </w:r>
      <w:r w:rsidR="00F67366">
        <w:t>d ni</w:t>
      </w:r>
      <w:r w:rsidR="003B53A7">
        <w:t xml:space="preserve">et genegeerd worden.  Er is </w:t>
      </w:r>
      <w:r w:rsidR="00F67366">
        <w:t xml:space="preserve">geen bezwaar om confidentiële stukken in aanmerking te nemen die een beklaagde zelf voorlegt. Indien de beklaagde deze zelf verkregen heeft van zijn behandelaars of afschrift gevraagd heeft van zijn patiëntendossier, kan hij zelf beslissen om ze aan de rechtbank over te maken. Het beroepsgeheim vormt dus </w:t>
      </w:r>
      <w:r w:rsidR="003B53A7">
        <w:t xml:space="preserve">geen </w:t>
      </w:r>
      <w:r w:rsidR="00F67366">
        <w:t>hinderpaal om met dergelijke attesten rekening te houden. Om gepast te reageren op dergelijke situaties, kan het zinvol zijn om:</w:t>
      </w:r>
    </w:p>
    <w:p w:rsidR="00F67366" w:rsidRDefault="00F67366" w:rsidP="006969A9"/>
    <w:p w:rsidR="00F67366" w:rsidRDefault="00F67366" w:rsidP="00F67366">
      <w:pPr>
        <w:pStyle w:val="Lijstalinea"/>
        <w:numPr>
          <w:ilvl w:val="0"/>
          <w:numId w:val="4"/>
        </w:numPr>
      </w:pPr>
      <w:r>
        <w:t>Ofwel de voortgang van de therapie te volgen door de zaak uit te stellen en de beklaagde te verzoeken om tijdens een volgende zitting een nieuw attest van de behandelaar te bezorgen;</w:t>
      </w:r>
    </w:p>
    <w:p w:rsidR="00F67366" w:rsidRDefault="00F67366" w:rsidP="00F67366">
      <w:pPr>
        <w:pStyle w:val="Lijstalinea"/>
        <w:numPr>
          <w:ilvl w:val="0"/>
          <w:numId w:val="4"/>
        </w:numPr>
      </w:pPr>
      <w:r>
        <w:t xml:space="preserve">Ofwel een aangepaste expertise-opdracht te geven, waarin naast de routineuze opdracht tot onderzoek van de rijgeschiktheid volgens de normen van bijlage 6 bij het Rijbewijsbesluit </w:t>
      </w:r>
      <w:r w:rsidR="009A40E6">
        <w:t xml:space="preserve">aan de deskundige </w:t>
      </w:r>
      <w:r>
        <w:t>gevraagd wordt om zich uit te spreken over de effecten van de gevolgde therapie en de deskundige te machtigen om daarover inlichtingen te vragen aan de behandelende arts of psycholoog, die deze met instemming van zijn patiënt a</w:t>
      </w:r>
      <w:r w:rsidR="009A40E6">
        <w:t>an de deskundige mag overmaken.</w:t>
      </w:r>
    </w:p>
    <w:p w:rsidR="00BC6D30" w:rsidRDefault="00BC6D30" w:rsidP="006969A9"/>
    <w:p w:rsidR="00BC6D30" w:rsidRDefault="00BC6D30" w:rsidP="006969A9"/>
    <w:p w:rsidR="004B4831" w:rsidRPr="00783FC8" w:rsidRDefault="00BC6D30" w:rsidP="004B4831">
      <w:pPr>
        <w:pStyle w:val="Lijstalinea"/>
        <w:numPr>
          <w:ilvl w:val="0"/>
          <w:numId w:val="21"/>
        </w:numPr>
        <w:rPr>
          <w:b/>
        </w:rPr>
      </w:pPr>
      <w:r w:rsidRPr="00783FC8">
        <w:rPr>
          <w:b/>
        </w:rPr>
        <w:t>Hoe wordt het verlies van rijgeschiktheid beoordeeld?</w:t>
      </w:r>
    </w:p>
    <w:p w:rsidR="00C17293" w:rsidRDefault="00C17293" w:rsidP="00C17293"/>
    <w:p w:rsidR="003B53A7" w:rsidRDefault="009A40E6" w:rsidP="00C17293">
      <w:pPr>
        <w:pStyle w:val="Lijstalinea"/>
        <w:numPr>
          <w:ilvl w:val="0"/>
          <w:numId w:val="15"/>
        </w:numPr>
      </w:pPr>
      <w:r>
        <w:t>De beoordeling van de lichamelijke en geestelijke rijgeschiktheid vraagt om een evaluatie van de medis</w:t>
      </w:r>
      <w:r w:rsidR="00B937FA">
        <w:t xml:space="preserve">che criteria van bijlage 6 bij het rijbewijsbesluit. Onvermijdelijk vraagt dit om medisch advies aangezien er ofwel een onderzoek van de betrokkene nodig is, ofwel </w:t>
      </w:r>
      <w:r w:rsidR="006C7BFB">
        <w:t xml:space="preserve">een </w:t>
      </w:r>
      <w:r w:rsidR="00B937FA">
        <w:t xml:space="preserve">interpretatie </w:t>
      </w:r>
      <w:r w:rsidR="00D40EE8">
        <w:t>van medische stukken.</w:t>
      </w:r>
      <w:r w:rsidR="006C7BFB">
        <w:t xml:space="preserve"> Voor een lichamelijk onderzoek heeft een magistraat </w:t>
      </w:r>
      <w:r w:rsidR="006C7BFB">
        <w:lastRenderedPageBreak/>
        <w:t>geen bevoegdheid. Voor de interpretatie van medische stukken is doorgaans bijzondere expertise vereist, hoewel het mogelijk is dat de conclusie en het verband met de criteria voldoende duidelijk zijn.</w:t>
      </w:r>
    </w:p>
    <w:p w:rsidR="003B53A7" w:rsidRDefault="003B53A7" w:rsidP="003B53A7">
      <w:pPr>
        <w:pStyle w:val="Lijstalinea"/>
      </w:pPr>
    </w:p>
    <w:p w:rsidR="00D40EE8" w:rsidRDefault="00D40EE8" w:rsidP="00C17293">
      <w:pPr>
        <w:pStyle w:val="Lijstalinea"/>
        <w:numPr>
          <w:ilvl w:val="0"/>
          <w:numId w:val="15"/>
        </w:numPr>
      </w:pPr>
      <w:r>
        <w:t>In de (vermoedelijk zel</w:t>
      </w:r>
      <w:r w:rsidR="006C7BFB">
        <w:t>dzame) gevallen waarin de beklaagde zelf stukken voorlegt waaruit duidelijk en ondubbelzinnig blijkt dat niet meer voldaan is aan de  criteria van rijgeschiktheid</w:t>
      </w:r>
      <w:r w:rsidR="000237DF">
        <w:t>, lijkt het niet nodig nog een deskundige aan te stellen.</w:t>
      </w:r>
    </w:p>
    <w:p w:rsidR="003B53A7" w:rsidRDefault="003B53A7" w:rsidP="003B53A7">
      <w:pPr>
        <w:pStyle w:val="Lijstalinea"/>
      </w:pPr>
    </w:p>
    <w:p w:rsidR="003B53A7" w:rsidRDefault="003B53A7" w:rsidP="003B53A7">
      <w:pPr>
        <w:pStyle w:val="Lijstalinea"/>
      </w:pPr>
    </w:p>
    <w:p w:rsidR="00551C63" w:rsidRDefault="000237DF" w:rsidP="003B53A7">
      <w:pPr>
        <w:pStyle w:val="Lijstalinea"/>
        <w:numPr>
          <w:ilvl w:val="0"/>
          <w:numId w:val="15"/>
        </w:numPr>
      </w:pPr>
      <w:r>
        <w:t xml:space="preserve">In andere gevallen is het wel nodig om een deskundige aan te stellen met een duidelijke opdracht en de machtiging om de nodige stukken op te vragen bij de behandelende artsen. Eventueel kan – zoals hierboven uiteengezet werd </w:t>
      </w:r>
      <w:r>
        <w:rPr>
          <w:rStyle w:val="Voetnootmarkering"/>
        </w:rPr>
        <w:footnoteReference w:id="139"/>
      </w:r>
      <w:r>
        <w:t>– ook toepassing gemaakt worden art. 877 Ger. W. De behandelende arts beschikt over de mogelijk</w:t>
      </w:r>
      <w:r w:rsidR="009748B5">
        <w:t>h</w:t>
      </w:r>
      <w:r w:rsidR="00551C63">
        <w:t>eid om op grond van het beroepsgeheim niet in te gaan op het verzoek om deze gegevens over te maken, maar in het licht van het doel van het onderzoek – waarbij de rijgeschiktheid niet enkel in het belang van derden, maar ook van de bestuurder</w:t>
      </w:r>
      <w:r w:rsidR="003B53A7">
        <w:t>-</w:t>
      </w:r>
      <w:proofErr w:type="spellStart"/>
      <w:r w:rsidR="003B53A7">
        <w:t>patient</w:t>
      </w:r>
      <w:proofErr w:type="spellEnd"/>
      <w:r w:rsidR="00551C63">
        <w:t xml:space="preserve"> zelf moet onderzocht worden – lijkt dit vanuit het perspectief van het belang van de patiënt zeer moeilijk te verantwoorden.</w:t>
      </w:r>
    </w:p>
    <w:p w:rsidR="003B53A7" w:rsidRDefault="003B53A7" w:rsidP="003B53A7">
      <w:pPr>
        <w:pStyle w:val="Lijstalinea"/>
      </w:pPr>
    </w:p>
    <w:p w:rsidR="003B53A7" w:rsidRDefault="00A01930" w:rsidP="00C17293">
      <w:pPr>
        <w:pStyle w:val="Lijstalinea"/>
        <w:numPr>
          <w:ilvl w:val="0"/>
          <w:numId w:val="15"/>
        </w:numPr>
      </w:pPr>
      <w:r>
        <w:t>Het verloop van de expertise wordt in belangrijke mate bepaald door de aangestelde deskundige, maar indien de politierechter dit aangewezen acht, kan in de opdracht aangegeven worden welke technische onderzoeken moeten uitgevoerd worden ter controle van de beweringen van de beklaagde of zijn behandelende artsen.</w:t>
      </w:r>
    </w:p>
    <w:p w:rsidR="003B53A7" w:rsidRDefault="003B53A7" w:rsidP="003B53A7">
      <w:pPr>
        <w:pStyle w:val="Lijstalinea"/>
      </w:pPr>
    </w:p>
    <w:p w:rsidR="00C17293" w:rsidRDefault="003B53A7" w:rsidP="00C17293">
      <w:pPr>
        <w:pStyle w:val="Lijstalinea"/>
        <w:numPr>
          <w:ilvl w:val="0"/>
          <w:numId w:val="15"/>
        </w:numPr>
      </w:pPr>
      <w:r>
        <w:t>B</w:t>
      </w:r>
      <w:r w:rsidR="00082265">
        <w:t xml:space="preserve">ij de beoordeling van de conclusie is de rechter niet gebonden door het advies van de deskundige en kan eventueel om nadere toelichting gevraagd worden. </w:t>
      </w:r>
      <w:r w:rsidR="00C17293">
        <w:t xml:space="preserve">Bij de beoordeling van het verval van het recht tot sturen wegens lichamelijke of geestelijke ongeschiktheid is de rechter niet gebonden door de beslissing van het Centrum voor de Aanpassing aan het Rijden </w:t>
      </w:r>
      <w:r w:rsidR="00082265">
        <w:t>van gehandicapte Automobilisten</w:t>
      </w:r>
      <w:r w:rsidR="00C17293">
        <w:t xml:space="preserve"> </w:t>
      </w:r>
      <w:r w:rsidR="00C17293">
        <w:rPr>
          <w:rStyle w:val="Voetnootmarkering"/>
        </w:rPr>
        <w:footnoteReference w:id="140"/>
      </w:r>
      <w:r w:rsidR="00C17293">
        <w:t>.</w:t>
      </w:r>
    </w:p>
    <w:p w:rsidR="003B53A7" w:rsidRDefault="003B53A7" w:rsidP="003B53A7">
      <w:pPr>
        <w:pStyle w:val="Lijstalinea"/>
      </w:pPr>
    </w:p>
    <w:p w:rsidR="003B53A7" w:rsidRDefault="003B53A7" w:rsidP="003B53A7">
      <w:pPr>
        <w:pStyle w:val="Lijstalinea"/>
      </w:pPr>
    </w:p>
    <w:p w:rsidR="004B4831" w:rsidRPr="00551C63" w:rsidRDefault="004B4831" w:rsidP="004B4831">
      <w:pPr>
        <w:pStyle w:val="Lijstalinea"/>
        <w:numPr>
          <w:ilvl w:val="0"/>
          <w:numId w:val="21"/>
        </w:numPr>
        <w:rPr>
          <w:b/>
        </w:rPr>
      </w:pPr>
      <w:r w:rsidRPr="00551C63">
        <w:rPr>
          <w:b/>
        </w:rPr>
        <w:t>Voor hoe lang?</w:t>
      </w:r>
    </w:p>
    <w:p w:rsidR="009F70C7" w:rsidRDefault="009F70C7" w:rsidP="00416A7F"/>
    <w:p w:rsidR="00416A7F" w:rsidRDefault="009F70C7" w:rsidP="003B53A7">
      <w:pPr>
        <w:pStyle w:val="Lijstalinea"/>
        <w:numPr>
          <w:ilvl w:val="0"/>
          <w:numId w:val="15"/>
        </w:numPr>
      </w:pPr>
      <w:r>
        <w:t xml:space="preserve">Om de vervallen verklaring voorgoed te kunnen uitspreken, moet </w:t>
      </w:r>
      <w:r w:rsidR="00783FC8">
        <w:t xml:space="preserve">volgens het Hof van Cassatie </w:t>
      </w:r>
      <w:r>
        <w:t xml:space="preserve">vastgesteld zijn dat de ongeschiktheid blijvend is </w:t>
      </w:r>
      <w:r>
        <w:rPr>
          <w:rStyle w:val="Voetnootmarkering"/>
        </w:rPr>
        <w:footnoteReference w:id="141"/>
      </w:r>
      <w:r w:rsidR="00E4477F">
        <w:t xml:space="preserve">. Het blijvend karakter kan niet worden afgeleid uit “de omstandigheid alleen dat het momenteel niet mogelijk is het einde ervan te bepalen” </w:t>
      </w:r>
      <w:r w:rsidR="00E4477F">
        <w:rPr>
          <w:rStyle w:val="Voetnootmarkering"/>
        </w:rPr>
        <w:footnoteReference w:id="142"/>
      </w:r>
      <w:r w:rsidR="00783FC8">
        <w:t xml:space="preserve">. </w:t>
      </w:r>
      <w:r>
        <w:t xml:space="preserve">Wanneer de termijn van de vervallenverklaring verstreken is, heeft de rechter niet de mogelijkheid om alsnog te oordelen over lichamelijke geschiktheid en de vervallenverklaring dus eventueel te verlengen </w:t>
      </w:r>
      <w:r>
        <w:rPr>
          <w:rStyle w:val="Voetnootmarkering"/>
        </w:rPr>
        <w:footnoteReference w:id="143"/>
      </w:r>
      <w:r>
        <w:t>.</w:t>
      </w:r>
    </w:p>
    <w:p w:rsidR="009F70C7" w:rsidRDefault="009F70C7" w:rsidP="00416A7F"/>
    <w:p w:rsidR="00416A7F" w:rsidRDefault="00416A7F" w:rsidP="00416A7F"/>
    <w:p w:rsidR="00416A7F" w:rsidRDefault="00416A7F" w:rsidP="00416A7F"/>
    <w:p w:rsidR="00416A7F" w:rsidRDefault="00416A7F" w:rsidP="00416A7F"/>
    <w:p w:rsidR="003B53A7" w:rsidRDefault="00416A7F" w:rsidP="004A6B2E">
      <w:pPr>
        <w:pStyle w:val="Lijstalinea"/>
        <w:numPr>
          <w:ilvl w:val="0"/>
          <w:numId w:val="20"/>
        </w:numPr>
        <w:rPr>
          <w:b/>
        </w:rPr>
      </w:pPr>
      <w:r w:rsidRPr="003A0AD1">
        <w:rPr>
          <w:b/>
        </w:rPr>
        <w:t>Na een periode van verval</w:t>
      </w:r>
      <w:r w:rsidR="004A6B2E" w:rsidRPr="003A0AD1">
        <w:rPr>
          <w:b/>
        </w:rPr>
        <w:t xml:space="preserve"> (opgelegd als straf)</w:t>
      </w:r>
    </w:p>
    <w:p w:rsidR="003B53A7" w:rsidRDefault="003B53A7" w:rsidP="003B53A7">
      <w:pPr>
        <w:pStyle w:val="Lijstalinea"/>
      </w:pPr>
    </w:p>
    <w:p w:rsidR="003B53A7" w:rsidRDefault="003B53A7" w:rsidP="003B53A7">
      <w:pPr>
        <w:pStyle w:val="Lijstalinea"/>
      </w:pPr>
    </w:p>
    <w:p w:rsidR="004A6B2E" w:rsidRPr="003B53A7" w:rsidRDefault="003A0AD1" w:rsidP="003B53A7">
      <w:pPr>
        <w:pStyle w:val="Lijstalinea"/>
        <w:numPr>
          <w:ilvl w:val="0"/>
          <w:numId w:val="15"/>
        </w:numPr>
        <w:rPr>
          <w:b/>
        </w:rPr>
      </w:pPr>
      <w:r>
        <w:t xml:space="preserve">De rijgeschiktheid moet in toepassing van art. 38 Wegverkeerswet ook (opnieuw) beoordeeld worden na afloop van een periode van verval die werd opgelegd als straf. Deze zogenaamde “herstelonderzoeken” worden vaak uitgevoerd door erkende centra. De medische criteria die moeten beoordeeld worden zijn identiek aan deze </w:t>
      </w:r>
      <w:r w:rsidR="00082265">
        <w:t>in het kader van een onderzoek naar de rijgeschiktheid in toepassing van art. 42 Wegverkeerswet.</w:t>
      </w:r>
    </w:p>
    <w:p w:rsidR="004A6B2E" w:rsidRDefault="004A6B2E" w:rsidP="004A6B2E"/>
    <w:p w:rsidR="004A6B2E" w:rsidRDefault="004A6B2E" w:rsidP="004A6B2E"/>
    <w:sectPr w:rsidR="004A6B2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1C9" w:rsidRDefault="003821C9" w:rsidP="002C5B79">
      <w:pPr>
        <w:spacing w:after="0" w:line="240" w:lineRule="auto"/>
      </w:pPr>
      <w:r>
        <w:separator/>
      </w:r>
    </w:p>
  </w:endnote>
  <w:endnote w:type="continuationSeparator" w:id="0">
    <w:p w:rsidR="003821C9" w:rsidRDefault="003821C9" w:rsidP="002C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A7" w:rsidRDefault="003B53A7">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A7" w:rsidRDefault="003B53A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A7" w:rsidRDefault="003B53A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1C9" w:rsidRDefault="003821C9" w:rsidP="002C5B79">
      <w:pPr>
        <w:spacing w:after="0" w:line="240" w:lineRule="auto"/>
      </w:pPr>
      <w:r>
        <w:separator/>
      </w:r>
    </w:p>
  </w:footnote>
  <w:footnote w:type="continuationSeparator" w:id="0">
    <w:p w:rsidR="003821C9" w:rsidRDefault="003821C9" w:rsidP="002C5B79">
      <w:pPr>
        <w:spacing w:after="0" w:line="240" w:lineRule="auto"/>
      </w:pPr>
      <w:r>
        <w:continuationSeparator/>
      </w:r>
    </w:p>
  </w:footnote>
  <w:footnote w:id="1">
    <w:p w:rsidR="003B53A7" w:rsidRPr="00DE0237" w:rsidRDefault="003B53A7">
      <w:pPr>
        <w:pStyle w:val="Voetnoottekst"/>
      </w:pPr>
      <w:r>
        <w:rPr>
          <w:rStyle w:val="Voetnootmarkering"/>
        </w:rPr>
        <w:footnoteRef/>
      </w:r>
      <w:r>
        <w:t xml:space="preserve"> . Zie de inventaris in T. GOFFIN, “Het opstellen van geneeskundige verklaringen”, in P. SENAEVE, F. SWENNEN en G. VERSCHELDEN (</w:t>
      </w:r>
      <w:proofErr w:type="spellStart"/>
      <w:r>
        <w:t>eds</w:t>
      </w:r>
      <w:proofErr w:type="spellEnd"/>
      <w:r>
        <w:t xml:space="preserve">.), </w:t>
      </w:r>
      <w:r>
        <w:rPr>
          <w:i/>
        </w:rPr>
        <w:t>Meerderjarige beschermde personen</w:t>
      </w:r>
      <w:r>
        <w:t xml:space="preserve">, Brugge, Die </w:t>
      </w:r>
      <w:proofErr w:type="spellStart"/>
      <w:r>
        <w:t>Keure</w:t>
      </w:r>
      <w:proofErr w:type="spellEnd"/>
      <w:r>
        <w:t>, 2014, p. 300, nr. 629.</w:t>
      </w:r>
    </w:p>
  </w:footnote>
  <w:footnote w:id="2">
    <w:p w:rsidR="003B53A7" w:rsidRDefault="003B53A7">
      <w:pPr>
        <w:pStyle w:val="Voetnoottekst"/>
      </w:pPr>
      <w:r>
        <w:rPr>
          <w:rStyle w:val="Voetnootmarkering"/>
        </w:rPr>
        <w:footnoteRef/>
      </w:r>
      <w:r>
        <w:t xml:space="preserve"> . In de aanhef van art. 1241 Ger. W. is bepaald dat het omstandig geneeskundig getuigschrift bij het verzoekschrift moet gevoegd zijn “op straffe van niet-ontvankelijkheid”. Volgens SCHEERS is dit een terminologische fout en kent het Gerechtelijk Wetboek enkel de term toelaatbaarheid (D. SCHEERS, “De rechtsplegingen”, in P. SENAEVE, F. SWENNEN en G. VERSCHELDEN (</w:t>
      </w:r>
      <w:proofErr w:type="spellStart"/>
      <w:r>
        <w:t>eds</w:t>
      </w:r>
      <w:proofErr w:type="spellEnd"/>
      <w:r>
        <w:t xml:space="preserve">.), </w:t>
      </w:r>
      <w:r>
        <w:rPr>
          <w:i/>
        </w:rPr>
        <w:t>Meerderjarige beschermde personen</w:t>
      </w:r>
      <w:r>
        <w:t xml:space="preserve">, Brugge, Die </w:t>
      </w:r>
      <w:proofErr w:type="spellStart"/>
      <w:r>
        <w:t>Keure</w:t>
      </w:r>
      <w:proofErr w:type="spellEnd"/>
      <w:r>
        <w:t>, 2014, p. 225, nr. 495, voetnoot 806).</w:t>
      </w:r>
    </w:p>
  </w:footnote>
  <w:footnote w:id="3">
    <w:p w:rsidR="003B53A7" w:rsidRPr="006F743D" w:rsidRDefault="003B53A7">
      <w:pPr>
        <w:pStyle w:val="Voetnoottekst"/>
      </w:pPr>
      <w:r>
        <w:rPr>
          <w:rStyle w:val="Voetnootmarkering"/>
        </w:rPr>
        <w:footnoteRef/>
      </w:r>
      <w:r>
        <w:t xml:space="preserve"> . Zie over de </w:t>
      </w:r>
      <w:proofErr w:type="spellStart"/>
      <w:r>
        <w:t>personalisering</w:t>
      </w:r>
      <w:proofErr w:type="spellEnd"/>
      <w:r>
        <w:t xml:space="preserve"> van de maatregelen: F. SWENNEN, “De meerderjarige beschermde personen”, </w:t>
      </w:r>
      <w:r>
        <w:rPr>
          <w:i/>
        </w:rPr>
        <w:t>R.W.</w:t>
      </w:r>
      <w:r>
        <w:t xml:space="preserve"> 2013-14, 567.</w:t>
      </w:r>
    </w:p>
  </w:footnote>
  <w:footnote w:id="4">
    <w:p w:rsidR="003B53A7" w:rsidRDefault="003B53A7">
      <w:pPr>
        <w:pStyle w:val="Voetnoottekst"/>
      </w:pPr>
      <w:r>
        <w:rPr>
          <w:rStyle w:val="Voetnootmarkering"/>
        </w:rPr>
        <w:footnoteRef/>
      </w:r>
      <w:r>
        <w:t xml:space="preserve"> . Zie hieronder nr. 34.</w:t>
      </w:r>
    </w:p>
  </w:footnote>
  <w:footnote w:id="5">
    <w:p w:rsidR="003B53A7" w:rsidRDefault="003B53A7">
      <w:pPr>
        <w:pStyle w:val="Voetnoottekst"/>
      </w:pPr>
      <w:r>
        <w:rPr>
          <w:rStyle w:val="Voetnootmarkering"/>
        </w:rPr>
        <w:footnoteRef/>
      </w:r>
      <w:r>
        <w:t xml:space="preserve"> . Zie hieronder nr. 4.</w:t>
      </w:r>
    </w:p>
  </w:footnote>
  <w:footnote w:id="6">
    <w:p w:rsidR="003B53A7" w:rsidRDefault="003B53A7">
      <w:pPr>
        <w:pStyle w:val="Voetnoottekst"/>
      </w:pPr>
      <w:r>
        <w:rPr>
          <w:rStyle w:val="Voetnootmarkering"/>
        </w:rPr>
        <w:footnoteRef/>
      </w:r>
      <w:r>
        <w:t xml:space="preserve"> . Zie hieronder nr. 9.</w:t>
      </w:r>
    </w:p>
  </w:footnote>
  <w:footnote w:id="7">
    <w:p w:rsidR="003B53A7" w:rsidRDefault="003B53A7">
      <w:pPr>
        <w:pStyle w:val="Voetnoottekst"/>
      </w:pPr>
      <w:r>
        <w:rPr>
          <w:rStyle w:val="Voetnootmarkering"/>
        </w:rPr>
        <w:footnoteRef/>
      </w:r>
      <w:r>
        <w:t xml:space="preserve"> . Zie hieronder nr. 11.</w:t>
      </w:r>
    </w:p>
  </w:footnote>
  <w:footnote w:id="8">
    <w:p w:rsidR="003B53A7" w:rsidRDefault="003B53A7">
      <w:pPr>
        <w:pStyle w:val="Voetnoottekst"/>
      </w:pPr>
      <w:r>
        <w:rPr>
          <w:rStyle w:val="Voetnootmarkering"/>
        </w:rPr>
        <w:footnoteRef/>
      </w:r>
      <w:r>
        <w:t xml:space="preserve"> . Zie hieronder nr. 12.</w:t>
      </w:r>
    </w:p>
  </w:footnote>
  <w:footnote w:id="9">
    <w:p w:rsidR="003B53A7" w:rsidRDefault="003B53A7">
      <w:pPr>
        <w:pStyle w:val="Voetnoottekst"/>
      </w:pPr>
      <w:r>
        <w:rPr>
          <w:rStyle w:val="Voetnootmarkering"/>
        </w:rPr>
        <w:footnoteRef/>
      </w:r>
      <w:r>
        <w:t xml:space="preserve"> . Zie hieronder nr. 14.</w:t>
      </w:r>
    </w:p>
  </w:footnote>
  <w:footnote w:id="10">
    <w:p w:rsidR="003B53A7" w:rsidRDefault="003B53A7">
      <w:pPr>
        <w:pStyle w:val="Voetnoottekst"/>
      </w:pPr>
      <w:r>
        <w:rPr>
          <w:rStyle w:val="Voetnootmarkering"/>
        </w:rPr>
        <w:footnoteRef/>
      </w:r>
      <w:r>
        <w:t xml:space="preserve"> . Zie hieronder nr. 15.</w:t>
      </w:r>
    </w:p>
  </w:footnote>
  <w:footnote w:id="11">
    <w:p w:rsidR="003B53A7" w:rsidRDefault="003B53A7">
      <w:pPr>
        <w:pStyle w:val="Voetnoottekst"/>
      </w:pPr>
      <w:r>
        <w:rPr>
          <w:rStyle w:val="Voetnootmarkering"/>
        </w:rPr>
        <w:footnoteRef/>
      </w:r>
      <w:r>
        <w:t xml:space="preserve"> . Zie hieronder nr. 20.</w:t>
      </w:r>
    </w:p>
  </w:footnote>
  <w:footnote w:id="12">
    <w:p w:rsidR="003B53A7" w:rsidRDefault="003B53A7">
      <w:pPr>
        <w:pStyle w:val="Voetnoottekst"/>
      </w:pPr>
      <w:r>
        <w:rPr>
          <w:rStyle w:val="Voetnootmarkering"/>
        </w:rPr>
        <w:footnoteRef/>
      </w:r>
      <w:r>
        <w:t xml:space="preserve"> . Art. 1241, al. 4 Ger. W.</w:t>
      </w:r>
    </w:p>
  </w:footnote>
  <w:footnote w:id="13">
    <w:p w:rsidR="003B53A7" w:rsidRDefault="003B53A7">
      <w:pPr>
        <w:pStyle w:val="Voetnoottekst"/>
      </w:pPr>
      <w:r>
        <w:rPr>
          <w:rStyle w:val="Voetnootmarkering"/>
        </w:rPr>
        <w:footnoteRef/>
      </w:r>
      <w:r>
        <w:t xml:space="preserve"> . Art. 5 § 2 Wet van 26 juni 1990 betreffende de bescherming van de persoon van de geesteszieke.</w:t>
      </w:r>
    </w:p>
  </w:footnote>
  <w:footnote w:id="14">
    <w:p w:rsidR="003B53A7" w:rsidRPr="00535442" w:rsidRDefault="003B53A7">
      <w:pPr>
        <w:pStyle w:val="Voetnoottekst"/>
      </w:pPr>
      <w:r>
        <w:rPr>
          <w:rStyle w:val="Voetnootmarkering"/>
        </w:rPr>
        <w:footnoteRef/>
      </w:r>
      <w:r>
        <w:t xml:space="preserve"> . EHRM, 24 oktober 1979, Winterwerp, </w:t>
      </w:r>
      <w:proofErr w:type="spellStart"/>
      <w:r w:rsidRPr="00551EE3">
        <w:rPr>
          <w:i/>
        </w:rPr>
        <w:t>Publ</w:t>
      </w:r>
      <w:proofErr w:type="spellEnd"/>
      <w:r w:rsidRPr="00551EE3">
        <w:rPr>
          <w:i/>
        </w:rPr>
        <w:t xml:space="preserve">. </w:t>
      </w:r>
      <w:r w:rsidRPr="009728AA">
        <w:rPr>
          <w:i/>
        </w:rPr>
        <w:t xml:space="preserve">Cour. </w:t>
      </w:r>
      <w:proofErr w:type="spellStart"/>
      <w:r w:rsidRPr="009728AA">
        <w:rPr>
          <w:i/>
        </w:rPr>
        <w:t>Eur</w:t>
      </w:r>
      <w:proofErr w:type="spellEnd"/>
      <w:r w:rsidRPr="009728AA">
        <w:rPr>
          <w:i/>
        </w:rPr>
        <w:t>. D.H.</w:t>
      </w:r>
      <w:r w:rsidRPr="009728AA">
        <w:t xml:space="preserve">, Serie A, nr. 33. </w:t>
      </w:r>
      <w:r w:rsidRPr="00535442">
        <w:t xml:space="preserve">Zie hierover uitgebreid: H. NYS, </w:t>
      </w:r>
      <w:r w:rsidRPr="00535442">
        <w:rPr>
          <w:i/>
        </w:rPr>
        <w:t>Geneeskunde – Recht en medisch handelen</w:t>
      </w:r>
      <w:r w:rsidRPr="00535442">
        <w:t xml:space="preserve">, Gent, Story </w:t>
      </w:r>
      <w:proofErr w:type="spellStart"/>
      <w:r w:rsidRPr="00535442">
        <w:t>Scientia</w:t>
      </w:r>
      <w:proofErr w:type="spellEnd"/>
      <w:r w:rsidRPr="00535442">
        <w:t xml:space="preserve">, 2005, nr. </w:t>
      </w:r>
      <w:r>
        <w:t>693.</w:t>
      </w:r>
    </w:p>
  </w:footnote>
  <w:footnote w:id="15">
    <w:p w:rsidR="003B53A7" w:rsidRDefault="003B53A7">
      <w:pPr>
        <w:pStyle w:val="Voetnoottekst"/>
      </w:pPr>
      <w:r>
        <w:rPr>
          <w:rStyle w:val="Voetnootmarkering"/>
        </w:rPr>
        <w:footnoteRef/>
      </w:r>
      <w:r>
        <w:t xml:space="preserve"> . Art. 1241, al. 2 Ger. W.</w:t>
      </w:r>
    </w:p>
  </w:footnote>
  <w:footnote w:id="16">
    <w:p w:rsidR="003B53A7" w:rsidRPr="00695940" w:rsidRDefault="003B53A7">
      <w:pPr>
        <w:pStyle w:val="Voetnoottekst"/>
      </w:pPr>
      <w:r>
        <w:rPr>
          <w:rStyle w:val="Voetnootmarkering"/>
        </w:rPr>
        <w:footnoteRef/>
      </w:r>
      <w:r>
        <w:t xml:space="preserve"> . T. VANSWEEVELT, “Rechten met betrekking tot het patiëntendossier”, in T. VANSWEEVELT en F. DEWALLENS (</w:t>
      </w:r>
      <w:proofErr w:type="spellStart"/>
      <w:r>
        <w:t>eds</w:t>
      </w:r>
      <w:proofErr w:type="spellEnd"/>
      <w:r>
        <w:t xml:space="preserve">.), </w:t>
      </w:r>
      <w:r>
        <w:rPr>
          <w:i/>
        </w:rPr>
        <w:t>Handboek gezondheidsrecht</w:t>
      </w:r>
      <w:r>
        <w:t xml:space="preserve">, Volume II, Antwerpen, </w:t>
      </w:r>
      <w:proofErr w:type="spellStart"/>
      <w:r>
        <w:t>Intersentia</w:t>
      </w:r>
      <w:proofErr w:type="spellEnd"/>
      <w:r>
        <w:t>, 2014, nr. 1014.</w:t>
      </w:r>
    </w:p>
  </w:footnote>
  <w:footnote w:id="17">
    <w:p w:rsidR="003B53A7" w:rsidRDefault="003B53A7">
      <w:pPr>
        <w:pStyle w:val="Voetnoottekst"/>
      </w:pPr>
      <w:r>
        <w:rPr>
          <w:rStyle w:val="Voetnootmarkering"/>
        </w:rPr>
        <w:footnoteRef/>
      </w:r>
      <w:r>
        <w:t xml:space="preserve"> . Art. 150 Wet Verplichte Geneeskundige Verzorging en Uitkeringen.</w:t>
      </w:r>
    </w:p>
  </w:footnote>
  <w:footnote w:id="18">
    <w:p w:rsidR="003B53A7" w:rsidRDefault="003B53A7">
      <w:pPr>
        <w:pStyle w:val="Voetnoottekst"/>
      </w:pPr>
      <w:r>
        <w:rPr>
          <w:rStyle w:val="Voetnootmarkering"/>
        </w:rPr>
        <w:footnoteRef/>
      </w:r>
      <w:r>
        <w:t xml:space="preserve"> . Bijlage bij K.B. van 31 augustus 2014 tot vaststelling van de inhoud en de vorm van het standaardformulier van omstandige geneeskundige verklaring ter uitvoering van artikel 1241, 2</w:t>
      </w:r>
      <w:r w:rsidRPr="00F81A3A">
        <w:rPr>
          <w:vertAlign w:val="superscript"/>
        </w:rPr>
        <w:t>e</w:t>
      </w:r>
      <w:r>
        <w:t xml:space="preserve"> en 3</w:t>
      </w:r>
      <w:r w:rsidRPr="00F81A3A">
        <w:rPr>
          <w:vertAlign w:val="superscript"/>
        </w:rPr>
        <w:t>e</w:t>
      </w:r>
      <w:r>
        <w:t xml:space="preserve"> lid van het Gerechtelijk Wetboek, </w:t>
      </w:r>
      <w:r>
        <w:rPr>
          <w:i/>
        </w:rPr>
        <w:t>BS</w:t>
      </w:r>
      <w:r>
        <w:t xml:space="preserve"> 2 september 2014.</w:t>
      </w:r>
    </w:p>
  </w:footnote>
  <w:footnote w:id="19">
    <w:p w:rsidR="003B53A7" w:rsidRDefault="003B53A7">
      <w:pPr>
        <w:pStyle w:val="Voetnoottekst"/>
      </w:pPr>
      <w:r>
        <w:rPr>
          <w:rStyle w:val="Voetnootmarkering"/>
        </w:rPr>
        <w:footnoteRef/>
      </w:r>
      <w:r>
        <w:t xml:space="preserve"> . Art. 33 Wet Uitoefening Gezondheidszorgberoepen en de nuance aangebracht in het advies van 17 december 2016 van de Nationale Raad van de Orde der Artsen over “Omstandige geneeskundige verklaring – recht om een patiënt te onderzoeken zonder zijn/haar toestemming, noch van diens wettelijke vertegenwoordiger”, (</w:t>
      </w:r>
      <w:hyperlink r:id="rId1" w:history="1">
        <w:r w:rsidRPr="00A108DF">
          <w:rPr>
            <w:rStyle w:val="Hyperlink"/>
          </w:rPr>
          <w:t>www.ordomedic.be</w:t>
        </w:r>
      </w:hyperlink>
      <w:r>
        <w:rPr>
          <w:rStyle w:val="Hyperlink"/>
        </w:rPr>
        <w:t>)</w:t>
      </w:r>
      <w:r>
        <w:t xml:space="preserve">. </w:t>
      </w:r>
    </w:p>
  </w:footnote>
  <w:footnote w:id="20">
    <w:p w:rsidR="003B53A7" w:rsidRDefault="003B53A7">
      <w:pPr>
        <w:pStyle w:val="Voetnoottekst"/>
      </w:pPr>
      <w:r>
        <w:rPr>
          <w:rStyle w:val="Voetnootmarkering"/>
        </w:rPr>
        <w:footnoteRef/>
      </w:r>
      <w:r>
        <w:t xml:space="preserve"> . A. VIJVERMAN en E. DELBEKE, “De uitwisseling van gezondheidsgegevens uit het elektronische patiëntendossier”, </w:t>
      </w:r>
      <w:r w:rsidRPr="00B43089">
        <w:rPr>
          <w:i/>
        </w:rPr>
        <w:t xml:space="preserve">T. Gez. / </w:t>
      </w:r>
      <w:proofErr w:type="spellStart"/>
      <w:r w:rsidRPr="00B43089">
        <w:rPr>
          <w:i/>
        </w:rPr>
        <w:t>Rev</w:t>
      </w:r>
      <w:proofErr w:type="spellEnd"/>
      <w:r w:rsidRPr="00B43089">
        <w:rPr>
          <w:i/>
        </w:rPr>
        <w:t>. Dr. Santé</w:t>
      </w:r>
      <w:r>
        <w:t xml:space="preserve"> 2012, 114.</w:t>
      </w:r>
    </w:p>
  </w:footnote>
  <w:footnote w:id="21">
    <w:p w:rsidR="003B53A7" w:rsidRPr="00F81A3A" w:rsidRDefault="003B53A7">
      <w:pPr>
        <w:pStyle w:val="Voetnoottekst"/>
      </w:pPr>
      <w:r>
        <w:rPr>
          <w:rStyle w:val="Voetnootmarkering"/>
        </w:rPr>
        <w:footnoteRef/>
      </w:r>
      <w:r>
        <w:t xml:space="preserve"> . Art. 1 K.B. van 31 augustus 2014 tot vaststelling van de inhoud en de vorm van het standaardformulier van omstandige geneeskundige verklaring ter uitvoering van artikel 1241, 2</w:t>
      </w:r>
      <w:r w:rsidRPr="00F81A3A">
        <w:rPr>
          <w:vertAlign w:val="superscript"/>
        </w:rPr>
        <w:t>e</w:t>
      </w:r>
      <w:r>
        <w:t xml:space="preserve"> en 3</w:t>
      </w:r>
      <w:r w:rsidRPr="00F81A3A">
        <w:rPr>
          <w:vertAlign w:val="superscript"/>
        </w:rPr>
        <w:t>e</w:t>
      </w:r>
      <w:r>
        <w:t xml:space="preserve"> lid van het Gerechtelijk Wetboek, </w:t>
      </w:r>
      <w:r>
        <w:rPr>
          <w:i/>
        </w:rPr>
        <w:t>BS</w:t>
      </w:r>
      <w:r>
        <w:t xml:space="preserve"> 2 september 2014 (met eigen cursivering).</w:t>
      </w:r>
    </w:p>
  </w:footnote>
  <w:footnote w:id="22">
    <w:p w:rsidR="003B53A7" w:rsidRPr="00B07B4C" w:rsidRDefault="003B53A7">
      <w:pPr>
        <w:pStyle w:val="Voetnoottekst"/>
      </w:pPr>
      <w:r>
        <w:rPr>
          <w:rStyle w:val="Voetnootmarkering"/>
        </w:rPr>
        <w:footnoteRef/>
      </w:r>
      <w:r>
        <w:t xml:space="preserve"> . Advies van 18 augustus 2001 over het “Omstandig geneeskundig verslag met het oog op de bescherming van de persoon van de geesteszieke”, </w:t>
      </w:r>
      <w:r>
        <w:rPr>
          <w:i/>
        </w:rPr>
        <w:t>TNR</w:t>
      </w:r>
      <w:r>
        <w:t xml:space="preserve"> 2001, nr. 94 (ook te raadplegen via </w:t>
      </w:r>
      <w:hyperlink r:id="rId2" w:history="1">
        <w:r w:rsidRPr="00E0276B">
          <w:rPr>
            <w:rStyle w:val="Hyperlink"/>
          </w:rPr>
          <w:t>www.ordomedic.be</w:t>
        </w:r>
      </w:hyperlink>
      <w:r>
        <w:t xml:space="preserve">). </w:t>
      </w:r>
    </w:p>
  </w:footnote>
  <w:footnote w:id="23">
    <w:p w:rsidR="003B53A7" w:rsidRPr="00A00957" w:rsidRDefault="003B53A7">
      <w:pPr>
        <w:pStyle w:val="Voetnoottekst"/>
      </w:pPr>
      <w:r>
        <w:rPr>
          <w:rStyle w:val="Voetnootmarkering"/>
        </w:rPr>
        <w:footnoteRef/>
      </w:r>
      <w:r>
        <w:t xml:space="preserve"> . K. ROTTHIER, “De nieuwe wet tot hervorming van het statuut van onbekwamen: een overzicht vanuit vogelperspectief”, </w:t>
      </w:r>
      <w:proofErr w:type="spellStart"/>
      <w:r>
        <w:rPr>
          <w:i/>
        </w:rPr>
        <w:t>Not</w:t>
      </w:r>
      <w:proofErr w:type="spellEnd"/>
      <w:r>
        <w:rPr>
          <w:i/>
        </w:rPr>
        <w:t xml:space="preserve">. </w:t>
      </w:r>
      <w:proofErr w:type="spellStart"/>
      <w:r>
        <w:rPr>
          <w:i/>
        </w:rPr>
        <w:t>Fisc</w:t>
      </w:r>
      <w:proofErr w:type="spellEnd"/>
      <w:r>
        <w:rPr>
          <w:i/>
        </w:rPr>
        <w:t xml:space="preserve">. M.,  </w:t>
      </w:r>
      <w:r>
        <w:t xml:space="preserve">2013, 201; D. SCHEERS, “Het (ontbreken van een) geneeskundige attest bij een verzoek tot het instellen van een bewind”, noot onder </w:t>
      </w:r>
      <w:proofErr w:type="spellStart"/>
      <w:r>
        <w:t>Vred</w:t>
      </w:r>
      <w:proofErr w:type="spellEnd"/>
      <w:r>
        <w:t xml:space="preserve">. Fléron, 1 juli 2013, </w:t>
      </w:r>
      <w:r w:rsidRPr="0085236A">
        <w:rPr>
          <w:i/>
        </w:rPr>
        <w:t xml:space="preserve">T. </w:t>
      </w:r>
      <w:proofErr w:type="spellStart"/>
      <w:r w:rsidRPr="0085236A">
        <w:rPr>
          <w:i/>
        </w:rPr>
        <w:t>Vred</w:t>
      </w:r>
      <w:proofErr w:type="spellEnd"/>
      <w:r>
        <w:t>. 2014, 337. . Contra: C. LEMMENS, “Meerderjarige onbekwamen”, in T. VANSWEEVELT en F. DEWALLENS (</w:t>
      </w:r>
      <w:proofErr w:type="spellStart"/>
      <w:r>
        <w:t>eds</w:t>
      </w:r>
      <w:proofErr w:type="spellEnd"/>
      <w:r>
        <w:t xml:space="preserve">.), </w:t>
      </w:r>
      <w:r w:rsidRPr="00077268">
        <w:rPr>
          <w:i/>
        </w:rPr>
        <w:t>Handboek Gezondheidsrecht, Volume II</w:t>
      </w:r>
      <w:r>
        <w:t xml:space="preserve">, Antwerpen, </w:t>
      </w:r>
      <w:proofErr w:type="spellStart"/>
      <w:r>
        <w:t>Intersentia</w:t>
      </w:r>
      <w:proofErr w:type="spellEnd"/>
      <w:r>
        <w:t xml:space="preserve">, 2014, nr. 1897. </w:t>
      </w:r>
    </w:p>
  </w:footnote>
  <w:footnote w:id="24">
    <w:p w:rsidR="003B53A7" w:rsidRDefault="003B53A7">
      <w:pPr>
        <w:pStyle w:val="Voetnoottekst"/>
      </w:pPr>
      <w:r>
        <w:rPr>
          <w:rStyle w:val="Voetnootmarkering"/>
        </w:rPr>
        <w:footnoteRef/>
      </w:r>
      <w:r>
        <w:t xml:space="preserve"> . Zie hieronder </w:t>
      </w:r>
      <w:proofErr w:type="spellStart"/>
      <w:r>
        <w:t>nr</w:t>
      </w:r>
      <w:proofErr w:type="spellEnd"/>
      <w:r>
        <w:t xml:space="preserve"> 26.</w:t>
      </w:r>
    </w:p>
  </w:footnote>
  <w:footnote w:id="25">
    <w:p w:rsidR="003B53A7" w:rsidRDefault="003B53A7">
      <w:pPr>
        <w:pStyle w:val="Voetnoottekst"/>
      </w:pPr>
      <w:r>
        <w:rPr>
          <w:rStyle w:val="Voetnootmarkering"/>
        </w:rPr>
        <w:footnoteRef/>
      </w:r>
      <w:r>
        <w:t xml:space="preserve"> . Art. 58, g Code voor geneeskundige plichtenleer.</w:t>
      </w:r>
    </w:p>
  </w:footnote>
  <w:footnote w:id="26">
    <w:p w:rsidR="003B53A7" w:rsidRDefault="003B53A7">
      <w:pPr>
        <w:pStyle w:val="Voetnoottekst"/>
      </w:pPr>
      <w:r>
        <w:rPr>
          <w:rStyle w:val="Voetnootmarkering"/>
        </w:rPr>
        <w:footnoteRef/>
      </w:r>
      <w:r>
        <w:t xml:space="preserve"> . T. GOFFIN, “Het opstellen van geneeskundige verklaringen”, </w:t>
      </w:r>
      <w:r w:rsidRPr="0022241C">
        <w:rPr>
          <w:i/>
        </w:rPr>
        <w:t xml:space="preserve">loc. </w:t>
      </w:r>
      <w:proofErr w:type="spellStart"/>
      <w:r w:rsidRPr="0022241C">
        <w:rPr>
          <w:i/>
        </w:rPr>
        <w:t>cit</w:t>
      </w:r>
      <w:proofErr w:type="spellEnd"/>
      <w:r w:rsidRPr="0022241C">
        <w:rPr>
          <w:i/>
        </w:rPr>
        <w:t>.</w:t>
      </w:r>
      <w:r>
        <w:t xml:space="preserve">, nr. 658. </w:t>
      </w:r>
    </w:p>
  </w:footnote>
  <w:footnote w:id="27">
    <w:p w:rsidR="003B53A7" w:rsidRDefault="003B53A7">
      <w:pPr>
        <w:pStyle w:val="Voetnoottekst"/>
      </w:pPr>
      <w:r>
        <w:rPr>
          <w:rStyle w:val="Voetnootmarkering"/>
        </w:rPr>
        <w:footnoteRef/>
      </w:r>
      <w:r>
        <w:t xml:space="preserve"> . Zie ook de tweede zin van art. 58, al. 1 van de Code voor geneeskundige plichtenleer: “De arts moet in geweten oordelen of hij door het beroepsgeheim toch niet wordt verplicht bepaalde gegevens niet mee te delen”.</w:t>
      </w:r>
    </w:p>
  </w:footnote>
  <w:footnote w:id="28">
    <w:p w:rsidR="003B53A7" w:rsidRDefault="003B53A7">
      <w:pPr>
        <w:pStyle w:val="Voetnoottekst"/>
      </w:pPr>
      <w:r>
        <w:rPr>
          <w:rStyle w:val="Voetnootmarkering"/>
        </w:rPr>
        <w:footnoteRef/>
      </w:r>
      <w:r>
        <w:t xml:space="preserve"> . Zie hierna nr. 27.</w:t>
      </w:r>
    </w:p>
  </w:footnote>
  <w:footnote w:id="29">
    <w:p w:rsidR="003B53A7" w:rsidRDefault="003B53A7">
      <w:pPr>
        <w:pStyle w:val="Voetnoottekst"/>
      </w:pPr>
      <w:r>
        <w:rPr>
          <w:rStyle w:val="Voetnootmarkering"/>
        </w:rPr>
        <w:footnoteRef/>
      </w:r>
      <w:r>
        <w:t xml:space="preserve"> . Zie advies van 16 mei 1992 (over ‘Bescherming van goederen van onbekwame personen’), bevestigd bij advies van 15 november 1997 (over ‘Medisch attest betreffende de geestestoestand van een persoon’), </w:t>
      </w:r>
      <w:hyperlink r:id="rId3" w:history="1">
        <w:r w:rsidRPr="00981248">
          <w:rPr>
            <w:rStyle w:val="Hyperlink"/>
          </w:rPr>
          <w:t>www.ordomedic.be</w:t>
        </w:r>
      </w:hyperlink>
      <w:r>
        <w:t xml:space="preserve">. </w:t>
      </w:r>
    </w:p>
  </w:footnote>
  <w:footnote w:id="30">
    <w:p w:rsidR="003B53A7" w:rsidRDefault="003B53A7">
      <w:pPr>
        <w:pStyle w:val="Voetnoottekst"/>
      </w:pPr>
      <w:r>
        <w:rPr>
          <w:rStyle w:val="Voetnootmarkering"/>
        </w:rPr>
        <w:footnoteRef/>
      </w:r>
      <w:r>
        <w:t xml:space="preserve"> . Zie hierboven nr. 6.</w:t>
      </w:r>
    </w:p>
  </w:footnote>
  <w:footnote w:id="31">
    <w:p w:rsidR="003B53A7" w:rsidRDefault="003B53A7">
      <w:pPr>
        <w:pStyle w:val="Voetnoottekst"/>
      </w:pPr>
      <w:r>
        <w:rPr>
          <w:rStyle w:val="Voetnootmarkering"/>
        </w:rPr>
        <w:footnoteRef/>
      </w:r>
      <w:r>
        <w:t xml:space="preserve"> . Art. 1241 al. 1 Ger. W. Zie voor een toepassing van deze sanctie: </w:t>
      </w:r>
      <w:proofErr w:type="spellStart"/>
      <w:r>
        <w:t>Vred</w:t>
      </w:r>
      <w:proofErr w:type="spellEnd"/>
      <w:r>
        <w:t xml:space="preserve">. Fontaine-l’Evêque 20 april 2015, </w:t>
      </w:r>
      <w:r w:rsidRPr="00077268">
        <w:rPr>
          <w:i/>
        </w:rPr>
        <w:t>JLMB</w:t>
      </w:r>
      <w:r>
        <w:t xml:space="preserve"> 2016, afl. 5, 239.</w:t>
      </w:r>
    </w:p>
  </w:footnote>
  <w:footnote w:id="32">
    <w:p w:rsidR="003B53A7" w:rsidRDefault="003B53A7">
      <w:pPr>
        <w:pStyle w:val="Voetnoottekst"/>
      </w:pPr>
      <w:r>
        <w:rPr>
          <w:rStyle w:val="Voetnootmarkering"/>
        </w:rPr>
        <w:footnoteRef/>
      </w:r>
      <w:r>
        <w:t xml:space="preserve"> . Zie hieronder nr. 26.</w:t>
      </w:r>
    </w:p>
  </w:footnote>
  <w:footnote w:id="33">
    <w:p w:rsidR="003B53A7" w:rsidRDefault="003B53A7">
      <w:pPr>
        <w:pStyle w:val="Voetnoottekst"/>
      </w:pPr>
      <w:r>
        <w:rPr>
          <w:rStyle w:val="Voetnootmarkering"/>
        </w:rPr>
        <w:footnoteRef/>
      </w:r>
      <w:r>
        <w:t xml:space="preserve"> . D. SCHEERS, “De rechtsplegingen”, in P. SENAEVE, F. SWENNEN en G. VERSCHELDEN (</w:t>
      </w:r>
      <w:proofErr w:type="spellStart"/>
      <w:r>
        <w:t>eds</w:t>
      </w:r>
      <w:proofErr w:type="spellEnd"/>
      <w:r>
        <w:t xml:space="preserve">.), </w:t>
      </w:r>
      <w:r>
        <w:rPr>
          <w:i/>
        </w:rPr>
        <w:t>Meerderjarige beschermde personen</w:t>
      </w:r>
      <w:r>
        <w:t xml:space="preserve">, Brugge, Die </w:t>
      </w:r>
      <w:proofErr w:type="spellStart"/>
      <w:r>
        <w:t>Keure</w:t>
      </w:r>
      <w:proofErr w:type="spellEnd"/>
      <w:r>
        <w:t>, 2014,p. 227, nr. 500.</w:t>
      </w:r>
    </w:p>
  </w:footnote>
  <w:footnote w:id="34">
    <w:p w:rsidR="003B53A7" w:rsidRDefault="003B53A7">
      <w:pPr>
        <w:pStyle w:val="Voetnoottekst"/>
      </w:pPr>
      <w:r>
        <w:rPr>
          <w:rStyle w:val="Voetnootmarkering"/>
        </w:rPr>
        <w:footnoteRef/>
      </w:r>
      <w:r>
        <w:t xml:space="preserve"> . Zie hieronder 20.</w:t>
      </w:r>
    </w:p>
  </w:footnote>
  <w:footnote w:id="35">
    <w:p w:rsidR="003B53A7" w:rsidRDefault="003B53A7">
      <w:pPr>
        <w:pStyle w:val="Voetnoottekst"/>
      </w:pPr>
      <w:r>
        <w:rPr>
          <w:rStyle w:val="Voetnootmarkering"/>
        </w:rPr>
        <w:footnoteRef/>
      </w:r>
      <w:r>
        <w:t xml:space="preserve"> . Art. 1241, al. 3, 5° Ger. W.</w:t>
      </w:r>
    </w:p>
  </w:footnote>
  <w:footnote w:id="36">
    <w:p w:rsidR="003B53A7" w:rsidRDefault="003B53A7">
      <w:pPr>
        <w:pStyle w:val="Voetnoottekst"/>
      </w:pPr>
      <w:r>
        <w:rPr>
          <w:rStyle w:val="Voetnootmarkering"/>
        </w:rPr>
        <w:footnoteRef/>
      </w:r>
      <w:r>
        <w:t xml:space="preserve"> . Zie </w:t>
      </w:r>
      <w:r w:rsidRPr="009728AA">
        <w:t>http://www.who.int/classifications/icf/en/</w:t>
      </w:r>
      <w:r>
        <w:t>.</w:t>
      </w:r>
    </w:p>
  </w:footnote>
  <w:footnote w:id="37">
    <w:p w:rsidR="003B53A7" w:rsidRPr="008D4CB5" w:rsidRDefault="003B53A7">
      <w:pPr>
        <w:pStyle w:val="Voetnoottekst"/>
      </w:pPr>
      <w:r>
        <w:rPr>
          <w:rStyle w:val="Voetnootmarkering"/>
        </w:rPr>
        <w:footnoteRef/>
      </w:r>
      <w:r w:rsidRPr="008D4CB5">
        <w:t xml:space="preserve"> . T. DELAHAYE en F. FACHEZ, “La procedure dans la </w:t>
      </w:r>
      <w:proofErr w:type="spellStart"/>
      <w:r w:rsidRPr="008D4CB5">
        <w:t>loi</w:t>
      </w:r>
      <w:proofErr w:type="spellEnd"/>
      <w:r w:rsidRPr="008D4CB5">
        <w:t xml:space="preserve"> du 17 mart 2013”, in X., </w:t>
      </w:r>
      <w:r w:rsidRPr="008D4CB5">
        <w:rPr>
          <w:i/>
        </w:rPr>
        <w:t xml:space="preserve">La </w:t>
      </w:r>
      <w:proofErr w:type="spellStart"/>
      <w:r w:rsidRPr="008D4CB5">
        <w:rPr>
          <w:i/>
        </w:rPr>
        <w:t>protection</w:t>
      </w:r>
      <w:proofErr w:type="spellEnd"/>
      <w:r w:rsidRPr="008D4CB5">
        <w:rPr>
          <w:i/>
        </w:rPr>
        <w:t xml:space="preserve"> des </w:t>
      </w:r>
      <w:proofErr w:type="spellStart"/>
      <w:r w:rsidRPr="008D4CB5">
        <w:rPr>
          <w:i/>
        </w:rPr>
        <w:t>personnes</w:t>
      </w:r>
      <w:proofErr w:type="spellEnd"/>
      <w:r w:rsidRPr="008D4CB5">
        <w:rPr>
          <w:i/>
        </w:rPr>
        <w:t xml:space="preserve"> </w:t>
      </w:r>
      <w:proofErr w:type="spellStart"/>
      <w:r w:rsidRPr="008D4CB5">
        <w:rPr>
          <w:i/>
        </w:rPr>
        <w:t>vulnérables</w:t>
      </w:r>
      <w:proofErr w:type="spellEnd"/>
      <w:r w:rsidRPr="008D4CB5">
        <w:rPr>
          <w:i/>
        </w:rPr>
        <w:t xml:space="preserve"> à la </w:t>
      </w:r>
      <w:proofErr w:type="spellStart"/>
      <w:r w:rsidRPr="008D4CB5">
        <w:rPr>
          <w:i/>
        </w:rPr>
        <w:t>lumière</w:t>
      </w:r>
      <w:proofErr w:type="spellEnd"/>
      <w:r w:rsidRPr="008D4CB5">
        <w:rPr>
          <w:i/>
        </w:rPr>
        <w:t xml:space="preserve"> de la </w:t>
      </w:r>
      <w:proofErr w:type="spellStart"/>
      <w:r w:rsidRPr="008D4CB5">
        <w:rPr>
          <w:i/>
        </w:rPr>
        <w:t>loi</w:t>
      </w:r>
      <w:proofErr w:type="spellEnd"/>
      <w:r w:rsidRPr="008D4CB5">
        <w:rPr>
          <w:i/>
        </w:rPr>
        <w:t xml:space="preserve"> du 17 </w:t>
      </w:r>
      <w:proofErr w:type="spellStart"/>
      <w:r w:rsidRPr="008D4CB5">
        <w:rPr>
          <w:i/>
        </w:rPr>
        <w:t>marts</w:t>
      </w:r>
      <w:proofErr w:type="spellEnd"/>
      <w:r w:rsidRPr="008D4CB5">
        <w:rPr>
          <w:i/>
        </w:rPr>
        <w:t xml:space="preserve"> 2013</w:t>
      </w:r>
      <w:r w:rsidRPr="008D4CB5">
        <w:t xml:space="preserve">, Brussel, </w:t>
      </w:r>
      <w:proofErr w:type="spellStart"/>
      <w:r w:rsidRPr="008D4CB5">
        <w:t>Bruylant</w:t>
      </w:r>
      <w:proofErr w:type="spellEnd"/>
      <w:r w:rsidRPr="008D4CB5">
        <w:t xml:space="preserve">, 2014, p. 143. N. DANDOY, “La </w:t>
      </w:r>
      <w:proofErr w:type="spellStart"/>
      <w:r w:rsidRPr="008D4CB5">
        <w:t>sanction</w:t>
      </w:r>
      <w:proofErr w:type="spellEnd"/>
      <w:r w:rsidRPr="008D4CB5">
        <w:t xml:space="preserve"> du </w:t>
      </w:r>
      <w:proofErr w:type="spellStart"/>
      <w:r w:rsidRPr="008D4CB5">
        <w:t>défaut</w:t>
      </w:r>
      <w:proofErr w:type="spellEnd"/>
      <w:r w:rsidRPr="008D4CB5">
        <w:t xml:space="preserve"> de </w:t>
      </w:r>
      <w:proofErr w:type="spellStart"/>
      <w:r w:rsidRPr="008D4CB5">
        <w:t>conformité</w:t>
      </w:r>
      <w:proofErr w:type="spellEnd"/>
      <w:r w:rsidRPr="008D4CB5">
        <w:t xml:space="preserve"> du </w:t>
      </w:r>
      <w:proofErr w:type="spellStart"/>
      <w:r w:rsidRPr="008D4CB5">
        <w:t>certificat</w:t>
      </w:r>
      <w:proofErr w:type="spellEnd"/>
      <w:r w:rsidRPr="008D4CB5">
        <w:t xml:space="preserve"> </w:t>
      </w:r>
      <w:proofErr w:type="spellStart"/>
      <w:r w:rsidRPr="008D4CB5">
        <w:t>medical</w:t>
      </w:r>
      <w:proofErr w:type="spellEnd"/>
      <w:r w:rsidRPr="008D4CB5">
        <w:t xml:space="preserve"> au </w:t>
      </w:r>
      <w:proofErr w:type="spellStart"/>
      <w:r w:rsidRPr="008D4CB5">
        <w:t>prescrit</w:t>
      </w:r>
      <w:proofErr w:type="spellEnd"/>
      <w:r w:rsidRPr="008D4CB5">
        <w:t xml:space="preserve"> de </w:t>
      </w:r>
      <w:proofErr w:type="spellStart"/>
      <w:r w:rsidRPr="008D4CB5">
        <w:t>l’article</w:t>
      </w:r>
      <w:proofErr w:type="spellEnd"/>
      <w:r w:rsidRPr="008D4CB5">
        <w:t xml:space="preserve"> 1241, </w:t>
      </w:r>
      <w:proofErr w:type="spellStart"/>
      <w:r w:rsidRPr="008D4CB5">
        <w:t>alinéas</w:t>
      </w:r>
      <w:proofErr w:type="spellEnd"/>
      <w:r w:rsidRPr="008D4CB5">
        <w:t xml:space="preserve"> 2 et 3 du Code </w:t>
      </w:r>
      <w:proofErr w:type="spellStart"/>
      <w:r w:rsidRPr="008D4CB5">
        <w:t>Judiciaire</w:t>
      </w:r>
      <w:proofErr w:type="spellEnd"/>
      <w:r w:rsidRPr="008D4CB5">
        <w:t xml:space="preserve">”, </w:t>
      </w:r>
      <w:r>
        <w:rPr>
          <w:i/>
        </w:rPr>
        <w:t xml:space="preserve">T. </w:t>
      </w:r>
      <w:proofErr w:type="spellStart"/>
      <w:r>
        <w:rPr>
          <w:i/>
        </w:rPr>
        <w:t>Vred</w:t>
      </w:r>
      <w:proofErr w:type="spellEnd"/>
      <w:r>
        <w:rPr>
          <w:i/>
        </w:rPr>
        <w:t>.</w:t>
      </w:r>
      <w:r w:rsidRPr="008D4CB5">
        <w:t xml:space="preserve"> 2015, 329 (met verwijzing naar D. BOUCQUEY, “</w:t>
      </w:r>
      <w:proofErr w:type="spellStart"/>
      <w:r w:rsidRPr="008D4CB5">
        <w:t>Aspects</w:t>
      </w:r>
      <w:proofErr w:type="spellEnd"/>
      <w:r w:rsidRPr="008D4CB5">
        <w:t xml:space="preserve"> </w:t>
      </w:r>
      <w:proofErr w:type="spellStart"/>
      <w:r w:rsidRPr="008D4CB5">
        <w:t>médicaux</w:t>
      </w:r>
      <w:proofErr w:type="spellEnd"/>
      <w:r w:rsidRPr="008D4CB5">
        <w:t xml:space="preserve"> du </w:t>
      </w:r>
      <w:proofErr w:type="spellStart"/>
      <w:r w:rsidRPr="008D4CB5">
        <w:t>nouveau</w:t>
      </w:r>
      <w:proofErr w:type="spellEnd"/>
      <w:r w:rsidRPr="008D4CB5">
        <w:t xml:space="preserve"> régime </w:t>
      </w:r>
      <w:proofErr w:type="spellStart"/>
      <w:r w:rsidRPr="008D4CB5">
        <w:t>d’incapacité</w:t>
      </w:r>
      <w:proofErr w:type="spellEnd"/>
      <w:r w:rsidRPr="008D4CB5">
        <w:t xml:space="preserve">” in </w:t>
      </w:r>
      <w:r w:rsidRPr="008D4CB5">
        <w:rPr>
          <w:i/>
        </w:rPr>
        <w:t xml:space="preserve">Le </w:t>
      </w:r>
      <w:proofErr w:type="spellStart"/>
      <w:r w:rsidRPr="008D4CB5">
        <w:rPr>
          <w:i/>
        </w:rPr>
        <w:t>nouveau</w:t>
      </w:r>
      <w:proofErr w:type="spellEnd"/>
      <w:r w:rsidRPr="008D4CB5">
        <w:rPr>
          <w:i/>
        </w:rPr>
        <w:t xml:space="preserve"> régime </w:t>
      </w:r>
      <w:proofErr w:type="spellStart"/>
      <w:r w:rsidRPr="008D4CB5">
        <w:rPr>
          <w:i/>
        </w:rPr>
        <w:t>belge</w:t>
      </w:r>
      <w:proofErr w:type="spellEnd"/>
      <w:r w:rsidRPr="008D4CB5">
        <w:rPr>
          <w:i/>
        </w:rPr>
        <w:t xml:space="preserve"> de </w:t>
      </w:r>
      <w:proofErr w:type="spellStart"/>
      <w:r w:rsidRPr="008D4CB5">
        <w:rPr>
          <w:i/>
        </w:rPr>
        <w:t>l’incapacté</w:t>
      </w:r>
      <w:proofErr w:type="spellEnd"/>
      <w:r w:rsidRPr="008D4CB5">
        <w:rPr>
          <w:i/>
        </w:rPr>
        <w:t xml:space="preserve"> des </w:t>
      </w:r>
      <w:proofErr w:type="spellStart"/>
      <w:r w:rsidRPr="008D4CB5">
        <w:rPr>
          <w:i/>
        </w:rPr>
        <w:t>majeurs</w:t>
      </w:r>
      <w:proofErr w:type="spellEnd"/>
      <w:r w:rsidRPr="008D4CB5">
        <w:rPr>
          <w:i/>
        </w:rPr>
        <w:t xml:space="preserve">: analyse et </w:t>
      </w:r>
      <w:proofErr w:type="spellStart"/>
      <w:r w:rsidRPr="008D4CB5">
        <w:rPr>
          <w:i/>
        </w:rPr>
        <w:t>perspectives</w:t>
      </w:r>
      <w:proofErr w:type="spellEnd"/>
      <w:r w:rsidRPr="008D4CB5">
        <w:t xml:space="preserve">, Brussel, Die </w:t>
      </w:r>
      <w:proofErr w:type="spellStart"/>
      <w:r w:rsidRPr="008D4CB5">
        <w:t>Keure</w:t>
      </w:r>
      <w:proofErr w:type="spellEnd"/>
      <w:r w:rsidRPr="008D4CB5">
        <w:t>, 2014, 241).</w:t>
      </w:r>
    </w:p>
  </w:footnote>
  <w:footnote w:id="38">
    <w:p w:rsidR="003B53A7" w:rsidRPr="007C0391" w:rsidRDefault="003B53A7">
      <w:pPr>
        <w:pStyle w:val="Voetnoottekst"/>
      </w:pPr>
      <w:r>
        <w:rPr>
          <w:rStyle w:val="Voetnootmarkering"/>
        </w:rPr>
        <w:footnoteRef/>
      </w:r>
      <w:r w:rsidRPr="00A0498E">
        <w:rPr>
          <w:lang w:val="en-US"/>
        </w:rPr>
        <w:t xml:space="preserve"> . </w:t>
      </w:r>
      <w:proofErr w:type="spellStart"/>
      <w:r w:rsidRPr="00A0498E">
        <w:rPr>
          <w:lang w:val="en-US"/>
        </w:rPr>
        <w:t>Vred</w:t>
      </w:r>
      <w:proofErr w:type="spellEnd"/>
      <w:r w:rsidRPr="00A0498E">
        <w:rPr>
          <w:lang w:val="en-US"/>
        </w:rPr>
        <w:t>. Fontaine-</w:t>
      </w:r>
      <w:proofErr w:type="spellStart"/>
      <w:r w:rsidRPr="00A0498E">
        <w:rPr>
          <w:lang w:val="en-US"/>
        </w:rPr>
        <w:t>l’Evêque</w:t>
      </w:r>
      <w:proofErr w:type="spellEnd"/>
      <w:r w:rsidRPr="00A0498E">
        <w:rPr>
          <w:lang w:val="en-US"/>
        </w:rPr>
        <w:t xml:space="preserve"> 8 </w:t>
      </w:r>
      <w:proofErr w:type="spellStart"/>
      <w:r w:rsidRPr="00A0498E">
        <w:rPr>
          <w:lang w:val="en-US"/>
        </w:rPr>
        <w:t>oktober</w:t>
      </w:r>
      <w:proofErr w:type="spellEnd"/>
      <w:r w:rsidRPr="00A0498E">
        <w:rPr>
          <w:lang w:val="en-US"/>
        </w:rPr>
        <w:t xml:space="preserve"> 2014, </w:t>
      </w:r>
      <w:r w:rsidRPr="00A0498E">
        <w:rPr>
          <w:i/>
          <w:lang w:val="en-US"/>
        </w:rPr>
        <w:t xml:space="preserve">Rev. Trim. </w:t>
      </w:r>
      <w:r w:rsidRPr="007C0391">
        <w:rPr>
          <w:i/>
        </w:rPr>
        <w:t>Dr. Fam.</w:t>
      </w:r>
      <w:r w:rsidRPr="007C0391">
        <w:t xml:space="preserve"> 2014, afl. 4, 828.</w:t>
      </w:r>
    </w:p>
  </w:footnote>
  <w:footnote w:id="39">
    <w:p w:rsidR="003B53A7" w:rsidRPr="008D4CB5" w:rsidRDefault="003B53A7">
      <w:pPr>
        <w:pStyle w:val="Voetnoottekst"/>
      </w:pPr>
      <w:r>
        <w:rPr>
          <w:rStyle w:val="Voetnootmarkering"/>
        </w:rPr>
        <w:footnoteRef/>
      </w:r>
      <w:r>
        <w:t xml:space="preserve"> . Art. 4 Wet van 10 augustus 2015 tot wijziging van het Gerechtelijk Wetboek en de wet van 17 maart 2013 tot hervorming van de regelingen inzake onbekwaamheid en tot instelling van een nieuwe beschermingsstatus die strookt met de menselijke waardigheid, </w:t>
      </w:r>
      <w:r>
        <w:rPr>
          <w:i/>
        </w:rPr>
        <w:t>B.S.</w:t>
      </w:r>
      <w:r>
        <w:t xml:space="preserve"> 26 augustus 2015.</w:t>
      </w:r>
    </w:p>
  </w:footnote>
  <w:footnote w:id="40">
    <w:p w:rsidR="003B53A7" w:rsidRDefault="003B53A7">
      <w:pPr>
        <w:pStyle w:val="Voetnoottekst"/>
      </w:pPr>
      <w:r>
        <w:rPr>
          <w:rStyle w:val="Voetnootmarkering"/>
        </w:rPr>
        <w:footnoteRef/>
      </w:r>
      <w:r>
        <w:t xml:space="preserve"> . Zie hierna nr. 20.</w:t>
      </w:r>
    </w:p>
  </w:footnote>
  <w:footnote w:id="41">
    <w:p w:rsidR="003B53A7" w:rsidRDefault="003B53A7">
      <w:pPr>
        <w:pStyle w:val="Voetnoottekst"/>
      </w:pPr>
      <w:r>
        <w:rPr>
          <w:rStyle w:val="Voetnootmarkering"/>
        </w:rPr>
        <w:footnoteRef/>
      </w:r>
      <w:r>
        <w:t xml:space="preserve"> . </w:t>
      </w:r>
      <w:r w:rsidRPr="008D4CB5">
        <w:t xml:space="preserve">N. DANDOY, “La </w:t>
      </w:r>
      <w:proofErr w:type="spellStart"/>
      <w:r w:rsidRPr="008D4CB5">
        <w:t>sanction</w:t>
      </w:r>
      <w:proofErr w:type="spellEnd"/>
      <w:r w:rsidRPr="008D4CB5">
        <w:t xml:space="preserve"> du </w:t>
      </w:r>
      <w:proofErr w:type="spellStart"/>
      <w:r w:rsidRPr="008D4CB5">
        <w:t>défaut</w:t>
      </w:r>
      <w:proofErr w:type="spellEnd"/>
      <w:r w:rsidRPr="008D4CB5">
        <w:t xml:space="preserve"> de </w:t>
      </w:r>
      <w:proofErr w:type="spellStart"/>
      <w:r w:rsidRPr="008D4CB5">
        <w:t>conformité</w:t>
      </w:r>
      <w:proofErr w:type="spellEnd"/>
      <w:r w:rsidRPr="008D4CB5">
        <w:t xml:space="preserve"> du </w:t>
      </w:r>
      <w:proofErr w:type="spellStart"/>
      <w:r w:rsidRPr="008D4CB5">
        <w:t>certificat</w:t>
      </w:r>
      <w:proofErr w:type="spellEnd"/>
      <w:r w:rsidRPr="008D4CB5">
        <w:t xml:space="preserve"> </w:t>
      </w:r>
      <w:proofErr w:type="spellStart"/>
      <w:r w:rsidRPr="008D4CB5">
        <w:t>medical</w:t>
      </w:r>
      <w:proofErr w:type="spellEnd"/>
      <w:r w:rsidRPr="008D4CB5">
        <w:t xml:space="preserve"> au </w:t>
      </w:r>
      <w:proofErr w:type="spellStart"/>
      <w:r w:rsidRPr="008D4CB5">
        <w:t>prescrit</w:t>
      </w:r>
      <w:proofErr w:type="spellEnd"/>
      <w:r w:rsidRPr="008D4CB5">
        <w:t xml:space="preserve"> de </w:t>
      </w:r>
      <w:proofErr w:type="spellStart"/>
      <w:r w:rsidRPr="008D4CB5">
        <w:t>l’article</w:t>
      </w:r>
      <w:proofErr w:type="spellEnd"/>
      <w:r w:rsidRPr="008D4CB5">
        <w:t xml:space="preserve"> 1241, </w:t>
      </w:r>
      <w:proofErr w:type="spellStart"/>
      <w:r w:rsidRPr="008D4CB5">
        <w:t>alinéas</w:t>
      </w:r>
      <w:proofErr w:type="spellEnd"/>
      <w:r w:rsidRPr="008D4CB5">
        <w:t xml:space="preserve"> 2 et 3 du Code </w:t>
      </w:r>
      <w:proofErr w:type="spellStart"/>
      <w:r w:rsidRPr="008D4CB5">
        <w:t>Judiciaire</w:t>
      </w:r>
      <w:proofErr w:type="spellEnd"/>
      <w:r w:rsidRPr="008D4CB5">
        <w:t xml:space="preserve">”, </w:t>
      </w:r>
      <w:r w:rsidRPr="008D4CB5">
        <w:rPr>
          <w:i/>
        </w:rPr>
        <w:t>J.J.P.</w:t>
      </w:r>
      <w:r>
        <w:t xml:space="preserve"> 2015, 330.</w:t>
      </w:r>
    </w:p>
  </w:footnote>
  <w:footnote w:id="42">
    <w:p w:rsidR="003B53A7" w:rsidRDefault="003B53A7">
      <w:pPr>
        <w:pStyle w:val="Voetnoottekst"/>
      </w:pPr>
      <w:r>
        <w:rPr>
          <w:rStyle w:val="Voetnootmarkering"/>
        </w:rPr>
        <w:footnoteRef/>
      </w:r>
      <w:r>
        <w:t xml:space="preserve"> . Art. 4 Wet van 10 augustus 2015 tot wijziging van het Gerechtelijk Wetboek en de wet van 17 maart 2013 tot hervorming van de regelingen inzake onbekwaamheid en tot instelling van een nieuwe beschermingsstatus die strookt met de menselijke waardigheid, </w:t>
      </w:r>
      <w:r>
        <w:rPr>
          <w:i/>
        </w:rPr>
        <w:t>BS.</w:t>
      </w:r>
      <w:r>
        <w:t xml:space="preserve"> 26 augustus 2015.</w:t>
      </w:r>
    </w:p>
  </w:footnote>
  <w:footnote w:id="43">
    <w:p w:rsidR="003B53A7" w:rsidRPr="00E76841" w:rsidRDefault="003B53A7">
      <w:pPr>
        <w:pStyle w:val="Voetnoottekst"/>
      </w:pPr>
      <w:r>
        <w:rPr>
          <w:rStyle w:val="Voetnootmarkering"/>
        </w:rPr>
        <w:footnoteRef/>
      </w:r>
      <w:r w:rsidRPr="00E76841">
        <w:t xml:space="preserve"> . Art. 1244 § 1 al. 3 Ger. W.</w:t>
      </w:r>
    </w:p>
  </w:footnote>
  <w:footnote w:id="44">
    <w:p w:rsidR="003B53A7" w:rsidRPr="00572BE7" w:rsidRDefault="003B53A7">
      <w:pPr>
        <w:pStyle w:val="Voetnoottekst"/>
      </w:pPr>
      <w:r>
        <w:rPr>
          <w:rStyle w:val="Voetnootmarkering"/>
        </w:rPr>
        <w:footnoteRef/>
      </w:r>
      <w:r>
        <w:t xml:space="preserve"> . Zie hierboven nr. </w:t>
      </w:r>
      <w:r w:rsidRPr="00572BE7">
        <w:t>9.</w:t>
      </w:r>
    </w:p>
  </w:footnote>
  <w:footnote w:id="45">
    <w:p w:rsidR="003B53A7" w:rsidRPr="005F4647" w:rsidRDefault="003B53A7" w:rsidP="005B5BA4">
      <w:pPr>
        <w:pStyle w:val="Voetnoottekst"/>
        <w:rPr>
          <w:lang w:val="en-US"/>
        </w:rPr>
      </w:pPr>
      <w:r>
        <w:rPr>
          <w:rStyle w:val="Voetnootmarkering"/>
        </w:rPr>
        <w:footnoteRef/>
      </w:r>
      <w:r w:rsidRPr="005F4647">
        <w:rPr>
          <w:lang w:val="en-US"/>
        </w:rPr>
        <w:t xml:space="preserve"> . Art. 1243 Ger. W.</w:t>
      </w:r>
    </w:p>
  </w:footnote>
  <w:footnote w:id="46">
    <w:p w:rsidR="003B53A7" w:rsidRPr="005F4647" w:rsidRDefault="003B53A7" w:rsidP="005B5BA4">
      <w:pPr>
        <w:pStyle w:val="Voetnoottekst"/>
        <w:rPr>
          <w:lang w:val="en-US"/>
        </w:rPr>
      </w:pPr>
      <w:r>
        <w:rPr>
          <w:rStyle w:val="Voetnootmarkering"/>
        </w:rPr>
        <w:footnoteRef/>
      </w:r>
      <w:r>
        <w:rPr>
          <w:lang w:val="en-US"/>
        </w:rPr>
        <w:t xml:space="preserve"> . Art. </w:t>
      </w:r>
      <w:r w:rsidRPr="005F4647">
        <w:rPr>
          <w:lang w:val="en-US"/>
        </w:rPr>
        <w:t>1244 § 1 Ger. W.</w:t>
      </w:r>
    </w:p>
  </w:footnote>
  <w:footnote w:id="47">
    <w:p w:rsidR="003B53A7" w:rsidRDefault="003B53A7">
      <w:pPr>
        <w:pStyle w:val="Voetnoottekst"/>
      </w:pPr>
      <w:r>
        <w:rPr>
          <w:rStyle w:val="Voetnootmarkering"/>
        </w:rPr>
        <w:footnoteRef/>
      </w:r>
      <w:r>
        <w:t xml:space="preserve"> . Zie de autonome onderzoeksmogelijkheid voorzien in art. 1244 § 1 Ger. W. Deze staat los van de aanstelling van een deskundige op basis van art. 1241, laatste alinea Ger. W.</w:t>
      </w:r>
    </w:p>
  </w:footnote>
  <w:footnote w:id="48">
    <w:p w:rsidR="003B53A7" w:rsidRPr="00284B39" w:rsidRDefault="003B53A7">
      <w:pPr>
        <w:pStyle w:val="Voetnoottekst"/>
        <w:rPr>
          <w:lang w:val="en-US"/>
        </w:rPr>
      </w:pPr>
      <w:r>
        <w:rPr>
          <w:rStyle w:val="Voetnootmarkering"/>
        </w:rPr>
        <w:footnoteRef/>
      </w:r>
      <w:r w:rsidRPr="00284B39">
        <w:rPr>
          <w:lang w:val="en-US"/>
        </w:rPr>
        <w:t xml:space="preserve"> . </w:t>
      </w:r>
      <w:proofErr w:type="spellStart"/>
      <w:r w:rsidRPr="00284B39">
        <w:rPr>
          <w:lang w:val="en-US"/>
        </w:rPr>
        <w:t>Vred</w:t>
      </w:r>
      <w:proofErr w:type="spellEnd"/>
      <w:r w:rsidRPr="00284B39">
        <w:rPr>
          <w:lang w:val="en-US"/>
        </w:rPr>
        <w:t xml:space="preserve">. Gent (I), 13 </w:t>
      </w:r>
      <w:proofErr w:type="spellStart"/>
      <w:r w:rsidRPr="00284B39">
        <w:rPr>
          <w:lang w:val="en-US"/>
        </w:rPr>
        <w:t>juli</w:t>
      </w:r>
      <w:proofErr w:type="spellEnd"/>
      <w:r w:rsidRPr="00284B39">
        <w:rPr>
          <w:lang w:val="en-US"/>
        </w:rPr>
        <w:t xml:space="preserve"> 2015, </w:t>
      </w:r>
      <w:r w:rsidRPr="00284B39">
        <w:rPr>
          <w:i/>
          <w:lang w:val="en-US"/>
        </w:rPr>
        <w:t xml:space="preserve">R.W. </w:t>
      </w:r>
      <w:r w:rsidRPr="00284B39">
        <w:rPr>
          <w:lang w:val="en-US"/>
        </w:rPr>
        <w:t>2015-16, 554.</w:t>
      </w:r>
    </w:p>
  </w:footnote>
  <w:footnote w:id="49">
    <w:p w:rsidR="003B53A7" w:rsidRDefault="003B53A7">
      <w:pPr>
        <w:pStyle w:val="Voetnoottekst"/>
      </w:pPr>
      <w:r>
        <w:rPr>
          <w:rStyle w:val="Voetnootmarkering"/>
        </w:rPr>
        <w:footnoteRef/>
      </w:r>
      <w:r>
        <w:t xml:space="preserve"> . Art. 1241, al. 5 Ger. W.</w:t>
      </w:r>
    </w:p>
  </w:footnote>
  <w:footnote w:id="50">
    <w:p w:rsidR="003B53A7" w:rsidRDefault="003B53A7">
      <w:pPr>
        <w:pStyle w:val="Voetnoottekst"/>
      </w:pPr>
      <w:r>
        <w:rPr>
          <w:rStyle w:val="Voetnootmarkering"/>
        </w:rPr>
        <w:footnoteRef/>
      </w:r>
      <w:r>
        <w:t xml:space="preserve"> . Art. 1241, al. 6 Ger. W.</w:t>
      </w:r>
    </w:p>
  </w:footnote>
  <w:footnote w:id="51">
    <w:p w:rsidR="003B53A7" w:rsidRDefault="003B53A7">
      <w:pPr>
        <w:pStyle w:val="Voetnoottekst"/>
      </w:pPr>
      <w:r>
        <w:rPr>
          <w:rStyle w:val="Voetnootmarkering"/>
        </w:rPr>
        <w:footnoteRef/>
      </w:r>
      <w:r>
        <w:t xml:space="preserve"> . Art. 1244, § 1 Ger. W.</w:t>
      </w:r>
    </w:p>
  </w:footnote>
  <w:footnote w:id="52">
    <w:p w:rsidR="003B53A7" w:rsidRDefault="003B53A7">
      <w:pPr>
        <w:pStyle w:val="Voetnoottekst"/>
      </w:pPr>
      <w:r>
        <w:rPr>
          <w:rStyle w:val="Voetnootmarkering"/>
        </w:rPr>
        <w:footnoteRef/>
      </w:r>
      <w:r>
        <w:t xml:space="preserve"> . Advies van 17 december 2016 van de nationale raad van de Orde der Artsen (en de daar opgenomen verwijzing naar rechtspraak en rechtsleer).</w:t>
      </w:r>
    </w:p>
  </w:footnote>
  <w:footnote w:id="53">
    <w:p w:rsidR="003B53A7" w:rsidRDefault="003B53A7">
      <w:pPr>
        <w:pStyle w:val="Voetnoottekst"/>
      </w:pPr>
      <w:r>
        <w:rPr>
          <w:rStyle w:val="Voetnootmarkering"/>
        </w:rPr>
        <w:footnoteRef/>
      </w:r>
      <w:r>
        <w:t xml:space="preserve"> . </w:t>
      </w:r>
      <w:proofErr w:type="spellStart"/>
      <w:r>
        <w:t>Vred</w:t>
      </w:r>
      <w:proofErr w:type="spellEnd"/>
      <w:r>
        <w:t xml:space="preserve">. </w:t>
      </w:r>
      <w:proofErr w:type="spellStart"/>
      <w:r>
        <w:t>Woluwe</w:t>
      </w:r>
      <w:proofErr w:type="spellEnd"/>
      <w:r>
        <w:t xml:space="preserve">, 20 juli 2016, nr. 16B463, </w:t>
      </w:r>
      <w:proofErr w:type="spellStart"/>
      <w:r w:rsidRPr="00077268">
        <w:rPr>
          <w:i/>
        </w:rPr>
        <w:t>onuitg</w:t>
      </w:r>
      <w:proofErr w:type="spellEnd"/>
      <w:r>
        <w:t>.</w:t>
      </w:r>
    </w:p>
  </w:footnote>
  <w:footnote w:id="54">
    <w:p w:rsidR="003B53A7" w:rsidRDefault="003B53A7">
      <w:pPr>
        <w:pStyle w:val="Voetnoottekst"/>
      </w:pPr>
      <w:r>
        <w:rPr>
          <w:rStyle w:val="Voetnootmarkering"/>
        </w:rPr>
        <w:footnoteRef/>
      </w:r>
      <w:r>
        <w:t xml:space="preserve"> . </w:t>
      </w:r>
      <w:proofErr w:type="spellStart"/>
      <w:r>
        <w:t>Vred</w:t>
      </w:r>
      <w:proofErr w:type="spellEnd"/>
      <w:r>
        <w:t xml:space="preserve">. Fléron, 1 september 2016, nr. 16B679, </w:t>
      </w:r>
      <w:proofErr w:type="spellStart"/>
      <w:r w:rsidRPr="00077268">
        <w:rPr>
          <w:i/>
        </w:rPr>
        <w:t>onuitg</w:t>
      </w:r>
      <w:proofErr w:type="spellEnd"/>
      <w:r>
        <w:t>.</w:t>
      </w:r>
    </w:p>
  </w:footnote>
  <w:footnote w:id="55">
    <w:p w:rsidR="003B53A7" w:rsidRDefault="003B53A7">
      <w:pPr>
        <w:pStyle w:val="Voetnoottekst"/>
      </w:pPr>
      <w:r>
        <w:rPr>
          <w:rStyle w:val="Voetnootmarkering"/>
        </w:rPr>
        <w:footnoteRef/>
      </w:r>
      <w:r>
        <w:t xml:space="preserve"> . Zie hierboven nr. 6.</w:t>
      </w:r>
    </w:p>
  </w:footnote>
  <w:footnote w:id="56">
    <w:p w:rsidR="003B53A7" w:rsidRDefault="003B53A7">
      <w:pPr>
        <w:pStyle w:val="Voetnoottekst"/>
      </w:pPr>
      <w:r>
        <w:rPr>
          <w:rStyle w:val="Voetnootmarkering"/>
        </w:rPr>
        <w:footnoteRef/>
      </w:r>
      <w:r>
        <w:t xml:space="preserve"> . Zie de mogelijkheid voorzien door art. 1243, § 1, al. 2 Ger. W.</w:t>
      </w:r>
    </w:p>
  </w:footnote>
  <w:footnote w:id="57">
    <w:p w:rsidR="003B53A7" w:rsidRPr="00574E7E" w:rsidRDefault="003B53A7">
      <w:pPr>
        <w:pStyle w:val="Voetnoottekst"/>
      </w:pPr>
      <w:r>
        <w:rPr>
          <w:rStyle w:val="Voetnootmarkering"/>
        </w:rPr>
        <w:footnoteRef/>
      </w:r>
      <w:r>
        <w:t xml:space="preserve"> . Art. 972</w:t>
      </w:r>
      <w:r>
        <w:rPr>
          <w:i/>
        </w:rPr>
        <w:t>bis</w:t>
      </w:r>
      <w:r>
        <w:t xml:space="preserve"> Ger. W. Zie over de medewerkingsplicht aan de medische expertise en de </w:t>
      </w:r>
      <w:proofErr w:type="spellStart"/>
      <w:r>
        <w:t>investigatiemogelijkheden</w:t>
      </w:r>
      <w:proofErr w:type="spellEnd"/>
      <w:r>
        <w:t xml:space="preserve"> van de arts-gerechtsdeskundige in het algemeen: C. ROBBE en J. TRICOT, “Overhandigen van medische gegevens in het kader van een medische expertise”, in L. WOSTYN, C. CLEPKENS en A. HUTSEBAUT (</w:t>
      </w:r>
      <w:proofErr w:type="spellStart"/>
      <w:r>
        <w:t>eds</w:t>
      </w:r>
      <w:proofErr w:type="spellEnd"/>
      <w:r>
        <w:t xml:space="preserve">.), </w:t>
      </w:r>
      <w:r>
        <w:rPr>
          <w:i/>
        </w:rPr>
        <w:t>Overhandigen medische gegevens</w:t>
      </w:r>
      <w:r>
        <w:t xml:space="preserve">, Gent, </w:t>
      </w:r>
      <w:proofErr w:type="spellStart"/>
      <w:r>
        <w:t>Academia</w:t>
      </w:r>
      <w:proofErr w:type="spellEnd"/>
      <w:r>
        <w:t xml:space="preserve"> Press, 2005, 31 en L. CARDON en R. HEYLEN, “Rechten met betrekking tot de medische expertise”, in T. VANSWEEVELT en F. DEWALLENS (</w:t>
      </w:r>
      <w:proofErr w:type="spellStart"/>
      <w:r>
        <w:t>eds</w:t>
      </w:r>
      <w:proofErr w:type="spellEnd"/>
      <w:r>
        <w:t xml:space="preserve">.), </w:t>
      </w:r>
      <w:r w:rsidRPr="00077268">
        <w:rPr>
          <w:i/>
        </w:rPr>
        <w:t>Handboek Gezondheidsrecht, Volume II</w:t>
      </w:r>
      <w:r>
        <w:t xml:space="preserve">, Antwerpen, </w:t>
      </w:r>
      <w:proofErr w:type="spellStart"/>
      <w:r>
        <w:t>Intersentia</w:t>
      </w:r>
      <w:proofErr w:type="spellEnd"/>
      <w:r>
        <w:t>, 2014, p. 735.</w:t>
      </w:r>
    </w:p>
  </w:footnote>
  <w:footnote w:id="58">
    <w:p w:rsidR="003B53A7" w:rsidRPr="00471B59" w:rsidRDefault="003B53A7">
      <w:pPr>
        <w:pStyle w:val="Voetnoottekst"/>
      </w:pPr>
      <w:r>
        <w:rPr>
          <w:rStyle w:val="Voetnootmarkering"/>
        </w:rPr>
        <w:footnoteRef/>
      </w:r>
      <w:r>
        <w:t xml:space="preserve"> . Zie hierover: T. VANSWEEVELT, “Het belang van de patiënt als doorslaggevend criterium om zich als arts te kunnen beroepen op het zwijgrecht”, </w:t>
      </w:r>
      <w:r>
        <w:rPr>
          <w:i/>
        </w:rPr>
        <w:t xml:space="preserve">T. Gez. / </w:t>
      </w:r>
      <w:proofErr w:type="spellStart"/>
      <w:r>
        <w:rPr>
          <w:i/>
        </w:rPr>
        <w:t>Rev</w:t>
      </w:r>
      <w:proofErr w:type="spellEnd"/>
      <w:r>
        <w:rPr>
          <w:i/>
        </w:rPr>
        <w:t>. Dr. Santé</w:t>
      </w:r>
      <w:r>
        <w:t>, 2014-15, 291.</w:t>
      </w:r>
    </w:p>
  </w:footnote>
  <w:footnote w:id="59">
    <w:p w:rsidR="003B53A7" w:rsidRPr="00A1697B" w:rsidRDefault="003B53A7">
      <w:pPr>
        <w:pStyle w:val="Voetnoottekst"/>
      </w:pPr>
      <w:r>
        <w:rPr>
          <w:rStyle w:val="Voetnootmarkering"/>
        </w:rPr>
        <w:footnoteRef/>
      </w:r>
      <w:r>
        <w:t xml:space="preserve"> . F. SWENNEN, “De meerderjarige beschermde personen”, </w:t>
      </w:r>
      <w:r>
        <w:rPr>
          <w:i/>
        </w:rPr>
        <w:t>R.W.</w:t>
      </w:r>
      <w:r>
        <w:t xml:space="preserve"> 2013-14, 623 en H. NYS en L. BODDEZ, “De meerderjarige beschermde personen bekeken vanuit gezondheidsrechtelijke invalshoek”, </w:t>
      </w:r>
      <w:r>
        <w:rPr>
          <w:i/>
        </w:rPr>
        <w:t>R.W.</w:t>
      </w:r>
      <w:r>
        <w:t>2013-14, 1083.</w:t>
      </w:r>
    </w:p>
  </w:footnote>
  <w:footnote w:id="60">
    <w:p w:rsidR="003B53A7" w:rsidRPr="00410313" w:rsidRDefault="003B53A7">
      <w:pPr>
        <w:pStyle w:val="Voetnoottekst"/>
      </w:pPr>
      <w:r>
        <w:rPr>
          <w:rStyle w:val="Voetnootmarkering"/>
        </w:rPr>
        <w:footnoteRef/>
      </w:r>
      <w:r w:rsidRPr="00410313">
        <w:t xml:space="preserve"> . Art. 492/1, § 1 BW. </w:t>
      </w:r>
    </w:p>
  </w:footnote>
  <w:footnote w:id="61">
    <w:p w:rsidR="003B53A7" w:rsidRPr="000956B1" w:rsidRDefault="003B53A7">
      <w:pPr>
        <w:pStyle w:val="Voetnoottekst"/>
      </w:pPr>
      <w:r>
        <w:rPr>
          <w:rStyle w:val="Voetnootmarkering"/>
        </w:rPr>
        <w:footnoteRef/>
      </w:r>
      <w:r w:rsidRPr="00410313">
        <w:t xml:space="preserve"> . </w:t>
      </w:r>
      <w:r w:rsidRPr="000956B1">
        <w:t>G. VERSCHELDEN, “Onbekwaamheid – de perso</w:t>
      </w:r>
      <w:r>
        <w:t>o</w:t>
      </w:r>
      <w:r w:rsidRPr="000956B1">
        <w:t xml:space="preserve">n”, in </w:t>
      </w:r>
      <w:r>
        <w:t>P. SENAEVE, F. SWENNEN en G. VERSCHELDEN (</w:t>
      </w:r>
      <w:proofErr w:type="spellStart"/>
      <w:r>
        <w:t>eds</w:t>
      </w:r>
      <w:proofErr w:type="spellEnd"/>
      <w:r>
        <w:t xml:space="preserve">.), </w:t>
      </w:r>
      <w:r>
        <w:rPr>
          <w:i/>
        </w:rPr>
        <w:t>Meerderjarige beschermde personen</w:t>
      </w:r>
      <w:r>
        <w:t xml:space="preserve">, Brugge, Die </w:t>
      </w:r>
      <w:proofErr w:type="spellStart"/>
      <w:r>
        <w:t>Keure</w:t>
      </w:r>
      <w:proofErr w:type="spellEnd"/>
      <w:r>
        <w:t>, 2014, nr. 103.</w:t>
      </w:r>
    </w:p>
  </w:footnote>
  <w:footnote w:id="62">
    <w:p w:rsidR="003B53A7" w:rsidRPr="00FE4A6A" w:rsidRDefault="003B53A7">
      <w:pPr>
        <w:pStyle w:val="Voetnoottekst"/>
        <w:rPr>
          <w:lang w:val="en-US"/>
        </w:rPr>
      </w:pPr>
      <w:r>
        <w:rPr>
          <w:rStyle w:val="Voetnootmarkering"/>
        </w:rPr>
        <w:footnoteRef/>
      </w:r>
      <w:r w:rsidRPr="00FE4A6A">
        <w:rPr>
          <w:lang w:val="en-US"/>
        </w:rPr>
        <w:t xml:space="preserve"> . Art. 492/1, § 1, 15° BW.</w:t>
      </w:r>
    </w:p>
  </w:footnote>
  <w:footnote w:id="63">
    <w:p w:rsidR="003B53A7" w:rsidRPr="00FE4A6A" w:rsidRDefault="003B53A7">
      <w:pPr>
        <w:pStyle w:val="Voetnoottekst"/>
        <w:rPr>
          <w:lang w:val="en-US"/>
        </w:rPr>
      </w:pPr>
      <w:r>
        <w:rPr>
          <w:rStyle w:val="Voetnootmarkering"/>
        </w:rPr>
        <w:footnoteRef/>
      </w:r>
      <w:r w:rsidRPr="00FE4A6A">
        <w:rPr>
          <w:lang w:val="en-US"/>
        </w:rPr>
        <w:t xml:space="preserve"> </w:t>
      </w:r>
      <w:r>
        <w:rPr>
          <w:lang w:val="en-US"/>
        </w:rPr>
        <w:t>. Art. 492/1, § 1, 16</w:t>
      </w:r>
      <w:r w:rsidRPr="00FE4A6A">
        <w:rPr>
          <w:lang w:val="en-US"/>
        </w:rPr>
        <w:t>° BW</w:t>
      </w:r>
      <w:r>
        <w:rPr>
          <w:lang w:val="en-US"/>
        </w:rPr>
        <w:t>.</w:t>
      </w:r>
    </w:p>
  </w:footnote>
  <w:footnote w:id="64">
    <w:p w:rsidR="003B53A7" w:rsidRPr="00FE4A6A" w:rsidRDefault="003B53A7">
      <w:pPr>
        <w:pStyle w:val="Voetnoottekst"/>
        <w:rPr>
          <w:lang w:val="en-US"/>
        </w:rPr>
      </w:pPr>
      <w:r>
        <w:rPr>
          <w:rStyle w:val="Voetnootmarkering"/>
        </w:rPr>
        <w:footnoteRef/>
      </w:r>
      <w:r w:rsidRPr="00FE4A6A">
        <w:rPr>
          <w:lang w:val="en-US"/>
        </w:rPr>
        <w:t xml:space="preserve"> </w:t>
      </w:r>
      <w:r>
        <w:rPr>
          <w:lang w:val="en-US"/>
        </w:rPr>
        <w:t>. Art. 492/1, § 1, 17</w:t>
      </w:r>
      <w:r w:rsidRPr="00FE4A6A">
        <w:rPr>
          <w:lang w:val="en-US"/>
        </w:rPr>
        <w:t>° BW</w:t>
      </w:r>
      <w:r>
        <w:rPr>
          <w:lang w:val="en-US"/>
        </w:rPr>
        <w:t>.</w:t>
      </w:r>
    </w:p>
  </w:footnote>
  <w:footnote w:id="65">
    <w:p w:rsidR="003B53A7" w:rsidRPr="002968D3" w:rsidRDefault="003B53A7">
      <w:pPr>
        <w:pStyle w:val="Voetnoottekst"/>
      </w:pPr>
      <w:r>
        <w:rPr>
          <w:rStyle w:val="Voetnootmarkering"/>
        </w:rPr>
        <w:footnoteRef/>
      </w:r>
      <w:r w:rsidRPr="002968D3">
        <w:t xml:space="preserve"> . Art. 492/1, § 1, 19° BW.</w:t>
      </w:r>
    </w:p>
  </w:footnote>
  <w:footnote w:id="66">
    <w:p w:rsidR="003B53A7" w:rsidRPr="002968D3" w:rsidRDefault="003B53A7">
      <w:pPr>
        <w:pStyle w:val="Voetnoottekst"/>
      </w:pPr>
      <w:r>
        <w:rPr>
          <w:rStyle w:val="Voetnootmarkering"/>
        </w:rPr>
        <w:footnoteRef/>
      </w:r>
      <w:r>
        <w:t xml:space="preserve"> . Zie hieronder nr. 52</w:t>
      </w:r>
      <w:r w:rsidRPr="002968D3">
        <w:t>.</w:t>
      </w:r>
    </w:p>
  </w:footnote>
  <w:footnote w:id="67">
    <w:p w:rsidR="003B53A7" w:rsidRPr="00A30732" w:rsidRDefault="003B53A7">
      <w:pPr>
        <w:pStyle w:val="Voetnoottekst"/>
      </w:pPr>
      <w:r>
        <w:rPr>
          <w:rStyle w:val="Voetnootmarkering"/>
        </w:rPr>
        <w:footnoteRef/>
      </w:r>
      <w:r w:rsidRPr="002968D3">
        <w:t xml:space="preserve"> . </w:t>
      </w:r>
      <w:r w:rsidRPr="00A30732">
        <w:t xml:space="preserve">Zie over dit onderscheid: A. </w:t>
      </w:r>
      <w:r>
        <w:t>VIJVERMAN, “De wet experimenten op de menselijke persoon”, in T. VANSWEEVELT en F. DEWALLENS (</w:t>
      </w:r>
      <w:proofErr w:type="spellStart"/>
      <w:r>
        <w:t>eds</w:t>
      </w:r>
      <w:proofErr w:type="spellEnd"/>
      <w:r>
        <w:t xml:space="preserve">.), </w:t>
      </w:r>
      <w:r w:rsidRPr="00077268">
        <w:rPr>
          <w:i/>
        </w:rPr>
        <w:t>Hand</w:t>
      </w:r>
      <w:r>
        <w:rPr>
          <w:i/>
        </w:rPr>
        <w:t>boek Gezondheidsrecht, Volume I</w:t>
      </w:r>
      <w:r>
        <w:t xml:space="preserve">I, Antwerpen, </w:t>
      </w:r>
      <w:proofErr w:type="spellStart"/>
      <w:r>
        <w:t>Intersentia</w:t>
      </w:r>
      <w:proofErr w:type="spellEnd"/>
      <w:r>
        <w:t>, 2014, p. 1066.</w:t>
      </w:r>
    </w:p>
  </w:footnote>
  <w:footnote w:id="68">
    <w:p w:rsidR="003B53A7" w:rsidRDefault="003B53A7">
      <w:pPr>
        <w:pStyle w:val="Voetnoottekst"/>
      </w:pPr>
      <w:r>
        <w:rPr>
          <w:rStyle w:val="Voetnootmarkering"/>
        </w:rPr>
        <w:footnoteRef/>
      </w:r>
      <w:r>
        <w:t xml:space="preserve"> . Art. 8, 2° Experimentenwet.</w:t>
      </w:r>
    </w:p>
  </w:footnote>
  <w:footnote w:id="69">
    <w:p w:rsidR="003B53A7" w:rsidRDefault="003B53A7">
      <w:pPr>
        <w:pStyle w:val="Voetnoottekst"/>
      </w:pPr>
      <w:r>
        <w:rPr>
          <w:rStyle w:val="Voetnootmarkering"/>
        </w:rPr>
        <w:footnoteRef/>
      </w:r>
      <w:r>
        <w:t xml:space="preserve"> . </w:t>
      </w:r>
      <w:r w:rsidRPr="000956B1">
        <w:t>G. VERSCHELDEN, “Onbekwaamheid – de perso</w:t>
      </w:r>
      <w:r>
        <w:t>o</w:t>
      </w:r>
      <w:r w:rsidRPr="000956B1">
        <w:t xml:space="preserve">n”, in </w:t>
      </w:r>
      <w:r>
        <w:t>P. SENAEVE, F. SWENNEN en G. VERSCHELDEN (</w:t>
      </w:r>
      <w:proofErr w:type="spellStart"/>
      <w:r>
        <w:t>eds</w:t>
      </w:r>
      <w:proofErr w:type="spellEnd"/>
      <w:r>
        <w:t xml:space="preserve">.), </w:t>
      </w:r>
      <w:r>
        <w:rPr>
          <w:i/>
        </w:rPr>
        <w:t>Meerderjarige beschermde personen</w:t>
      </w:r>
      <w:r>
        <w:t xml:space="preserve">, Brugge, Die </w:t>
      </w:r>
      <w:proofErr w:type="spellStart"/>
      <w:r>
        <w:t>Keure</w:t>
      </w:r>
      <w:proofErr w:type="spellEnd"/>
      <w:r>
        <w:t>, 2014, nr. 125.</w:t>
      </w:r>
    </w:p>
  </w:footnote>
  <w:footnote w:id="70">
    <w:p w:rsidR="003B53A7" w:rsidRPr="006E319F" w:rsidRDefault="003B53A7">
      <w:pPr>
        <w:pStyle w:val="Voetnoottekst"/>
        <w:rPr>
          <w:lang w:val="en-US"/>
        </w:rPr>
      </w:pPr>
      <w:r>
        <w:rPr>
          <w:rStyle w:val="Voetnootmarkering"/>
        </w:rPr>
        <w:footnoteRef/>
      </w:r>
      <w:r w:rsidRPr="006E319F">
        <w:rPr>
          <w:lang w:val="en-US"/>
        </w:rPr>
        <w:t xml:space="preserve"> . Art. 497/2, 15° BW.</w:t>
      </w:r>
    </w:p>
  </w:footnote>
  <w:footnote w:id="71">
    <w:p w:rsidR="003B53A7" w:rsidRPr="004F660C" w:rsidRDefault="003B53A7">
      <w:pPr>
        <w:pStyle w:val="Voetnoottekst"/>
        <w:rPr>
          <w:lang w:val="en-US"/>
        </w:rPr>
      </w:pPr>
      <w:r>
        <w:rPr>
          <w:rStyle w:val="Voetnootmarkering"/>
        </w:rPr>
        <w:footnoteRef/>
      </w:r>
      <w:r w:rsidRPr="004F660C">
        <w:rPr>
          <w:lang w:val="en-US"/>
        </w:rPr>
        <w:t xml:space="preserve"> </w:t>
      </w:r>
      <w:r>
        <w:rPr>
          <w:lang w:val="en-US"/>
        </w:rPr>
        <w:t>. Art. 497/2, 16° BW.</w:t>
      </w:r>
    </w:p>
  </w:footnote>
  <w:footnote w:id="72">
    <w:p w:rsidR="003B53A7" w:rsidRPr="004F660C" w:rsidRDefault="003B53A7">
      <w:pPr>
        <w:pStyle w:val="Voetnoottekst"/>
        <w:rPr>
          <w:lang w:val="en-US"/>
        </w:rPr>
      </w:pPr>
      <w:r>
        <w:rPr>
          <w:rStyle w:val="Voetnootmarkering"/>
        </w:rPr>
        <w:footnoteRef/>
      </w:r>
      <w:r w:rsidRPr="004F660C">
        <w:rPr>
          <w:lang w:val="en-US"/>
        </w:rPr>
        <w:t xml:space="preserve"> </w:t>
      </w:r>
      <w:r>
        <w:rPr>
          <w:lang w:val="en-US"/>
        </w:rPr>
        <w:t>. Art. 497/2, 18° BW.</w:t>
      </w:r>
    </w:p>
  </w:footnote>
  <w:footnote w:id="73">
    <w:p w:rsidR="003B53A7" w:rsidRPr="004F660C" w:rsidRDefault="003B53A7">
      <w:pPr>
        <w:pStyle w:val="Voetnoottekst"/>
        <w:rPr>
          <w:lang w:val="en-US"/>
        </w:rPr>
      </w:pPr>
      <w:r>
        <w:rPr>
          <w:rStyle w:val="Voetnootmarkering"/>
        </w:rPr>
        <w:footnoteRef/>
      </w:r>
      <w:r w:rsidRPr="004F660C">
        <w:rPr>
          <w:lang w:val="en-US"/>
        </w:rPr>
        <w:t xml:space="preserve"> </w:t>
      </w:r>
      <w:r>
        <w:rPr>
          <w:lang w:val="en-US"/>
        </w:rPr>
        <w:t>. Art. 497/2, 19° BW.</w:t>
      </w:r>
    </w:p>
  </w:footnote>
  <w:footnote w:id="74">
    <w:p w:rsidR="003B53A7" w:rsidRPr="00E36935" w:rsidRDefault="003B53A7">
      <w:pPr>
        <w:pStyle w:val="Voetnoottekst"/>
        <w:rPr>
          <w:lang w:val="en-US"/>
        </w:rPr>
      </w:pPr>
      <w:r>
        <w:rPr>
          <w:rStyle w:val="Voetnootmarkering"/>
        </w:rPr>
        <w:footnoteRef/>
      </w:r>
      <w:r w:rsidRPr="00E36935">
        <w:rPr>
          <w:lang w:val="en-US"/>
        </w:rPr>
        <w:t xml:space="preserve"> </w:t>
      </w:r>
      <w:r>
        <w:rPr>
          <w:lang w:val="en-US"/>
        </w:rPr>
        <w:t>. Art. 497/2, 21° BW.</w:t>
      </w:r>
    </w:p>
  </w:footnote>
  <w:footnote w:id="75">
    <w:p w:rsidR="003B53A7" w:rsidRPr="00E36935" w:rsidRDefault="003B53A7">
      <w:pPr>
        <w:pStyle w:val="Voetnoottekst"/>
        <w:rPr>
          <w:lang w:val="en-US"/>
        </w:rPr>
      </w:pPr>
      <w:r>
        <w:rPr>
          <w:rStyle w:val="Voetnootmarkering"/>
        </w:rPr>
        <w:footnoteRef/>
      </w:r>
      <w:r w:rsidRPr="00E36935">
        <w:rPr>
          <w:lang w:val="en-US"/>
        </w:rPr>
        <w:t xml:space="preserve"> </w:t>
      </w:r>
      <w:r>
        <w:rPr>
          <w:lang w:val="en-US"/>
        </w:rPr>
        <w:t>. Art. 497/2, 23° BW.</w:t>
      </w:r>
    </w:p>
  </w:footnote>
  <w:footnote w:id="76">
    <w:p w:rsidR="003B53A7" w:rsidRDefault="003B53A7">
      <w:pPr>
        <w:pStyle w:val="Voetnoottekst"/>
      </w:pPr>
      <w:r>
        <w:rPr>
          <w:rStyle w:val="Voetnootmarkering"/>
        </w:rPr>
        <w:footnoteRef/>
      </w:r>
      <w:r>
        <w:t xml:space="preserve"> . Zie hierover meer uitgebreid: E. GULDIX, “Het recht op voortplanting”, in T. VANSWEEVELT en F. DEWALLENS (</w:t>
      </w:r>
      <w:proofErr w:type="spellStart"/>
      <w:r>
        <w:t>eds</w:t>
      </w:r>
      <w:proofErr w:type="spellEnd"/>
      <w:r>
        <w:t xml:space="preserve">.), </w:t>
      </w:r>
      <w:r w:rsidRPr="00077268">
        <w:rPr>
          <w:i/>
        </w:rPr>
        <w:t>Handboek Gezondheidsrecht, Volume II</w:t>
      </w:r>
      <w:r>
        <w:t xml:space="preserve">, Antwerpen, </w:t>
      </w:r>
      <w:proofErr w:type="spellStart"/>
      <w:r>
        <w:t>Intersentia</w:t>
      </w:r>
      <w:proofErr w:type="spellEnd"/>
      <w:r>
        <w:t xml:space="preserve">, 2014, p. 8 en </w:t>
      </w:r>
      <w:r w:rsidRPr="00535442">
        <w:t xml:space="preserve">H. NYS, </w:t>
      </w:r>
      <w:r w:rsidRPr="00535442">
        <w:rPr>
          <w:i/>
        </w:rPr>
        <w:t>Geneeskunde – Recht en medisch handelen</w:t>
      </w:r>
      <w:r w:rsidRPr="00535442">
        <w:t xml:space="preserve">, Gent, Story </w:t>
      </w:r>
      <w:proofErr w:type="spellStart"/>
      <w:r w:rsidRPr="00535442">
        <w:t>Scientia</w:t>
      </w:r>
      <w:proofErr w:type="spellEnd"/>
      <w:r w:rsidRPr="00535442">
        <w:t xml:space="preserve">, 2005, nr. </w:t>
      </w:r>
      <w:r>
        <w:t>462.</w:t>
      </w:r>
    </w:p>
  </w:footnote>
  <w:footnote w:id="77">
    <w:p w:rsidR="003B53A7" w:rsidRDefault="003B53A7">
      <w:pPr>
        <w:pStyle w:val="Voetnoottekst"/>
      </w:pPr>
      <w:r>
        <w:rPr>
          <w:rStyle w:val="Voetnootmarkering"/>
        </w:rPr>
        <w:footnoteRef/>
      </w:r>
      <w:r>
        <w:t xml:space="preserve"> . Advies nr. 8 van 14 september 1998 betreffende de problematiek van de sterilisatie van mentaal gehandicapte personen, </w:t>
      </w:r>
      <w:hyperlink r:id="rId4" w:history="1">
        <w:r w:rsidRPr="00FF3A4A">
          <w:rPr>
            <w:rStyle w:val="Hyperlink"/>
          </w:rPr>
          <w:t>www.health.belgium.be/nl/belgisch-raadgevend-comite-voor-bio-ethiek</w:t>
        </w:r>
      </w:hyperlink>
      <w:r>
        <w:t xml:space="preserve">. </w:t>
      </w:r>
    </w:p>
  </w:footnote>
  <w:footnote w:id="78">
    <w:p w:rsidR="003B53A7" w:rsidRDefault="003B53A7">
      <w:pPr>
        <w:pStyle w:val="Voetnoottekst"/>
      </w:pPr>
      <w:r>
        <w:rPr>
          <w:rStyle w:val="Voetnootmarkering"/>
        </w:rPr>
        <w:footnoteRef/>
      </w:r>
      <w:r>
        <w:t xml:space="preserve"> . Advies van 15 januari 1994 over “Mentale gehandicapten – sterilisatie”, </w:t>
      </w:r>
      <w:r w:rsidRPr="00077268">
        <w:rPr>
          <w:i/>
        </w:rPr>
        <w:t>Tijdschrift van de nationale raad</w:t>
      </w:r>
      <w:r>
        <w:t xml:space="preserve">, nr. 64, p. 20, </w:t>
      </w:r>
      <w:hyperlink r:id="rId5" w:history="1">
        <w:r w:rsidRPr="00FF3A4A">
          <w:rPr>
            <w:rStyle w:val="Hyperlink"/>
          </w:rPr>
          <w:t>www.ordomedic.be</w:t>
        </w:r>
      </w:hyperlink>
      <w:r>
        <w:t xml:space="preserve"> </w:t>
      </w:r>
    </w:p>
  </w:footnote>
  <w:footnote w:id="79">
    <w:p w:rsidR="003B53A7" w:rsidRDefault="003B53A7">
      <w:pPr>
        <w:pStyle w:val="Voetnoottekst"/>
      </w:pPr>
      <w:r>
        <w:rPr>
          <w:rStyle w:val="Voetnootmarkering"/>
        </w:rPr>
        <w:footnoteRef/>
      </w:r>
      <w:r>
        <w:t xml:space="preserve"> . F. SWENNEN, “De meerderjarige beschermde personen”, </w:t>
      </w:r>
      <w:r>
        <w:rPr>
          <w:i/>
        </w:rPr>
        <w:t>R.W.</w:t>
      </w:r>
      <w:r>
        <w:t xml:space="preserve"> 2013-14, p. 609, nr. 82 en H. NYS en L. BODDEZ, “De meerderjarige beschermde personen bekeken vanuit gezondheidsrechtelijke invalshoek”, </w:t>
      </w:r>
      <w:r>
        <w:rPr>
          <w:i/>
        </w:rPr>
        <w:t>R.W.</w:t>
      </w:r>
      <w:r>
        <w:t>2013-14, 1088.</w:t>
      </w:r>
    </w:p>
  </w:footnote>
  <w:footnote w:id="80">
    <w:p w:rsidR="003B53A7" w:rsidRDefault="003B53A7">
      <w:pPr>
        <w:pStyle w:val="Voetnoottekst"/>
      </w:pPr>
      <w:r>
        <w:rPr>
          <w:rStyle w:val="Voetnootmarkering"/>
        </w:rPr>
        <w:footnoteRef/>
      </w:r>
      <w:r>
        <w:t xml:space="preserve"> . Advies van 15 november 2014 over “Sterilisatie met contraceptief doel van een mentaal gestoorde persoon”, </w:t>
      </w:r>
      <w:hyperlink r:id="rId6" w:history="1">
        <w:r w:rsidRPr="000E0223">
          <w:rPr>
            <w:rStyle w:val="Hyperlink"/>
          </w:rPr>
          <w:t>www.ordomedic.be</w:t>
        </w:r>
      </w:hyperlink>
      <w:r>
        <w:t xml:space="preserve"> .</w:t>
      </w:r>
    </w:p>
  </w:footnote>
  <w:footnote w:id="81">
    <w:p w:rsidR="003B53A7" w:rsidRPr="00111D52" w:rsidRDefault="003B53A7">
      <w:pPr>
        <w:pStyle w:val="Voetnoottekst"/>
      </w:pPr>
      <w:r>
        <w:rPr>
          <w:rStyle w:val="Voetnootmarkering"/>
        </w:rPr>
        <w:footnoteRef/>
      </w:r>
      <w:r w:rsidRPr="006E319F">
        <w:t xml:space="preserve"> </w:t>
      </w:r>
      <w:proofErr w:type="spellStart"/>
      <w:r w:rsidRPr="006E319F">
        <w:t>Vred</w:t>
      </w:r>
      <w:proofErr w:type="spellEnd"/>
      <w:r w:rsidRPr="006E319F">
        <w:t xml:space="preserve">. </w:t>
      </w:r>
      <w:r w:rsidRPr="00111D52">
        <w:t xml:space="preserve">Brussel (V), 26 april 2016, nr. 16B516, </w:t>
      </w:r>
      <w:proofErr w:type="spellStart"/>
      <w:r w:rsidRPr="00077268">
        <w:rPr>
          <w:i/>
        </w:rPr>
        <w:t>onuitg</w:t>
      </w:r>
      <w:proofErr w:type="spellEnd"/>
      <w:r w:rsidRPr="00111D52">
        <w:t>.</w:t>
      </w:r>
    </w:p>
  </w:footnote>
  <w:footnote w:id="82">
    <w:p w:rsidR="003B53A7" w:rsidRDefault="003B53A7">
      <w:pPr>
        <w:pStyle w:val="Voetnoottekst"/>
      </w:pPr>
      <w:r>
        <w:rPr>
          <w:rStyle w:val="Voetnootmarkering"/>
        </w:rPr>
        <w:footnoteRef/>
      </w:r>
      <w:r>
        <w:t xml:space="preserve"> . Art. 2 Wet betreffende de medische begeleide voortplanting en de bestemming van de overtollige </w:t>
      </w:r>
      <w:proofErr w:type="spellStart"/>
      <w:r>
        <w:t>embryos</w:t>
      </w:r>
      <w:proofErr w:type="spellEnd"/>
      <w:r>
        <w:t>’ en de gameten.</w:t>
      </w:r>
    </w:p>
  </w:footnote>
  <w:footnote w:id="83">
    <w:p w:rsidR="003B53A7" w:rsidRDefault="003B53A7">
      <w:pPr>
        <w:pStyle w:val="Voetnoottekst"/>
      </w:pPr>
      <w:r>
        <w:rPr>
          <w:rStyle w:val="Voetnootmarkering"/>
        </w:rPr>
        <w:footnoteRef/>
      </w:r>
      <w:r>
        <w:t xml:space="preserve"> . Art. 3, § 1 Euthanasiewet.</w:t>
      </w:r>
    </w:p>
  </w:footnote>
  <w:footnote w:id="84">
    <w:p w:rsidR="003B53A7" w:rsidRDefault="003B53A7">
      <w:pPr>
        <w:pStyle w:val="Voetnoottekst"/>
      </w:pPr>
      <w:r>
        <w:rPr>
          <w:rStyle w:val="Voetnootmarkering"/>
        </w:rPr>
        <w:footnoteRef/>
      </w:r>
      <w:r>
        <w:t xml:space="preserve"> . Art. 4 § 2 Euthanasiewet.</w:t>
      </w:r>
    </w:p>
  </w:footnote>
  <w:footnote w:id="85">
    <w:p w:rsidR="003B53A7" w:rsidRDefault="003B53A7">
      <w:pPr>
        <w:pStyle w:val="Voetnoottekst"/>
      </w:pPr>
      <w:r>
        <w:rPr>
          <w:rStyle w:val="Voetnootmarkering"/>
        </w:rPr>
        <w:footnoteRef/>
      </w:r>
      <w:r>
        <w:t xml:space="preserve"> . C. LEMMENS, “Voorafgaande wilsverklaringen”, in T. VANSWEEVELT en F. DEWALLENS (</w:t>
      </w:r>
      <w:proofErr w:type="spellStart"/>
      <w:r>
        <w:t>eds</w:t>
      </w:r>
      <w:proofErr w:type="spellEnd"/>
      <w:r>
        <w:t xml:space="preserve">.), </w:t>
      </w:r>
      <w:r w:rsidRPr="00AC477B">
        <w:rPr>
          <w:i/>
        </w:rPr>
        <w:t>Handboek Gezondheidsrecht, Volume II</w:t>
      </w:r>
      <w:r>
        <w:t xml:space="preserve">, Antwerpen, </w:t>
      </w:r>
      <w:proofErr w:type="spellStart"/>
      <w:r>
        <w:t>Intersentia</w:t>
      </w:r>
      <w:proofErr w:type="spellEnd"/>
      <w:r>
        <w:t>, 2014, nr. 2774.</w:t>
      </w:r>
    </w:p>
  </w:footnote>
  <w:footnote w:id="86">
    <w:p w:rsidR="003B53A7" w:rsidRPr="00E527E7" w:rsidRDefault="003B53A7">
      <w:pPr>
        <w:pStyle w:val="Voetnoottekst"/>
        <w:rPr>
          <w:lang w:val="en-US"/>
        </w:rPr>
      </w:pPr>
      <w:r>
        <w:rPr>
          <w:rStyle w:val="Voetnootmarkering"/>
        </w:rPr>
        <w:footnoteRef/>
      </w:r>
      <w:r w:rsidRPr="00E527E7">
        <w:rPr>
          <w:lang w:val="en-US"/>
        </w:rPr>
        <w:t xml:space="preserve"> . </w:t>
      </w:r>
      <w:proofErr w:type="spellStart"/>
      <w:r w:rsidRPr="00E527E7">
        <w:rPr>
          <w:lang w:val="en-US"/>
        </w:rPr>
        <w:t>Vred</w:t>
      </w:r>
      <w:proofErr w:type="spellEnd"/>
      <w:r w:rsidRPr="00E527E7">
        <w:rPr>
          <w:lang w:val="en-US"/>
        </w:rPr>
        <w:t xml:space="preserve">. </w:t>
      </w:r>
      <w:proofErr w:type="spellStart"/>
      <w:r w:rsidRPr="00E527E7">
        <w:rPr>
          <w:lang w:val="en-US"/>
        </w:rPr>
        <w:t>Boussu</w:t>
      </w:r>
      <w:proofErr w:type="spellEnd"/>
      <w:r w:rsidRPr="00E527E7">
        <w:rPr>
          <w:lang w:val="en-US"/>
        </w:rPr>
        <w:t xml:space="preserve">, 5 </w:t>
      </w:r>
      <w:proofErr w:type="spellStart"/>
      <w:r w:rsidRPr="00E527E7">
        <w:rPr>
          <w:lang w:val="en-US"/>
        </w:rPr>
        <w:t>april</w:t>
      </w:r>
      <w:proofErr w:type="spellEnd"/>
      <w:r w:rsidRPr="00E527E7">
        <w:rPr>
          <w:lang w:val="en-US"/>
        </w:rPr>
        <w:t xml:space="preserve"> 2016, </w:t>
      </w:r>
      <w:proofErr w:type="spellStart"/>
      <w:r w:rsidRPr="00E527E7">
        <w:rPr>
          <w:lang w:val="en-US"/>
        </w:rPr>
        <w:t>nr</w:t>
      </w:r>
      <w:proofErr w:type="spellEnd"/>
      <w:r w:rsidRPr="00E527E7">
        <w:rPr>
          <w:lang w:val="en-US"/>
        </w:rPr>
        <w:t xml:space="preserve">. 16B78, </w:t>
      </w:r>
      <w:proofErr w:type="spellStart"/>
      <w:r w:rsidRPr="00AC477B">
        <w:rPr>
          <w:i/>
          <w:lang w:val="en-US"/>
        </w:rPr>
        <w:t>onuitg</w:t>
      </w:r>
      <w:proofErr w:type="spellEnd"/>
      <w:r w:rsidRPr="00AC477B">
        <w:rPr>
          <w:i/>
          <w:lang w:val="en-US"/>
        </w:rPr>
        <w:t>.</w:t>
      </w:r>
    </w:p>
  </w:footnote>
  <w:footnote w:id="87">
    <w:p w:rsidR="003B53A7" w:rsidRDefault="003B53A7">
      <w:pPr>
        <w:pStyle w:val="Voetnoottekst"/>
      </w:pPr>
      <w:r>
        <w:rPr>
          <w:rStyle w:val="Voetnootmarkering"/>
        </w:rPr>
        <w:footnoteRef/>
      </w:r>
      <w:r w:rsidRPr="00E527E7">
        <w:rPr>
          <w:lang w:val="en-US"/>
        </w:rPr>
        <w:t xml:space="preserve"> . Art. 4 </w:t>
      </w:r>
      <w:proofErr w:type="spellStart"/>
      <w:r w:rsidRPr="00E527E7">
        <w:rPr>
          <w:lang w:val="en-US"/>
        </w:rPr>
        <w:t>Euthanasiewet</w:t>
      </w:r>
      <w:proofErr w:type="spellEnd"/>
      <w:r w:rsidRPr="00E527E7">
        <w:rPr>
          <w:lang w:val="en-US"/>
        </w:rPr>
        <w:t xml:space="preserve">. </w:t>
      </w:r>
      <w:r>
        <w:t>In het vonnis wordt op overbodige (en verwarrende) wijze ook verwezen naar art. 3 van de Euthanasiewet, dat van toepassing is op het actueel verzoek tot euthanasie.</w:t>
      </w:r>
    </w:p>
  </w:footnote>
  <w:footnote w:id="88">
    <w:p w:rsidR="003B53A7" w:rsidRDefault="003B53A7">
      <w:pPr>
        <w:pStyle w:val="Voetnoottekst"/>
      </w:pPr>
      <w:r>
        <w:rPr>
          <w:rStyle w:val="Voetnootmarkering"/>
        </w:rPr>
        <w:footnoteRef/>
      </w:r>
      <w:r>
        <w:t xml:space="preserve"> . </w:t>
      </w:r>
      <w:proofErr w:type="spellStart"/>
      <w:r>
        <w:t>Vred</w:t>
      </w:r>
      <w:proofErr w:type="spellEnd"/>
      <w:r>
        <w:t xml:space="preserve">. Verviers, 1 december 2016, nr. 16B873, </w:t>
      </w:r>
      <w:proofErr w:type="spellStart"/>
      <w:r w:rsidRPr="00AC477B">
        <w:rPr>
          <w:i/>
        </w:rPr>
        <w:t>onuitg</w:t>
      </w:r>
      <w:proofErr w:type="spellEnd"/>
      <w:r>
        <w:t>.</w:t>
      </w:r>
    </w:p>
  </w:footnote>
  <w:footnote w:id="89">
    <w:p w:rsidR="003B53A7" w:rsidRDefault="003B53A7">
      <w:pPr>
        <w:pStyle w:val="Voetnoottekst"/>
      </w:pPr>
      <w:r>
        <w:rPr>
          <w:rStyle w:val="Voetnootmarkering"/>
        </w:rPr>
        <w:footnoteRef/>
      </w:r>
      <w:r>
        <w:t xml:space="preserve"> . </w:t>
      </w:r>
      <w:r w:rsidRPr="000956B1">
        <w:t>G. VERSCHELDEN, “Onbekwaamheid – de perso</w:t>
      </w:r>
      <w:r>
        <w:t>o</w:t>
      </w:r>
      <w:r w:rsidRPr="000956B1">
        <w:t xml:space="preserve">n”, in </w:t>
      </w:r>
      <w:r>
        <w:t>P. SENAEVE, F. SWENNEN en G. VERSCHELDEN (</w:t>
      </w:r>
      <w:proofErr w:type="spellStart"/>
      <w:r>
        <w:t>eds</w:t>
      </w:r>
      <w:proofErr w:type="spellEnd"/>
      <w:r>
        <w:t xml:space="preserve">.), </w:t>
      </w:r>
      <w:r>
        <w:rPr>
          <w:i/>
        </w:rPr>
        <w:t>Meerderjarige beschermde personen</w:t>
      </w:r>
      <w:r>
        <w:t xml:space="preserve">, Brugge, Die </w:t>
      </w:r>
      <w:proofErr w:type="spellStart"/>
      <w:r>
        <w:t>Keure</w:t>
      </w:r>
      <w:proofErr w:type="spellEnd"/>
      <w:r>
        <w:t>, 2014, nr. 128.</w:t>
      </w:r>
    </w:p>
  </w:footnote>
  <w:footnote w:id="90">
    <w:p w:rsidR="003B53A7" w:rsidRDefault="003B53A7" w:rsidP="005B4900">
      <w:pPr>
        <w:pStyle w:val="Voetnoottekst"/>
      </w:pPr>
      <w:r>
        <w:rPr>
          <w:rStyle w:val="Voetnootmarkering"/>
        </w:rPr>
        <w:footnoteRef/>
      </w:r>
      <w:r>
        <w:t xml:space="preserve"> . </w:t>
      </w:r>
      <w:proofErr w:type="spellStart"/>
      <w:r>
        <w:t>Vred</w:t>
      </w:r>
      <w:proofErr w:type="spellEnd"/>
      <w:r>
        <w:t xml:space="preserve">. Vorst, 15 december 2016, nr.  16B898, </w:t>
      </w:r>
      <w:proofErr w:type="spellStart"/>
      <w:r>
        <w:t>onuitg</w:t>
      </w:r>
      <w:proofErr w:type="spellEnd"/>
      <w:r>
        <w:t>.</w:t>
      </w:r>
    </w:p>
  </w:footnote>
  <w:footnote w:id="91">
    <w:p w:rsidR="003B53A7" w:rsidRDefault="003B53A7">
      <w:pPr>
        <w:pStyle w:val="Voetnoottekst"/>
      </w:pPr>
      <w:r>
        <w:rPr>
          <w:rStyle w:val="Voetnootmarkering"/>
        </w:rPr>
        <w:footnoteRef/>
      </w:r>
      <w:r>
        <w:t xml:space="preserve"> . Art. 15 § 2 Wet Patiëntenrechten.</w:t>
      </w:r>
    </w:p>
  </w:footnote>
  <w:footnote w:id="92">
    <w:p w:rsidR="003B53A7" w:rsidRDefault="003B53A7">
      <w:pPr>
        <w:pStyle w:val="Voetnoottekst"/>
      </w:pPr>
      <w:r>
        <w:rPr>
          <w:rStyle w:val="Voetnootmarkering"/>
        </w:rPr>
        <w:footnoteRef/>
      </w:r>
      <w:r>
        <w:t xml:space="preserve"> . </w:t>
      </w:r>
      <w:proofErr w:type="spellStart"/>
      <w:r>
        <w:t>Vred</w:t>
      </w:r>
      <w:proofErr w:type="spellEnd"/>
      <w:r>
        <w:t xml:space="preserve">. Luik (III), 8 mei 2015, nr. 15B692, </w:t>
      </w:r>
      <w:proofErr w:type="spellStart"/>
      <w:r w:rsidRPr="00C312A4">
        <w:rPr>
          <w:i/>
        </w:rPr>
        <w:t>onuitg</w:t>
      </w:r>
      <w:proofErr w:type="spellEnd"/>
      <w:r>
        <w:t>.</w:t>
      </w:r>
    </w:p>
  </w:footnote>
  <w:footnote w:id="93">
    <w:p w:rsidR="003B53A7" w:rsidRDefault="003B53A7">
      <w:pPr>
        <w:pStyle w:val="Voetnoottekst"/>
      </w:pPr>
      <w:r>
        <w:rPr>
          <w:rStyle w:val="Voetnootmarkering"/>
        </w:rPr>
        <w:footnoteRef/>
      </w:r>
      <w:r>
        <w:t xml:space="preserve"> . </w:t>
      </w:r>
      <w:proofErr w:type="spellStart"/>
      <w:r>
        <w:t>Vred</w:t>
      </w:r>
      <w:proofErr w:type="spellEnd"/>
      <w:r>
        <w:t xml:space="preserve">. Luik (III), 5 mei 2015, nr. 15B775, </w:t>
      </w:r>
      <w:proofErr w:type="spellStart"/>
      <w:r w:rsidRPr="00C312A4">
        <w:rPr>
          <w:i/>
        </w:rPr>
        <w:t>onuitg</w:t>
      </w:r>
      <w:proofErr w:type="spellEnd"/>
      <w:r>
        <w:t>.</w:t>
      </w:r>
    </w:p>
  </w:footnote>
  <w:footnote w:id="94">
    <w:p w:rsidR="003B53A7" w:rsidRPr="00284B39" w:rsidRDefault="003B53A7">
      <w:pPr>
        <w:pStyle w:val="Voetnoottekst"/>
        <w:rPr>
          <w:lang w:val="en-US"/>
        </w:rPr>
      </w:pPr>
      <w:r>
        <w:rPr>
          <w:rStyle w:val="Voetnootmarkering"/>
        </w:rPr>
        <w:footnoteRef/>
      </w:r>
      <w:r w:rsidRPr="00D81626">
        <w:rPr>
          <w:lang w:val="en-US"/>
        </w:rPr>
        <w:t xml:space="preserve"> . </w:t>
      </w:r>
      <w:proofErr w:type="spellStart"/>
      <w:r w:rsidRPr="00D81626">
        <w:rPr>
          <w:lang w:val="en-US"/>
        </w:rPr>
        <w:t>Vred</w:t>
      </w:r>
      <w:proofErr w:type="spellEnd"/>
      <w:r w:rsidRPr="00D81626">
        <w:rPr>
          <w:lang w:val="en-US"/>
        </w:rPr>
        <w:t xml:space="preserve">. </w:t>
      </w:r>
      <w:proofErr w:type="spellStart"/>
      <w:r w:rsidRPr="00D81626">
        <w:rPr>
          <w:lang w:val="en-US"/>
        </w:rPr>
        <w:t>Gr</w:t>
      </w:r>
      <w:r w:rsidRPr="00284B39">
        <w:rPr>
          <w:lang w:val="en-US"/>
        </w:rPr>
        <w:t>âce</w:t>
      </w:r>
      <w:proofErr w:type="spellEnd"/>
      <w:r w:rsidRPr="00284B39">
        <w:rPr>
          <w:lang w:val="en-US"/>
        </w:rPr>
        <w:t>-</w:t>
      </w:r>
      <w:proofErr w:type="spellStart"/>
      <w:r w:rsidRPr="00284B39">
        <w:rPr>
          <w:lang w:val="en-US"/>
        </w:rPr>
        <w:t>Hollogne</w:t>
      </w:r>
      <w:proofErr w:type="spellEnd"/>
      <w:r w:rsidRPr="00284B39">
        <w:rPr>
          <w:lang w:val="en-US"/>
        </w:rPr>
        <w:t xml:space="preserve">, 12 </w:t>
      </w:r>
      <w:proofErr w:type="spellStart"/>
      <w:r w:rsidRPr="00284B39">
        <w:rPr>
          <w:lang w:val="en-US"/>
        </w:rPr>
        <w:t>november</w:t>
      </w:r>
      <w:proofErr w:type="spellEnd"/>
      <w:r w:rsidRPr="00284B39">
        <w:rPr>
          <w:lang w:val="en-US"/>
        </w:rPr>
        <w:t xml:space="preserve"> 2015, </w:t>
      </w:r>
      <w:proofErr w:type="spellStart"/>
      <w:r w:rsidRPr="00284B39">
        <w:rPr>
          <w:lang w:val="en-US"/>
        </w:rPr>
        <w:t>nr</w:t>
      </w:r>
      <w:proofErr w:type="spellEnd"/>
      <w:r w:rsidRPr="00284B39">
        <w:rPr>
          <w:lang w:val="en-US"/>
        </w:rPr>
        <w:t xml:space="preserve">. 15B676, </w:t>
      </w:r>
      <w:proofErr w:type="spellStart"/>
      <w:r w:rsidRPr="00C312A4">
        <w:rPr>
          <w:i/>
          <w:lang w:val="en-US"/>
        </w:rPr>
        <w:t>onuitg</w:t>
      </w:r>
      <w:proofErr w:type="spellEnd"/>
      <w:r w:rsidRPr="00C312A4">
        <w:rPr>
          <w:i/>
          <w:lang w:val="en-US"/>
        </w:rPr>
        <w:t>.</w:t>
      </w:r>
    </w:p>
  </w:footnote>
  <w:footnote w:id="95">
    <w:p w:rsidR="003B53A7" w:rsidRPr="00746289" w:rsidRDefault="003B53A7">
      <w:pPr>
        <w:pStyle w:val="Voetnoottekst"/>
      </w:pPr>
      <w:r>
        <w:rPr>
          <w:rStyle w:val="Voetnootmarkering"/>
        </w:rPr>
        <w:footnoteRef/>
      </w:r>
      <w:r>
        <w:t>. Art. 21 Wegverkeerswet. Zie de gedetailleerde bespreking van de regelgeving bij I. BRUGGEMAN</w:t>
      </w:r>
      <w:r>
        <w:rPr>
          <w:i/>
        </w:rPr>
        <w:t>, Rijbewijs</w:t>
      </w:r>
      <w:r>
        <w:t xml:space="preserve">, Postal </w:t>
      </w:r>
      <w:proofErr w:type="spellStart"/>
      <w:r>
        <w:t>Memorialis</w:t>
      </w:r>
      <w:proofErr w:type="spellEnd"/>
      <w:r>
        <w:t>.</w:t>
      </w:r>
    </w:p>
  </w:footnote>
  <w:footnote w:id="96">
    <w:p w:rsidR="003B53A7" w:rsidRDefault="003B53A7">
      <w:pPr>
        <w:pStyle w:val="Voetnoottekst"/>
      </w:pPr>
      <w:r>
        <w:rPr>
          <w:rStyle w:val="Voetnootmarkering"/>
        </w:rPr>
        <w:footnoteRef/>
      </w:r>
      <w:r>
        <w:t xml:space="preserve"> . Richtlijn 91/439/EEG van 29 juli 1991 van de Raad betreffende het rijbewijs.</w:t>
      </w:r>
    </w:p>
  </w:footnote>
  <w:footnote w:id="97">
    <w:p w:rsidR="003B53A7" w:rsidRDefault="003B53A7">
      <w:pPr>
        <w:pStyle w:val="Voetnoottekst"/>
      </w:pPr>
      <w:r>
        <w:rPr>
          <w:rStyle w:val="Voetnootmarkering"/>
        </w:rPr>
        <w:footnoteRef/>
      </w:r>
      <w:r>
        <w:t xml:space="preserve"> . “Minimumnormen en attesten inzake de lichamelijke en geestelijke geschiktheid voor het besturen van een motorvoertuig” (bijlage 6 bij het Koninklijk besluit van 23 maart 1998 betreffende het rijbewijs, hierna afgekort als ‘Rijbewijsbesluit’).</w:t>
      </w:r>
    </w:p>
  </w:footnote>
  <w:footnote w:id="98">
    <w:p w:rsidR="003B53A7" w:rsidRDefault="003B53A7">
      <w:pPr>
        <w:pStyle w:val="Voetnoottekst"/>
      </w:pPr>
      <w:r>
        <w:rPr>
          <w:rStyle w:val="Voetnootmarkering"/>
        </w:rPr>
        <w:footnoteRef/>
      </w:r>
      <w:r>
        <w:t xml:space="preserve"> . Dat zijn de kandidaten voor het rijbewijs geldig voor het besturen van voertuigen van de categorie C1, C1+E, C, C+E, D1+E, D of D+E en de bestuurders van de voertuigen bedoeld in artikel 43 van het Rijbewijsbesluit (o.m. taxichauffeurs en ambulanciers).</w:t>
      </w:r>
    </w:p>
  </w:footnote>
  <w:footnote w:id="99">
    <w:p w:rsidR="003B53A7" w:rsidRDefault="003B53A7">
      <w:pPr>
        <w:pStyle w:val="Voetnoottekst"/>
      </w:pPr>
      <w:r>
        <w:rPr>
          <w:rStyle w:val="Voetnootmarkering"/>
        </w:rPr>
        <w:footnoteRef/>
      </w:r>
      <w:r>
        <w:t xml:space="preserve"> . Dat zijn de kandidaten voor het rijbewijs geldig voor het besturen van voertuigen van de categorie AM, A1, A2, A, B, B+E of G (zie artikel I.1.2° van bijlage 6 bij het Rijbewijsbesluit).</w:t>
      </w:r>
    </w:p>
  </w:footnote>
  <w:footnote w:id="100">
    <w:p w:rsidR="003B53A7" w:rsidRDefault="003B53A7">
      <w:pPr>
        <w:pStyle w:val="Voetnoottekst"/>
      </w:pPr>
      <w:r>
        <w:rPr>
          <w:rStyle w:val="Voetnootmarkering"/>
        </w:rPr>
        <w:footnoteRef/>
      </w:r>
      <w:r>
        <w:t xml:space="preserve"> . Art. 41, § 1 Rijbewijsbesluit.</w:t>
      </w:r>
    </w:p>
  </w:footnote>
  <w:footnote w:id="101">
    <w:p w:rsidR="003B53A7" w:rsidRPr="00374D6B" w:rsidRDefault="003B53A7">
      <w:pPr>
        <w:pStyle w:val="Voetnoottekst"/>
      </w:pPr>
      <w:r>
        <w:rPr>
          <w:rStyle w:val="Voetnootmarkering"/>
        </w:rPr>
        <w:footnoteRef/>
      </w:r>
      <w:r>
        <w:t xml:space="preserve"> . Zie de mogelijke beperkingen in model VII – ‘Rijgeschiktheidsattest voor de kandidaat voor het rijbewijs van groep 1’ (Bijlage bij het koninklijk besluit van 14 december 2016 tot omzetting van richtlijn 2015/653/EU van de commissie van 14 april 2015 tot wijziging van de richtlijn 2006/126/EG van het Europees Parlement en de Raad betreffende het rijbewijs, </w:t>
      </w:r>
      <w:r>
        <w:rPr>
          <w:i/>
        </w:rPr>
        <w:t>BS</w:t>
      </w:r>
      <w:r>
        <w:t xml:space="preserve"> 23 december 2016, ook te consulteren via </w:t>
      </w:r>
      <w:hyperlink r:id="rId7" w:history="1">
        <w:r w:rsidRPr="00381053">
          <w:rPr>
            <w:rStyle w:val="Hyperlink"/>
          </w:rPr>
          <w:t>www.wegcode.be</w:t>
        </w:r>
      </w:hyperlink>
      <w:r>
        <w:t xml:space="preserve"> ).</w:t>
      </w:r>
    </w:p>
  </w:footnote>
  <w:footnote w:id="102">
    <w:p w:rsidR="003B53A7" w:rsidRDefault="003B53A7">
      <w:pPr>
        <w:pStyle w:val="Voetnoottekst"/>
      </w:pPr>
      <w:r>
        <w:rPr>
          <w:rStyle w:val="Voetnootmarkering"/>
        </w:rPr>
        <w:footnoteRef/>
      </w:r>
      <w:r>
        <w:t xml:space="preserve"> . Art. 8.3. Wegcode.</w:t>
      </w:r>
    </w:p>
  </w:footnote>
  <w:footnote w:id="103">
    <w:p w:rsidR="003B53A7" w:rsidRDefault="003B53A7">
      <w:pPr>
        <w:pStyle w:val="Voetnoottekst"/>
      </w:pPr>
      <w:r>
        <w:rPr>
          <w:rStyle w:val="Voetnootmarkering"/>
        </w:rPr>
        <w:footnoteRef/>
      </w:r>
      <w:r>
        <w:t xml:space="preserve"> . Art 24, 1° Wegverkeerswet.</w:t>
      </w:r>
    </w:p>
  </w:footnote>
  <w:footnote w:id="104">
    <w:p w:rsidR="003B53A7" w:rsidRDefault="003B53A7">
      <w:pPr>
        <w:pStyle w:val="Voetnoottekst"/>
      </w:pPr>
      <w:r>
        <w:rPr>
          <w:rStyle w:val="Voetnootmarkering"/>
        </w:rPr>
        <w:footnoteRef/>
      </w:r>
      <w:r>
        <w:t xml:space="preserve"> . Art. 30, § 1, 4° Wegverkeerswet.</w:t>
      </w:r>
    </w:p>
  </w:footnote>
  <w:footnote w:id="105">
    <w:p w:rsidR="003B53A7" w:rsidRPr="005D4D26" w:rsidRDefault="003B53A7">
      <w:pPr>
        <w:pStyle w:val="Voetnoottekst"/>
      </w:pPr>
      <w:r>
        <w:rPr>
          <w:rStyle w:val="Voetnootmarkering"/>
        </w:rPr>
        <w:footnoteRef/>
      </w:r>
      <w:r>
        <w:t xml:space="preserve"> . Zie over de grondslag van het beroepsgeheim en de verhouding met het strafrechtelijk onderzoek: P. LAMBERT, </w:t>
      </w:r>
      <w:r>
        <w:rPr>
          <w:i/>
        </w:rPr>
        <w:t xml:space="preserve">Le </w:t>
      </w:r>
      <w:proofErr w:type="spellStart"/>
      <w:r>
        <w:rPr>
          <w:i/>
        </w:rPr>
        <w:t>secret</w:t>
      </w:r>
      <w:proofErr w:type="spellEnd"/>
      <w:r>
        <w:rPr>
          <w:i/>
        </w:rPr>
        <w:t xml:space="preserve"> </w:t>
      </w:r>
      <w:proofErr w:type="spellStart"/>
      <w:r>
        <w:rPr>
          <w:i/>
        </w:rPr>
        <w:t>professionel</w:t>
      </w:r>
      <w:proofErr w:type="spellEnd"/>
      <w:r>
        <w:t>, Brussel, Nemesis, p. 47 e.v.</w:t>
      </w:r>
    </w:p>
  </w:footnote>
  <w:footnote w:id="106">
    <w:p w:rsidR="003B53A7" w:rsidRPr="00387635" w:rsidRDefault="003B53A7">
      <w:pPr>
        <w:pStyle w:val="Voetnoottekst"/>
      </w:pPr>
      <w:r>
        <w:rPr>
          <w:rStyle w:val="Voetnootmarkering"/>
        </w:rPr>
        <w:footnoteRef/>
      </w:r>
      <w:r>
        <w:t xml:space="preserve"> . Zie over de ernst van het probleem en de limieten van preventief ingrijpen: V. FRANSSEN, “Het Leuvense parket waakt over uw veiligheid in het verkeer, maar wie waakt er over uw fundamentele rechten? De preventieve afgifte van het rijbewijs”, </w:t>
      </w:r>
      <w:r w:rsidRPr="00AB4AC7">
        <w:rPr>
          <w:i/>
        </w:rPr>
        <w:t>R.W.</w:t>
      </w:r>
      <w:r>
        <w:rPr>
          <w:i/>
        </w:rPr>
        <w:t xml:space="preserve"> </w:t>
      </w:r>
      <w:r>
        <w:t xml:space="preserve">2006-07, 1622. Zie ook de reactie op dit artikel in R. BOONE, “Recht op sturen versus recht op veiligheid”, </w:t>
      </w:r>
      <w:r>
        <w:rPr>
          <w:i/>
        </w:rPr>
        <w:t>Juristenkrant</w:t>
      </w:r>
      <w:r>
        <w:t xml:space="preserve"> 2007, nr. 151, p. 3.</w:t>
      </w:r>
    </w:p>
  </w:footnote>
  <w:footnote w:id="107">
    <w:p w:rsidR="003B53A7" w:rsidRDefault="003B53A7">
      <w:pPr>
        <w:pStyle w:val="Voetnoottekst"/>
      </w:pPr>
      <w:r>
        <w:rPr>
          <w:rStyle w:val="Voetnootmarkering"/>
        </w:rPr>
        <w:footnoteRef/>
      </w:r>
      <w:r>
        <w:t xml:space="preserve"> . Art. 30, § 1, 4° Wegverkeerswet.</w:t>
      </w:r>
    </w:p>
  </w:footnote>
  <w:footnote w:id="108">
    <w:p w:rsidR="003B53A7" w:rsidRPr="003166BD" w:rsidRDefault="003B53A7">
      <w:pPr>
        <w:pStyle w:val="Voetnoottekst"/>
      </w:pPr>
      <w:r>
        <w:rPr>
          <w:rStyle w:val="Voetnootmarkering"/>
        </w:rPr>
        <w:footnoteRef/>
      </w:r>
      <w:r>
        <w:t xml:space="preserve"> . </w:t>
      </w:r>
      <w:proofErr w:type="spellStart"/>
      <w:r>
        <w:t>Cass</w:t>
      </w:r>
      <w:proofErr w:type="spellEnd"/>
      <w:r>
        <w:t xml:space="preserve">. 26 april 2016, AR P.15.1565.N, </w:t>
      </w:r>
      <w:hyperlink r:id="rId8" w:history="1">
        <w:r w:rsidRPr="00802054">
          <w:rPr>
            <w:rStyle w:val="Hyperlink"/>
          </w:rPr>
          <w:t>www.cass.be</w:t>
        </w:r>
      </w:hyperlink>
      <w:r>
        <w:t xml:space="preserve">, besproken in C. DE ROY, “Kroniek wegverkeersrecht 2014-2016: overzicht van de belangrijkste evoluties in de rechtspraak”, </w:t>
      </w:r>
      <w:r>
        <w:rPr>
          <w:i/>
        </w:rPr>
        <w:t>R.W.</w:t>
      </w:r>
      <w:r>
        <w:t xml:space="preserve"> 2016-17, 1284.</w:t>
      </w:r>
    </w:p>
  </w:footnote>
  <w:footnote w:id="109">
    <w:p w:rsidR="003B53A7" w:rsidRDefault="003B53A7">
      <w:pPr>
        <w:pStyle w:val="Voetnoottekst"/>
      </w:pPr>
      <w:r>
        <w:rPr>
          <w:rStyle w:val="Voetnootmarkering"/>
        </w:rPr>
        <w:footnoteRef/>
      </w:r>
      <w:r>
        <w:t xml:space="preserve"> . Art. 24, 1° Wegverkeerswet.</w:t>
      </w:r>
    </w:p>
  </w:footnote>
  <w:footnote w:id="110">
    <w:p w:rsidR="003B53A7" w:rsidRDefault="003B53A7">
      <w:pPr>
        <w:pStyle w:val="Voetnoottekst"/>
      </w:pPr>
      <w:r>
        <w:rPr>
          <w:rStyle w:val="Voetnootmarkering"/>
        </w:rPr>
        <w:footnoteRef/>
      </w:r>
      <w:r>
        <w:t xml:space="preserve"> . Art. 46, 1 Rijbewijsbesluit.</w:t>
      </w:r>
    </w:p>
  </w:footnote>
  <w:footnote w:id="111">
    <w:p w:rsidR="003B53A7" w:rsidRDefault="003B53A7">
      <w:pPr>
        <w:pStyle w:val="Voetnoottekst"/>
      </w:pPr>
      <w:r>
        <w:rPr>
          <w:rStyle w:val="Voetnootmarkering"/>
        </w:rPr>
        <w:footnoteRef/>
      </w:r>
      <w:r>
        <w:t xml:space="preserve"> . Art. 42, 1 Rijbewijsbesluit.</w:t>
      </w:r>
    </w:p>
  </w:footnote>
  <w:footnote w:id="112">
    <w:p w:rsidR="003B53A7" w:rsidRDefault="003B53A7">
      <w:pPr>
        <w:pStyle w:val="Voetnoottekst"/>
      </w:pPr>
      <w:r>
        <w:rPr>
          <w:rStyle w:val="Voetnootmarkering"/>
        </w:rPr>
        <w:footnoteRef/>
      </w:r>
      <w:r>
        <w:t xml:space="preserve"> . Art. 44, 1 Rijbewijsbesluit.</w:t>
      </w:r>
    </w:p>
  </w:footnote>
  <w:footnote w:id="113">
    <w:p w:rsidR="003B53A7" w:rsidRDefault="003B53A7">
      <w:pPr>
        <w:pStyle w:val="Voetnoottekst"/>
      </w:pPr>
      <w:r>
        <w:rPr>
          <w:rStyle w:val="Voetnootmarkering"/>
        </w:rPr>
        <w:footnoteRef/>
      </w:r>
      <w:r>
        <w:t xml:space="preserve"> . Art. 44, § 4 Rijbewijsbesluit.</w:t>
      </w:r>
    </w:p>
  </w:footnote>
  <w:footnote w:id="114">
    <w:p w:rsidR="003B53A7" w:rsidRDefault="003B53A7">
      <w:pPr>
        <w:pStyle w:val="Voetnoottekst"/>
      </w:pPr>
      <w:r>
        <w:rPr>
          <w:rStyle w:val="Voetnootmarkering"/>
        </w:rPr>
        <w:footnoteRef/>
      </w:r>
      <w:r>
        <w:t>. Art. 45 Rijbewijsbesluit.</w:t>
      </w:r>
    </w:p>
  </w:footnote>
  <w:footnote w:id="115">
    <w:p w:rsidR="003B53A7" w:rsidRDefault="003B53A7">
      <w:pPr>
        <w:pStyle w:val="Voetnoottekst"/>
      </w:pPr>
      <w:r>
        <w:rPr>
          <w:rStyle w:val="Voetnootmarkering"/>
        </w:rPr>
        <w:footnoteRef/>
      </w:r>
      <w:r>
        <w:t xml:space="preserve"> . Advies van 14 december 2013 over “Rijgeschiktheid – aansprakelijkheid van een arts” en advies van 13 juli 2013 over “Rijgeschiktheid – meldingsplicht en medeverantwoordelijkheid van de arts”, </w:t>
      </w:r>
      <w:hyperlink r:id="rId9" w:history="1">
        <w:r w:rsidRPr="00762C27">
          <w:rPr>
            <w:rStyle w:val="Hyperlink"/>
          </w:rPr>
          <w:t>www.ordomedic.be</w:t>
        </w:r>
      </w:hyperlink>
      <w:r>
        <w:t xml:space="preserve">. </w:t>
      </w:r>
    </w:p>
  </w:footnote>
  <w:footnote w:id="116">
    <w:p w:rsidR="003B53A7" w:rsidRDefault="003B53A7">
      <w:pPr>
        <w:pStyle w:val="Voetnoottekst"/>
      </w:pPr>
      <w:r>
        <w:rPr>
          <w:rStyle w:val="Voetnootmarkering"/>
        </w:rPr>
        <w:footnoteRef/>
      </w:r>
      <w:r>
        <w:t>. De Nationale Raad verwijst daartoe naar de artikelen 7 en 9 Wet Patiëntenrechten.</w:t>
      </w:r>
    </w:p>
  </w:footnote>
  <w:footnote w:id="117">
    <w:p w:rsidR="003B53A7" w:rsidRDefault="003B53A7">
      <w:pPr>
        <w:pStyle w:val="Voetnoottekst"/>
      </w:pPr>
      <w:r>
        <w:rPr>
          <w:rStyle w:val="Voetnootmarkering"/>
        </w:rPr>
        <w:footnoteRef/>
      </w:r>
      <w:r>
        <w:t xml:space="preserve"> . “Rijgeschiktheidsattest voor een kandidaat van groep 1” (model VII gevoegd bij bijlage 6 bij het Rijbewijsbesluit).</w:t>
      </w:r>
    </w:p>
  </w:footnote>
  <w:footnote w:id="118">
    <w:p w:rsidR="003B53A7" w:rsidRDefault="003B53A7">
      <w:pPr>
        <w:pStyle w:val="Voetnoottekst"/>
      </w:pPr>
      <w:r>
        <w:rPr>
          <w:rStyle w:val="Voetnootmarkering"/>
        </w:rPr>
        <w:footnoteRef/>
      </w:r>
      <w:r>
        <w:t>. Art. I.4 van bijlage 6 bij het Rijbewijsbesluit.</w:t>
      </w:r>
    </w:p>
  </w:footnote>
  <w:footnote w:id="119">
    <w:p w:rsidR="003B53A7" w:rsidRDefault="003B53A7">
      <w:pPr>
        <w:pStyle w:val="Voetnoottekst"/>
      </w:pPr>
      <w:r>
        <w:rPr>
          <w:rStyle w:val="Voetnootmarkering"/>
        </w:rPr>
        <w:footnoteRef/>
      </w:r>
      <w:r>
        <w:t xml:space="preserve"> . Art. 7 § 2, al. 2 Wet Patiëntenrechten.</w:t>
      </w:r>
    </w:p>
  </w:footnote>
  <w:footnote w:id="120">
    <w:p w:rsidR="003B53A7" w:rsidRDefault="003B53A7">
      <w:pPr>
        <w:pStyle w:val="Voetnoottekst"/>
      </w:pPr>
      <w:r>
        <w:rPr>
          <w:rStyle w:val="Voetnootmarkering"/>
        </w:rPr>
        <w:footnoteRef/>
      </w:r>
      <w:r>
        <w:t xml:space="preserve"> . Art. 6 § 1 Experimentenwet.</w:t>
      </w:r>
    </w:p>
  </w:footnote>
  <w:footnote w:id="121">
    <w:p w:rsidR="003B53A7" w:rsidRDefault="003B53A7">
      <w:pPr>
        <w:pStyle w:val="Voetnoottekst"/>
      </w:pPr>
      <w:r>
        <w:rPr>
          <w:rStyle w:val="Voetnootmarkering"/>
        </w:rPr>
        <w:footnoteRef/>
      </w:r>
      <w:r>
        <w:t xml:space="preserve"> . Art. 8 § 2 Orgaantransplantatiewet.</w:t>
      </w:r>
    </w:p>
  </w:footnote>
  <w:footnote w:id="122">
    <w:p w:rsidR="003B53A7" w:rsidRDefault="003B53A7">
      <w:pPr>
        <w:pStyle w:val="Voetnoottekst"/>
      </w:pPr>
      <w:r>
        <w:rPr>
          <w:rStyle w:val="Voetnootmarkering"/>
        </w:rPr>
        <w:footnoteRef/>
      </w:r>
      <w:r>
        <w:t xml:space="preserve"> . Art. 350, al. 2, 3° </w:t>
      </w:r>
      <w:proofErr w:type="spellStart"/>
      <w:r>
        <w:t>Sw</w:t>
      </w:r>
      <w:proofErr w:type="spellEnd"/>
      <w:r>
        <w:t>.</w:t>
      </w:r>
    </w:p>
  </w:footnote>
  <w:footnote w:id="123">
    <w:p w:rsidR="003B53A7" w:rsidRDefault="003B53A7">
      <w:pPr>
        <w:pStyle w:val="Voetnoottekst"/>
      </w:pPr>
      <w:r>
        <w:rPr>
          <w:rStyle w:val="Voetnootmarkering"/>
        </w:rPr>
        <w:footnoteRef/>
      </w:r>
      <w:r>
        <w:t xml:space="preserve"> . Art. 8 § 1, al. 3 Wet Patiëntenrechten.</w:t>
      </w:r>
    </w:p>
  </w:footnote>
  <w:footnote w:id="124">
    <w:p w:rsidR="003B53A7" w:rsidRDefault="003B53A7">
      <w:pPr>
        <w:pStyle w:val="Voetnoottekst"/>
      </w:pPr>
      <w:r>
        <w:rPr>
          <w:rStyle w:val="Voetnootmarkering"/>
        </w:rPr>
        <w:footnoteRef/>
      </w:r>
      <w:r>
        <w:t xml:space="preserve"> . Over de bewijswaarde van het patiëntendossier: T. VANSWEEVELT, “Rechten met betrekking tot het patiëntendossier”, in T. VANSWEEVELT en F. DEWALLENS (</w:t>
      </w:r>
      <w:proofErr w:type="spellStart"/>
      <w:r>
        <w:t>eds</w:t>
      </w:r>
      <w:proofErr w:type="spellEnd"/>
      <w:r>
        <w:t xml:space="preserve">.), </w:t>
      </w:r>
      <w:r>
        <w:rPr>
          <w:i/>
        </w:rPr>
        <w:t>Handboek gezondheidsrecht</w:t>
      </w:r>
      <w:r>
        <w:t xml:space="preserve">, Volume II, Antwerpen, </w:t>
      </w:r>
      <w:proofErr w:type="spellStart"/>
      <w:r>
        <w:t>Intersentia</w:t>
      </w:r>
      <w:proofErr w:type="spellEnd"/>
      <w:r>
        <w:t>, 2014, nr.1162.</w:t>
      </w:r>
    </w:p>
  </w:footnote>
  <w:footnote w:id="125">
    <w:p w:rsidR="003B53A7" w:rsidRPr="0071581D" w:rsidRDefault="003B53A7">
      <w:pPr>
        <w:pStyle w:val="Voetnoottekst"/>
      </w:pPr>
      <w:r>
        <w:rPr>
          <w:rStyle w:val="Voetnootmarkering"/>
        </w:rPr>
        <w:footnoteRef/>
      </w:r>
      <w:r>
        <w:t xml:space="preserve"> . Gelet op de ondeelbaarheid van het openbaar Ministerie, mag worden aangenomen dat met een melding aan de Procureur des Konings een melding aan een magistraat van het Openbaar Ministerie wordt bedoeld. Zie over de interpretatie van art. 458</w:t>
      </w:r>
      <w:r>
        <w:rPr>
          <w:i/>
        </w:rPr>
        <w:t>bis</w:t>
      </w:r>
      <w:r>
        <w:t xml:space="preserve"> </w:t>
      </w:r>
      <w:proofErr w:type="spellStart"/>
      <w:r>
        <w:t>Sw</w:t>
      </w:r>
      <w:proofErr w:type="spellEnd"/>
      <w:r>
        <w:t xml:space="preserve">. in dit verband: P. TRAEST, “Enkele aspecten van schuldig verzuim”, </w:t>
      </w:r>
      <w:r>
        <w:rPr>
          <w:i/>
        </w:rPr>
        <w:t>TORB</w:t>
      </w:r>
      <w:r>
        <w:t xml:space="preserve"> 2011-12 en I. VAN DER STRAETE en J. PUT, “Het nieuwe artikel 458</w:t>
      </w:r>
      <w:r>
        <w:rPr>
          <w:i/>
        </w:rPr>
        <w:t>bis</w:t>
      </w:r>
      <w:r>
        <w:t xml:space="preserve"> van het Strafwetboek: wettelijke mogelijkheid tot doorbreking van het beroepsgeheim bij kindermishandeling”, </w:t>
      </w:r>
      <w:proofErr w:type="spellStart"/>
      <w:r>
        <w:rPr>
          <w:i/>
        </w:rPr>
        <w:t>Medi</w:t>
      </w:r>
      <w:proofErr w:type="spellEnd"/>
      <w:r>
        <w:rPr>
          <w:i/>
        </w:rPr>
        <w:t>-Ius</w:t>
      </w:r>
      <w:r>
        <w:t xml:space="preserve"> 2011, 13.</w:t>
      </w:r>
    </w:p>
  </w:footnote>
  <w:footnote w:id="126">
    <w:p w:rsidR="003B53A7" w:rsidRPr="00012A02" w:rsidRDefault="003B53A7">
      <w:pPr>
        <w:pStyle w:val="Voetnoottekst"/>
      </w:pPr>
      <w:r>
        <w:rPr>
          <w:rStyle w:val="Voetnootmarkering"/>
        </w:rPr>
        <w:footnoteRef/>
      </w:r>
      <w:r>
        <w:t xml:space="preserve"> . Zie over de toepassing van de leer van de noodtoestand op het beroepsgeheim in het algemeen: F. BLOCKX, </w:t>
      </w:r>
      <w:r>
        <w:rPr>
          <w:i/>
        </w:rPr>
        <w:t>Beroepsgeheim</w:t>
      </w:r>
      <w:r>
        <w:t xml:space="preserve">, Antwerpen, </w:t>
      </w:r>
      <w:proofErr w:type="spellStart"/>
      <w:r>
        <w:t>Intersentia</w:t>
      </w:r>
      <w:proofErr w:type="spellEnd"/>
      <w:r>
        <w:t>, 2013, 459 e.v.</w:t>
      </w:r>
    </w:p>
  </w:footnote>
  <w:footnote w:id="127">
    <w:p w:rsidR="003B53A7" w:rsidRDefault="003B53A7">
      <w:pPr>
        <w:pStyle w:val="Voetnoottekst"/>
      </w:pPr>
      <w:r>
        <w:rPr>
          <w:rStyle w:val="Voetnootmarkering"/>
        </w:rPr>
        <w:footnoteRef/>
      </w:r>
      <w:r>
        <w:t xml:space="preserve"> . Advies van 15 december 1990 over “Beroepsgeheim – rijbewijs” van 21 maart 1962 over “Rijbewijs – Beroepsgeheim”, </w:t>
      </w:r>
      <w:hyperlink r:id="rId10" w:history="1">
        <w:r w:rsidRPr="00A85434">
          <w:rPr>
            <w:rStyle w:val="Hyperlink"/>
          </w:rPr>
          <w:t>www.ordomedic.be</w:t>
        </w:r>
      </w:hyperlink>
      <w:r>
        <w:t xml:space="preserve">. </w:t>
      </w:r>
    </w:p>
  </w:footnote>
  <w:footnote w:id="128">
    <w:p w:rsidR="003B53A7" w:rsidRDefault="003B53A7">
      <w:pPr>
        <w:pStyle w:val="Voetnoottekst"/>
      </w:pPr>
      <w:r>
        <w:rPr>
          <w:rStyle w:val="Voetnootmarkering"/>
        </w:rPr>
        <w:footnoteRef/>
      </w:r>
      <w:r>
        <w:t xml:space="preserve"> . </w:t>
      </w:r>
      <w:proofErr w:type="spellStart"/>
      <w:r>
        <w:t>Vred</w:t>
      </w:r>
      <w:proofErr w:type="spellEnd"/>
      <w:r>
        <w:t xml:space="preserve">. Neerpelt-Lommel 20 januari 2015, </w:t>
      </w:r>
      <w:r w:rsidRPr="00F457B2">
        <w:rPr>
          <w:i/>
        </w:rPr>
        <w:t xml:space="preserve">T. </w:t>
      </w:r>
      <w:proofErr w:type="spellStart"/>
      <w:r w:rsidRPr="00F457B2">
        <w:rPr>
          <w:i/>
        </w:rPr>
        <w:t>Vred</w:t>
      </w:r>
      <w:proofErr w:type="spellEnd"/>
      <w:r w:rsidRPr="00F457B2">
        <w:rPr>
          <w:i/>
        </w:rPr>
        <w:t>.</w:t>
      </w:r>
      <w:r>
        <w:t xml:space="preserve"> 2015, 313.</w:t>
      </w:r>
    </w:p>
  </w:footnote>
  <w:footnote w:id="129">
    <w:p w:rsidR="003B53A7" w:rsidRDefault="003B53A7">
      <w:pPr>
        <w:pStyle w:val="Voetnoottekst"/>
      </w:pPr>
      <w:r>
        <w:rPr>
          <w:rStyle w:val="Voetnootmarkering"/>
        </w:rPr>
        <w:footnoteRef/>
      </w:r>
      <w:r w:rsidR="005037CF">
        <w:t xml:space="preserve"> . Zie hieronder nr. 75.</w:t>
      </w:r>
    </w:p>
  </w:footnote>
  <w:footnote w:id="130">
    <w:p w:rsidR="003B53A7" w:rsidRPr="006969A9" w:rsidRDefault="003B53A7">
      <w:pPr>
        <w:pStyle w:val="Voetnoottekst"/>
      </w:pPr>
      <w:r>
        <w:rPr>
          <w:rStyle w:val="Voetnootmarkering"/>
        </w:rPr>
        <w:footnoteRef/>
      </w:r>
      <w:r>
        <w:t xml:space="preserve"> . Zie over de toepassing van dit artikel: P. GALAND, “</w:t>
      </w:r>
      <w:proofErr w:type="spellStart"/>
      <w:r>
        <w:t>L’aptitude</w:t>
      </w:r>
      <w:proofErr w:type="spellEnd"/>
      <w:r>
        <w:t xml:space="preserve"> à la conduite au sens du Code de la route et la </w:t>
      </w:r>
      <w:proofErr w:type="spellStart"/>
      <w:r>
        <w:t>nation</w:t>
      </w:r>
      <w:proofErr w:type="spellEnd"/>
      <w:r>
        <w:t xml:space="preserve"> de </w:t>
      </w:r>
      <w:proofErr w:type="spellStart"/>
      <w:r>
        <w:t>cas</w:t>
      </w:r>
      <w:proofErr w:type="spellEnd"/>
      <w:r>
        <w:t xml:space="preserve"> </w:t>
      </w:r>
      <w:proofErr w:type="spellStart"/>
      <w:r>
        <w:t>fortuit</w:t>
      </w:r>
      <w:proofErr w:type="spellEnd"/>
      <w:r>
        <w:t xml:space="preserve">”, </w:t>
      </w:r>
      <w:r w:rsidRPr="006969A9">
        <w:rPr>
          <w:i/>
        </w:rPr>
        <w:t>R.G.A.R.</w:t>
      </w:r>
      <w:r>
        <w:rPr>
          <w:i/>
        </w:rPr>
        <w:t xml:space="preserve"> </w:t>
      </w:r>
      <w:r>
        <w:t xml:space="preserve">1999, nr. 13.062; A. VANDEPLAS, “Over ontzegging van rijbevoegdheid”, </w:t>
      </w:r>
      <w:r>
        <w:rPr>
          <w:i/>
        </w:rPr>
        <w:t>R.W.</w:t>
      </w:r>
      <w:r>
        <w:t xml:space="preserve"> 1993-94, 1234; A. VANDEPLAS, “Het verval van het recht tot sturen”, </w:t>
      </w:r>
      <w:r>
        <w:rPr>
          <w:i/>
        </w:rPr>
        <w:t>R.W.</w:t>
      </w:r>
      <w:r>
        <w:t xml:space="preserve"> 1986-87, 302</w:t>
      </w:r>
    </w:p>
  </w:footnote>
  <w:footnote w:id="131">
    <w:p w:rsidR="003B53A7" w:rsidRDefault="003B53A7">
      <w:pPr>
        <w:pStyle w:val="Voetnoottekst"/>
      </w:pPr>
      <w:r>
        <w:rPr>
          <w:rStyle w:val="Voetnootmarkering"/>
        </w:rPr>
        <w:footnoteRef/>
      </w:r>
      <w:r>
        <w:t xml:space="preserve"> . Art. 43 Wegverkeerswet.</w:t>
      </w:r>
    </w:p>
  </w:footnote>
  <w:footnote w:id="132">
    <w:p w:rsidR="003B53A7" w:rsidRPr="00982177" w:rsidRDefault="003B53A7">
      <w:pPr>
        <w:pStyle w:val="Voetnoottekst"/>
        <w:rPr>
          <w:lang w:val="en-US"/>
        </w:rPr>
      </w:pPr>
      <w:r>
        <w:rPr>
          <w:rStyle w:val="Voetnootmarkering"/>
        </w:rPr>
        <w:footnoteRef/>
      </w:r>
      <w:r w:rsidRPr="00982177">
        <w:t xml:space="preserve"> . </w:t>
      </w:r>
      <w:proofErr w:type="spellStart"/>
      <w:r w:rsidRPr="002F3436">
        <w:t>Cass</w:t>
      </w:r>
      <w:proofErr w:type="spellEnd"/>
      <w:r w:rsidRPr="002F3436">
        <w:t xml:space="preserve">. 31 oktober 2001, </w:t>
      </w:r>
      <w:r w:rsidRPr="002F3436">
        <w:rPr>
          <w:i/>
        </w:rPr>
        <w:t xml:space="preserve">Arr. </w:t>
      </w:r>
      <w:r w:rsidRPr="00982177">
        <w:rPr>
          <w:i/>
          <w:lang w:val="en-US"/>
        </w:rPr>
        <w:t xml:space="preserve">Cass. </w:t>
      </w:r>
      <w:r w:rsidRPr="00982177">
        <w:rPr>
          <w:lang w:val="en-US"/>
        </w:rPr>
        <w:t xml:space="preserve">2001, 1821. </w:t>
      </w:r>
      <w:proofErr w:type="spellStart"/>
      <w:r w:rsidRPr="00982177">
        <w:rPr>
          <w:lang w:val="en-US"/>
        </w:rPr>
        <w:t>Cas</w:t>
      </w:r>
      <w:proofErr w:type="spellEnd"/>
      <w:r w:rsidRPr="00982177">
        <w:rPr>
          <w:lang w:val="en-US"/>
        </w:rPr>
        <w:t xml:space="preserve">., 11 </w:t>
      </w:r>
      <w:proofErr w:type="spellStart"/>
      <w:r w:rsidRPr="00982177">
        <w:rPr>
          <w:lang w:val="en-US"/>
        </w:rPr>
        <w:t>mei</w:t>
      </w:r>
      <w:proofErr w:type="spellEnd"/>
      <w:r w:rsidRPr="00982177">
        <w:rPr>
          <w:lang w:val="en-US"/>
        </w:rPr>
        <w:t xml:space="preserve"> 2010, </w:t>
      </w:r>
      <w:r w:rsidRPr="00982177">
        <w:rPr>
          <w:i/>
          <w:lang w:val="en-US"/>
        </w:rPr>
        <w:t>Arr. Cass.</w:t>
      </w:r>
      <w:r w:rsidRPr="00982177">
        <w:rPr>
          <w:lang w:val="en-US"/>
        </w:rPr>
        <w:t xml:space="preserve"> 2010, 1367.</w:t>
      </w:r>
    </w:p>
  </w:footnote>
  <w:footnote w:id="133">
    <w:p w:rsidR="003B53A7" w:rsidRDefault="003B53A7">
      <w:pPr>
        <w:pStyle w:val="Voetnoottekst"/>
      </w:pPr>
      <w:r>
        <w:rPr>
          <w:rStyle w:val="Voetnootmarkering"/>
        </w:rPr>
        <w:footnoteRef/>
      </w:r>
      <w:r w:rsidR="005037CF">
        <w:t xml:space="preserve"> . Zie hieronder nr. 81.</w:t>
      </w:r>
    </w:p>
  </w:footnote>
  <w:footnote w:id="134">
    <w:p w:rsidR="003B53A7" w:rsidRDefault="003B53A7">
      <w:pPr>
        <w:pStyle w:val="Voetnoottekst"/>
      </w:pPr>
      <w:r>
        <w:rPr>
          <w:rStyle w:val="Voetnootmarkering"/>
        </w:rPr>
        <w:footnoteRef/>
      </w:r>
      <w:r w:rsidR="005037CF">
        <w:t xml:space="preserve"> . Zie hierboven nr. 65.</w:t>
      </w:r>
    </w:p>
  </w:footnote>
  <w:footnote w:id="135">
    <w:p w:rsidR="003B53A7" w:rsidRPr="002F3436" w:rsidRDefault="003B53A7" w:rsidP="00BC6D30">
      <w:pPr>
        <w:pStyle w:val="Voetnoottekst"/>
      </w:pPr>
      <w:r>
        <w:rPr>
          <w:rStyle w:val="Voetnootmarkering"/>
        </w:rPr>
        <w:footnoteRef/>
      </w:r>
      <w:r w:rsidRPr="002F3436">
        <w:t xml:space="preserve"> . </w:t>
      </w:r>
      <w:proofErr w:type="spellStart"/>
      <w:r w:rsidRPr="002F3436">
        <w:t>Cass</w:t>
      </w:r>
      <w:proofErr w:type="spellEnd"/>
      <w:r w:rsidRPr="002F3436">
        <w:t xml:space="preserve">. 30 januari 2007, </w:t>
      </w:r>
      <w:r w:rsidRPr="002F3436">
        <w:rPr>
          <w:i/>
        </w:rPr>
        <w:t xml:space="preserve">Arr. </w:t>
      </w:r>
      <w:proofErr w:type="spellStart"/>
      <w:r w:rsidRPr="002F3436">
        <w:rPr>
          <w:i/>
        </w:rPr>
        <w:t>Cass</w:t>
      </w:r>
      <w:proofErr w:type="spellEnd"/>
      <w:r w:rsidRPr="002F3436">
        <w:rPr>
          <w:i/>
        </w:rPr>
        <w:t>.</w:t>
      </w:r>
      <w:r w:rsidRPr="002F3436">
        <w:t xml:space="preserve"> 2007, 250.</w:t>
      </w:r>
    </w:p>
  </w:footnote>
  <w:footnote w:id="136">
    <w:p w:rsidR="003B53A7" w:rsidRPr="00A63BD1" w:rsidRDefault="003B53A7">
      <w:pPr>
        <w:pStyle w:val="Voetnoottekst"/>
      </w:pPr>
      <w:r>
        <w:rPr>
          <w:rStyle w:val="Voetnootmarkering"/>
        </w:rPr>
        <w:footnoteRef/>
      </w:r>
      <w:r w:rsidRPr="002F3436">
        <w:t xml:space="preserve"> . </w:t>
      </w:r>
      <w:r w:rsidRPr="00A63BD1">
        <w:t xml:space="preserve">Art. </w:t>
      </w:r>
      <w:r>
        <w:t>IV.2.2</w:t>
      </w:r>
      <w:r w:rsidRPr="00A63BD1">
        <w:t>. van bijlage 6 bij het Rijbewijsbesluit.</w:t>
      </w:r>
    </w:p>
  </w:footnote>
  <w:footnote w:id="137">
    <w:p w:rsidR="003B53A7" w:rsidRPr="00A63BD1" w:rsidRDefault="003B53A7">
      <w:pPr>
        <w:pStyle w:val="Voetnoottekst"/>
      </w:pPr>
      <w:r>
        <w:rPr>
          <w:rStyle w:val="Voetnootmarkering"/>
        </w:rPr>
        <w:footnoteRef/>
      </w:r>
      <w:r w:rsidRPr="002F3436">
        <w:t xml:space="preserve"> . </w:t>
      </w:r>
      <w:r w:rsidRPr="00A63BD1">
        <w:t xml:space="preserve">Art. IV.2.3. van bijlage 6 bij het Rijbewijsbesluit. </w:t>
      </w:r>
    </w:p>
  </w:footnote>
  <w:footnote w:id="138">
    <w:p w:rsidR="003B53A7" w:rsidRPr="009748B5" w:rsidRDefault="003B53A7">
      <w:pPr>
        <w:pStyle w:val="Voetnoottekst"/>
      </w:pPr>
      <w:r>
        <w:rPr>
          <w:rStyle w:val="Voetnootmarkering"/>
        </w:rPr>
        <w:footnoteRef/>
      </w:r>
      <w:r w:rsidRPr="009748B5">
        <w:t xml:space="preserve"> . </w:t>
      </w:r>
      <w:proofErr w:type="spellStart"/>
      <w:r w:rsidRPr="009748B5">
        <w:t>Cass</w:t>
      </w:r>
      <w:proofErr w:type="spellEnd"/>
      <w:r w:rsidRPr="009748B5">
        <w:t xml:space="preserve">. 30 november 2010, </w:t>
      </w:r>
      <w:r w:rsidRPr="009748B5">
        <w:rPr>
          <w:i/>
        </w:rPr>
        <w:t xml:space="preserve">Arr. </w:t>
      </w:r>
      <w:proofErr w:type="spellStart"/>
      <w:r w:rsidRPr="009748B5">
        <w:rPr>
          <w:i/>
        </w:rPr>
        <w:t>Cass</w:t>
      </w:r>
      <w:proofErr w:type="spellEnd"/>
      <w:r w:rsidRPr="009748B5">
        <w:rPr>
          <w:i/>
        </w:rPr>
        <w:t>.</w:t>
      </w:r>
      <w:r w:rsidRPr="009748B5">
        <w:t xml:space="preserve"> 2010, 2859.</w:t>
      </w:r>
    </w:p>
  </w:footnote>
  <w:footnote w:id="139">
    <w:p w:rsidR="003B53A7" w:rsidRDefault="003B53A7">
      <w:pPr>
        <w:pStyle w:val="Voetnoottekst"/>
      </w:pPr>
      <w:r>
        <w:rPr>
          <w:rStyle w:val="Voetnootmarkering"/>
        </w:rPr>
        <w:footnoteRef/>
      </w:r>
      <w:r>
        <w:t xml:space="preserve"> . Zie hierboven nr. 32.</w:t>
      </w:r>
    </w:p>
  </w:footnote>
  <w:footnote w:id="140">
    <w:p w:rsidR="003B53A7" w:rsidRPr="00982177" w:rsidRDefault="003B53A7">
      <w:pPr>
        <w:pStyle w:val="Voetnoottekst"/>
      </w:pPr>
      <w:r>
        <w:rPr>
          <w:rStyle w:val="Voetnootmarkering"/>
        </w:rPr>
        <w:footnoteRef/>
      </w:r>
      <w:r w:rsidRPr="000237DF">
        <w:t xml:space="preserve"> . </w:t>
      </w:r>
      <w:proofErr w:type="spellStart"/>
      <w:r w:rsidRPr="000237DF">
        <w:t>Corr</w:t>
      </w:r>
      <w:proofErr w:type="spellEnd"/>
      <w:r w:rsidRPr="000237DF">
        <w:t xml:space="preserve">. </w:t>
      </w:r>
      <w:r w:rsidRPr="00982177">
        <w:t xml:space="preserve">Antwerpen 28 januari 2013, </w:t>
      </w:r>
      <w:r w:rsidRPr="00982177">
        <w:rPr>
          <w:i/>
        </w:rPr>
        <w:t>RW</w:t>
      </w:r>
      <w:r w:rsidRPr="00982177">
        <w:t xml:space="preserve"> 2014-15, 713.</w:t>
      </w:r>
    </w:p>
  </w:footnote>
  <w:footnote w:id="141">
    <w:p w:rsidR="003B53A7" w:rsidRPr="00C17293" w:rsidRDefault="003B53A7">
      <w:pPr>
        <w:pStyle w:val="Voetnoottekst"/>
        <w:rPr>
          <w:lang w:val="en-US"/>
        </w:rPr>
      </w:pPr>
      <w:r>
        <w:rPr>
          <w:rStyle w:val="Voetnootmarkering"/>
        </w:rPr>
        <w:footnoteRef/>
      </w:r>
      <w:r w:rsidRPr="00982177">
        <w:t xml:space="preserve"> . </w:t>
      </w:r>
      <w:proofErr w:type="spellStart"/>
      <w:r w:rsidRPr="00982177">
        <w:t>Cass</w:t>
      </w:r>
      <w:proofErr w:type="spellEnd"/>
      <w:r w:rsidRPr="00982177">
        <w:t xml:space="preserve">. 22 maart 2015, </w:t>
      </w:r>
      <w:r w:rsidRPr="00982177">
        <w:rPr>
          <w:i/>
        </w:rPr>
        <w:t>VAV</w:t>
      </w:r>
      <w:r w:rsidRPr="00982177">
        <w:t xml:space="preserve"> 2016, 72. </w:t>
      </w:r>
      <w:r w:rsidRPr="009748B5">
        <w:rPr>
          <w:lang w:val="en-US"/>
        </w:rPr>
        <w:t xml:space="preserve">Cass. 9 </w:t>
      </w:r>
      <w:proofErr w:type="spellStart"/>
      <w:r w:rsidRPr="009748B5">
        <w:rPr>
          <w:lang w:val="en-US"/>
        </w:rPr>
        <w:t>februa</w:t>
      </w:r>
      <w:r>
        <w:rPr>
          <w:lang w:val="en-US"/>
        </w:rPr>
        <w:t>ri</w:t>
      </w:r>
      <w:proofErr w:type="spellEnd"/>
      <w:r>
        <w:rPr>
          <w:lang w:val="en-US"/>
        </w:rPr>
        <w:t xml:space="preserve"> 2000, </w:t>
      </w:r>
      <w:r>
        <w:rPr>
          <w:i/>
          <w:lang w:val="en-US"/>
        </w:rPr>
        <w:t>Arr. Cass.</w:t>
      </w:r>
      <w:r>
        <w:rPr>
          <w:lang w:val="en-US"/>
        </w:rPr>
        <w:t xml:space="preserve"> 2000, 371.</w:t>
      </w:r>
    </w:p>
  </w:footnote>
  <w:footnote w:id="142">
    <w:p w:rsidR="003B53A7" w:rsidRPr="00982177" w:rsidRDefault="003B53A7">
      <w:pPr>
        <w:pStyle w:val="Voetnoottekst"/>
      </w:pPr>
      <w:r>
        <w:rPr>
          <w:rStyle w:val="Voetnootmarkering"/>
        </w:rPr>
        <w:footnoteRef/>
      </w:r>
      <w:r w:rsidRPr="00E4477F">
        <w:rPr>
          <w:lang w:val="en-US"/>
        </w:rPr>
        <w:t xml:space="preserve"> . Cass. 14 </w:t>
      </w:r>
      <w:proofErr w:type="spellStart"/>
      <w:r w:rsidRPr="00E4477F">
        <w:rPr>
          <w:lang w:val="en-US"/>
        </w:rPr>
        <w:t>september</w:t>
      </w:r>
      <w:proofErr w:type="spellEnd"/>
      <w:r w:rsidRPr="00E4477F">
        <w:rPr>
          <w:lang w:val="en-US"/>
        </w:rPr>
        <w:t xml:space="preserve"> 2005, </w:t>
      </w:r>
      <w:r w:rsidRPr="00E4477F">
        <w:rPr>
          <w:i/>
          <w:lang w:val="en-US"/>
        </w:rPr>
        <w:t>Ar</w:t>
      </w:r>
      <w:r w:rsidRPr="00A63BD1">
        <w:rPr>
          <w:i/>
          <w:lang w:val="en-US"/>
        </w:rPr>
        <w:t xml:space="preserve">r. </w:t>
      </w:r>
      <w:proofErr w:type="spellStart"/>
      <w:r w:rsidRPr="00982177">
        <w:rPr>
          <w:i/>
        </w:rPr>
        <w:t>Cass</w:t>
      </w:r>
      <w:proofErr w:type="spellEnd"/>
      <w:r w:rsidRPr="00982177">
        <w:rPr>
          <w:i/>
        </w:rPr>
        <w:t xml:space="preserve">. </w:t>
      </w:r>
      <w:r w:rsidRPr="00982177">
        <w:t>2005, 1635.</w:t>
      </w:r>
    </w:p>
  </w:footnote>
  <w:footnote w:id="143">
    <w:p w:rsidR="003B53A7" w:rsidRPr="00982177" w:rsidRDefault="003B53A7">
      <w:pPr>
        <w:pStyle w:val="Voetnoottekst"/>
      </w:pPr>
      <w:r>
        <w:rPr>
          <w:rStyle w:val="Voetnootmarkering"/>
        </w:rPr>
        <w:footnoteRef/>
      </w:r>
      <w:r w:rsidRPr="00982177">
        <w:t xml:space="preserve"> . </w:t>
      </w:r>
      <w:proofErr w:type="spellStart"/>
      <w:r w:rsidRPr="00982177">
        <w:t>Cass</w:t>
      </w:r>
      <w:proofErr w:type="spellEnd"/>
      <w:r w:rsidRPr="00982177">
        <w:t xml:space="preserve">. 8 november 2005, </w:t>
      </w:r>
      <w:r w:rsidRPr="00982177">
        <w:rPr>
          <w:i/>
        </w:rPr>
        <w:t>R.W.</w:t>
      </w:r>
      <w:r w:rsidRPr="00982177">
        <w:t xml:space="preserve"> 2006-07, 135, met noot M. STERKENS.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A7" w:rsidRDefault="003B53A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75181"/>
      <w:docPartObj>
        <w:docPartGallery w:val="Page Numbers (Top of Page)"/>
        <w:docPartUnique/>
      </w:docPartObj>
    </w:sdtPr>
    <w:sdtEndPr/>
    <w:sdtContent>
      <w:p w:rsidR="003B53A7" w:rsidRDefault="003B53A7">
        <w:pPr>
          <w:pStyle w:val="Koptekst"/>
          <w:jc w:val="right"/>
        </w:pPr>
        <w:r>
          <w:fldChar w:fldCharType="begin"/>
        </w:r>
        <w:r>
          <w:instrText>PAGE   \* MERGEFORMAT</w:instrText>
        </w:r>
        <w:r>
          <w:fldChar w:fldCharType="separate"/>
        </w:r>
        <w:r w:rsidR="00E71329" w:rsidRPr="00E71329">
          <w:rPr>
            <w:noProof/>
            <w:lang w:val="nl-NL"/>
          </w:rPr>
          <w:t>30</w:t>
        </w:r>
        <w:r>
          <w:fldChar w:fldCharType="end"/>
        </w:r>
      </w:p>
    </w:sdtContent>
  </w:sdt>
  <w:p w:rsidR="003B53A7" w:rsidRDefault="003B53A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3A7" w:rsidRDefault="003B53A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93F7A"/>
    <w:multiLevelType w:val="hybridMultilevel"/>
    <w:tmpl w:val="37D0972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E70F60"/>
    <w:multiLevelType w:val="hybridMultilevel"/>
    <w:tmpl w:val="B4DE44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F4459CE"/>
    <w:multiLevelType w:val="hybridMultilevel"/>
    <w:tmpl w:val="7B7CE3F0"/>
    <w:lvl w:ilvl="0" w:tplc="DFAC7F9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267952"/>
    <w:multiLevelType w:val="hybridMultilevel"/>
    <w:tmpl w:val="9F26EFA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5B74420"/>
    <w:multiLevelType w:val="hybridMultilevel"/>
    <w:tmpl w:val="744E50C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0E4792F"/>
    <w:multiLevelType w:val="hybridMultilevel"/>
    <w:tmpl w:val="539E33F6"/>
    <w:lvl w:ilvl="0" w:tplc="12D6D8CA">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06F4D98"/>
    <w:multiLevelType w:val="hybridMultilevel"/>
    <w:tmpl w:val="9FC4A1BA"/>
    <w:lvl w:ilvl="0" w:tplc="BF7C6B0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8804B3"/>
    <w:multiLevelType w:val="hybridMultilevel"/>
    <w:tmpl w:val="CE5E93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9F245E4"/>
    <w:multiLevelType w:val="hybridMultilevel"/>
    <w:tmpl w:val="E3502E4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48E2D1D"/>
    <w:multiLevelType w:val="hybridMultilevel"/>
    <w:tmpl w:val="7464A4C2"/>
    <w:lvl w:ilvl="0" w:tplc="2396B3D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C89565E"/>
    <w:multiLevelType w:val="hybridMultilevel"/>
    <w:tmpl w:val="39DE746E"/>
    <w:lvl w:ilvl="0" w:tplc="3F5C0A5C">
      <w:start w:val="1"/>
      <w:numFmt w:val="upperLetter"/>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24140B5"/>
    <w:multiLevelType w:val="hybridMultilevel"/>
    <w:tmpl w:val="C4EC1548"/>
    <w:lvl w:ilvl="0" w:tplc="2C984F8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7BA3562"/>
    <w:multiLevelType w:val="hybridMultilevel"/>
    <w:tmpl w:val="FC7CB0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AAD6B4A"/>
    <w:multiLevelType w:val="hybridMultilevel"/>
    <w:tmpl w:val="65583B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B6F6DB0"/>
    <w:multiLevelType w:val="hybridMultilevel"/>
    <w:tmpl w:val="F300F222"/>
    <w:lvl w:ilvl="0" w:tplc="481CEF6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D6B22D3"/>
    <w:multiLevelType w:val="hybridMultilevel"/>
    <w:tmpl w:val="888E3784"/>
    <w:lvl w:ilvl="0" w:tplc="F9BC5348">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628A2407"/>
    <w:multiLevelType w:val="hybridMultilevel"/>
    <w:tmpl w:val="A1E8D3B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5652073"/>
    <w:multiLevelType w:val="hybridMultilevel"/>
    <w:tmpl w:val="1BC47B6C"/>
    <w:lvl w:ilvl="0" w:tplc="E61A10BA">
      <w:start w:val="90"/>
      <w:numFmt w:val="decimal"/>
      <w:lvlText w:val="%1."/>
      <w:lvlJc w:val="left"/>
      <w:pPr>
        <w:ind w:left="1080" w:hanging="360"/>
      </w:pPr>
      <w:rPr>
        <w:rFonts w:hint="default"/>
        <w:b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70C804A9"/>
    <w:multiLevelType w:val="hybridMultilevel"/>
    <w:tmpl w:val="EB84CA2C"/>
    <w:lvl w:ilvl="0" w:tplc="675CCF5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5375A0"/>
    <w:multiLevelType w:val="hybridMultilevel"/>
    <w:tmpl w:val="EEA6066A"/>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5307FEB"/>
    <w:multiLevelType w:val="hybridMultilevel"/>
    <w:tmpl w:val="56B28342"/>
    <w:lvl w:ilvl="0" w:tplc="C3CE2ACC">
      <w:start w:val="1"/>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2"/>
  </w:num>
  <w:num w:numId="5">
    <w:abstractNumId w:val="6"/>
  </w:num>
  <w:num w:numId="6">
    <w:abstractNumId w:val="1"/>
  </w:num>
  <w:num w:numId="7">
    <w:abstractNumId w:val="3"/>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0"/>
  </w:num>
  <w:num w:numId="12">
    <w:abstractNumId w:val="14"/>
  </w:num>
  <w:num w:numId="13">
    <w:abstractNumId w:val="12"/>
  </w:num>
  <w:num w:numId="14">
    <w:abstractNumId w:val="16"/>
  </w:num>
  <w:num w:numId="15">
    <w:abstractNumId w:val="0"/>
  </w:num>
  <w:num w:numId="16">
    <w:abstractNumId w:val="18"/>
  </w:num>
  <w:num w:numId="17">
    <w:abstractNumId w:val="11"/>
  </w:num>
  <w:num w:numId="18">
    <w:abstractNumId w:val="15"/>
  </w:num>
  <w:num w:numId="19">
    <w:abstractNumId w:val="4"/>
  </w:num>
  <w:num w:numId="20">
    <w:abstractNumId w:val="13"/>
  </w:num>
  <w:num w:numId="21">
    <w:abstractNumId w:val="1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6E"/>
    <w:rsid w:val="00004425"/>
    <w:rsid w:val="000078E8"/>
    <w:rsid w:val="00011540"/>
    <w:rsid w:val="00012A02"/>
    <w:rsid w:val="000237DF"/>
    <w:rsid w:val="00052940"/>
    <w:rsid w:val="000622FB"/>
    <w:rsid w:val="00064B74"/>
    <w:rsid w:val="00065383"/>
    <w:rsid w:val="00070E4F"/>
    <w:rsid w:val="00077268"/>
    <w:rsid w:val="00082265"/>
    <w:rsid w:val="00082C4E"/>
    <w:rsid w:val="00085632"/>
    <w:rsid w:val="00086607"/>
    <w:rsid w:val="000956B1"/>
    <w:rsid w:val="00095761"/>
    <w:rsid w:val="00097E02"/>
    <w:rsid w:val="000A0A54"/>
    <w:rsid w:val="000C3EFB"/>
    <w:rsid w:val="000C54EB"/>
    <w:rsid w:val="000E199A"/>
    <w:rsid w:val="000E2A45"/>
    <w:rsid w:val="000E53EB"/>
    <w:rsid w:val="000E6EF9"/>
    <w:rsid w:val="000F04EB"/>
    <w:rsid w:val="000F3793"/>
    <w:rsid w:val="0010045D"/>
    <w:rsid w:val="00100D9B"/>
    <w:rsid w:val="00111D52"/>
    <w:rsid w:val="00114CEF"/>
    <w:rsid w:val="001214E9"/>
    <w:rsid w:val="0012429E"/>
    <w:rsid w:val="0012677C"/>
    <w:rsid w:val="0013110D"/>
    <w:rsid w:val="00137D32"/>
    <w:rsid w:val="0014327A"/>
    <w:rsid w:val="00146EC3"/>
    <w:rsid w:val="001529D4"/>
    <w:rsid w:val="001538CC"/>
    <w:rsid w:val="001671BD"/>
    <w:rsid w:val="001742C5"/>
    <w:rsid w:val="00184396"/>
    <w:rsid w:val="001859BA"/>
    <w:rsid w:val="00193EC9"/>
    <w:rsid w:val="001951B1"/>
    <w:rsid w:val="001A1852"/>
    <w:rsid w:val="001A4258"/>
    <w:rsid w:val="001B1978"/>
    <w:rsid w:val="001B59A5"/>
    <w:rsid w:val="001C0C16"/>
    <w:rsid w:val="001C6A71"/>
    <w:rsid w:val="001D1D51"/>
    <w:rsid w:val="001D31C7"/>
    <w:rsid w:val="001E3C27"/>
    <w:rsid w:val="001E3E75"/>
    <w:rsid w:val="001E582D"/>
    <w:rsid w:val="001E5961"/>
    <w:rsid w:val="001E61A5"/>
    <w:rsid w:val="001F2589"/>
    <w:rsid w:val="00200802"/>
    <w:rsid w:val="00203F1D"/>
    <w:rsid w:val="002040BD"/>
    <w:rsid w:val="00204ECC"/>
    <w:rsid w:val="0020538A"/>
    <w:rsid w:val="00210FB1"/>
    <w:rsid w:val="00211C0A"/>
    <w:rsid w:val="002134CA"/>
    <w:rsid w:val="002153CC"/>
    <w:rsid w:val="0022241C"/>
    <w:rsid w:val="002358AB"/>
    <w:rsid w:val="00241AB3"/>
    <w:rsid w:val="00244C84"/>
    <w:rsid w:val="00246769"/>
    <w:rsid w:val="00246DF8"/>
    <w:rsid w:val="00254313"/>
    <w:rsid w:val="00254E8D"/>
    <w:rsid w:val="002703D2"/>
    <w:rsid w:val="0027323A"/>
    <w:rsid w:val="00281C27"/>
    <w:rsid w:val="00282E13"/>
    <w:rsid w:val="00284B39"/>
    <w:rsid w:val="0029279E"/>
    <w:rsid w:val="002968D3"/>
    <w:rsid w:val="002A0CB1"/>
    <w:rsid w:val="002A57C6"/>
    <w:rsid w:val="002B08ED"/>
    <w:rsid w:val="002B3065"/>
    <w:rsid w:val="002C268B"/>
    <w:rsid w:val="002C474F"/>
    <w:rsid w:val="002C5B79"/>
    <w:rsid w:val="002D1FFF"/>
    <w:rsid w:val="002E1EBA"/>
    <w:rsid w:val="002E600C"/>
    <w:rsid w:val="002E71C5"/>
    <w:rsid w:val="002F03CA"/>
    <w:rsid w:val="002F2A9B"/>
    <w:rsid w:val="002F2CF9"/>
    <w:rsid w:val="002F3436"/>
    <w:rsid w:val="002F3FC9"/>
    <w:rsid w:val="00304D79"/>
    <w:rsid w:val="003057D1"/>
    <w:rsid w:val="0031035C"/>
    <w:rsid w:val="003166BD"/>
    <w:rsid w:val="0032038E"/>
    <w:rsid w:val="00321E26"/>
    <w:rsid w:val="003247BF"/>
    <w:rsid w:val="0032771D"/>
    <w:rsid w:val="003325A9"/>
    <w:rsid w:val="00333533"/>
    <w:rsid w:val="0034795B"/>
    <w:rsid w:val="00351547"/>
    <w:rsid w:val="00354DAB"/>
    <w:rsid w:val="00362439"/>
    <w:rsid w:val="00366B6A"/>
    <w:rsid w:val="00367CB1"/>
    <w:rsid w:val="00374D6B"/>
    <w:rsid w:val="00377642"/>
    <w:rsid w:val="003821C9"/>
    <w:rsid w:val="003831A3"/>
    <w:rsid w:val="00387635"/>
    <w:rsid w:val="00390B57"/>
    <w:rsid w:val="003913AC"/>
    <w:rsid w:val="003937BE"/>
    <w:rsid w:val="00393C07"/>
    <w:rsid w:val="00396B29"/>
    <w:rsid w:val="00397CE2"/>
    <w:rsid w:val="003A0AD1"/>
    <w:rsid w:val="003A14B0"/>
    <w:rsid w:val="003A27EB"/>
    <w:rsid w:val="003A70B8"/>
    <w:rsid w:val="003A79A3"/>
    <w:rsid w:val="003B1870"/>
    <w:rsid w:val="003B53A7"/>
    <w:rsid w:val="003B621A"/>
    <w:rsid w:val="003B7ED1"/>
    <w:rsid w:val="003C1CC3"/>
    <w:rsid w:val="003C4F05"/>
    <w:rsid w:val="003D2519"/>
    <w:rsid w:val="00400031"/>
    <w:rsid w:val="00402C9A"/>
    <w:rsid w:val="00402E01"/>
    <w:rsid w:val="004042C8"/>
    <w:rsid w:val="00406860"/>
    <w:rsid w:val="00410313"/>
    <w:rsid w:val="00416A7F"/>
    <w:rsid w:val="0042003C"/>
    <w:rsid w:val="00427F36"/>
    <w:rsid w:val="00430E24"/>
    <w:rsid w:val="00442F96"/>
    <w:rsid w:val="00457242"/>
    <w:rsid w:val="0046458D"/>
    <w:rsid w:val="00466D87"/>
    <w:rsid w:val="004708D1"/>
    <w:rsid w:val="00471B59"/>
    <w:rsid w:val="004837AF"/>
    <w:rsid w:val="004924D2"/>
    <w:rsid w:val="004A55D1"/>
    <w:rsid w:val="004A6B2E"/>
    <w:rsid w:val="004B231E"/>
    <w:rsid w:val="004B4831"/>
    <w:rsid w:val="004B48D2"/>
    <w:rsid w:val="004C63EC"/>
    <w:rsid w:val="004C7C95"/>
    <w:rsid w:val="004D2E71"/>
    <w:rsid w:val="004E41E2"/>
    <w:rsid w:val="004E614C"/>
    <w:rsid w:val="004F3E80"/>
    <w:rsid w:val="004F415F"/>
    <w:rsid w:val="004F5902"/>
    <w:rsid w:val="004F660C"/>
    <w:rsid w:val="004F6C60"/>
    <w:rsid w:val="005037CF"/>
    <w:rsid w:val="005140FF"/>
    <w:rsid w:val="0051485B"/>
    <w:rsid w:val="00514B5E"/>
    <w:rsid w:val="00517629"/>
    <w:rsid w:val="005219A6"/>
    <w:rsid w:val="0053234A"/>
    <w:rsid w:val="005351BF"/>
    <w:rsid w:val="00535442"/>
    <w:rsid w:val="00551C63"/>
    <w:rsid w:val="00551EE3"/>
    <w:rsid w:val="00553B8B"/>
    <w:rsid w:val="0055464C"/>
    <w:rsid w:val="00555F43"/>
    <w:rsid w:val="00560B34"/>
    <w:rsid w:val="00570B6D"/>
    <w:rsid w:val="00571FF8"/>
    <w:rsid w:val="005720EC"/>
    <w:rsid w:val="00572BE7"/>
    <w:rsid w:val="00574E7E"/>
    <w:rsid w:val="0058142C"/>
    <w:rsid w:val="005904A1"/>
    <w:rsid w:val="005A0425"/>
    <w:rsid w:val="005A24D1"/>
    <w:rsid w:val="005A3C7E"/>
    <w:rsid w:val="005B097C"/>
    <w:rsid w:val="005B4900"/>
    <w:rsid w:val="005B5BA4"/>
    <w:rsid w:val="005B6294"/>
    <w:rsid w:val="005C1E85"/>
    <w:rsid w:val="005D3BB9"/>
    <w:rsid w:val="005D4D26"/>
    <w:rsid w:val="005E2611"/>
    <w:rsid w:val="005E28A9"/>
    <w:rsid w:val="005F05C9"/>
    <w:rsid w:val="005F4647"/>
    <w:rsid w:val="00600951"/>
    <w:rsid w:val="00602175"/>
    <w:rsid w:val="00634611"/>
    <w:rsid w:val="00636A90"/>
    <w:rsid w:val="0064070B"/>
    <w:rsid w:val="006518F0"/>
    <w:rsid w:val="00653615"/>
    <w:rsid w:val="00674768"/>
    <w:rsid w:val="00676906"/>
    <w:rsid w:val="006827BA"/>
    <w:rsid w:val="006845B3"/>
    <w:rsid w:val="0069399D"/>
    <w:rsid w:val="00694E0B"/>
    <w:rsid w:val="00695940"/>
    <w:rsid w:val="006969A9"/>
    <w:rsid w:val="00696FB4"/>
    <w:rsid w:val="006A503C"/>
    <w:rsid w:val="006A7498"/>
    <w:rsid w:val="006C0E81"/>
    <w:rsid w:val="006C76D1"/>
    <w:rsid w:val="006C7BFB"/>
    <w:rsid w:val="006D17C5"/>
    <w:rsid w:val="006D3028"/>
    <w:rsid w:val="006E319F"/>
    <w:rsid w:val="006F572B"/>
    <w:rsid w:val="006F743D"/>
    <w:rsid w:val="006F7DD1"/>
    <w:rsid w:val="00711360"/>
    <w:rsid w:val="007128EC"/>
    <w:rsid w:val="0071581D"/>
    <w:rsid w:val="00720EE3"/>
    <w:rsid w:val="00722890"/>
    <w:rsid w:val="0072353A"/>
    <w:rsid w:val="00725511"/>
    <w:rsid w:val="00736B73"/>
    <w:rsid w:val="00742EF2"/>
    <w:rsid w:val="00743F85"/>
    <w:rsid w:val="0074579D"/>
    <w:rsid w:val="00746289"/>
    <w:rsid w:val="00752296"/>
    <w:rsid w:val="00754BA1"/>
    <w:rsid w:val="007550A9"/>
    <w:rsid w:val="00761EAA"/>
    <w:rsid w:val="007657BD"/>
    <w:rsid w:val="00766160"/>
    <w:rsid w:val="007671BC"/>
    <w:rsid w:val="007764D9"/>
    <w:rsid w:val="0078312E"/>
    <w:rsid w:val="00783FC8"/>
    <w:rsid w:val="00784D8C"/>
    <w:rsid w:val="0078572D"/>
    <w:rsid w:val="007918A2"/>
    <w:rsid w:val="00797E77"/>
    <w:rsid w:val="007A0202"/>
    <w:rsid w:val="007A08C6"/>
    <w:rsid w:val="007A0C33"/>
    <w:rsid w:val="007A54B2"/>
    <w:rsid w:val="007B33D9"/>
    <w:rsid w:val="007B6B5E"/>
    <w:rsid w:val="007C0391"/>
    <w:rsid w:val="007C103C"/>
    <w:rsid w:val="007C6D11"/>
    <w:rsid w:val="007C6FCE"/>
    <w:rsid w:val="007D285F"/>
    <w:rsid w:val="007D3ED8"/>
    <w:rsid w:val="007E2FB8"/>
    <w:rsid w:val="007E3750"/>
    <w:rsid w:val="007E50B5"/>
    <w:rsid w:val="007E79AF"/>
    <w:rsid w:val="007F2108"/>
    <w:rsid w:val="00811DFD"/>
    <w:rsid w:val="0081246A"/>
    <w:rsid w:val="00813F5D"/>
    <w:rsid w:val="0082777C"/>
    <w:rsid w:val="008379E7"/>
    <w:rsid w:val="00842D1C"/>
    <w:rsid w:val="00851CA7"/>
    <w:rsid w:val="0085236A"/>
    <w:rsid w:val="00863DEA"/>
    <w:rsid w:val="008640BE"/>
    <w:rsid w:val="00866D42"/>
    <w:rsid w:val="00875470"/>
    <w:rsid w:val="00884FBC"/>
    <w:rsid w:val="00892A68"/>
    <w:rsid w:val="008A177C"/>
    <w:rsid w:val="008A24B4"/>
    <w:rsid w:val="008A6934"/>
    <w:rsid w:val="008B794C"/>
    <w:rsid w:val="008C2DF2"/>
    <w:rsid w:val="008C5385"/>
    <w:rsid w:val="008D4CB5"/>
    <w:rsid w:val="008E0546"/>
    <w:rsid w:val="008E111C"/>
    <w:rsid w:val="008E2576"/>
    <w:rsid w:val="008E632D"/>
    <w:rsid w:val="008E7F39"/>
    <w:rsid w:val="008F25B0"/>
    <w:rsid w:val="0090262F"/>
    <w:rsid w:val="00903AD7"/>
    <w:rsid w:val="00910007"/>
    <w:rsid w:val="00912409"/>
    <w:rsid w:val="0091408E"/>
    <w:rsid w:val="00916CDB"/>
    <w:rsid w:val="00926533"/>
    <w:rsid w:val="00942DE4"/>
    <w:rsid w:val="00945094"/>
    <w:rsid w:val="00950B3F"/>
    <w:rsid w:val="00951BCD"/>
    <w:rsid w:val="00956EF5"/>
    <w:rsid w:val="009645B8"/>
    <w:rsid w:val="00965C83"/>
    <w:rsid w:val="00971605"/>
    <w:rsid w:val="009728AA"/>
    <w:rsid w:val="00972F6D"/>
    <w:rsid w:val="009732FC"/>
    <w:rsid w:val="009748B5"/>
    <w:rsid w:val="00974A74"/>
    <w:rsid w:val="00977BC4"/>
    <w:rsid w:val="00982177"/>
    <w:rsid w:val="0098570E"/>
    <w:rsid w:val="0099338C"/>
    <w:rsid w:val="009A0D15"/>
    <w:rsid w:val="009A40E6"/>
    <w:rsid w:val="009A460E"/>
    <w:rsid w:val="009B10FA"/>
    <w:rsid w:val="009B4EBE"/>
    <w:rsid w:val="009C144B"/>
    <w:rsid w:val="009C6727"/>
    <w:rsid w:val="009D240F"/>
    <w:rsid w:val="009D6F2C"/>
    <w:rsid w:val="009F37DB"/>
    <w:rsid w:val="009F41AC"/>
    <w:rsid w:val="009F70C7"/>
    <w:rsid w:val="00A00957"/>
    <w:rsid w:val="00A01930"/>
    <w:rsid w:val="00A0498E"/>
    <w:rsid w:val="00A1697B"/>
    <w:rsid w:val="00A2326D"/>
    <w:rsid w:val="00A30732"/>
    <w:rsid w:val="00A323EF"/>
    <w:rsid w:val="00A35DDB"/>
    <w:rsid w:val="00A3616A"/>
    <w:rsid w:val="00A414AD"/>
    <w:rsid w:val="00A44FD1"/>
    <w:rsid w:val="00A5145B"/>
    <w:rsid w:val="00A57792"/>
    <w:rsid w:val="00A63BD1"/>
    <w:rsid w:val="00A71513"/>
    <w:rsid w:val="00A87B7C"/>
    <w:rsid w:val="00A9428E"/>
    <w:rsid w:val="00A94BF2"/>
    <w:rsid w:val="00AB4AC7"/>
    <w:rsid w:val="00AC477B"/>
    <w:rsid w:val="00AE6C20"/>
    <w:rsid w:val="00AF26A5"/>
    <w:rsid w:val="00AF3BB4"/>
    <w:rsid w:val="00B03ABC"/>
    <w:rsid w:val="00B07B4C"/>
    <w:rsid w:val="00B10AEA"/>
    <w:rsid w:val="00B10FCD"/>
    <w:rsid w:val="00B21BE1"/>
    <w:rsid w:val="00B2309B"/>
    <w:rsid w:val="00B2367C"/>
    <w:rsid w:val="00B23976"/>
    <w:rsid w:val="00B258E0"/>
    <w:rsid w:val="00B25CA5"/>
    <w:rsid w:val="00B304F0"/>
    <w:rsid w:val="00B3193B"/>
    <w:rsid w:val="00B3214B"/>
    <w:rsid w:val="00B34C2C"/>
    <w:rsid w:val="00B40319"/>
    <w:rsid w:val="00B43089"/>
    <w:rsid w:val="00B4333F"/>
    <w:rsid w:val="00B4534A"/>
    <w:rsid w:val="00B46D27"/>
    <w:rsid w:val="00B46D4B"/>
    <w:rsid w:val="00B52AB1"/>
    <w:rsid w:val="00B57B83"/>
    <w:rsid w:val="00B57C80"/>
    <w:rsid w:val="00B60BDB"/>
    <w:rsid w:val="00B61283"/>
    <w:rsid w:val="00B65AB5"/>
    <w:rsid w:val="00B6613E"/>
    <w:rsid w:val="00B71BF0"/>
    <w:rsid w:val="00B725D4"/>
    <w:rsid w:val="00B815C5"/>
    <w:rsid w:val="00B81E1B"/>
    <w:rsid w:val="00B91610"/>
    <w:rsid w:val="00B930E9"/>
    <w:rsid w:val="00B937FA"/>
    <w:rsid w:val="00B940E1"/>
    <w:rsid w:val="00B96959"/>
    <w:rsid w:val="00B97C30"/>
    <w:rsid w:val="00BA6B6C"/>
    <w:rsid w:val="00BB0856"/>
    <w:rsid w:val="00BB646E"/>
    <w:rsid w:val="00BC2299"/>
    <w:rsid w:val="00BC56AB"/>
    <w:rsid w:val="00BC6D30"/>
    <w:rsid w:val="00BD0E9E"/>
    <w:rsid w:val="00BD3A3C"/>
    <w:rsid w:val="00BD7673"/>
    <w:rsid w:val="00BE1E7E"/>
    <w:rsid w:val="00BE2505"/>
    <w:rsid w:val="00BF3F7C"/>
    <w:rsid w:val="00BF7DBD"/>
    <w:rsid w:val="00C024B9"/>
    <w:rsid w:val="00C14F1C"/>
    <w:rsid w:val="00C17293"/>
    <w:rsid w:val="00C22F14"/>
    <w:rsid w:val="00C312A4"/>
    <w:rsid w:val="00C35CDB"/>
    <w:rsid w:val="00C3728B"/>
    <w:rsid w:val="00C468BC"/>
    <w:rsid w:val="00C54B50"/>
    <w:rsid w:val="00C574AD"/>
    <w:rsid w:val="00C7231F"/>
    <w:rsid w:val="00C776F7"/>
    <w:rsid w:val="00C80FB7"/>
    <w:rsid w:val="00C83C87"/>
    <w:rsid w:val="00C9034B"/>
    <w:rsid w:val="00C93807"/>
    <w:rsid w:val="00CA7F4F"/>
    <w:rsid w:val="00CB07C5"/>
    <w:rsid w:val="00CB0BC4"/>
    <w:rsid w:val="00CB14FA"/>
    <w:rsid w:val="00CB1537"/>
    <w:rsid w:val="00CB2EB4"/>
    <w:rsid w:val="00CB3242"/>
    <w:rsid w:val="00CB4DB7"/>
    <w:rsid w:val="00CC2A43"/>
    <w:rsid w:val="00CC373A"/>
    <w:rsid w:val="00CC4F5B"/>
    <w:rsid w:val="00CC687C"/>
    <w:rsid w:val="00CD4583"/>
    <w:rsid w:val="00CD4618"/>
    <w:rsid w:val="00CD6913"/>
    <w:rsid w:val="00CE6532"/>
    <w:rsid w:val="00CF3248"/>
    <w:rsid w:val="00CF7D36"/>
    <w:rsid w:val="00D023C8"/>
    <w:rsid w:val="00D04EDA"/>
    <w:rsid w:val="00D06805"/>
    <w:rsid w:val="00D06FF9"/>
    <w:rsid w:val="00D1519A"/>
    <w:rsid w:val="00D2156E"/>
    <w:rsid w:val="00D22D2E"/>
    <w:rsid w:val="00D23B33"/>
    <w:rsid w:val="00D329A0"/>
    <w:rsid w:val="00D354A2"/>
    <w:rsid w:val="00D40EE8"/>
    <w:rsid w:val="00D41A16"/>
    <w:rsid w:val="00D64DE6"/>
    <w:rsid w:val="00D66BFA"/>
    <w:rsid w:val="00D81626"/>
    <w:rsid w:val="00D85081"/>
    <w:rsid w:val="00D85836"/>
    <w:rsid w:val="00D95943"/>
    <w:rsid w:val="00DA0139"/>
    <w:rsid w:val="00DA27E2"/>
    <w:rsid w:val="00DA43A8"/>
    <w:rsid w:val="00DA56F3"/>
    <w:rsid w:val="00DB1104"/>
    <w:rsid w:val="00DB1D5F"/>
    <w:rsid w:val="00DD4757"/>
    <w:rsid w:val="00DD6251"/>
    <w:rsid w:val="00DD7569"/>
    <w:rsid w:val="00DD79C1"/>
    <w:rsid w:val="00DE0237"/>
    <w:rsid w:val="00DE2D6D"/>
    <w:rsid w:val="00DF3F79"/>
    <w:rsid w:val="00DF51AE"/>
    <w:rsid w:val="00DF6435"/>
    <w:rsid w:val="00DF74CE"/>
    <w:rsid w:val="00E039A7"/>
    <w:rsid w:val="00E04E59"/>
    <w:rsid w:val="00E1033B"/>
    <w:rsid w:val="00E12FB0"/>
    <w:rsid w:val="00E2499F"/>
    <w:rsid w:val="00E31237"/>
    <w:rsid w:val="00E34A9D"/>
    <w:rsid w:val="00E36935"/>
    <w:rsid w:val="00E371C6"/>
    <w:rsid w:val="00E42C52"/>
    <w:rsid w:val="00E4477F"/>
    <w:rsid w:val="00E449D2"/>
    <w:rsid w:val="00E5001C"/>
    <w:rsid w:val="00E527E7"/>
    <w:rsid w:val="00E57F11"/>
    <w:rsid w:val="00E6744E"/>
    <w:rsid w:val="00E71329"/>
    <w:rsid w:val="00E71A4D"/>
    <w:rsid w:val="00E72097"/>
    <w:rsid w:val="00E74158"/>
    <w:rsid w:val="00E76841"/>
    <w:rsid w:val="00E815E4"/>
    <w:rsid w:val="00E8209A"/>
    <w:rsid w:val="00E84EAB"/>
    <w:rsid w:val="00E86677"/>
    <w:rsid w:val="00E972FB"/>
    <w:rsid w:val="00EA2D83"/>
    <w:rsid w:val="00EC5325"/>
    <w:rsid w:val="00ED0508"/>
    <w:rsid w:val="00ED2FA5"/>
    <w:rsid w:val="00EE0871"/>
    <w:rsid w:val="00EE507F"/>
    <w:rsid w:val="00F07566"/>
    <w:rsid w:val="00F133AF"/>
    <w:rsid w:val="00F13CAD"/>
    <w:rsid w:val="00F14A8C"/>
    <w:rsid w:val="00F2466B"/>
    <w:rsid w:val="00F322AD"/>
    <w:rsid w:val="00F3494F"/>
    <w:rsid w:val="00F379C1"/>
    <w:rsid w:val="00F37D02"/>
    <w:rsid w:val="00F40DB8"/>
    <w:rsid w:val="00F42F11"/>
    <w:rsid w:val="00F457B2"/>
    <w:rsid w:val="00F47D94"/>
    <w:rsid w:val="00F52721"/>
    <w:rsid w:val="00F67366"/>
    <w:rsid w:val="00F819A0"/>
    <w:rsid w:val="00F81A3A"/>
    <w:rsid w:val="00F81DD5"/>
    <w:rsid w:val="00F84050"/>
    <w:rsid w:val="00F843F4"/>
    <w:rsid w:val="00F9144C"/>
    <w:rsid w:val="00F92187"/>
    <w:rsid w:val="00F97C3D"/>
    <w:rsid w:val="00FA0E95"/>
    <w:rsid w:val="00FA52F7"/>
    <w:rsid w:val="00FB161A"/>
    <w:rsid w:val="00FB231A"/>
    <w:rsid w:val="00FB2ED7"/>
    <w:rsid w:val="00FB3EAA"/>
    <w:rsid w:val="00FB7430"/>
    <w:rsid w:val="00FB7F27"/>
    <w:rsid w:val="00FC5011"/>
    <w:rsid w:val="00FC5C75"/>
    <w:rsid w:val="00FC6FB5"/>
    <w:rsid w:val="00FE4A6A"/>
    <w:rsid w:val="00FE4C2F"/>
    <w:rsid w:val="00FE5FA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3251E-CB08-48CF-BEA0-4E3D8E30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646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646E"/>
    <w:pPr>
      <w:ind w:left="720"/>
      <w:contextualSpacing/>
    </w:pPr>
  </w:style>
  <w:style w:type="character" w:styleId="Hyperlink">
    <w:name w:val="Hyperlink"/>
    <w:basedOn w:val="Standaardalinea-lettertype"/>
    <w:uiPriority w:val="99"/>
    <w:unhideWhenUsed/>
    <w:rsid w:val="00095761"/>
    <w:rPr>
      <w:color w:val="0000FF"/>
      <w:u w:val="single"/>
    </w:rPr>
  </w:style>
  <w:style w:type="paragraph" w:styleId="Voetnoottekst">
    <w:name w:val="footnote text"/>
    <w:basedOn w:val="Standaard"/>
    <w:link w:val="VoetnoottekstChar"/>
    <w:uiPriority w:val="99"/>
    <w:semiHidden/>
    <w:unhideWhenUsed/>
    <w:rsid w:val="002C5B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C5B79"/>
    <w:rPr>
      <w:sz w:val="20"/>
      <w:szCs w:val="20"/>
    </w:rPr>
  </w:style>
  <w:style w:type="character" w:styleId="Voetnootmarkering">
    <w:name w:val="footnote reference"/>
    <w:basedOn w:val="Standaardalinea-lettertype"/>
    <w:uiPriority w:val="99"/>
    <w:semiHidden/>
    <w:unhideWhenUsed/>
    <w:rsid w:val="002C5B79"/>
    <w:rPr>
      <w:vertAlign w:val="superscript"/>
    </w:rPr>
  </w:style>
  <w:style w:type="paragraph" w:styleId="Koptekst">
    <w:name w:val="header"/>
    <w:basedOn w:val="Standaard"/>
    <w:link w:val="KoptekstChar"/>
    <w:uiPriority w:val="99"/>
    <w:unhideWhenUsed/>
    <w:rsid w:val="009857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570E"/>
  </w:style>
  <w:style w:type="paragraph" w:styleId="Voettekst">
    <w:name w:val="footer"/>
    <w:basedOn w:val="Standaard"/>
    <w:link w:val="VoettekstChar"/>
    <w:uiPriority w:val="99"/>
    <w:unhideWhenUsed/>
    <w:rsid w:val="009857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183515">
      <w:bodyDiv w:val="1"/>
      <w:marLeft w:val="0"/>
      <w:marRight w:val="0"/>
      <w:marTop w:val="0"/>
      <w:marBottom w:val="0"/>
      <w:divBdr>
        <w:top w:val="none" w:sz="0" w:space="0" w:color="auto"/>
        <w:left w:val="none" w:sz="0" w:space="0" w:color="auto"/>
        <w:bottom w:val="none" w:sz="0" w:space="0" w:color="auto"/>
        <w:right w:val="none" w:sz="0" w:space="0" w:color="auto"/>
      </w:divBdr>
    </w:div>
    <w:div w:id="889803491">
      <w:bodyDiv w:val="1"/>
      <w:marLeft w:val="0"/>
      <w:marRight w:val="0"/>
      <w:marTop w:val="0"/>
      <w:marBottom w:val="0"/>
      <w:divBdr>
        <w:top w:val="none" w:sz="0" w:space="0" w:color="auto"/>
        <w:left w:val="none" w:sz="0" w:space="0" w:color="auto"/>
        <w:bottom w:val="none" w:sz="0" w:space="0" w:color="auto"/>
        <w:right w:val="none" w:sz="0" w:space="0" w:color="auto"/>
      </w:divBdr>
    </w:div>
    <w:div w:id="1571840261">
      <w:bodyDiv w:val="1"/>
      <w:marLeft w:val="0"/>
      <w:marRight w:val="0"/>
      <w:marTop w:val="0"/>
      <w:marBottom w:val="0"/>
      <w:divBdr>
        <w:top w:val="none" w:sz="0" w:space="0" w:color="auto"/>
        <w:left w:val="none" w:sz="0" w:space="0" w:color="auto"/>
        <w:bottom w:val="none" w:sz="0" w:space="0" w:color="auto"/>
        <w:right w:val="none" w:sz="0" w:space="0" w:color="auto"/>
      </w:divBdr>
    </w:div>
    <w:div w:id="16556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ass.be" TargetMode="External"/><Relationship Id="rId3" Type="http://schemas.openxmlformats.org/officeDocument/2006/relationships/hyperlink" Target="http://www.ordomedic.be" TargetMode="External"/><Relationship Id="rId7" Type="http://schemas.openxmlformats.org/officeDocument/2006/relationships/hyperlink" Target="http://www.wegcode.be" TargetMode="External"/><Relationship Id="rId2" Type="http://schemas.openxmlformats.org/officeDocument/2006/relationships/hyperlink" Target="http://www.ordomedic.be" TargetMode="External"/><Relationship Id="rId1" Type="http://schemas.openxmlformats.org/officeDocument/2006/relationships/hyperlink" Target="http://www.ordomedic.be" TargetMode="External"/><Relationship Id="rId6" Type="http://schemas.openxmlformats.org/officeDocument/2006/relationships/hyperlink" Target="http://www.ordomedic.be" TargetMode="External"/><Relationship Id="rId5" Type="http://schemas.openxmlformats.org/officeDocument/2006/relationships/hyperlink" Target="http://www.ordomedic.be" TargetMode="External"/><Relationship Id="rId10" Type="http://schemas.openxmlformats.org/officeDocument/2006/relationships/hyperlink" Target="http://www.ordomedic.be" TargetMode="External"/><Relationship Id="rId4" Type="http://schemas.openxmlformats.org/officeDocument/2006/relationships/hyperlink" Target="http://www.health.belgium.be/nl/belgisch-raadgevend-comite-voor-bio-ethiek" TargetMode="External"/><Relationship Id="rId9" Type="http://schemas.openxmlformats.org/officeDocument/2006/relationships/hyperlink" Target="http://www.ordomedic.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6900-5A17-42F3-A2C5-AAA5BD10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2331</TotalTime>
  <Pages>1</Pages>
  <Words>12166</Words>
  <Characters>66915</Characters>
  <Application>Microsoft Office Word</Application>
  <DocSecurity>0</DocSecurity>
  <Lines>557</Lines>
  <Paragraphs>157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dc:creator>
  <cp:keywords/>
  <dc:description/>
  <cp:lastModifiedBy>tb</cp:lastModifiedBy>
  <cp:revision>437</cp:revision>
  <cp:lastPrinted>2017-04-18T18:38:00Z</cp:lastPrinted>
  <dcterms:created xsi:type="dcterms:W3CDTF">2017-02-24T08:54:00Z</dcterms:created>
  <dcterms:modified xsi:type="dcterms:W3CDTF">2017-05-09T05:26:00Z</dcterms:modified>
</cp:coreProperties>
</file>