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DE" w:rsidRPr="00164319" w:rsidRDefault="006E4DDE" w:rsidP="006E4DDE">
      <w:pPr>
        <w:pStyle w:val="ElsArticleTitle"/>
        <w:spacing w:before="0" w:after="12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164319">
        <w:rPr>
          <w:rFonts w:asciiTheme="minorHAnsi" w:hAnsiTheme="minorHAnsi"/>
          <w:b/>
          <w:sz w:val="28"/>
          <w:szCs w:val="28"/>
        </w:rPr>
        <w:t>Synthesis and cytotoxic evaluation of novel triterpenoid-AZT conjugates</w:t>
      </w:r>
    </w:p>
    <w:p w:rsidR="006E4DDE" w:rsidRPr="00164319" w:rsidRDefault="006E4DDE" w:rsidP="00E0359A">
      <w:pPr>
        <w:pStyle w:val="ElsAffiliation"/>
        <w:spacing w:after="120" w:line="276" w:lineRule="auto"/>
        <w:jc w:val="center"/>
        <w:rPr>
          <w:rFonts w:asciiTheme="minorHAnsi" w:hAnsiTheme="minorHAnsi"/>
          <w:i w:val="0"/>
          <w:sz w:val="22"/>
          <w:szCs w:val="22"/>
        </w:rPr>
      </w:pPr>
    </w:p>
    <w:p w:rsidR="006E4DDE" w:rsidRPr="00164319" w:rsidRDefault="00A76D0B" w:rsidP="006E4DDE">
      <w:pPr>
        <w:pStyle w:val="ElsAuthor"/>
        <w:spacing w:after="120"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TuyetAnh</w:t>
      </w:r>
      <w:r w:rsidR="004D5B7A" w:rsidRPr="00164319">
        <w:rPr>
          <w:rFonts w:asciiTheme="minorHAnsi" w:hAnsiTheme="minorHAnsi"/>
          <w:sz w:val="22"/>
          <w:szCs w:val="22"/>
        </w:rPr>
        <w:t>Dang Thi,</w:t>
      </w:r>
      <w:r w:rsidR="004D5B7A" w:rsidRPr="00164319">
        <w:rPr>
          <w:rFonts w:asciiTheme="minorHAnsi" w:hAnsiTheme="minorHAnsi"/>
          <w:sz w:val="22"/>
          <w:szCs w:val="22"/>
          <w:vertAlign w:val="superscript"/>
        </w:rPr>
        <w:t>a</w:t>
      </w:r>
      <w:r w:rsidR="004D5B7A" w:rsidRPr="00164319">
        <w:rPr>
          <w:rFonts w:asciiTheme="minorHAnsi" w:hAnsiTheme="minorHAnsi"/>
          <w:sz w:val="22"/>
          <w:szCs w:val="22"/>
        </w:rPr>
        <w:t xml:space="preserve"> Nguyen Thi Kim Tuyet,</w:t>
      </w:r>
      <w:r w:rsidR="004D5B7A" w:rsidRPr="00164319">
        <w:rPr>
          <w:rFonts w:asciiTheme="minorHAnsi" w:hAnsiTheme="minorHAnsi"/>
          <w:sz w:val="22"/>
          <w:szCs w:val="22"/>
          <w:vertAlign w:val="superscript"/>
        </w:rPr>
        <w:t>a</w:t>
      </w:r>
      <w:r>
        <w:rPr>
          <w:rFonts w:asciiTheme="minorHAnsi" w:hAnsiTheme="minorHAnsi"/>
          <w:sz w:val="22"/>
          <w:szCs w:val="22"/>
        </w:rPr>
        <w:t>Chinh</w:t>
      </w:r>
      <w:r w:rsidR="004D5B7A" w:rsidRPr="00164319">
        <w:rPr>
          <w:rFonts w:asciiTheme="minorHAnsi" w:hAnsiTheme="minorHAnsi"/>
          <w:sz w:val="22"/>
          <w:szCs w:val="22"/>
        </w:rPr>
        <w:t>Pham The,</w:t>
      </w:r>
      <w:r w:rsidR="004D5B7A" w:rsidRPr="00164319">
        <w:rPr>
          <w:rFonts w:asciiTheme="minorHAnsi" w:hAnsiTheme="minorHAnsi"/>
          <w:sz w:val="22"/>
          <w:szCs w:val="22"/>
          <w:vertAlign w:val="superscript"/>
        </w:rPr>
        <w:t>a</w:t>
      </w:r>
      <w:r w:rsidR="004D5B7A" w:rsidRPr="00164319">
        <w:rPr>
          <w:rFonts w:asciiTheme="minorHAnsi" w:hAnsiTheme="minorHAnsi"/>
          <w:sz w:val="22"/>
          <w:szCs w:val="22"/>
        </w:rPr>
        <w:t xml:space="preserve"> Ha ThanhNguyen,</w:t>
      </w:r>
      <w:r w:rsidR="004D5B7A" w:rsidRPr="00164319">
        <w:rPr>
          <w:rFonts w:asciiTheme="minorHAnsi" w:hAnsiTheme="minorHAnsi"/>
          <w:sz w:val="22"/>
          <w:szCs w:val="22"/>
          <w:vertAlign w:val="superscript"/>
        </w:rPr>
        <w:t>a</w:t>
      </w:r>
      <w:r w:rsidR="004D5B7A" w:rsidRPr="00164319">
        <w:rPr>
          <w:rFonts w:asciiTheme="minorHAnsi" w:hAnsiTheme="minorHAnsi"/>
          <w:sz w:val="22"/>
          <w:szCs w:val="22"/>
        </w:rPr>
        <w:t xml:space="preserve"> Cham Ba Thi,</w:t>
      </w:r>
      <w:r w:rsidR="004D5B7A" w:rsidRPr="00164319">
        <w:rPr>
          <w:rFonts w:asciiTheme="minorHAnsi" w:hAnsiTheme="minorHAnsi"/>
          <w:sz w:val="22"/>
          <w:szCs w:val="22"/>
          <w:vertAlign w:val="superscript"/>
        </w:rPr>
        <w:t>a</w:t>
      </w:r>
      <w:r w:rsidR="004D5B7A" w:rsidRPr="00164319">
        <w:rPr>
          <w:rFonts w:asciiTheme="minorHAnsi" w:hAnsiTheme="minorHAnsi"/>
          <w:sz w:val="22"/>
          <w:szCs w:val="22"/>
        </w:rPr>
        <w:t xml:space="preserve"> Tien Doan Duy,</w:t>
      </w:r>
      <w:r w:rsidR="004D5B7A" w:rsidRPr="00164319">
        <w:rPr>
          <w:rFonts w:asciiTheme="minorHAnsi" w:hAnsiTheme="minorHAnsi"/>
          <w:sz w:val="22"/>
          <w:szCs w:val="22"/>
          <w:vertAlign w:val="superscript"/>
        </w:rPr>
        <w:t>a</w:t>
      </w:r>
      <w:r w:rsidR="004D5B7A" w:rsidRPr="00164319">
        <w:rPr>
          <w:rFonts w:asciiTheme="minorHAnsi" w:hAnsiTheme="minorHAnsi"/>
          <w:sz w:val="22"/>
          <w:szCs w:val="22"/>
        </w:rPr>
        <w:t xml:space="preserve"> Matthias D’hooghe,</w:t>
      </w:r>
      <w:r w:rsidR="004D5B7A" w:rsidRPr="00164319">
        <w:rPr>
          <w:rFonts w:asciiTheme="minorHAnsi" w:hAnsiTheme="minorHAnsi"/>
          <w:sz w:val="22"/>
          <w:szCs w:val="22"/>
          <w:vertAlign w:val="superscript"/>
        </w:rPr>
        <w:t>b</w:t>
      </w:r>
      <w:r w:rsidR="004D5B7A" w:rsidRPr="00164319">
        <w:rPr>
          <w:rFonts w:asciiTheme="minorHAnsi" w:hAnsiTheme="minorHAnsi"/>
          <w:sz w:val="22"/>
          <w:szCs w:val="22"/>
        </w:rPr>
        <w:t>Tuyen</w:t>
      </w:r>
      <w:r w:rsidR="00A91023">
        <w:rPr>
          <w:rFonts w:asciiTheme="minorHAnsi" w:hAnsiTheme="minorHAnsi"/>
          <w:sz w:val="22"/>
          <w:szCs w:val="22"/>
        </w:rPr>
        <w:t>Van Nguyen</w:t>
      </w:r>
      <w:r w:rsidR="004D5B7A" w:rsidRPr="00164319">
        <w:rPr>
          <w:rFonts w:asciiTheme="minorHAnsi" w:hAnsiTheme="minorHAnsi"/>
          <w:sz w:val="22"/>
          <w:szCs w:val="22"/>
          <w:vertAlign w:val="superscript"/>
        </w:rPr>
        <w:t>a,</w:t>
      </w:r>
      <w:r w:rsidR="004D5B7A" w:rsidRPr="00164319">
        <w:rPr>
          <w:rFonts w:asciiTheme="minorHAnsi" w:hAnsiTheme="minorHAnsi"/>
          <w:sz w:val="22"/>
          <w:szCs w:val="22"/>
        </w:rPr>
        <w:t>*</w:t>
      </w:r>
    </w:p>
    <w:p w:rsidR="00E0359A" w:rsidRPr="00164319" w:rsidRDefault="00E0359A" w:rsidP="00E0359A">
      <w:pPr>
        <w:pStyle w:val="ElsAffiliation"/>
        <w:spacing w:after="120" w:line="276" w:lineRule="auto"/>
        <w:jc w:val="center"/>
        <w:rPr>
          <w:rFonts w:asciiTheme="minorHAnsi" w:hAnsiTheme="minorHAnsi"/>
          <w:i w:val="0"/>
          <w:sz w:val="22"/>
          <w:szCs w:val="22"/>
        </w:rPr>
      </w:pPr>
    </w:p>
    <w:p w:rsidR="006E4DDE" w:rsidRPr="00164319" w:rsidRDefault="006E4DDE" w:rsidP="00E0359A">
      <w:pPr>
        <w:pStyle w:val="ElsAffiliation"/>
        <w:spacing w:after="120" w:line="276" w:lineRule="auto"/>
        <w:jc w:val="center"/>
        <w:rPr>
          <w:rFonts w:asciiTheme="minorHAnsi" w:hAnsiTheme="minorHAnsi"/>
          <w:sz w:val="20"/>
        </w:rPr>
      </w:pPr>
      <w:r w:rsidRPr="00164319">
        <w:rPr>
          <w:rFonts w:asciiTheme="minorHAnsi" w:hAnsiTheme="minorHAnsi"/>
          <w:sz w:val="20"/>
          <w:vertAlign w:val="superscript"/>
        </w:rPr>
        <w:t>a</w:t>
      </w:r>
      <w:r w:rsidRPr="00164319">
        <w:rPr>
          <w:rFonts w:asciiTheme="minorHAnsi" w:hAnsiTheme="minorHAnsi"/>
          <w:sz w:val="20"/>
        </w:rPr>
        <w:t>Institute of Chemistry, Vietnam Academy of Science and Technology, 18-Hoang Quoc Viet, CauGiay, Hanoi, Vietnam</w:t>
      </w:r>
    </w:p>
    <w:p w:rsidR="006E4DDE" w:rsidRPr="00164319" w:rsidRDefault="006E4DDE" w:rsidP="00E0359A">
      <w:pPr>
        <w:pStyle w:val="ElsAffiliation"/>
        <w:spacing w:after="120" w:line="276" w:lineRule="auto"/>
        <w:jc w:val="center"/>
        <w:rPr>
          <w:rFonts w:asciiTheme="minorHAnsi" w:hAnsiTheme="minorHAnsi"/>
          <w:sz w:val="20"/>
        </w:rPr>
      </w:pPr>
      <w:r w:rsidRPr="00164319">
        <w:rPr>
          <w:rFonts w:asciiTheme="minorHAnsi" w:hAnsiTheme="minorHAnsi"/>
          <w:sz w:val="20"/>
          <w:vertAlign w:val="superscript"/>
        </w:rPr>
        <w:t>b</w:t>
      </w:r>
      <w:r w:rsidRPr="00164319">
        <w:rPr>
          <w:rFonts w:asciiTheme="minorHAnsi" w:hAnsiTheme="minorHAnsi"/>
          <w:sz w:val="20"/>
        </w:rPr>
        <w:t>SynBioC Research Group, Department of Sustainable Organic Chemistry and Technology, Faculty of Bioscience Engineering, Ghent University, Coupure Links 653, B-9000 Ghent, Belgium</w:t>
      </w:r>
    </w:p>
    <w:p w:rsidR="001561EE" w:rsidRDefault="001561EE" w:rsidP="006E4DDE">
      <w:pPr>
        <w:spacing w:after="120"/>
        <w:jc w:val="both"/>
        <w:rPr>
          <w:rFonts w:eastAsia="Times New Roman" w:cs="Times New Roman"/>
          <w:lang w:val="en-US"/>
        </w:rPr>
      </w:pPr>
    </w:p>
    <w:p w:rsidR="00164319" w:rsidRPr="00164319" w:rsidRDefault="00164319" w:rsidP="006E4DDE">
      <w:pPr>
        <w:spacing w:after="120"/>
        <w:jc w:val="both"/>
        <w:rPr>
          <w:rFonts w:eastAsia="Times New Roman" w:cs="Times New Roman"/>
          <w:lang w:val="en-US"/>
        </w:rPr>
      </w:pPr>
    </w:p>
    <w:p w:rsidR="00E0359A" w:rsidRPr="00164319" w:rsidRDefault="00E0359A" w:rsidP="001561EE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eastAsia="Times New Roman" w:cs="Times New Roman"/>
          <w:b/>
          <w:sz w:val="20"/>
          <w:szCs w:val="20"/>
          <w:lang w:val="en-US"/>
        </w:rPr>
      </w:pPr>
      <w:r w:rsidRPr="00164319">
        <w:rPr>
          <w:rFonts w:eastAsia="Times New Roman" w:cs="Times New Roman"/>
          <w:b/>
          <w:sz w:val="20"/>
          <w:szCs w:val="20"/>
          <w:lang w:val="en-US"/>
        </w:rPr>
        <w:t>Abstract</w:t>
      </w:r>
    </w:p>
    <w:p w:rsidR="006E4DDE" w:rsidRPr="00164319" w:rsidRDefault="001561EE" w:rsidP="001561EE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sz w:val="20"/>
          <w:szCs w:val="20"/>
          <w:lang w:val="en-US"/>
        </w:rPr>
      </w:pPr>
      <w:r w:rsidRPr="00164319">
        <w:rPr>
          <w:rFonts w:eastAsia="Times New Roman" w:cs="Times New Roman"/>
          <w:sz w:val="20"/>
          <w:szCs w:val="20"/>
          <w:lang w:val="en-US"/>
        </w:rPr>
        <w:t xml:space="preserve">Betulinic acid and </w:t>
      </w:r>
      <w:r w:rsidR="006B2946" w:rsidRPr="00164319">
        <w:rPr>
          <w:rFonts w:eastAsia="Times New Roman" w:cs="Times New Roman"/>
          <w:sz w:val="20"/>
          <w:szCs w:val="20"/>
          <w:lang w:val="en-US"/>
        </w:rPr>
        <w:t xml:space="preserve">analogous </w:t>
      </w:r>
      <w:r w:rsidR="0025490A" w:rsidRPr="00164319">
        <w:rPr>
          <w:rFonts w:eastAsia="Times New Roman" w:cs="Times New Roman"/>
          <w:sz w:val="20"/>
          <w:szCs w:val="20"/>
          <w:lang w:val="en-US"/>
        </w:rPr>
        <w:t xml:space="preserve">naturally occurring </w:t>
      </w:r>
      <w:r w:rsidR="006B2946" w:rsidRPr="00164319">
        <w:rPr>
          <w:rFonts w:eastAsia="Times New Roman" w:cs="Times New Roman"/>
          <w:sz w:val="20"/>
          <w:szCs w:val="20"/>
          <w:lang w:val="en-US"/>
        </w:rPr>
        <w:t>triterpenoids</w:t>
      </w:r>
      <w:r w:rsidRPr="00164319">
        <w:rPr>
          <w:rFonts w:eastAsia="Times New Roman" w:cs="Times New Roman"/>
          <w:sz w:val="20"/>
          <w:szCs w:val="20"/>
          <w:lang w:val="en-US"/>
        </w:rPr>
        <w:t xml:space="preserve"> were transformed into the corresponding propargyl esters and subsequently deployed as substrates for a click chemistry-mediated coupling with </w:t>
      </w:r>
      <w:r w:rsidR="00FD53B0">
        <w:rPr>
          <w:sz w:val="20"/>
          <w:szCs w:val="20"/>
          <w:lang w:val="en-US"/>
        </w:rPr>
        <w:t>azidothymidine</w:t>
      </w:r>
      <w:r w:rsidRPr="00164319">
        <w:rPr>
          <w:sz w:val="20"/>
          <w:szCs w:val="20"/>
          <w:lang w:val="en-US"/>
        </w:rPr>
        <w:t xml:space="preserve"> (AZT) </w:t>
      </w:r>
      <w:r w:rsidRPr="00164319">
        <w:rPr>
          <w:i/>
          <w:sz w:val="20"/>
          <w:szCs w:val="20"/>
          <w:lang w:val="en-US"/>
        </w:rPr>
        <w:t>en route</w:t>
      </w:r>
      <w:r w:rsidRPr="00164319">
        <w:rPr>
          <w:sz w:val="20"/>
          <w:szCs w:val="20"/>
          <w:lang w:val="en-US"/>
        </w:rPr>
        <w:t xml:space="preserve"> to novel </w:t>
      </w:r>
      <w:r w:rsidR="006B2946" w:rsidRPr="00164319">
        <w:rPr>
          <w:sz w:val="20"/>
          <w:szCs w:val="20"/>
          <w:lang w:val="en-US"/>
        </w:rPr>
        <w:t>1,2,3-</w:t>
      </w:r>
      <w:r w:rsidRPr="00164319">
        <w:rPr>
          <w:sz w:val="20"/>
          <w:szCs w:val="20"/>
          <w:lang w:val="en-US"/>
        </w:rPr>
        <w:t>triazole-tethered triterpenoid-AZT conjugates. Twelve new hybrids were thus prepared and assessed in terms of their</w:t>
      </w:r>
      <w:r w:rsidR="0025490A" w:rsidRPr="00164319">
        <w:rPr>
          <w:sz w:val="20"/>
          <w:szCs w:val="20"/>
          <w:lang w:val="en-US"/>
        </w:rPr>
        <w:t xml:space="preserve"> cytotoxic activity, revealing an interesting </w:t>
      </w:r>
      <w:r w:rsidR="00106890">
        <w:rPr>
          <w:sz w:val="20"/>
          <w:szCs w:val="20"/>
          <w:lang w:val="en-US"/>
        </w:rPr>
        <w:t xml:space="preserve">anticancer </w:t>
      </w:r>
      <w:r w:rsidR="0025490A" w:rsidRPr="00164319">
        <w:rPr>
          <w:sz w:val="20"/>
          <w:szCs w:val="20"/>
          <w:lang w:val="en-US"/>
        </w:rPr>
        <w:t xml:space="preserve">activity of five </w:t>
      </w:r>
      <w:r w:rsidR="00FD53B0">
        <w:rPr>
          <w:sz w:val="20"/>
          <w:szCs w:val="20"/>
          <w:lang w:val="en-US"/>
        </w:rPr>
        <w:t xml:space="preserve">triterpenoid-AZT </w:t>
      </w:r>
      <w:r w:rsidR="0025490A" w:rsidRPr="00164319">
        <w:rPr>
          <w:sz w:val="20"/>
          <w:szCs w:val="20"/>
          <w:lang w:val="en-US"/>
        </w:rPr>
        <w:t>hybrids on KB and Hep-G2 tumor cell lines.</w:t>
      </w:r>
    </w:p>
    <w:p w:rsidR="00E0359A" w:rsidRDefault="00E0359A" w:rsidP="006E4DDE">
      <w:pPr>
        <w:spacing w:after="120"/>
        <w:jc w:val="both"/>
        <w:rPr>
          <w:rFonts w:eastAsia="Times New Roman" w:cs="Times New Roman"/>
          <w:lang w:val="en-US"/>
        </w:rPr>
      </w:pPr>
    </w:p>
    <w:p w:rsidR="00164319" w:rsidRPr="00164319" w:rsidRDefault="00164319" w:rsidP="006E4DDE">
      <w:pPr>
        <w:spacing w:after="120"/>
        <w:jc w:val="both"/>
        <w:rPr>
          <w:rFonts w:eastAsia="Times New Roman" w:cs="Times New Roman"/>
          <w:lang w:val="en-US"/>
        </w:rPr>
      </w:pPr>
    </w:p>
    <w:p w:rsidR="00FF3D25" w:rsidRPr="00164319" w:rsidRDefault="001B62A1" w:rsidP="006E4DDE">
      <w:pPr>
        <w:pStyle w:val="ElsParagraph"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 w:rsidRPr="00164319">
        <w:rPr>
          <w:rFonts w:asciiTheme="minorHAnsi" w:hAnsiTheme="minorHAnsi"/>
          <w:sz w:val="22"/>
          <w:szCs w:val="22"/>
        </w:rPr>
        <w:t xml:space="preserve">Pharmacophore hybridization, in which two bioactive moieties are covalently linked and available as a single hybrid entity, has emerged as a privileged strategy in drug discovery for the development of new </w:t>
      </w:r>
      <w:r w:rsidR="00FD53B0">
        <w:rPr>
          <w:rFonts w:asciiTheme="minorHAnsi" w:hAnsiTheme="minorHAnsi"/>
          <w:sz w:val="22"/>
          <w:szCs w:val="22"/>
        </w:rPr>
        <w:t>molecules</w:t>
      </w:r>
      <w:r w:rsidRPr="00164319">
        <w:rPr>
          <w:rFonts w:asciiTheme="minorHAnsi" w:hAnsiTheme="minorHAnsi"/>
          <w:sz w:val="22"/>
          <w:szCs w:val="22"/>
        </w:rPr>
        <w:t xml:space="preserve"> with pronounced biological activities.</w:t>
      </w:r>
      <w:r w:rsidR="00E40AB7">
        <w:rPr>
          <w:rStyle w:val="Eindnootmarkering"/>
          <w:rFonts w:asciiTheme="minorHAnsi" w:hAnsiTheme="minorHAnsi"/>
          <w:sz w:val="22"/>
          <w:szCs w:val="22"/>
        </w:rPr>
        <w:endnoteReference w:id="2"/>
      </w:r>
      <w:r w:rsidRPr="00164319">
        <w:rPr>
          <w:rFonts w:asciiTheme="minorHAnsi" w:hAnsiTheme="minorHAnsi"/>
          <w:sz w:val="22"/>
          <w:szCs w:val="22"/>
        </w:rPr>
        <w:t xml:space="preserve"> Many relevant </w:t>
      </w:r>
      <w:r w:rsidR="00FD53B0">
        <w:rPr>
          <w:rFonts w:asciiTheme="minorHAnsi" w:hAnsiTheme="minorHAnsi"/>
          <w:sz w:val="22"/>
          <w:szCs w:val="22"/>
        </w:rPr>
        <w:t xml:space="preserve">“privileged” </w:t>
      </w:r>
      <w:r w:rsidRPr="00164319">
        <w:rPr>
          <w:rFonts w:asciiTheme="minorHAnsi" w:hAnsiTheme="minorHAnsi"/>
          <w:sz w:val="22"/>
          <w:szCs w:val="22"/>
        </w:rPr>
        <w:t>scaffolds can be selected as eligible pharmacophores for molecular hybridization</w:t>
      </w:r>
      <w:r w:rsidR="005A5B81" w:rsidRPr="00164319">
        <w:rPr>
          <w:rFonts w:asciiTheme="minorHAnsi" w:hAnsiTheme="minorHAnsi"/>
          <w:sz w:val="22"/>
          <w:szCs w:val="22"/>
        </w:rPr>
        <w:t>,but it is evident that a broad activity spectrum of the monomeric scaffolds is favorable in the pursuit of potential new hit compounds.</w:t>
      </w:r>
      <w:r w:rsidR="006D2B4C" w:rsidRPr="00164319">
        <w:rPr>
          <w:rFonts w:asciiTheme="minorHAnsi" w:hAnsiTheme="minorHAnsi"/>
          <w:sz w:val="22"/>
          <w:szCs w:val="22"/>
        </w:rPr>
        <w:t>For example, t</w:t>
      </w:r>
      <w:r w:rsidR="00FF3D25" w:rsidRPr="00164319">
        <w:rPr>
          <w:rFonts w:asciiTheme="minorHAnsi" w:hAnsiTheme="minorHAnsi"/>
          <w:sz w:val="22"/>
          <w:szCs w:val="22"/>
        </w:rPr>
        <w:t>he pentacyclic</w:t>
      </w:r>
      <w:r w:rsidR="006957B9" w:rsidRPr="00164319">
        <w:rPr>
          <w:rFonts w:asciiTheme="minorHAnsi" w:hAnsiTheme="minorHAnsi"/>
          <w:sz w:val="22"/>
          <w:szCs w:val="22"/>
        </w:rPr>
        <w:t>lupane</w:t>
      </w:r>
      <w:r w:rsidR="00FF3D25" w:rsidRPr="00164319">
        <w:rPr>
          <w:rFonts w:asciiTheme="minorHAnsi" w:hAnsiTheme="minorHAnsi"/>
          <w:sz w:val="22"/>
          <w:szCs w:val="22"/>
        </w:rPr>
        <w:t xml:space="preserve">triterpenoidbetulinic acid, isolated from the bark of several plant species, has attracted considerable attention in recent years because of its association with </w:t>
      </w:r>
      <w:r w:rsidR="00E40AB7">
        <w:rPr>
          <w:rFonts w:asciiTheme="minorHAnsi" w:hAnsiTheme="minorHAnsi"/>
          <w:sz w:val="22"/>
          <w:szCs w:val="22"/>
        </w:rPr>
        <w:t>diverse biological activities</w:t>
      </w:r>
      <w:r w:rsidR="00FF3D25" w:rsidRPr="00164319">
        <w:rPr>
          <w:rFonts w:asciiTheme="minorHAnsi" w:hAnsiTheme="minorHAnsi"/>
          <w:sz w:val="22"/>
          <w:szCs w:val="22"/>
        </w:rPr>
        <w:t xml:space="preserve">. </w:t>
      </w:r>
      <w:r w:rsidR="00E40AB7">
        <w:rPr>
          <w:rFonts w:asciiTheme="minorHAnsi" w:hAnsiTheme="minorHAnsi"/>
          <w:sz w:val="22"/>
          <w:szCs w:val="22"/>
        </w:rPr>
        <w:t>In particular</w:t>
      </w:r>
      <w:r w:rsidR="00FF3D25" w:rsidRPr="00164319">
        <w:rPr>
          <w:rFonts w:asciiTheme="minorHAnsi" w:hAnsiTheme="minorHAnsi"/>
          <w:sz w:val="22"/>
          <w:szCs w:val="22"/>
        </w:rPr>
        <w:t>, betulinic acid and its derivatives</w:t>
      </w:r>
      <w:r w:rsidR="006957B9" w:rsidRPr="00164319">
        <w:rPr>
          <w:rFonts w:asciiTheme="minorHAnsi" w:hAnsiTheme="minorHAnsi"/>
          <w:sz w:val="22"/>
          <w:szCs w:val="22"/>
        </w:rPr>
        <w:t xml:space="preserve"> (such as oleanoic acid, ursolic acid and other triterpenoids)</w:t>
      </w:r>
      <w:r w:rsidR="00FF3D25" w:rsidRPr="00164319">
        <w:rPr>
          <w:rFonts w:asciiTheme="minorHAnsi" w:hAnsiTheme="minorHAnsi"/>
          <w:sz w:val="22"/>
          <w:szCs w:val="22"/>
        </w:rPr>
        <w:t xml:space="preserve"> have been </w:t>
      </w:r>
      <w:r w:rsidRPr="00164319">
        <w:rPr>
          <w:rFonts w:asciiTheme="minorHAnsi" w:hAnsiTheme="minorHAnsi"/>
          <w:sz w:val="22"/>
          <w:szCs w:val="22"/>
        </w:rPr>
        <w:t xml:space="preserve">reported to be effective against a variety of </w:t>
      </w:r>
      <w:r w:rsidR="006957B9" w:rsidRPr="00164319">
        <w:rPr>
          <w:rFonts w:asciiTheme="minorHAnsi" w:hAnsiTheme="minorHAnsi"/>
          <w:sz w:val="22"/>
          <w:szCs w:val="22"/>
        </w:rPr>
        <w:t>cancer</w:t>
      </w:r>
      <w:r w:rsidRPr="00164319">
        <w:rPr>
          <w:rFonts w:asciiTheme="minorHAnsi" w:hAnsiTheme="minorHAnsi"/>
          <w:sz w:val="22"/>
          <w:szCs w:val="22"/>
        </w:rPr>
        <w:t xml:space="preserve"> cell lines</w:t>
      </w:r>
      <w:r w:rsidR="006D2B4C" w:rsidRPr="00164319">
        <w:rPr>
          <w:rFonts w:asciiTheme="minorHAnsi" w:hAnsiTheme="minorHAnsi"/>
          <w:sz w:val="22"/>
          <w:szCs w:val="22"/>
        </w:rPr>
        <w:t>,</w:t>
      </w:r>
      <w:r w:rsidR="006668D5">
        <w:rPr>
          <w:rStyle w:val="Eindnootmarkering"/>
          <w:rFonts w:asciiTheme="minorHAnsi" w:hAnsiTheme="minorHAnsi"/>
          <w:sz w:val="22"/>
          <w:szCs w:val="22"/>
        </w:rPr>
        <w:endnoteReference w:id="3"/>
      </w:r>
      <w:r w:rsidR="006D2B4C" w:rsidRPr="00164319">
        <w:rPr>
          <w:rFonts w:asciiTheme="minorHAnsi" w:hAnsiTheme="minorHAnsi"/>
          <w:sz w:val="22"/>
          <w:szCs w:val="22"/>
        </w:rPr>
        <w:t xml:space="preserve"> rendering this </w:t>
      </w:r>
      <w:r w:rsidR="00FD53B0">
        <w:rPr>
          <w:rFonts w:asciiTheme="minorHAnsi" w:hAnsiTheme="minorHAnsi"/>
          <w:sz w:val="22"/>
          <w:szCs w:val="22"/>
        </w:rPr>
        <w:t xml:space="preserve">class of </w:t>
      </w:r>
      <w:r w:rsidR="006D2B4C" w:rsidRPr="00164319">
        <w:rPr>
          <w:rFonts w:asciiTheme="minorHAnsi" w:hAnsiTheme="minorHAnsi"/>
          <w:sz w:val="22"/>
          <w:szCs w:val="22"/>
        </w:rPr>
        <w:t>natural product</w:t>
      </w:r>
      <w:r w:rsidR="00FD53B0">
        <w:rPr>
          <w:rFonts w:asciiTheme="minorHAnsi" w:hAnsiTheme="minorHAnsi"/>
          <w:sz w:val="22"/>
          <w:szCs w:val="22"/>
        </w:rPr>
        <w:t>s</w:t>
      </w:r>
      <w:r w:rsidR="006D2B4C" w:rsidRPr="00164319">
        <w:rPr>
          <w:rFonts w:asciiTheme="minorHAnsi" w:hAnsiTheme="minorHAnsi"/>
          <w:sz w:val="22"/>
          <w:szCs w:val="22"/>
        </w:rPr>
        <w:t xml:space="preserve"> suitable candidate</w:t>
      </w:r>
      <w:r w:rsidR="00FD53B0">
        <w:rPr>
          <w:rFonts w:asciiTheme="minorHAnsi" w:hAnsiTheme="minorHAnsi"/>
          <w:sz w:val="22"/>
          <w:szCs w:val="22"/>
        </w:rPr>
        <w:t>s</w:t>
      </w:r>
      <w:r w:rsidR="006D2B4C" w:rsidRPr="00164319">
        <w:rPr>
          <w:rFonts w:asciiTheme="minorHAnsi" w:hAnsiTheme="minorHAnsi"/>
          <w:sz w:val="22"/>
          <w:szCs w:val="22"/>
        </w:rPr>
        <w:t xml:space="preserve"> for pharmacophore hybridization. Another privileged scaffold concerns </w:t>
      </w:r>
      <w:r w:rsidR="00FD53B0">
        <w:rPr>
          <w:rFonts w:asciiTheme="minorHAnsi" w:hAnsiTheme="minorHAnsi"/>
          <w:sz w:val="22"/>
          <w:szCs w:val="22"/>
        </w:rPr>
        <w:t>azidothymidine</w:t>
      </w:r>
      <w:r w:rsidR="006D2B4C" w:rsidRPr="00164319">
        <w:rPr>
          <w:rFonts w:asciiTheme="minorHAnsi" w:hAnsiTheme="minorHAnsi"/>
          <w:sz w:val="22"/>
          <w:szCs w:val="22"/>
        </w:rPr>
        <w:t xml:space="preserve"> (AZT</w:t>
      </w:r>
      <w:r w:rsidR="00FD53B0">
        <w:rPr>
          <w:rFonts w:asciiTheme="minorHAnsi" w:hAnsiTheme="minorHAnsi"/>
          <w:sz w:val="22"/>
          <w:szCs w:val="22"/>
        </w:rPr>
        <w:t>, zidovudine</w:t>
      </w:r>
      <w:r w:rsidR="006D2B4C" w:rsidRPr="00164319">
        <w:rPr>
          <w:rFonts w:asciiTheme="minorHAnsi" w:hAnsiTheme="minorHAnsi"/>
          <w:sz w:val="22"/>
          <w:szCs w:val="22"/>
        </w:rPr>
        <w:t xml:space="preserve">), a </w:t>
      </w:r>
      <w:r w:rsidR="00FF3D25" w:rsidRPr="00164319">
        <w:rPr>
          <w:rFonts w:asciiTheme="minorHAnsi" w:hAnsiTheme="minorHAnsi"/>
          <w:sz w:val="22"/>
          <w:szCs w:val="22"/>
        </w:rPr>
        <w:t xml:space="preserve">nucleoside </w:t>
      </w:r>
      <w:r w:rsidR="006D2B4C" w:rsidRPr="00164319">
        <w:rPr>
          <w:rFonts w:asciiTheme="minorHAnsi" w:hAnsiTheme="minorHAnsi"/>
          <w:sz w:val="22"/>
          <w:szCs w:val="22"/>
        </w:rPr>
        <w:t>reverse transcriptase inhibitorused</w:t>
      </w:r>
      <w:r w:rsidR="00FF3D25" w:rsidRPr="00164319">
        <w:rPr>
          <w:rFonts w:asciiTheme="minorHAnsi" w:hAnsiTheme="minorHAnsi"/>
          <w:sz w:val="22"/>
          <w:szCs w:val="22"/>
        </w:rPr>
        <w:t xml:space="preserve"> for the treatment of </w:t>
      </w:r>
      <w:r w:rsidR="006D2B4C" w:rsidRPr="00164319">
        <w:rPr>
          <w:rFonts w:asciiTheme="minorHAnsi" w:hAnsiTheme="minorHAnsi"/>
          <w:sz w:val="22"/>
          <w:szCs w:val="22"/>
        </w:rPr>
        <w:t xml:space="preserve">HIV </w:t>
      </w:r>
      <w:r w:rsidR="00FF3D25" w:rsidRPr="00164319">
        <w:rPr>
          <w:rFonts w:asciiTheme="minorHAnsi" w:hAnsiTheme="minorHAnsi"/>
          <w:sz w:val="22"/>
          <w:szCs w:val="22"/>
        </w:rPr>
        <w:t xml:space="preserve">infections. Recently, AZT has </w:t>
      </w:r>
      <w:r w:rsidR="006D2B4C" w:rsidRPr="00164319">
        <w:rPr>
          <w:rFonts w:asciiTheme="minorHAnsi" w:hAnsiTheme="minorHAnsi"/>
          <w:sz w:val="22"/>
          <w:szCs w:val="22"/>
        </w:rPr>
        <w:t xml:space="preserve">also </w:t>
      </w:r>
      <w:r w:rsidR="00FF3D25" w:rsidRPr="00164319">
        <w:rPr>
          <w:rFonts w:asciiTheme="minorHAnsi" w:hAnsiTheme="minorHAnsi"/>
          <w:sz w:val="22"/>
          <w:szCs w:val="22"/>
        </w:rPr>
        <w:t xml:space="preserve">been reported to </w:t>
      </w:r>
      <w:r w:rsidR="006D2B4C" w:rsidRPr="00164319">
        <w:rPr>
          <w:rFonts w:asciiTheme="minorHAnsi" w:hAnsiTheme="minorHAnsi"/>
          <w:sz w:val="22"/>
          <w:szCs w:val="22"/>
        </w:rPr>
        <w:t>display</w:t>
      </w:r>
      <w:r w:rsidR="006957B9" w:rsidRPr="00164319">
        <w:rPr>
          <w:rFonts w:asciiTheme="minorHAnsi" w:hAnsiTheme="minorHAnsi"/>
          <w:sz w:val="22"/>
          <w:szCs w:val="22"/>
        </w:rPr>
        <w:t xml:space="preserve">pronounced </w:t>
      </w:r>
      <w:r w:rsidR="008B3A7C">
        <w:rPr>
          <w:rFonts w:asciiTheme="minorHAnsi" w:hAnsiTheme="minorHAnsi"/>
          <w:sz w:val="22"/>
          <w:szCs w:val="22"/>
        </w:rPr>
        <w:t>anti</w:t>
      </w:r>
      <w:r w:rsidR="00FF3D25" w:rsidRPr="00164319">
        <w:rPr>
          <w:rFonts w:asciiTheme="minorHAnsi" w:hAnsiTheme="minorHAnsi"/>
          <w:sz w:val="22"/>
          <w:szCs w:val="22"/>
        </w:rPr>
        <w:t xml:space="preserve">cancer </w:t>
      </w:r>
      <w:r w:rsidR="006D2B4C" w:rsidRPr="00164319">
        <w:rPr>
          <w:rFonts w:asciiTheme="minorHAnsi" w:hAnsiTheme="minorHAnsi"/>
          <w:sz w:val="22"/>
          <w:szCs w:val="22"/>
        </w:rPr>
        <w:t>activity, e</w:t>
      </w:r>
      <w:r w:rsidR="00FF3D25" w:rsidRPr="00164319">
        <w:rPr>
          <w:rFonts w:asciiTheme="minorHAnsi" w:hAnsiTheme="minorHAnsi"/>
          <w:sz w:val="22"/>
          <w:szCs w:val="22"/>
        </w:rPr>
        <w:t xml:space="preserve">specially </w:t>
      </w:r>
      <w:r w:rsidR="006D2B4C" w:rsidRPr="00164319">
        <w:rPr>
          <w:rFonts w:asciiTheme="minorHAnsi" w:hAnsiTheme="minorHAnsi"/>
          <w:sz w:val="22"/>
          <w:szCs w:val="22"/>
        </w:rPr>
        <w:t>in combination</w:t>
      </w:r>
      <w:r w:rsidR="00FF3D25" w:rsidRPr="00164319">
        <w:rPr>
          <w:rFonts w:asciiTheme="minorHAnsi" w:hAnsiTheme="minorHAnsi"/>
          <w:sz w:val="22"/>
          <w:szCs w:val="22"/>
        </w:rPr>
        <w:t xml:space="preserve"> with </w:t>
      </w:r>
      <w:r w:rsidR="008B3A7C">
        <w:rPr>
          <w:rFonts w:asciiTheme="minorHAnsi" w:hAnsiTheme="minorHAnsi"/>
          <w:sz w:val="22"/>
          <w:szCs w:val="22"/>
        </w:rPr>
        <w:t>other anti</w:t>
      </w:r>
      <w:r w:rsidR="006D2B4C" w:rsidRPr="00164319">
        <w:rPr>
          <w:rFonts w:asciiTheme="minorHAnsi" w:hAnsiTheme="minorHAnsi"/>
          <w:sz w:val="22"/>
          <w:szCs w:val="22"/>
        </w:rPr>
        <w:t>tumor agents</w:t>
      </w:r>
      <w:r w:rsidR="00FF3D25" w:rsidRPr="00164319">
        <w:rPr>
          <w:rFonts w:asciiTheme="minorHAnsi" w:hAnsiTheme="minorHAnsi"/>
          <w:sz w:val="22"/>
          <w:szCs w:val="22"/>
        </w:rPr>
        <w:t xml:space="preserve"> such as 5-fl</w:t>
      </w:r>
      <w:r w:rsidR="00363A82">
        <w:rPr>
          <w:rFonts w:asciiTheme="minorHAnsi" w:hAnsiTheme="minorHAnsi"/>
          <w:sz w:val="22"/>
          <w:szCs w:val="22"/>
        </w:rPr>
        <w:t>uo</w:t>
      </w:r>
      <w:r w:rsidR="00FD53B0">
        <w:rPr>
          <w:rFonts w:asciiTheme="minorHAnsi" w:hAnsiTheme="minorHAnsi"/>
          <w:sz w:val="22"/>
          <w:szCs w:val="22"/>
        </w:rPr>
        <w:t>rouracil, cisplatin</w:t>
      </w:r>
      <w:r w:rsidR="00FF3D25" w:rsidRPr="00164319">
        <w:rPr>
          <w:rFonts w:asciiTheme="minorHAnsi" w:hAnsiTheme="minorHAnsi"/>
          <w:sz w:val="22"/>
          <w:szCs w:val="22"/>
        </w:rPr>
        <w:t xml:space="preserve"> and paclitaxel.</w:t>
      </w:r>
      <w:r w:rsidR="006454BB">
        <w:rPr>
          <w:rStyle w:val="Eindnootmarkering"/>
          <w:rFonts w:asciiTheme="minorHAnsi" w:hAnsiTheme="minorHAnsi"/>
          <w:sz w:val="22"/>
          <w:szCs w:val="22"/>
        </w:rPr>
        <w:endnoteReference w:id="4"/>
      </w:r>
    </w:p>
    <w:p w:rsidR="00D96B1A" w:rsidRPr="00164319" w:rsidRDefault="006957B9" w:rsidP="006D2B4C">
      <w:pPr>
        <w:pStyle w:val="ElsParagraph"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 w:rsidRPr="00164319">
        <w:rPr>
          <w:rFonts w:asciiTheme="minorHAnsi" w:hAnsiTheme="minorHAnsi"/>
          <w:sz w:val="22"/>
          <w:szCs w:val="22"/>
        </w:rPr>
        <w:t>Despite their high biological potential, the combination of</w:t>
      </w:r>
      <w:r w:rsidR="00D96B1A" w:rsidRPr="00164319">
        <w:rPr>
          <w:rFonts w:asciiTheme="minorHAnsi" w:hAnsiTheme="minorHAnsi"/>
          <w:sz w:val="22"/>
          <w:szCs w:val="22"/>
        </w:rPr>
        <w:t>triterpenoid</w:t>
      </w:r>
      <w:r w:rsidRPr="00164319">
        <w:rPr>
          <w:rFonts w:asciiTheme="minorHAnsi" w:hAnsiTheme="minorHAnsi"/>
          <w:sz w:val="22"/>
          <w:szCs w:val="22"/>
        </w:rPr>
        <w:t xml:space="preserve">s and AZT into </w:t>
      </w:r>
      <w:r w:rsidR="00D96B1A" w:rsidRPr="00164319">
        <w:rPr>
          <w:rFonts w:asciiTheme="minorHAnsi" w:hAnsiTheme="minorHAnsi"/>
          <w:sz w:val="22"/>
          <w:szCs w:val="22"/>
        </w:rPr>
        <w:t>single hybrid molecule</w:t>
      </w:r>
      <w:r w:rsidRPr="00164319">
        <w:rPr>
          <w:rFonts w:asciiTheme="minorHAnsi" w:hAnsiTheme="minorHAnsi"/>
          <w:sz w:val="22"/>
          <w:szCs w:val="22"/>
        </w:rPr>
        <w:t>s</w:t>
      </w:r>
      <w:r w:rsidR="00D96B1A" w:rsidRPr="00164319">
        <w:rPr>
          <w:rFonts w:asciiTheme="minorHAnsi" w:hAnsiTheme="minorHAnsi"/>
          <w:sz w:val="22"/>
          <w:szCs w:val="22"/>
        </w:rPr>
        <w:t xml:space="preserve"> has been studied to a </w:t>
      </w:r>
      <w:r w:rsidRPr="00164319">
        <w:rPr>
          <w:rFonts w:asciiTheme="minorHAnsi" w:hAnsiTheme="minorHAnsi"/>
          <w:sz w:val="22"/>
          <w:szCs w:val="22"/>
        </w:rPr>
        <w:t xml:space="preserve">rather </w:t>
      </w:r>
      <w:r w:rsidR="00D96B1A" w:rsidRPr="00164319">
        <w:rPr>
          <w:rFonts w:asciiTheme="minorHAnsi" w:hAnsiTheme="minorHAnsi"/>
          <w:sz w:val="22"/>
          <w:szCs w:val="22"/>
        </w:rPr>
        <w:t xml:space="preserve">limited extent up to now.A tangible example </w:t>
      </w:r>
      <w:r w:rsidR="0091369C" w:rsidRPr="00164319">
        <w:rPr>
          <w:rFonts w:asciiTheme="minorHAnsi" w:hAnsiTheme="minorHAnsi"/>
          <w:sz w:val="22"/>
          <w:szCs w:val="22"/>
        </w:rPr>
        <w:t>concerns atriterpenoid-AZT conjugate</w:t>
      </w:r>
      <w:r w:rsidR="009D6ED8" w:rsidRPr="00164319">
        <w:rPr>
          <w:rFonts w:asciiTheme="minorHAnsi" w:hAnsiTheme="minorHAnsi"/>
          <w:sz w:val="22"/>
          <w:szCs w:val="22"/>
        </w:rPr>
        <w:t xml:space="preserve"> which has been shown to possess potent anti-HIV activity.</w:t>
      </w:r>
      <w:r w:rsidR="00AC621C">
        <w:rPr>
          <w:rStyle w:val="Eindnootmarkering"/>
          <w:rFonts w:asciiTheme="minorHAnsi" w:hAnsiTheme="minorHAnsi"/>
          <w:sz w:val="22"/>
          <w:szCs w:val="22"/>
        </w:rPr>
        <w:endnoteReference w:id="5"/>
      </w:r>
      <w:r w:rsidRPr="00164319">
        <w:rPr>
          <w:rFonts w:asciiTheme="minorHAnsi" w:hAnsiTheme="minorHAnsi"/>
          <w:sz w:val="22"/>
          <w:szCs w:val="22"/>
        </w:rPr>
        <w:t>Other notable literature examples deal with the synthesis of 1,2,3-triazole-substituted betulinic, oleanoic and ursonic acid derivatives</w:t>
      </w:r>
      <w:r w:rsidR="006B2946" w:rsidRPr="00164319">
        <w:rPr>
          <w:rFonts w:asciiTheme="minorHAnsi" w:hAnsiTheme="minorHAnsi"/>
          <w:sz w:val="22"/>
          <w:szCs w:val="22"/>
        </w:rPr>
        <w:t xml:space="preserve"> and their assessment</w:t>
      </w:r>
      <w:r w:rsidRPr="00164319">
        <w:rPr>
          <w:rFonts w:asciiTheme="minorHAnsi" w:hAnsiTheme="minorHAnsi"/>
          <w:sz w:val="22"/>
          <w:szCs w:val="22"/>
        </w:rPr>
        <w:t xml:space="preserve"> as anticancer agents.</w:t>
      </w:r>
      <w:r w:rsidR="00E11237">
        <w:rPr>
          <w:rStyle w:val="Eindnootmarkering"/>
          <w:rFonts w:asciiTheme="minorHAnsi" w:hAnsiTheme="minorHAnsi"/>
          <w:sz w:val="22"/>
          <w:szCs w:val="22"/>
        </w:rPr>
        <w:endnoteReference w:id="6"/>
      </w:r>
      <w:r w:rsidR="0091369C" w:rsidRPr="00164319">
        <w:rPr>
          <w:rFonts w:asciiTheme="minorHAnsi" w:hAnsiTheme="minorHAnsi"/>
          <w:sz w:val="22"/>
          <w:szCs w:val="22"/>
        </w:rPr>
        <w:t>Considering the documented anticancer ac</w:t>
      </w:r>
      <w:r w:rsidR="00FD53B0">
        <w:rPr>
          <w:rFonts w:asciiTheme="minorHAnsi" w:hAnsiTheme="minorHAnsi"/>
          <w:sz w:val="22"/>
          <w:szCs w:val="22"/>
        </w:rPr>
        <w:t>tivity of triterpenoids and AZT,</w:t>
      </w:r>
      <w:r w:rsidR="00491D9F" w:rsidRPr="00164319">
        <w:rPr>
          <w:rFonts w:asciiTheme="minorHAnsi" w:hAnsiTheme="minorHAnsi"/>
          <w:sz w:val="22"/>
          <w:szCs w:val="22"/>
        </w:rPr>
        <w:t xml:space="preserve">it is </w:t>
      </w:r>
      <w:r w:rsidR="00AC621C">
        <w:rPr>
          <w:rFonts w:asciiTheme="minorHAnsi" w:hAnsiTheme="minorHAnsi"/>
          <w:sz w:val="22"/>
          <w:szCs w:val="22"/>
        </w:rPr>
        <w:t>reasonable</w:t>
      </w:r>
      <w:r w:rsidR="00F404A7" w:rsidRPr="00164319">
        <w:rPr>
          <w:rFonts w:asciiTheme="minorHAnsi" w:hAnsiTheme="minorHAnsi"/>
          <w:sz w:val="22"/>
          <w:szCs w:val="22"/>
        </w:rPr>
        <w:t xml:space="preserve"> to suggest</w:t>
      </w:r>
      <w:r w:rsidR="00491D9F" w:rsidRPr="00164319">
        <w:rPr>
          <w:rFonts w:asciiTheme="minorHAnsi" w:hAnsiTheme="minorHAnsi"/>
          <w:sz w:val="22"/>
          <w:szCs w:val="22"/>
        </w:rPr>
        <w:t xml:space="preserve"> that the construction of novel triterpenoid-AZT conjugates might result in the identification of useful </w:t>
      </w:r>
      <w:r w:rsidR="006B2946" w:rsidRPr="00164319">
        <w:rPr>
          <w:rFonts w:asciiTheme="minorHAnsi" w:hAnsiTheme="minorHAnsi"/>
          <w:sz w:val="22"/>
          <w:szCs w:val="22"/>
        </w:rPr>
        <w:t xml:space="preserve">anticancer </w:t>
      </w:r>
      <w:r w:rsidR="00491D9F" w:rsidRPr="00164319">
        <w:rPr>
          <w:rFonts w:asciiTheme="minorHAnsi" w:hAnsiTheme="minorHAnsi"/>
          <w:sz w:val="22"/>
          <w:szCs w:val="22"/>
        </w:rPr>
        <w:t xml:space="preserve">hits for further </w:t>
      </w:r>
      <w:r w:rsidR="00491D9F" w:rsidRPr="00164319">
        <w:rPr>
          <w:rFonts w:asciiTheme="minorHAnsi" w:hAnsiTheme="minorHAnsi"/>
          <w:sz w:val="22"/>
          <w:szCs w:val="22"/>
        </w:rPr>
        <w:lastRenderedPageBreak/>
        <w:t>elaboration. Thus, i</w:t>
      </w:r>
      <w:r w:rsidR="009D6ED8" w:rsidRPr="00164319">
        <w:rPr>
          <w:rFonts w:asciiTheme="minorHAnsi" w:hAnsiTheme="minorHAnsi"/>
          <w:sz w:val="22"/>
          <w:szCs w:val="22"/>
        </w:rPr>
        <w:t xml:space="preserve">n the present work, new triazole-tethered triterpenoid-AZT hybrids are targeted </w:t>
      </w:r>
      <w:r w:rsidR="00D90E17" w:rsidRPr="00164319">
        <w:rPr>
          <w:rFonts w:asciiTheme="minorHAnsi" w:hAnsiTheme="minorHAnsi"/>
          <w:sz w:val="22"/>
          <w:szCs w:val="22"/>
        </w:rPr>
        <w:t xml:space="preserve">as potential cytotoxic agents </w:t>
      </w:r>
      <w:r w:rsidR="009D6ED8" w:rsidRPr="00164319">
        <w:rPr>
          <w:rFonts w:asciiTheme="minorHAnsi" w:hAnsiTheme="minorHAnsi"/>
          <w:sz w:val="22"/>
          <w:szCs w:val="22"/>
        </w:rPr>
        <w:t xml:space="preserve">by means of click chemistry-mediated fusion between AZT </w:t>
      </w:r>
      <w:r w:rsidR="00E0359A" w:rsidRPr="00164319">
        <w:rPr>
          <w:rFonts w:asciiTheme="minorHAnsi" w:hAnsiTheme="minorHAnsi"/>
          <w:sz w:val="22"/>
          <w:szCs w:val="22"/>
        </w:rPr>
        <w:t xml:space="preserve">on the one hand </w:t>
      </w:r>
      <w:r w:rsidR="009D6ED8" w:rsidRPr="00164319">
        <w:rPr>
          <w:rFonts w:asciiTheme="minorHAnsi" w:hAnsiTheme="minorHAnsi"/>
          <w:sz w:val="22"/>
          <w:szCs w:val="22"/>
        </w:rPr>
        <w:t xml:space="preserve">and betulinic acid, ursolic acid, oleanoic acid </w:t>
      </w:r>
      <w:r w:rsidR="00E0359A" w:rsidRPr="00164319">
        <w:rPr>
          <w:rFonts w:asciiTheme="minorHAnsi" w:hAnsiTheme="minorHAnsi"/>
          <w:sz w:val="22"/>
          <w:szCs w:val="22"/>
        </w:rPr>
        <w:t>or one of</w:t>
      </w:r>
      <w:r w:rsidR="00E35BF8" w:rsidRPr="00164319">
        <w:rPr>
          <w:rFonts w:asciiTheme="minorHAnsi" w:hAnsiTheme="minorHAnsi"/>
          <w:sz w:val="22"/>
          <w:szCs w:val="22"/>
        </w:rPr>
        <w:t>their</w:t>
      </w:r>
      <w:r w:rsidR="009D6ED8" w:rsidRPr="00164319">
        <w:rPr>
          <w:rFonts w:asciiTheme="minorHAnsi" w:hAnsiTheme="minorHAnsi"/>
          <w:sz w:val="22"/>
          <w:szCs w:val="22"/>
        </w:rPr>
        <w:t xml:space="preserve"> derivatives</w:t>
      </w:r>
      <w:r w:rsidR="00E0359A" w:rsidRPr="00164319">
        <w:rPr>
          <w:rFonts w:asciiTheme="minorHAnsi" w:hAnsiTheme="minorHAnsi"/>
          <w:sz w:val="22"/>
          <w:szCs w:val="22"/>
        </w:rPr>
        <w:t xml:space="preserve"> on the other hand.</w:t>
      </w:r>
      <w:r w:rsidR="006B2946" w:rsidRPr="00164319">
        <w:rPr>
          <w:rFonts w:asciiTheme="minorHAnsi" w:hAnsiTheme="minorHAnsi"/>
          <w:sz w:val="22"/>
          <w:szCs w:val="22"/>
        </w:rPr>
        <w:t xml:space="preserve"> In light of the known biological properties of </w:t>
      </w:r>
      <w:r w:rsidR="00FD53B0">
        <w:rPr>
          <w:rFonts w:asciiTheme="minorHAnsi" w:hAnsiTheme="minorHAnsi"/>
          <w:sz w:val="22"/>
          <w:szCs w:val="22"/>
        </w:rPr>
        <w:t xml:space="preserve">functionalized </w:t>
      </w:r>
      <w:r w:rsidR="006B2946" w:rsidRPr="00164319">
        <w:rPr>
          <w:rFonts w:asciiTheme="minorHAnsi" w:hAnsiTheme="minorHAnsi"/>
          <w:sz w:val="22"/>
          <w:szCs w:val="22"/>
        </w:rPr>
        <w:t>triazoles,</w:t>
      </w:r>
      <w:r w:rsidR="00AC621C">
        <w:rPr>
          <w:rStyle w:val="Eindnootmarkering"/>
          <w:rFonts w:asciiTheme="minorHAnsi" w:hAnsiTheme="minorHAnsi"/>
          <w:sz w:val="22"/>
          <w:szCs w:val="22"/>
        </w:rPr>
        <w:endnoteReference w:id="7"/>
      </w:r>
      <w:r w:rsidR="006B2946" w:rsidRPr="00164319">
        <w:rPr>
          <w:rFonts w:asciiTheme="minorHAnsi" w:hAnsiTheme="minorHAnsi"/>
          <w:sz w:val="22"/>
          <w:szCs w:val="22"/>
        </w:rPr>
        <w:t xml:space="preserve"> the introduction of a triazole linker in the premised triterpenoid-AZT conjugates might contribute to the overall activity of these hybrid systems</w:t>
      </w:r>
      <w:r w:rsidR="008B3A7C">
        <w:rPr>
          <w:rFonts w:asciiTheme="minorHAnsi" w:hAnsiTheme="minorHAnsi"/>
          <w:sz w:val="22"/>
          <w:szCs w:val="22"/>
        </w:rPr>
        <w:t xml:space="preserve"> as well</w:t>
      </w:r>
      <w:r w:rsidR="006B2946" w:rsidRPr="00164319">
        <w:rPr>
          <w:rFonts w:asciiTheme="minorHAnsi" w:hAnsiTheme="minorHAnsi"/>
          <w:sz w:val="22"/>
          <w:szCs w:val="22"/>
        </w:rPr>
        <w:t>.</w:t>
      </w:r>
    </w:p>
    <w:p w:rsidR="008C5222" w:rsidRPr="00164319" w:rsidRDefault="008C5222" w:rsidP="00FF3D25">
      <w:pPr>
        <w:spacing w:after="120"/>
        <w:jc w:val="both"/>
        <w:rPr>
          <w:lang w:val="en-US"/>
        </w:rPr>
      </w:pPr>
    </w:p>
    <w:p w:rsidR="007602CB" w:rsidRPr="00164319" w:rsidRDefault="007602CB" w:rsidP="00FF3D25">
      <w:pPr>
        <w:spacing w:after="120"/>
        <w:jc w:val="both"/>
        <w:rPr>
          <w:lang w:val="en-US"/>
        </w:rPr>
      </w:pPr>
      <w:r w:rsidRPr="00164319">
        <w:rPr>
          <w:lang w:val="en-US"/>
        </w:rPr>
        <w:t xml:space="preserve">A powerful </w:t>
      </w:r>
      <w:r w:rsidR="007046A7" w:rsidRPr="00164319">
        <w:rPr>
          <w:lang w:val="en-US"/>
        </w:rPr>
        <w:t xml:space="preserve">synthetic </w:t>
      </w:r>
      <w:r w:rsidRPr="00164319">
        <w:rPr>
          <w:lang w:val="en-US"/>
        </w:rPr>
        <w:t>methodology for the fusion of two chemical entities involves the Cu(I)-catalyzed azide alkyne Huisgen cycloaddition, which has gained major interest due to its high efficiency and selectivity.</w:t>
      </w:r>
      <w:r w:rsidR="00AC621C">
        <w:rPr>
          <w:rStyle w:val="Eindnootmarkering"/>
          <w:lang w:val="en-US"/>
        </w:rPr>
        <w:endnoteReference w:id="8"/>
      </w:r>
      <w:r w:rsidR="007046A7" w:rsidRPr="00164319">
        <w:rPr>
          <w:lang w:val="en-US"/>
        </w:rPr>
        <w:t xml:space="preserve">In that respect, a synthetic approach toward novel </w:t>
      </w:r>
      <w:r w:rsidR="00E0359A" w:rsidRPr="00164319">
        <w:rPr>
          <w:lang w:val="en-US"/>
        </w:rPr>
        <w:t xml:space="preserve">triazole-tethered </w:t>
      </w:r>
      <w:r w:rsidR="007046A7" w:rsidRPr="00164319">
        <w:rPr>
          <w:lang w:val="en-US"/>
        </w:rPr>
        <w:t>triterpenoid-AZT hybrids was devised based on a CuI-catalyzed 1,3-cycloaddition between propargyl-substituted triterpenoid derivatives and the azide-containing AZT.</w:t>
      </w:r>
    </w:p>
    <w:p w:rsidR="00FF3D25" w:rsidRPr="00164319" w:rsidRDefault="00E0359A" w:rsidP="00FF3D25">
      <w:pPr>
        <w:spacing w:after="120"/>
        <w:jc w:val="both"/>
        <w:rPr>
          <w:lang w:val="en-US"/>
        </w:rPr>
      </w:pPr>
      <w:r w:rsidRPr="00164319">
        <w:rPr>
          <w:lang w:val="en-US"/>
        </w:rPr>
        <w:t>To that end, the c</w:t>
      </w:r>
      <w:r w:rsidR="00551786" w:rsidRPr="00164319">
        <w:rPr>
          <w:lang w:val="en-US"/>
        </w:rPr>
        <w:t xml:space="preserve">onversion of betulinic acid </w:t>
      </w:r>
      <w:r w:rsidR="00551786" w:rsidRPr="00164319">
        <w:rPr>
          <w:b/>
          <w:lang w:val="en-US"/>
        </w:rPr>
        <w:t>1</w:t>
      </w:r>
      <w:r w:rsidR="00551786" w:rsidRPr="00164319">
        <w:rPr>
          <w:lang w:val="en-US"/>
        </w:rPr>
        <w:t xml:space="preserve"> into its propargyl ester </w:t>
      </w:r>
      <w:r w:rsidR="00BF5741" w:rsidRPr="00164319">
        <w:rPr>
          <w:b/>
          <w:lang w:val="en-US"/>
        </w:rPr>
        <w:t>2</w:t>
      </w:r>
      <w:r w:rsidR="00551786" w:rsidRPr="00164319">
        <w:rPr>
          <w:b/>
          <w:lang w:val="en-US"/>
        </w:rPr>
        <w:t>a</w:t>
      </w:r>
      <w:r w:rsidR="00551786" w:rsidRPr="00164319">
        <w:rPr>
          <w:lang w:val="en-US"/>
        </w:rPr>
        <w:t xml:space="preserve"> was realized upon treatment with 2.0 equiv of propargyl bromide in DMF/</w:t>
      </w:r>
      <w:r w:rsidR="00FF3D25" w:rsidRPr="00164319">
        <w:rPr>
          <w:lang w:val="en-US"/>
        </w:rPr>
        <w:t>THF (1:1) at room temperature</w:t>
      </w:r>
      <w:r w:rsidR="00551786" w:rsidRPr="00164319">
        <w:rPr>
          <w:lang w:val="en-US"/>
        </w:rPr>
        <w:t xml:space="preserve"> in the presence of Cs</w:t>
      </w:r>
      <w:r w:rsidR="00551786" w:rsidRPr="00164319">
        <w:rPr>
          <w:vertAlign w:val="subscript"/>
          <w:lang w:val="en-US"/>
        </w:rPr>
        <w:t>2</w:t>
      </w:r>
      <w:r w:rsidR="00551786" w:rsidRPr="00164319">
        <w:rPr>
          <w:lang w:val="en-US"/>
        </w:rPr>
        <w:t>CO</w:t>
      </w:r>
      <w:r w:rsidR="00551786" w:rsidRPr="00164319">
        <w:rPr>
          <w:vertAlign w:val="subscript"/>
          <w:lang w:val="en-US"/>
        </w:rPr>
        <w:t>3</w:t>
      </w:r>
      <w:r w:rsidRPr="00164319">
        <w:rPr>
          <w:lang w:val="en-US"/>
        </w:rPr>
        <w:t xml:space="preserve"> (Scheme 1)</w:t>
      </w:r>
      <w:r w:rsidR="00FF3D25" w:rsidRPr="00164319">
        <w:rPr>
          <w:lang w:val="en-US"/>
        </w:rPr>
        <w:t xml:space="preserve">. </w:t>
      </w:r>
      <w:r w:rsidR="00551786" w:rsidRPr="00164319">
        <w:rPr>
          <w:lang w:val="en-US"/>
        </w:rPr>
        <w:t xml:space="preserve">Subsequent </w:t>
      </w:r>
      <w:r w:rsidR="00FF3D25" w:rsidRPr="00164319">
        <w:rPr>
          <w:lang w:val="en-US"/>
        </w:rPr>
        <w:t xml:space="preserve">reaction of </w:t>
      </w:r>
      <w:r w:rsidR="00551786" w:rsidRPr="00164319">
        <w:rPr>
          <w:lang w:val="en-US"/>
        </w:rPr>
        <w:t>alkyne</w:t>
      </w:r>
      <w:r w:rsidR="00BF5741" w:rsidRPr="00164319">
        <w:rPr>
          <w:b/>
          <w:lang w:val="en-US"/>
        </w:rPr>
        <w:t>2</w:t>
      </w:r>
      <w:r w:rsidR="00FF3D25" w:rsidRPr="00164319">
        <w:rPr>
          <w:b/>
          <w:lang w:val="en-US"/>
        </w:rPr>
        <w:t>a</w:t>
      </w:r>
      <w:r w:rsidR="00FF3D25" w:rsidRPr="00164319">
        <w:rPr>
          <w:lang w:val="en-US"/>
        </w:rPr>
        <w:t xml:space="preserve"> with </w:t>
      </w:r>
      <w:r w:rsidR="00551786" w:rsidRPr="00164319">
        <w:rPr>
          <w:color w:val="000000" w:themeColor="text1"/>
          <w:lang w:val="en-US"/>
        </w:rPr>
        <w:t>0.8 equiv</w:t>
      </w:r>
      <w:r w:rsidR="00551786" w:rsidRPr="00164319">
        <w:rPr>
          <w:lang w:val="en-US"/>
        </w:rPr>
        <w:t>of</w:t>
      </w:r>
      <w:r w:rsidR="00FF3D25" w:rsidRPr="00164319">
        <w:rPr>
          <w:lang w:val="en-US"/>
        </w:rPr>
        <w:t xml:space="preserve"> AZT in the presence of CuI</w:t>
      </w:r>
      <w:r w:rsidR="00551786" w:rsidRPr="00164319">
        <w:rPr>
          <w:lang w:val="en-US"/>
        </w:rPr>
        <w:t xml:space="preserve"> (0.2 equiv)</w:t>
      </w:r>
      <w:r w:rsidR="00FF3D25" w:rsidRPr="00164319">
        <w:rPr>
          <w:lang w:val="en-US"/>
        </w:rPr>
        <w:t xml:space="preserve"> in </w:t>
      </w:r>
      <w:r w:rsidR="00FF3D25" w:rsidRPr="00164319">
        <w:rPr>
          <w:i/>
          <w:lang w:val="en-US"/>
        </w:rPr>
        <w:t>t</w:t>
      </w:r>
      <w:r w:rsidR="00FF3D25" w:rsidRPr="00164319">
        <w:rPr>
          <w:lang w:val="en-US"/>
        </w:rPr>
        <w:t>-BuOH at 70</w:t>
      </w:r>
      <w:r w:rsidR="00FF3D25" w:rsidRPr="00164319">
        <w:rPr>
          <w:vertAlign w:val="superscript"/>
          <w:lang w:val="en-US"/>
        </w:rPr>
        <w:t>o</w:t>
      </w:r>
      <w:r w:rsidR="00FF3D25" w:rsidRPr="00164319">
        <w:rPr>
          <w:lang w:val="en-US"/>
        </w:rPr>
        <w:t>C</w:t>
      </w:r>
      <w:r w:rsidR="00FD53B0">
        <w:rPr>
          <w:lang w:val="en-US"/>
        </w:rPr>
        <w:t xml:space="preserve"> for 12h</w:t>
      </w:r>
      <w:r w:rsidR="00551786" w:rsidRPr="00164319">
        <w:rPr>
          <w:lang w:val="en-US"/>
        </w:rPr>
        <w:t>resulted in the formation of triazole-tethered AZT-betulinic acid conjugate</w:t>
      </w:r>
      <w:r w:rsidR="00BF5741" w:rsidRPr="00164319">
        <w:rPr>
          <w:b/>
          <w:lang w:val="en-US"/>
        </w:rPr>
        <w:t>3</w:t>
      </w:r>
      <w:r w:rsidR="00FF3D25" w:rsidRPr="00164319">
        <w:rPr>
          <w:b/>
          <w:lang w:val="en-US"/>
        </w:rPr>
        <w:t>a</w:t>
      </w:r>
      <w:r w:rsidR="00FF3D25" w:rsidRPr="00164319">
        <w:rPr>
          <w:lang w:val="en-US"/>
        </w:rPr>
        <w:t xml:space="preserve"> in 59% yield.</w:t>
      </w:r>
      <w:r w:rsidR="00551786" w:rsidRPr="00164319">
        <w:rPr>
          <w:lang w:val="en-US"/>
        </w:rPr>
        <w:t xml:space="preserve"> Alternatively,</w:t>
      </w:r>
      <w:r w:rsidR="00127E2D" w:rsidRPr="00164319">
        <w:rPr>
          <w:lang w:val="en-US"/>
        </w:rPr>
        <w:t xml:space="preserve">propargylation of betulinic acid </w:t>
      </w:r>
      <w:r w:rsidR="00127E2D" w:rsidRPr="00164319">
        <w:rPr>
          <w:b/>
          <w:lang w:val="en-US"/>
        </w:rPr>
        <w:t>1</w:t>
      </w:r>
      <w:r w:rsidR="00127E2D" w:rsidRPr="00164319">
        <w:rPr>
          <w:lang w:val="en-US"/>
        </w:rPr>
        <w:t xml:space="preserve"> was followed by esterificatio</w:t>
      </w:r>
      <w:r w:rsidR="002C4F7E">
        <w:rPr>
          <w:lang w:val="en-US"/>
        </w:rPr>
        <w:t>n of the free</w:t>
      </w:r>
      <w:r w:rsidR="00127E2D" w:rsidRPr="00164319">
        <w:rPr>
          <w:lang w:val="en-US"/>
        </w:rPr>
        <w:t xml:space="preserve">hydroxyl group by employing </w:t>
      </w:r>
      <w:r w:rsidR="00FD53B0">
        <w:rPr>
          <w:lang w:val="en-US"/>
        </w:rPr>
        <w:t xml:space="preserve">4.0 equiv of </w:t>
      </w:r>
      <w:r w:rsidR="00127E2D" w:rsidRPr="00164319">
        <w:rPr>
          <w:lang w:val="en-US"/>
        </w:rPr>
        <w:t>succinic anhydride,</w:t>
      </w:r>
      <w:r w:rsidR="00FF3D25" w:rsidRPr="00164319">
        <w:rPr>
          <w:lang w:val="en-US"/>
        </w:rPr>
        <w:t xml:space="preserve">glutaric anhydride </w:t>
      </w:r>
      <w:r w:rsidRPr="00164319">
        <w:rPr>
          <w:lang w:val="en-US"/>
        </w:rPr>
        <w:t>or</w:t>
      </w:r>
      <w:r w:rsidR="00FF3D25" w:rsidRPr="00164319">
        <w:rPr>
          <w:lang w:val="en-US"/>
        </w:rPr>
        <w:t xml:space="preserve"> 3-metylglutaric anhydride in pyridine at 120</w:t>
      </w:r>
      <w:r w:rsidR="00FF3D25" w:rsidRPr="00164319">
        <w:rPr>
          <w:vertAlign w:val="superscript"/>
          <w:lang w:val="en-US"/>
        </w:rPr>
        <w:t>o</w:t>
      </w:r>
      <w:r w:rsidR="00FF3D25" w:rsidRPr="00164319">
        <w:rPr>
          <w:lang w:val="en-US"/>
        </w:rPr>
        <w:t xml:space="preserve">C </w:t>
      </w:r>
      <w:r w:rsidR="00127E2D" w:rsidRPr="00164319">
        <w:rPr>
          <w:lang w:val="en-US"/>
        </w:rPr>
        <w:t>for</w:t>
      </w:r>
      <w:r w:rsidR="00FF3D25" w:rsidRPr="00164319">
        <w:rPr>
          <w:lang w:val="en-US"/>
        </w:rPr>
        <w:t xml:space="preserve"> 12h to give compounds </w:t>
      </w:r>
      <w:r w:rsidR="00FC2322" w:rsidRPr="00164319">
        <w:rPr>
          <w:b/>
          <w:lang w:val="en-US"/>
        </w:rPr>
        <w:t>2</w:t>
      </w:r>
      <w:r w:rsidR="00FF3D25" w:rsidRPr="00164319">
        <w:rPr>
          <w:b/>
          <w:lang w:val="en-US"/>
        </w:rPr>
        <w:t>b-d</w:t>
      </w:r>
      <w:r w:rsidR="00FF3D25" w:rsidRPr="00164319">
        <w:rPr>
          <w:lang w:val="en-US"/>
        </w:rPr>
        <w:t xml:space="preserve">, which were converted </w:t>
      </w:r>
      <w:r w:rsidR="00127E2D" w:rsidRPr="00164319">
        <w:rPr>
          <w:lang w:val="en-US"/>
        </w:rPr>
        <w:t>in</w:t>
      </w:r>
      <w:r w:rsidR="00FF3D25" w:rsidRPr="00164319">
        <w:rPr>
          <w:lang w:val="en-US"/>
        </w:rPr>
        <w:t xml:space="preserve">to </w:t>
      </w:r>
      <w:r w:rsidR="00FD53B0">
        <w:rPr>
          <w:lang w:val="en-US"/>
        </w:rPr>
        <w:t xml:space="preserve">new </w:t>
      </w:r>
      <w:r w:rsidR="00FC2322" w:rsidRPr="00164319">
        <w:rPr>
          <w:lang w:val="en-US"/>
        </w:rPr>
        <w:t xml:space="preserve">AZT </w:t>
      </w:r>
      <w:r w:rsidR="00FF3D25" w:rsidRPr="00164319">
        <w:rPr>
          <w:lang w:val="en-US"/>
        </w:rPr>
        <w:t xml:space="preserve">conjugates </w:t>
      </w:r>
      <w:r w:rsidR="00FC2322" w:rsidRPr="00164319">
        <w:rPr>
          <w:b/>
          <w:lang w:val="en-US"/>
        </w:rPr>
        <w:t>3</w:t>
      </w:r>
      <w:r w:rsidR="00FF3D25" w:rsidRPr="00164319">
        <w:rPr>
          <w:b/>
          <w:lang w:val="en-US"/>
        </w:rPr>
        <w:t>b-d</w:t>
      </w:r>
      <w:r w:rsidR="00FF3D25" w:rsidRPr="00164319">
        <w:rPr>
          <w:lang w:val="en-US"/>
        </w:rPr>
        <w:t xml:space="preserve"> in </w:t>
      </w:r>
      <w:r w:rsidR="00192212" w:rsidRPr="00164319">
        <w:rPr>
          <w:lang w:val="en-US"/>
        </w:rPr>
        <w:t>acceptable</w:t>
      </w:r>
      <w:r w:rsidR="00FF3D25" w:rsidRPr="00164319">
        <w:rPr>
          <w:lang w:val="en-US"/>
        </w:rPr>
        <w:t xml:space="preserve"> yield</w:t>
      </w:r>
      <w:r w:rsidR="00192212" w:rsidRPr="00164319">
        <w:rPr>
          <w:lang w:val="en-US"/>
        </w:rPr>
        <w:t>s</w:t>
      </w:r>
      <w:r w:rsidR="008B3A7C" w:rsidRPr="00164319">
        <w:rPr>
          <w:lang w:val="en-US"/>
        </w:rPr>
        <w:t xml:space="preserve">by means of click chemistry </w:t>
      </w:r>
      <w:r w:rsidR="008B3A7C">
        <w:rPr>
          <w:lang w:val="en-US"/>
        </w:rPr>
        <w:t>with AZT</w:t>
      </w:r>
      <w:r w:rsidR="00192212" w:rsidRPr="00164319">
        <w:rPr>
          <w:lang w:val="en-US"/>
        </w:rPr>
        <w:t xml:space="preserve"> (Scheme 1)</w:t>
      </w:r>
      <w:r w:rsidR="00FC2322" w:rsidRPr="00164319">
        <w:rPr>
          <w:lang w:val="en-US"/>
        </w:rPr>
        <w:t>.</w:t>
      </w:r>
    </w:p>
    <w:p w:rsidR="00FF3D25" w:rsidRPr="00164319" w:rsidRDefault="004B4559" w:rsidP="008F1237">
      <w:pPr>
        <w:spacing w:after="120"/>
        <w:jc w:val="center"/>
        <w:rPr>
          <w:lang w:val="en-US"/>
        </w:rPr>
      </w:pPr>
      <w:r w:rsidRPr="00164319">
        <w:object w:dxaOrig="10463" w:dyaOrig="8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285.35pt" o:ole="">
            <v:imagedata r:id="rId8" o:title=""/>
          </v:shape>
          <o:OLEObject Type="Embed" ProgID="ChemDraw.Document.6.0" ShapeID="_x0000_i1025" DrawAspect="Content" ObjectID="_1491851838" r:id="rId9"/>
        </w:object>
      </w:r>
    </w:p>
    <w:p w:rsidR="00FF3D25" w:rsidRPr="00164319" w:rsidRDefault="00FA11D6" w:rsidP="00FA11D6">
      <w:pPr>
        <w:spacing w:after="120"/>
        <w:jc w:val="center"/>
        <w:rPr>
          <w:b/>
          <w:lang w:val="en-US"/>
        </w:rPr>
      </w:pPr>
      <w:r w:rsidRPr="00164319">
        <w:rPr>
          <w:lang w:val="en-US"/>
        </w:rPr>
        <w:t xml:space="preserve">Scheme 1. Synthesis of </w:t>
      </w:r>
      <w:r w:rsidR="00B51D39" w:rsidRPr="00164319">
        <w:rPr>
          <w:lang w:val="en-US"/>
        </w:rPr>
        <w:t>betulinic acid-derived</w:t>
      </w:r>
      <w:r w:rsidRPr="00164319">
        <w:rPr>
          <w:lang w:val="en-US"/>
        </w:rPr>
        <w:t>triterpenoid-AZT hybrids</w:t>
      </w:r>
      <w:r w:rsidR="00BF5741" w:rsidRPr="00164319">
        <w:rPr>
          <w:b/>
          <w:lang w:val="en-US"/>
        </w:rPr>
        <w:t>3</w:t>
      </w:r>
    </w:p>
    <w:p w:rsidR="00951F73" w:rsidRPr="00164319" w:rsidRDefault="00951F73" w:rsidP="00951F73">
      <w:pPr>
        <w:spacing w:after="120"/>
        <w:jc w:val="both"/>
        <w:rPr>
          <w:lang w:val="en-US"/>
        </w:rPr>
      </w:pPr>
    </w:p>
    <w:p w:rsidR="00951F73" w:rsidRPr="00164319" w:rsidRDefault="00951F73" w:rsidP="00951F73">
      <w:pPr>
        <w:spacing w:after="120"/>
        <w:jc w:val="both"/>
        <w:rPr>
          <w:lang w:val="en-US"/>
        </w:rPr>
      </w:pPr>
      <w:r w:rsidRPr="00164319">
        <w:rPr>
          <w:lang w:val="en-US"/>
        </w:rPr>
        <w:lastRenderedPageBreak/>
        <w:t xml:space="preserve">In order to provide a small library of novel triterpenoid-AZT conjugates, the same procedure as explained above was also applied to </w:t>
      </w:r>
      <w:r w:rsidR="002C4F7E">
        <w:rPr>
          <w:lang w:val="en-US"/>
        </w:rPr>
        <w:t>triterpenoid</w:t>
      </w:r>
      <w:r w:rsidRPr="00164319">
        <w:rPr>
          <w:lang w:val="en-US"/>
        </w:rPr>
        <w:t xml:space="preserve">analogs of betulinic acid </w:t>
      </w:r>
      <w:r w:rsidRPr="00164319">
        <w:rPr>
          <w:b/>
          <w:lang w:val="en-US"/>
        </w:rPr>
        <w:t>1</w:t>
      </w:r>
      <w:r w:rsidRPr="00164319">
        <w:rPr>
          <w:lang w:val="en-US"/>
        </w:rPr>
        <w:t xml:space="preserve">. In a first approach, ursolic acid </w:t>
      </w:r>
      <w:r w:rsidR="00FC2322" w:rsidRPr="00164319">
        <w:rPr>
          <w:b/>
          <w:lang w:val="en-US"/>
        </w:rPr>
        <w:t>4a</w:t>
      </w:r>
      <w:r w:rsidRPr="00164319">
        <w:rPr>
          <w:lang w:val="en-US"/>
        </w:rPr>
        <w:t xml:space="preserve"> and oleanoic acid </w:t>
      </w:r>
      <w:r w:rsidR="00FC2322" w:rsidRPr="00164319">
        <w:rPr>
          <w:b/>
          <w:lang w:val="en-US"/>
        </w:rPr>
        <w:t>4b</w:t>
      </w:r>
      <w:r w:rsidRPr="00164319">
        <w:rPr>
          <w:lang w:val="en-US"/>
        </w:rPr>
        <w:t xml:space="preserve"> were deployed as pharmacophoric templates </w:t>
      </w:r>
      <w:r w:rsidRPr="00164319">
        <w:rPr>
          <w:i/>
          <w:lang w:val="en-US"/>
        </w:rPr>
        <w:t>en route</w:t>
      </w:r>
      <w:r w:rsidRPr="00164319">
        <w:rPr>
          <w:lang w:val="en-US"/>
        </w:rPr>
        <w:t xml:space="preserve"> to novel chimeras, and propargylation of these triterpenoids</w:t>
      </w:r>
      <w:r w:rsidR="00FC2322" w:rsidRPr="00164319">
        <w:rPr>
          <w:b/>
          <w:lang w:val="en-US"/>
        </w:rPr>
        <w:t>4</w:t>
      </w:r>
      <w:r w:rsidR="00FC2322" w:rsidRPr="00164319">
        <w:rPr>
          <w:lang w:val="en-US"/>
        </w:rPr>
        <w:t xml:space="preserve">to </w:t>
      </w:r>
      <w:r w:rsidR="000C41A4">
        <w:rPr>
          <w:lang w:val="en-US"/>
        </w:rPr>
        <w:t xml:space="preserve">the corresponding </w:t>
      </w:r>
      <w:r w:rsidR="00FC2322" w:rsidRPr="00164319">
        <w:rPr>
          <w:lang w:val="en-US"/>
        </w:rPr>
        <w:t xml:space="preserve">propargyl esters </w:t>
      </w:r>
      <w:r w:rsidR="00FC2322" w:rsidRPr="00164319">
        <w:rPr>
          <w:b/>
          <w:lang w:val="en-US"/>
        </w:rPr>
        <w:t>5</w:t>
      </w:r>
      <w:r w:rsidRPr="00164319">
        <w:rPr>
          <w:lang w:val="en-US"/>
        </w:rPr>
        <w:t xml:space="preserve">followed by </w:t>
      </w:r>
      <w:r w:rsidR="00506362" w:rsidRPr="00164319">
        <w:rPr>
          <w:lang w:val="en-US"/>
        </w:rPr>
        <w:t xml:space="preserve">CuI-mediated </w:t>
      </w:r>
      <w:r w:rsidRPr="00164319">
        <w:rPr>
          <w:lang w:val="en-US"/>
        </w:rPr>
        <w:t xml:space="preserve">click reaction with AZT furnished hybrid products </w:t>
      </w:r>
      <w:r w:rsidR="00FC2322" w:rsidRPr="00164319">
        <w:rPr>
          <w:b/>
          <w:lang w:val="en-US"/>
        </w:rPr>
        <w:t>6a</w:t>
      </w:r>
      <w:r w:rsidRPr="00164319">
        <w:rPr>
          <w:lang w:val="en-US"/>
        </w:rPr>
        <w:t xml:space="preserve">and </w:t>
      </w:r>
      <w:r w:rsidR="00FC2322" w:rsidRPr="00164319">
        <w:rPr>
          <w:b/>
          <w:lang w:val="en-US"/>
        </w:rPr>
        <w:t>6b</w:t>
      </w:r>
      <w:r w:rsidRPr="00164319">
        <w:rPr>
          <w:lang w:val="en-US"/>
        </w:rPr>
        <w:t xml:space="preserve"> in 53% and 90% yield, respectively (Scheme 2).</w:t>
      </w:r>
    </w:p>
    <w:p w:rsidR="00FF3D25" w:rsidRPr="00164319" w:rsidRDefault="004B1530" w:rsidP="00EC6AA7">
      <w:pPr>
        <w:spacing w:after="120"/>
        <w:jc w:val="center"/>
      </w:pPr>
      <w:r w:rsidRPr="00164319">
        <w:object w:dxaOrig="12350" w:dyaOrig="4235">
          <v:shape id="_x0000_i1026" type="#_x0000_t75" style="width:6in;height:148.65pt" o:ole="">
            <v:imagedata r:id="rId10" o:title=""/>
          </v:shape>
          <o:OLEObject Type="Embed" ProgID="ChemDraw.Document.6.0" ShapeID="_x0000_i1026" DrawAspect="Content" ObjectID="_1491851839" r:id="rId11"/>
        </w:object>
      </w:r>
    </w:p>
    <w:p w:rsidR="00DA03C7" w:rsidRPr="00164319" w:rsidRDefault="00DA03C7" w:rsidP="00EC6AA7">
      <w:pPr>
        <w:spacing w:after="120"/>
        <w:jc w:val="center"/>
        <w:rPr>
          <w:sz w:val="20"/>
          <w:szCs w:val="20"/>
          <w:lang w:val="en-US"/>
        </w:rPr>
      </w:pPr>
      <w:r w:rsidRPr="00164319">
        <w:rPr>
          <w:lang w:val="en-US"/>
        </w:rPr>
        <w:t xml:space="preserve">Scheme 2. </w:t>
      </w:r>
      <w:r w:rsidR="009B75DC" w:rsidRPr="00164319">
        <w:rPr>
          <w:lang w:val="en-US"/>
        </w:rPr>
        <w:t xml:space="preserve">Synthesis of ursolic acid- and oleanoic acid-derived AZT-conjugates </w:t>
      </w:r>
      <w:r w:rsidR="00BF5741" w:rsidRPr="00164319">
        <w:rPr>
          <w:b/>
          <w:lang w:val="en-US"/>
        </w:rPr>
        <w:t>6</w:t>
      </w:r>
      <w:r w:rsidR="00CA5574" w:rsidRPr="00164319">
        <w:rPr>
          <w:lang w:val="en-US"/>
        </w:rPr>
        <w:br/>
      </w:r>
      <w:r w:rsidRPr="00164319">
        <w:rPr>
          <w:sz w:val="20"/>
          <w:szCs w:val="20"/>
          <w:lang w:val="en-US"/>
        </w:rPr>
        <w:t>Reagent</w:t>
      </w:r>
      <w:r w:rsidR="004209AF">
        <w:rPr>
          <w:sz w:val="20"/>
          <w:szCs w:val="20"/>
          <w:lang w:val="en-US"/>
        </w:rPr>
        <w:t>s</w:t>
      </w:r>
      <w:r w:rsidRPr="00164319">
        <w:rPr>
          <w:sz w:val="20"/>
          <w:szCs w:val="20"/>
          <w:lang w:val="en-US"/>
        </w:rPr>
        <w:t xml:space="preserve"> and conditions: (</w:t>
      </w:r>
      <w:r w:rsidR="001753FE" w:rsidRPr="00164319">
        <w:rPr>
          <w:sz w:val="20"/>
          <w:szCs w:val="20"/>
          <w:lang w:val="en-US"/>
        </w:rPr>
        <w:t>a) 2.0 equiv</w:t>
      </w:r>
      <w:r w:rsidRPr="00164319">
        <w:rPr>
          <w:sz w:val="20"/>
          <w:szCs w:val="20"/>
          <w:lang w:val="en-US"/>
        </w:rPr>
        <w:t>propa</w:t>
      </w:r>
      <w:r w:rsidR="00096138" w:rsidRPr="00164319">
        <w:rPr>
          <w:sz w:val="20"/>
          <w:szCs w:val="20"/>
          <w:lang w:val="en-US"/>
        </w:rPr>
        <w:t>r</w:t>
      </w:r>
      <w:r w:rsidRPr="00164319">
        <w:rPr>
          <w:sz w:val="20"/>
          <w:szCs w:val="20"/>
          <w:lang w:val="en-US"/>
        </w:rPr>
        <w:t>gyl bromide, 2.0 equiv Cs</w:t>
      </w:r>
      <w:r w:rsidRPr="00164319">
        <w:rPr>
          <w:sz w:val="20"/>
          <w:szCs w:val="20"/>
          <w:vertAlign w:val="subscript"/>
          <w:lang w:val="en-US"/>
        </w:rPr>
        <w:t>2</w:t>
      </w:r>
      <w:r w:rsidRPr="00164319">
        <w:rPr>
          <w:sz w:val="20"/>
          <w:szCs w:val="20"/>
          <w:lang w:val="en-US"/>
        </w:rPr>
        <w:t>CO</w:t>
      </w:r>
      <w:r w:rsidRPr="00164319">
        <w:rPr>
          <w:sz w:val="20"/>
          <w:szCs w:val="20"/>
          <w:vertAlign w:val="subscript"/>
          <w:lang w:val="en-US"/>
        </w:rPr>
        <w:t>3</w:t>
      </w:r>
      <w:r w:rsidR="001753FE" w:rsidRPr="00164319">
        <w:rPr>
          <w:sz w:val="20"/>
          <w:szCs w:val="20"/>
          <w:lang w:val="en-US"/>
        </w:rPr>
        <w:t xml:space="preserve">, DMF:THF (1:1), rt, 4-6h; </w:t>
      </w:r>
      <w:r w:rsidRPr="00164319">
        <w:rPr>
          <w:sz w:val="20"/>
          <w:szCs w:val="20"/>
          <w:lang w:val="en-US"/>
        </w:rPr>
        <w:t>(</w:t>
      </w:r>
      <w:r w:rsidR="001753FE" w:rsidRPr="00164319">
        <w:rPr>
          <w:sz w:val="20"/>
          <w:szCs w:val="20"/>
          <w:lang w:val="en-US"/>
        </w:rPr>
        <w:t>b</w:t>
      </w:r>
      <w:r w:rsidRPr="00164319">
        <w:rPr>
          <w:sz w:val="20"/>
          <w:szCs w:val="20"/>
          <w:lang w:val="en-US"/>
        </w:rPr>
        <w:t xml:space="preserve">) 0.8 </w:t>
      </w:r>
      <w:r w:rsidR="001753FE" w:rsidRPr="00164319">
        <w:rPr>
          <w:sz w:val="20"/>
          <w:szCs w:val="20"/>
          <w:lang w:val="en-US"/>
        </w:rPr>
        <w:t>equivAZT,</w:t>
      </w:r>
      <w:r w:rsidRPr="00164319">
        <w:rPr>
          <w:sz w:val="20"/>
          <w:szCs w:val="20"/>
          <w:lang w:val="en-US"/>
        </w:rPr>
        <w:t xml:space="preserve"> 0.2 equiv. CuI, </w:t>
      </w:r>
      <w:r w:rsidRPr="00164319">
        <w:rPr>
          <w:i/>
          <w:sz w:val="20"/>
          <w:szCs w:val="20"/>
          <w:lang w:val="en-US"/>
        </w:rPr>
        <w:t>t</w:t>
      </w:r>
      <w:r w:rsidRPr="00164319">
        <w:rPr>
          <w:sz w:val="20"/>
          <w:szCs w:val="20"/>
          <w:lang w:val="en-US"/>
        </w:rPr>
        <w:t>-BuOH, 70</w:t>
      </w:r>
      <w:r w:rsidR="001753FE" w:rsidRPr="00164319">
        <w:rPr>
          <w:sz w:val="20"/>
          <w:szCs w:val="20"/>
          <w:lang w:val="en-US"/>
        </w:rPr>
        <w:t>°</w:t>
      </w:r>
      <w:r w:rsidRPr="00164319">
        <w:rPr>
          <w:sz w:val="20"/>
          <w:szCs w:val="20"/>
          <w:lang w:val="en-US"/>
        </w:rPr>
        <w:t>C, 12h</w:t>
      </w:r>
    </w:p>
    <w:p w:rsidR="00164319" w:rsidRPr="00164319" w:rsidRDefault="00164319" w:rsidP="00FF3D25">
      <w:pPr>
        <w:spacing w:after="120"/>
        <w:jc w:val="both"/>
        <w:rPr>
          <w:lang w:val="en-US"/>
        </w:rPr>
      </w:pPr>
    </w:p>
    <w:p w:rsidR="00FC438E" w:rsidRPr="00164319" w:rsidRDefault="00296F62" w:rsidP="00296F62">
      <w:pPr>
        <w:pStyle w:val="ElsParagraph"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 w:rsidRPr="00164319">
        <w:rPr>
          <w:rFonts w:asciiTheme="minorHAnsi" w:hAnsiTheme="minorHAnsi"/>
          <w:sz w:val="22"/>
          <w:szCs w:val="22"/>
        </w:rPr>
        <w:t>Furthermore, dicarboxylic acid</w:t>
      </w:r>
      <w:r w:rsidR="00FC438E" w:rsidRPr="00164319">
        <w:rPr>
          <w:rFonts w:asciiTheme="minorHAnsi" w:hAnsiTheme="minorHAnsi"/>
          <w:sz w:val="22"/>
          <w:szCs w:val="22"/>
        </w:rPr>
        <w:t>s</w:t>
      </w:r>
      <w:r w:rsidR="00FC438E" w:rsidRPr="00164319">
        <w:rPr>
          <w:rFonts w:asciiTheme="minorHAnsi" w:hAnsiTheme="minorHAnsi"/>
          <w:b/>
          <w:sz w:val="22"/>
          <w:szCs w:val="22"/>
        </w:rPr>
        <w:t>7a,b</w:t>
      </w:r>
      <w:r w:rsidR="006C258E" w:rsidRPr="00164319">
        <w:rPr>
          <w:rFonts w:asciiTheme="minorHAnsi" w:hAnsiTheme="minorHAnsi"/>
          <w:sz w:val="22"/>
          <w:szCs w:val="22"/>
        </w:rPr>
        <w:t xml:space="preserve">, isolated from </w:t>
      </w:r>
      <w:r w:rsidR="006C258E" w:rsidRPr="00164319">
        <w:rPr>
          <w:rFonts w:asciiTheme="minorHAnsi" w:hAnsiTheme="minorHAnsi"/>
          <w:i/>
          <w:sz w:val="22"/>
          <w:szCs w:val="22"/>
        </w:rPr>
        <w:t>Scheffleraoctophylla</w:t>
      </w:r>
      <w:r w:rsidR="006C258E" w:rsidRPr="00164319">
        <w:rPr>
          <w:rFonts w:asciiTheme="minorHAnsi" w:hAnsiTheme="minorHAnsi"/>
          <w:sz w:val="22"/>
          <w:szCs w:val="22"/>
        </w:rPr>
        <w:t xml:space="preserve"> (Ivy tree),</w:t>
      </w:r>
      <w:r w:rsidR="004F4708">
        <w:rPr>
          <w:rStyle w:val="Eindnootmarkering"/>
          <w:rFonts w:asciiTheme="minorHAnsi" w:hAnsiTheme="minorHAnsi"/>
          <w:sz w:val="22"/>
          <w:szCs w:val="22"/>
        </w:rPr>
        <w:endnoteReference w:id="9"/>
      </w:r>
      <w:r w:rsidR="00FC438E" w:rsidRPr="00164319">
        <w:rPr>
          <w:rFonts w:asciiTheme="minorHAnsi" w:hAnsiTheme="minorHAnsi"/>
          <w:sz w:val="22"/>
          <w:szCs w:val="22"/>
        </w:rPr>
        <w:t>were</w:t>
      </w:r>
      <w:r w:rsidR="00CA5574" w:rsidRPr="00164319">
        <w:rPr>
          <w:rFonts w:asciiTheme="minorHAnsi" w:hAnsiTheme="minorHAnsi"/>
          <w:sz w:val="22"/>
          <w:szCs w:val="22"/>
        </w:rPr>
        <w:t xml:space="preserve">also </w:t>
      </w:r>
      <w:r w:rsidR="00FC438E" w:rsidRPr="00164319">
        <w:rPr>
          <w:rFonts w:asciiTheme="minorHAnsi" w:hAnsiTheme="minorHAnsi"/>
          <w:sz w:val="22"/>
          <w:szCs w:val="22"/>
        </w:rPr>
        <w:t>evaluated as</w:t>
      </w:r>
      <w:r w:rsidRPr="00164319">
        <w:rPr>
          <w:rFonts w:asciiTheme="minorHAnsi" w:hAnsiTheme="minorHAnsi"/>
          <w:sz w:val="22"/>
          <w:szCs w:val="22"/>
        </w:rPr>
        <w:t xml:space="preserve"> template</w:t>
      </w:r>
      <w:r w:rsidR="00FC438E" w:rsidRPr="00164319">
        <w:rPr>
          <w:rFonts w:asciiTheme="minorHAnsi" w:hAnsiTheme="minorHAnsi"/>
          <w:sz w:val="22"/>
          <w:szCs w:val="22"/>
        </w:rPr>
        <w:t>s</w:t>
      </w:r>
      <w:r w:rsidRPr="00164319">
        <w:rPr>
          <w:rFonts w:asciiTheme="minorHAnsi" w:hAnsiTheme="minorHAnsi"/>
          <w:sz w:val="22"/>
          <w:szCs w:val="22"/>
        </w:rPr>
        <w:t xml:space="preserve"> for derivatization. </w:t>
      </w:r>
      <w:r w:rsidR="00CA5574" w:rsidRPr="00164319">
        <w:rPr>
          <w:rFonts w:asciiTheme="minorHAnsi" w:hAnsiTheme="minorHAnsi"/>
          <w:sz w:val="22"/>
          <w:szCs w:val="22"/>
        </w:rPr>
        <w:t xml:space="preserve">Initial </w:t>
      </w:r>
      <w:r w:rsidR="00CC14CF" w:rsidRPr="00164319">
        <w:rPr>
          <w:rFonts w:asciiTheme="minorHAnsi" w:hAnsiTheme="minorHAnsi"/>
          <w:sz w:val="22"/>
          <w:szCs w:val="22"/>
        </w:rPr>
        <w:t>Jones o</w:t>
      </w:r>
      <w:r w:rsidRPr="00164319">
        <w:rPr>
          <w:rFonts w:asciiTheme="minorHAnsi" w:hAnsiTheme="minorHAnsi"/>
          <w:sz w:val="22"/>
          <w:szCs w:val="22"/>
        </w:rPr>
        <w:t>xidation</w:t>
      </w:r>
      <w:r w:rsidR="00CC14CF" w:rsidRPr="00164319">
        <w:rPr>
          <w:rFonts w:asciiTheme="minorHAnsi" w:hAnsiTheme="minorHAnsi"/>
          <w:sz w:val="22"/>
          <w:szCs w:val="22"/>
        </w:rPr>
        <w:t xml:space="preserve"> (CrO</w:t>
      </w:r>
      <w:r w:rsidR="00CC14CF" w:rsidRPr="00164319">
        <w:rPr>
          <w:rFonts w:asciiTheme="minorHAnsi" w:hAnsiTheme="minorHAnsi"/>
          <w:sz w:val="22"/>
          <w:szCs w:val="22"/>
          <w:vertAlign w:val="subscript"/>
        </w:rPr>
        <w:t>3</w:t>
      </w:r>
      <w:r w:rsidR="00CC14CF" w:rsidRPr="00164319">
        <w:rPr>
          <w:rFonts w:asciiTheme="minorHAnsi" w:hAnsiTheme="minorHAnsi"/>
          <w:sz w:val="22"/>
          <w:szCs w:val="22"/>
        </w:rPr>
        <w:t>)</w:t>
      </w:r>
      <w:r w:rsidRPr="00164319">
        <w:rPr>
          <w:rFonts w:asciiTheme="minorHAnsi" w:hAnsiTheme="minorHAnsi"/>
          <w:sz w:val="22"/>
          <w:szCs w:val="22"/>
        </w:rPr>
        <w:t xml:space="preserve"> of </w:t>
      </w:r>
      <w:r w:rsidRPr="00164319">
        <w:rPr>
          <w:rFonts w:asciiTheme="minorHAnsi" w:hAnsiTheme="minorHAnsi"/>
          <w:sz w:val="22"/>
          <w:szCs w:val="22"/>
        </w:rPr>
        <w:sym w:font="Symbol" w:char="F062"/>
      </w:r>
      <w:r w:rsidRPr="00164319">
        <w:rPr>
          <w:rFonts w:asciiTheme="minorHAnsi" w:hAnsiTheme="minorHAnsi"/>
          <w:sz w:val="22"/>
          <w:szCs w:val="22"/>
        </w:rPr>
        <w:t>-hydroxy acid</w:t>
      </w:r>
      <w:r w:rsidR="00FC438E" w:rsidRPr="00164319">
        <w:rPr>
          <w:rFonts w:asciiTheme="minorHAnsi" w:hAnsiTheme="minorHAnsi"/>
          <w:sz w:val="22"/>
          <w:szCs w:val="22"/>
        </w:rPr>
        <w:t>s</w:t>
      </w:r>
      <w:r w:rsidR="00FC438E" w:rsidRPr="00164319">
        <w:rPr>
          <w:rFonts w:asciiTheme="minorHAnsi" w:hAnsiTheme="minorHAnsi"/>
          <w:b/>
          <w:sz w:val="22"/>
          <w:szCs w:val="22"/>
        </w:rPr>
        <w:t>7</w:t>
      </w:r>
      <w:r w:rsidR="0032225A">
        <w:rPr>
          <w:rFonts w:asciiTheme="minorHAnsi" w:hAnsiTheme="minorHAnsi"/>
          <w:sz w:val="22"/>
          <w:szCs w:val="22"/>
        </w:rPr>
        <w:t>using H</w:t>
      </w:r>
      <w:r w:rsidR="0032225A">
        <w:rPr>
          <w:rFonts w:asciiTheme="minorHAnsi" w:hAnsiTheme="minorHAnsi"/>
          <w:sz w:val="22"/>
          <w:szCs w:val="22"/>
          <w:vertAlign w:val="subscript"/>
        </w:rPr>
        <w:t>2</w:t>
      </w:r>
      <w:r w:rsidR="0032225A">
        <w:rPr>
          <w:rFonts w:asciiTheme="minorHAnsi" w:hAnsiTheme="minorHAnsi"/>
          <w:sz w:val="22"/>
          <w:szCs w:val="22"/>
        </w:rPr>
        <w:t>SO</w:t>
      </w:r>
      <w:r w:rsidR="0032225A">
        <w:rPr>
          <w:rFonts w:asciiTheme="minorHAnsi" w:hAnsiTheme="minorHAnsi"/>
          <w:sz w:val="22"/>
          <w:szCs w:val="22"/>
          <w:vertAlign w:val="subscript"/>
        </w:rPr>
        <w:t>4</w:t>
      </w:r>
      <w:r w:rsidR="0032225A">
        <w:rPr>
          <w:rFonts w:asciiTheme="minorHAnsi" w:hAnsiTheme="minorHAnsi"/>
          <w:sz w:val="22"/>
          <w:szCs w:val="22"/>
        </w:rPr>
        <w:t xml:space="preserve"> in acetone </w:t>
      </w:r>
      <w:r w:rsidRPr="00164319">
        <w:rPr>
          <w:rFonts w:asciiTheme="minorHAnsi" w:hAnsiTheme="minorHAnsi"/>
          <w:sz w:val="22"/>
          <w:szCs w:val="22"/>
        </w:rPr>
        <w:t xml:space="preserve">resulted in the corresponding </w:t>
      </w:r>
      <w:r w:rsidRPr="00164319">
        <w:rPr>
          <w:rFonts w:asciiTheme="minorHAnsi" w:hAnsiTheme="minorHAnsi"/>
          <w:sz w:val="22"/>
          <w:szCs w:val="22"/>
        </w:rPr>
        <w:sym w:font="Symbol" w:char="F062"/>
      </w:r>
      <w:r w:rsidRPr="00164319">
        <w:rPr>
          <w:rFonts w:asciiTheme="minorHAnsi" w:hAnsiTheme="minorHAnsi"/>
          <w:sz w:val="22"/>
          <w:szCs w:val="22"/>
        </w:rPr>
        <w:t>-</w:t>
      </w:r>
      <w:r w:rsidR="00CA5574" w:rsidRPr="00164319">
        <w:rPr>
          <w:rFonts w:asciiTheme="minorHAnsi" w:hAnsiTheme="minorHAnsi"/>
          <w:sz w:val="22"/>
          <w:szCs w:val="22"/>
        </w:rPr>
        <w:t>oxo</w:t>
      </w:r>
      <w:r w:rsidR="00A30F0C" w:rsidRPr="00164319">
        <w:rPr>
          <w:rFonts w:asciiTheme="minorHAnsi" w:hAnsiTheme="minorHAnsi"/>
          <w:sz w:val="22"/>
          <w:szCs w:val="22"/>
        </w:rPr>
        <w:t xml:space="preserve"> acid intermediate</w:t>
      </w:r>
      <w:r w:rsidR="00FC438E" w:rsidRPr="00164319">
        <w:rPr>
          <w:rFonts w:asciiTheme="minorHAnsi" w:hAnsiTheme="minorHAnsi"/>
          <w:sz w:val="22"/>
          <w:szCs w:val="22"/>
        </w:rPr>
        <w:t>s</w:t>
      </w:r>
      <w:r w:rsidR="00A30F0C" w:rsidRPr="00164319">
        <w:rPr>
          <w:rFonts w:asciiTheme="minorHAnsi" w:hAnsiTheme="minorHAnsi"/>
          <w:sz w:val="22"/>
          <w:szCs w:val="22"/>
        </w:rPr>
        <w:t>, which underwent decarboxylation to provide ketone</w:t>
      </w:r>
      <w:r w:rsidR="00FC438E" w:rsidRPr="00164319">
        <w:rPr>
          <w:rFonts w:asciiTheme="minorHAnsi" w:hAnsiTheme="minorHAnsi"/>
          <w:sz w:val="22"/>
          <w:szCs w:val="22"/>
        </w:rPr>
        <w:t>s</w:t>
      </w:r>
      <w:r w:rsidR="00FC438E" w:rsidRPr="00164319">
        <w:rPr>
          <w:rFonts w:asciiTheme="minorHAnsi" w:hAnsiTheme="minorHAnsi"/>
          <w:b/>
          <w:sz w:val="22"/>
          <w:szCs w:val="22"/>
        </w:rPr>
        <w:t>8</w:t>
      </w:r>
      <w:r w:rsidRPr="00164319">
        <w:rPr>
          <w:rFonts w:asciiTheme="minorHAnsi" w:hAnsiTheme="minorHAnsi"/>
          <w:sz w:val="22"/>
          <w:szCs w:val="22"/>
        </w:rPr>
        <w:t xml:space="preserve">. </w:t>
      </w:r>
      <w:r w:rsidR="00FC438E" w:rsidRPr="00164319">
        <w:rPr>
          <w:rFonts w:asciiTheme="minorHAnsi" w:hAnsiTheme="minorHAnsi"/>
          <w:sz w:val="22"/>
          <w:szCs w:val="22"/>
        </w:rPr>
        <w:t xml:space="preserve">Next, the corresponding propargyl esters </w:t>
      </w:r>
      <w:r w:rsidR="00FC438E" w:rsidRPr="00164319">
        <w:rPr>
          <w:rFonts w:asciiTheme="minorHAnsi" w:hAnsiTheme="minorHAnsi"/>
          <w:b/>
          <w:sz w:val="22"/>
          <w:szCs w:val="22"/>
        </w:rPr>
        <w:t>9</w:t>
      </w:r>
      <w:r w:rsidR="00FC438E" w:rsidRPr="00164319">
        <w:rPr>
          <w:rFonts w:asciiTheme="minorHAnsi" w:hAnsiTheme="minorHAnsi"/>
          <w:sz w:val="22"/>
          <w:szCs w:val="22"/>
        </w:rPr>
        <w:t xml:space="preserve"> were prepared and subjected to a click reaction protocol with AZT to result in the novel AZT conjugates </w:t>
      </w:r>
      <w:r w:rsidR="00FC438E" w:rsidRPr="00164319">
        <w:rPr>
          <w:rFonts w:asciiTheme="minorHAnsi" w:hAnsiTheme="minorHAnsi"/>
          <w:b/>
          <w:sz w:val="22"/>
          <w:szCs w:val="22"/>
        </w:rPr>
        <w:t>10a,b</w:t>
      </w:r>
      <w:r w:rsidR="00FC438E" w:rsidRPr="00164319">
        <w:rPr>
          <w:rFonts w:asciiTheme="minorHAnsi" w:hAnsiTheme="minorHAnsi"/>
          <w:sz w:val="22"/>
          <w:szCs w:val="22"/>
        </w:rPr>
        <w:t xml:space="preserve"> in good yields (Scheme 3).</w:t>
      </w:r>
    </w:p>
    <w:bookmarkStart w:id="0" w:name="_GoBack"/>
    <w:p w:rsidR="000B4660" w:rsidRPr="00164319" w:rsidRDefault="004B4559" w:rsidP="00D03574">
      <w:pPr>
        <w:spacing w:after="120"/>
        <w:jc w:val="center"/>
        <w:rPr>
          <w:lang w:val="en-US"/>
        </w:rPr>
      </w:pPr>
      <w:r w:rsidRPr="00164319">
        <w:object w:dxaOrig="9885" w:dyaOrig="7034">
          <v:shape id="_x0000_i1027" type="#_x0000_t75" style="width:344.65pt;height:246pt" o:ole="">
            <v:imagedata r:id="rId12" o:title=""/>
          </v:shape>
          <o:OLEObject Type="Embed" ProgID="ChemDraw.Document.6.0" ShapeID="_x0000_i1027" DrawAspect="Content" ObjectID="_1491851840" r:id="rId13"/>
        </w:object>
      </w:r>
      <w:bookmarkEnd w:id="0"/>
    </w:p>
    <w:p w:rsidR="000B4660" w:rsidRPr="00164319" w:rsidRDefault="00BF5741" w:rsidP="00BF5741">
      <w:pPr>
        <w:spacing w:after="120"/>
        <w:jc w:val="center"/>
        <w:rPr>
          <w:b/>
          <w:lang w:val="en-US"/>
        </w:rPr>
      </w:pPr>
      <w:r w:rsidRPr="00164319">
        <w:rPr>
          <w:lang w:val="en-US"/>
        </w:rPr>
        <w:t xml:space="preserve">Scheme 3. Synthesis of triterpenoid-AZT conjugates </w:t>
      </w:r>
      <w:r w:rsidRPr="00164319">
        <w:rPr>
          <w:b/>
          <w:lang w:val="en-US"/>
        </w:rPr>
        <w:t>10</w:t>
      </w:r>
    </w:p>
    <w:p w:rsidR="003A69B7" w:rsidRPr="00164319" w:rsidRDefault="003A69B7" w:rsidP="003A69B7">
      <w:pPr>
        <w:pStyle w:val="ElsParagraph"/>
        <w:spacing w:line="276" w:lineRule="auto"/>
        <w:ind w:firstLine="0"/>
        <w:rPr>
          <w:rFonts w:asciiTheme="minorHAnsi" w:hAnsiTheme="minorHAnsi"/>
          <w:sz w:val="22"/>
          <w:szCs w:val="22"/>
        </w:rPr>
      </w:pPr>
    </w:p>
    <w:p w:rsidR="003A69B7" w:rsidRPr="00164319" w:rsidRDefault="003A69B7" w:rsidP="003A69B7">
      <w:pPr>
        <w:pStyle w:val="ElsParagraph"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 w:rsidRPr="00164319">
        <w:rPr>
          <w:rFonts w:asciiTheme="minorHAnsi" w:hAnsiTheme="minorHAnsi"/>
          <w:sz w:val="22"/>
          <w:szCs w:val="22"/>
        </w:rPr>
        <w:t xml:space="preserve">Furthermore, </w:t>
      </w:r>
      <w:r w:rsidR="00AD74BB" w:rsidRPr="00164319">
        <w:rPr>
          <w:rFonts w:asciiTheme="minorHAnsi" w:hAnsiTheme="minorHAnsi"/>
          <w:sz w:val="22"/>
          <w:szCs w:val="22"/>
        </w:rPr>
        <w:t>stereoselective</w:t>
      </w:r>
      <w:r w:rsidRPr="00164319">
        <w:rPr>
          <w:rFonts w:asciiTheme="minorHAnsi" w:hAnsiTheme="minorHAnsi"/>
          <w:sz w:val="22"/>
          <w:szCs w:val="22"/>
        </w:rPr>
        <w:t>carbonyl reduction with NaBH</w:t>
      </w:r>
      <w:r w:rsidRPr="00164319">
        <w:rPr>
          <w:rFonts w:asciiTheme="minorHAnsi" w:hAnsiTheme="minorHAnsi"/>
          <w:sz w:val="22"/>
          <w:szCs w:val="22"/>
          <w:vertAlign w:val="subscript"/>
        </w:rPr>
        <w:t>4</w:t>
      </w:r>
      <w:r w:rsidRPr="00164319">
        <w:rPr>
          <w:rFonts w:asciiTheme="minorHAnsi" w:hAnsiTheme="minorHAnsi"/>
          <w:sz w:val="22"/>
          <w:szCs w:val="22"/>
        </w:rPr>
        <w:t xml:space="preserve"> in </w:t>
      </w:r>
      <w:r w:rsidR="002E6E6A">
        <w:rPr>
          <w:rFonts w:asciiTheme="minorHAnsi" w:hAnsiTheme="minorHAnsi"/>
          <w:sz w:val="22"/>
          <w:szCs w:val="22"/>
        </w:rPr>
        <w:t>MeOH/THF</w:t>
      </w:r>
      <w:r w:rsidRPr="00164319">
        <w:rPr>
          <w:rFonts w:asciiTheme="minorHAnsi" w:hAnsiTheme="minorHAnsi"/>
          <w:sz w:val="22"/>
          <w:szCs w:val="22"/>
        </w:rPr>
        <w:t xml:space="preserve"> and subsequent propargylation</w:t>
      </w:r>
      <w:r w:rsidR="00C839E1">
        <w:rPr>
          <w:rFonts w:asciiTheme="minorHAnsi" w:hAnsiTheme="minorHAnsi"/>
          <w:sz w:val="22"/>
          <w:szCs w:val="22"/>
        </w:rPr>
        <w:t>in DMF/THF</w:t>
      </w:r>
      <w:r w:rsidRPr="00164319">
        <w:rPr>
          <w:rFonts w:asciiTheme="minorHAnsi" w:hAnsiTheme="minorHAnsi"/>
          <w:sz w:val="22"/>
          <w:szCs w:val="22"/>
        </w:rPr>
        <w:t xml:space="preserve"> transformed oxo acid </w:t>
      </w:r>
      <w:r w:rsidRPr="00164319">
        <w:rPr>
          <w:rFonts w:asciiTheme="minorHAnsi" w:hAnsiTheme="minorHAnsi"/>
          <w:b/>
          <w:sz w:val="22"/>
          <w:szCs w:val="22"/>
        </w:rPr>
        <w:t>8a</w:t>
      </w:r>
      <w:r w:rsidRPr="00164319">
        <w:rPr>
          <w:rFonts w:asciiTheme="minorHAnsi" w:hAnsiTheme="minorHAnsi"/>
          <w:sz w:val="22"/>
          <w:szCs w:val="22"/>
        </w:rPr>
        <w:t xml:space="preserve"> into hydroxy ester </w:t>
      </w:r>
      <w:r w:rsidRPr="00164319">
        <w:rPr>
          <w:rFonts w:asciiTheme="minorHAnsi" w:hAnsiTheme="minorHAnsi"/>
          <w:b/>
          <w:sz w:val="22"/>
          <w:szCs w:val="22"/>
        </w:rPr>
        <w:t>11</w:t>
      </w:r>
      <w:r w:rsidRPr="00164319">
        <w:rPr>
          <w:rFonts w:asciiTheme="minorHAnsi" w:hAnsiTheme="minorHAnsi"/>
          <w:sz w:val="22"/>
          <w:szCs w:val="22"/>
        </w:rPr>
        <w:t xml:space="preserve"> in 56% yield,</w:t>
      </w:r>
      <w:r w:rsidR="004F4708">
        <w:rPr>
          <w:rStyle w:val="Eindnootmarkering"/>
          <w:rFonts w:asciiTheme="minorHAnsi" w:hAnsiTheme="minorHAnsi"/>
          <w:sz w:val="22"/>
          <w:szCs w:val="22"/>
        </w:rPr>
        <w:endnoteReference w:id="10"/>
      </w:r>
      <w:r w:rsidRPr="00164319">
        <w:rPr>
          <w:rFonts w:asciiTheme="minorHAnsi" w:hAnsiTheme="minorHAnsi"/>
          <w:sz w:val="22"/>
          <w:szCs w:val="22"/>
        </w:rPr>
        <w:t xml:space="preserve"> which served as a substrate for f</w:t>
      </w:r>
      <w:r w:rsidR="002C4F7E">
        <w:rPr>
          <w:rFonts w:asciiTheme="minorHAnsi" w:hAnsiTheme="minorHAnsi"/>
          <w:sz w:val="22"/>
          <w:szCs w:val="22"/>
        </w:rPr>
        <w:t xml:space="preserve">urther esterification at the </w:t>
      </w:r>
      <w:r w:rsidRPr="00164319">
        <w:rPr>
          <w:rFonts w:asciiTheme="minorHAnsi" w:hAnsiTheme="minorHAnsi"/>
          <w:sz w:val="22"/>
          <w:szCs w:val="22"/>
        </w:rPr>
        <w:t>hydroxyl group with succinic anhydride or glutaric anhydride</w:t>
      </w:r>
      <w:r w:rsidR="002E6E6A">
        <w:rPr>
          <w:rFonts w:asciiTheme="minorHAnsi" w:hAnsiTheme="minorHAnsi"/>
          <w:sz w:val="22"/>
          <w:szCs w:val="22"/>
        </w:rPr>
        <w:t xml:space="preserve"> in pyridine</w:t>
      </w:r>
      <w:r w:rsidRPr="00164319">
        <w:rPr>
          <w:rFonts w:asciiTheme="minorHAnsi" w:hAnsiTheme="minorHAnsi"/>
          <w:sz w:val="22"/>
          <w:szCs w:val="22"/>
        </w:rPr>
        <w:t xml:space="preserve"> to give compounds </w:t>
      </w:r>
      <w:r w:rsidRPr="00164319">
        <w:rPr>
          <w:rFonts w:asciiTheme="minorHAnsi" w:hAnsiTheme="minorHAnsi"/>
          <w:b/>
          <w:sz w:val="22"/>
          <w:szCs w:val="22"/>
        </w:rPr>
        <w:t>12a,b</w:t>
      </w:r>
      <w:r w:rsidRPr="00164319">
        <w:rPr>
          <w:rFonts w:asciiTheme="minorHAnsi" w:hAnsiTheme="minorHAnsi"/>
          <w:sz w:val="22"/>
          <w:szCs w:val="22"/>
        </w:rPr>
        <w:t xml:space="preserve"> in good yields. </w:t>
      </w:r>
      <w:r w:rsidRPr="00164319">
        <w:rPr>
          <w:rFonts w:asciiTheme="minorHAnsi" w:hAnsiTheme="minorHAnsi" w:cstheme="minorBidi"/>
          <w:sz w:val="22"/>
          <w:szCs w:val="22"/>
        </w:rPr>
        <w:t xml:space="preserve">Cu(I)-catalyzed Huisgen cycloaddition between alkynes </w:t>
      </w:r>
      <w:r w:rsidRPr="00164319">
        <w:rPr>
          <w:rFonts w:asciiTheme="minorHAnsi" w:hAnsiTheme="minorHAnsi" w:cstheme="minorBidi"/>
          <w:b/>
          <w:sz w:val="22"/>
          <w:szCs w:val="22"/>
        </w:rPr>
        <w:t>12</w:t>
      </w:r>
      <w:r w:rsidRPr="00164319">
        <w:rPr>
          <w:rFonts w:asciiTheme="minorHAnsi" w:hAnsiTheme="minorHAnsi" w:cstheme="minorBidi"/>
          <w:sz w:val="22"/>
          <w:szCs w:val="22"/>
        </w:rPr>
        <w:t xml:space="preserve"> and AZT finally produced the desired </w:t>
      </w:r>
      <w:r w:rsidR="002E6E6A">
        <w:rPr>
          <w:rFonts w:asciiTheme="minorHAnsi" w:hAnsiTheme="minorHAnsi" w:cstheme="minorBidi"/>
          <w:sz w:val="22"/>
          <w:szCs w:val="22"/>
        </w:rPr>
        <w:t xml:space="preserve">new </w:t>
      </w:r>
      <w:r w:rsidRPr="00164319">
        <w:rPr>
          <w:rFonts w:asciiTheme="minorHAnsi" w:hAnsiTheme="minorHAnsi" w:cstheme="minorBidi"/>
          <w:sz w:val="22"/>
          <w:szCs w:val="22"/>
        </w:rPr>
        <w:t xml:space="preserve">hybrids </w:t>
      </w:r>
      <w:r w:rsidRPr="00164319">
        <w:rPr>
          <w:rFonts w:asciiTheme="minorHAnsi" w:hAnsiTheme="minorHAnsi" w:cstheme="minorBidi"/>
          <w:b/>
          <w:sz w:val="22"/>
          <w:szCs w:val="22"/>
        </w:rPr>
        <w:t>13a</w:t>
      </w:r>
      <w:r w:rsidRPr="00164319">
        <w:rPr>
          <w:rFonts w:asciiTheme="minorHAnsi" w:hAnsiTheme="minorHAnsi" w:cstheme="minorBidi"/>
          <w:sz w:val="22"/>
          <w:szCs w:val="22"/>
        </w:rPr>
        <w:t xml:space="preserve"> and </w:t>
      </w:r>
      <w:r w:rsidRPr="00164319">
        <w:rPr>
          <w:rFonts w:asciiTheme="minorHAnsi" w:hAnsiTheme="minorHAnsi" w:cstheme="minorBidi"/>
          <w:b/>
          <w:sz w:val="22"/>
          <w:szCs w:val="22"/>
        </w:rPr>
        <w:t>13b</w:t>
      </w:r>
      <w:r w:rsidRPr="00164319">
        <w:rPr>
          <w:rFonts w:asciiTheme="minorHAnsi" w:hAnsiTheme="minorHAnsi" w:cstheme="minorBidi"/>
          <w:sz w:val="22"/>
          <w:szCs w:val="22"/>
        </w:rPr>
        <w:t xml:space="preserve"> in 50% en 48% yield, respectively. Alcohol </w:t>
      </w:r>
      <w:r w:rsidRPr="00164319">
        <w:rPr>
          <w:rFonts w:asciiTheme="minorHAnsi" w:hAnsiTheme="minorHAnsi" w:cstheme="minorBidi"/>
          <w:b/>
          <w:sz w:val="22"/>
          <w:szCs w:val="22"/>
        </w:rPr>
        <w:t>11</w:t>
      </w:r>
      <w:r w:rsidRPr="00164319">
        <w:rPr>
          <w:rFonts w:asciiTheme="minorHAnsi" w:hAnsiTheme="minorHAnsi" w:cstheme="minorBidi"/>
          <w:sz w:val="22"/>
          <w:szCs w:val="22"/>
        </w:rPr>
        <w:t xml:space="preserve"> was also employed as a substrate for a click reaction with AZT, affording conjugate </w:t>
      </w:r>
      <w:r w:rsidRPr="00164319">
        <w:rPr>
          <w:rFonts w:asciiTheme="minorHAnsi" w:hAnsiTheme="minorHAnsi" w:cstheme="minorBidi"/>
          <w:b/>
          <w:sz w:val="22"/>
          <w:szCs w:val="22"/>
        </w:rPr>
        <w:t>13c</w:t>
      </w:r>
      <w:r w:rsidRPr="00164319">
        <w:rPr>
          <w:rFonts w:asciiTheme="minorHAnsi" w:hAnsiTheme="minorHAnsi" w:cstheme="minorBidi"/>
          <w:sz w:val="22"/>
          <w:szCs w:val="22"/>
        </w:rPr>
        <w:t xml:space="preserve"> in 56% yield (Scheme 4).</w:t>
      </w:r>
    </w:p>
    <w:p w:rsidR="00FF3D25" w:rsidRPr="00164319" w:rsidRDefault="004B4559" w:rsidP="00F11D40">
      <w:pPr>
        <w:spacing w:after="120"/>
        <w:jc w:val="center"/>
      </w:pPr>
      <w:r w:rsidRPr="00164319">
        <w:object w:dxaOrig="11320" w:dyaOrig="7005">
          <v:shape id="_x0000_i1028" type="#_x0000_t75" style="width:394.65pt;height:245.35pt" o:ole="">
            <v:imagedata r:id="rId14" o:title=""/>
          </v:shape>
          <o:OLEObject Type="Embed" ProgID="ChemDraw.Document.6.0" ShapeID="_x0000_i1028" DrawAspect="Content" ObjectID="_1491851841" r:id="rId15"/>
        </w:object>
      </w:r>
    </w:p>
    <w:p w:rsidR="00FF3D25" w:rsidRPr="00164319" w:rsidRDefault="00BF5741" w:rsidP="00F11D40">
      <w:pPr>
        <w:spacing w:after="120"/>
        <w:jc w:val="center"/>
        <w:rPr>
          <w:sz w:val="20"/>
          <w:szCs w:val="20"/>
        </w:rPr>
      </w:pPr>
      <w:r w:rsidRPr="00164319">
        <w:t>Scheme 4</w:t>
      </w:r>
      <w:r w:rsidR="00125A89" w:rsidRPr="00164319">
        <w:t>.</w:t>
      </w:r>
      <w:r w:rsidR="00B51D39" w:rsidRPr="00164319">
        <w:t>Synthesis of triterpenoid-AZT hybrids</w:t>
      </w:r>
      <w:r w:rsidRPr="00164319">
        <w:rPr>
          <w:b/>
        </w:rPr>
        <w:t>13</w:t>
      </w:r>
      <w:r w:rsidR="00B51D39" w:rsidRPr="00164319">
        <w:br/>
      </w:r>
      <w:r w:rsidR="00EC6AA7" w:rsidRPr="00164319">
        <w:rPr>
          <w:sz w:val="20"/>
          <w:szCs w:val="20"/>
        </w:rPr>
        <w:t>Reagen</w:t>
      </w:r>
      <w:r w:rsidR="00125A89" w:rsidRPr="00164319">
        <w:rPr>
          <w:sz w:val="20"/>
          <w:szCs w:val="20"/>
        </w:rPr>
        <w:t>t</w:t>
      </w:r>
      <w:r w:rsidR="004209AF">
        <w:rPr>
          <w:sz w:val="20"/>
          <w:szCs w:val="20"/>
        </w:rPr>
        <w:t>s</w:t>
      </w:r>
      <w:r w:rsidR="00125A89" w:rsidRPr="00164319">
        <w:rPr>
          <w:sz w:val="20"/>
          <w:szCs w:val="20"/>
        </w:rPr>
        <w:t>andconditions: (a) 4.0 equiv</w:t>
      </w:r>
      <w:r w:rsidR="00EC6AA7" w:rsidRPr="00164319">
        <w:rPr>
          <w:sz w:val="20"/>
          <w:szCs w:val="20"/>
        </w:rPr>
        <w:t xml:space="preserve"> NaBH</w:t>
      </w:r>
      <w:r w:rsidR="00EC6AA7" w:rsidRPr="00164319">
        <w:rPr>
          <w:sz w:val="20"/>
          <w:szCs w:val="20"/>
          <w:vertAlign w:val="subscript"/>
        </w:rPr>
        <w:t>4</w:t>
      </w:r>
      <w:r w:rsidR="00EC6AA7" w:rsidRPr="00164319">
        <w:rPr>
          <w:sz w:val="20"/>
          <w:szCs w:val="20"/>
        </w:rPr>
        <w:t>, MeOH, THF, rt,10h; (b)2.0 equivpropa</w:t>
      </w:r>
      <w:r w:rsidR="00096138" w:rsidRPr="00164319">
        <w:rPr>
          <w:sz w:val="20"/>
          <w:szCs w:val="20"/>
        </w:rPr>
        <w:t>r</w:t>
      </w:r>
      <w:r w:rsidR="00EC6AA7" w:rsidRPr="00164319">
        <w:rPr>
          <w:sz w:val="20"/>
          <w:szCs w:val="20"/>
        </w:rPr>
        <w:t>gyl bromide, 2.0 equiv Cs</w:t>
      </w:r>
      <w:r w:rsidR="00EC6AA7" w:rsidRPr="00164319">
        <w:rPr>
          <w:sz w:val="20"/>
          <w:szCs w:val="20"/>
          <w:vertAlign w:val="subscript"/>
        </w:rPr>
        <w:t>2</w:t>
      </w:r>
      <w:r w:rsidR="00EC6AA7" w:rsidRPr="00164319">
        <w:rPr>
          <w:sz w:val="20"/>
          <w:szCs w:val="20"/>
        </w:rPr>
        <w:t>CO</w:t>
      </w:r>
      <w:r w:rsidR="00EC6AA7" w:rsidRPr="00164319">
        <w:rPr>
          <w:sz w:val="20"/>
          <w:szCs w:val="20"/>
          <w:vertAlign w:val="subscript"/>
        </w:rPr>
        <w:t>3</w:t>
      </w:r>
      <w:r w:rsidR="00EC6AA7" w:rsidRPr="00164319">
        <w:rPr>
          <w:sz w:val="20"/>
          <w:szCs w:val="20"/>
        </w:rPr>
        <w:t>, DMF:THF</w:t>
      </w:r>
      <w:r w:rsidR="00125A89" w:rsidRPr="00164319">
        <w:rPr>
          <w:sz w:val="20"/>
          <w:szCs w:val="20"/>
        </w:rPr>
        <w:t xml:space="preserve"> (1:1), rt, 4-6h; (c) 4.0</w:t>
      </w:r>
      <w:r w:rsidR="004209AF">
        <w:rPr>
          <w:sz w:val="20"/>
          <w:szCs w:val="20"/>
        </w:rPr>
        <w:t>equiv anhydride, pyridine, 120°</w:t>
      </w:r>
      <w:r w:rsidR="00125A89" w:rsidRPr="00164319">
        <w:rPr>
          <w:sz w:val="20"/>
          <w:szCs w:val="20"/>
        </w:rPr>
        <w:t>C</w:t>
      </w:r>
      <w:r w:rsidR="00EC6AA7" w:rsidRPr="00164319">
        <w:rPr>
          <w:sz w:val="20"/>
          <w:szCs w:val="20"/>
        </w:rPr>
        <w:t>, 12h; (d) 0.8 equiv AZT</w:t>
      </w:r>
      <w:r w:rsidR="00125A89" w:rsidRPr="00164319">
        <w:rPr>
          <w:sz w:val="20"/>
          <w:szCs w:val="20"/>
        </w:rPr>
        <w:t>, 0.2 equiv</w:t>
      </w:r>
      <w:r w:rsidR="00EC6AA7" w:rsidRPr="00164319">
        <w:rPr>
          <w:sz w:val="20"/>
          <w:szCs w:val="20"/>
        </w:rPr>
        <w:t xml:space="preserve">CuI, </w:t>
      </w:r>
      <w:r w:rsidR="00EC6AA7" w:rsidRPr="00164319">
        <w:rPr>
          <w:i/>
          <w:sz w:val="20"/>
          <w:szCs w:val="20"/>
        </w:rPr>
        <w:t>t</w:t>
      </w:r>
      <w:r w:rsidR="00EC6AA7" w:rsidRPr="00164319">
        <w:rPr>
          <w:sz w:val="20"/>
          <w:szCs w:val="20"/>
        </w:rPr>
        <w:t>-BuOH, 70</w:t>
      </w:r>
      <w:r w:rsidR="00125A89" w:rsidRPr="00164319">
        <w:rPr>
          <w:sz w:val="20"/>
          <w:szCs w:val="20"/>
        </w:rPr>
        <w:t>°</w:t>
      </w:r>
      <w:r w:rsidR="00EC6AA7" w:rsidRPr="00164319">
        <w:rPr>
          <w:sz w:val="20"/>
          <w:szCs w:val="20"/>
        </w:rPr>
        <w:t>C, 12h</w:t>
      </w:r>
    </w:p>
    <w:p w:rsidR="00F11D40" w:rsidRPr="00164319" w:rsidRDefault="00F11D40" w:rsidP="00FF3D25">
      <w:pPr>
        <w:spacing w:after="120"/>
        <w:jc w:val="both"/>
      </w:pPr>
    </w:p>
    <w:p w:rsidR="00271C44" w:rsidRPr="00164319" w:rsidRDefault="00271C44" w:rsidP="00FF3D25">
      <w:pPr>
        <w:spacing w:after="120"/>
        <w:jc w:val="both"/>
        <w:rPr>
          <w:lang w:val="en-US"/>
        </w:rPr>
      </w:pPr>
      <w:r w:rsidRPr="00164319">
        <w:rPr>
          <w:lang w:val="en-US"/>
        </w:rPr>
        <w:t xml:space="preserve">Finally, </w:t>
      </w:r>
      <w:r w:rsidR="005C361C" w:rsidRPr="00164319">
        <w:rPr>
          <w:lang w:val="en-US"/>
        </w:rPr>
        <w:t>hydroxy acid</w:t>
      </w:r>
      <w:r w:rsidR="005C361C" w:rsidRPr="00164319">
        <w:rPr>
          <w:b/>
          <w:lang w:val="en-US"/>
        </w:rPr>
        <w:t>14</w:t>
      </w:r>
      <w:r w:rsidR="006C258E" w:rsidRPr="00164319">
        <w:rPr>
          <w:lang w:val="en-US"/>
        </w:rPr>
        <w:t xml:space="preserve">, isolated from </w:t>
      </w:r>
      <w:r w:rsidR="006C258E" w:rsidRPr="00164319">
        <w:rPr>
          <w:i/>
          <w:lang w:val="en-US"/>
        </w:rPr>
        <w:t>Acanthopanaxtrifoliatus</w:t>
      </w:r>
      <w:r w:rsidR="006C258E" w:rsidRPr="00164319">
        <w:rPr>
          <w:lang w:val="en-US"/>
        </w:rPr>
        <w:t>,</w:t>
      </w:r>
      <w:r w:rsidR="004F4708">
        <w:rPr>
          <w:rStyle w:val="Eindnootmarkering"/>
          <w:lang w:val="en-US"/>
        </w:rPr>
        <w:endnoteReference w:id="11"/>
      </w:r>
      <w:r w:rsidR="005C361C" w:rsidRPr="00164319">
        <w:rPr>
          <w:lang w:val="en-US"/>
        </w:rPr>
        <w:t>was</w:t>
      </w:r>
      <w:r w:rsidR="004F11BB" w:rsidRPr="00164319">
        <w:rPr>
          <w:lang w:val="en-US"/>
        </w:rPr>
        <w:t>investigated</w:t>
      </w:r>
      <w:r w:rsidRPr="00164319">
        <w:rPr>
          <w:lang w:val="en-US"/>
        </w:rPr>
        <w:t xml:space="preserve"> as </w:t>
      </w:r>
      <w:r w:rsidR="005C361C" w:rsidRPr="00164319">
        <w:rPr>
          <w:lang w:val="en-US"/>
        </w:rPr>
        <w:t>an eligible substrate</w:t>
      </w:r>
      <w:r w:rsidRPr="00164319">
        <w:rPr>
          <w:lang w:val="en-US"/>
        </w:rPr>
        <w:t xml:space="preserve"> for molecular hybridization. Thus, </w:t>
      </w:r>
      <w:r w:rsidR="005C361C" w:rsidRPr="00164319">
        <w:rPr>
          <w:lang w:val="en-US"/>
        </w:rPr>
        <w:t>this compoundwas</w:t>
      </w:r>
      <w:r w:rsidRPr="00164319">
        <w:rPr>
          <w:lang w:val="en-US"/>
        </w:rPr>
        <w:t xml:space="preserve"> esterified using propargyl bromide in DMF/THF (1:1)</w:t>
      </w:r>
      <w:r w:rsidR="00DF6724" w:rsidRPr="00164319">
        <w:rPr>
          <w:lang w:val="en-US"/>
        </w:rPr>
        <w:t xml:space="preserve"> to </w:t>
      </w:r>
      <w:r w:rsidR="005C361C" w:rsidRPr="00164319">
        <w:rPr>
          <w:lang w:val="en-US"/>
        </w:rPr>
        <w:t>furnish the corresponding ester</w:t>
      </w:r>
      <w:r w:rsidR="005C361C" w:rsidRPr="00164319">
        <w:rPr>
          <w:b/>
          <w:lang w:val="en-US"/>
        </w:rPr>
        <w:t>15</w:t>
      </w:r>
      <w:r w:rsidR="00DF6724" w:rsidRPr="00164319">
        <w:rPr>
          <w:lang w:val="en-US"/>
        </w:rPr>
        <w:t xml:space="preserve">, followed by conjugation with AZT following the above-described click chemistry </w:t>
      </w:r>
      <w:r w:rsidR="005C361C" w:rsidRPr="00164319">
        <w:rPr>
          <w:lang w:val="en-US"/>
        </w:rPr>
        <w:t>methodology</w:t>
      </w:r>
      <w:r w:rsidR="00DF6724" w:rsidRPr="00164319">
        <w:rPr>
          <w:lang w:val="en-US"/>
        </w:rPr>
        <w:t>. This approach resulted i</w:t>
      </w:r>
      <w:r w:rsidR="005C361C" w:rsidRPr="00164319">
        <w:rPr>
          <w:lang w:val="en-US"/>
        </w:rPr>
        <w:t>n novel triterpenoid-AZT hybrid</w:t>
      </w:r>
      <w:r w:rsidR="005C361C" w:rsidRPr="00164319">
        <w:rPr>
          <w:b/>
          <w:lang w:val="en-US"/>
        </w:rPr>
        <w:t>16</w:t>
      </w:r>
      <w:r w:rsidR="005C361C" w:rsidRPr="00164319">
        <w:rPr>
          <w:lang w:val="en-US"/>
        </w:rPr>
        <w:t xml:space="preserve"> in </w:t>
      </w:r>
      <w:r w:rsidR="002E6E6A">
        <w:rPr>
          <w:lang w:val="en-US"/>
        </w:rPr>
        <w:t xml:space="preserve">a </w:t>
      </w:r>
      <w:r w:rsidR="005C361C" w:rsidRPr="00164319">
        <w:rPr>
          <w:lang w:val="en-US"/>
        </w:rPr>
        <w:t>good yield</w:t>
      </w:r>
      <w:r w:rsidR="00762794" w:rsidRPr="00164319">
        <w:rPr>
          <w:lang w:val="en-US"/>
        </w:rPr>
        <w:t xml:space="preserve"> (Scheme 5</w:t>
      </w:r>
      <w:r w:rsidR="00DF6724" w:rsidRPr="00164319">
        <w:rPr>
          <w:lang w:val="en-US"/>
        </w:rPr>
        <w:t>).</w:t>
      </w:r>
    </w:p>
    <w:p w:rsidR="00DE0657" w:rsidRPr="00164319" w:rsidRDefault="004B4559" w:rsidP="006A70D5">
      <w:pPr>
        <w:spacing w:after="120"/>
        <w:jc w:val="center"/>
        <w:rPr>
          <w:lang w:val="en-US"/>
        </w:rPr>
      </w:pPr>
      <w:r w:rsidRPr="00164319">
        <w:object w:dxaOrig="12328" w:dyaOrig="3677">
          <v:shape id="_x0000_i1029" type="#_x0000_t75" style="width:6in;height:128pt" o:ole="">
            <v:imagedata r:id="rId16" o:title=""/>
          </v:shape>
          <o:OLEObject Type="Embed" ProgID="ChemDraw.Document.6.0" ShapeID="_x0000_i1029" DrawAspect="Content" ObjectID="_1491851842" r:id="rId17"/>
        </w:object>
      </w:r>
    </w:p>
    <w:p w:rsidR="00FF3D25" w:rsidRPr="00164319" w:rsidRDefault="00BF5741" w:rsidP="006A70D5">
      <w:pPr>
        <w:spacing w:after="120"/>
        <w:jc w:val="center"/>
        <w:rPr>
          <w:sz w:val="20"/>
          <w:szCs w:val="20"/>
          <w:lang w:val="en-US"/>
        </w:rPr>
      </w:pPr>
      <w:r w:rsidRPr="00164319">
        <w:rPr>
          <w:lang w:val="en-US"/>
        </w:rPr>
        <w:lastRenderedPageBreak/>
        <w:t>Scheme 5</w:t>
      </w:r>
      <w:r w:rsidR="00A54762" w:rsidRPr="00164319">
        <w:rPr>
          <w:lang w:val="en-US"/>
        </w:rPr>
        <w:t xml:space="preserve">. </w:t>
      </w:r>
      <w:r w:rsidR="00E97549" w:rsidRPr="00164319">
        <w:rPr>
          <w:lang w:val="en-US"/>
        </w:rPr>
        <w:t>Synthesis of triterpenoid</w:t>
      </w:r>
      <w:r w:rsidRPr="00164319">
        <w:rPr>
          <w:lang w:val="en-US"/>
        </w:rPr>
        <w:t>-AZT conjugate</w:t>
      </w:r>
      <w:r w:rsidRPr="00164319">
        <w:rPr>
          <w:b/>
          <w:lang w:val="en-US"/>
        </w:rPr>
        <w:t>16</w:t>
      </w:r>
      <w:r w:rsidR="00E97549" w:rsidRPr="00164319">
        <w:rPr>
          <w:lang w:val="en-US"/>
        </w:rPr>
        <w:br/>
      </w:r>
      <w:r w:rsidR="00A54762" w:rsidRPr="00164319">
        <w:rPr>
          <w:sz w:val="20"/>
          <w:szCs w:val="20"/>
          <w:lang w:val="en-US"/>
        </w:rPr>
        <w:t>Reagent</w:t>
      </w:r>
      <w:r w:rsidR="004209AF">
        <w:rPr>
          <w:sz w:val="20"/>
          <w:szCs w:val="20"/>
          <w:lang w:val="en-US"/>
        </w:rPr>
        <w:t>s</w:t>
      </w:r>
      <w:r w:rsidR="00A54762" w:rsidRPr="00164319">
        <w:rPr>
          <w:sz w:val="20"/>
          <w:szCs w:val="20"/>
          <w:lang w:val="en-US"/>
        </w:rPr>
        <w:t xml:space="preserve"> and conditions: (a) 2.0 equivpropargyl bromide, 2.0 equiv Cs</w:t>
      </w:r>
      <w:r w:rsidR="00A54762" w:rsidRPr="00164319">
        <w:rPr>
          <w:sz w:val="20"/>
          <w:szCs w:val="20"/>
          <w:vertAlign w:val="subscript"/>
          <w:lang w:val="en-US"/>
        </w:rPr>
        <w:t>2</w:t>
      </w:r>
      <w:r w:rsidR="00A54762" w:rsidRPr="00164319">
        <w:rPr>
          <w:sz w:val="20"/>
          <w:szCs w:val="20"/>
          <w:lang w:val="en-US"/>
        </w:rPr>
        <w:t>CO</w:t>
      </w:r>
      <w:r w:rsidR="00A54762" w:rsidRPr="00164319">
        <w:rPr>
          <w:sz w:val="20"/>
          <w:szCs w:val="20"/>
          <w:vertAlign w:val="subscript"/>
          <w:lang w:val="en-US"/>
        </w:rPr>
        <w:t>3</w:t>
      </w:r>
      <w:r w:rsidR="006A70D5" w:rsidRPr="00164319">
        <w:rPr>
          <w:sz w:val="20"/>
          <w:szCs w:val="20"/>
          <w:lang w:val="en-US"/>
        </w:rPr>
        <w:t>, DMF:THF (1:1), rt, 4-6h; (b) 0.8 equiv. AZT, 0.2 equiv</w:t>
      </w:r>
      <w:r w:rsidR="00A54762" w:rsidRPr="00164319">
        <w:rPr>
          <w:sz w:val="20"/>
          <w:szCs w:val="20"/>
          <w:lang w:val="en-US"/>
        </w:rPr>
        <w:t xml:space="preserve">CuI, </w:t>
      </w:r>
      <w:r w:rsidR="00A54762" w:rsidRPr="00164319">
        <w:rPr>
          <w:i/>
          <w:sz w:val="20"/>
          <w:szCs w:val="20"/>
          <w:lang w:val="en-US"/>
        </w:rPr>
        <w:t>t</w:t>
      </w:r>
      <w:r w:rsidR="00A54762" w:rsidRPr="00164319">
        <w:rPr>
          <w:sz w:val="20"/>
          <w:szCs w:val="20"/>
          <w:lang w:val="en-US"/>
        </w:rPr>
        <w:t>-BuOH, 70</w:t>
      </w:r>
      <w:r w:rsidR="006A70D5" w:rsidRPr="00164319">
        <w:rPr>
          <w:sz w:val="20"/>
          <w:szCs w:val="20"/>
          <w:lang w:val="en-US"/>
        </w:rPr>
        <w:t>°</w:t>
      </w:r>
      <w:r w:rsidR="00A54762" w:rsidRPr="00164319">
        <w:rPr>
          <w:sz w:val="20"/>
          <w:szCs w:val="20"/>
          <w:lang w:val="en-US"/>
        </w:rPr>
        <w:t>C, 12h</w:t>
      </w:r>
    </w:p>
    <w:p w:rsidR="00A54762" w:rsidRPr="00164319" w:rsidRDefault="00A54762" w:rsidP="00FF3D25">
      <w:pPr>
        <w:spacing w:after="120"/>
        <w:jc w:val="both"/>
        <w:rPr>
          <w:lang w:val="en-US"/>
        </w:rPr>
      </w:pPr>
    </w:p>
    <w:p w:rsidR="00424193" w:rsidRPr="00164319" w:rsidRDefault="007E7E60" w:rsidP="00FF3D25">
      <w:pPr>
        <w:spacing w:after="120"/>
        <w:jc w:val="both"/>
        <w:rPr>
          <w:lang w:val="en-US"/>
        </w:rPr>
      </w:pPr>
      <w:r w:rsidRPr="00164319">
        <w:rPr>
          <w:lang w:val="en-US"/>
        </w:rPr>
        <w:t>In summary, 1,3-cycloaddition has been applied successfully as a tool for the construction of 12 novel triazole-tethered triterpenoid-AZT conjugates as potentially useful entities for biological screening.</w:t>
      </w:r>
      <w:r w:rsidR="00FC2322" w:rsidRPr="00164319">
        <w:rPr>
          <w:lang w:val="en-US"/>
        </w:rPr>
        <w:t xml:space="preserve"> The molecular identity of all new products was confirmed by detailed </w:t>
      </w:r>
      <w:r w:rsidR="00FC2322" w:rsidRPr="00164319">
        <w:rPr>
          <w:vertAlign w:val="superscript"/>
          <w:lang w:val="en-US"/>
        </w:rPr>
        <w:t>1</w:t>
      </w:r>
      <w:r w:rsidR="00FC2322" w:rsidRPr="00164319">
        <w:rPr>
          <w:lang w:val="en-US"/>
        </w:rPr>
        <w:t xml:space="preserve">H NMR, </w:t>
      </w:r>
      <w:r w:rsidR="00FC2322" w:rsidRPr="00164319">
        <w:rPr>
          <w:vertAlign w:val="superscript"/>
          <w:lang w:val="en-US"/>
        </w:rPr>
        <w:t>13</w:t>
      </w:r>
      <w:r w:rsidR="00FC2322" w:rsidRPr="00164319">
        <w:rPr>
          <w:lang w:val="en-US"/>
        </w:rPr>
        <w:t>C NMR, IR and MS analysis.</w:t>
      </w:r>
    </w:p>
    <w:p w:rsidR="00424193" w:rsidRPr="00164319" w:rsidRDefault="00424193" w:rsidP="00FF3D25">
      <w:pPr>
        <w:spacing w:after="120"/>
        <w:jc w:val="both"/>
        <w:rPr>
          <w:lang w:val="en-US"/>
        </w:rPr>
      </w:pPr>
    </w:p>
    <w:p w:rsidR="00424193" w:rsidRPr="00164319" w:rsidRDefault="0039051E" w:rsidP="00424193">
      <w:pPr>
        <w:spacing w:after="120"/>
        <w:jc w:val="both"/>
        <w:rPr>
          <w:lang w:val="en-GB"/>
        </w:rPr>
      </w:pPr>
      <w:r w:rsidRPr="00164319">
        <w:rPr>
          <w:lang w:val="en-US"/>
        </w:rPr>
        <w:t>In t</w:t>
      </w:r>
      <w:r w:rsidR="00424193" w:rsidRPr="00164319">
        <w:rPr>
          <w:lang w:val="en-US"/>
        </w:rPr>
        <w:t>he next part of this work, the</w:t>
      </w:r>
      <w:r w:rsidRPr="00164319">
        <w:rPr>
          <w:lang w:val="en-US"/>
        </w:rPr>
        <w:t xml:space="preserve"> new</w:t>
      </w:r>
      <w:r w:rsidR="00424193" w:rsidRPr="00164319">
        <w:rPr>
          <w:lang w:val="en-US"/>
        </w:rPr>
        <w:t>ly prepared compounds</w:t>
      </w:r>
      <w:r w:rsidRPr="00164319">
        <w:rPr>
          <w:lang w:val="en-US"/>
        </w:rPr>
        <w:t xml:space="preserve"> were subjected to cytotoxic evaluation in order to assess their biological relevance.</w:t>
      </w:r>
      <w:r w:rsidR="00424193" w:rsidRPr="00164319">
        <w:rPr>
          <w:lang w:val="en-US"/>
        </w:rPr>
        <w:t xml:space="preserve"> Thus, </w:t>
      </w:r>
      <w:r w:rsidR="002E6E6A">
        <w:rPr>
          <w:lang w:val="en-GB"/>
        </w:rPr>
        <w:t>triterpenoid</w:t>
      </w:r>
      <w:r w:rsidR="00424193" w:rsidRPr="00164319">
        <w:rPr>
          <w:lang w:val="en-GB"/>
        </w:rPr>
        <w:t xml:space="preserve"> derivatives </w:t>
      </w:r>
      <w:r w:rsidR="00424193" w:rsidRPr="00164319">
        <w:rPr>
          <w:b/>
          <w:lang w:val="en-GB"/>
        </w:rPr>
        <w:t>2a-d</w:t>
      </w:r>
      <w:r w:rsidR="00424193" w:rsidRPr="00164319">
        <w:rPr>
          <w:lang w:val="en-GB"/>
        </w:rPr>
        <w:t xml:space="preserve">, </w:t>
      </w:r>
      <w:r w:rsidR="00424193" w:rsidRPr="00164319">
        <w:rPr>
          <w:b/>
          <w:lang w:val="en-GB"/>
        </w:rPr>
        <w:t>5a,b</w:t>
      </w:r>
      <w:r w:rsidR="00424193" w:rsidRPr="00164319">
        <w:rPr>
          <w:lang w:val="en-GB"/>
        </w:rPr>
        <w:t xml:space="preserve">, </w:t>
      </w:r>
      <w:r w:rsidR="00424193" w:rsidRPr="00164319">
        <w:rPr>
          <w:b/>
          <w:lang w:val="en-GB"/>
        </w:rPr>
        <w:t>9a,b, 12a,b</w:t>
      </w:r>
      <w:r w:rsidR="00424193" w:rsidRPr="00164319">
        <w:rPr>
          <w:lang w:val="en-GB"/>
        </w:rPr>
        <w:t xml:space="preserve">, </w:t>
      </w:r>
      <w:r w:rsidR="00424193" w:rsidRPr="00164319">
        <w:rPr>
          <w:b/>
          <w:lang w:val="en-GB"/>
        </w:rPr>
        <w:t>15</w:t>
      </w:r>
      <w:r w:rsidR="00424193" w:rsidRPr="00164319">
        <w:rPr>
          <w:lang w:val="en-GB"/>
        </w:rPr>
        <w:t xml:space="preserve"> and </w:t>
      </w:r>
      <w:r w:rsidR="00424193" w:rsidRPr="00164319">
        <w:rPr>
          <w:lang w:val="en-US"/>
        </w:rPr>
        <w:t>AZT-triazol</w:t>
      </w:r>
      <w:r w:rsidR="002E6E6A">
        <w:rPr>
          <w:lang w:val="en-US"/>
        </w:rPr>
        <w:t>e</w:t>
      </w:r>
      <w:r w:rsidR="00424193" w:rsidRPr="00164319">
        <w:rPr>
          <w:lang w:val="en-US"/>
        </w:rPr>
        <w:t>-triterpenoid</w:t>
      </w:r>
      <w:r w:rsidR="002E6E6A">
        <w:rPr>
          <w:lang w:val="en-US"/>
        </w:rPr>
        <w:t>hybrids</w:t>
      </w:r>
      <w:r w:rsidR="00424193" w:rsidRPr="00164319">
        <w:rPr>
          <w:b/>
          <w:lang w:val="en-US"/>
        </w:rPr>
        <w:t>3a-d, 6a,b, 10a,b, 13a-c</w:t>
      </w:r>
      <w:r w:rsidR="00C839E1">
        <w:rPr>
          <w:b/>
          <w:lang w:val="en-US"/>
        </w:rPr>
        <w:t>,</w:t>
      </w:r>
      <w:r w:rsidR="00424193" w:rsidRPr="00164319">
        <w:rPr>
          <w:b/>
          <w:lang w:val="en-US"/>
        </w:rPr>
        <w:t xml:space="preserve"> 16</w:t>
      </w:r>
      <w:r w:rsidR="00424193" w:rsidRPr="00164319">
        <w:rPr>
          <w:lang w:val="en-GB"/>
        </w:rPr>
        <w:t xml:space="preserve">were evaluated </w:t>
      </w:r>
      <w:r w:rsidR="00424193" w:rsidRPr="00164319">
        <w:rPr>
          <w:i/>
          <w:lang w:val="en-GB"/>
        </w:rPr>
        <w:t>in vitro</w:t>
      </w:r>
      <w:r w:rsidR="00424193" w:rsidRPr="00164319">
        <w:rPr>
          <w:lang w:val="en-GB"/>
        </w:rPr>
        <w:t xml:space="preserve"> for their cytotoxic activity against two human tumor cell lines (KB, Hep-G</w:t>
      </w:r>
      <w:r w:rsidR="00424193" w:rsidRPr="00164319">
        <w:rPr>
          <w:vertAlign w:val="subscript"/>
          <w:lang w:val="en-GB"/>
        </w:rPr>
        <w:t>2</w:t>
      </w:r>
      <w:r w:rsidR="00424193" w:rsidRPr="00164319">
        <w:rPr>
          <w:lang w:val="en-GB"/>
        </w:rPr>
        <w:t xml:space="preserve">), and the results are summarized in Table 1.These results indicate that most of these derivatives possess moderate cytotoxic activity, </w:t>
      </w:r>
      <w:r w:rsidR="007408A2">
        <w:rPr>
          <w:lang w:val="en-GB"/>
        </w:rPr>
        <w:t>and</w:t>
      </w:r>
      <w:r w:rsidR="00424193" w:rsidRPr="00164319">
        <w:rPr>
          <w:lang w:val="en-GB"/>
        </w:rPr>
        <w:t xml:space="preserve"> some AZT conjugates </w:t>
      </w:r>
      <w:r w:rsidR="002E6E6A">
        <w:rPr>
          <w:lang w:val="en-GB"/>
        </w:rPr>
        <w:t>even display</w:t>
      </w:r>
      <w:r w:rsidR="00424193" w:rsidRPr="00164319">
        <w:rPr>
          <w:lang w:val="en-GB"/>
        </w:rPr>
        <w:t xml:space="preserve"> a promising activity profile. In particular, three hybrid AZT-triazoletriterpenoids (</w:t>
      </w:r>
      <w:r w:rsidR="00424193" w:rsidRPr="00164319">
        <w:rPr>
          <w:b/>
          <w:lang w:val="en-GB"/>
        </w:rPr>
        <w:t>3a</w:t>
      </w:r>
      <w:r w:rsidR="00424193" w:rsidRPr="00164319">
        <w:rPr>
          <w:lang w:val="en-GB"/>
        </w:rPr>
        <w:t xml:space="preserve">, </w:t>
      </w:r>
      <w:r w:rsidR="00424193" w:rsidRPr="00164319">
        <w:rPr>
          <w:b/>
          <w:lang w:val="en-GB"/>
        </w:rPr>
        <w:t>6b</w:t>
      </w:r>
      <w:r w:rsidR="00424193" w:rsidRPr="00164319">
        <w:rPr>
          <w:lang w:val="en-GB"/>
        </w:rPr>
        <w:t xml:space="preserve"> and </w:t>
      </w:r>
      <w:r w:rsidR="00424193" w:rsidRPr="00164319">
        <w:rPr>
          <w:b/>
          <w:lang w:val="en-GB"/>
        </w:rPr>
        <w:t>13a</w:t>
      </w:r>
      <w:r w:rsidR="002E6E6A">
        <w:rPr>
          <w:lang w:val="en-GB"/>
        </w:rPr>
        <w:t>) show</w:t>
      </w:r>
      <w:r w:rsidR="00424193" w:rsidRPr="00164319">
        <w:rPr>
          <w:lang w:val="en-GB"/>
        </w:rPr>
        <w:t xml:space="preserve"> good cytotoxicity against KB, and five AZT-triazole</w:t>
      </w:r>
      <w:r w:rsidR="00B44132">
        <w:rPr>
          <w:lang w:val="en-GB"/>
        </w:rPr>
        <w:t>conjugates</w:t>
      </w:r>
      <w:r w:rsidR="00424193" w:rsidRPr="00164319">
        <w:rPr>
          <w:lang w:val="en-GB"/>
        </w:rPr>
        <w:t xml:space="preserve"> (</w:t>
      </w:r>
      <w:r w:rsidR="00424193" w:rsidRPr="00164319">
        <w:rPr>
          <w:b/>
          <w:lang w:val="en-GB"/>
        </w:rPr>
        <w:t>3a</w:t>
      </w:r>
      <w:r w:rsidR="00424193" w:rsidRPr="00164319">
        <w:rPr>
          <w:lang w:val="en-GB"/>
        </w:rPr>
        <w:t xml:space="preserve">, </w:t>
      </w:r>
      <w:r w:rsidR="00424193" w:rsidRPr="00164319">
        <w:rPr>
          <w:b/>
          <w:lang w:val="en-GB"/>
        </w:rPr>
        <w:t>6b</w:t>
      </w:r>
      <w:r w:rsidR="00424193" w:rsidRPr="00164319">
        <w:rPr>
          <w:lang w:val="en-GB"/>
        </w:rPr>
        <w:t xml:space="preserve">, </w:t>
      </w:r>
      <w:r w:rsidR="00424193" w:rsidRPr="00164319">
        <w:rPr>
          <w:b/>
          <w:lang w:val="en-GB"/>
        </w:rPr>
        <w:t>13a</w:t>
      </w:r>
      <w:r w:rsidR="00424193" w:rsidRPr="00164319">
        <w:rPr>
          <w:lang w:val="en-GB"/>
        </w:rPr>
        <w:t xml:space="preserve">, </w:t>
      </w:r>
      <w:r w:rsidR="00424193" w:rsidRPr="00164319">
        <w:rPr>
          <w:b/>
          <w:lang w:val="en-GB"/>
        </w:rPr>
        <w:t>13c</w:t>
      </w:r>
      <w:r w:rsidR="00424193" w:rsidRPr="00164319">
        <w:rPr>
          <w:lang w:val="en-GB"/>
        </w:rPr>
        <w:t xml:space="preserve"> and </w:t>
      </w:r>
      <w:r w:rsidR="00424193" w:rsidRPr="00164319">
        <w:rPr>
          <w:b/>
          <w:lang w:val="en-GB"/>
        </w:rPr>
        <w:t>16</w:t>
      </w:r>
      <w:r w:rsidR="002E6E6A">
        <w:rPr>
          <w:lang w:val="en-GB"/>
        </w:rPr>
        <w:t>) exhibit</w:t>
      </w:r>
      <w:r w:rsidR="00424193" w:rsidRPr="00164319">
        <w:rPr>
          <w:lang w:val="en-GB"/>
        </w:rPr>
        <w:t xml:space="preserve"> considerable cytotoxicity against Hep-G</w:t>
      </w:r>
      <w:r w:rsidR="00424193" w:rsidRPr="00164319">
        <w:rPr>
          <w:vertAlign w:val="subscript"/>
          <w:lang w:val="en-GB"/>
        </w:rPr>
        <w:t>2</w:t>
      </w:r>
      <w:r w:rsidR="00E92682" w:rsidRPr="00164319">
        <w:rPr>
          <w:lang w:val="en-GB"/>
        </w:rPr>
        <w:t xml:space="preserve"> cancer cell lines, pointing to the potential interest in this new class of hybrid molecules in the field of cancer research.</w:t>
      </w:r>
    </w:p>
    <w:p w:rsidR="00424193" w:rsidRPr="00B44132" w:rsidRDefault="00B44132" w:rsidP="00FF3D25">
      <w:pPr>
        <w:spacing w:after="120"/>
        <w:jc w:val="both"/>
        <w:rPr>
          <w:lang w:val="en-US"/>
        </w:rPr>
      </w:pPr>
      <w:r>
        <w:rPr>
          <w:lang w:val="en-GB"/>
        </w:rPr>
        <w:t xml:space="preserve">In addition, also AZT and the </w:t>
      </w:r>
      <w:r w:rsidR="00AB4280">
        <w:rPr>
          <w:lang w:val="en-GB"/>
        </w:rPr>
        <w:t>parent</w:t>
      </w:r>
      <w:r>
        <w:rPr>
          <w:lang w:val="en-GB"/>
        </w:rPr>
        <w:t xml:space="preserve">triterpenoid acids </w:t>
      </w:r>
      <w:r>
        <w:rPr>
          <w:b/>
          <w:lang w:val="en-GB"/>
        </w:rPr>
        <w:t>1</w:t>
      </w:r>
      <w:r>
        <w:rPr>
          <w:lang w:val="en-GB"/>
        </w:rPr>
        <w:t xml:space="preserve">, </w:t>
      </w:r>
      <w:r>
        <w:rPr>
          <w:b/>
          <w:lang w:val="en-GB"/>
        </w:rPr>
        <w:t>4a</w:t>
      </w:r>
      <w:r>
        <w:rPr>
          <w:lang w:val="en-GB"/>
        </w:rPr>
        <w:t xml:space="preserve">, </w:t>
      </w:r>
      <w:r>
        <w:rPr>
          <w:b/>
          <w:lang w:val="en-GB"/>
        </w:rPr>
        <w:t>4b</w:t>
      </w:r>
      <w:r>
        <w:rPr>
          <w:lang w:val="en-GB"/>
        </w:rPr>
        <w:t xml:space="preserve">, </w:t>
      </w:r>
      <w:r>
        <w:rPr>
          <w:b/>
          <w:lang w:val="en-GB"/>
        </w:rPr>
        <w:t>7a</w:t>
      </w:r>
      <w:r>
        <w:rPr>
          <w:lang w:val="en-GB"/>
        </w:rPr>
        <w:t xml:space="preserve">, </w:t>
      </w:r>
      <w:r>
        <w:rPr>
          <w:b/>
          <w:lang w:val="en-GB"/>
        </w:rPr>
        <w:t>7b</w:t>
      </w:r>
      <w:r>
        <w:rPr>
          <w:lang w:val="en-GB"/>
        </w:rPr>
        <w:t xml:space="preserve">, </w:t>
      </w:r>
      <w:r>
        <w:rPr>
          <w:b/>
          <w:lang w:val="en-GB"/>
        </w:rPr>
        <w:t>8a</w:t>
      </w:r>
      <w:r>
        <w:rPr>
          <w:lang w:val="en-GB"/>
        </w:rPr>
        <w:t xml:space="preserve"> and </w:t>
      </w:r>
      <w:r>
        <w:rPr>
          <w:b/>
          <w:lang w:val="en-GB"/>
        </w:rPr>
        <w:t>14</w:t>
      </w:r>
      <w:r w:rsidR="00B93F44">
        <w:rPr>
          <w:lang w:val="en-GB"/>
        </w:rPr>
        <w:t>were subjected to cytotoxic analyses</w:t>
      </w:r>
      <w:r>
        <w:rPr>
          <w:lang w:val="en-GB"/>
        </w:rPr>
        <w:t xml:space="preserve"> (Table 1).</w:t>
      </w:r>
      <w:r w:rsidR="00656F8C">
        <w:rPr>
          <w:lang w:val="en-US"/>
        </w:rPr>
        <w:t>It is important to note that the</w:t>
      </w:r>
      <w:r w:rsidR="00B93F44">
        <w:rPr>
          <w:lang w:val="en-US"/>
        </w:rPr>
        <w:t>se</w:t>
      </w:r>
      <w:r w:rsidR="00656F8C">
        <w:rPr>
          <w:lang w:val="en-US"/>
        </w:rPr>
        <w:t xml:space="preserve"> separate pharmacophores display considerably less potent cytotoxic activities</w:t>
      </w:r>
      <w:r>
        <w:rPr>
          <w:lang w:val="en-US"/>
        </w:rPr>
        <w:t xml:space="preserve"> (IC</w:t>
      </w:r>
      <w:r>
        <w:rPr>
          <w:vertAlign w:val="subscript"/>
          <w:lang w:val="en-US"/>
        </w:rPr>
        <w:t>50</w:t>
      </w:r>
      <w:r>
        <w:rPr>
          <w:lang w:val="en-US"/>
        </w:rPr>
        <w:t>-values ranging from 24 to &gt;400 µM)</w:t>
      </w:r>
      <w:r w:rsidR="00656F8C">
        <w:rPr>
          <w:lang w:val="en-US"/>
        </w:rPr>
        <w:t xml:space="preserve"> as compared to the </w:t>
      </w:r>
      <w:r>
        <w:rPr>
          <w:lang w:val="en-US"/>
        </w:rPr>
        <w:t xml:space="preserve">most </w:t>
      </w:r>
      <w:r w:rsidR="00B93F44">
        <w:rPr>
          <w:lang w:val="en-US"/>
        </w:rPr>
        <w:t>promising</w:t>
      </w:r>
      <w:r>
        <w:rPr>
          <w:lang w:val="en-US"/>
        </w:rPr>
        <w:t xml:space="preserve"> conjugates </w:t>
      </w:r>
      <w:r w:rsidRPr="00164319">
        <w:rPr>
          <w:b/>
          <w:lang w:val="en-GB"/>
        </w:rPr>
        <w:t>3a</w:t>
      </w:r>
      <w:r w:rsidRPr="00164319">
        <w:rPr>
          <w:lang w:val="en-GB"/>
        </w:rPr>
        <w:t xml:space="preserve">, </w:t>
      </w:r>
      <w:r w:rsidRPr="00164319">
        <w:rPr>
          <w:b/>
          <w:lang w:val="en-GB"/>
        </w:rPr>
        <w:t>6b</w:t>
      </w:r>
      <w:r w:rsidRPr="00164319">
        <w:rPr>
          <w:lang w:val="en-GB"/>
        </w:rPr>
        <w:t xml:space="preserve">, </w:t>
      </w:r>
      <w:r w:rsidRPr="00164319">
        <w:rPr>
          <w:b/>
          <w:lang w:val="en-GB"/>
        </w:rPr>
        <w:t>13a</w:t>
      </w:r>
      <w:r w:rsidRPr="00164319">
        <w:rPr>
          <w:lang w:val="en-GB"/>
        </w:rPr>
        <w:t xml:space="preserve">, </w:t>
      </w:r>
      <w:r w:rsidRPr="00164319">
        <w:rPr>
          <w:b/>
          <w:lang w:val="en-GB"/>
        </w:rPr>
        <w:t>13c</w:t>
      </w:r>
      <w:r w:rsidRPr="00164319">
        <w:rPr>
          <w:lang w:val="en-GB"/>
        </w:rPr>
        <w:t xml:space="preserve"> and </w:t>
      </w:r>
      <w:r w:rsidRPr="00164319">
        <w:rPr>
          <w:b/>
          <w:lang w:val="en-GB"/>
        </w:rPr>
        <w:t>16</w:t>
      </w:r>
      <w:r>
        <w:rPr>
          <w:lang w:val="en-GB"/>
        </w:rPr>
        <w:t xml:space="preserve"> (</w:t>
      </w:r>
      <w:r w:rsidR="00F955C9">
        <w:rPr>
          <w:lang w:val="en-GB"/>
        </w:rPr>
        <w:t>IC</w:t>
      </w:r>
      <w:r w:rsidR="00F955C9">
        <w:rPr>
          <w:vertAlign w:val="subscript"/>
          <w:lang w:val="en-GB"/>
        </w:rPr>
        <w:t>50</w:t>
      </w:r>
      <w:r w:rsidR="00F955C9">
        <w:rPr>
          <w:lang w:val="en-GB"/>
        </w:rPr>
        <w:t>-values between 5.9 and 8.5 µM</w:t>
      </w:r>
      <w:r>
        <w:rPr>
          <w:lang w:val="en-GB"/>
        </w:rPr>
        <w:t>)</w:t>
      </w:r>
      <w:r>
        <w:rPr>
          <w:lang w:val="en-US"/>
        </w:rPr>
        <w:t xml:space="preserve">, </w:t>
      </w:r>
      <w:r w:rsidR="008D42EF">
        <w:rPr>
          <w:lang w:val="en-US"/>
        </w:rPr>
        <w:t>with</w:t>
      </w:r>
      <w:r>
        <w:rPr>
          <w:lang w:val="en-US"/>
        </w:rPr>
        <w:t xml:space="preserve">triterpenoid acid </w:t>
      </w:r>
      <w:r>
        <w:rPr>
          <w:b/>
          <w:lang w:val="en-US"/>
        </w:rPr>
        <w:t>8a</w:t>
      </w:r>
      <w:r w:rsidR="008D42EF">
        <w:rPr>
          <w:lang w:val="en-US"/>
        </w:rPr>
        <w:t>as the only exception showing</w:t>
      </w:r>
      <w:r>
        <w:rPr>
          <w:lang w:val="en-US"/>
        </w:rPr>
        <w:t xml:space="preserve"> a </w:t>
      </w:r>
      <w:r w:rsidR="00B91122">
        <w:rPr>
          <w:lang w:val="en-US"/>
        </w:rPr>
        <w:t>reasonable</w:t>
      </w:r>
      <w:r>
        <w:rPr>
          <w:lang w:val="en-US"/>
        </w:rPr>
        <w:t xml:space="preserve"> activity against both cancer cells.</w:t>
      </w:r>
      <w:r w:rsidR="00B93F44">
        <w:rPr>
          <w:lang w:val="en-US"/>
        </w:rPr>
        <w:t xml:space="preserve"> These biological results clearly indicate the </w:t>
      </w:r>
      <w:r w:rsidR="002E7155">
        <w:rPr>
          <w:lang w:val="en-US"/>
        </w:rPr>
        <w:t>added value</w:t>
      </w:r>
      <w:r w:rsidR="00B93F44">
        <w:rPr>
          <w:lang w:val="en-US"/>
        </w:rPr>
        <w:t xml:space="preserve"> of merging AZT and triterpenoids into single hybrid compounds in terms of their anticancer properties.</w:t>
      </w:r>
    </w:p>
    <w:p w:rsidR="009628E9" w:rsidRDefault="009628E9" w:rsidP="00FF3D25">
      <w:pPr>
        <w:spacing w:after="120"/>
        <w:jc w:val="both"/>
        <w:rPr>
          <w:lang w:val="en-US"/>
        </w:rPr>
      </w:pPr>
    </w:p>
    <w:p w:rsidR="009628E9" w:rsidRDefault="009628E9" w:rsidP="00FF3D25">
      <w:pPr>
        <w:spacing w:after="120"/>
        <w:jc w:val="both"/>
        <w:rPr>
          <w:lang w:val="en-US"/>
        </w:rPr>
      </w:pPr>
    </w:p>
    <w:p w:rsidR="009628E9" w:rsidRDefault="009628E9" w:rsidP="00FF3D25">
      <w:pPr>
        <w:spacing w:after="120"/>
        <w:jc w:val="both"/>
        <w:rPr>
          <w:lang w:val="en-US"/>
        </w:rPr>
      </w:pPr>
    </w:p>
    <w:p w:rsidR="009628E9" w:rsidRDefault="009628E9" w:rsidP="00FF3D25">
      <w:pPr>
        <w:spacing w:after="120"/>
        <w:jc w:val="both"/>
        <w:rPr>
          <w:lang w:val="en-US"/>
        </w:rPr>
      </w:pPr>
    </w:p>
    <w:p w:rsidR="009628E9" w:rsidRDefault="009628E9" w:rsidP="00FF3D25">
      <w:pPr>
        <w:spacing w:after="120"/>
        <w:jc w:val="both"/>
        <w:rPr>
          <w:lang w:val="en-US"/>
        </w:rPr>
      </w:pPr>
    </w:p>
    <w:p w:rsidR="009628E9" w:rsidRDefault="009628E9" w:rsidP="00FF3D25">
      <w:pPr>
        <w:spacing w:after="120"/>
        <w:jc w:val="both"/>
        <w:rPr>
          <w:lang w:val="en-US"/>
        </w:rPr>
      </w:pPr>
    </w:p>
    <w:p w:rsidR="009628E9" w:rsidRDefault="009628E9" w:rsidP="00FF3D25">
      <w:pPr>
        <w:spacing w:after="120"/>
        <w:jc w:val="both"/>
        <w:rPr>
          <w:lang w:val="en-US"/>
        </w:rPr>
      </w:pPr>
    </w:p>
    <w:p w:rsidR="009628E9" w:rsidRDefault="009628E9" w:rsidP="00FF3D25">
      <w:pPr>
        <w:spacing w:after="120"/>
        <w:jc w:val="both"/>
        <w:rPr>
          <w:lang w:val="en-US"/>
        </w:rPr>
      </w:pPr>
    </w:p>
    <w:p w:rsidR="009628E9" w:rsidRDefault="009628E9" w:rsidP="00FF3D25">
      <w:pPr>
        <w:spacing w:after="120"/>
        <w:jc w:val="both"/>
        <w:rPr>
          <w:lang w:val="en-US"/>
        </w:rPr>
      </w:pPr>
    </w:p>
    <w:p w:rsidR="009628E9" w:rsidRDefault="009628E9" w:rsidP="00FF3D25">
      <w:pPr>
        <w:spacing w:after="120"/>
        <w:jc w:val="both"/>
        <w:rPr>
          <w:lang w:val="en-US"/>
        </w:rPr>
      </w:pPr>
    </w:p>
    <w:p w:rsidR="009628E9" w:rsidRDefault="009628E9" w:rsidP="00FF3D25">
      <w:pPr>
        <w:spacing w:after="120"/>
        <w:jc w:val="both"/>
        <w:rPr>
          <w:lang w:val="en-US"/>
        </w:rPr>
      </w:pPr>
    </w:p>
    <w:p w:rsidR="009628E9" w:rsidRDefault="009628E9" w:rsidP="00FF3D25">
      <w:pPr>
        <w:spacing w:after="120"/>
        <w:jc w:val="both"/>
        <w:rPr>
          <w:lang w:val="en-US"/>
        </w:rPr>
      </w:pPr>
    </w:p>
    <w:p w:rsidR="009628E9" w:rsidRPr="00164319" w:rsidRDefault="009628E9" w:rsidP="00FF3D25">
      <w:pPr>
        <w:spacing w:after="120"/>
        <w:jc w:val="both"/>
        <w:rPr>
          <w:lang w:val="en-US"/>
        </w:rPr>
      </w:pPr>
    </w:p>
    <w:p w:rsidR="0011008F" w:rsidRPr="00164319" w:rsidRDefault="00424193" w:rsidP="00FF3D25">
      <w:pPr>
        <w:spacing w:after="120"/>
        <w:jc w:val="both"/>
        <w:rPr>
          <w:lang w:val="en-US"/>
        </w:rPr>
      </w:pPr>
      <w:r w:rsidRPr="00164319">
        <w:rPr>
          <w:lang w:val="en-US"/>
        </w:rPr>
        <w:t>Table 1. Cytotoxicity evaluation</w:t>
      </w:r>
    </w:p>
    <w:tbl>
      <w:tblPr>
        <w:tblStyle w:val="Tabelraster"/>
        <w:tblW w:w="9356" w:type="dxa"/>
        <w:tblLayout w:type="fixed"/>
        <w:tblLook w:val="04A0"/>
      </w:tblPr>
      <w:tblGrid>
        <w:gridCol w:w="794"/>
        <w:gridCol w:w="1276"/>
        <w:gridCol w:w="1303"/>
        <w:gridCol w:w="1304"/>
        <w:gridCol w:w="795"/>
        <w:gridCol w:w="1276"/>
        <w:gridCol w:w="1304"/>
        <w:gridCol w:w="1304"/>
      </w:tblGrid>
      <w:tr w:rsidR="00383AAA" w:rsidRPr="00D50235" w:rsidTr="00E92266">
        <w:tc>
          <w:tcPr>
            <w:tcW w:w="794" w:type="dxa"/>
            <w:tcBorders>
              <w:bottom w:val="double" w:sz="4" w:space="0" w:color="auto"/>
            </w:tcBorders>
          </w:tcPr>
          <w:p w:rsidR="0011008F" w:rsidRPr="00F706AE" w:rsidRDefault="0011008F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F706AE">
              <w:rPr>
                <w:sz w:val="20"/>
                <w:szCs w:val="20"/>
                <w:lang w:val="en-US"/>
              </w:rPr>
              <w:t>Entry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08F" w:rsidRPr="00F706AE" w:rsidRDefault="0011008F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F706AE">
              <w:rPr>
                <w:sz w:val="20"/>
                <w:szCs w:val="20"/>
                <w:lang w:val="en-US"/>
              </w:rPr>
              <w:t>Compound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:rsidR="0011008F" w:rsidRPr="00D50235" w:rsidRDefault="0011008F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D50235">
              <w:rPr>
                <w:sz w:val="20"/>
                <w:szCs w:val="20"/>
                <w:lang w:val="en-US"/>
              </w:rPr>
              <w:t>IC</w:t>
            </w:r>
            <w:r w:rsidRPr="00D50235">
              <w:rPr>
                <w:sz w:val="20"/>
                <w:szCs w:val="20"/>
                <w:vertAlign w:val="subscript"/>
                <w:lang w:val="en-US"/>
              </w:rPr>
              <w:t>50</w:t>
            </w:r>
            <w:r w:rsidR="009628E9" w:rsidRPr="00D50235">
              <w:rPr>
                <w:sz w:val="20"/>
                <w:szCs w:val="20"/>
                <w:lang w:val="en-US"/>
              </w:rPr>
              <w:t xml:space="preserve"> (µM</w:t>
            </w:r>
            <w:r w:rsidRPr="00D50235">
              <w:rPr>
                <w:sz w:val="20"/>
                <w:szCs w:val="20"/>
                <w:lang w:val="en-US"/>
              </w:rPr>
              <w:t>) KB</w:t>
            </w:r>
          </w:p>
        </w:tc>
        <w:tc>
          <w:tcPr>
            <w:tcW w:w="1304" w:type="dxa"/>
            <w:tcBorders>
              <w:bottom w:val="double" w:sz="4" w:space="0" w:color="auto"/>
            </w:tcBorders>
          </w:tcPr>
          <w:p w:rsidR="0011008F" w:rsidRPr="00F706AE" w:rsidRDefault="0011008F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F706AE">
              <w:rPr>
                <w:sz w:val="20"/>
                <w:szCs w:val="20"/>
                <w:lang w:val="en-US"/>
              </w:rPr>
              <w:t>IC</w:t>
            </w:r>
            <w:r w:rsidRPr="00F706AE">
              <w:rPr>
                <w:sz w:val="20"/>
                <w:szCs w:val="20"/>
                <w:vertAlign w:val="subscript"/>
                <w:lang w:val="en-US"/>
              </w:rPr>
              <w:t>50</w:t>
            </w:r>
            <w:r w:rsidR="00C75567">
              <w:rPr>
                <w:sz w:val="20"/>
                <w:szCs w:val="20"/>
                <w:lang w:val="en-US"/>
              </w:rPr>
              <w:t xml:space="preserve"> (µM</w:t>
            </w:r>
            <w:r w:rsidRPr="00F706AE">
              <w:rPr>
                <w:sz w:val="20"/>
                <w:szCs w:val="20"/>
                <w:lang w:val="en-US"/>
              </w:rPr>
              <w:t>) Hep-G2</w:t>
            </w:r>
          </w:p>
        </w:tc>
        <w:tc>
          <w:tcPr>
            <w:tcW w:w="795" w:type="dxa"/>
            <w:tcBorders>
              <w:bottom w:val="double" w:sz="4" w:space="0" w:color="auto"/>
            </w:tcBorders>
          </w:tcPr>
          <w:p w:rsidR="0011008F" w:rsidRPr="00F706AE" w:rsidRDefault="0011008F" w:rsidP="00FF6F19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F706AE">
              <w:rPr>
                <w:sz w:val="20"/>
                <w:szCs w:val="20"/>
                <w:lang w:val="en-US"/>
              </w:rPr>
              <w:t>Entry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08F" w:rsidRPr="00F706AE" w:rsidRDefault="0011008F" w:rsidP="00FF6F19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F706AE">
              <w:rPr>
                <w:sz w:val="20"/>
                <w:szCs w:val="20"/>
                <w:lang w:val="en-US"/>
              </w:rPr>
              <w:t>Compound</w:t>
            </w:r>
          </w:p>
        </w:tc>
        <w:tc>
          <w:tcPr>
            <w:tcW w:w="1304" w:type="dxa"/>
            <w:tcBorders>
              <w:bottom w:val="double" w:sz="4" w:space="0" w:color="auto"/>
            </w:tcBorders>
          </w:tcPr>
          <w:p w:rsidR="0011008F" w:rsidRPr="00F706AE" w:rsidRDefault="0011008F" w:rsidP="00FF6F19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F706AE">
              <w:rPr>
                <w:sz w:val="20"/>
                <w:szCs w:val="20"/>
                <w:lang w:val="en-US"/>
              </w:rPr>
              <w:t>IC</w:t>
            </w:r>
            <w:r w:rsidRPr="00F706AE">
              <w:rPr>
                <w:sz w:val="20"/>
                <w:szCs w:val="20"/>
                <w:vertAlign w:val="subscript"/>
                <w:lang w:val="en-US"/>
              </w:rPr>
              <w:t>50</w:t>
            </w:r>
            <w:r w:rsidR="00C75567">
              <w:rPr>
                <w:sz w:val="20"/>
                <w:szCs w:val="20"/>
                <w:lang w:val="en-US"/>
              </w:rPr>
              <w:t xml:space="preserve"> (µM</w:t>
            </w:r>
            <w:r w:rsidRPr="00F706AE">
              <w:rPr>
                <w:sz w:val="20"/>
                <w:szCs w:val="20"/>
                <w:lang w:val="en-US"/>
              </w:rPr>
              <w:t>) KB</w:t>
            </w:r>
          </w:p>
        </w:tc>
        <w:tc>
          <w:tcPr>
            <w:tcW w:w="1304" w:type="dxa"/>
            <w:tcBorders>
              <w:bottom w:val="double" w:sz="4" w:space="0" w:color="auto"/>
            </w:tcBorders>
          </w:tcPr>
          <w:p w:rsidR="0011008F" w:rsidRPr="00F706AE" w:rsidRDefault="0011008F" w:rsidP="00FF6F19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F706AE">
              <w:rPr>
                <w:sz w:val="20"/>
                <w:szCs w:val="20"/>
                <w:lang w:val="en-US"/>
              </w:rPr>
              <w:t>IC</w:t>
            </w:r>
            <w:r w:rsidRPr="00F706AE">
              <w:rPr>
                <w:sz w:val="20"/>
                <w:szCs w:val="20"/>
                <w:vertAlign w:val="subscript"/>
                <w:lang w:val="en-US"/>
              </w:rPr>
              <w:t>50</w:t>
            </w:r>
            <w:r w:rsidR="00C75567">
              <w:rPr>
                <w:sz w:val="20"/>
                <w:szCs w:val="20"/>
                <w:lang w:val="en-US"/>
              </w:rPr>
              <w:t xml:space="preserve"> (µM</w:t>
            </w:r>
            <w:r w:rsidRPr="00F706AE">
              <w:rPr>
                <w:sz w:val="20"/>
                <w:szCs w:val="20"/>
                <w:lang w:val="en-US"/>
              </w:rPr>
              <w:t>) Hep-G2</w:t>
            </w:r>
          </w:p>
        </w:tc>
      </w:tr>
      <w:tr w:rsidR="00E92266" w:rsidRPr="00F706AE" w:rsidTr="00E92266">
        <w:tc>
          <w:tcPr>
            <w:tcW w:w="794" w:type="dxa"/>
            <w:tcBorders>
              <w:top w:val="double" w:sz="4" w:space="0" w:color="auto"/>
            </w:tcBorders>
          </w:tcPr>
          <w:p w:rsidR="00E92266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92266" w:rsidRPr="00F706AE" w:rsidRDefault="00E92266" w:rsidP="00FF3D2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AZT</w:t>
            </w:r>
          </w:p>
        </w:tc>
        <w:tc>
          <w:tcPr>
            <w:tcW w:w="1303" w:type="dxa"/>
            <w:tcBorders>
              <w:top w:val="double" w:sz="4" w:space="0" w:color="auto"/>
            </w:tcBorders>
          </w:tcPr>
          <w:p w:rsidR="00E92266" w:rsidRPr="00D50235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D50235">
              <w:rPr>
                <w:sz w:val="20"/>
                <w:szCs w:val="20"/>
                <w:lang w:val="en-US"/>
              </w:rPr>
              <w:t>&gt;479</w:t>
            </w:r>
          </w:p>
        </w:tc>
        <w:tc>
          <w:tcPr>
            <w:tcW w:w="1304" w:type="dxa"/>
            <w:tcBorders>
              <w:top w:val="double" w:sz="4" w:space="0" w:color="auto"/>
            </w:tcBorders>
          </w:tcPr>
          <w:p w:rsidR="00E92266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&gt;479</w:t>
            </w:r>
          </w:p>
        </w:tc>
        <w:tc>
          <w:tcPr>
            <w:tcW w:w="795" w:type="dxa"/>
            <w:tcBorders>
              <w:top w:val="double" w:sz="4" w:space="0" w:color="auto"/>
            </w:tcBorders>
          </w:tcPr>
          <w:p w:rsidR="00E92266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92266" w:rsidRPr="00F706AE" w:rsidRDefault="0088104A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7a</w:t>
            </w:r>
          </w:p>
        </w:tc>
        <w:tc>
          <w:tcPr>
            <w:tcW w:w="1304" w:type="dxa"/>
            <w:tcBorders>
              <w:top w:val="double" w:sz="4" w:space="0" w:color="auto"/>
            </w:tcBorders>
          </w:tcPr>
          <w:p w:rsidR="00E92266" w:rsidRPr="00F706AE" w:rsidRDefault="004D6537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110.1</w:t>
            </w:r>
          </w:p>
        </w:tc>
        <w:tc>
          <w:tcPr>
            <w:tcW w:w="1304" w:type="dxa"/>
            <w:tcBorders>
              <w:top w:val="double" w:sz="4" w:space="0" w:color="auto"/>
            </w:tcBorders>
          </w:tcPr>
          <w:p w:rsidR="00E92266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222.9</w:t>
            </w:r>
          </w:p>
        </w:tc>
      </w:tr>
      <w:tr w:rsidR="00E92266" w:rsidRPr="00F706AE" w:rsidTr="00E92266">
        <w:tc>
          <w:tcPr>
            <w:tcW w:w="794" w:type="dxa"/>
          </w:tcPr>
          <w:p w:rsidR="00E92266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E92266" w:rsidRPr="00F706AE" w:rsidRDefault="00E92266" w:rsidP="00FF3D2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03" w:type="dxa"/>
          </w:tcPr>
          <w:p w:rsidR="00E92266" w:rsidRPr="00D50235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D50235">
              <w:rPr>
                <w:sz w:val="20"/>
                <w:szCs w:val="20"/>
                <w:lang w:val="en-US"/>
              </w:rPr>
              <w:t>27.5</w:t>
            </w:r>
          </w:p>
        </w:tc>
        <w:tc>
          <w:tcPr>
            <w:tcW w:w="1304" w:type="dxa"/>
          </w:tcPr>
          <w:p w:rsidR="00E92266" w:rsidRPr="00F706AE" w:rsidRDefault="004D6537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23.9</w:t>
            </w:r>
          </w:p>
        </w:tc>
        <w:tc>
          <w:tcPr>
            <w:tcW w:w="795" w:type="dxa"/>
          </w:tcPr>
          <w:p w:rsidR="00E92266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</w:tcPr>
          <w:p w:rsidR="00E92266" w:rsidRPr="00F706AE" w:rsidRDefault="0088104A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7b</w:t>
            </w:r>
          </w:p>
        </w:tc>
        <w:tc>
          <w:tcPr>
            <w:tcW w:w="1304" w:type="dxa"/>
          </w:tcPr>
          <w:p w:rsidR="00E92266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&gt;255</w:t>
            </w:r>
          </w:p>
        </w:tc>
        <w:tc>
          <w:tcPr>
            <w:tcW w:w="1304" w:type="dxa"/>
          </w:tcPr>
          <w:p w:rsidR="00E92266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&gt;255</w:t>
            </w:r>
          </w:p>
        </w:tc>
      </w:tr>
      <w:tr w:rsidR="009628E9" w:rsidRPr="00F706AE" w:rsidTr="00E92266">
        <w:tc>
          <w:tcPr>
            <w:tcW w:w="794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2a</w:t>
            </w:r>
          </w:p>
        </w:tc>
        <w:tc>
          <w:tcPr>
            <w:tcW w:w="1303" w:type="dxa"/>
          </w:tcPr>
          <w:p w:rsidR="009628E9" w:rsidRPr="00D50235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&gt;258.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113.</w:t>
            </w:r>
            <w:r w:rsidR="009628E9" w:rsidRPr="00F706AE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95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8a</w:t>
            </w:r>
          </w:p>
        </w:tc>
        <w:tc>
          <w:tcPr>
            <w:tcW w:w="1304" w:type="dxa"/>
          </w:tcPr>
          <w:p w:rsidR="009628E9" w:rsidRPr="00F706AE" w:rsidRDefault="004D6537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7.7</w:t>
            </w:r>
          </w:p>
        </w:tc>
        <w:tc>
          <w:tcPr>
            <w:tcW w:w="1304" w:type="dxa"/>
          </w:tcPr>
          <w:p w:rsidR="009628E9" w:rsidRPr="00F706AE" w:rsidRDefault="004D6537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11.2</w:t>
            </w:r>
          </w:p>
        </w:tc>
      </w:tr>
      <w:tr w:rsidR="009628E9" w:rsidRPr="00F706AE" w:rsidTr="00E92266">
        <w:tc>
          <w:tcPr>
            <w:tcW w:w="794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2b</w:t>
            </w:r>
          </w:p>
        </w:tc>
        <w:tc>
          <w:tcPr>
            <w:tcW w:w="1303" w:type="dxa"/>
          </w:tcPr>
          <w:p w:rsidR="009628E9" w:rsidRPr="00D50235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49.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95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9a</w:t>
            </w:r>
          </w:p>
        </w:tc>
        <w:tc>
          <w:tcPr>
            <w:tcW w:w="1304" w:type="dxa"/>
          </w:tcPr>
          <w:p w:rsidR="009628E9" w:rsidRPr="00F706AE" w:rsidRDefault="004D6537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&gt;267</w:t>
            </w:r>
          </w:p>
        </w:tc>
        <w:tc>
          <w:tcPr>
            <w:tcW w:w="1304" w:type="dxa"/>
          </w:tcPr>
          <w:p w:rsidR="009628E9" w:rsidRPr="00F706AE" w:rsidRDefault="004D6537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&gt;267</w:t>
            </w:r>
          </w:p>
        </w:tc>
      </w:tr>
      <w:tr w:rsidR="009628E9" w:rsidRPr="00F706AE" w:rsidTr="00E92266">
        <w:tc>
          <w:tcPr>
            <w:tcW w:w="794" w:type="dxa"/>
          </w:tcPr>
          <w:p w:rsidR="009628E9" w:rsidRPr="00F706AE" w:rsidRDefault="00D50235" w:rsidP="006039F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2c</w:t>
            </w:r>
          </w:p>
        </w:tc>
        <w:tc>
          <w:tcPr>
            <w:tcW w:w="1303" w:type="dxa"/>
          </w:tcPr>
          <w:p w:rsidR="009628E9" w:rsidRPr="00D50235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95" w:type="dxa"/>
          </w:tcPr>
          <w:p w:rsidR="009628E9" w:rsidRPr="00F706AE" w:rsidRDefault="00D50235" w:rsidP="006039F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9b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63.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59.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9628E9" w:rsidRPr="00F706AE" w:rsidTr="00E92266">
        <w:tc>
          <w:tcPr>
            <w:tcW w:w="794" w:type="dxa"/>
          </w:tcPr>
          <w:p w:rsidR="009628E9" w:rsidRPr="00F706AE" w:rsidRDefault="00D50235" w:rsidP="006039F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2d</w:t>
            </w:r>
          </w:p>
        </w:tc>
        <w:tc>
          <w:tcPr>
            <w:tcW w:w="1303" w:type="dxa"/>
          </w:tcPr>
          <w:p w:rsidR="009628E9" w:rsidRPr="00D50235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95" w:type="dxa"/>
          </w:tcPr>
          <w:p w:rsidR="009628E9" w:rsidRPr="00F706AE" w:rsidRDefault="00D50235" w:rsidP="006039F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10a</w:t>
            </w:r>
          </w:p>
        </w:tc>
        <w:tc>
          <w:tcPr>
            <w:tcW w:w="1304" w:type="dxa"/>
          </w:tcPr>
          <w:p w:rsidR="009628E9" w:rsidRPr="00F706AE" w:rsidRDefault="004D6537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&gt;172</w:t>
            </w:r>
          </w:p>
        </w:tc>
        <w:tc>
          <w:tcPr>
            <w:tcW w:w="1304" w:type="dxa"/>
          </w:tcPr>
          <w:p w:rsidR="009628E9" w:rsidRPr="00F706AE" w:rsidRDefault="004D6537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&gt;172</w:t>
            </w:r>
          </w:p>
        </w:tc>
      </w:tr>
      <w:tr w:rsidR="009628E9" w:rsidRPr="00F706AE" w:rsidTr="00E92266">
        <w:tc>
          <w:tcPr>
            <w:tcW w:w="794" w:type="dxa"/>
          </w:tcPr>
          <w:p w:rsidR="009628E9" w:rsidRPr="00F706AE" w:rsidRDefault="00D50235" w:rsidP="006039F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3a</w:t>
            </w:r>
          </w:p>
        </w:tc>
        <w:tc>
          <w:tcPr>
            <w:tcW w:w="1303" w:type="dxa"/>
          </w:tcPr>
          <w:p w:rsidR="009628E9" w:rsidRPr="00D50235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95" w:type="dxa"/>
          </w:tcPr>
          <w:p w:rsidR="009628E9" w:rsidRPr="00F706AE" w:rsidRDefault="00D50235" w:rsidP="006039F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10b</w:t>
            </w:r>
          </w:p>
        </w:tc>
        <w:tc>
          <w:tcPr>
            <w:tcW w:w="1304" w:type="dxa"/>
          </w:tcPr>
          <w:p w:rsidR="009628E9" w:rsidRPr="00F706AE" w:rsidRDefault="004D6537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&gt;168</w:t>
            </w:r>
          </w:p>
        </w:tc>
        <w:tc>
          <w:tcPr>
            <w:tcW w:w="1304" w:type="dxa"/>
          </w:tcPr>
          <w:p w:rsidR="009628E9" w:rsidRPr="00F706AE" w:rsidRDefault="004D6537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&gt;168</w:t>
            </w:r>
          </w:p>
        </w:tc>
      </w:tr>
      <w:tr w:rsidR="009628E9" w:rsidRPr="00F706AE" w:rsidTr="00E92266">
        <w:tc>
          <w:tcPr>
            <w:tcW w:w="794" w:type="dxa"/>
          </w:tcPr>
          <w:p w:rsidR="009628E9" w:rsidRPr="00F706AE" w:rsidRDefault="00D50235" w:rsidP="006039F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3b</w:t>
            </w:r>
          </w:p>
        </w:tc>
        <w:tc>
          <w:tcPr>
            <w:tcW w:w="1303" w:type="dxa"/>
          </w:tcPr>
          <w:p w:rsidR="009628E9" w:rsidRPr="00D50235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95" w:type="dxa"/>
          </w:tcPr>
          <w:p w:rsidR="009628E9" w:rsidRPr="00F706AE" w:rsidRDefault="00D50235" w:rsidP="006039F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40.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133.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628E9" w:rsidRPr="00F706AE" w:rsidTr="00E92266">
        <w:tc>
          <w:tcPr>
            <w:tcW w:w="794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3c</w:t>
            </w:r>
          </w:p>
        </w:tc>
        <w:tc>
          <w:tcPr>
            <w:tcW w:w="1303" w:type="dxa"/>
          </w:tcPr>
          <w:p w:rsidR="009628E9" w:rsidRPr="00D50235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95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12a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9628E9" w:rsidRPr="00F706AE" w:rsidTr="00E92266">
        <w:tc>
          <w:tcPr>
            <w:tcW w:w="794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3d</w:t>
            </w:r>
          </w:p>
        </w:tc>
        <w:tc>
          <w:tcPr>
            <w:tcW w:w="1303" w:type="dxa"/>
          </w:tcPr>
          <w:p w:rsidR="009628E9" w:rsidRPr="00D50235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111.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35.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95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12b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9628E9" w:rsidRPr="00F706AE" w:rsidTr="00E92266">
        <w:tc>
          <w:tcPr>
            <w:tcW w:w="794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276" w:type="dxa"/>
          </w:tcPr>
          <w:p w:rsidR="009628E9" w:rsidRPr="00F706AE" w:rsidRDefault="009628E9" w:rsidP="00710D0F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4a</w:t>
            </w:r>
          </w:p>
        </w:tc>
        <w:tc>
          <w:tcPr>
            <w:tcW w:w="1303" w:type="dxa"/>
          </w:tcPr>
          <w:p w:rsidR="009628E9" w:rsidRPr="00D50235" w:rsidRDefault="004D6537" w:rsidP="00710D0F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31.5</w:t>
            </w:r>
          </w:p>
        </w:tc>
        <w:tc>
          <w:tcPr>
            <w:tcW w:w="1304" w:type="dxa"/>
          </w:tcPr>
          <w:p w:rsidR="009628E9" w:rsidRPr="00F706AE" w:rsidRDefault="004D6537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42.9</w:t>
            </w:r>
          </w:p>
        </w:tc>
        <w:tc>
          <w:tcPr>
            <w:tcW w:w="795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13a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9628E9" w:rsidRPr="00F706AE" w:rsidTr="00E92266">
        <w:tc>
          <w:tcPr>
            <w:tcW w:w="794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9628E9" w:rsidRPr="00F706AE" w:rsidRDefault="009628E9" w:rsidP="00710D0F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4b</w:t>
            </w:r>
          </w:p>
        </w:tc>
        <w:tc>
          <w:tcPr>
            <w:tcW w:w="1303" w:type="dxa"/>
          </w:tcPr>
          <w:p w:rsidR="009628E9" w:rsidRPr="00D50235" w:rsidRDefault="00D50235" w:rsidP="00710D0F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D50235">
              <w:rPr>
                <w:sz w:val="20"/>
                <w:szCs w:val="20"/>
                <w:lang w:val="en-US"/>
              </w:rPr>
              <w:t>&gt;280</w:t>
            </w:r>
          </w:p>
        </w:tc>
        <w:tc>
          <w:tcPr>
            <w:tcW w:w="1304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&gt;280</w:t>
            </w:r>
          </w:p>
        </w:tc>
        <w:tc>
          <w:tcPr>
            <w:tcW w:w="795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13b</w:t>
            </w:r>
          </w:p>
        </w:tc>
        <w:tc>
          <w:tcPr>
            <w:tcW w:w="1304" w:type="dxa"/>
          </w:tcPr>
          <w:p w:rsidR="009628E9" w:rsidRPr="00F706AE" w:rsidRDefault="004D6537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&gt;148</w:t>
            </w:r>
          </w:p>
        </w:tc>
        <w:tc>
          <w:tcPr>
            <w:tcW w:w="1304" w:type="dxa"/>
          </w:tcPr>
          <w:p w:rsidR="009628E9" w:rsidRPr="00F706AE" w:rsidRDefault="004D6537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&gt;148</w:t>
            </w:r>
          </w:p>
        </w:tc>
      </w:tr>
      <w:tr w:rsidR="009628E9" w:rsidRPr="00F706AE" w:rsidTr="00E92266">
        <w:tc>
          <w:tcPr>
            <w:tcW w:w="794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</w:tcPr>
          <w:p w:rsidR="009628E9" w:rsidRPr="00F706AE" w:rsidRDefault="009628E9" w:rsidP="00710D0F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5a</w:t>
            </w:r>
          </w:p>
        </w:tc>
        <w:tc>
          <w:tcPr>
            <w:tcW w:w="1303" w:type="dxa"/>
          </w:tcPr>
          <w:p w:rsidR="009628E9" w:rsidRPr="00D50235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38.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95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276" w:type="dxa"/>
          </w:tcPr>
          <w:p w:rsidR="009628E9" w:rsidRPr="00F706AE" w:rsidRDefault="009628E9" w:rsidP="006039F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13c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34.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9628E9" w:rsidRPr="00F706AE" w:rsidTr="00E92266">
        <w:tc>
          <w:tcPr>
            <w:tcW w:w="794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276" w:type="dxa"/>
          </w:tcPr>
          <w:p w:rsidR="009628E9" w:rsidRPr="00F706AE" w:rsidRDefault="009628E9" w:rsidP="00710D0F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5b</w:t>
            </w:r>
          </w:p>
        </w:tc>
        <w:tc>
          <w:tcPr>
            <w:tcW w:w="1303" w:type="dxa"/>
          </w:tcPr>
          <w:p w:rsidR="009628E9" w:rsidRPr="00D50235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38.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04" w:type="dxa"/>
          </w:tcPr>
          <w:p w:rsidR="009628E9" w:rsidRPr="00F706AE" w:rsidRDefault="004D6537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&gt;259</w:t>
            </w:r>
          </w:p>
        </w:tc>
        <w:tc>
          <w:tcPr>
            <w:tcW w:w="795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</w:tcPr>
          <w:p w:rsidR="009628E9" w:rsidRPr="00F706AE" w:rsidRDefault="009628E9" w:rsidP="00FF3D2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304" w:type="dxa"/>
          </w:tcPr>
          <w:p w:rsidR="009628E9" w:rsidRPr="00F706AE" w:rsidRDefault="004D6537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46.8</w:t>
            </w:r>
          </w:p>
        </w:tc>
        <w:tc>
          <w:tcPr>
            <w:tcW w:w="1304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58.0</w:t>
            </w:r>
          </w:p>
        </w:tc>
      </w:tr>
      <w:tr w:rsidR="009628E9" w:rsidRPr="00F706AE" w:rsidTr="00E92266">
        <w:tc>
          <w:tcPr>
            <w:tcW w:w="794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:rsidR="009628E9" w:rsidRPr="00F706AE" w:rsidRDefault="009628E9" w:rsidP="00710D0F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6a</w:t>
            </w:r>
          </w:p>
        </w:tc>
        <w:tc>
          <w:tcPr>
            <w:tcW w:w="1303" w:type="dxa"/>
          </w:tcPr>
          <w:p w:rsidR="009628E9" w:rsidRPr="00D50235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34.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95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276" w:type="dxa"/>
          </w:tcPr>
          <w:p w:rsidR="009628E9" w:rsidRPr="00F706AE" w:rsidRDefault="009628E9" w:rsidP="00FF3D2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9628E9" w:rsidRPr="00F706AE" w:rsidTr="00E92266">
        <w:tc>
          <w:tcPr>
            <w:tcW w:w="794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276" w:type="dxa"/>
          </w:tcPr>
          <w:p w:rsidR="009628E9" w:rsidRPr="00F706AE" w:rsidRDefault="009628E9" w:rsidP="00710D0F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6b</w:t>
            </w:r>
          </w:p>
        </w:tc>
        <w:tc>
          <w:tcPr>
            <w:tcW w:w="1303" w:type="dxa"/>
          </w:tcPr>
          <w:p w:rsidR="009628E9" w:rsidRPr="00D50235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95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276" w:type="dxa"/>
          </w:tcPr>
          <w:p w:rsidR="009628E9" w:rsidRPr="00F706AE" w:rsidRDefault="009628E9" w:rsidP="00FF3D2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136.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9628E9" w:rsidRPr="00F706AE" w:rsidTr="00E92266">
        <w:tc>
          <w:tcPr>
            <w:tcW w:w="794" w:type="dxa"/>
          </w:tcPr>
          <w:p w:rsidR="009628E9" w:rsidRPr="00F706AE" w:rsidRDefault="009628E9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628E9" w:rsidRPr="00F706AE" w:rsidRDefault="009628E9" w:rsidP="00710D0F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</w:tcPr>
          <w:p w:rsidR="009628E9" w:rsidRPr="00D50235" w:rsidRDefault="009628E9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9628E9" w:rsidRPr="00F706AE" w:rsidRDefault="009628E9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95" w:type="dxa"/>
          </w:tcPr>
          <w:p w:rsidR="009628E9" w:rsidRPr="00F706AE" w:rsidRDefault="00D50235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276" w:type="dxa"/>
          </w:tcPr>
          <w:p w:rsidR="009628E9" w:rsidRPr="00F706AE" w:rsidRDefault="009628E9" w:rsidP="00FF3D25">
            <w:pPr>
              <w:spacing w:after="120"/>
              <w:jc w:val="both"/>
              <w:rPr>
                <w:b/>
                <w:sz w:val="20"/>
                <w:szCs w:val="20"/>
                <w:lang w:val="en-US"/>
              </w:rPr>
            </w:pPr>
            <w:r w:rsidRPr="00F706AE">
              <w:rPr>
                <w:b/>
                <w:sz w:val="20"/>
                <w:szCs w:val="20"/>
                <w:lang w:val="en-US"/>
              </w:rPr>
              <w:t>Ellipticine</w:t>
            </w:r>
          </w:p>
        </w:tc>
        <w:tc>
          <w:tcPr>
            <w:tcW w:w="1304" w:type="dxa"/>
          </w:tcPr>
          <w:p w:rsidR="009628E9" w:rsidRPr="00F706AE" w:rsidRDefault="009D2519" w:rsidP="00710D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4.</w:t>
            </w:r>
            <w:r w:rsidR="004D6537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4" w:type="dxa"/>
          </w:tcPr>
          <w:p w:rsidR="009628E9" w:rsidRPr="00F706AE" w:rsidRDefault="004D6537" w:rsidP="00FF3D25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</w:t>
            </w:r>
          </w:p>
        </w:tc>
      </w:tr>
    </w:tbl>
    <w:p w:rsidR="0011008F" w:rsidRDefault="0011008F" w:rsidP="00FF3D25">
      <w:pPr>
        <w:spacing w:after="120"/>
        <w:jc w:val="both"/>
        <w:rPr>
          <w:lang w:val="en-US"/>
        </w:rPr>
      </w:pPr>
    </w:p>
    <w:p w:rsidR="004F11BB" w:rsidRPr="00164319" w:rsidRDefault="004F11BB" w:rsidP="00FF3D25">
      <w:pPr>
        <w:spacing w:after="120"/>
        <w:jc w:val="both"/>
        <w:rPr>
          <w:lang w:val="en-US"/>
        </w:rPr>
      </w:pPr>
    </w:p>
    <w:p w:rsidR="005F119C" w:rsidRPr="00164319" w:rsidRDefault="00FC5C4D" w:rsidP="00FF3D25">
      <w:pPr>
        <w:spacing w:after="120"/>
        <w:jc w:val="both"/>
        <w:rPr>
          <w:lang w:val="en-US"/>
        </w:rPr>
      </w:pPr>
      <w:r w:rsidRPr="00164319">
        <w:rPr>
          <w:lang w:val="en-US"/>
        </w:rPr>
        <w:t xml:space="preserve">In conclusion, different </w:t>
      </w:r>
      <w:r w:rsidR="00E92682" w:rsidRPr="00164319">
        <w:rPr>
          <w:lang w:val="en-US"/>
        </w:rPr>
        <w:t>triterpenoid acids</w:t>
      </w:r>
      <w:r w:rsidRPr="00164319">
        <w:rPr>
          <w:lang w:val="en-US"/>
        </w:rPr>
        <w:t xml:space="preserve"> were transformed into the corresponding propargyl esters and subsequently </w:t>
      </w:r>
      <w:r w:rsidR="00394C26">
        <w:rPr>
          <w:lang w:val="en-US"/>
        </w:rPr>
        <w:t>used</w:t>
      </w:r>
      <w:r w:rsidRPr="00164319">
        <w:rPr>
          <w:lang w:val="en-US"/>
        </w:rPr>
        <w:t xml:space="preserve"> as substrates for a CuI-catalyzed 1,3-cycloaddition with AZT to produce a set of novel 1,2,3-triazole-tethered triterpenoid-AZT conjugates. Cytotoxic analysis of these hybrids and their triterpenoid precursors revealed </w:t>
      </w:r>
      <w:r w:rsidR="00E92682" w:rsidRPr="00164319">
        <w:rPr>
          <w:lang w:val="en-US"/>
        </w:rPr>
        <w:t xml:space="preserve">moderate to good cytotoxic activities </w:t>
      </w:r>
      <w:r w:rsidR="00E92682" w:rsidRPr="00164319">
        <w:rPr>
          <w:lang w:val="en-GB"/>
        </w:rPr>
        <w:t>against two human tumor cell lines (KB, Hep-G</w:t>
      </w:r>
      <w:r w:rsidR="00E92682" w:rsidRPr="00164319">
        <w:rPr>
          <w:vertAlign w:val="subscript"/>
          <w:lang w:val="en-GB"/>
        </w:rPr>
        <w:t>2</w:t>
      </w:r>
      <w:r w:rsidR="00E92682" w:rsidRPr="00164319">
        <w:rPr>
          <w:lang w:val="en-GB"/>
        </w:rPr>
        <w:t>), and five representatives of the newly prepared class of triterpenoid-AZT conjugates displayed a promising potential for further elaboration toward novel anticancer agents.</w:t>
      </w:r>
    </w:p>
    <w:p w:rsidR="007408A2" w:rsidRPr="00164319" w:rsidRDefault="007408A2" w:rsidP="00FF3D25">
      <w:pPr>
        <w:spacing w:after="120"/>
        <w:jc w:val="both"/>
        <w:rPr>
          <w:lang w:val="en-US"/>
        </w:rPr>
      </w:pPr>
    </w:p>
    <w:p w:rsidR="00FF3D25" w:rsidRPr="00164319" w:rsidRDefault="00FF3D25" w:rsidP="00FF3D25">
      <w:pPr>
        <w:pStyle w:val="ElsAcknowledgementsHeading"/>
        <w:spacing w:before="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64319">
        <w:rPr>
          <w:rFonts w:asciiTheme="minorHAnsi" w:hAnsiTheme="minorHAnsi"/>
          <w:sz w:val="22"/>
          <w:szCs w:val="22"/>
        </w:rPr>
        <w:t>Acknowledgments</w:t>
      </w:r>
    </w:p>
    <w:p w:rsidR="00FF3D25" w:rsidRPr="00164319" w:rsidRDefault="0091369C" w:rsidP="00FF3D25">
      <w:pPr>
        <w:spacing w:after="120"/>
        <w:jc w:val="both"/>
        <w:rPr>
          <w:lang w:val="en-GB"/>
        </w:rPr>
      </w:pPr>
      <w:r w:rsidRPr="00164319">
        <w:rPr>
          <w:lang w:val="en-GB"/>
        </w:rPr>
        <w:t>The authors are indebted to the Vietnamese National Foundation for Science and Technology Development (NAFOSTED</w:t>
      </w:r>
      <w:r w:rsidR="00106890">
        <w:rPr>
          <w:lang w:val="en-GB"/>
        </w:rPr>
        <w:t xml:space="preserve">, </w:t>
      </w:r>
      <w:r w:rsidR="00106890" w:rsidRPr="00164319">
        <w:rPr>
          <w:lang w:val="en-GB"/>
        </w:rPr>
        <w:t>code: 104-01-2012-02</w:t>
      </w:r>
      <w:r w:rsidRPr="00164319">
        <w:rPr>
          <w:lang w:val="en-GB"/>
        </w:rPr>
        <w:t xml:space="preserve">) </w:t>
      </w:r>
      <w:r w:rsidR="00106890">
        <w:rPr>
          <w:lang w:val="en-GB"/>
        </w:rPr>
        <w:t xml:space="preserve">and to </w:t>
      </w:r>
      <w:r w:rsidR="00106890" w:rsidRPr="00ED36A9">
        <w:rPr>
          <w:lang w:val="en-GB"/>
        </w:rPr>
        <w:t>Ghent Universi</w:t>
      </w:r>
      <w:r w:rsidR="00106890">
        <w:rPr>
          <w:lang w:val="en-GB"/>
        </w:rPr>
        <w:t xml:space="preserve">ty (BOF) </w:t>
      </w:r>
      <w:r w:rsidRPr="00164319">
        <w:rPr>
          <w:lang w:val="en-GB"/>
        </w:rPr>
        <w:t>for financia</w:t>
      </w:r>
      <w:r w:rsidR="00106890">
        <w:rPr>
          <w:lang w:val="en-GB"/>
        </w:rPr>
        <w:t>l support</w:t>
      </w:r>
      <w:r w:rsidRPr="00164319">
        <w:rPr>
          <w:lang w:val="en-GB"/>
        </w:rPr>
        <w:t>.</w:t>
      </w:r>
    </w:p>
    <w:p w:rsidR="00E40AB7" w:rsidRDefault="00E40AB7" w:rsidP="00FF3D25">
      <w:pPr>
        <w:spacing w:after="120"/>
        <w:jc w:val="both"/>
        <w:rPr>
          <w:lang w:val="en-US"/>
        </w:rPr>
      </w:pPr>
    </w:p>
    <w:p w:rsidR="001C2DA3" w:rsidRDefault="001C2DA3" w:rsidP="00FF3D25">
      <w:pPr>
        <w:spacing w:after="120"/>
        <w:jc w:val="both"/>
        <w:rPr>
          <w:lang w:val="en-US"/>
        </w:rPr>
      </w:pPr>
    </w:p>
    <w:p w:rsidR="001C2DA3" w:rsidRDefault="001C2DA3" w:rsidP="00FF3D25">
      <w:pPr>
        <w:spacing w:after="120"/>
        <w:jc w:val="both"/>
        <w:rPr>
          <w:lang w:val="en-US"/>
        </w:rPr>
      </w:pPr>
    </w:p>
    <w:p w:rsidR="006454BB" w:rsidRPr="006454BB" w:rsidRDefault="006454BB" w:rsidP="00FF3D25">
      <w:pPr>
        <w:spacing w:after="120"/>
        <w:jc w:val="both"/>
        <w:rPr>
          <w:b/>
          <w:lang w:val="en-US"/>
        </w:rPr>
      </w:pPr>
      <w:r>
        <w:rPr>
          <w:b/>
          <w:lang w:val="en-US"/>
        </w:rPr>
        <w:t>References</w:t>
      </w:r>
    </w:p>
    <w:sectPr w:rsidR="006454BB" w:rsidRPr="006454BB" w:rsidSect="00394009">
      <w:footerReference w:type="default" r:id="rId1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D5E" w:rsidRDefault="00286D5E" w:rsidP="001B62A1">
      <w:pPr>
        <w:spacing w:after="0" w:line="240" w:lineRule="auto"/>
      </w:pPr>
      <w:r>
        <w:separator/>
      </w:r>
    </w:p>
  </w:endnote>
  <w:endnote w:type="continuationSeparator" w:id="1">
    <w:p w:rsidR="00286D5E" w:rsidRDefault="00286D5E" w:rsidP="001B62A1">
      <w:pPr>
        <w:spacing w:after="0" w:line="240" w:lineRule="auto"/>
      </w:pPr>
      <w:r>
        <w:continuationSeparator/>
      </w:r>
    </w:p>
  </w:endnote>
  <w:endnote w:id="2">
    <w:p w:rsidR="00FF6F19" w:rsidRPr="003D759B" w:rsidRDefault="00FF6F19" w:rsidP="003D759B">
      <w:pPr>
        <w:pStyle w:val="Eindnoottekst"/>
        <w:jc w:val="both"/>
        <w:rPr>
          <w:lang w:val="en-US"/>
        </w:rPr>
      </w:pPr>
      <w:r w:rsidRPr="003D759B">
        <w:rPr>
          <w:rStyle w:val="Eindnootmarkering"/>
        </w:rPr>
        <w:endnoteRef/>
      </w:r>
      <w:r w:rsidRPr="003D759B">
        <w:rPr>
          <w:lang w:val="en-US"/>
        </w:rPr>
        <w:t xml:space="preserve"> (a) Decker, M. </w:t>
      </w:r>
      <w:r w:rsidRPr="003D759B">
        <w:rPr>
          <w:i/>
          <w:lang w:val="en-US"/>
        </w:rPr>
        <w:t>Curr. Med. Chem.</w:t>
      </w:r>
      <w:r w:rsidRPr="003D759B">
        <w:rPr>
          <w:b/>
          <w:lang w:val="en-US"/>
        </w:rPr>
        <w:t>2011</w:t>
      </w:r>
      <w:r w:rsidRPr="003D759B">
        <w:rPr>
          <w:lang w:val="en-US"/>
        </w:rPr>
        <w:t xml:space="preserve">, </w:t>
      </w:r>
      <w:r w:rsidRPr="003D759B">
        <w:rPr>
          <w:i/>
          <w:lang w:val="en-US"/>
        </w:rPr>
        <w:t>18</w:t>
      </w:r>
      <w:r w:rsidRPr="003D759B">
        <w:rPr>
          <w:lang w:val="en-US"/>
        </w:rPr>
        <w:t xml:space="preserve">, 1464. (b) Tsogoeva, S. B. </w:t>
      </w:r>
      <w:r w:rsidRPr="003D759B">
        <w:rPr>
          <w:i/>
          <w:lang w:val="en-US"/>
        </w:rPr>
        <w:t>Mini-Rev. Med. Chem.</w:t>
      </w:r>
      <w:r w:rsidRPr="003D759B">
        <w:rPr>
          <w:b/>
          <w:lang w:val="en-US"/>
        </w:rPr>
        <w:t>2010</w:t>
      </w:r>
      <w:r w:rsidRPr="003D759B">
        <w:rPr>
          <w:lang w:val="en-US"/>
        </w:rPr>
        <w:t xml:space="preserve">, </w:t>
      </w:r>
      <w:r w:rsidRPr="003D759B">
        <w:rPr>
          <w:i/>
          <w:lang w:val="en-US"/>
        </w:rPr>
        <w:t>10</w:t>
      </w:r>
      <w:r w:rsidRPr="003D759B">
        <w:rPr>
          <w:lang w:val="en-US"/>
        </w:rPr>
        <w:t xml:space="preserve">, 773. (c) Muregi, F. W.; Ishih, A. </w:t>
      </w:r>
      <w:r w:rsidRPr="003D759B">
        <w:rPr>
          <w:i/>
          <w:lang w:val="en-US"/>
        </w:rPr>
        <w:t>Drug Dev. Res.</w:t>
      </w:r>
      <w:r w:rsidRPr="003D759B">
        <w:rPr>
          <w:b/>
          <w:lang w:val="en-US"/>
        </w:rPr>
        <w:t>2010</w:t>
      </w:r>
      <w:r w:rsidRPr="003D759B">
        <w:rPr>
          <w:lang w:val="en-US"/>
        </w:rPr>
        <w:t xml:space="preserve">, </w:t>
      </w:r>
      <w:r w:rsidRPr="003D759B">
        <w:rPr>
          <w:i/>
          <w:lang w:val="en-US"/>
        </w:rPr>
        <w:t>71</w:t>
      </w:r>
      <w:r w:rsidRPr="003D759B">
        <w:rPr>
          <w:lang w:val="en-US"/>
        </w:rPr>
        <w:t xml:space="preserve">, 20. </w:t>
      </w:r>
      <w:r w:rsidRPr="003D759B">
        <w:t xml:space="preserve">(d) Meunier, B. </w:t>
      </w:r>
      <w:r w:rsidRPr="003D759B">
        <w:rPr>
          <w:i/>
        </w:rPr>
        <w:t>Acc. Chem. Res.</w:t>
      </w:r>
      <w:r w:rsidRPr="003D759B">
        <w:rPr>
          <w:b/>
        </w:rPr>
        <w:t>2008</w:t>
      </w:r>
      <w:r w:rsidRPr="003D759B">
        <w:t xml:space="preserve">, </w:t>
      </w:r>
      <w:r w:rsidRPr="003D759B">
        <w:rPr>
          <w:i/>
        </w:rPr>
        <w:t>41</w:t>
      </w:r>
      <w:r w:rsidRPr="003D759B">
        <w:t xml:space="preserve">, 69. (e) Vandekerckhove, S.; D’hooghe, M. </w:t>
      </w:r>
      <w:r w:rsidRPr="003D759B">
        <w:rPr>
          <w:i/>
        </w:rPr>
        <w:t xml:space="preserve">Bioorg. </w:t>
      </w:r>
      <w:r w:rsidRPr="003D759B">
        <w:rPr>
          <w:i/>
          <w:lang w:val="en-US"/>
        </w:rPr>
        <w:t>Med. Chem.</w:t>
      </w:r>
      <w:r w:rsidRPr="003D759B">
        <w:rPr>
          <w:b/>
          <w:lang w:val="en-US"/>
        </w:rPr>
        <w:t>2013</w:t>
      </w:r>
      <w:r w:rsidRPr="003D759B">
        <w:rPr>
          <w:lang w:val="en-US"/>
        </w:rPr>
        <w:t xml:space="preserve">, </w:t>
      </w:r>
      <w:r w:rsidRPr="003D759B">
        <w:rPr>
          <w:i/>
          <w:lang w:val="en-US"/>
        </w:rPr>
        <w:t>21</w:t>
      </w:r>
      <w:r w:rsidRPr="003D759B">
        <w:rPr>
          <w:lang w:val="en-US"/>
        </w:rPr>
        <w:t>, 3643.</w:t>
      </w:r>
    </w:p>
  </w:endnote>
  <w:endnote w:id="3">
    <w:p w:rsidR="00FF6F19" w:rsidRPr="003D759B" w:rsidRDefault="00FF6F19" w:rsidP="003D759B">
      <w:pPr>
        <w:pStyle w:val="Eindnoottekst"/>
        <w:jc w:val="both"/>
        <w:rPr>
          <w:lang w:val="en-US"/>
        </w:rPr>
      </w:pPr>
      <w:r w:rsidRPr="003D759B">
        <w:rPr>
          <w:rStyle w:val="Eindnootmarkering"/>
        </w:rPr>
        <w:endnoteRef/>
      </w:r>
      <w:r w:rsidRPr="003D759B">
        <w:rPr>
          <w:rFonts w:eastAsia="Times New Roman"/>
          <w:lang w:val="en-US"/>
        </w:rPr>
        <w:t>(a) Santos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R</w:t>
      </w:r>
      <w:r>
        <w:rPr>
          <w:rFonts w:eastAsia="Times New Roman"/>
          <w:lang w:val="en-US"/>
        </w:rPr>
        <w:t xml:space="preserve">. </w:t>
      </w:r>
      <w:r w:rsidRPr="003D759B">
        <w:rPr>
          <w:rFonts w:eastAsia="Times New Roman"/>
          <w:lang w:val="en-US"/>
        </w:rPr>
        <w:t>C</w:t>
      </w:r>
      <w:r>
        <w:rPr>
          <w:rFonts w:eastAsia="Times New Roman"/>
          <w:lang w:val="en-US"/>
        </w:rPr>
        <w:t xml:space="preserve">.; </w:t>
      </w:r>
      <w:r w:rsidRPr="003D759B">
        <w:rPr>
          <w:rFonts w:eastAsia="Times New Roman"/>
          <w:lang w:val="en-US"/>
        </w:rPr>
        <w:t>Salvador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J</w:t>
      </w:r>
      <w:r>
        <w:rPr>
          <w:rFonts w:eastAsia="Times New Roman"/>
          <w:lang w:val="en-US"/>
        </w:rPr>
        <w:t xml:space="preserve">. </w:t>
      </w:r>
      <w:r w:rsidRPr="003D759B">
        <w:rPr>
          <w:rFonts w:eastAsia="Times New Roman"/>
          <w:lang w:val="en-US"/>
        </w:rPr>
        <w:t>A</w:t>
      </w:r>
      <w:r>
        <w:rPr>
          <w:rFonts w:eastAsia="Times New Roman"/>
          <w:lang w:val="en-US"/>
        </w:rPr>
        <w:t xml:space="preserve">.; </w:t>
      </w:r>
      <w:r w:rsidRPr="003D759B">
        <w:rPr>
          <w:rFonts w:eastAsia="Times New Roman"/>
          <w:lang w:val="en-US"/>
        </w:rPr>
        <w:t>Marín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S</w:t>
      </w:r>
      <w:r>
        <w:rPr>
          <w:rFonts w:eastAsia="Times New Roman"/>
          <w:lang w:val="en-US"/>
        </w:rPr>
        <w:t xml:space="preserve">.; </w:t>
      </w:r>
      <w:hyperlink r:id="rId1" w:history="1">
        <w:r w:rsidRPr="003D759B">
          <w:rPr>
            <w:rFonts w:eastAsia="Times New Roman"/>
            <w:lang w:val="en-US"/>
          </w:rPr>
          <w:t>Cascante</w:t>
        </w:r>
        <w:r>
          <w:rPr>
            <w:rFonts w:eastAsia="Times New Roman"/>
            <w:lang w:val="en-US"/>
          </w:rPr>
          <w:t>,</w:t>
        </w:r>
        <w:r w:rsidRPr="003D759B">
          <w:rPr>
            <w:rFonts w:eastAsia="Times New Roman"/>
            <w:lang w:val="en-US"/>
          </w:rPr>
          <w:t xml:space="preserve"> M</w:t>
        </w:r>
      </w:hyperlink>
      <w:r>
        <w:rPr>
          <w:rFonts w:eastAsia="Times New Roman"/>
          <w:lang w:val="en-US"/>
        </w:rPr>
        <w:t>.</w:t>
      </w:r>
      <w:r w:rsidRPr="003D759B">
        <w:rPr>
          <w:rFonts w:eastAsia="Times New Roman"/>
          <w:i/>
          <w:lang w:val="en-US"/>
        </w:rPr>
        <w:t>Bioorg</w:t>
      </w:r>
      <w:r>
        <w:rPr>
          <w:rFonts w:eastAsia="Times New Roman"/>
          <w:i/>
          <w:lang w:val="en-US"/>
        </w:rPr>
        <w:t>.</w:t>
      </w:r>
      <w:r w:rsidRPr="003D759B">
        <w:rPr>
          <w:rFonts w:eastAsia="Times New Roman"/>
          <w:i/>
          <w:lang w:val="en-US"/>
        </w:rPr>
        <w:t xml:space="preserve"> Med</w:t>
      </w:r>
      <w:r>
        <w:rPr>
          <w:rFonts w:eastAsia="Times New Roman"/>
          <w:i/>
          <w:lang w:val="en-US"/>
        </w:rPr>
        <w:t>.</w:t>
      </w:r>
      <w:r w:rsidRPr="003D759B">
        <w:rPr>
          <w:rFonts w:eastAsia="Times New Roman"/>
          <w:i/>
          <w:lang w:val="en-US"/>
        </w:rPr>
        <w:t xml:space="preserve"> Chem</w:t>
      </w:r>
      <w:r w:rsidRPr="003D759B">
        <w:rPr>
          <w:rFonts w:eastAsia="Times New Roman"/>
          <w:lang w:val="en-US"/>
        </w:rPr>
        <w:t>.</w:t>
      </w:r>
      <w:r w:rsidRPr="003D759B">
        <w:rPr>
          <w:rFonts w:eastAsia="Times New Roman"/>
          <w:b/>
          <w:lang w:val="en-US"/>
        </w:rPr>
        <w:t>2009</w:t>
      </w:r>
      <w:r w:rsidRPr="003D759B">
        <w:rPr>
          <w:rFonts w:eastAsia="Times New Roman"/>
          <w:lang w:val="en-US"/>
        </w:rPr>
        <w:t>,</w:t>
      </w:r>
      <w:r w:rsidRPr="003D759B">
        <w:rPr>
          <w:rFonts w:eastAsia="Times New Roman"/>
          <w:i/>
          <w:lang w:val="en-US"/>
        </w:rPr>
        <w:t>17</w:t>
      </w:r>
      <w:r w:rsidRPr="003D759B">
        <w:rPr>
          <w:rFonts w:eastAsia="Times New Roman"/>
          <w:lang w:val="en-US"/>
        </w:rPr>
        <w:t>, 6241. (b) Santos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R</w:t>
      </w:r>
      <w:r>
        <w:rPr>
          <w:rFonts w:eastAsia="Times New Roman"/>
          <w:lang w:val="en-US"/>
        </w:rPr>
        <w:t xml:space="preserve">. </w:t>
      </w:r>
      <w:r w:rsidRPr="003D759B">
        <w:rPr>
          <w:rFonts w:eastAsia="Times New Roman"/>
          <w:lang w:val="en-US"/>
        </w:rPr>
        <w:t>C</w:t>
      </w:r>
      <w:r>
        <w:rPr>
          <w:rFonts w:eastAsia="Times New Roman"/>
          <w:lang w:val="en-US"/>
        </w:rPr>
        <w:t xml:space="preserve">.; </w:t>
      </w:r>
      <w:r w:rsidRPr="003D759B">
        <w:rPr>
          <w:rFonts w:eastAsia="Times New Roman"/>
          <w:lang w:val="en-US"/>
        </w:rPr>
        <w:t>Salvador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J</w:t>
      </w:r>
      <w:r>
        <w:rPr>
          <w:rFonts w:eastAsia="Times New Roman"/>
          <w:lang w:val="en-US"/>
        </w:rPr>
        <w:t xml:space="preserve">. </w:t>
      </w:r>
      <w:r w:rsidRPr="003D759B">
        <w:rPr>
          <w:rFonts w:eastAsia="Times New Roman"/>
          <w:lang w:val="en-US"/>
        </w:rPr>
        <w:t>A</w:t>
      </w:r>
      <w:r>
        <w:rPr>
          <w:rFonts w:eastAsia="Times New Roman"/>
          <w:lang w:val="en-US"/>
        </w:rPr>
        <w:t xml:space="preserve">.; </w:t>
      </w:r>
      <w:hyperlink r:id="rId2" w:history="1">
        <w:r w:rsidRPr="003D759B">
          <w:rPr>
            <w:rFonts w:eastAsia="Times New Roman"/>
            <w:lang w:val="en-US"/>
          </w:rPr>
          <w:t>Marín</w:t>
        </w:r>
        <w:r>
          <w:rPr>
            <w:rFonts w:eastAsia="Times New Roman"/>
            <w:lang w:val="en-US"/>
          </w:rPr>
          <w:t>,</w:t>
        </w:r>
        <w:r w:rsidRPr="003D759B">
          <w:rPr>
            <w:rFonts w:eastAsia="Times New Roman"/>
            <w:lang w:val="en-US"/>
          </w:rPr>
          <w:t xml:space="preserve"> S</w:t>
        </w:r>
      </w:hyperlink>
      <w:r w:rsidRPr="003D759B">
        <w:rPr>
          <w:rFonts w:eastAsia="Times New Roman"/>
          <w:lang w:val="en-US"/>
        </w:rPr>
        <w:t>.</w:t>
      </w:r>
      <w:r>
        <w:rPr>
          <w:rFonts w:eastAsia="Times New Roman"/>
          <w:lang w:val="en-US"/>
        </w:rPr>
        <w:t xml:space="preserve">; </w:t>
      </w:r>
      <w:r w:rsidRPr="003D759B">
        <w:rPr>
          <w:rFonts w:eastAsia="Times New Roman"/>
          <w:lang w:val="en-US"/>
        </w:rPr>
        <w:t>Cascante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M</w:t>
      </w:r>
      <w:r>
        <w:rPr>
          <w:rFonts w:eastAsia="Times New Roman"/>
          <w:lang w:val="en-US"/>
        </w:rPr>
        <w:t xml:space="preserve">.; </w:t>
      </w:r>
      <w:r w:rsidRPr="003D759B">
        <w:rPr>
          <w:rFonts w:eastAsia="Times New Roman"/>
          <w:lang w:val="en-US"/>
        </w:rPr>
        <w:t>Moreira</w:t>
      </w:r>
      <w:r>
        <w:rPr>
          <w:rFonts w:eastAsia="Times New Roman"/>
          <w:lang w:val="en-US"/>
        </w:rPr>
        <w:t>;</w:t>
      </w:r>
      <w:r w:rsidRPr="003D759B">
        <w:rPr>
          <w:rFonts w:eastAsia="Times New Roman"/>
          <w:lang w:val="en-US"/>
        </w:rPr>
        <w:t xml:space="preserve"> J</w:t>
      </w:r>
      <w:r>
        <w:rPr>
          <w:rFonts w:eastAsia="Times New Roman"/>
          <w:lang w:val="en-US"/>
        </w:rPr>
        <w:t xml:space="preserve">. </w:t>
      </w:r>
      <w:r w:rsidRPr="003D759B">
        <w:rPr>
          <w:rFonts w:eastAsia="Times New Roman"/>
          <w:lang w:val="en-US"/>
        </w:rPr>
        <w:t>N</w:t>
      </w:r>
      <w:r>
        <w:rPr>
          <w:rFonts w:eastAsia="Times New Roman"/>
          <w:lang w:val="en-US"/>
        </w:rPr>
        <w:t xml:space="preserve">.; </w:t>
      </w:r>
      <w:r w:rsidRPr="003D759B">
        <w:rPr>
          <w:rFonts w:eastAsia="Times New Roman"/>
          <w:lang w:val="en-US"/>
        </w:rPr>
        <w:t>Dinis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T</w:t>
      </w:r>
      <w:r>
        <w:rPr>
          <w:rFonts w:eastAsia="Times New Roman"/>
          <w:lang w:val="en-US"/>
        </w:rPr>
        <w:t xml:space="preserve">. </w:t>
      </w:r>
      <w:r w:rsidRPr="003D759B">
        <w:rPr>
          <w:rFonts w:eastAsia="Times New Roman"/>
          <w:lang w:val="en-US"/>
        </w:rPr>
        <w:t xml:space="preserve">C. </w:t>
      </w:r>
      <w:r w:rsidRPr="003D759B">
        <w:rPr>
          <w:rFonts w:eastAsia="Times New Roman"/>
          <w:i/>
          <w:lang w:val="en-US"/>
        </w:rPr>
        <w:t>Bioorg</w:t>
      </w:r>
      <w:r>
        <w:rPr>
          <w:rFonts w:eastAsia="Times New Roman"/>
          <w:i/>
          <w:lang w:val="en-US"/>
        </w:rPr>
        <w:t>.</w:t>
      </w:r>
      <w:r w:rsidRPr="003D759B">
        <w:rPr>
          <w:rFonts w:eastAsia="Times New Roman"/>
          <w:i/>
          <w:lang w:val="en-US"/>
        </w:rPr>
        <w:t xml:space="preserve"> Med</w:t>
      </w:r>
      <w:r>
        <w:rPr>
          <w:rFonts w:eastAsia="Times New Roman"/>
          <w:i/>
          <w:lang w:val="en-US"/>
        </w:rPr>
        <w:t>.</w:t>
      </w:r>
      <w:r w:rsidRPr="003D759B">
        <w:rPr>
          <w:rFonts w:eastAsia="Times New Roman"/>
          <w:i/>
          <w:lang w:val="en-US"/>
        </w:rPr>
        <w:t xml:space="preserve"> Chem</w:t>
      </w:r>
      <w:r w:rsidRPr="003D759B">
        <w:rPr>
          <w:rFonts w:eastAsia="Times New Roman"/>
          <w:lang w:val="en-US"/>
        </w:rPr>
        <w:t>.</w:t>
      </w:r>
      <w:r w:rsidRPr="003D759B">
        <w:rPr>
          <w:rFonts w:eastAsia="Times New Roman"/>
          <w:b/>
          <w:lang w:val="en-US"/>
        </w:rPr>
        <w:t>2010</w:t>
      </w:r>
      <w:r w:rsidRPr="003D759B">
        <w:rPr>
          <w:rFonts w:eastAsia="Times New Roman"/>
          <w:lang w:val="en-US"/>
        </w:rPr>
        <w:t>,</w:t>
      </w:r>
      <w:r w:rsidRPr="003D759B">
        <w:rPr>
          <w:rFonts w:eastAsia="Times New Roman"/>
          <w:i/>
          <w:lang w:val="en-US"/>
        </w:rPr>
        <w:t>15</w:t>
      </w:r>
      <w:r w:rsidRPr="003D759B">
        <w:rPr>
          <w:rFonts w:eastAsia="Times New Roman"/>
          <w:lang w:val="en-US"/>
        </w:rPr>
        <w:t xml:space="preserve">,4385. </w:t>
      </w:r>
      <w:r w:rsidRPr="00F86E40">
        <w:rPr>
          <w:rFonts w:eastAsia="Times New Roman"/>
        </w:rPr>
        <w:t xml:space="preserve">(c) </w:t>
      </w:r>
      <w:hyperlink r:id="rId3" w:history="1">
        <w:r w:rsidRPr="00F86E40">
          <w:rPr>
            <w:rFonts w:eastAsia="Times New Roman"/>
          </w:rPr>
          <w:t>Kommera, H</w:t>
        </w:r>
      </w:hyperlink>
      <w:r w:rsidRPr="00F86E40">
        <w:rPr>
          <w:rFonts w:eastAsia="Times New Roman"/>
        </w:rPr>
        <w:t xml:space="preserve">.; Kaluderović, G. N.; </w:t>
      </w:r>
      <w:hyperlink r:id="rId4" w:history="1">
        <w:r w:rsidRPr="00F86E40">
          <w:rPr>
            <w:rFonts w:eastAsia="Times New Roman"/>
          </w:rPr>
          <w:t>Kalbitz, J</w:t>
        </w:r>
      </w:hyperlink>
      <w:r w:rsidRPr="00F86E40">
        <w:rPr>
          <w:rFonts w:eastAsia="Times New Roman"/>
        </w:rPr>
        <w:t xml:space="preserve">.; Paschke, R. </w:t>
      </w:r>
      <w:r w:rsidRPr="00F86E40">
        <w:rPr>
          <w:rFonts w:eastAsia="Times New Roman"/>
          <w:i/>
        </w:rPr>
        <w:t xml:space="preserve">Arch. </w:t>
      </w:r>
      <w:r w:rsidRPr="003D759B">
        <w:rPr>
          <w:rFonts w:eastAsia="Times New Roman"/>
          <w:i/>
          <w:lang w:val="en-US"/>
        </w:rPr>
        <w:t xml:space="preserve">Pharm. </w:t>
      </w:r>
      <w:r w:rsidRPr="003D759B">
        <w:rPr>
          <w:rFonts w:eastAsia="Times New Roman"/>
          <w:b/>
          <w:lang w:val="en-US"/>
        </w:rPr>
        <w:t>2010</w:t>
      </w:r>
      <w:r w:rsidRPr="003D759B">
        <w:rPr>
          <w:rFonts w:eastAsia="Times New Roman"/>
          <w:lang w:val="en-US"/>
        </w:rPr>
        <w:t xml:space="preserve">, </w:t>
      </w:r>
      <w:r w:rsidRPr="003D759B">
        <w:rPr>
          <w:rFonts w:eastAsia="Times New Roman"/>
          <w:i/>
          <w:lang w:val="en-US"/>
        </w:rPr>
        <w:t>343</w:t>
      </w:r>
      <w:r w:rsidRPr="003D759B">
        <w:rPr>
          <w:rFonts w:eastAsia="Times New Roman"/>
          <w:lang w:val="en-US"/>
        </w:rPr>
        <w:t xml:space="preserve">, 449. (d) </w:t>
      </w:r>
      <w:r w:rsidRPr="003D759B">
        <w:rPr>
          <w:lang w:val="en-US"/>
        </w:rPr>
        <w:t>Dang,</w:t>
      </w:r>
      <w:r>
        <w:rPr>
          <w:lang w:val="en-US"/>
        </w:rPr>
        <w:t xml:space="preserve"> Z.;</w:t>
      </w:r>
      <w:r w:rsidRPr="003D759B">
        <w:rPr>
          <w:lang w:val="en-US"/>
        </w:rPr>
        <w:t xml:space="preserve"> Ho,</w:t>
      </w:r>
      <w:r>
        <w:rPr>
          <w:lang w:val="en-US"/>
        </w:rPr>
        <w:t xml:space="preserve"> P.;</w:t>
      </w:r>
      <w:r w:rsidRPr="003D759B">
        <w:rPr>
          <w:lang w:val="en-US"/>
        </w:rPr>
        <w:t xml:space="preserve"> Zhu,</w:t>
      </w:r>
      <w:r>
        <w:rPr>
          <w:lang w:val="en-US"/>
        </w:rPr>
        <w:t xml:space="preserve"> L.;</w:t>
      </w:r>
      <w:r w:rsidRPr="003D759B">
        <w:rPr>
          <w:lang w:val="en-US"/>
        </w:rPr>
        <w:t xml:space="preserve"> Qian,</w:t>
      </w:r>
      <w:r>
        <w:rPr>
          <w:lang w:val="en-US"/>
        </w:rPr>
        <w:t xml:space="preserve"> K.; </w:t>
      </w:r>
      <w:r w:rsidRPr="003D759B">
        <w:rPr>
          <w:lang w:val="en-US"/>
        </w:rPr>
        <w:t>Lee,</w:t>
      </w:r>
      <w:r>
        <w:rPr>
          <w:lang w:val="en-US"/>
        </w:rPr>
        <w:t xml:space="preserve"> K.-H.;</w:t>
      </w:r>
      <w:r w:rsidRPr="003D759B">
        <w:rPr>
          <w:lang w:val="en-US"/>
        </w:rPr>
        <w:t xml:space="preserve"> Huang,</w:t>
      </w:r>
      <w:r>
        <w:rPr>
          <w:lang w:val="en-US"/>
        </w:rPr>
        <w:t xml:space="preserve"> L.;</w:t>
      </w:r>
      <w:r w:rsidRPr="003D759B">
        <w:rPr>
          <w:lang w:val="en-US"/>
        </w:rPr>
        <w:t xml:space="preserve"> Chen,</w:t>
      </w:r>
      <w:r>
        <w:rPr>
          <w:lang w:val="en-US"/>
        </w:rPr>
        <w:t xml:space="preserve"> C.-H.</w:t>
      </w:r>
      <w:r w:rsidRPr="003D759B">
        <w:rPr>
          <w:i/>
          <w:lang w:val="en-US"/>
        </w:rPr>
        <w:t>J. Med.</w:t>
      </w:r>
      <w:r w:rsidRPr="00DB3D10">
        <w:rPr>
          <w:i/>
        </w:rPr>
        <w:t>Chem</w:t>
      </w:r>
      <w:r w:rsidRPr="00DB3D10">
        <w:t xml:space="preserve">. </w:t>
      </w:r>
      <w:r w:rsidRPr="00DB3D10">
        <w:rPr>
          <w:b/>
        </w:rPr>
        <w:t>2013</w:t>
      </w:r>
      <w:r w:rsidRPr="00DB3D10">
        <w:t xml:space="preserve">, </w:t>
      </w:r>
      <w:r w:rsidRPr="00DB3D10">
        <w:rPr>
          <w:i/>
        </w:rPr>
        <w:t>56</w:t>
      </w:r>
      <w:r w:rsidRPr="00DB3D10">
        <w:t xml:space="preserve">, 2029. (e) </w:t>
      </w:r>
      <w:r w:rsidRPr="00DB3D10">
        <w:rPr>
          <w:rFonts w:eastAsia="Times New Roman"/>
        </w:rPr>
        <w:t>Kommera, H</w:t>
      </w:r>
      <w:r>
        <w:rPr>
          <w:rFonts w:eastAsia="Times New Roman"/>
        </w:rPr>
        <w:t>.;</w:t>
      </w:r>
      <w:r w:rsidRPr="00DB3D10">
        <w:rPr>
          <w:rFonts w:eastAsia="Times New Roman"/>
        </w:rPr>
        <w:t>Kaluderović</w:t>
      </w:r>
      <w:r>
        <w:rPr>
          <w:rFonts w:eastAsia="Times New Roman"/>
        </w:rPr>
        <w:t>,</w:t>
      </w:r>
      <w:r w:rsidRPr="00DB3D10">
        <w:rPr>
          <w:rFonts w:eastAsia="Times New Roman"/>
        </w:rPr>
        <w:t xml:space="preserve"> G</w:t>
      </w:r>
      <w:r>
        <w:rPr>
          <w:rFonts w:eastAsia="Times New Roman"/>
        </w:rPr>
        <w:t xml:space="preserve">. </w:t>
      </w:r>
      <w:r w:rsidRPr="00DB3D10">
        <w:rPr>
          <w:rFonts w:eastAsia="Times New Roman"/>
        </w:rPr>
        <w:t>N</w:t>
      </w:r>
      <w:r>
        <w:rPr>
          <w:rFonts w:eastAsia="Times New Roman"/>
        </w:rPr>
        <w:t>.;</w:t>
      </w:r>
      <w:r w:rsidRPr="00DB3D10">
        <w:rPr>
          <w:rFonts w:eastAsia="Times New Roman"/>
        </w:rPr>
        <w:t xml:space="preserve"> Dittrich</w:t>
      </w:r>
      <w:r>
        <w:rPr>
          <w:rFonts w:eastAsia="Times New Roman"/>
        </w:rPr>
        <w:t>,</w:t>
      </w:r>
      <w:r w:rsidRPr="00DB3D10">
        <w:rPr>
          <w:rFonts w:eastAsia="Times New Roman"/>
        </w:rPr>
        <w:t xml:space="preserve"> S</w:t>
      </w:r>
      <w:r>
        <w:rPr>
          <w:rFonts w:eastAsia="Times New Roman"/>
        </w:rPr>
        <w:t>.;</w:t>
      </w:r>
      <w:r w:rsidRPr="00DB3D10">
        <w:rPr>
          <w:rFonts w:eastAsia="Times New Roman"/>
        </w:rPr>
        <w:t>Kalbitz</w:t>
      </w:r>
      <w:r>
        <w:rPr>
          <w:rFonts w:eastAsia="Times New Roman"/>
        </w:rPr>
        <w:t>,</w:t>
      </w:r>
      <w:r w:rsidRPr="00DB3D10">
        <w:rPr>
          <w:rFonts w:eastAsia="Times New Roman"/>
        </w:rPr>
        <w:t xml:space="preserve"> J</w:t>
      </w:r>
      <w:r>
        <w:rPr>
          <w:rFonts w:eastAsia="Times New Roman"/>
        </w:rPr>
        <w:t>.;</w:t>
      </w:r>
      <w:r w:rsidRPr="00DB3D10">
        <w:rPr>
          <w:rFonts w:eastAsia="Times New Roman"/>
        </w:rPr>
        <w:t xml:space="preserve"> Dräger</w:t>
      </w:r>
      <w:r>
        <w:rPr>
          <w:rFonts w:eastAsia="Times New Roman"/>
        </w:rPr>
        <w:t>,</w:t>
      </w:r>
      <w:r w:rsidRPr="00DB3D10">
        <w:rPr>
          <w:rFonts w:eastAsia="Times New Roman"/>
        </w:rPr>
        <w:t xml:space="preserve"> B</w:t>
      </w:r>
      <w:r>
        <w:rPr>
          <w:rFonts w:eastAsia="Times New Roman"/>
        </w:rPr>
        <w:t>.;</w:t>
      </w:r>
      <w:r w:rsidRPr="00DB3D10">
        <w:rPr>
          <w:rFonts w:eastAsia="Times New Roman"/>
        </w:rPr>
        <w:t xml:space="preserve"> Mueller</w:t>
      </w:r>
      <w:r>
        <w:rPr>
          <w:rFonts w:eastAsia="Times New Roman"/>
        </w:rPr>
        <w:t>,</w:t>
      </w:r>
      <w:r w:rsidRPr="00DB3D10">
        <w:rPr>
          <w:rFonts w:eastAsia="Times New Roman"/>
        </w:rPr>
        <w:t xml:space="preserve"> T</w:t>
      </w:r>
      <w:r>
        <w:rPr>
          <w:rFonts w:eastAsia="Times New Roman"/>
        </w:rPr>
        <w:t>.;</w:t>
      </w:r>
      <w:r w:rsidRPr="00DB3D10">
        <w:rPr>
          <w:rFonts w:eastAsia="Times New Roman"/>
        </w:rPr>
        <w:t>Paschke</w:t>
      </w:r>
      <w:r>
        <w:rPr>
          <w:rFonts w:eastAsia="Times New Roman"/>
        </w:rPr>
        <w:t>,</w:t>
      </w:r>
      <w:r w:rsidRPr="00DB3D10">
        <w:rPr>
          <w:rFonts w:eastAsia="Times New Roman"/>
        </w:rPr>
        <w:t xml:space="preserve"> R. </w:t>
      </w:r>
      <w:r w:rsidRPr="00DB3D10">
        <w:rPr>
          <w:rFonts w:eastAsia="Times New Roman"/>
          <w:i/>
        </w:rPr>
        <w:t>Bioorg</w:t>
      </w:r>
      <w:r>
        <w:rPr>
          <w:rFonts w:eastAsia="Times New Roman"/>
          <w:i/>
        </w:rPr>
        <w:t>.</w:t>
      </w:r>
      <w:r w:rsidRPr="002C4F7E">
        <w:rPr>
          <w:rFonts w:eastAsia="Times New Roman"/>
          <w:i/>
          <w:lang w:val="en-US"/>
        </w:rPr>
        <w:t>Med. Chem. Lett.</w:t>
      </w:r>
      <w:r w:rsidRPr="002C4F7E">
        <w:rPr>
          <w:rFonts w:eastAsia="Times New Roman"/>
          <w:b/>
          <w:lang w:val="en-US"/>
        </w:rPr>
        <w:t>2010</w:t>
      </w:r>
      <w:r w:rsidRPr="002C4F7E">
        <w:rPr>
          <w:rFonts w:eastAsia="Times New Roman"/>
          <w:lang w:val="en-US"/>
        </w:rPr>
        <w:t xml:space="preserve">, </w:t>
      </w:r>
      <w:r w:rsidRPr="002C4F7E">
        <w:rPr>
          <w:rFonts w:eastAsia="Times New Roman"/>
          <w:i/>
          <w:lang w:val="en-US"/>
        </w:rPr>
        <w:t>20</w:t>
      </w:r>
      <w:r w:rsidRPr="002C4F7E">
        <w:rPr>
          <w:rFonts w:eastAsia="Times New Roman"/>
          <w:lang w:val="en-US"/>
        </w:rPr>
        <w:t xml:space="preserve">, 3409. (f) Kommera, H.; Kaluđerović, G. N.; Kalbitz, J.; Paschke, R. </w:t>
      </w:r>
      <w:r w:rsidRPr="002C4F7E">
        <w:rPr>
          <w:rFonts w:eastAsia="Times New Roman"/>
          <w:i/>
          <w:lang w:val="en-US"/>
        </w:rPr>
        <w:t xml:space="preserve">Invest. </w:t>
      </w:r>
      <w:r w:rsidRPr="00AF06D8">
        <w:rPr>
          <w:rFonts w:eastAsia="Times New Roman"/>
          <w:i/>
          <w:lang w:val="en-US"/>
        </w:rPr>
        <w:t>New Drugs</w:t>
      </w:r>
      <w:r w:rsidRPr="00AF06D8">
        <w:rPr>
          <w:rFonts w:eastAsia="Times New Roman"/>
          <w:b/>
          <w:lang w:val="en-US"/>
        </w:rPr>
        <w:t>2011</w:t>
      </w:r>
      <w:r w:rsidRPr="00AF06D8">
        <w:rPr>
          <w:rFonts w:eastAsia="Times New Roman"/>
          <w:lang w:val="en-US"/>
        </w:rPr>
        <w:t xml:space="preserve">, </w:t>
      </w:r>
      <w:r w:rsidRPr="00AF06D8">
        <w:rPr>
          <w:rFonts w:eastAsia="Times New Roman"/>
          <w:i/>
          <w:lang w:val="en-US"/>
        </w:rPr>
        <w:t>29</w:t>
      </w:r>
      <w:r w:rsidRPr="00AF06D8">
        <w:rPr>
          <w:rFonts w:eastAsia="Times New Roman"/>
          <w:lang w:val="en-US"/>
        </w:rPr>
        <w:t xml:space="preserve">, 266. (g) </w:t>
      </w:r>
      <w:r w:rsidRPr="00AF06D8">
        <w:rPr>
          <w:lang w:val="en-US"/>
        </w:rPr>
        <w:t>Mukherjee, R</w:t>
      </w:r>
      <w:r>
        <w:rPr>
          <w:lang w:val="en-US"/>
        </w:rPr>
        <w:t xml:space="preserve">.; </w:t>
      </w:r>
      <w:r w:rsidRPr="00AF06D8">
        <w:rPr>
          <w:lang w:val="en-US"/>
        </w:rPr>
        <w:t>Kumar</w:t>
      </w:r>
      <w:r>
        <w:rPr>
          <w:lang w:val="en-US"/>
        </w:rPr>
        <w:t>,</w:t>
      </w:r>
      <w:r w:rsidRPr="00AF06D8">
        <w:rPr>
          <w:lang w:val="en-US"/>
        </w:rPr>
        <w:t xml:space="preserve"> V</w:t>
      </w:r>
      <w:r>
        <w:rPr>
          <w:lang w:val="en-US"/>
        </w:rPr>
        <w:t xml:space="preserve">.; </w:t>
      </w:r>
      <w:r w:rsidRPr="00AF06D8">
        <w:rPr>
          <w:lang w:val="en-US"/>
        </w:rPr>
        <w:t>Srivastava</w:t>
      </w:r>
      <w:r>
        <w:rPr>
          <w:lang w:val="en-US"/>
        </w:rPr>
        <w:t>,</w:t>
      </w:r>
      <w:r w:rsidRPr="00AF06D8">
        <w:rPr>
          <w:lang w:val="en-US"/>
        </w:rPr>
        <w:t xml:space="preserve"> S</w:t>
      </w:r>
      <w:r>
        <w:rPr>
          <w:lang w:val="en-US"/>
        </w:rPr>
        <w:t xml:space="preserve">. </w:t>
      </w:r>
      <w:r w:rsidRPr="00AF06D8">
        <w:rPr>
          <w:lang w:val="en-US"/>
        </w:rPr>
        <w:t>K</w:t>
      </w:r>
      <w:r>
        <w:rPr>
          <w:lang w:val="en-US"/>
        </w:rPr>
        <w:t xml:space="preserve">.; </w:t>
      </w:r>
      <w:r w:rsidRPr="00AF06D8">
        <w:rPr>
          <w:lang w:val="en-US"/>
        </w:rPr>
        <w:t>Agarwal</w:t>
      </w:r>
      <w:r>
        <w:rPr>
          <w:lang w:val="en-US"/>
        </w:rPr>
        <w:t>,</w:t>
      </w:r>
      <w:r w:rsidRPr="00AF06D8">
        <w:rPr>
          <w:lang w:val="en-US"/>
        </w:rPr>
        <w:t xml:space="preserve"> S</w:t>
      </w:r>
      <w:r>
        <w:rPr>
          <w:lang w:val="en-US"/>
        </w:rPr>
        <w:t xml:space="preserve">. </w:t>
      </w:r>
      <w:r w:rsidRPr="00AF06D8">
        <w:rPr>
          <w:lang w:val="en-US"/>
        </w:rPr>
        <w:t>K</w:t>
      </w:r>
      <w:r>
        <w:rPr>
          <w:lang w:val="en-US"/>
        </w:rPr>
        <w:t xml:space="preserve">.; </w:t>
      </w:r>
      <w:r w:rsidRPr="00AF06D8">
        <w:rPr>
          <w:lang w:val="en-US"/>
        </w:rPr>
        <w:t>Burman</w:t>
      </w:r>
      <w:r>
        <w:rPr>
          <w:lang w:val="en-US"/>
        </w:rPr>
        <w:t>,</w:t>
      </w:r>
      <w:r w:rsidRPr="00AF06D8">
        <w:rPr>
          <w:lang w:val="en-US"/>
        </w:rPr>
        <w:t xml:space="preserve"> A</w:t>
      </w:r>
      <w:r>
        <w:rPr>
          <w:lang w:val="en-US"/>
        </w:rPr>
        <w:t xml:space="preserve">. </w:t>
      </w:r>
      <w:r w:rsidRPr="00AF06D8">
        <w:rPr>
          <w:lang w:val="en-US"/>
        </w:rPr>
        <w:t xml:space="preserve">C. </w:t>
      </w:r>
      <w:r w:rsidR="00DC6011" w:rsidRPr="00DC6011">
        <w:rPr>
          <w:i/>
          <w:lang w:val="en-US"/>
        </w:rPr>
        <w:t>Anti</w:t>
      </w:r>
      <w:r w:rsidR="00DC6011">
        <w:rPr>
          <w:i/>
          <w:lang w:val="en-US"/>
        </w:rPr>
        <w:t>-Cancer A</w:t>
      </w:r>
      <w:r w:rsidR="00DC6011" w:rsidRPr="00DC6011">
        <w:rPr>
          <w:i/>
          <w:lang w:val="en-US"/>
        </w:rPr>
        <w:t>gents</w:t>
      </w:r>
      <w:r w:rsidRPr="00AF06D8">
        <w:rPr>
          <w:i/>
          <w:lang w:val="en-US"/>
        </w:rPr>
        <w:t>Med</w:t>
      </w:r>
      <w:r>
        <w:rPr>
          <w:i/>
          <w:lang w:val="en-US"/>
        </w:rPr>
        <w:t>.</w:t>
      </w:r>
      <w:r w:rsidRPr="00AF06D8">
        <w:rPr>
          <w:i/>
          <w:lang w:val="en-US"/>
        </w:rPr>
        <w:t xml:space="preserve"> Chem</w:t>
      </w:r>
      <w:r w:rsidRPr="00AF06D8">
        <w:rPr>
          <w:lang w:val="en-US"/>
        </w:rPr>
        <w:t>.</w:t>
      </w:r>
      <w:r w:rsidRPr="00AF06D8">
        <w:rPr>
          <w:b/>
          <w:lang w:val="en-US"/>
        </w:rPr>
        <w:t>2006</w:t>
      </w:r>
      <w:r w:rsidRPr="00AF06D8">
        <w:rPr>
          <w:lang w:val="en-US"/>
        </w:rPr>
        <w:t xml:space="preserve">, </w:t>
      </w:r>
      <w:r w:rsidRPr="00AF06D8">
        <w:rPr>
          <w:i/>
          <w:lang w:val="en-US"/>
        </w:rPr>
        <w:t>6</w:t>
      </w:r>
      <w:r w:rsidRPr="00AF06D8">
        <w:rPr>
          <w:lang w:val="en-US"/>
        </w:rPr>
        <w:t>, 271. (h) Santos</w:t>
      </w:r>
      <w:r>
        <w:rPr>
          <w:lang w:val="en-US"/>
        </w:rPr>
        <w:t>,</w:t>
      </w:r>
      <w:r w:rsidRPr="00AF06D8">
        <w:rPr>
          <w:lang w:val="en-US"/>
        </w:rPr>
        <w:t xml:space="preserve"> R</w:t>
      </w:r>
      <w:r>
        <w:rPr>
          <w:lang w:val="en-US"/>
        </w:rPr>
        <w:t xml:space="preserve">. </w:t>
      </w:r>
      <w:r w:rsidRPr="00AF06D8">
        <w:rPr>
          <w:lang w:val="en-US"/>
        </w:rPr>
        <w:t>C</w:t>
      </w:r>
      <w:r>
        <w:rPr>
          <w:lang w:val="en-US"/>
        </w:rPr>
        <w:t xml:space="preserve">.; </w:t>
      </w:r>
      <w:hyperlink r:id="rId5" w:history="1">
        <w:r w:rsidRPr="00AF06D8">
          <w:rPr>
            <w:rStyle w:val="Hyperlink"/>
            <w:color w:val="auto"/>
            <w:u w:val="none"/>
            <w:lang w:val="en-US"/>
          </w:rPr>
          <w:t>Salvador</w:t>
        </w:r>
        <w:r>
          <w:rPr>
            <w:rStyle w:val="Hyperlink"/>
            <w:color w:val="auto"/>
            <w:u w:val="none"/>
            <w:lang w:val="en-US"/>
          </w:rPr>
          <w:t>,</w:t>
        </w:r>
        <w:r w:rsidRPr="00AF06D8">
          <w:rPr>
            <w:rStyle w:val="Hyperlink"/>
            <w:color w:val="auto"/>
            <w:u w:val="none"/>
            <w:lang w:val="en-US"/>
          </w:rPr>
          <w:t xml:space="preserve"> J</w:t>
        </w:r>
        <w:r>
          <w:rPr>
            <w:rStyle w:val="Hyperlink"/>
            <w:color w:val="auto"/>
            <w:u w:val="none"/>
            <w:lang w:val="en-US"/>
          </w:rPr>
          <w:t xml:space="preserve">. </w:t>
        </w:r>
        <w:r w:rsidRPr="00AF06D8">
          <w:rPr>
            <w:rStyle w:val="Hyperlink"/>
            <w:color w:val="auto"/>
            <w:u w:val="none"/>
            <w:lang w:val="en-US"/>
          </w:rPr>
          <w:t>A</w:t>
        </w:r>
      </w:hyperlink>
      <w:r w:rsidRPr="00AF06D8">
        <w:rPr>
          <w:rStyle w:val="Hyperlink"/>
          <w:color w:val="auto"/>
          <w:u w:val="none"/>
          <w:lang w:val="en-US"/>
        </w:rPr>
        <w:t>.</w:t>
      </w:r>
      <w:r>
        <w:rPr>
          <w:rStyle w:val="Hyperlink"/>
          <w:color w:val="auto"/>
          <w:u w:val="none"/>
          <w:lang w:val="en-US"/>
        </w:rPr>
        <w:t xml:space="preserve">; </w:t>
      </w:r>
      <w:r w:rsidRPr="00AF06D8">
        <w:rPr>
          <w:lang w:val="en-US"/>
        </w:rPr>
        <w:t>Marín</w:t>
      </w:r>
      <w:r>
        <w:rPr>
          <w:lang w:val="en-US"/>
        </w:rPr>
        <w:t>,</w:t>
      </w:r>
      <w:r w:rsidRPr="00AF06D8">
        <w:rPr>
          <w:lang w:val="en-US"/>
        </w:rPr>
        <w:t xml:space="preserve"> S</w:t>
      </w:r>
      <w:r>
        <w:rPr>
          <w:lang w:val="en-US"/>
        </w:rPr>
        <w:t xml:space="preserve">.; </w:t>
      </w:r>
      <w:r w:rsidRPr="00AF06D8">
        <w:rPr>
          <w:lang w:val="en-US"/>
        </w:rPr>
        <w:t>Cascante</w:t>
      </w:r>
      <w:r>
        <w:rPr>
          <w:lang w:val="en-US"/>
        </w:rPr>
        <w:t>,</w:t>
      </w:r>
      <w:r w:rsidRPr="00AF06D8">
        <w:rPr>
          <w:lang w:val="en-US"/>
        </w:rPr>
        <w:t xml:space="preserve"> M</w:t>
      </w:r>
      <w:r>
        <w:rPr>
          <w:lang w:val="en-US"/>
        </w:rPr>
        <w:t xml:space="preserve">.; </w:t>
      </w:r>
      <w:r w:rsidRPr="00AF06D8">
        <w:rPr>
          <w:lang w:val="en-US"/>
        </w:rPr>
        <w:t>Moreira</w:t>
      </w:r>
      <w:r>
        <w:rPr>
          <w:lang w:val="en-US"/>
        </w:rPr>
        <w:t>,</w:t>
      </w:r>
      <w:r w:rsidRPr="00AF06D8">
        <w:rPr>
          <w:lang w:val="en-US"/>
        </w:rPr>
        <w:t xml:space="preserve"> J</w:t>
      </w:r>
      <w:r>
        <w:rPr>
          <w:lang w:val="en-US"/>
        </w:rPr>
        <w:t xml:space="preserve">. </w:t>
      </w:r>
      <w:r w:rsidRPr="00AF06D8">
        <w:rPr>
          <w:lang w:val="en-US"/>
        </w:rPr>
        <w:t>N</w:t>
      </w:r>
      <w:r>
        <w:rPr>
          <w:lang w:val="en-US"/>
        </w:rPr>
        <w:t xml:space="preserve">.; </w:t>
      </w:r>
      <w:r w:rsidRPr="00AF06D8">
        <w:rPr>
          <w:lang w:val="en-US"/>
        </w:rPr>
        <w:t>Dinis</w:t>
      </w:r>
      <w:r>
        <w:rPr>
          <w:lang w:val="en-US"/>
        </w:rPr>
        <w:t>,</w:t>
      </w:r>
      <w:r w:rsidRPr="00AF06D8">
        <w:rPr>
          <w:lang w:val="en-US"/>
        </w:rPr>
        <w:t xml:space="preserve"> T</w:t>
      </w:r>
      <w:r>
        <w:rPr>
          <w:lang w:val="en-US"/>
        </w:rPr>
        <w:t xml:space="preserve">. </w:t>
      </w:r>
      <w:r w:rsidRPr="00AF06D8">
        <w:rPr>
          <w:lang w:val="en-US"/>
        </w:rPr>
        <w:t>C</w:t>
      </w:r>
      <w:r>
        <w:rPr>
          <w:lang w:val="en-US"/>
        </w:rPr>
        <w:t>.</w:t>
      </w:r>
      <w:r w:rsidRPr="00AF06D8">
        <w:rPr>
          <w:i/>
          <w:lang w:val="en-US"/>
        </w:rPr>
        <w:t>Bioorg</w:t>
      </w:r>
      <w:r>
        <w:rPr>
          <w:i/>
          <w:lang w:val="en-US"/>
        </w:rPr>
        <w:t>.</w:t>
      </w:r>
      <w:r w:rsidRPr="00AF06D8">
        <w:rPr>
          <w:i/>
          <w:lang w:val="en-US"/>
        </w:rPr>
        <w:t xml:space="preserve"> Med</w:t>
      </w:r>
      <w:r>
        <w:rPr>
          <w:i/>
          <w:lang w:val="en-US"/>
        </w:rPr>
        <w:t>.</w:t>
      </w:r>
      <w:r w:rsidRPr="00AF06D8">
        <w:rPr>
          <w:i/>
          <w:lang w:val="en-US"/>
        </w:rPr>
        <w:t xml:space="preserve"> Chem.</w:t>
      </w:r>
      <w:r w:rsidRPr="00AF06D8">
        <w:rPr>
          <w:b/>
          <w:lang w:val="en-US"/>
        </w:rPr>
        <w:t>2010</w:t>
      </w:r>
      <w:r w:rsidRPr="00AF06D8">
        <w:rPr>
          <w:lang w:val="en-US"/>
        </w:rPr>
        <w:t xml:space="preserve">, </w:t>
      </w:r>
      <w:r w:rsidRPr="00AF06D8">
        <w:rPr>
          <w:i/>
          <w:lang w:val="en-US"/>
        </w:rPr>
        <w:t>18</w:t>
      </w:r>
      <w:r w:rsidRPr="00AF06D8">
        <w:rPr>
          <w:lang w:val="en-US"/>
        </w:rPr>
        <w:t>, 4385. (i) Liu</w:t>
      </w:r>
      <w:r>
        <w:rPr>
          <w:lang w:val="en-US"/>
        </w:rPr>
        <w:t>,</w:t>
      </w:r>
      <w:r w:rsidRPr="00AF06D8">
        <w:rPr>
          <w:lang w:val="en-US"/>
        </w:rPr>
        <w:t xml:space="preserve"> W</w:t>
      </w:r>
      <w:r>
        <w:rPr>
          <w:lang w:val="en-US"/>
        </w:rPr>
        <w:t xml:space="preserve">. </w:t>
      </w:r>
      <w:r w:rsidRPr="00AF06D8">
        <w:rPr>
          <w:lang w:val="en-US"/>
        </w:rPr>
        <w:t>K</w:t>
      </w:r>
      <w:r>
        <w:rPr>
          <w:lang w:val="en-US"/>
        </w:rPr>
        <w:t xml:space="preserve">.; </w:t>
      </w:r>
      <w:hyperlink r:id="rId6" w:history="1">
        <w:r w:rsidRPr="00AF06D8">
          <w:rPr>
            <w:rStyle w:val="Hyperlink"/>
            <w:color w:val="auto"/>
            <w:u w:val="none"/>
            <w:lang w:val="en-US"/>
          </w:rPr>
          <w:t>Ho</w:t>
        </w:r>
        <w:r>
          <w:rPr>
            <w:rStyle w:val="Hyperlink"/>
            <w:color w:val="auto"/>
            <w:u w:val="none"/>
            <w:lang w:val="en-US"/>
          </w:rPr>
          <w:t>,</w:t>
        </w:r>
        <w:r w:rsidRPr="00AF06D8">
          <w:rPr>
            <w:rStyle w:val="Hyperlink"/>
            <w:color w:val="auto"/>
            <w:u w:val="none"/>
            <w:lang w:val="en-US"/>
          </w:rPr>
          <w:t xml:space="preserve"> J</w:t>
        </w:r>
        <w:r>
          <w:rPr>
            <w:rStyle w:val="Hyperlink"/>
            <w:color w:val="auto"/>
            <w:u w:val="none"/>
            <w:lang w:val="en-US"/>
          </w:rPr>
          <w:t xml:space="preserve">. </w:t>
        </w:r>
        <w:r w:rsidRPr="00AF06D8">
          <w:rPr>
            <w:rStyle w:val="Hyperlink"/>
            <w:color w:val="auto"/>
            <w:u w:val="none"/>
            <w:lang w:val="en-US"/>
          </w:rPr>
          <w:t>C</w:t>
        </w:r>
      </w:hyperlink>
      <w:r w:rsidRPr="00AF06D8">
        <w:rPr>
          <w:rStyle w:val="Hyperlink"/>
          <w:color w:val="auto"/>
          <w:u w:val="none"/>
          <w:lang w:val="en-US"/>
        </w:rPr>
        <w:t>.</w:t>
      </w:r>
      <w:r>
        <w:rPr>
          <w:rStyle w:val="Hyperlink"/>
          <w:color w:val="auto"/>
          <w:u w:val="none"/>
          <w:lang w:val="en-US"/>
        </w:rPr>
        <w:t xml:space="preserve">; </w:t>
      </w:r>
      <w:r w:rsidRPr="00AF06D8">
        <w:rPr>
          <w:lang w:val="en-US"/>
        </w:rPr>
        <w:t>Cheung</w:t>
      </w:r>
      <w:r>
        <w:rPr>
          <w:lang w:val="en-US"/>
        </w:rPr>
        <w:t>,</w:t>
      </w:r>
      <w:r w:rsidRPr="00AF06D8">
        <w:rPr>
          <w:lang w:val="en-US"/>
        </w:rPr>
        <w:t xml:space="preserve"> F</w:t>
      </w:r>
      <w:r>
        <w:rPr>
          <w:lang w:val="en-US"/>
        </w:rPr>
        <w:t xml:space="preserve">. </w:t>
      </w:r>
      <w:r w:rsidRPr="00AF06D8">
        <w:rPr>
          <w:lang w:val="en-US"/>
        </w:rPr>
        <w:t>W</w:t>
      </w:r>
      <w:r>
        <w:rPr>
          <w:lang w:val="en-US"/>
        </w:rPr>
        <w:t xml:space="preserve">.; </w:t>
      </w:r>
      <w:hyperlink r:id="rId7" w:history="1">
        <w:r w:rsidRPr="00AF06D8">
          <w:rPr>
            <w:rStyle w:val="Hyperlink"/>
            <w:color w:val="auto"/>
            <w:u w:val="none"/>
            <w:lang w:val="en-US"/>
          </w:rPr>
          <w:t>Liu</w:t>
        </w:r>
        <w:r>
          <w:rPr>
            <w:rStyle w:val="Hyperlink"/>
            <w:color w:val="auto"/>
            <w:u w:val="none"/>
            <w:lang w:val="en-US"/>
          </w:rPr>
          <w:t>,</w:t>
        </w:r>
        <w:r w:rsidRPr="00AF06D8">
          <w:rPr>
            <w:rStyle w:val="Hyperlink"/>
            <w:color w:val="auto"/>
            <w:u w:val="none"/>
            <w:lang w:val="en-US"/>
          </w:rPr>
          <w:t xml:space="preserve"> B</w:t>
        </w:r>
        <w:r>
          <w:rPr>
            <w:rStyle w:val="Hyperlink"/>
            <w:color w:val="auto"/>
            <w:u w:val="none"/>
            <w:lang w:val="en-US"/>
          </w:rPr>
          <w:t xml:space="preserve">. </w:t>
        </w:r>
        <w:r w:rsidRPr="00AF06D8">
          <w:rPr>
            <w:rStyle w:val="Hyperlink"/>
            <w:color w:val="auto"/>
            <w:u w:val="none"/>
            <w:lang w:val="en-US"/>
          </w:rPr>
          <w:t>P</w:t>
        </w:r>
      </w:hyperlink>
      <w:r w:rsidRPr="00AF06D8">
        <w:rPr>
          <w:lang w:val="en-US"/>
        </w:rPr>
        <w:t>.</w:t>
      </w:r>
      <w:r>
        <w:rPr>
          <w:lang w:val="en-US"/>
        </w:rPr>
        <w:t xml:space="preserve">; </w:t>
      </w:r>
      <w:r w:rsidRPr="00AF06D8">
        <w:rPr>
          <w:lang w:val="en-US"/>
        </w:rPr>
        <w:t>Ye</w:t>
      </w:r>
      <w:r>
        <w:rPr>
          <w:lang w:val="en-US"/>
        </w:rPr>
        <w:t>,</w:t>
      </w:r>
      <w:r w:rsidRPr="00AF06D8">
        <w:rPr>
          <w:lang w:val="en-US"/>
        </w:rPr>
        <w:t xml:space="preserve"> W</w:t>
      </w:r>
      <w:r>
        <w:rPr>
          <w:lang w:val="en-US"/>
        </w:rPr>
        <w:t xml:space="preserve">. </w:t>
      </w:r>
      <w:r w:rsidRPr="00AF06D8">
        <w:rPr>
          <w:lang w:val="en-US"/>
        </w:rPr>
        <w:t>C</w:t>
      </w:r>
      <w:r>
        <w:rPr>
          <w:lang w:val="en-US"/>
        </w:rPr>
        <w:t xml:space="preserve">.; </w:t>
      </w:r>
      <w:r w:rsidRPr="00AF06D8">
        <w:rPr>
          <w:lang w:val="en-US"/>
        </w:rPr>
        <w:t>Che</w:t>
      </w:r>
      <w:r>
        <w:rPr>
          <w:lang w:val="en-US"/>
        </w:rPr>
        <w:t>,</w:t>
      </w:r>
      <w:r w:rsidRPr="00AF06D8">
        <w:rPr>
          <w:lang w:val="en-US"/>
        </w:rPr>
        <w:t xml:space="preserve"> C</w:t>
      </w:r>
      <w:r>
        <w:rPr>
          <w:lang w:val="en-US"/>
        </w:rPr>
        <w:t xml:space="preserve">. </w:t>
      </w:r>
      <w:r w:rsidRPr="00AF06D8">
        <w:rPr>
          <w:lang w:val="en-US"/>
        </w:rPr>
        <w:t>T</w:t>
      </w:r>
      <w:r>
        <w:rPr>
          <w:lang w:val="en-US"/>
        </w:rPr>
        <w:t>.</w:t>
      </w:r>
      <w:r w:rsidRPr="00AF06D8">
        <w:rPr>
          <w:i/>
          <w:lang w:val="en-US"/>
        </w:rPr>
        <w:t>Eur</w:t>
      </w:r>
      <w:r>
        <w:rPr>
          <w:i/>
          <w:lang w:val="en-US"/>
        </w:rPr>
        <w:t>.</w:t>
      </w:r>
      <w:r w:rsidRPr="00AF06D8">
        <w:rPr>
          <w:i/>
          <w:lang w:val="en-US"/>
        </w:rPr>
        <w:t xml:space="preserve"> J</w:t>
      </w:r>
      <w:r>
        <w:rPr>
          <w:i/>
          <w:lang w:val="en-US"/>
        </w:rPr>
        <w:t>.</w:t>
      </w:r>
      <w:r w:rsidRPr="00AF06D8">
        <w:rPr>
          <w:i/>
          <w:lang w:val="en-US"/>
        </w:rPr>
        <w:t>Pharmacol.</w:t>
      </w:r>
      <w:r w:rsidRPr="003D759B">
        <w:rPr>
          <w:b/>
          <w:lang w:val="en-US"/>
        </w:rPr>
        <w:t>2004</w:t>
      </w:r>
      <w:r w:rsidRPr="003D759B">
        <w:rPr>
          <w:lang w:val="en-US"/>
        </w:rPr>
        <w:t>,</w:t>
      </w:r>
      <w:r w:rsidRPr="003D759B">
        <w:rPr>
          <w:i/>
          <w:lang w:val="en-US"/>
        </w:rPr>
        <w:t>13</w:t>
      </w:r>
      <w:r w:rsidRPr="003D759B">
        <w:rPr>
          <w:lang w:val="en-US"/>
        </w:rPr>
        <w:t xml:space="preserve">, 71. (j) </w:t>
      </w:r>
      <w:r w:rsidRPr="003D759B">
        <w:rPr>
          <w:rFonts w:eastAsia="Times New Roman"/>
          <w:lang w:val="en-US"/>
        </w:rPr>
        <w:t>Sultana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N</w:t>
      </w:r>
      <w:r>
        <w:rPr>
          <w:rFonts w:eastAsia="Times New Roman"/>
          <w:lang w:val="en-US"/>
        </w:rPr>
        <w:t xml:space="preserve">.; </w:t>
      </w:r>
      <w:r w:rsidRPr="003D759B">
        <w:rPr>
          <w:rFonts w:eastAsia="Times New Roman"/>
          <w:lang w:val="en-US"/>
        </w:rPr>
        <w:t>Ata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A</w:t>
      </w:r>
      <w:r>
        <w:rPr>
          <w:rFonts w:eastAsia="Times New Roman"/>
          <w:lang w:val="en-US"/>
        </w:rPr>
        <w:t>.;</w:t>
      </w:r>
      <w:r w:rsidRPr="003D759B">
        <w:rPr>
          <w:rFonts w:eastAsia="Times New Roman"/>
          <w:i/>
          <w:lang w:val="en-US"/>
        </w:rPr>
        <w:t>J. Enzyme Inhib. Med</w:t>
      </w:r>
      <w:r>
        <w:rPr>
          <w:rFonts w:eastAsia="Times New Roman"/>
          <w:i/>
          <w:lang w:val="en-US"/>
        </w:rPr>
        <w:t>.</w:t>
      </w:r>
      <w:r w:rsidRPr="003D759B">
        <w:rPr>
          <w:rFonts w:eastAsia="Times New Roman"/>
          <w:i/>
          <w:lang w:val="en-US"/>
        </w:rPr>
        <w:t xml:space="preserve"> Chem.</w:t>
      </w:r>
      <w:r w:rsidRPr="003D759B">
        <w:rPr>
          <w:rFonts w:eastAsia="Times New Roman"/>
          <w:b/>
          <w:lang w:val="en-US"/>
        </w:rPr>
        <w:t>2008</w:t>
      </w:r>
      <w:r w:rsidRPr="003D759B">
        <w:rPr>
          <w:rFonts w:eastAsia="Times New Roman"/>
          <w:lang w:val="en-US"/>
        </w:rPr>
        <w:t xml:space="preserve">, </w:t>
      </w:r>
      <w:r w:rsidRPr="00AF06D8">
        <w:rPr>
          <w:rFonts w:eastAsia="Times New Roman"/>
          <w:i/>
          <w:lang w:val="en-US"/>
        </w:rPr>
        <w:t>23</w:t>
      </w:r>
      <w:r w:rsidRPr="003D759B">
        <w:rPr>
          <w:rFonts w:eastAsia="Times New Roman"/>
          <w:lang w:val="en-US"/>
        </w:rPr>
        <w:t>, 739. (k) Pollier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J</w:t>
      </w:r>
      <w:r>
        <w:rPr>
          <w:rFonts w:eastAsia="Times New Roman"/>
          <w:lang w:val="en-US"/>
        </w:rPr>
        <w:t xml:space="preserve">.; </w:t>
      </w:r>
      <w:hyperlink r:id="rId8" w:history="1">
        <w:r w:rsidRPr="003D759B">
          <w:rPr>
            <w:rFonts w:eastAsia="Times New Roman"/>
            <w:lang w:val="en-US"/>
          </w:rPr>
          <w:t>Goossens</w:t>
        </w:r>
        <w:r>
          <w:rPr>
            <w:rFonts w:eastAsia="Times New Roman"/>
            <w:lang w:val="en-US"/>
          </w:rPr>
          <w:t>,</w:t>
        </w:r>
        <w:r w:rsidRPr="003D759B">
          <w:rPr>
            <w:rFonts w:eastAsia="Times New Roman"/>
            <w:lang w:val="en-US"/>
          </w:rPr>
          <w:t xml:space="preserve"> A</w:t>
        </w:r>
      </w:hyperlink>
      <w:r w:rsidRPr="00AF06D8">
        <w:rPr>
          <w:rFonts w:eastAsia="Times New Roman"/>
          <w:lang w:val="en-US"/>
        </w:rPr>
        <w:t>.</w:t>
      </w:r>
      <w:r w:rsidRPr="003D759B">
        <w:rPr>
          <w:rFonts w:eastAsia="Times New Roman"/>
          <w:i/>
          <w:lang w:val="en-US"/>
        </w:rPr>
        <w:t>Phytochemistry</w:t>
      </w:r>
      <w:r w:rsidRPr="003D759B">
        <w:rPr>
          <w:rFonts w:eastAsia="Times New Roman"/>
          <w:b/>
          <w:lang w:val="en-US"/>
        </w:rPr>
        <w:t>2012</w:t>
      </w:r>
      <w:r w:rsidRPr="003D759B">
        <w:rPr>
          <w:rFonts w:eastAsia="Times New Roman"/>
          <w:lang w:val="en-US"/>
        </w:rPr>
        <w:t>,</w:t>
      </w:r>
      <w:r w:rsidRPr="00AF06D8">
        <w:rPr>
          <w:rFonts w:eastAsia="Times New Roman"/>
          <w:i/>
          <w:lang w:val="en-US"/>
        </w:rPr>
        <w:t>77</w:t>
      </w:r>
      <w:r w:rsidRPr="003D759B">
        <w:rPr>
          <w:rFonts w:eastAsia="Times New Roman"/>
          <w:lang w:val="en-US"/>
        </w:rPr>
        <w:t xml:space="preserve">, 10. (l) </w:t>
      </w:r>
      <w:hyperlink r:id="rId9" w:history="1">
        <w:r w:rsidRPr="003D759B">
          <w:rPr>
            <w:rFonts w:eastAsia="Times New Roman"/>
            <w:lang w:val="en-US"/>
          </w:rPr>
          <w:t>Li</w:t>
        </w:r>
        <w:r>
          <w:rPr>
            <w:rFonts w:eastAsia="Times New Roman"/>
            <w:lang w:val="en-US"/>
          </w:rPr>
          <w:t>,</w:t>
        </w:r>
        <w:r w:rsidRPr="003D759B">
          <w:rPr>
            <w:rFonts w:eastAsia="Times New Roman"/>
            <w:lang w:val="en-US"/>
          </w:rPr>
          <w:t xml:space="preserve"> H</w:t>
        </w:r>
      </w:hyperlink>
      <w:r>
        <w:rPr>
          <w:rFonts w:eastAsia="Times New Roman"/>
          <w:lang w:val="en-US"/>
        </w:rPr>
        <w:t xml:space="preserve">.; </w:t>
      </w:r>
      <w:hyperlink r:id="rId10" w:history="1">
        <w:r w:rsidRPr="003D759B">
          <w:rPr>
            <w:rFonts w:eastAsia="Times New Roman"/>
            <w:lang w:val="en-US"/>
          </w:rPr>
          <w:t>He</w:t>
        </w:r>
        <w:r>
          <w:rPr>
            <w:rFonts w:eastAsia="Times New Roman"/>
            <w:lang w:val="en-US"/>
          </w:rPr>
          <w:t>,</w:t>
        </w:r>
        <w:r w:rsidRPr="003D759B">
          <w:rPr>
            <w:rFonts w:eastAsia="Times New Roman"/>
            <w:lang w:val="en-US"/>
          </w:rPr>
          <w:t xml:space="preserve"> N</w:t>
        </w:r>
      </w:hyperlink>
      <w:r>
        <w:rPr>
          <w:rFonts w:eastAsia="Times New Roman"/>
          <w:lang w:val="en-US"/>
        </w:rPr>
        <w:t xml:space="preserve">.; </w:t>
      </w:r>
      <w:hyperlink r:id="rId11" w:history="1">
        <w:r w:rsidRPr="003D759B">
          <w:rPr>
            <w:rFonts w:eastAsia="Times New Roman"/>
            <w:lang w:val="en-US"/>
          </w:rPr>
          <w:t>Li</w:t>
        </w:r>
        <w:r>
          <w:rPr>
            <w:rFonts w:eastAsia="Times New Roman"/>
            <w:lang w:val="en-US"/>
          </w:rPr>
          <w:t>,</w:t>
        </w:r>
        <w:r w:rsidRPr="003D759B">
          <w:rPr>
            <w:rFonts w:eastAsia="Times New Roman"/>
            <w:lang w:val="en-US"/>
          </w:rPr>
          <w:t xml:space="preserve"> X</w:t>
        </w:r>
      </w:hyperlink>
      <w:r>
        <w:rPr>
          <w:rFonts w:eastAsia="Times New Roman"/>
          <w:lang w:val="en-US"/>
        </w:rPr>
        <w:t xml:space="preserve">.; </w:t>
      </w:r>
      <w:hyperlink r:id="rId12" w:history="1">
        <w:r w:rsidRPr="003D759B">
          <w:rPr>
            <w:rFonts w:eastAsia="Times New Roman"/>
            <w:lang w:val="en-US"/>
          </w:rPr>
          <w:t>Zhou</w:t>
        </w:r>
        <w:r>
          <w:rPr>
            <w:rFonts w:eastAsia="Times New Roman"/>
            <w:lang w:val="en-US"/>
          </w:rPr>
          <w:t>,</w:t>
        </w:r>
        <w:r w:rsidRPr="003D759B">
          <w:rPr>
            <w:rFonts w:eastAsia="Times New Roman"/>
            <w:lang w:val="en-US"/>
          </w:rPr>
          <w:t xml:space="preserve"> L</w:t>
        </w:r>
      </w:hyperlink>
      <w:r>
        <w:rPr>
          <w:rFonts w:eastAsia="Times New Roman"/>
          <w:lang w:val="en-US"/>
        </w:rPr>
        <w:t xml:space="preserve">.; </w:t>
      </w:r>
      <w:hyperlink r:id="rId13" w:history="1">
        <w:r w:rsidRPr="003D759B">
          <w:rPr>
            <w:rFonts w:eastAsia="Times New Roman"/>
            <w:lang w:val="en-US"/>
          </w:rPr>
          <w:t>Zhao</w:t>
        </w:r>
        <w:r>
          <w:rPr>
            <w:rFonts w:eastAsia="Times New Roman"/>
            <w:lang w:val="en-US"/>
          </w:rPr>
          <w:t>,</w:t>
        </w:r>
        <w:r w:rsidRPr="003D759B">
          <w:rPr>
            <w:rFonts w:eastAsia="Times New Roman"/>
            <w:lang w:val="en-US"/>
          </w:rPr>
          <w:t xml:space="preserve"> M</w:t>
        </w:r>
      </w:hyperlink>
      <w:r>
        <w:rPr>
          <w:rFonts w:eastAsia="Times New Roman"/>
          <w:lang w:val="en-US"/>
        </w:rPr>
        <w:t xml:space="preserve">.; </w:t>
      </w:r>
      <w:hyperlink r:id="rId14" w:history="1">
        <w:r w:rsidRPr="003D759B">
          <w:rPr>
            <w:rFonts w:eastAsia="Times New Roman"/>
            <w:lang w:val="en-US"/>
          </w:rPr>
          <w:t>Jiang</w:t>
        </w:r>
        <w:r>
          <w:rPr>
            <w:rFonts w:eastAsia="Times New Roman"/>
            <w:lang w:val="en-US"/>
          </w:rPr>
          <w:t>,</w:t>
        </w:r>
        <w:r w:rsidRPr="003D759B">
          <w:rPr>
            <w:rFonts w:eastAsia="Times New Roman"/>
            <w:lang w:val="en-US"/>
          </w:rPr>
          <w:t xml:space="preserve"> H</w:t>
        </w:r>
      </w:hyperlink>
      <w:r>
        <w:rPr>
          <w:rFonts w:eastAsia="Times New Roman"/>
          <w:lang w:val="en-US"/>
        </w:rPr>
        <w:t xml:space="preserve">.; </w:t>
      </w:r>
      <w:hyperlink r:id="rId15" w:history="1">
        <w:r w:rsidRPr="003D759B">
          <w:rPr>
            <w:rFonts w:eastAsia="Times New Roman"/>
            <w:lang w:val="en-US"/>
          </w:rPr>
          <w:t>Zhang</w:t>
        </w:r>
        <w:r>
          <w:rPr>
            <w:rFonts w:eastAsia="Times New Roman"/>
            <w:lang w:val="en-US"/>
          </w:rPr>
          <w:t>,</w:t>
        </w:r>
        <w:r w:rsidRPr="003D759B">
          <w:rPr>
            <w:rFonts w:eastAsia="Times New Roman"/>
            <w:lang w:val="en-US"/>
          </w:rPr>
          <w:t xml:space="preserve"> X</w:t>
        </w:r>
      </w:hyperlink>
      <w:r w:rsidRPr="003D759B">
        <w:rPr>
          <w:rFonts w:eastAsia="Times New Roman"/>
          <w:lang w:val="en-US"/>
        </w:rPr>
        <w:t xml:space="preserve">. </w:t>
      </w:r>
      <w:r w:rsidRPr="003D759B">
        <w:rPr>
          <w:rFonts w:eastAsia="Times New Roman"/>
          <w:i/>
          <w:lang w:val="en-US"/>
        </w:rPr>
        <w:t>Oncol</w:t>
      </w:r>
      <w:r>
        <w:rPr>
          <w:rFonts w:eastAsia="Times New Roman"/>
          <w:i/>
          <w:lang w:val="en-US"/>
        </w:rPr>
        <w:t>.</w:t>
      </w:r>
      <w:r w:rsidRPr="003D759B">
        <w:rPr>
          <w:rFonts w:eastAsia="Times New Roman"/>
          <w:i/>
          <w:lang w:val="en-US"/>
        </w:rPr>
        <w:t>Lett.</w:t>
      </w:r>
      <w:r w:rsidRPr="003D759B">
        <w:rPr>
          <w:rFonts w:eastAsia="Times New Roman"/>
          <w:b/>
          <w:lang w:val="en-US"/>
        </w:rPr>
        <w:t>2013</w:t>
      </w:r>
      <w:r w:rsidRPr="003D759B">
        <w:rPr>
          <w:rFonts w:eastAsia="Times New Roman"/>
          <w:lang w:val="en-US"/>
        </w:rPr>
        <w:t xml:space="preserve">, </w:t>
      </w:r>
      <w:r w:rsidRPr="00AF06D8">
        <w:rPr>
          <w:rFonts w:eastAsia="Times New Roman"/>
          <w:i/>
          <w:lang w:val="en-US"/>
        </w:rPr>
        <w:t>6</w:t>
      </w:r>
      <w:r w:rsidRPr="003D759B">
        <w:rPr>
          <w:rFonts w:eastAsia="Times New Roman"/>
          <w:lang w:val="en-US"/>
        </w:rPr>
        <w:t>, 885. (m) Rashid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S</w:t>
      </w:r>
      <w:r>
        <w:rPr>
          <w:rFonts w:eastAsia="Times New Roman"/>
          <w:lang w:val="en-US"/>
        </w:rPr>
        <w:t xml:space="preserve">.; </w:t>
      </w:r>
      <w:r w:rsidRPr="003D759B">
        <w:rPr>
          <w:rFonts w:eastAsia="Times New Roman"/>
          <w:lang w:val="en-US"/>
        </w:rPr>
        <w:t>Dar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B</w:t>
      </w:r>
      <w:r>
        <w:rPr>
          <w:rFonts w:eastAsia="Times New Roman"/>
          <w:lang w:val="en-US"/>
        </w:rPr>
        <w:t xml:space="preserve">. </w:t>
      </w:r>
      <w:r w:rsidRPr="003D759B">
        <w:rPr>
          <w:rFonts w:eastAsia="Times New Roman"/>
          <w:lang w:val="en-US"/>
        </w:rPr>
        <w:t>A</w:t>
      </w:r>
      <w:r>
        <w:rPr>
          <w:rFonts w:eastAsia="Times New Roman"/>
          <w:lang w:val="en-US"/>
        </w:rPr>
        <w:t xml:space="preserve">.; </w:t>
      </w:r>
      <w:hyperlink r:id="rId16" w:history="1">
        <w:r w:rsidRPr="003D759B">
          <w:rPr>
            <w:rFonts w:eastAsia="Times New Roman"/>
            <w:lang w:val="en-US"/>
          </w:rPr>
          <w:t>Majeed</w:t>
        </w:r>
        <w:r>
          <w:rPr>
            <w:rFonts w:eastAsia="Times New Roman"/>
            <w:lang w:val="en-US"/>
          </w:rPr>
          <w:t>,</w:t>
        </w:r>
        <w:r w:rsidRPr="003D759B">
          <w:rPr>
            <w:rFonts w:eastAsia="Times New Roman"/>
            <w:lang w:val="en-US"/>
          </w:rPr>
          <w:t xml:space="preserve"> R</w:t>
        </w:r>
      </w:hyperlink>
      <w:r w:rsidRPr="00AF06D8">
        <w:rPr>
          <w:rFonts w:eastAsia="Times New Roman"/>
          <w:lang w:val="en-US"/>
        </w:rPr>
        <w:t>.</w:t>
      </w:r>
      <w:r>
        <w:rPr>
          <w:rFonts w:eastAsia="Times New Roman"/>
          <w:lang w:val="en-US"/>
        </w:rPr>
        <w:t xml:space="preserve">; </w:t>
      </w:r>
      <w:r w:rsidRPr="003D759B">
        <w:rPr>
          <w:rFonts w:eastAsia="Times New Roman"/>
          <w:lang w:val="en-US"/>
        </w:rPr>
        <w:t>Hamid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A</w:t>
      </w:r>
      <w:r>
        <w:rPr>
          <w:rFonts w:eastAsia="Times New Roman"/>
          <w:lang w:val="en-US"/>
        </w:rPr>
        <w:t xml:space="preserve">.; </w:t>
      </w:r>
      <w:r w:rsidRPr="003D759B">
        <w:rPr>
          <w:rFonts w:eastAsia="Times New Roman"/>
          <w:lang w:val="en-US"/>
        </w:rPr>
        <w:t>Bhat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B</w:t>
      </w:r>
      <w:r>
        <w:rPr>
          <w:rFonts w:eastAsia="Times New Roman"/>
          <w:lang w:val="en-US"/>
        </w:rPr>
        <w:t xml:space="preserve">. </w:t>
      </w:r>
      <w:r w:rsidRPr="003D759B">
        <w:rPr>
          <w:rFonts w:eastAsia="Times New Roman"/>
          <w:lang w:val="en-US"/>
        </w:rPr>
        <w:t xml:space="preserve">A. </w:t>
      </w:r>
      <w:r w:rsidRPr="003D759B">
        <w:rPr>
          <w:rFonts w:eastAsia="Times New Roman"/>
          <w:i/>
          <w:lang w:val="en-US"/>
        </w:rPr>
        <w:t>Eur</w:t>
      </w:r>
      <w:r>
        <w:rPr>
          <w:rFonts w:eastAsia="Times New Roman"/>
          <w:i/>
          <w:lang w:val="en-US"/>
        </w:rPr>
        <w:t>.</w:t>
      </w:r>
      <w:r w:rsidRPr="003D759B">
        <w:rPr>
          <w:rFonts w:eastAsia="Times New Roman"/>
          <w:i/>
          <w:lang w:val="en-US"/>
        </w:rPr>
        <w:t xml:space="preserve"> J</w:t>
      </w:r>
      <w:r>
        <w:rPr>
          <w:rFonts w:eastAsia="Times New Roman"/>
          <w:i/>
          <w:lang w:val="en-US"/>
        </w:rPr>
        <w:t>.</w:t>
      </w:r>
      <w:r w:rsidRPr="003D759B">
        <w:rPr>
          <w:rFonts w:eastAsia="Times New Roman"/>
          <w:i/>
          <w:lang w:val="en-US"/>
        </w:rPr>
        <w:t xml:space="preserve"> Med</w:t>
      </w:r>
      <w:r>
        <w:rPr>
          <w:rFonts w:eastAsia="Times New Roman"/>
          <w:i/>
          <w:lang w:val="en-US"/>
        </w:rPr>
        <w:t>.</w:t>
      </w:r>
      <w:r w:rsidRPr="003D759B">
        <w:rPr>
          <w:rFonts w:eastAsia="Times New Roman"/>
          <w:i/>
          <w:lang w:val="en-US"/>
        </w:rPr>
        <w:t xml:space="preserve"> Chem.</w:t>
      </w:r>
      <w:r w:rsidRPr="003D759B">
        <w:rPr>
          <w:rFonts w:eastAsia="Times New Roman"/>
          <w:b/>
          <w:lang w:val="en-US"/>
        </w:rPr>
        <w:t>2013</w:t>
      </w:r>
      <w:r w:rsidRPr="003D759B">
        <w:rPr>
          <w:rFonts w:eastAsia="Times New Roman"/>
          <w:lang w:val="en-US"/>
        </w:rPr>
        <w:t xml:space="preserve">, </w:t>
      </w:r>
      <w:r w:rsidRPr="003D759B">
        <w:rPr>
          <w:rFonts w:eastAsia="Times New Roman"/>
          <w:i/>
          <w:lang w:val="en-US"/>
        </w:rPr>
        <w:t xml:space="preserve">66, </w:t>
      </w:r>
      <w:r w:rsidRPr="003D759B">
        <w:rPr>
          <w:rFonts w:eastAsia="Times New Roman"/>
          <w:lang w:val="en-US"/>
        </w:rPr>
        <w:t>238. (n) Sultana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N</w:t>
      </w:r>
      <w:r>
        <w:rPr>
          <w:rFonts w:eastAsia="Times New Roman"/>
          <w:lang w:val="en-US"/>
        </w:rPr>
        <w:t>.</w:t>
      </w:r>
      <w:r w:rsidRPr="003D759B">
        <w:rPr>
          <w:rFonts w:eastAsia="Times New Roman"/>
          <w:i/>
          <w:lang w:val="en-US"/>
        </w:rPr>
        <w:t>J</w:t>
      </w:r>
      <w:r>
        <w:rPr>
          <w:rFonts w:eastAsia="Times New Roman"/>
          <w:i/>
          <w:lang w:val="en-US"/>
        </w:rPr>
        <w:t>.</w:t>
      </w:r>
      <w:r w:rsidRPr="003D759B">
        <w:rPr>
          <w:rFonts w:eastAsia="Times New Roman"/>
          <w:i/>
          <w:lang w:val="en-US"/>
        </w:rPr>
        <w:t xml:space="preserve"> Enzyme Inhib</w:t>
      </w:r>
      <w:r>
        <w:rPr>
          <w:rFonts w:eastAsia="Times New Roman"/>
          <w:i/>
          <w:lang w:val="en-US"/>
        </w:rPr>
        <w:t>.</w:t>
      </w:r>
      <w:r w:rsidRPr="003D759B">
        <w:rPr>
          <w:rFonts w:eastAsia="Times New Roman"/>
          <w:i/>
          <w:lang w:val="en-US"/>
        </w:rPr>
        <w:t xml:space="preserve"> Med</w:t>
      </w:r>
      <w:r>
        <w:rPr>
          <w:rFonts w:eastAsia="Times New Roman"/>
          <w:i/>
          <w:lang w:val="en-US"/>
        </w:rPr>
        <w:t>.</w:t>
      </w:r>
      <w:r w:rsidRPr="003D759B">
        <w:rPr>
          <w:rFonts w:eastAsia="Times New Roman"/>
          <w:i/>
          <w:lang w:val="en-US"/>
        </w:rPr>
        <w:t xml:space="preserve"> Chem.</w:t>
      </w:r>
      <w:r w:rsidRPr="003D759B">
        <w:rPr>
          <w:rFonts w:eastAsia="Times New Roman"/>
          <w:b/>
          <w:lang w:val="en-US"/>
        </w:rPr>
        <w:t>2011</w:t>
      </w:r>
      <w:r w:rsidRPr="003D759B">
        <w:rPr>
          <w:rFonts w:eastAsia="Times New Roman"/>
          <w:lang w:val="en-US"/>
        </w:rPr>
        <w:t xml:space="preserve">, </w:t>
      </w:r>
      <w:r w:rsidRPr="00AF06D8">
        <w:rPr>
          <w:rFonts w:eastAsia="Times New Roman"/>
          <w:i/>
          <w:lang w:val="en-US"/>
        </w:rPr>
        <w:t>26</w:t>
      </w:r>
      <w:r w:rsidRPr="003D759B">
        <w:rPr>
          <w:rFonts w:eastAsia="Times New Roman"/>
          <w:lang w:val="en-US"/>
        </w:rPr>
        <w:t>, 616. (o) Liu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M</w:t>
      </w:r>
      <w:r>
        <w:rPr>
          <w:rFonts w:eastAsia="Times New Roman"/>
          <w:lang w:val="en-US"/>
        </w:rPr>
        <w:t xml:space="preserve">. </w:t>
      </w:r>
      <w:r w:rsidRPr="003D759B">
        <w:rPr>
          <w:rFonts w:eastAsia="Times New Roman"/>
          <w:lang w:val="en-US"/>
        </w:rPr>
        <w:t>C</w:t>
      </w:r>
      <w:r>
        <w:rPr>
          <w:rFonts w:eastAsia="Times New Roman"/>
          <w:lang w:val="en-US"/>
        </w:rPr>
        <w:t xml:space="preserve">.; </w:t>
      </w:r>
      <w:r w:rsidRPr="003D759B">
        <w:rPr>
          <w:rFonts w:eastAsia="Times New Roman"/>
          <w:lang w:val="en-US"/>
        </w:rPr>
        <w:t>Yang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S</w:t>
      </w:r>
      <w:r>
        <w:rPr>
          <w:rFonts w:eastAsia="Times New Roman"/>
          <w:lang w:val="en-US"/>
        </w:rPr>
        <w:t xml:space="preserve">. </w:t>
      </w:r>
      <w:r w:rsidRPr="003D759B">
        <w:rPr>
          <w:rFonts w:eastAsia="Times New Roman"/>
          <w:lang w:val="en-US"/>
        </w:rPr>
        <w:t>J</w:t>
      </w:r>
      <w:r>
        <w:rPr>
          <w:rFonts w:eastAsia="Times New Roman"/>
          <w:lang w:val="en-US"/>
        </w:rPr>
        <w:t xml:space="preserve">.; </w:t>
      </w:r>
      <w:hyperlink r:id="rId17" w:history="1">
        <w:r w:rsidRPr="003D759B">
          <w:rPr>
            <w:rFonts w:eastAsia="Times New Roman"/>
            <w:lang w:val="en-US"/>
          </w:rPr>
          <w:t>Jin</w:t>
        </w:r>
        <w:r>
          <w:rPr>
            <w:rFonts w:eastAsia="Times New Roman"/>
            <w:lang w:val="en-US"/>
          </w:rPr>
          <w:t>,</w:t>
        </w:r>
        <w:r w:rsidRPr="003D759B">
          <w:rPr>
            <w:rFonts w:eastAsia="Times New Roman"/>
            <w:lang w:val="en-US"/>
          </w:rPr>
          <w:t xml:space="preserve"> L</w:t>
        </w:r>
        <w:r>
          <w:rPr>
            <w:rFonts w:eastAsia="Times New Roman"/>
            <w:lang w:val="en-US"/>
          </w:rPr>
          <w:t xml:space="preserve">. </w:t>
        </w:r>
        <w:r w:rsidRPr="003D759B">
          <w:rPr>
            <w:rFonts w:eastAsia="Times New Roman"/>
            <w:lang w:val="en-US"/>
          </w:rPr>
          <w:t>H</w:t>
        </w:r>
      </w:hyperlink>
      <w:r w:rsidRPr="00AF06D8">
        <w:rPr>
          <w:rFonts w:eastAsia="Times New Roman"/>
          <w:lang w:val="en-US"/>
        </w:rPr>
        <w:t>.</w:t>
      </w:r>
      <w:r>
        <w:rPr>
          <w:rFonts w:eastAsia="Times New Roman"/>
          <w:lang w:val="en-US"/>
        </w:rPr>
        <w:t xml:space="preserve">; </w:t>
      </w:r>
      <w:r w:rsidRPr="003D759B">
        <w:rPr>
          <w:rFonts w:eastAsia="Times New Roman"/>
          <w:lang w:val="en-US"/>
        </w:rPr>
        <w:t>Hu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D</w:t>
      </w:r>
      <w:r>
        <w:rPr>
          <w:rFonts w:eastAsia="Times New Roman"/>
          <w:lang w:val="en-US"/>
        </w:rPr>
        <w:t xml:space="preserve">. </w:t>
      </w:r>
      <w:r w:rsidRPr="003D759B">
        <w:rPr>
          <w:rFonts w:eastAsia="Times New Roman"/>
          <w:lang w:val="en-US"/>
        </w:rPr>
        <w:t>Y</w:t>
      </w:r>
      <w:r>
        <w:rPr>
          <w:rFonts w:eastAsia="Times New Roman"/>
          <w:lang w:val="en-US"/>
        </w:rPr>
        <w:t xml:space="preserve">.; </w:t>
      </w:r>
      <w:r w:rsidRPr="003D759B">
        <w:rPr>
          <w:rFonts w:eastAsia="Times New Roman"/>
          <w:lang w:val="en-US"/>
        </w:rPr>
        <w:t>Xue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W</w:t>
      </w:r>
      <w:r>
        <w:rPr>
          <w:rFonts w:eastAsia="Times New Roman"/>
          <w:lang w:val="en-US"/>
        </w:rPr>
        <w:t xml:space="preserve">.; </w:t>
      </w:r>
      <w:r w:rsidRPr="003D759B">
        <w:rPr>
          <w:rFonts w:eastAsia="Times New Roman"/>
          <w:lang w:val="en-US"/>
        </w:rPr>
        <w:t>Song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B</w:t>
      </w:r>
      <w:r>
        <w:rPr>
          <w:rFonts w:eastAsia="Times New Roman"/>
          <w:lang w:val="en-US"/>
        </w:rPr>
        <w:t xml:space="preserve">. </w:t>
      </w:r>
      <w:r w:rsidRPr="003D759B">
        <w:rPr>
          <w:rFonts w:eastAsia="Times New Roman"/>
          <w:lang w:val="en-US"/>
        </w:rPr>
        <w:t>A</w:t>
      </w:r>
      <w:r>
        <w:rPr>
          <w:rFonts w:eastAsia="Times New Roman"/>
          <w:lang w:val="en-US"/>
        </w:rPr>
        <w:t xml:space="preserve">.; </w:t>
      </w:r>
      <w:r w:rsidRPr="003D759B">
        <w:rPr>
          <w:rFonts w:eastAsia="Times New Roman"/>
          <w:lang w:val="en-US"/>
        </w:rPr>
        <w:t>Yang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S. </w:t>
      </w:r>
      <w:r w:rsidRPr="003D759B">
        <w:rPr>
          <w:rFonts w:eastAsia="Times New Roman"/>
          <w:i/>
          <w:lang w:val="en-US"/>
        </w:rPr>
        <w:t>Eur</w:t>
      </w:r>
      <w:r>
        <w:rPr>
          <w:rFonts w:eastAsia="Times New Roman"/>
          <w:i/>
          <w:lang w:val="en-US"/>
        </w:rPr>
        <w:t>.</w:t>
      </w:r>
      <w:r w:rsidRPr="003D759B">
        <w:rPr>
          <w:rFonts w:eastAsia="Times New Roman"/>
          <w:i/>
          <w:lang w:val="en-US"/>
        </w:rPr>
        <w:t xml:space="preserve"> J. Med</w:t>
      </w:r>
      <w:r>
        <w:rPr>
          <w:rFonts w:eastAsia="Times New Roman"/>
          <w:i/>
          <w:lang w:val="en-US"/>
        </w:rPr>
        <w:t>.</w:t>
      </w:r>
      <w:r w:rsidRPr="003D759B">
        <w:rPr>
          <w:rFonts w:eastAsia="Times New Roman"/>
          <w:i/>
          <w:lang w:val="en-US"/>
        </w:rPr>
        <w:t xml:space="preserve"> Chem.</w:t>
      </w:r>
      <w:r w:rsidRPr="003D759B">
        <w:rPr>
          <w:rFonts w:eastAsia="Times New Roman"/>
          <w:b/>
          <w:lang w:val="en-US"/>
        </w:rPr>
        <w:t>2012</w:t>
      </w:r>
      <w:r w:rsidRPr="003D759B">
        <w:rPr>
          <w:rFonts w:eastAsia="Times New Roman"/>
          <w:lang w:val="en-US"/>
        </w:rPr>
        <w:t xml:space="preserve">, </w:t>
      </w:r>
      <w:r w:rsidRPr="00AF06D8">
        <w:rPr>
          <w:rFonts w:eastAsia="Times New Roman"/>
          <w:i/>
          <w:lang w:val="en-US"/>
        </w:rPr>
        <w:t>58</w:t>
      </w:r>
      <w:r w:rsidRPr="003D759B">
        <w:rPr>
          <w:rFonts w:eastAsia="Times New Roman"/>
          <w:lang w:val="en-US"/>
        </w:rPr>
        <w:t>,128. (p) Meng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Y</w:t>
      </w:r>
      <w:r>
        <w:rPr>
          <w:rFonts w:eastAsia="Times New Roman"/>
          <w:lang w:val="en-US"/>
        </w:rPr>
        <w:t xml:space="preserve">.; </w:t>
      </w:r>
      <w:r w:rsidRPr="003D759B">
        <w:rPr>
          <w:rFonts w:eastAsia="Times New Roman"/>
          <w:lang w:val="en-US"/>
        </w:rPr>
        <w:t>Song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Y</w:t>
      </w:r>
      <w:r>
        <w:rPr>
          <w:rFonts w:eastAsia="Times New Roman"/>
          <w:lang w:val="en-US"/>
        </w:rPr>
        <w:t xml:space="preserve">.; </w:t>
      </w:r>
      <w:r w:rsidRPr="003D759B">
        <w:rPr>
          <w:rFonts w:eastAsia="Times New Roman"/>
          <w:lang w:val="en-US"/>
        </w:rPr>
        <w:t>Yan</w:t>
      </w:r>
      <w:r>
        <w:rPr>
          <w:rFonts w:eastAsia="Times New Roman"/>
          <w:lang w:val="en-US"/>
        </w:rPr>
        <w:t>,</w:t>
      </w:r>
      <w:r w:rsidRPr="003D759B">
        <w:rPr>
          <w:rFonts w:eastAsia="Times New Roman"/>
          <w:lang w:val="en-US"/>
        </w:rPr>
        <w:t xml:space="preserve"> Z</w:t>
      </w:r>
      <w:r>
        <w:rPr>
          <w:rFonts w:eastAsia="Times New Roman"/>
          <w:lang w:val="en-US"/>
        </w:rPr>
        <w:t xml:space="preserve">.; </w:t>
      </w:r>
      <w:hyperlink r:id="rId18" w:history="1">
        <w:r w:rsidRPr="003D759B">
          <w:rPr>
            <w:rFonts w:eastAsia="Times New Roman"/>
            <w:lang w:val="en-US"/>
          </w:rPr>
          <w:t>Xia</w:t>
        </w:r>
        <w:r>
          <w:rPr>
            <w:rFonts w:eastAsia="Times New Roman"/>
            <w:lang w:val="en-US"/>
          </w:rPr>
          <w:t>,</w:t>
        </w:r>
        <w:r w:rsidRPr="003D759B">
          <w:rPr>
            <w:rFonts w:eastAsia="Times New Roman"/>
            <w:lang w:val="en-US"/>
          </w:rPr>
          <w:t xml:space="preserve"> Y</w:t>
        </w:r>
      </w:hyperlink>
      <w:r>
        <w:rPr>
          <w:rFonts w:eastAsia="Times New Roman"/>
          <w:lang w:val="en-US"/>
        </w:rPr>
        <w:t>.</w:t>
      </w:r>
      <w:r w:rsidRPr="003D759B">
        <w:rPr>
          <w:rFonts w:eastAsia="Times New Roman"/>
          <w:i/>
          <w:lang w:val="en-US"/>
        </w:rPr>
        <w:t>Molecules</w:t>
      </w:r>
      <w:r w:rsidRPr="003D759B">
        <w:rPr>
          <w:rFonts w:eastAsia="Times New Roman"/>
          <w:b/>
          <w:lang w:val="en-US"/>
        </w:rPr>
        <w:t>2010</w:t>
      </w:r>
      <w:r w:rsidRPr="003D759B">
        <w:rPr>
          <w:rFonts w:eastAsia="Times New Roman"/>
          <w:lang w:val="en-US"/>
        </w:rPr>
        <w:t>,</w:t>
      </w:r>
      <w:r w:rsidRPr="00AF06D8">
        <w:rPr>
          <w:rFonts w:eastAsia="Times New Roman"/>
          <w:i/>
          <w:lang w:val="en-US"/>
        </w:rPr>
        <w:t>15</w:t>
      </w:r>
      <w:r w:rsidRPr="003D759B">
        <w:rPr>
          <w:rFonts w:eastAsia="Times New Roman"/>
          <w:lang w:val="en-US"/>
        </w:rPr>
        <w:t>, 4033.</w:t>
      </w:r>
    </w:p>
  </w:endnote>
  <w:endnote w:id="4">
    <w:p w:rsidR="00FF6F19" w:rsidRPr="003D759B" w:rsidRDefault="00FF6F19" w:rsidP="003D759B">
      <w:pPr>
        <w:pStyle w:val="Eindnoottekst"/>
        <w:jc w:val="both"/>
        <w:rPr>
          <w:lang w:val="en-US"/>
        </w:rPr>
      </w:pPr>
      <w:r w:rsidRPr="003D759B">
        <w:rPr>
          <w:rStyle w:val="Eindnootmarkering"/>
        </w:rPr>
        <w:endnoteRef/>
      </w:r>
      <w:r w:rsidRPr="003D759B">
        <w:rPr>
          <w:lang w:val="en-US"/>
        </w:rPr>
        <w:t xml:space="preserve"> (a) Andreuccetti</w:t>
      </w:r>
      <w:r>
        <w:rPr>
          <w:lang w:val="en-US"/>
        </w:rPr>
        <w:t>,</w:t>
      </w:r>
      <w:r w:rsidRPr="003D759B">
        <w:rPr>
          <w:lang w:val="en-US"/>
        </w:rPr>
        <w:t xml:space="preserve"> M</w:t>
      </w:r>
      <w:r>
        <w:rPr>
          <w:lang w:val="en-US"/>
        </w:rPr>
        <w:t xml:space="preserve">.; </w:t>
      </w:r>
      <w:r w:rsidRPr="003D759B">
        <w:rPr>
          <w:lang w:val="en-US"/>
        </w:rPr>
        <w:t>Allegrini</w:t>
      </w:r>
      <w:r>
        <w:rPr>
          <w:lang w:val="en-US"/>
        </w:rPr>
        <w:t>,</w:t>
      </w:r>
      <w:r w:rsidRPr="003D759B">
        <w:rPr>
          <w:lang w:val="en-US"/>
        </w:rPr>
        <w:t xml:space="preserve"> G</w:t>
      </w:r>
      <w:r>
        <w:rPr>
          <w:lang w:val="en-US"/>
        </w:rPr>
        <w:t xml:space="preserve">.; </w:t>
      </w:r>
      <w:r w:rsidRPr="003D759B">
        <w:rPr>
          <w:lang w:val="en-US"/>
        </w:rPr>
        <w:t>Antonuzzo</w:t>
      </w:r>
      <w:r>
        <w:rPr>
          <w:lang w:val="en-US"/>
        </w:rPr>
        <w:t>,</w:t>
      </w:r>
      <w:r w:rsidRPr="003D759B">
        <w:rPr>
          <w:lang w:val="en-US"/>
        </w:rPr>
        <w:t xml:space="preserve"> A</w:t>
      </w:r>
      <w:r>
        <w:rPr>
          <w:lang w:val="en-US"/>
        </w:rPr>
        <w:t>.;</w:t>
      </w:r>
      <w:r w:rsidRPr="003D759B">
        <w:rPr>
          <w:lang w:val="en-US"/>
        </w:rPr>
        <w:t>Malvaldi</w:t>
      </w:r>
      <w:r>
        <w:rPr>
          <w:lang w:val="en-US"/>
        </w:rPr>
        <w:t>,</w:t>
      </w:r>
      <w:r w:rsidRPr="003D759B">
        <w:rPr>
          <w:lang w:val="en-US"/>
        </w:rPr>
        <w:t xml:space="preserve"> G</w:t>
      </w:r>
      <w:r>
        <w:rPr>
          <w:lang w:val="en-US"/>
        </w:rPr>
        <w:t>.;</w:t>
      </w:r>
      <w:r w:rsidRPr="003D759B">
        <w:rPr>
          <w:lang w:val="en-US"/>
        </w:rPr>
        <w:t xml:space="preserve"> Conte</w:t>
      </w:r>
      <w:r>
        <w:rPr>
          <w:lang w:val="en-US"/>
        </w:rPr>
        <w:t>,</w:t>
      </w:r>
      <w:r w:rsidRPr="003D759B">
        <w:rPr>
          <w:lang w:val="en-US"/>
        </w:rPr>
        <w:t xml:space="preserve"> P</w:t>
      </w:r>
      <w:r>
        <w:rPr>
          <w:lang w:val="en-US"/>
        </w:rPr>
        <w:t xml:space="preserve">. </w:t>
      </w:r>
      <w:r w:rsidRPr="003D759B">
        <w:rPr>
          <w:lang w:val="en-US"/>
        </w:rPr>
        <w:t>F</w:t>
      </w:r>
      <w:r>
        <w:rPr>
          <w:lang w:val="en-US"/>
        </w:rPr>
        <w:t>.;</w:t>
      </w:r>
      <w:r w:rsidRPr="003D759B">
        <w:rPr>
          <w:lang w:val="en-US"/>
        </w:rPr>
        <w:t>Danesi</w:t>
      </w:r>
      <w:r>
        <w:rPr>
          <w:lang w:val="en-US"/>
        </w:rPr>
        <w:t>,</w:t>
      </w:r>
      <w:r w:rsidRPr="003D759B">
        <w:rPr>
          <w:lang w:val="en-US"/>
        </w:rPr>
        <w:t xml:space="preserve"> R</w:t>
      </w:r>
      <w:r>
        <w:rPr>
          <w:lang w:val="en-US"/>
        </w:rPr>
        <w:t xml:space="preserve">.; </w:t>
      </w:r>
      <w:r w:rsidRPr="003D759B">
        <w:rPr>
          <w:lang w:val="en-US"/>
        </w:rPr>
        <w:t>Del Tacca</w:t>
      </w:r>
      <w:r>
        <w:rPr>
          <w:lang w:val="en-US"/>
        </w:rPr>
        <w:t>,</w:t>
      </w:r>
      <w:r w:rsidRPr="003D759B">
        <w:rPr>
          <w:lang w:val="en-US"/>
        </w:rPr>
        <w:t xml:space="preserve"> M</w:t>
      </w:r>
      <w:r>
        <w:rPr>
          <w:lang w:val="en-US"/>
        </w:rPr>
        <w:t>.;</w:t>
      </w:r>
      <w:r w:rsidRPr="003D759B">
        <w:rPr>
          <w:lang w:val="en-US"/>
        </w:rPr>
        <w:t xml:space="preserve"> Falcone</w:t>
      </w:r>
      <w:r>
        <w:rPr>
          <w:lang w:val="en-US"/>
        </w:rPr>
        <w:t>,</w:t>
      </w:r>
      <w:r w:rsidRPr="003D759B">
        <w:rPr>
          <w:lang w:val="en-US"/>
        </w:rPr>
        <w:t xml:space="preserve"> A. </w:t>
      </w:r>
      <w:r w:rsidRPr="003D759B">
        <w:rPr>
          <w:i/>
          <w:lang w:val="en-US"/>
        </w:rPr>
        <w:t>Eur</w:t>
      </w:r>
      <w:r>
        <w:rPr>
          <w:i/>
          <w:lang w:val="en-US"/>
        </w:rPr>
        <w:t>.</w:t>
      </w:r>
      <w:r w:rsidRPr="003D759B">
        <w:rPr>
          <w:i/>
          <w:lang w:val="en-US"/>
        </w:rPr>
        <w:t xml:space="preserve"> J</w:t>
      </w:r>
      <w:r>
        <w:rPr>
          <w:i/>
          <w:lang w:val="en-US"/>
        </w:rPr>
        <w:t>.</w:t>
      </w:r>
      <w:r w:rsidRPr="003D759B">
        <w:rPr>
          <w:i/>
          <w:lang w:val="en-US"/>
        </w:rPr>
        <w:t xml:space="preserve"> Cancer</w:t>
      </w:r>
      <w:r w:rsidRPr="00FF6F19">
        <w:rPr>
          <w:b/>
          <w:lang w:val="en-US"/>
        </w:rPr>
        <w:t>1996</w:t>
      </w:r>
      <w:r>
        <w:rPr>
          <w:b/>
          <w:lang w:val="en-US"/>
        </w:rPr>
        <w:t>,</w:t>
      </w:r>
      <w:r w:rsidR="000D73BE" w:rsidRPr="000D73BE">
        <w:rPr>
          <w:i/>
          <w:lang w:val="en-US"/>
        </w:rPr>
        <w:t>32A</w:t>
      </w:r>
      <w:r w:rsidR="000D73BE">
        <w:rPr>
          <w:lang w:val="en-US"/>
        </w:rPr>
        <w:t xml:space="preserve">, </w:t>
      </w:r>
      <w:r w:rsidRPr="003D759B">
        <w:rPr>
          <w:lang w:val="en-US"/>
        </w:rPr>
        <w:t>1219. (b) Johnston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J</w:t>
      </w:r>
      <w:r w:rsidR="000D73BE">
        <w:rPr>
          <w:lang w:val="en-US"/>
        </w:rPr>
        <w:t xml:space="preserve">. </w:t>
      </w:r>
      <w:r w:rsidRPr="003D759B">
        <w:rPr>
          <w:lang w:val="en-US"/>
        </w:rPr>
        <w:t>S</w:t>
      </w:r>
      <w:r w:rsidR="000D73BE">
        <w:rPr>
          <w:lang w:val="en-US"/>
        </w:rPr>
        <w:t>.;</w:t>
      </w:r>
      <w:r w:rsidRPr="003D759B">
        <w:rPr>
          <w:lang w:val="en-US"/>
        </w:rPr>
        <w:t xml:space="preserve"> Johnson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A</w:t>
      </w:r>
      <w:r w:rsidR="000D73BE">
        <w:rPr>
          <w:lang w:val="en-US"/>
        </w:rPr>
        <w:t>.;</w:t>
      </w:r>
      <w:r w:rsidRPr="003D759B">
        <w:rPr>
          <w:lang w:val="en-US"/>
        </w:rPr>
        <w:t>Gan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Y</w:t>
      </w:r>
      <w:r w:rsidR="000D73BE">
        <w:rPr>
          <w:lang w:val="en-US"/>
        </w:rPr>
        <w:t>.;</w:t>
      </w:r>
      <w:r w:rsidRPr="003D759B">
        <w:rPr>
          <w:lang w:val="en-US"/>
        </w:rPr>
        <w:t>Wientjes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M</w:t>
      </w:r>
      <w:r w:rsidR="000D73BE">
        <w:rPr>
          <w:lang w:val="en-US"/>
        </w:rPr>
        <w:t xml:space="preserve">. </w:t>
      </w:r>
      <w:r w:rsidRPr="003D759B">
        <w:rPr>
          <w:lang w:val="en-US"/>
        </w:rPr>
        <w:t>G</w:t>
      </w:r>
      <w:r w:rsidR="000D73BE">
        <w:rPr>
          <w:lang w:val="en-US"/>
        </w:rPr>
        <w:t>.;</w:t>
      </w:r>
      <w:r w:rsidRPr="003D759B">
        <w:rPr>
          <w:lang w:val="en-US"/>
        </w:rPr>
        <w:t xml:space="preserve"> Au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J</w:t>
      </w:r>
      <w:r w:rsidR="000D73BE">
        <w:rPr>
          <w:lang w:val="en-US"/>
        </w:rPr>
        <w:t xml:space="preserve">. </w:t>
      </w:r>
      <w:r w:rsidRPr="003D759B">
        <w:rPr>
          <w:lang w:val="en-US"/>
        </w:rPr>
        <w:t xml:space="preserve">L. </w:t>
      </w:r>
      <w:r w:rsidRPr="003D759B">
        <w:rPr>
          <w:i/>
          <w:lang w:val="en-US"/>
        </w:rPr>
        <w:t>Pharm</w:t>
      </w:r>
      <w:r w:rsidR="000D73BE">
        <w:rPr>
          <w:i/>
          <w:lang w:val="en-US"/>
        </w:rPr>
        <w:t>.</w:t>
      </w:r>
      <w:r w:rsidRPr="003D759B">
        <w:rPr>
          <w:i/>
          <w:lang w:val="en-US"/>
        </w:rPr>
        <w:t xml:space="preserve"> Res</w:t>
      </w:r>
      <w:r w:rsidRPr="003D759B">
        <w:rPr>
          <w:lang w:val="en-US"/>
        </w:rPr>
        <w:t xml:space="preserve">. </w:t>
      </w:r>
      <w:r w:rsidRPr="000D73BE">
        <w:rPr>
          <w:b/>
          <w:lang w:val="en-US"/>
        </w:rPr>
        <w:t>2003</w:t>
      </w:r>
      <w:r w:rsidR="000D73BE" w:rsidRPr="000D73BE">
        <w:rPr>
          <w:lang w:val="en-US"/>
        </w:rPr>
        <w:t>,</w:t>
      </w:r>
      <w:r w:rsidRPr="000D73BE">
        <w:rPr>
          <w:i/>
          <w:lang w:val="en-US"/>
        </w:rPr>
        <w:t>20</w:t>
      </w:r>
      <w:r w:rsidR="000D73BE">
        <w:rPr>
          <w:lang w:val="en-US"/>
        </w:rPr>
        <w:t xml:space="preserve">, </w:t>
      </w:r>
      <w:r w:rsidRPr="003D759B">
        <w:rPr>
          <w:lang w:val="en-US"/>
        </w:rPr>
        <w:t>957. (c) Chen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C</w:t>
      </w:r>
      <w:r w:rsidR="000D73BE">
        <w:rPr>
          <w:lang w:val="en-US"/>
        </w:rPr>
        <w:t>.;</w:t>
      </w:r>
      <w:r w:rsidRPr="003D759B">
        <w:rPr>
          <w:lang w:val="en-US"/>
        </w:rPr>
        <w:t xml:space="preserve"> Zhang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Y</w:t>
      </w:r>
      <w:r w:rsidR="000D73BE">
        <w:rPr>
          <w:lang w:val="en-US"/>
        </w:rPr>
        <w:t>.;</w:t>
      </w:r>
      <w:r w:rsidRPr="003D759B">
        <w:rPr>
          <w:lang w:val="en-US"/>
        </w:rPr>
        <w:t xml:space="preserve"> Wang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Y</w:t>
      </w:r>
      <w:r w:rsidR="000D73BE">
        <w:rPr>
          <w:lang w:val="en-US"/>
        </w:rPr>
        <w:t>.;</w:t>
      </w:r>
      <w:r w:rsidRPr="003D759B">
        <w:rPr>
          <w:lang w:val="en-US"/>
        </w:rPr>
        <w:t xml:space="preserve"> Huang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D</w:t>
      </w:r>
      <w:r w:rsidR="000D73BE">
        <w:rPr>
          <w:lang w:val="en-US"/>
        </w:rPr>
        <w:t>.;</w:t>
      </w:r>
      <w:r w:rsidRPr="003D759B">
        <w:rPr>
          <w:lang w:val="en-US"/>
        </w:rPr>
        <w:t xml:space="preserve"> Xi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Y</w:t>
      </w:r>
      <w:r w:rsidR="000D73BE">
        <w:rPr>
          <w:lang w:val="en-US"/>
        </w:rPr>
        <w:t>.;</w:t>
      </w:r>
      <w:r w:rsidRPr="003D759B">
        <w:rPr>
          <w:lang w:val="en-US"/>
        </w:rPr>
        <w:t xml:space="preserve"> Qi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Y. </w:t>
      </w:r>
      <w:r w:rsidRPr="003D759B">
        <w:rPr>
          <w:i/>
          <w:lang w:val="en-US"/>
        </w:rPr>
        <w:t>Anticancer Drugs</w:t>
      </w:r>
      <w:r w:rsidRPr="000D73BE">
        <w:rPr>
          <w:b/>
          <w:lang w:val="en-US"/>
        </w:rPr>
        <w:t>2011</w:t>
      </w:r>
      <w:r w:rsidR="000D73BE">
        <w:rPr>
          <w:lang w:val="en-US"/>
        </w:rPr>
        <w:t>,</w:t>
      </w:r>
      <w:r w:rsidRPr="000D73BE">
        <w:rPr>
          <w:i/>
          <w:lang w:val="en-US"/>
        </w:rPr>
        <w:t>22</w:t>
      </w:r>
      <w:r w:rsidR="000D73BE">
        <w:rPr>
          <w:lang w:val="en-US"/>
        </w:rPr>
        <w:t xml:space="preserve">, </w:t>
      </w:r>
      <w:r w:rsidRPr="003D759B">
        <w:rPr>
          <w:lang w:val="en-US"/>
        </w:rPr>
        <w:t>435. (d) Mattson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D</w:t>
      </w:r>
      <w:r w:rsidR="000D73BE">
        <w:rPr>
          <w:lang w:val="en-US"/>
        </w:rPr>
        <w:t xml:space="preserve">. </w:t>
      </w:r>
      <w:r w:rsidRPr="003D759B">
        <w:rPr>
          <w:lang w:val="en-US"/>
        </w:rPr>
        <w:t>M</w:t>
      </w:r>
      <w:r w:rsidR="000D73BE">
        <w:rPr>
          <w:lang w:val="en-US"/>
        </w:rPr>
        <w:t>.;</w:t>
      </w:r>
      <w:r w:rsidRPr="003D759B">
        <w:rPr>
          <w:lang w:val="en-US"/>
        </w:rPr>
        <w:t xml:space="preserve"> Ahmad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I</w:t>
      </w:r>
      <w:r w:rsidR="000D73BE">
        <w:rPr>
          <w:lang w:val="en-US"/>
        </w:rPr>
        <w:t xml:space="preserve">. </w:t>
      </w:r>
      <w:r w:rsidRPr="003D759B">
        <w:rPr>
          <w:lang w:val="en-US"/>
        </w:rPr>
        <w:t>M</w:t>
      </w:r>
      <w:r w:rsidR="000D73BE">
        <w:rPr>
          <w:lang w:val="en-US"/>
        </w:rPr>
        <w:t>.;</w:t>
      </w:r>
      <w:r w:rsidRPr="003D759B">
        <w:rPr>
          <w:lang w:val="en-US"/>
        </w:rPr>
        <w:t>Dayal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D</w:t>
      </w:r>
      <w:r w:rsidR="000D73BE">
        <w:rPr>
          <w:lang w:val="en-US"/>
        </w:rPr>
        <w:t>.;</w:t>
      </w:r>
      <w:r w:rsidRPr="003D759B">
        <w:rPr>
          <w:lang w:val="en-US"/>
        </w:rPr>
        <w:t xml:space="preserve"> Parsons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A</w:t>
      </w:r>
      <w:r w:rsidR="000D73BE">
        <w:rPr>
          <w:lang w:val="en-US"/>
        </w:rPr>
        <w:t xml:space="preserve">. </w:t>
      </w:r>
      <w:r w:rsidRPr="003D759B">
        <w:rPr>
          <w:lang w:val="en-US"/>
        </w:rPr>
        <w:t>D</w:t>
      </w:r>
      <w:r w:rsidR="000D73BE">
        <w:rPr>
          <w:lang w:val="en-US"/>
        </w:rPr>
        <w:t>.;</w:t>
      </w:r>
      <w:r w:rsidRPr="003D759B">
        <w:rPr>
          <w:lang w:val="en-US"/>
        </w:rPr>
        <w:t>Aykin-Burns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N</w:t>
      </w:r>
      <w:r w:rsidR="000D73BE">
        <w:rPr>
          <w:lang w:val="en-US"/>
        </w:rPr>
        <w:t>.;</w:t>
      </w:r>
      <w:r w:rsidRPr="003D759B">
        <w:rPr>
          <w:lang w:val="en-US"/>
        </w:rPr>
        <w:t xml:space="preserve"> Li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L</w:t>
      </w:r>
      <w:r w:rsidR="000D73BE">
        <w:rPr>
          <w:lang w:val="en-US"/>
        </w:rPr>
        <w:t>.;</w:t>
      </w:r>
      <w:r w:rsidRPr="003D759B">
        <w:rPr>
          <w:lang w:val="en-US"/>
        </w:rPr>
        <w:t>Orcutt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K</w:t>
      </w:r>
      <w:r w:rsidR="000D73BE">
        <w:rPr>
          <w:lang w:val="en-US"/>
        </w:rPr>
        <w:t xml:space="preserve">. </w:t>
      </w:r>
      <w:r w:rsidRPr="003D759B">
        <w:rPr>
          <w:lang w:val="en-US"/>
        </w:rPr>
        <w:t>P</w:t>
      </w:r>
      <w:r w:rsidR="000D73BE">
        <w:rPr>
          <w:lang w:val="en-US"/>
        </w:rPr>
        <w:t>.;</w:t>
      </w:r>
      <w:r w:rsidRPr="003D759B">
        <w:rPr>
          <w:lang w:val="en-US"/>
        </w:rPr>
        <w:t xml:space="preserve"> Spitz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D</w:t>
      </w:r>
      <w:r w:rsidR="000D73BE">
        <w:rPr>
          <w:lang w:val="en-US"/>
        </w:rPr>
        <w:t xml:space="preserve">. </w:t>
      </w:r>
      <w:r w:rsidRPr="003D759B">
        <w:rPr>
          <w:lang w:val="en-US"/>
        </w:rPr>
        <w:t>R</w:t>
      </w:r>
      <w:r w:rsidR="000D73BE">
        <w:rPr>
          <w:lang w:val="en-US"/>
        </w:rPr>
        <w:t>.;</w:t>
      </w:r>
      <w:r w:rsidRPr="003D759B">
        <w:rPr>
          <w:lang w:val="en-US"/>
        </w:rPr>
        <w:t>Dornfeld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K</w:t>
      </w:r>
      <w:r w:rsidR="000D73BE">
        <w:rPr>
          <w:lang w:val="en-US"/>
        </w:rPr>
        <w:t xml:space="preserve">. </w:t>
      </w:r>
      <w:r w:rsidRPr="003D759B">
        <w:rPr>
          <w:lang w:val="en-US"/>
        </w:rPr>
        <w:t>J</w:t>
      </w:r>
      <w:r w:rsidR="000D73BE">
        <w:rPr>
          <w:lang w:val="en-US"/>
        </w:rPr>
        <w:t>.;</w:t>
      </w:r>
      <w:r w:rsidRPr="003D759B">
        <w:rPr>
          <w:lang w:val="en-US"/>
        </w:rPr>
        <w:t xml:space="preserve"> Simons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A</w:t>
      </w:r>
      <w:r w:rsidR="000D73BE">
        <w:rPr>
          <w:lang w:val="en-US"/>
        </w:rPr>
        <w:t xml:space="preserve">. </w:t>
      </w:r>
      <w:r w:rsidRPr="003D759B">
        <w:rPr>
          <w:lang w:val="en-US"/>
        </w:rPr>
        <w:t xml:space="preserve">L. </w:t>
      </w:r>
      <w:r w:rsidRPr="003D759B">
        <w:rPr>
          <w:i/>
          <w:lang w:val="en-US"/>
        </w:rPr>
        <w:t>Free RadicBiol Med</w:t>
      </w:r>
      <w:r w:rsidRPr="003D759B">
        <w:rPr>
          <w:lang w:val="en-US"/>
        </w:rPr>
        <w:t xml:space="preserve">. </w:t>
      </w:r>
      <w:r w:rsidRPr="000D73BE">
        <w:rPr>
          <w:b/>
          <w:lang w:val="en-US"/>
        </w:rPr>
        <w:t>2009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46</w:t>
      </w:r>
      <w:r w:rsidR="000D73BE">
        <w:rPr>
          <w:lang w:val="en-US"/>
        </w:rPr>
        <w:t xml:space="preserve">, </w:t>
      </w:r>
      <w:r w:rsidRPr="003D759B">
        <w:rPr>
          <w:lang w:val="en-US"/>
        </w:rPr>
        <w:t>232. (e) Multani, A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 S.; Furlong, C</w:t>
      </w:r>
      <w:r w:rsidR="000D73BE">
        <w:rPr>
          <w:lang w:val="en-US"/>
        </w:rPr>
        <w:t>.</w:t>
      </w:r>
      <w:r w:rsidRPr="003D759B">
        <w:rPr>
          <w:lang w:val="en-US"/>
        </w:rPr>
        <w:t>; Pathak, S</w:t>
      </w:r>
      <w:r w:rsidR="000D73BE">
        <w:rPr>
          <w:lang w:val="en-US"/>
        </w:rPr>
        <w:t>.</w:t>
      </w:r>
      <w:r w:rsidRPr="003D759B">
        <w:rPr>
          <w:i/>
          <w:lang w:val="en-US"/>
        </w:rPr>
        <w:t>Int</w:t>
      </w:r>
      <w:r w:rsidR="000D73BE">
        <w:rPr>
          <w:i/>
          <w:lang w:val="en-US"/>
        </w:rPr>
        <w:t>.</w:t>
      </w:r>
      <w:r w:rsidRPr="003D759B">
        <w:rPr>
          <w:i/>
          <w:lang w:val="en-US"/>
        </w:rPr>
        <w:t xml:space="preserve"> J</w:t>
      </w:r>
      <w:r w:rsidR="000D73BE">
        <w:rPr>
          <w:i/>
          <w:lang w:val="en-US"/>
        </w:rPr>
        <w:t>.</w:t>
      </w:r>
      <w:r w:rsidRPr="003D759B">
        <w:rPr>
          <w:i/>
          <w:lang w:val="en-US"/>
        </w:rPr>
        <w:t>Oncol</w:t>
      </w:r>
      <w:r w:rsidR="000D73BE">
        <w:rPr>
          <w:i/>
          <w:lang w:val="en-US"/>
        </w:rPr>
        <w:t xml:space="preserve">. </w:t>
      </w:r>
      <w:r w:rsidRPr="000D73BE">
        <w:rPr>
          <w:b/>
          <w:lang w:val="en-US"/>
        </w:rPr>
        <w:t>1998</w:t>
      </w:r>
      <w:r w:rsidRPr="003D759B">
        <w:rPr>
          <w:lang w:val="en-US"/>
        </w:rPr>
        <w:t>,</w:t>
      </w:r>
      <w:r w:rsidRPr="000D73BE">
        <w:rPr>
          <w:i/>
          <w:lang w:val="en-US"/>
        </w:rPr>
        <w:t>13</w:t>
      </w:r>
      <w:r w:rsidR="000D73BE">
        <w:rPr>
          <w:lang w:val="en-US"/>
        </w:rPr>
        <w:t xml:space="preserve">, </w:t>
      </w:r>
      <w:r w:rsidRPr="003D759B">
        <w:rPr>
          <w:lang w:val="en-US"/>
        </w:rPr>
        <w:t>923. (f) Chen, P</w:t>
      </w:r>
      <w:r w:rsidR="000D73BE">
        <w:rPr>
          <w:lang w:val="en-US"/>
        </w:rPr>
        <w:t>.</w:t>
      </w:r>
      <w:r w:rsidRPr="003D759B">
        <w:rPr>
          <w:lang w:val="en-US"/>
        </w:rPr>
        <w:t>; Cai, X</w:t>
      </w:r>
      <w:r w:rsidR="000D73BE">
        <w:rPr>
          <w:lang w:val="en-US"/>
        </w:rPr>
        <w:t>.</w:t>
      </w:r>
      <w:r w:rsidRPr="003D759B">
        <w:rPr>
          <w:lang w:val="en-US"/>
        </w:rPr>
        <w:t>; Cao, F</w:t>
      </w:r>
      <w:r w:rsidR="000D73BE">
        <w:rPr>
          <w:lang w:val="en-US"/>
        </w:rPr>
        <w:t>.</w:t>
      </w:r>
      <w:r w:rsidRPr="003D759B">
        <w:rPr>
          <w:lang w:val="en-US"/>
        </w:rPr>
        <w:t>; Li, F</w:t>
      </w:r>
      <w:r w:rsidR="000D73BE">
        <w:rPr>
          <w:lang w:val="en-US"/>
        </w:rPr>
        <w:t>.;</w:t>
      </w:r>
      <w:r w:rsidRPr="003D759B">
        <w:rPr>
          <w:lang w:val="en-US"/>
        </w:rPr>
        <w:t xml:space="preserve"> Lei, J</w:t>
      </w:r>
      <w:r w:rsidR="000D73BE">
        <w:rPr>
          <w:lang w:val="en-US"/>
        </w:rPr>
        <w:t>.</w:t>
      </w:r>
      <w:r w:rsidRPr="003D759B">
        <w:rPr>
          <w:lang w:val="en-US"/>
        </w:rPr>
        <w:t>; Deng, S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, </w:t>
      </w:r>
      <w:r w:rsidRPr="000D73BE">
        <w:rPr>
          <w:i/>
          <w:lang w:val="en-US"/>
        </w:rPr>
        <w:t>Shandong Yiyao</w:t>
      </w:r>
      <w:r w:rsidRPr="000D73BE">
        <w:rPr>
          <w:b/>
          <w:lang w:val="en-US"/>
        </w:rPr>
        <w:t>2012</w:t>
      </w:r>
      <w:r w:rsidRPr="003D759B">
        <w:rPr>
          <w:lang w:val="en-US"/>
        </w:rPr>
        <w:t>,</w:t>
      </w:r>
      <w:r w:rsidRPr="000D73BE">
        <w:rPr>
          <w:i/>
          <w:lang w:val="en-US"/>
        </w:rPr>
        <w:t>52</w:t>
      </w:r>
      <w:r w:rsidRPr="003D759B">
        <w:rPr>
          <w:lang w:val="en-US"/>
        </w:rPr>
        <w:t>,69. (g) Mattson, D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 M.; Ahmad, I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 M.; Dayal, D</w:t>
      </w:r>
      <w:r w:rsidR="000D73BE">
        <w:rPr>
          <w:lang w:val="en-US"/>
        </w:rPr>
        <w:t>.</w:t>
      </w:r>
      <w:r w:rsidRPr="003D759B">
        <w:rPr>
          <w:lang w:val="en-US"/>
        </w:rPr>
        <w:t>; Parsons, A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 D.; Aykin-Burns, N</w:t>
      </w:r>
      <w:r w:rsidR="000D73BE">
        <w:rPr>
          <w:lang w:val="en-US"/>
        </w:rPr>
        <w:t>.</w:t>
      </w:r>
      <w:r w:rsidRPr="003D759B">
        <w:rPr>
          <w:lang w:val="en-US"/>
        </w:rPr>
        <w:t>; Li, L</w:t>
      </w:r>
      <w:r w:rsidR="000D73BE">
        <w:rPr>
          <w:lang w:val="en-US"/>
        </w:rPr>
        <w:t>.</w:t>
      </w:r>
      <w:r w:rsidRPr="003D759B">
        <w:rPr>
          <w:lang w:val="en-US"/>
        </w:rPr>
        <w:t>; Orcutt, K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 P.; Spitz, D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 R.; Dornfeld, K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 J.; Simons, A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 L. </w:t>
      </w:r>
      <w:r w:rsidRPr="000D73BE">
        <w:rPr>
          <w:i/>
          <w:lang w:val="en-US"/>
        </w:rPr>
        <w:t>Radical Biol</w:t>
      </w:r>
      <w:r w:rsidR="000D73BE">
        <w:rPr>
          <w:i/>
          <w:lang w:val="en-US"/>
        </w:rPr>
        <w:t xml:space="preserve">. </w:t>
      </w:r>
      <w:r w:rsidRPr="000D73BE">
        <w:rPr>
          <w:i/>
          <w:lang w:val="en-US"/>
        </w:rPr>
        <w:t>Med</w:t>
      </w:r>
      <w:r w:rsidR="000D73BE">
        <w:rPr>
          <w:i/>
          <w:lang w:val="en-US"/>
        </w:rPr>
        <w:t xml:space="preserve">. </w:t>
      </w:r>
      <w:r w:rsidRPr="000D73BE">
        <w:rPr>
          <w:b/>
          <w:lang w:val="en-US"/>
        </w:rPr>
        <w:t>2009</w:t>
      </w:r>
      <w:r w:rsidRPr="003D759B">
        <w:rPr>
          <w:lang w:val="en-US"/>
        </w:rPr>
        <w:t>,</w:t>
      </w:r>
      <w:r w:rsidRPr="000D73BE">
        <w:rPr>
          <w:i/>
          <w:lang w:val="en-US"/>
        </w:rPr>
        <w:t>46</w:t>
      </w:r>
      <w:r w:rsidRPr="003D759B">
        <w:rPr>
          <w:lang w:val="en-US"/>
        </w:rPr>
        <w:t>,232. (h) Scanlon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K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 J</w:t>
      </w:r>
      <w:r w:rsidR="000D73BE">
        <w:rPr>
          <w:lang w:val="en-US"/>
        </w:rPr>
        <w:t>.</w:t>
      </w:r>
      <w:r w:rsidRPr="003D759B">
        <w:rPr>
          <w:lang w:val="en-US"/>
        </w:rPr>
        <w:t>; Funato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T</w:t>
      </w:r>
      <w:r w:rsidR="000D73BE">
        <w:rPr>
          <w:lang w:val="en-US"/>
        </w:rPr>
        <w:t>.</w:t>
      </w:r>
      <w:r w:rsidRPr="003D759B">
        <w:rPr>
          <w:lang w:val="en-US"/>
        </w:rPr>
        <w:t>; Pezeshki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B</w:t>
      </w:r>
      <w:r w:rsidR="000D73BE">
        <w:rPr>
          <w:lang w:val="en-US"/>
        </w:rPr>
        <w:t>.</w:t>
      </w:r>
      <w:r w:rsidRPr="003D759B">
        <w:rPr>
          <w:lang w:val="en-US"/>
        </w:rPr>
        <w:t>; Tone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T</w:t>
      </w:r>
      <w:r w:rsidR="000D73BE">
        <w:rPr>
          <w:lang w:val="en-US"/>
        </w:rPr>
        <w:t>.</w:t>
      </w:r>
      <w:r w:rsidRPr="003D759B">
        <w:rPr>
          <w:lang w:val="en-US"/>
        </w:rPr>
        <w:t>; Sowers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L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 C</w:t>
      </w:r>
      <w:r w:rsidR="000D73BE">
        <w:rPr>
          <w:lang w:val="en-US"/>
        </w:rPr>
        <w:t>.</w:t>
      </w:r>
      <w:r w:rsidR="000D73BE">
        <w:rPr>
          <w:i/>
          <w:lang w:val="en-US"/>
        </w:rPr>
        <w:t>Cancer C</w:t>
      </w:r>
      <w:r w:rsidRPr="000D73BE">
        <w:rPr>
          <w:i/>
          <w:lang w:val="en-US"/>
        </w:rPr>
        <w:t>ommun</w:t>
      </w:r>
      <w:r w:rsidR="000D73BE">
        <w:rPr>
          <w:i/>
          <w:lang w:val="en-US"/>
        </w:rPr>
        <w:t xml:space="preserve">. </w:t>
      </w:r>
      <w:r w:rsidRPr="000D73BE">
        <w:rPr>
          <w:b/>
          <w:lang w:val="en-US"/>
        </w:rPr>
        <w:t>1990</w:t>
      </w:r>
      <w:r w:rsidRPr="003D759B">
        <w:rPr>
          <w:lang w:val="en-US"/>
        </w:rPr>
        <w:t>,</w:t>
      </w:r>
      <w:r w:rsidRPr="000D73BE">
        <w:rPr>
          <w:i/>
          <w:lang w:val="en-US"/>
        </w:rPr>
        <w:t>2</w:t>
      </w:r>
      <w:r w:rsidRPr="003D759B">
        <w:rPr>
          <w:lang w:val="en-US"/>
        </w:rPr>
        <w:t>,339. (i) Klann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R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 C</w:t>
      </w:r>
      <w:r w:rsidR="000D73BE">
        <w:rPr>
          <w:lang w:val="en-US"/>
        </w:rPr>
        <w:t>.</w:t>
      </w:r>
      <w:r w:rsidRPr="003D759B">
        <w:rPr>
          <w:lang w:val="en-US"/>
        </w:rPr>
        <w:t>; Holbrook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C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 T</w:t>
      </w:r>
      <w:r w:rsidR="000D73BE">
        <w:rPr>
          <w:lang w:val="en-US"/>
        </w:rPr>
        <w:t>.</w:t>
      </w:r>
      <w:r w:rsidRPr="003D759B">
        <w:rPr>
          <w:lang w:val="en-US"/>
        </w:rPr>
        <w:t>; Nyce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J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 W</w:t>
      </w:r>
      <w:r w:rsidR="000D73BE">
        <w:rPr>
          <w:lang w:val="en-US"/>
        </w:rPr>
        <w:t>.</w:t>
      </w:r>
      <w:r w:rsidRPr="000D73BE">
        <w:rPr>
          <w:i/>
          <w:lang w:val="en-US"/>
        </w:rPr>
        <w:t xml:space="preserve">Anticancer </w:t>
      </w:r>
      <w:r w:rsidR="000D73BE">
        <w:rPr>
          <w:i/>
          <w:lang w:val="en-US"/>
        </w:rPr>
        <w:t>R</w:t>
      </w:r>
      <w:r w:rsidRPr="000D73BE">
        <w:rPr>
          <w:i/>
          <w:lang w:val="en-US"/>
        </w:rPr>
        <w:t>es</w:t>
      </w:r>
      <w:r w:rsidR="000D73BE">
        <w:rPr>
          <w:i/>
          <w:lang w:val="en-US"/>
        </w:rPr>
        <w:t xml:space="preserve">. </w:t>
      </w:r>
      <w:r w:rsidRPr="000D73BE">
        <w:rPr>
          <w:b/>
          <w:lang w:val="en-US"/>
        </w:rPr>
        <w:t>1992</w:t>
      </w:r>
      <w:r w:rsidRPr="003D759B">
        <w:rPr>
          <w:lang w:val="en-US"/>
        </w:rPr>
        <w:t>,</w:t>
      </w:r>
      <w:r w:rsidRPr="000D73BE">
        <w:rPr>
          <w:i/>
          <w:lang w:val="en-US"/>
        </w:rPr>
        <w:t>12</w:t>
      </w:r>
      <w:r w:rsidRPr="003D759B">
        <w:rPr>
          <w:lang w:val="en-US"/>
        </w:rPr>
        <w:t>,781. (j) Morgan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R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 J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 Jr</w:t>
      </w:r>
      <w:r w:rsidR="000D73BE">
        <w:rPr>
          <w:lang w:val="en-US"/>
        </w:rPr>
        <w:t>.</w:t>
      </w:r>
      <w:r w:rsidRPr="003D759B">
        <w:rPr>
          <w:lang w:val="en-US"/>
        </w:rPr>
        <w:t>; Newman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E</w:t>
      </w:r>
      <w:r w:rsidR="000D73BE">
        <w:rPr>
          <w:lang w:val="en-US"/>
        </w:rPr>
        <w:t>.</w:t>
      </w:r>
      <w:r w:rsidRPr="003D759B">
        <w:rPr>
          <w:lang w:val="en-US"/>
        </w:rPr>
        <w:t xml:space="preserve"> M</w:t>
      </w:r>
      <w:r w:rsidR="000D73BE">
        <w:rPr>
          <w:lang w:val="en-US"/>
        </w:rPr>
        <w:t>.</w:t>
      </w:r>
      <w:r w:rsidRPr="003D759B">
        <w:rPr>
          <w:lang w:val="en-US"/>
        </w:rPr>
        <w:t>; Sowers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L</w:t>
      </w:r>
      <w:r w:rsidR="000D73BE">
        <w:rPr>
          <w:lang w:val="en-US"/>
        </w:rPr>
        <w:t>.</w:t>
      </w:r>
      <w:r w:rsidRPr="003D759B">
        <w:rPr>
          <w:lang w:val="en-US"/>
        </w:rPr>
        <w:t>; Scanlon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K</w:t>
      </w:r>
      <w:r w:rsidR="000D73BE">
        <w:rPr>
          <w:lang w:val="en-US"/>
        </w:rPr>
        <w:t>.</w:t>
      </w:r>
      <w:r w:rsidRPr="003D759B">
        <w:rPr>
          <w:lang w:val="en-US"/>
        </w:rPr>
        <w:t>; Harrison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J</w:t>
      </w:r>
      <w:r w:rsidR="000D73BE">
        <w:rPr>
          <w:lang w:val="en-US"/>
        </w:rPr>
        <w:t>.</w:t>
      </w:r>
      <w:r w:rsidRPr="003D759B">
        <w:rPr>
          <w:lang w:val="en-US"/>
        </w:rPr>
        <w:t>; Akman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S</w:t>
      </w:r>
      <w:r w:rsidR="000D73BE">
        <w:rPr>
          <w:lang w:val="en-US"/>
        </w:rPr>
        <w:t>.</w:t>
      </w:r>
      <w:r w:rsidRPr="003D759B">
        <w:rPr>
          <w:lang w:val="en-US"/>
        </w:rPr>
        <w:t>; Leong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L</w:t>
      </w:r>
      <w:r w:rsidR="000D73BE">
        <w:rPr>
          <w:lang w:val="en-US"/>
        </w:rPr>
        <w:t>.</w:t>
      </w:r>
      <w:r w:rsidRPr="003D759B">
        <w:rPr>
          <w:lang w:val="en-US"/>
        </w:rPr>
        <w:t>; Margolin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K</w:t>
      </w:r>
      <w:r w:rsidR="000D73BE">
        <w:rPr>
          <w:lang w:val="en-US"/>
        </w:rPr>
        <w:t>.</w:t>
      </w:r>
      <w:r w:rsidRPr="003D759B">
        <w:rPr>
          <w:lang w:val="en-US"/>
        </w:rPr>
        <w:t>; Niland</w:t>
      </w:r>
      <w:r w:rsidR="000D73BE">
        <w:rPr>
          <w:lang w:val="en-US"/>
        </w:rPr>
        <w:t>,</w:t>
      </w:r>
      <w:r w:rsidRPr="003D759B">
        <w:rPr>
          <w:lang w:val="en-US"/>
        </w:rPr>
        <w:t xml:space="preserve"> J</w:t>
      </w:r>
      <w:r w:rsidR="000D73BE">
        <w:rPr>
          <w:lang w:val="en-US"/>
        </w:rPr>
        <w:t>.</w:t>
      </w:r>
      <w:r w:rsidRPr="003D759B">
        <w:rPr>
          <w:lang w:val="en-US"/>
        </w:rPr>
        <w:t>; Raschko</w:t>
      </w:r>
      <w:r w:rsidR="006575AA">
        <w:rPr>
          <w:lang w:val="en-US"/>
        </w:rPr>
        <w:t>,</w:t>
      </w:r>
      <w:r w:rsidRPr="003D759B">
        <w:rPr>
          <w:lang w:val="en-US"/>
        </w:rPr>
        <w:t xml:space="preserve"> J</w:t>
      </w:r>
      <w:r w:rsidR="006575AA">
        <w:rPr>
          <w:lang w:val="en-US"/>
        </w:rPr>
        <w:t>.</w:t>
      </w:r>
      <w:r w:rsidRPr="003D759B">
        <w:rPr>
          <w:lang w:val="en-US"/>
        </w:rPr>
        <w:t xml:space="preserve"> et al, </w:t>
      </w:r>
      <w:r w:rsidRPr="006575AA">
        <w:rPr>
          <w:i/>
          <w:lang w:val="en-US"/>
        </w:rPr>
        <w:t xml:space="preserve">Cancer </w:t>
      </w:r>
      <w:r w:rsidR="006575AA">
        <w:rPr>
          <w:i/>
          <w:lang w:val="en-US"/>
        </w:rPr>
        <w:t>C</w:t>
      </w:r>
      <w:r w:rsidRPr="006575AA">
        <w:rPr>
          <w:i/>
          <w:lang w:val="en-US"/>
        </w:rPr>
        <w:t>hemother</w:t>
      </w:r>
      <w:r w:rsidR="006575AA">
        <w:rPr>
          <w:i/>
          <w:lang w:val="en-US"/>
        </w:rPr>
        <w:t>.P</w:t>
      </w:r>
      <w:r w:rsidRPr="006575AA">
        <w:rPr>
          <w:i/>
          <w:lang w:val="en-US"/>
        </w:rPr>
        <w:t>harmacol</w:t>
      </w:r>
      <w:r w:rsidR="006575AA">
        <w:rPr>
          <w:i/>
          <w:lang w:val="en-US"/>
        </w:rPr>
        <w:t xml:space="preserve">. </w:t>
      </w:r>
      <w:r w:rsidRPr="006575AA">
        <w:rPr>
          <w:b/>
          <w:lang w:val="en-US"/>
        </w:rPr>
        <w:t>2003</w:t>
      </w:r>
      <w:r w:rsidRPr="003D759B">
        <w:rPr>
          <w:lang w:val="en-US"/>
        </w:rPr>
        <w:t>,51</w:t>
      </w:r>
      <w:r w:rsidR="006575AA">
        <w:rPr>
          <w:lang w:val="en-US"/>
        </w:rPr>
        <w:t xml:space="preserve">, </w:t>
      </w:r>
      <w:r w:rsidRPr="003D759B">
        <w:rPr>
          <w:lang w:val="en-US"/>
        </w:rPr>
        <w:t>459.</w:t>
      </w:r>
    </w:p>
  </w:endnote>
  <w:endnote w:id="5">
    <w:p w:rsidR="00FF6F19" w:rsidRPr="003D759B" w:rsidRDefault="00FF6F19" w:rsidP="003D759B">
      <w:pPr>
        <w:pStyle w:val="Eindnoottekst"/>
        <w:jc w:val="both"/>
        <w:rPr>
          <w:lang w:val="en-US"/>
        </w:rPr>
      </w:pPr>
      <w:r w:rsidRPr="003D759B">
        <w:rPr>
          <w:rStyle w:val="Eindnootmarkering"/>
        </w:rPr>
        <w:endnoteRef/>
      </w:r>
      <w:r w:rsidRPr="003D759B">
        <w:rPr>
          <w:lang w:val="en-US"/>
        </w:rPr>
        <w:t>Bori,</w:t>
      </w:r>
      <w:r w:rsidR="00B81CAB">
        <w:rPr>
          <w:lang w:val="en-US"/>
        </w:rPr>
        <w:t xml:space="preserve"> I. D.;</w:t>
      </w:r>
      <w:r w:rsidRPr="003D759B">
        <w:rPr>
          <w:lang w:val="en-US"/>
        </w:rPr>
        <w:t xml:space="preserve"> Hung,</w:t>
      </w:r>
      <w:r w:rsidR="00B81CAB">
        <w:rPr>
          <w:lang w:val="en-US"/>
        </w:rPr>
        <w:t xml:space="preserve"> H. I.;</w:t>
      </w:r>
      <w:r w:rsidRPr="003D759B">
        <w:rPr>
          <w:lang w:val="en-US"/>
        </w:rPr>
        <w:t xml:space="preserve"> Qian,</w:t>
      </w:r>
      <w:r w:rsidR="00B81CAB">
        <w:rPr>
          <w:lang w:val="en-US"/>
        </w:rPr>
        <w:t xml:space="preserve"> K.;</w:t>
      </w:r>
      <w:r w:rsidRPr="003D759B">
        <w:rPr>
          <w:lang w:val="en-US"/>
        </w:rPr>
        <w:t xml:space="preserve"> Chen,</w:t>
      </w:r>
      <w:r w:rsidR="00B81CAB">
        <w:rPr>
          <w:lang w:val="en-US"/>
        </w:rPr>
        <w:t xml:space="preserve"> C. H.;</w:t>
      </w:r>
      <w:r w:rsidRPr="003D759B">
        <w:rPr>
          <w:lang w:val="en-US"/>
        </w:rPr>
        <w:t xml:space="preserve"> Morris-Natschke</w:t>
      </w:r>
      <w:r w:rsidR="00B81CAB">
        <w:rPr>
          <w:lang w:val="en-US"/>
        </w:rPr>
        <w:t>, S. L.;</w:t>
      </w:r>
      <w:r w:rsidRPr="003D759B">
        <w:rPr>
          <w:lang w:val="en-US"/>
        </w:rPr>
        <w:t xml:space="preserve"> Lee,</w:t>
      </w:r>
      <w:r w:rsidR="00B81CAB">
        <w:rPr>
          <w:lang w:val="en-US"/>
        </w:rPr>
        <w:t xml:space="preserve"> K. H.</w:t>
      </w:r>
      <w:r w:rsidRPr="003D759B">
        <w:rPr>
          <w:i/>
          <w:lang w:val="en-US"/>
        </w:rPr>
        <w:t>Tetrah</w:t>
      </w:r>
      <w:r w:rsidR="00B81CAB">
        <w:rPr>
          <w:i/>
          <w:lang w:val="en-US"/>
        </w:rPr>
        <w:t>edron</w:t>
      </w:r>
      <w:r w:rsidRPr="00B81CAB">
        <w:rPr>
          <w:i/>
          <w:lang w:val="en-US"/>
        </w:rPr>
        <w:t>Lett.</w:t>
      </w:r>
      <w:r w:rsidRPr="00B81CAB">
        <w:rPr>
          <w:b/>
          <w:lang w:val="en-US"/>
        </w:rPr>
        <w:t>2012</w:t>
      </w:r>
      <w:r w:rsidRPr="00B81CAB">
        <w:rPr>
          <w:lang w:val="en-US"/>
        </w:rPr>
        <w:t xml:space="preserve">, </w:t>
      </w:r>
      <w:r w:rsidRPr="00B81CAB">
        <w:rPr>
          <w:i/>
          <w:lang w:val="en-US"/>
        </w:rPr>
        <w:t>53</w:t>
      </w:r>
      <w:r w:rsidRPr="00B81CAB">
        <w:rPr>
          <w:lang w:val="en-US"/>
        </w:rPr>
        <w:t>, 1987.</w:t>
      </w:r>
    </w:p>
  </w:endnote>
  <w:endnote w:id="6">
    <w:p w:rsidR="00FF6F19" w:rsidRPr="003D759B" w:rsidRDefault="00FF6F19" w:rsidP="003D759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  <w:r w:rsidRPr="003D759B">
        <w:rPr>
          <w:rStyle w:val="Eindnootmarkering"/>
          <w:sz w:val="20"/>
          <w:szCs w:val="20"/>
        </w:rPr>
        <w:endnoteRef/>
      </w:r>
      <w:r w:rsidRPr="003D759B">
        <w:rPr>
          <w:sz w:val="20"/>
          <w:szCs w:val="20"/>
          <w:lang w:val="en-US"/>
        </w:rPr>
        <w:t xml:space="preserve"> (a) </w:t>
      </w:r>
      <w:r w:rsidRPr="00E11237">
        <w:rPr>
          <w:sz w:val="20"/>
          <w:szCs w:val="20"/>
          <w:lang w:val="en-US"/>
        </w:rPr>
        <w:t>Majeed, R</w:t>
      </w:r>
      <w:r w:rsidR="00086B16">
        <w:rPr>
          <w:sz w:val="20"/>
          <w:szCs w:val="20"/>
          <w:lang w:val="en-US"/>
        </w:rPr>
        <w:t>.</w:t>
      </w:r>
      <w:r w:rsidRPr="00E11237">
        <w:rPr>
          <w:sz w:val="20"/>
          <w:szCs w:val="20"/>
          <w:lang w:val="en-US"/>
        </w:rPr>
        <w:t>; Sangwan, P</w:t>
      </w:r>
      <w:r w:rsidR="00086B16">
        <w:rPr>
          <w:sz w:val="20"/>
          <w:szCs w:val="20"/>
          <w:lang w:val="en-US"/>
        </w:rPr>
        <w:t>.</w:t>
      </w:r>
      <w:r w:rsidRPr="00E11237">
        <w:rPr>
          <w:sz w:val="20"/>
          <w:szCs w:val="20"/>
          <w:lang w:val="en-US"/>
        </w:rPr>
        <w:t xml:space="preserve"> L.; Chinthakindi, P</w:t>
      </w:r>
      <w:r w:rsidR="00086B16">
        <w:rPr>
          <w:sz w:val="20"/>
          <w:szCs w:val="20"/>
          <w:lang w:val="en-US"/>
        </w:rPr>
        <w:t>.</w:t>
      </w:r>
      <w:r w:rsidRPr="00E11237">
        <w:rPr>
          <w:sz w:val="20"/>
          <w:szCs w:val="20"/>
          <w:lang w:val="en-US"/>
        </w:rPr>
        <w:t xml:space="preserve"> K.; Khan, I</w:t>
      </w:r>
      <w:r w:rsidR="00086B16">
        <w:rPr>
          <w:sz w:val="20"/>
          <w:szCs w:val="20"/>
          <w:lang w:val="en-US"/>
        </w:rPr>
        <w:t>.</w:t>
      </w:r>
      <w:r w:rsidRPr="00E11237">
        <w:rPr>
          <w:sz w:val="20"/>
          <w:szCs w:val="20"/>
          <w:lang w:val="en-US"/>
        </w:rPr>
        <w:t>; Dangroo, N</w:t>
      </w:r>
      <w:r w:rsidR="00086B16">
        <w:rPr>
          <w:sz w:val="20"/>
          <w:szCs w:val="20"/>
          <w:lang w:val="en-US"/>
        </w:rPr>
        <w:t>.</w:t>
      </w:r>
      <w:r w:rsidRPr="00E11237">
        <w:rPr>
          <w:sz w:val="20"/>
          <w:szCs w:val="20"/>
          <w:lang w:val="en-US"/>
        </w:rPr>
        <w:t xml:space="preserve"> A.; Thota, N</w:t>
      </w:r>
      <w:r w:rsidR="00086B16">
        <w:rPr>
          <w:sz w:val="20"/>
          <w:szCs w:val="20"/>
          <w:lang w:val="en-US"/>
        </w:rPr>
        <w:t>.</w:t>
      </w:r>
      <w:r w:rsidRPr="00E11237">
        <w:rPr>
          <w:sz w:val="20"/>
          <w:szCs w:val="20"/>
          <w:lang w:val="en-US"/>
        </w:rPr>
        <w:t>; Hamid, A</w:t>
      </w:r>
      <w:r w:rsidR="00086B16">
        <w:rPr>
          <w:sz w:val="20"/>
          <w:szCs w:val="20"/>
          <w:lang w:val="en-US"/>
        </w:rPr>
        <w:t>.</w:t>
      </w:r>
      <w:r w:rsidRPr="00E11237">
        <w:rPr>
          <w:sz w:val="20"/>
          <w:szCs w:val="20"/>
          <w:lang w:val="en-US"/>
        </w:rPr>
        <w:t>; Sharma, P</w:t>
      </w:r>
      <w:r w:rsidR="00086B16">
        <w:rPr>
          <w:sz w:val="20"/>
          <w:szCs w:val="20"/>
          <w:lang w:val="en-US"/>
        </w:rPr>
        <w:t>.</w:t>
      </w:r>
      <w:r w:rsidRPr="00E11237">
        <w:rPr>
          <w:sz w:val="20"/>
          <w:szCs w:val="20"/>
          <w:lang w:val="en-US"/>
        </w:rPr>
        <w:t xml:space="preserve"> R.; Saxena, A</w:t>
      </w:r>
      <w:r w:rsidR="00086B16">
        <w:rPr>
          <w:sz w:val="20"/>
          <w:szCs w:val="20"/>
          <w:lang w:val="en-US"/>
        </w:rPr>
        <w:t>.</w:t>
      </w:r>
      <w:r w:rsidRPr="00E11237">
        <w:rPr>
          <w:sz w:val="20"/>
          <w:szCs w:val="20"/>
          <w:lang w:val="en-US"/>
        </w:rPr>
        <w:t xml:space="preserve"> K.; Koul, S</w:t>
      </w:r>
      <w:r w:rsidRPr="003D759B">
        <w:rPr>
          <w:sz w:val="20"/>
          <w:szCs w:val="20"/>
          <w:lang w:val="en-US"/>
        </w:rPr>
        <w:t>.</w:t>
      </w:r>
      <w:r w:rsidRPr="00086B16">
        <w:rPr>
          <w:i/>
          <w:sz w:val="20"/>
          <w:szCs w:val="20"/>
          <w:lang w:val="en-US"/>
        </w:rPr>
        <w:t>Eur</w:t>
      </w:r>
      <w:r w:rsidR="00086B16" w:rsidRPr="00086B16">
        <w:rPr>
          <w:i/>
          <w:sz w:val="20"/>
          <w:szCs w:val="20"/>
          <w:lang w:val="en-US"/>
        </w:rPr>
        <w:t>.</w:t>
      </w:r>
      <w:r w:rsidRPr="00086B16">
        <w:rPr>
          <w:i/>
          <w:sz w:val="20"/>
          <w:szCs w:val="20"/>
          <w:lang w:val="en-US"/>
        </w:rPr>
        <w:t xml:space="preserve"> J</w:t>
      </w:r>
      <w:r w:rsidR="00086B16" w:rsidRPr="00086B16">
        <w:rPr>
          <w:i/>
          <w:sz w:val="20"/>
          <w:szCs w:val="20"/>
          <w:lang w:val="en-US"/>
        </w:rPr>
        <w:t>.</w:t>
      </w:r>
      <w:r w:rsidRPr="00086B16">
        <w:rPr>
          <w:i/>
          <w:sz w:val="20"/>
          <w:szCs w:val="20"/>
          <w:lang w:val="en-US"/>
        </w:rPr>
        <w:t xml:space="preserve"> Med</w:t>
      </w:r>
      <w:r w:rsidR="00086B16" w:rsidRPr="00086B16">
        <w:rPr>
          <w:i/>
          <w:sz w:val="20"/>
          <w:szCs w:val="20"/>
          <w:lang w:val="en-US"/>
        </w:rPr>
        <w:t>.</w:t>
      </w:r>
      <w:r w:rsidRPr="002C4F7E">
        <w:rPr>
          <w:i/>
          <w:sz w:val="20"/>
          <w:szCs w:val="20"/>
        </w:rPr>
        <w:t>Chem</w:t>
      </w:r>
      <w:r w:rsidR="00086B16" w:rsidRPr="002C4F7E">
        <w:rPr>
          <w:i/>
          <w:sz w:val="20"/>
          <w:szCs w:val="20"/>
        </w:rPr>
        <w:t>.</w:t>
      </w:r>
      <w:r w:rsidRPr="002C4F7E">
        <w:rPr>
          <w:b/>
          <w:sz w:val="20"/>
          <w:szCs w:val="20"/>
        </w:rPr>
        <w:t>2013</w:t>
      </w:r>
      <w:r w:rsidRPr="002C4F7E">
        <w:rPr>
          <w:sz w:val="20"/>
          <w:szCs w:val="20"/>
        </w:rPr>
        <w:t>,</w:t>
      </w:r>
      <w:r w:rsidRPr="002C4F7E">
        <w:rPr>
          <w:i/>
          <w:sz w:val="20"/>
          <w:szCs w:val="20"/>
        </w:rPr>
        <w:t>63</w:t>
      </w:r>
      <w:r w:rsidRPr="002C4F7E">
        <w:rPr>
          <w:sz w:val="20"/>
          <w:szCs w:val="20"/>
        </w:rPr>
        <w:t>,782</w:t>
      </w:r>
      <w:r w:rsidR="00086B16" w:rsidRPr="002C4F7E">
        <w:rPr>
          <w:sz w:val="20"/>
          <w:szCs w:val="20"/>
        </w:rPr>
        <w:t>.</w:t>
      </w:r>
      <w:r w:rsidRPr="00086B16">
        <w:rPr>
          <w:sz w:val="20"/>
          <w:szCs w:val="20"/>
        </w:rPr>
        <w:t xml:space="preserve">(b) </w:t>
      </w:r>
      <w:r w:rsidRPr="00086B16">
        <w:rPr>
          <w:rFonts w:eastAsia="Times New Roman" w:cs="Times New Roman"/>
          <w:sz w:val="20"/>
          <w:szCs w:val="20"/>
        </w:rPr>
        <w:t>Kang, X</w:t>
      </w:r>
      <w:r w:rsidR="00086B16" w:rsidRPr="00086B16">
        <w:rPr>
          <w:rFonts w:eastAsia="Times New Roman" w:cs="Times New Roman"/>
          <w:sz w:val="20"/>
          <w:szCs w:val="20"/>
        </w:rPr>
        <w:t>.;</w:t>
      </w:r>
      <w:r w:rsidRPr="00086B16">
        <w:rPr>
          <w:rFonts w:eastAsia="Times New Roman" w:cs="Times New Roman"/>
          <w:sz w:val="20"/>
          <w:szCs w:val="20"/>
        </w:rPr>
        <w:t xml:space="preserve"> Hu, J</w:t>
      </w:r>
      <w:r w:rsidR="00086B16" w:rsidRPr="00086B16">
        <w:rPr>
          <w:rFonts w:eastAsia="Times New Roman" w:cs="Times New Roman"/>
          <w:sz w:val="20"/>
          <w:szCs w:val="20"/>
        </w:rPr>
        <w:t>.;</w:t>
      </w:r>
      <w:r w:rsidRPr="00086B16">
        <w:rPr>
          <w:rFonts w:eastAsia="Times New Roman" w:cs="Times New Roman"/>
          <w:sz w:val="20"/>
          <w:szCs w:val="20"/>
        </w:rPr>
        <w:t>Gao, Z</w:t>
      </w:r>
      <w:r w:rsidR="00086B16" w:rsidRPr="00086B16">
        <w:rPr>
          <w:rFonts w:eastAsia="Times New Roman" w:cs="Times New Roman"/>
          <w:sz w:val="20"/>
          <w:szCs w:val="20"/>
        </w:rPr>
        <w:t>.</w:t>
      </w:r>
      <w:r w:rsidRPr="00086B16">
        <w:rPr>
          <w:rFonts w:eastAsia="Times New Roman" w:cs="Times New Roman"/>
          <w:sz w:val="20"/>
          <w:szCs w:val="20"/>
        </w:rPr>
        <w:t>; Ju, Y</w:t>
      </w:r>
      <w:r w:rsidR="00086B16" w:rsidRPr="00086B16">
        <w:rPr>
          <w:rFonts w:eastAsia="Times New Roman" w:cs="Times New Roman"/>
          <w:sz w:val="20"/>
          <w:szCs w:val="20"/>
        </w:rPr>
        <w:t>.</w:t>
      </w:r>
      <w:r w:rsidRPr="00086B16">
        <w:rPr>
          <w:rFonts w:eastAsia="Times New Roman" w:cs="Times New Roman"/>
          <w:sz w:val="20"/>
          <w:szCs w:val="20"/>
        </w:rPr>
        <w:t>; Xu, C</w:t>
      </w:r>
      <w:r w:rsidR="00086B16" w:rsidRPr="00086B16">
        <w:rPr>
          <w:rFonts w:eastAsia="Times New Roman" w:cs="Times New Roman"/>
          <w:sz w:val="20"/>
          <w:szCs w:val="20"/>
        </w:rPr>
        <w:t>.</w:t>
      </w:r>
      <w:r w:rsidRPr="00086B16">
        <w:rPr>
          <w:rFonts w:eastAsia="Times New Roman" w:cs="Times New Roman"/>
          <w:i/>
          <w:sz w:val="20"/>
          <w:szCs w:val="20"/>
        </w:rPr>
        <w:t>Med</w:t>
      </w:r>
      <w:r w:rsidR="00086B16" w:rsidRPr="00086B16">
        <w:rPr>
          <w:rFonts w:eastAsia="Times New Roman" w:cs="Times New Roman"/>
          <w:i/>
          <w:sz w:val="20"/>
          <w:szCs w:val="20"/>
        </w:rPr>
        <w:t xml:space="preserve">. </w:t>
      </w:r>
      <w:r w:rsidRPr="00086B16">
        <w:rPr>
          <w:rFonts w:eastAsia="Times New Roman" w:cs="Times New Roman"/>
          <w:i/>
          <w:sz w:val="20"/>
          <w:szCs w:val="20"/>
          <w:lang w:val="en-US"/>
        </w:rPr>
        <w:t>Chem</w:t>
      </w:r>
      <w:r w:rsidR="00086B16" w:rsidRPr="00086B16">
        <w:rPr>
          <w:rFonts w:eastAsia="Times New Roman" w:cs="Times New Roman"/>
          <w:i/>
          <w:sz w:val="20"/>
          <w:szCs w:val="20"/>
          <w:lang w:val="en-US"/>
        </w:rPr>
        <w:t xml:space="preserve">. </w:t>
      </w:r>
      <w:r w:rsidRPr="00086B16">
        <w:rPr>
          <w:rFonts w:eastAsia="Times New Roman" w:cs="Times New Roman"/>
          <w:i/>
          <w:sz w:val="20"/>
          <w:szCs w:val="20"/>
          <w:lang w:val="en-US"/>
        </w:rPr>
        <w:t>Comm</w:t>
      </w:r>
      <w:r w:rsidR="00086B16" w:rsidRPr="00086B16">
        <w:rPr>
          <w:rFonts w:eastAsia="Times New Roman" w:cs="Times New Roman"/>
          <w:i/>
          <w:sz w:val="20"/>
          <w:szCs w:val="20"/>
          <w:lang w:val="en-US"/>
        </w:rPr>
        <w:t>un.</w:t>
      </w:r>
      <w:r w:rsidRPr="00086B16">
        <w:rPr>
          <w:rFonts w:eastAsia="Times New Roman" w:cs="Times New Roman"/>
          <w:b/>
          <w:sz w:val="20"/>
          <w:szCs w:val="20"/>
          <w:lang w:val="en-US"/>
        </w:rPr>
        <w:t>2012</w:t>
      </w:r>
      <w:r w:rsidRPr="00086B16">
        <w:rPr>
          <w:rFonts w:eastAsia="Times New Roman" w:cs="Times New Roman"/>
          <w:sz w:val="20"/>
          <w:szCs w:val="20"/>
          <w:lang w:val="en-US"/>
        </w:rPr>
        <w:t>,</w:t>
      </w:r>
      <w:r w:rsidRPr="00086B16">
        <w:rPr>
          <w:rFonts w:eastAsia="Times New Roman" w:cs="Times New Roman"/>
          <w:i/>
          <w:sz w:val="20"/>
          <w:szCs w:val="20"/>
          <w:lang w:val="en-US"/>
        </w:rPr>
        <w:t>3</w:t>
      </w:r>
      <w:r w:rsidRPr="00086B16">
        <w:rPr>
          <w:rFonts w:eastAsia="Times New Roman" w:cs="Times New Roman"/>
          <w:sz w:val="20"/>
          <w:szCs w:val="20"/>
          <w:lang w:val="en-US"/>
        </w:rPr>
        <w:t xml:space="preserve">,1245. </w:t>
      </w:r>
      <w:r w:rsidRPr="003D759B">
        <w:rPr>
          <w:sz w:val="20"/>
          <w:szCs w:val="20"/>
          <w:lang w:val="en-US"/>
        </w:rPr>
        <w:t xml:space="preserve">(c) Cheng, K.; Liu, J.; Sun, H.; Xie, </w:t>
      </w:r>
      <w:r w:rsidRPr="003D759B">
        <w:rPr>
          <w:i/>
          <w:sz w:val="20"/>
          <w:szCs w:val="20"/>
          <w:lang w:val="en-US"/>
        </w:rPr>
        <w:t>J. Chem. Biodiversity</w:t>
      </w:r>
      <w:r w:rsidRPr="003D759B">
        <w:rPr>
          <w:b/>
          <w:sz w:val="20"/>
          <w:szCs w:val="20"/>
          <w:lang w:val="en-US"/>
        </w:rPr>
        <w:t>2010</w:t>
      </w:r>
      <w:r w:rsidRPr="003D759B">
        <w:rPr>
          <w:sz w:val="20"/>
          <w:szCs w:val="20"/>
          <w:lang w:val="en-US"/>
        </w:rPr>
        <w:t xml:space="preserve">, </w:t>
      </w:r>
      <w:r w:rsidRPr="003D759B">
        <w:rPr>
          <w:i/>
          <w:sz w:val="20"/>
          <w:szCs w:val="20"/>
          <w:lang w:val="en-US"/>
        </w:rPr>
        <w:t>7</w:t>
      </w:r>
      <w:r w:rsidRPr="003D759B">
        <w:rPr>
          <w:sz w:val="20"/>
          <w:szCs w:val="20"/>
          <w:lang w:val="en-US"/>
        </w:rPr>
        <w:t>, 690. (</w:t>
      </w:r>
      <w:r w:rsidR="00086B16">
        <w:rPr>
          <w:sz w:val="20"/>
          <w:szCs w:val="20"/>
          <w:lang w:val="en-US"/>
        </w:rPr>
        <w:t>d</w:t>
      </w:r>
      <w:r w:rsidRPr="003D759B">
        <w:rPr>
          <w:sz w:val="20"/>
          <w:szCs w:val="20"/>
          <w:lang w:val="en-US"/>
        </w:rPr>
        <w:t xml:space="preserve">) Cheng, K.; Liu, J.; Liu, X.; Li, H.; Sun, H.; Xie, </w:t>
      </w:r>
      <w:r w:rsidRPr="003D759B">
        <w:rPr>
          <w:i/>
          <w:sz w:val="20"/>
          <w:szCs w:val="20"/>
          <w:lang w:val="en-US"/>
        </w:rPr>
        <w:t>J. Carbohydr. Res.</w:t>
      </w:r>
      <w:r w:rsidRPr="003D759B">
        <w:rPr>
          <w:b/>
          <w:sz w:val="20"/>
          <w:szCs w:val="20"/>
          <w:lang w:val="en-US"/>
        </w:rPr>
        <w:t>2009</w:t>
      </w:r>
      <w:r w:rsidRPr="003D759B">
        <w:rPr>
          <w:sz w:val="20"/>
          <w:szCs w:val="20"/>
          <w:lang w:val="en-US"/>
        </w:rPr>
        <w:t xml:space="preserve">, </w:t>
      </w:r>
      <w:r w:rsidRPr="00086B16">
        <w:rPr>
          <w:i/>
          <w:sz w:val="20"/>
          <w:szCs w:val="20"/>
          <w:lang w:val="en-US"/>
        </w:rPr>
        <w:t>344</w:t>
      </w:r>
      <w:r w:rsidRPr="003D759B">
        <w:rPr>
          <w:sz w:val="20"/>
          <w:szCs w:val="20"/>
          <w:lang w:val="en-US"/>
        </w:rPr>
        <w:t>, 841. (</w:t>
      </w:r>
      <w:r w:rsidR="00086B16">
        <w:rPr>
          <w:sz w:val="20"/>
          <w:szCs w:val="20"/>
          <w:lang w:val="en-US"/>
        </w:rPr>
        <w:t>e</w:t>
      </w:r>
      <w:r w:rsidRPr="003D759B">
        <w:rPr>
          <w:sz w:val="20"/>
          <w:szCs w:val="20"/>
          <w:lang w:val="en-US"/>
        </w:rPr>
        <w:t xml:space="preserve">) Cheng, K.; Liu, J.; Sun, H.; Bokor, E.; Czifrak, K.; Konya, B.; Toth, M.; Docsa, T.; Gergely, P.; Somsak, L. </w:t>
      </w:r>
      <w:r w:rsidRPr="003D759B">
        <w:rPr>
          <w:i/>
          <w:sz w:val="20"/>
          <w:szCs w:val="20"/>
          <w:lang w:val="en-US"/>
        </w:rPr>
        <w:t>New J. Chem.</w:t>
      </w:r>
      <w:r w:rsidRPr="003D759B">
        <w:rPr>
          <w:b/>
          <w:sz w:val="20"/>
          <w:szCs w:val="20"/>
          <w:lang w:val="en-US"/>
        </w:rPr>
        <w:t>2010</w:t>
      </w:r>
      <w:r w:rsidRPr="003D759B">
        <w:rPr>
          <w:sz w:val="20"/>
          <w:szCs w:val="20"/>
          <w:lang w:val="en-US"/>
        </w:rPr>
        <w:t xml:space="preserve">, </w:t>
      </w:r>
      <w:r w:rsidRPr="003D759B">
        <w:rPr>
          <w:i/>
          <w:sz w:val="20"/>
          <w:szCs w:val="20"/>
          <w:lang w:val="en-US"/>
        </w:rPr>
        <w:t>34</w:t>
      </w:r>
      <w:r w:rsidRPr="003D759B">
        <w:rPr>
          <w:sz w:val="20"/>
          <w:szCs w:val="20"/>
          <w:lang w:val="en-US"/>
        </w:rPr>
        <w:t>, 1450. (</w:t>
      </w:r>
      <w:r w:rsidR="00086B16">
        <w:rPr>
          <w:sz w:val="20"/>
          <w:szCs w:val="20"/>
          <w:lang w:val="en-US"/>
        </w:rPr>
        <w:t>f</w:t>
      </w:r>
      <w:r w:rsidRPr="003D759B">
        <w:rPr>
          <w:sz w:val="20"/>
          <w:szCs w:val="20"/>
          <w:lang w:val="en-US"/>
        </w:rPr>
        <w:t xml:space="preserve">) </w:t>
      </w:r>
      <w:r w:rsidRPr="003D759B">
        <w:rPr>
          <w:bCs/>
          <w:sz w:val="20"/>
          <w:szCs w:val="20"/>
          <w:lang w:val="en-US"/>
        </w:rPr>
        <w:t>Pertino,</w:t>
      </w:r>
      <w:r w:rsidR="00086B16">
        <w:rPr>
          <w:bCs/>
          <w:sz w:val="20"/>
          <w:szCs w:val="20"/>
          <w:lang w:val="en-US"/>
        </w:rPr>
        <w:t xml:space="preserve"> M. W.;</w:t>
      </w:r>
      <w:r w:rsidRPr="003D759B">
        <w:rPr>
          <w:bCs/>
          <w:sz w:val="20"/>
          <w:szCs w:val="20"/>
          <w:lang w:val="en-US"/>
        </w:rPr>
        <w:t xml:space="preserve"> Lopez</w:t>
      </w:r>
      <w:r w:rsidR="00086B16">
        <w:rPr>
          <w:bCs/>
          <w:sz w:val="20"/>
          <w:szCs w:val="20"/>
          <w:lang w:val="en-US"/>
        </w:rPr>
        <w:t>, C.;</w:t>
      </w:r>
      <w:r w:rsidRPr="003D759B">
        <w:rPr>
          <w:bCs/>
          <w:sz w:val="20"/>
          <w:szCs w:val="20"/>
          <w:lang w:val="en-US"/>
        </w:rPr>
        <w:t>Theoduloz</w:t>
      </w:r>
      <w:r w:rsidR="00086B16">
        <w:rPr>
          <w:bCs/>
          <w:sz w:val="20"/>
          <w:szCs w:val="20"/>
          <w:lang w:val="en-US"/>
        </w:rPr>
        <w:t>, C.;</w:t>
      </w:r>
      <w:r w:rsidRPr="003D759B">
        <w:rPr>
          <w:bCs/>
          <w:sz w:val="20"/>
          <w:szCs w:val="20"/>
          <w:lang w:val="en-US"/>
        </w:rPr>
        <w:t>Schmeda-Hirschmann,</w:t>
      </w:r>
      <w:r w:rsidR="00086B16">
        <w:rPr>
          <w:bCs/>
          <w:sz w:val="20"/>
          <w:szCs w:val="20"/>
          <w:lang w:val="en-US"/>
        </w:rPr>
        <w:t xml:space="preserve"> G.</w:t>
      </w:r>
      <w:r w:rsidRPr="003D759B">
        <w:rPr>
          <w:i/>
          <w:iCs/>
          <w:sz w:val="20"/>
          <w:szCs w:val="20"/>
          <w:lang w:val="en-US"/>
        </w:rPr>
        <w:t xml:space="preserve">Molecules </w:t>
      </w:r>
      <w:r w:rsidRPr="003D759B">
        <w:rPr>
          <w:b/>
          <w:bCs/>
          <w:sz w:val="20"/>
          <w:szCs w:val="20"/>
          <w:lang w:val="en-US"/>
        </w:rPr>
        <w:t>2013</w:t>
      </w:r>
      <w:r w:rsidRPr="003D759B">
        <w:rPr>
          <w:sz w:val="20"/>
          <w:szCs w:val="20"/>
          <w:lang w:val="en-US"/>
        </w:rPr>
        <w:t xml:space="preserve">, </w:t>
      </w:r>
      <w:r w:rsidRPr="003D759B">
        <w:rPr>
          <w:i/>
          <w:iCs/>
          <w:sz w:val="20"/>
          <w:szCs w:val="20"/>
          <w:lang w:val="en-US"/>
        </w:rPr>
        <w:t>18</w:t>
      </w:r>
      <w:r w:rsidRPr="003D759B">
        <w:rPr>
          <w:sz w:val="20"/>
          <w:szCs w:val="20"/>
          <w:lang w:val="en-US"/>
        </w:rPr>
        <w:t>, 7661. (</w:t>
      </w:r>
      <w:r w:rsidR="00086B16">
        <w:rPr>
          <w:sz w:val="20"/>
          <w:szCs w:val="20"/>
          <w:lang w:val="en-US"/>
        </w:rPr>
        <w:t>g</w:t>
      </w:r>
      <w:r w:rsidRPr="003D759B">
        <w:rPr>
          <w:sz w:val="20"/>
          <w:szCs w:val="20"/>
          <w:lang w:val="en-US"/>
        </w:rPr>
        <w:t xml:space="preserve">) </w:t>
      </w:r>
      <w:r w:rsidRPr="003D759B">
        <w:rPr>
          <w:rFonts w:eastAsia="Times New Roman"/>
          <w:sz w:val="20"/>
          <w:szCs w:val="20"/>
          <w:lang w:val="en-US"/>
        </w:rPr>
        <w:t>Antimonova,</w:t>
      </w:r>
      <w:r w:rsidR="00086B16">
        <w:rPr>
          <w:rFonts w:eastAsia="Times New Roman"/>
          <w:sz w:val="20"/>
          <w:szCs w:val="20"/>
          <w:lang w:val="en-US"/>
        </w:rPr>
        <w:t xml:space="preserve"> A. N.;</w:t>
      </w:r>
      <w:r w:rsidRPr="003D759B">
        <w:rPr>
          <w:rFonts w:eastAsia="Times New Roman"/>
          <w:sz w:val="20"/>
          <w:szCs w:val="20"/>
          <w:lang w:val="en-US"/>
        </w:rPr>
        <w:t>Petrenko,</w:t>
      </w:r>
      <w:r w:rsidR="00086B16">
        <w:rPr>
          <w:rFonts w:eastAsia="Times New Roman"/>
          <w:sz w:val="20"/>
          <w:szCs w:val="20"/>
          <w:lang w:val="en-US"/>
        </w:rPr>
        <w:t xml:space="preserve"> N. I.; </w:t>
      </w:r>
      <w:r w:rsidRPr="003D759B">
        <w:rPr>
          <w:rFonts w:eastAsia="Times New Roman"/>
          <w:sz w:val="20"/>
          <w:szCs w:val="20"/>
          <w:lang w:val="en-US"/>
        </w:rPr>
        <w:t>Shakirov,</w:t>
      </w:r>
      <w:r w:rsidR="00086B16">
        <w:rPr>
          <w:rFonts w:eastAsia="Times New Roman"/>
          <w:sz w:val="20"/>
          <w:szCs w:val="20"/>
          <w:lang w:val="en-US"/>
        </w:rPr>
        <w:t xml:space="preserve"> M. M.; </w:t>
      </w:r>
      <w:r w:rsidRPr="003D759B">
        <w:rPr>
          <w:rFonts w:eastAsia="Times New Roman"/>
          <w:sz w:val="20"/>
          <w:szCs w:val="20"/>
          <w:lang w:val="en-US"/>
        </w:rPr>
        <w:t>Rybalova,</w:t>
      </w:r>
      <w:r w:rsidR="00086B16">
        <w:rPr>
          <w:rFonts w:eastAsia="Times New Roman"/>
          <w:sz w:val="20"/>
          <w:szCs w:val="20"/>
          <w:lang w:val="en-US"/>
        </w:rPr>
        <w:t xml:space="preserve"> T. V.; </w:t>
      </w:r>
      <w:r w:rsidRPr="003D759B">
        <w:rPr>
          <w:rFonts w:eastAsia="Times New Roman"/>
          <w:sz w:val="20"/>
          <w:szCs w:val="20"/>
          <w:lang w:val="en-US"/>
        </w:rPr>
        <w:t>Frolova,</w:t>
      </w:r>
      <w:r w:rsidR="00086B16">
        <w:rPr>
          <w:rFonts w:eastAsia="Times New Roman"/>
          <w:sz w:val="20"/>
          <w:szCs w:val="20"/>
          <w:lang w:val="en-US"/>
        </w:rPr>
        <w:t xml:space="preserve"> T. S.; </w:t>
      </w:r>
      <w:r w:rsidRPr="003D759B">
        <w:rPr>
          <w:rFonts w:eastAsia="Times New Roman"/>
          <w:sz w:val="20"/>
          <w:szCs w:val="20"/>
          <w:lang w:val="en-US"/>
        </w:rPr>
        <w:t>Shul’ts,</w:t>
      </w:r>
      <w:r w:rsidR="00086B16">
        <w:rPr>
          <w:rFonts w:eastAsia="Times New Roman"/>
          <w:sz w:val="20"/>
          <w:szCs w:val="20"/>
          <w:lang w:val="en-US"/>
        </w:rPr>
        <w:t xml:space="preserve"> E. E.; </w:t>
      </w:r>
      <w:r w:rsidRPr="003D759B">
        <w:rPr>
          <w:rFonts w:eastAsia="Times New Roman"/>
          <w:sz w:val="20"/>
          <w:szCs w:val="20"/>
          <w:lang w:val="en-US"/>
        </w:rPr>
        <w:t>Kukina,</w:t>
      </w:r>
      <w:r w:rsidR="00086B16">
        <w:rPr>
          <w:rFonts w:eastAsia="Times New Roman"/>
          <w:sz w:val="20"/>
          <w:szCs w:val="20"/>
          <w:lang w:val="en-US"/>
        </w:rPr>
        <w:t xml:space="preserve"> T. P.; </w:t>
      </w:r>
      <w:r w:rsidRPr="003D759B">
        <w:rPr>
          <w:rFonts w:eastAsia="Times New Roman"/>
          <w:sz w:val="20"/>
          <w:szCs w:val="20"/>
          <w:lang w:val="en-US"/>
        </w:rPr>
        <w:t>Sinitsyna,</w:t>
      </w:r>
      <w:r w:rsidR="00086B16">
        <w:rPr>
          <w:rFonts w:eastAsia="Times New Roman"/>
          <w:sz w:val="20"/>
          <w:szCs w:val="20"/>
          <w:lang w:val="en-US"/>
        </w:rPr>
        <w:t xml:space="preserve"> O. I.; </w:t>
      </w:r>
      <w:r w:rsidRPr="003D759B">
        <w:rPr>
          <w:rFonts w:eastAsia="Times New Roman"/>
          <w:sz w:val="20"/>
          <w:szCs w:val="20"/>
          <w:lang w:val="en-US"/>
        </w:rPr>
        <w:t>Tolstikov,</w:t>
      </w:r>
      <w:r w:rsidR="00086B16">
        <w:rPr>
          <w:rFonts w:eastAsia="Times New Roman"/>
          <w:sz w:val="20"/>
          <w:szCs w:val="20"/>
          <w:lang w:val="en-US"/>
        </w:rPr>
        <w:t xml:space="preserve"> G. A.</w:t>
      </w:r>
      <w:r w:rsidRPr="003D759B">
        <w:rPr>
          <w:rFonts w:eastAsia="Times New Roman"/>
          <w:i/>
          <w:sz w:val="20"/>
          <w:szCs w:val="20"/>
          <w:lang w:val="en-US"/>
        </w:rPr>
        <w:t>Chem</w:t>
      </w:r>
      <w:r w:rsidR="00086B16">
        <w:rPr>
          <w:rFonts w:eastAsia="Times New Roman"/>
          <w:i/>
          <w:sz w:val="20"/>
          <w:szCs w:val="20"/>
          <w:lang w:val="en-US"/>
        </w:rPr>
        <w:t>.</w:t>
      </w:r>
      <w:r w:rsidRPr="003D759B">
        <w:rPr>
          <w:rFonts w:eastAsia="Times New Roman"/>
          <w:i/>
          <w:sz w:val="20"/>
          <w:szCs w:val="20"/>
          <w:lang w:val="en-US"/>
        </w:rPr>
        <w:t xml:space="preserve"> Nat</w:t>
      </w:r>
      <w:r w:rsidR="00086B16">
        <w:rPr>
          <w:rFonts w:eastAsia="Times New Roman"/>
          <w:i/>
          <w:sz w:val="20"/>
          <w:szCs w:val="20"/>
          <w:lang w:val="en-US"/>
        </w:rPr>
        <w:t>.</w:t>
      </w:r>
      <w:r w:rsidRPr="003D759B">
        <w:rPr>
          <w:rFonts w:eastAsia="Times New Roman"/>
          <w:i/>
          <w:sz w:val="20"/>
          <w:szCs w:val="20"/>
          <w:lang w:val="en-US"/>
        </w:rPr>
        <w:t xml:space="preserve"> Compounds</w:t>
      </w:r>
      <w:r w:rsidRPr="003D759B">
        <w:rPr>
          <w:rFonts w:eastAsia="Times New Roman"/>
          <w:b/>
          <w:sz w:val="20"/>
          <w:szCs w:val="20"/>
          <w:bdr w:val="none" w:sz="0" w:space="0" w:color="auto" w:frame="1"/>
          <w:lang w:val="en-US"/>
        </w:rPr>
        <w:t xml:space="preserve"> 2013</w:t>
      </w:r>
      <w:r w:rsidRPr="003D759B">
        <w:rPr>
          <w:rFonts w:eastAsia="Times New Roman"/>
          <w:sz w:val="20"/>
          <w:szCs w:val="20"/>
          <w:lang w:val="en-US"/>
        </w:rPr>
        <w:t>,</w:t>
      </w:r>
      <w:r w:rsidRPr="00086B16">
        <w:rPr>
          <w:rFonts w:eastAsia="Times New Roman"/>
          <w:i/>
          <w:sz w:val="20"/>
          <w:szCs w:val="20"/>
          <w:bdr w:val="none" w:sz="0" w:space="0" w:color="auto" w:frame="1"/>
          <w:lang w:val="en-US"/>
        </w:rPr>
        <w:t>49</w:t>
      </w:r>
      <w:r w:rsidRPr="003D759B">
        <w:rPr>
          <w:rFonts w:eastAsia="Times New Roman"/>
          <w:sz w:val="20"/>
          <w:szCs w:val="20"/>
          <w:lang w:val="en-US"/>
        </w:rPr>
        <w:t xml:space="preserve">, </w:t>
      </w:r>
      <w:r w:rsidRPr="003D759B">
        <w:rPr>
          <w:rFonts w:eastAsia="Times New Roman"/>
          <w:sz w:val="20"/>
          <w:szCs w:val="20"/>
          <w:bdr w:val="none" w:sz="0" w:space="0" w:color="auto" w:frame="1"/>
          <w:lang w:val="en-US"/>
        </w:rPr>
        <w:t>657. (</w:t>
      </w:r>
      <w:r w:rsidR="00086B16">
        <w:rPr>
          <w:rFonts w:eastAsia="Times New Roman"/>
          <w:sz w:val="20"/>
          <w:szCs w:val="20"/>
          <w:bdr w:val="none" w:sz="0" w:space="0" w:color="auto" w:frame="1"/>
          <w:lang w:val="en-US"/>
        </w:rPr>
        <w:t>h</w:t>
      </w:r>
      <w:r w:rsidRPr="003D759B">
        <w:rPr>
          <w:rFonts w:eastAsia="Times New Roman"/>
          <w:sz w:val="20"/>
          <w:szCs w:val="20"/>
          <w:bdr w:val="none" w:sz="0" w:space="0" w:color="auto" w:frame="1"/>
          <w:lang w:val="en-US"/>
        </w:rPr>
        <w:t>)</w:t>
      </w:r>
      <w:r w:rsidRPr="003D759B">
        <w:rPr>
          <w:rFonts w:eastAsia="Times New Roman"/>
          <w:sz w:val="20"/>
          <w:szCs w:val="20"/>
          <w:lang w:val="en-US"/>
        </w:rPr>
        <w:t xml:space="preserve"> Rashid,</w:t>
      </w:r>
      <w:r w:rsidR="00EC54BE">
        <w:rPr>
          <w:rFonts w:eastAsia="Times New Roman"/>
          <w:sz w:val="20"/>
          <w:szCs w:val="20"/>
          <w:lang w:val="en-US"/>
        </w:rPr>
        <w:t xml:space="preserve"> S.; </w:t>
      </w:r>
      <w:r w:rsidRPr="003D759B">
        <w:rPr>
          <w:rFonts w:eastAsia="Times New Roman"/>
          <w:sz w:val="20"/>
          <w:szCs w:val="20"/>
          <w:lang w:val="en-US"/>
        </w:rPr>
        <w:t>Ahmad Dar,</w:t>
      </w:r>
      <w:r w:rsidR="00EC54BE">
        <w:rPr>
          <w:rFonts w:eastAsia="Times New Roman"/>
          <w:sz w:val="20"/>
          <w:szCs w:val="20"/>
          <w:lang w:val="en-US"/>
        </w:rPr>
        <w:t xml:space="preserve"> B.; </w:t>
      </w:r>
      <w:hyperlink r:id="rId19" w:history="1">
        <w:r w:rsidRPr="003D759B">
          <w:rPr>
            <w:rFonts w:eastAsia="Times New Roman"/>
            <w:sz w:val="20"/>
            <w:szCs w:val="20"/>
            <w:lang w:val="en-US"/>
          </w:rPr>
          <w:t>Majeed</w:t>
        </w:r>
      </w:hyperlink>
      <w:r w:rsidRPr="003D759B">
        <w:rPr>
          <w:rFonts w:eastAsia="Times New Roman"/>
          <w:sz w:val="20"/>
          <w:szCs w:val="20"/>
          <w:lang w:val="en-US"/>
        </w:rPr>
        <w:t>,</w:t>
      </w:r>
      <w:r w:rsidR="00EC54BE">
        <w:rPr>
          <w:rFonts w:eastAsia="Times New Roman"/>
          <w:sz w:val="20"/>
          <w:szCs w:val="20"/>
          <w:lang w:val="en-US"/>
        </w:rPr>
        <w:t xml:space="preserve"> R.; </w:t>
      </w:r>
      <w:r w:rsidRPr="003D759B">
        <w:rPr>
          <w:rFonts w:eastAsia="Times New Roman"/>
          <w:sz w:val="20"/>
          <w:szCs w:val="20"/>
          <w:lang w:val="en-US"/>
        </w:rPr>
        <w:t>Hamid,</w:t>
      </w:r>
      <w:r w:rsidR="00EC54BE">
        <w:rPr>
          <w:rFonts w:eastAsia="Times New Roman"/>
          <w:sz w:val="20"/>
          <w:szCs w:val="20"/>
          <w:lang w:val="en-US"/>
        </w:rPr>
        <w:t xml:space="preserve"> A.; </w:t>
      </w:r>
      <w:r w:rsidRPr="003D759B">
        <w:rPr>
          <w:rFonts w:eastAsia="Times New Roman"/>
          <w:sz w:val="20"/>
          <w:szCs w:val="20"/>
          <w:lang w:val="en-US"/>
        </w:rPr>
        <w:t>Ahmad Bhat,</w:t>
      </w:r>
      <w:r w:rsidR="00EC54BE">
        <w:rPr>
          <w:rFonts w:eastAsia="Times New Roman"/>
          <w:sz w:val="20"/>
          <w:szCs w:val="20"/>
          <w:lang w:val="en-US"/>
        </w:rPr>
        <w:t xml:space="preserve"> B.</w:t>
      </w:r>
      <w:r w:rsidRPr="003D759B">
        <w:rPr>
          <w:rFonts w:eastAsia="Times New Roman"/>
          <w:i/>
          <w:sz w:val="20"/>
          <w:szCs w:val="20"/>
          <w:lang w:val="en-US"/>
        </w:rPr>
        <w:t>Eur</w:t>
      </w:r>
      <w:r w:rsidR="00EC54BE">
        <w:rPr>
          <w:rFonts w:eastAsia="Times New Roman"/>
          <w:i/>
          <w:sz w:val="20"/>
          <w:szCs w:val="20"/>
          <w:lang w:val="en-US"/>
        </w:rPr>
        <w:t>.</w:t>
      </w:r>
      <w:r w:rsidRPr="003D759B">
        <w:rPr>
          <w:rFonts w:eastAsia="Times New Roman"/>
          <w:i/>
          <w:sz w:val="20"/>
          <w:szCs w:val="20"/>
          <w:lang w:val="en-US"/>
        </w:rPr>
        <w:t xml:space="preserve"> J</w:t>
      </w:r>
      <w:r w:rsidR="00EC54BE">
        <w:rPr>
          <w:rFonts w:eastAsia="Times New Roman"/>
          <w:i/>
          <w:sz w:val="20"/>
          <w:szCs w:val="20"/>
          <w:lang w:val="en-US"/>
        </w:rPr>
        <w:t>.</w:t>
      </w:r>
      <w:r w:rsidRPr="003D759B">
        <w:rPr>
          <w:rFonts w:eastAsia="Times New Roman"/>
          <w:i/>
          <w:sz w:val="20"/>
          <w:szCs w:val="20"/>
          <w:lang w:val="en-US"/>
        </w:rPr>
        <w:t xml:space="preserve"> Med</w:t>
      </w:r>
      <w:r w:rsidR="00EC54BE">
        <w:rPr>
          <w:rFonts w:eastAsia="Times New Roman"/>
          <w:i/>
          <w:sz w:val="20"/>
          <w:szCs w:val="20"/>
          <w:lang w:val="en-US"/>
        </w:rPr>
        <w:t>.</w:t>
      </w:r>
      <w:r w:rsidRPr="003D759B">
        <w:rPr>
          <w:rFonts w:eastAsia="Times New Roman"/>
          <w:i/>
          <w:sz w:val="20"/>
          <w:szCs w:val="20"/>
          <w:lang w:val="en-US"/>
        </w:rPr>
        <w:t xml:space="preserve"> Chem</w:t>
      </w:r>
      <w:r w:rsidR="00EC54BE">
        <w:rPr>
          <w:rFonts w:eastAsia="Times New Roman"/>
          <w:i/>
          <w:sz w:val="20"/>
          <w:szCs w:val="20"/>
          <w:lang w:val="en-US"/>
        </w:rPr>
        <w:t>.</w:t>
      </w:r>
      <w:r w:rsidRPr="003D759B">
        <w:rPr>
          <w:rFonts w:eastAsia="Times New Roman"/>
          <w:b/>
          <w:sz w:val="20"/>
          <w:szCs w:val="20"/>
          <w:lang w:val="en-US"/>
        </w:rPr>
        <w:t>2013</w:t>
      </w:r>
      <w:r w:rsidRPr="003D759B">
        <w:rPr>
          <w:rFonts w:eastAsia="Times New Roman"/>
          <w:sz w:val="20"/>
          <w:szCs w:val="20"/>
          <w:lang w:val="en-US"/>
        </w:rPr>
        <w:t xml:space="preserve">, </w:t>
      </w:r>
      <w:r w:rsidRPr="003D759B">
        <w:rPr>
          <w:rFonts w:eastAsia="Times New Roman"/>
          <w:i/>
          <w:sz w:val="20"/>
          <w:szCs w:val="20"/>
          <w:lang w:val="en-US"/>
        </w:rPr>
        <w:t>66</w:t>
      </w:r>
      <w:r w:rsidRPr="003D759B">
        <w:rPr>
          <w:rFonts w:eastAsia="Times New Roman"/>
          <w:sz w:val="20"/>
          <w:szCs w:val="20"/>
          <w:lang w:val="en-US"/>
        </w:rPr>
        <w:t>, 238.</w:t>
      </w:r>
    </w:p>
  </w:endnote>
  <w:endnote w:id="7">
    <w:p w:rsidR="00FF6F19" w:rsidRPr="003D759B" w:rsidRDefault="00FF6F19" w:rsidP="003D759B">
      <w:pPr>
        <w:pStyle w:val="Eindnoottekst"/>
        <w:jc w:val="both"/>
        <w:rPr>
          <w:lang w:val="en-US"/>
        </w:rPr>
      </w:pPr>
      <w:r w:rsidRPr="003D759B">
        <w:rPr>
          <w:rStyle w:val="Eindnootmarkering"/>
        </w:rPr>
        <w:endnoteRef/>
      </w:r>
      <w:r w:rsidRPr="003D759B">
        <w:rPr>
          <w:lang w:val="en-US"/>
        </w:rPr>
        <w:t xml:space="preserve"> For a few examples, see: (a) De lasHeras, F.G.; Alonso, R.; Alonso, G.J. </w:t>
      </w:r>
      <w:r w:rsidRPr="003D759B">
        <w:rPr>
          <w:i/>
          <w:iCs/>
          <w:lang w:val="en-US"/>
        </w:rPr>
        <w:t xml:space="preserve">J. Med. Chem. </w:t>
      </w:r>
      <w:r w:rsidRPr="003D759B">
        <w:rPr>
          <w:b/>
          <w:bCs/>
          <w:lang w:val="en-US"/>
        </w:rPr>
        <w:t>1979</w:t>
      </w:r>
      <w:r w:rsidRPr="003D759B">
        <w:rPr>
          <w:lang w:val="en-US"/>
        </w:rPr>
        <w:t xml:space="preserve">, </w:t>
      </w:r>
      <w:r w:rsidRPr="003D759B">
        <w:rPr>
          <w:i/>
          <w:iCs/>
          <w:lang w:val="en-US"/>
        </w:rPr>
        <w:t>22</w:t>
      </w:r>
      <w:r w:rsidRPr="003D759B">
        <w:rPr>
          <w:lang w:val="en-US"/>
        </w:rPr>
        <w:t xml:space="preserve">, 496. (b) Alonso, R.; Camarasa, M.J.; Alonso, G.; De Las Heras, F.G. </w:t>
      </w:r>
      <w:r w:rsidRPr="003D759B">
        <w:rPr>
          <w:i/>
          <w:iCs/>
          <w:lang w:val="en-US"/>
        </w:rPr>
        <w:t xml:space="preserve">Eur. J. Med. Chem. </w:t>
      </w:r>
      <w:r w:rsidRPr="003D759B">
        <w:rPr>
          <w:b/>
          <w:bCs/>
          <w:lang w:val="en-US"/>
        </w:rPr>
        <w:t>1980</w:t>
      </w:r>
      <w:r w:rsidRPr="003D759B">
        <w:rPr>
          <w:lang w:val="en-US"/>
        </w:rPr>
        <w:t xml:space="preserve">, </w:t>
      </w:r>
      <w:r w:rsidRPr="003D759B">
        <w:rPr>
          <w:i/>
          <w:iCs/>
          <w:lang w:val="en-US"/>
        </w:rPr>
        <w:t>15</w:t>
      </w:r>
      <w:r w:rsidRPr="003D759B">
        <w:rPr>
          <w:lang w:val="en-US"/>
        </w:rPr>
        <w:t xml:space="preserve">, 105. (c) Cho, S.; Oh, S.; Uma, Y.; Jung, J.-H.; Hamc, J.; Shin, W.-S.; Lee, S. </w:t>
      </w:r>
      <w:r w:rsidRPr="003D759B">
        <w:rPr>
          <w:i/>
          <w:iCs/>
          <w:lang w:val="en-US"/>
        </w:rPr>
        <w:t>Bioorg. Med. Chem</w:t>
      </w:r>
      <w:r w:rsidRPr="003D759B">
        <w:rPr>
          <w:lang w:val="en-US"/>
        </w:rPr>
        <w:t xml:space="preserve">. </w:t>
      </w:r>
      <w:r w:rsidRPr="003D759B">
        <w:rPr>
          <w:i/>
          <w:iCs/>
          <w:lang w:val="en-US"/>
        </w:rPr>
        <w:t xml:space="preserve">Lett. </w:t>
      </w:r>
      <w:r w:rsidRPr="003D759B">
        <w:rPr>
          <w:b/>
          <w:bCs/>
          <w:lang w:val="en-US"/>
        </w:rPr>
        <w:t>2009</w:t>
      </w:r>
      <w:r w:rsidRPr="003D759B">
        <w:rPr>
          <w:lang w:val="en-US"/>
        </w:rPr>
        <w:t xml:space="preserve">, </w:t>
      </w:r>
      <w:r w:rsidRPr="003D759B">
        <w:rPr>
          <w:i/>
          <w:iCs/>
          <w:lang w:val="en-US"/>
        </w:rPr>
        <w:t>19</w:t>
      </w:r>
      <w:r w:rsidRPr="003D759B">
        <w:rPr>
          <w:lang w:val="en-US"/>
        </w:rPr>
        <w:t>, 382. (d) Bilat, A.B.</w:t>
      </w:r>
      <w:r w:rsidR="00CB1C17">
        <w:rPr>
          <w:lang w:val="en-US"/>
        </w:rPr>
        <w:t>;</w:t>
      </w:r>
      <w:r w:rsidRPr="003D759B">
        <w:rPr>
          <w:lang w:val="en-US"/>
        </w:rPr>
        <w:t>Bhaska, P.R.</w:t>
      </w:r>
      <w:r w:rsidR="00CB1C17">
        <w:rPr>
          <w:lang w:val="en-US"/>
        </w:rPr>
        <w:t>;</w:t>
      </w:r>
      <w:r w:rsidRPr="003D759B">
        <w:rPr>
          <w:lang w:val="en-US"/>
        </w:rPr>
        <w:t xml:space="preserve"> Agrawal, S.K.</w:t>
      </w:r>
      <w:r w:rsidR="00CB1C17">
        <w:rPr>
          <w:lang w:val="en-US"/>
        </w:rPr>
        <w:t>;</w:t>
      </w:r>
      <w:r w:rsidRPr="003D759B">
        <w:rPr>
          <w:lang w:val="en-US"/>
        </w:rPr>
        <w:t>Saxena, A.K.</w:t>
      </w:r>
      <w:r w:rsidR="00CB1C17">
        <w:rPr>
          <w:lang w:val="en-US"/>
        </w:rPr>
        <w:t>;</w:t>
      </w:r>
      <w:r w:rsidRPr="003D759B">
        <w:rPr>
          <w:lang w:val="en-US"/>
        </w:rPr>
        <w:t>Sampath Kumar, H. M.</w:t>
      </w:r>
      <w:r w:rsidR="00CB1C17">
        <w:rPr>
          <w:lang w:val="en-US"/>
        </w:rPr>
        <w:t>;</w:t>
      </w:r>
      <w:r w:rsidRPr="003D759B">
        <w:rPr>
          <w:lang w:val="en-US"/>
        </w:rPr>
        <w:t xml:space="preserve">Qazi, G.N. </w:t>
      </w:r>
      <w:r w:rsidRPr="00CB1C17">
        <w:rPr>
          <w:i/>
          <w:lang w:val="en-US"/>
        </w:rPr>
        <w:t xml:space="preserve">Eur. J. Med. </w:t>
      </w:r>
      <w:r w:rsidRPr="00CB1C17">
        <w:rPr>
          <w:i/>
        </w:rPr>
        <w:t>Chem.</w:t>
      </w:r>
      <w:r w:rsidRPr="00CB1C17">
        <w:rPr>
          <w:b/>
        </w:rPr>
        <w:t>2008</w:t>
      </w:r>
      <w:r w:rsidRPr="003D759B">
        <w:t xml:space="preserve">, </w:t>
      </w:r>
      <w:r w:rsidRPr="00CB1C17">
        <w:rPr>
          <w:i/>
        </w:rPr>
        <w:t>43</w:t>
      </w:r>
      <w:r w:rsidRPr="003D759B">
        <w:t xml:space="preserve">, 2067. (e) Kádár, Z.; Molnár, J.; Schneider, G.; Zupkó, I.; Frank, E. </w:t>
      </w:r>
      <w:r w:rsidRPr="003D759B">
        <w:rPr>
          <w:i/>
          <w:iCs/>
        </w:rPr>
        <w:t xml:space="preserve">Bioorg. </w:t>
      </w:r>
      <w:r w:rsidRPr="003D759B">
        <w:rPr>
          <w:i/>
          <w:iCs/>
          <w:lang w:val="en-US"/>
        </w:rPr>
        <w:t>Med. Chem</w:t>
      </w:r>
      <w:r w:rsidRPr="003D759B">
        <w:rPr>
          <w:lang w:val="en-US"/>
        </w:rPr>
        <w:t xml:space="preserve">. </w:t>
      </w:r>
      <w:r w:rsidRPr="003D759B">
        <w:rPr>
          <w:b/>
          <w:bCs/>
          <w:lang w:val="en-US"/>
        </w:rPr>
        <w:t>2012</w:t>
      </w:r>
      <w:r w:rsidRPr="003D759B">
        <w:rPr>
          <w:lang w:val="en-US"/>
        </w:rPr>
        <w:t xml:space="preserve">, </w:t>
      </w:r>
      <w:r w:rsidRPr="003D759B">
        <w:rPr>
          <w:i/>
          <w:iCs/>
          <w:lang w:val="en-US"/>
        </w:rPr>
        <w:t>20</w:t>
      </w:r>
      <w:r w:rsidRPr="003D759B">
        <w:rPr>
          <w:lang w:val="en-US"/>
        </w:rPr>
        <w:t xml:space="preserve">, 1396. (f) Duan, Y.-C.; Ma, Y.-C.; Zhang, E.; Shi, X.-J.; Wang, M.-M.; Ye, X.-W.; Liu, H.-M. </w:t>
      </w:r>
      <w:r w:rsidRPr="003D759B">
        <w:rPr>
          <w:i/>
          <w:iCs/>
          <w:lang w:val="en-US"/>
        </w:rPr>
        <w:t xml:space="preserve">Eur. J.Med. Chem. </w:t>
      </w:r>
      <w:r w:rsidRPr="003D759B">
        <w:rPr>
          <w:b/>
          <w:bCs/>
          <w:lang w:val="en-US"/>
        </w:rPr>
        <w:t>2013</w:t>
      </w:r>
      <w:r w:rsidRPr="003D759B">
        <w:rPr>
          <w:lang w:val="en-US"/>
        </w:rPr>
        <w:t xml:space="preserve">, </w:t>
      </w:r>
      <w:r w:rsidRPr="003D759B">
        <w:rPr>
          <w:i/>
          <w:iCs/>
          <w:lang w:val="en-US"/>
        </w:rPr>
        <w:t>62</w:t>
      </w:r>
      <w:r w:rsidRPr="003D759B">
        <w:rPr>
          <w:lang w:val="en-US"/>
        </w:rPr>
        <w:t>, 11.</w:t>
      </w:r>
    </w:p>
  </w:endnote>
  <w:endnote w:id="8">
    <w:p w:rsidR="00FF6F19" w:rsidRPr="003D759B" w:rsidRDefault="00FF6F19" w:rsidP="003D759B">
      <w:pPr>
        <w:pStyle w:val="Eindnoottekst"/>
        <w:jc w:val="both"/>
        <w:rPr>
          <w:lang w:val="en-US"/>
        </w:rPr>
      </w:pPr>
      <w:r w:rsidRPr="003D759B">
        <w:rPr>
          <w:rStyle w:val="Eindnootmarkering"/>
        </w:rPr>
        <w:endnoteRef/>
      </w:r>
      <w:r w:rsidRPr="003D759B">
        <w:rPr>
          <w:lang w:val="en-US"/>
        </w:rPr>
        <w:t xml:space="preserve"> Hein, J. E.; Fokin, V. V. </w:t>
      </w:r>
      <w:r w:rsidRPr="003D759B">
        <w:rPr>
          <w:i/>
          <w:lang w:val="en-US"/>
        </w:rPr>
        <w:t>Chem. Soc. Rev.</w:t>
      </w:r>
      <w:r w:rsidRPr="003D759B">
        <w:rPr>
          <w:b/>
          <w:lang w:val="en-US"/>
        </w:rPr>
        <w:t>2010</w:t>
      </w:r>
      <w:r w:rsidRPr="003D759B">
        <w:rPr>
          <w:lang w:val="en-US"/>
        </w:rPr>
        <w:t xml:space="preserve">, </w:t>
      </w:r>
      <w:r w:rsidRPr="003D759B">
        <w:rPr>
          <w:i/>
          <w:lang w:val="en-US"/>
        </w:rPr>
        <w:t>39</w:t>
      </w:r>
      <w:r w:rsidRPr="003D759B">
        <w:rPr>
          <w:lang w:val="en-US"/>
        </w:rPr>
        <w:t>, 1302.</w:t>
      </w:r>
    </w:p>
  </w:endnote>
  <w:endnote w:id="9">
    <w:p w:rsidR="00FF6F19" w:rsidRPr="00234492" w:rsidRDefault="00FF6F19" w:rsidP="003D759B">
      <w:pPr>
        <w:pStyle w:val="Eindnoottekst"/>
        <w:jc w:val="both"/>
        <w:rPr>
          <w:lang w:val="en-US"/>
        </w:rPr>
      </w:pPr>
      <w:r w:rsidRPr="003D759B">
        <w:rPr>
          <w:rStyle w:val="Eindnootmarkering"/>
        </w:rPr>
        <w:endnoteRef/>
      </w:r>
      <w:r w:rsidRPr="00234492">
        <w:t xml:space="preserve"> Van Loc,</w:t>
      </w:r>
      <w:r w:rsidR="00234492" w:rsidRPr="00234492">
        <w:t xml:space="preserve"> T.</w:t>
      </w:r>
      <w:r w:rsidR="00234492">
        <w:t>;</w:t>
      </w:r>
      <w:r w:rsidRPr="00234492">
        <w:t xml:space="preserve"> Van Sung,</w:t>
      </w:r>
      <w:r w:rsidR="00234492">
        <w:t xml:space="preserve"> T.; Kamperdick, C; Adam, G.</w:t>
      </w:r>
      <w:r w:rsidRPr="00234492">
        <w:rPr>
          <w:i/>
        </w:rPr>
        <w:t xml:space="preserve">J. Pract. </w:t>
      </w:r>
      <w:r w:rsidRPr="00234492">
        <w:rPr>
          <w:i/>
          <w:lang w:val="en-US"/>
        </w:rPr>
        <w:t>Chem.</w:t>
      </w:r>
      <w:r w:rsidRPr="00234492">
        <w:rPr>
          <w:b/>
          <w:lang w:val="en-US"/>
        </w:rPr>
        <w:t>200</w:t>
      </w:r>
      <w:r w:rsidR="00234492">
        <w:rPr>
          <w:b/>
          <w:lang w:val="en-US"/>
        </w:rPr>
        <w:t>0</w:t>
      </w:r>
      <w:r w:rsidRPr="00234492">
        <w:rPr>
          <w:lang w:val="en-US"/>
        </w:rPr>
        <w:t xml:space="preserve">, </w:t>
      </w:r>
      <w:r w:rsidRPr="00234492">
        <w:rPr>
          <w:i/>
          <w:lang w:val="en-US"/>
        </w:rPr>
        <w:t>342</w:t>
      </w:r>
      <w:r w:rsidR="00234492">
        <w:rPr>
          <w:lang w:val="en-US"/>
        </w:rPr>
        <w:t>, 63</w:t>
      </w:r>
      <w:r w:rsidRPr="00234492">
        <w:rPr>
          <w:lang w:val="en-US"/>
        </w:rPr>
        <w:t>.</w:t>
      </w:r>
    </w:p>
  </w:endnote>
  <w:endnote w:id="10">
    <w:p w:rsidR="00FF6F19" w:rsidRPr="003D759B" w:rsidRDefault="00FF6F19" w:rsidP="003D759B">
      <w:pPr>
        <w:pStyle w:val="Eindnoottekst"/>
        <w:jc w:val="both"/>
        <w:rPr>
          <w:lang w:val="en-US"/>
        </w:rPr>
      </w:pPr>
      <w:r w:rsidRPr="003D759B">
        <w:rPr>
          <w:rStyle w:val="Eindnootmarkering"/>
        </w:rPr>
        <w:endnoteRef/>
      </w:r>
      <w:r w:rsidR="00234492">
        <w:rPr>
          <w:lang w:val="en-US"/>
        </w:rPr>
        <w:t>Kim, S. H.;</w:t>
      </w:r>
      <w:r w:rsidRPr="003D759B">
        <w:rPr>
          <w:lang w:val="en-US"/>
        </w:rPr>
        <w:t xml:space="preserve"> Chen. Z.</w:t>
      </w:r>
      <w:r w:rsidR="00234492">
        <w:rPr>
          <w:lang w:val="en-US"/>
        </w:rPr>
        <w:t>;</w:t>
      </w:r>
      <w:r w:rsidRPr="003D759B">
        <w:rPr>
          <w:lang w:val="en-US"/>
        </w:rPr>
        <w:t>Tuyen Nguyen, V.</w:t>
      </w:r>
      <w:r w:rsidR="00234492">
        <w:rPr>
          <w:lang w:val="en-US"/>
        </w:rPr>
        <w:t>;</w:t>
      </w:r>
      <w:r w:rsidRPr="003D759B">
        <w:rPr>
          <w:lang w:val="en-US"/>
        </w:rPr>
        <w:t>Pezzuto, Z. M.</w:t>
      </w:r>
      <w:r w:rsidR="00234492">
        <w:rPr>
          <w:lang w:val="en-US"/>
        </w:rPr>
        <w:t>;</w:t>
      </w:r>
      <w:r w:rsidRPr="003D759B">
        <w:rPr>
          <w:lang w:val="en-US"/>
        </w:rPr>
        <w:t xml:space="preserve"> Qui, S.</w:t>
      </w:r>
      <w:r w:rsidR="00234492">
        <w:rPr>
          <w:lang w:val="en-US"/>
        </w:rPr>
        <w:t>;</w:t>
      </w:r>
      <w:r w:rsidRPr="003D759B">
        <w:rPr>
          <w:lang w:val="en-US"/>
        </w:rPr>
        <w:t xml:space="preserve"> Lu, Z. </w:t>
      </w:r>
      <w:r w:rsidRPr="00234492">
        <w:rPr>
          <w:i/>
          <w:lang w:val="en-US"/>
        </w:rPr>
        <w:t>Synth</w:t>
      </w:r>
      <w:r w:rsidR="00234492" w:rsidRPr="00234492">
        <w:rPr>
          <w:i/>
          <w:lang w:val="en-US"/>
        </w:rPr>
        <w:t>.</w:t>
      </w:r>
      <w:r w:rsidRPr="00234492">
        <w:rPr>
          <w:i/>
          <w:lang w:val="en-US"/>
        </w:rPr>
        <w:t>Commun</w:t>
      </w:r>
      <w:r w:rsidR="00234492" w:rsidRPr="00234492">
        <w:rPr>
          <w:i/>
          <w:lang w:val="en-US"/>
        </w:rPr>
        <w:t>.</w:t>
      </w:r>
      <w:r w:rsidRPr="00234492">
        <w:rPr>
          <w:b/>
          <w:lang w:val="en-US"/>
        </w:rPr>
        <w:t>2003</w:t>
      </w:r>
      <w:r w:rsidRPr="003D759B">
        <w:rPr>
          <w:lang w:val="en-US"/>
        </w:rPr>
        <w:t xml:space="preserve">, </w:t>
      </w:r>
      <w:r w:rsidRPr="00234492">
        <w:rPr>
          <w:i/>
          <w:lang w:val="en-US"/>
        </w:rPr>
        <w:t>27</w:t>
      </w:r>
      <w:r w:rsidRPr="003D759B">
        <w:rPr>
          <w:lang w:val="en-US"/>
        </w:rPr>
        <w:t>, 1607.</w:t>
      </w:r>
    </w:p>
  </w:endnote>
  <w:endnote w:id="11">
    <w:p w:rsidR="00FF6F19" w:rsidRPr="00343431" w:rsidRDefault="00FF6F19" w:rsidP="003D759B">
      <w:pPr>
        <w:pStyle w:val="Eindnoottekst"/>
        <w:jc w:val="both"/>
        <w:rPr>
          <w:lang w:val="en-US"/>
        </w:rPr>
      </w:pPr>
      <w:r w:rsidRPr="003D759B">
        <w:rPr>
          <w:rStyle w:val="Eindnootmarkering"/>
        </w:rPr>
        <w:endnoteRef/>
      </w:r>
      <w:r w:rsidRPr="003D759B">
        <w:rPr>
          <w:rFonts w:eastAsia="Times New Roman"/>
          <w:color w:val="000000"/>
          <w:lang w:val="en-US"/>
        </w:rPr>
        <w:t>(a) Lischewski, M.</w:t>
      </w:r>
      <w:r w:rsidR="00343431">
        <w:rPr>
          <w:rFonts w:eastAsia="Times New Roman"/>
          <w:color w:val="000000"/>
          <w:lang w:val="en-US"/>
        </w:rPr>
        <w:t>;</w:t>
      </w:r>
      <w:r w:rsidRPr="003D759B">
        <w:rPr>
          <w:rFonts w:eastAsia="Times New Roman"/>
          <w:color w:val="000000"/>
          <w:lang w:val="en-US"/>
        </w:rPr>
        <w:t xml:space="preserve"> Ty, P. D.</w:t>
      </w:r>
      <w:r w:rsidR="00343431">
        <w:rPr>
          <w:rFonts w:eastAsia="Times New Roman"/>
          <w:color w:val="000000"/>
          <w:lang w:val="en-US"/>
        </w:rPr>
        <w:t>;</w:t>
      </w:r>
      <w:r w:rsidRPr="003D759B">
        <w:rPr>
          <w:rFonts w:eastAsia="Times New Roman"/>
          <w:color w:val="000000"/>
          <w:lang w:val="en-US"/>
        </w:rPr>
        <w:t>Kutschabsky, L.</w:t>
      </w:r>
      <w:r w:rsidR="00343431">
        <w:rPr>
          <w:rFonts w:eastAsia="Times New Roman"/>
          <w:color w:val="000000"/>
          <w:lang w:val="en-US"/>
        </w:rPr>
        <w:t>;</w:t>
      </w:r>
      <w:r w:rsidRPr="003D759B">
        <w:rPr>
          <w:rFonts w:eastAsia="Times New Roman"/>
          <w:color w:val="000000"/>
          <w:lang w:val="en-US"/>
        </w:rPr>
        <w:t xml:space="preserve"> Pfeiffer, D.</w:t>
      </w:r>
      <w:r w:rsidR="00343431">
        <w:rPr>
          <w:rFonts w:eastAsia="Times New Roman"/>
          <w:color w:val="000000"/>
          <w:lang w:val="en-US"/>
        </w:rPr>
        <w:t>;</w:t>
      </w:r>
      <w:r w:rsidRPr="003D759B">
        <w:rPr>
          <w:rFonts w:eastAsia="Times New Roman"/>
          <w:color w:val="000000"/>
          <w:lang w:val="en-US"/>
        </w:rPr>
        <w:t>Phiet, H. V.</w:t>
      </w:r>
      <w:r w:rsidR="00343431">
        <w:rPr>
          <w:rFonts w:eastAsia="Times New Roman"/>
          <w:color w:val="000000"/>
          <w:lang w:val="en-US"/>
        </w:rPr>
        <w:t>;</w:t>
      </w:r>
      <w:r w:rsidRPr="003D759B">
        <w:rPr>
          <w:rFonts w:eastAsia="Times New Roman"/>
          <w:color w:val="000000"/>
          <w:lang w:val="en-US"/>
        </w:rPr>
        <w:t>Preiss, A.</w:t>
      </w:r>
      <w:r w:rsidR="00343431">
        <w:rPr>
          <w:rFonts w:eastAsia="Times New Roman"/>
          <w:color w:val="000000"/>
          <w:lang w:val="en-US"/>
        </w:rPr>
        <w:t>;</w:t>
      </w:r>
      <w:r w:rsidRPr="003D759B">
        <w:rPr>
          <w:rFonts w:eastAsia="Times New Roman"/>
          <w:color w:val="000000"/>
          <w:lang w:val="en-US"/>
        </w:rPr>
        <w:t xml:space="preserve"> Sung, T.V.</w:t>
      </w:r>
      <w:r w:rsidR="00343431">
        <w:rPr>
          <w:rFonts w:eastAsia="Times New Roman"/>
          <w:color w:val="000000"/>
          <w:lang w:val="en-US"/>
        </w:rPr>
        <w:t>;</w:t>
      </w:r>
      <w:r w:rsidRPr="003D759B">
        <w:rPr>
          <w:rFonts w:eastAsia="Times New Roman"/>
          <w:color w:val="000000"/>
          <w:lang w:val="en-US"/>
        </w:rPr>
        <w:t xml:space="preserve"> Adam, G. </w:t>
      </w:r>
      <w:r w:rsidRPr="00343431">
        <w:rPr>
          <w:rFonts w:eastAsia="Times New Roman"/>
          <w:i/>
          <w:color w:val="000000"/>
          <w:lang w:val="en-US"/>
        </w:rPr>
        <w:t>Phytochemistry</w:t>
      </w:r>
      <w:r w:rsidRPr="00343431">
        <w:rPr>
          <w:rFonts w:eastAsia="Times New Roman"/>
          <w:b/>
          <w:color w:val="000000"/>
          <w:lang w:val="en-US"/>
        </w:rPr>
        <w:t>1985</w:t>
      </w:r>
      <w:r w:rsidRPr="003D759B">
        <w:rPr>
          <w:rFonts w:eastAsia="Times New Roman"/>
          <w:color w:val="000000"/>
          <w:lang w:val="en-US"/>
        </w:rPr>
        <w:t xml:space="preserve">, </w:t>
      </w:r>
      <w:r w:rsidRPr="00343431">
        <w:rPr>
          <w:rFonts w:eastAsia="Times New Roman"/>
          <w:i/>
          <w:color w:val="000000"/>
          <w:lang w:val="en-US"/>
        </w:rPr>
        <w:t>24</w:t>
      </w:r>
      <w:r w:rsidRPr="003D759B">
        <w:rPr>
          <w:rFonts w:eastAsia="Times New Roman"/>
          <w:color w:val="000000"/>
          <w:lang w:val="en-US"/>
        </w:rPr>
        <w:t xml:space="preserve">, 2355. </w:t>
      </w:r>
      <w:r w:rsidRPr="00343431">
        <w:rPr>
          <w:rFonts w:eastAsia="Times New Roman"/>
          <w:color w:val="000000"/>
        </w:rPr>
        <w:t>(b) Kiem, P.V.</w:t>
      </w:r>
      <w:r w:rsidR="00343431" w:rsidRPr="00343431">
        <w:rPr>
          <w:rFonts w:eastAsia="Times New Roman"/>
          <w:color w:val="000000"/>
        </w:rPr>
        <w:t>;</w:t>
      </w:r>
      <w:r w:rsidRPr="00343431">
        <w:rPr>
          <w:rFonts w:eastAsia="Times New Roman"/>
          <w:color w:val="000000"/>
        </w:rPr>
        <w:t xml:space="preserve"> Minh, C.V.</w:t>
      </w:r>
      <w:r w:rsidR="00343431">
        <w:rPr>
          <w:rFonts w:eastAsia="Times New Roman"/>
          <w:color w:val="000000"/>
        </w:rPr>
        <w:t>;</w:t>
      </w:r>
      <w:r w:rsidRPr="00343431">
        <w:rPr>
          <w:rFonts w:eastAsia="Times New Roman"/>
          <w:color w:val="000000"/>
        </w:rPr>
        <w:t xml:space="preserve"> Dat, N.T.</w:t>
      </w:r>
      <w:r w:rsidR="00343431">
        <w:rPr>
          <w:rFonts w:eastAsia="Times New Roman"/>
          <w:color w:val="000000"/>
        </w:rPr>
        <w:t>;</w:t>
      </w:r>
      <w:r w:rsidRPr="00343431">
        <w:rPr>
          <w:rFonts w:eastAsia="Times New Roman"/>
          <w:color w:val="000000"/>
        </w:rPr>
        <w:t xml:space="preserve"> Lee, J.J.</w:t>
      </w:r>
      <w:r w:rsidR="00343431">
        <w:rPr>
          <w:rFonts w:eastAsia="Times New Roman"/>
          <w:color w:val="000000"/>
        </w:rPr>
        <w:t>;</w:t>
      </w:r>
      <w:r w:rsidRPr="00343431">
        <w:rPr>
          <w:rFonts w:eastAsia="Times New Roman"/>
          <w:color w:val="000000"/>
        </w:rPr>
        <w:t xml:space="preserve"> Kim, Y.H. </w:t>
      </w:r>
      <w:r w:rsidRPr="00343431">
        <w:rPr>
          <w:rFonts w:eastAsia="Times New Roman"/>
          <w:i/>
          <w:color w:val="000000"/>
        </w:rPr>
        <w:t xml:space="preserve">Chem. </w:t>
      </w:r>
      <w:r w:rsidRPr="00343431">
        <w:rPr>
          <w:rFonts w:eastAsia="Times New Roman"/>
          <w:i/>
          <w:color w:val="000000"/>
          <w:lang w:val="en-US"/>
        </w:rPr>
        <w:t>Pharm. Bull.</w:t>
      </w:r>
      <w:r w:rsidRPr="00343431">
        <w:rPr>
          <w:rFonts w:eastAsia="Times New Roman"/>
          <w:b/>
          <w:color w:val="000000"/>
          <w:lang w:val="en-US"/>
        </w:rPr>
        <w:t>2003</w:t>
      </w:r>
      <w:r w:rsidRPr="00343431">
        <w:rPr>
          <w:rFonts w:eastAsia="Times New Roman"/>
          <w:color w:val="000000"/>
          <w:lang w:val="en-US"/>
        </w:rPr>
        <w:t xml:space="preserve">, </w:t>
      </w:r>
      <w:r w:rsidRPr="00343431">
        <w:rPr>
          <w:rFonts w:eastAsia="Times New Roman"/>
          <w:i/>
          <w:color w:val="000000"/>
          <w:lang w:val="en-US"/>
        </w:rPr>
        <w:t>51</w:t>
      </w:r>
      <w:r w:rsidRPr="00343431">
        <w:rPr>
          <w:rFonts w:eastAsia="Times New Roman"/>
          <w:color w:val="000000"/>
          <w:lang w:val="en-US"/>
        </w:rPr>
        <w:t>, 1432.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93667"/>
      <w:docPartObj>
        <w:docPartGallery w:val="Page Numbers (Bottom of Page)"/>
        <w:docPartUnique/>
      </w:docPartObj>
    </w:sdtPr>
    <w:sdtContent>
      <w:p w:rsidR="00FF6F19" w:rsidRDefault="00394009">
        <w:pPr>
          <w:pStyle w:val="Voettekst"/>
          <w:jc w:val="right"/>
        </w:pPr>
        <w:r>
          <w:fldChar w:fldCharType="begin"/>
        </w:r>
        <w:r w:rsidR="00FF6F19">
          <w:instrText>PAGE   \* MERGEFORMAT</w:instrText>
        </w:r>
        <w:r>
          <w:fldChar w:fldCharType="separate"/>
        </w:r>
        <w:r w:rsidR="004058A4" w:rsidRPr="004058A4">
          <w:rPr>
            <w:noProof/>
            <w:lang w:val="nl-NL"/>
          </w:rPr>
          <w:t>1</w:t>
        </w:r>
        <w:r>
          <w:fldChar w:fldCharType="end"/>
        </w:r>
      </w:p>
    </w:sdtContent>
  </w:sdt>
  <w:p w:rsidR="00FF6F19" w:rsidRDefault="00FF6F1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D5E" w:rsidRDefault="00286D5E" w:rsidP="001B62A1">
      <w:pPr>
        <w:spacing w:after="0" w:line="240" w:lineRule="auto"/>
      </w:pPr>
      <w:r>
        <w:separator/>
      </w:r>
    </w:p>
  </w:footnote>
  <w:footnote w:type="continuationSeparator" w:id="1">
    <w:p w:rsidR="00286D5E" w:rsidRDefault="00286D5E" w:rsidP="001B6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C3E"/>
    <w:multiLevelType w:val="hybridMultilevel"/>
    <w:tmpl w:val="B3D81228"/>
    <w:lvl w:ilvl="0" w:tplc="B0B227A4">
      <w:start w:val="1"/>
      <w:numFmt w:val="decimal"/>
      <w:pStyle w:val="Ref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AE6B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C8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24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28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AC2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EF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AD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C81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234534"/>
    <w:multiLevelType w:val="multilevel"/>
    <w:tmpl w:val="6262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A4AFC"/>
    <w:multiLevelType w:val="hybridMultilevel"/>
    <w:tmpl w:val="FA12268C"/>
    <w:lvl w:ilvl="0" w:tplc="0B7603DE">
      <w:start w:val="1"/>
      <w:numFmt w:val="decimal"/>
      <w:pStyle w:val="ElsReferences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69112E"/>
    <w:multiLevelType w:val="multilevel"/>
    <w:tmpl w:val="2976199E"/>
    <w:lvl w:ilvl="0">
      <w:start w:val="1"/>
      <w:numFmt w:val="decimal"/>
      <w:pStyle w:val="Els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Els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C77241F"/>
    <w:multiLevelType w:val="hybridMultilevel"/>
    <w:tmpl w:val="9E90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FF3D25"/>
    <w:rsid w:val="00012238"/>
    <w:rsid w:val="00070660"/>
    <w:rsid w:val="000805A4"/>
    <w:rsid w:val="00086180"/>
    <w:rsid w:val="00086B16"/>
    <w:rsid w:val="00096138"/>
    <w:rsid w:val="000A6487"/>
    <w:rsid w:val="000B4660"/>
    <w:rsid w:val="000C41A4"/>
    <w:rsid w:val="000D73BE"/>
    <w:rsid w:val="00106890"/>
    <w:rsid w:val="0011008F"/>
    <w:rsid w:val="00125A89"/>
    <w:rsid w:val="00127E2D"/>
    <w:rsid w:val="001561EE"/>
    <w:rsid w:val="00164319"/>
    <w:rsid w:val="001753FE"/>
    <w:rsid w:val="00192212"/>
    <w:rsid w:val="001955FD"/>
    <w:rsid w:val="001B62A1"/>
    <w:rsid w:val="001C2DA3"/>
    <w:rsid w:val="00201116"/>
    <w:rsid w:val="0021633E"/>
    <w:rsid w:val="00234492"/>
    <w:rsid w:val="00251946"/>
    <w:rsid w:val="0025490A"/>
    <w:rsid w:val="00271C44"/>
    <w:rsid w:val="00272249"/>
    <w:rsid w:val="00286D5E"/>
    <w:rsid w:val="00296F62"/>
    <w:rsid w:val="002C4F7E"/>
    <w:rsid w:val="002E6E6A"/>
    <w:rsid w:val="002E7155"/>
    <w:rsid w:val="00313BA3"/>
    <w:rsid w:val="00317E50"/>
    <w:rsid w:val="00322132"/>
    <w:rsid w:val="0032225A"/>
    <w:rsid w:val="00325AC1"/>
    <w:rsid w:val="00343431"/>
    <w:rsid w:val="00363A82"/>
    <w:rsid w:val="00383AAA"/>
    <w:rsid w:val="0039051E"/>
    <w:rsid w:val="00394009"/>
    <w:rsid w:val="00394C26"/>
    <w:rsid w:val="003A69B7"/>
    <w:rsid w:val="003B39BB"/>
    <w:rsid w:val="003B5DE6"/>
    <w:rsid w:val="003D759B"/>
    <w:rsid w:val="004058A4"/>
    <w:rsid w:val="004209AF"/>
    <w:rsid w:val="00424193"/>
    <w:rsid w:val="00481422"/>
    <w:rsid w:val="00491D9F"/>
    <w:rsid w:val="004B1530"/>
    <w:rsid w:val="004B4559"/>
    <w:rsid w:val="004D40EB"/>
    <w:rsid w:val="004D5B7A"/>
    <w:rsid w:val="004D6537"/>
    <w:rsid w:val="004F11BB"/>
    <w:rsid w:val="004F4708"/>
    <w:rsid w:val="00506362"/>
    <w:rsid w:val="005433BC"/>
    <w:rsid w:val="00551786"/>
    <w:rsid w:val="00554761"/>
    <w:rsid w:val="00586560"/>
    <w:rsid w:val="005A5B81"/>
    <w:rsid w:val="005C361C"/>
    <w:rsid w:val="005E407C"/>
    <w:rsid w:val="005E463E"/>
    <w:rsid w:val="005F119C"/>
    <w:rsid w:val="006122AE"/>
    <w:rsid w:val="00626E62"/>
    <w:rsid w:val="00627169"/>
    <w:rsid w:val="00630062"/>
    <w:rsid w:val="006454BB"/>
    <w:rsid w:val="00656F8C"/>
    <w:rsid w:val="006575AA"/>
    <w:rsid w:val="006668D5"/>
    <w:rsid w:val="006957B9"/>
    <w:rsid w:val="006A70D5"/>
    <w:rsid w:val="006B2946"/>
    <w:rsid w:val="006C258E"/>
    <w:rsid w:val="006D2B4C"/>
    <w:rsid w:val="006E200A"/>
    <w:rsid w:val="006E4DDE"/>
    <w:rsid w:val="006F0130"/>
    <w:rsid w:val="007046A7"/>
    <w:rsid w:val="007408A2"/>
    <w:rsid w:val="007478EF"/>
    <w:rsid w:val="007602CB"/>
    <w:rsid w:val="00760E51"/>
    <w:rsid w:val="00762794"/>
    <w:rsid w:val="007E7E60"/>
    <w:rsid w:val="00853910"/>
    <w:rsid w:val="008613B8"/>
    <w:rsid w:val="0088104A"/>
    <w:rsid w:val="00881E7C"/>
    <w:rsid w:val="008969F8"/>
    <w:rsid w:val="008A0572"/>
    <w:rsid w:val="008B15D3"/>
    <w:rsid w:val="008B3A7C"/>
    <w:rsid w:val="008C12FA"/>
    <w:rsid w:val="008C5222"/>
    <w:rsid w:val="008D42EF"/>
    <w:rsid w:val="008D7423"/>
    <w:rsid w:val="008F1237"/>
    <w:rsid w:val="008F18E2"/>
    <w:rsid w:val="0090163A"/>
    <w:rsid w:val="0091369C"/>
    <w:rsid w:val="00942A41"/>
    <w:rsid w:val="00951F73"/>
    <w:rsid w:val="00961B4C"/>
    <w:rsid w:val="009628E9"/>
    <w:rsid w:val="00974E1D"/>
    <w:rsid w:val="009B75DC"/>
    <w:rsid w:val="009D2519"/>
    <w:rsid w:val="009D6ED8"/>
    <w:rsid w:val="00A30F0C"/>
    <w:rsid w:val="00A44292"/>
    <w:rsid w:val="00A54762"/>
    <w:rsid w:val="00A76D0B"/>
    <w:rsid w:val="00A91023"/>
    <w:rsid w:val="00AB4280"/>
    <w:rsid w:val="00AB4399"/>
    <w:rsid w:val="00AC621C"/>
    <w:rsid w:val="00AD69D1"/>
    <w:rsid w:val="00AD74BB"/>
    <w:rsid w:val="00AF06D8"/>
    <w:rsid w:val="00B07A32"/>
    <w:rsid w:val="00B1617A"/>
    <w:rsid w:val="00B44132"/>
    <w:rsid w:val="00B51D39"/>
    <w:rsid w:val="00B70230"/>
    <w:rsid w:val="00B71221"/>
    <w:rsid w:val="00B81CAB"/>
    <w:rsid w:val="00B866A7"/>
    <w:rsid w:val="00B91122"/>
    <w:rsid w:val="00B93F44"/>
    <w:rsid w:val="00BC602B"/>
    <w:rsid w:val="00BF5741"/>
    <w:rsid w:val="00C65D01"/>
    <w:rsid w:val="00C75567"/>
    <w:rsid w:val="00C839E1"/>
    <w:rsid w:val="00C90097"/>
    <w:rsid w:val="00CA5574"/>
    <w:rsid w:val="00CB13CA"/>
    <w:rsid w:val="00CB1C17"/>
    <w:rsid w:val="00CB3605"/>
    <w:rsid w:val="00CC14CF"/>
    <w:rsid w:val="00D03574"/>
    <w:rsid w:val="00D50235"/>
    <w:rsid w:val="00D8355E"/>
    <w:rsid w:val="00D90E17"/>
    <w:rsid w:val="00D96B1A"/>
    <w:rsid w:val="00DA03C7"/>
    <w:rsid w:val="00DB3D10"/>
    <w:rsid w:val="00DC08CC"/>
    <w:rsid w:val="00DC6011"/>
    <w:rsid w:val="00DE0657"/>
    <w:rsid w:val="00DF135B"/>
    <w:rsid w:val="00DF6724"/>
    <w:rsid w:val="00E0359A"/>
    <w:rsid w:val="00E05A97"/>
    <w:rsid w:val="00E11237"/>
    <w:rsid w:val="00E14469"/>
    <w:rsid w:val="00E35BF8"/>
    <w:rsid w:val="00E40AB7"/>
    <w:rsid w:val="00E60341"/>
    <w:rsid w:val="00E724B1"/>
    <w:rsid w:val="00E80DEC"/>
    <w:rsid w:val="00E92266"/>
    <w:rsid w:val="00E92682"/>
    <w:rsid w:val="00E97549"/>
    <w:rsid w:val="00E9757E"/>
    <w:rsid w:val="00EA26D8"/>
    <w:rsid w:val="00EB310D"/>
    <w:rsid w:val="00EC54BE"/>
    <w:rsid w:val="00EC6AA7"/>
    <w:rsid w:val="00F11D40"/>
    <w:rsid w:val="00F404A7"/>
    <w:rsid w:val="00F706AE"/>
    <w:rsid w:val="00F86E40"/>
    <w:rsid w:val="00F955C9"/>
    <w:rsid w:val="00F96066"/>
    <w:rsid w:val="00F96973"/>
    <w:rsid w:val="00FA11D6"/>
    <w:rsid w:val="00FA2A66"/>
    <w:rsid w:val="00FC2322"/>
    <w:rsid w:val="00FC438E"/>
    <w:rsid w:val="00FC5C4D"/>
    <w:rsid w:val="00FD53B0"/>
    <w:rsid w:val="00FF290C"/>
    <w:rsid w:val="00FF3D25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40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lsParagraph">
    <w:name w:val="Els_Paragraph"/>
    <w:rsid w:val="00FF3D25"/>
    <w:pPr>
      <w:spacing w:after="120" w:line="220" w:lineRule="exact"/>
      <w:ind w:firstLine="230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ElsHeading1">
    <w:name w:val="Els_Heading1"/>
    <w:next w:val="ElsParagraph"/>
    <w:rsid w:val="00FF3D25"/>
    <w:pPr>
      <w:keepNext/>
      <w:numPr>
        <w:numId w:val="1"/>
      </w:numPr>
      <w:spacing w:before="160" w:after="160" w:line="210" w:lineRule="exact"/>
    </w:pPr>
    <w:rPr>
      <w:rFonts w:ascii="Times New Roman" w:eastAsia="Times New Roman" w:hAnsi="Times New Roman" w:cs="Times New Roman"/>
      <w:b/>
      <w:bCs/>
      <w:sz w:val="19"/>
      <w:szCs w:val="20"/>
      <w:lang w:val="en-US"/>
    </w:rPr>
  </w:style>
  <w:style w:type="paragraph" w:customStyle="1" w:styleId="ElsHeading2">
    <w:name w:val="Els_Heading2"/>
    <w:next w:val="ElsParagraph"/>
    <w:rsid w:val="00FF3D25"/>
    <w:pPr>
      <w:numPr>
        <w:ilvl w:val="1"/>
        <w:numId w:val="1"/>
      </w:numPr>
      <w:spacing w:after="160" w:line="210" w:lineRule="exact"/>
    </w:pPr>
    <w:rPr>
      <w:rFonts w:ascii="Times New Roman" w:eastAsia="Times New Roman" w:hAnsi="Times New Roman" w:cs="Times New Roman"/>
      <w:bCs/>
      <w:i/>
      <w:sz w:val="19"/>
      <w:szCs w:val="20"/>
      <w:lang w:val="en-US"/>
    </w:rPr>
  </w:style>
  <w:style w:type="paragraph" w:customStyle="1" w:styleId="ElsHeading3">
    <w:name w:val="Els_Heading3"/>
    <w:next w:val="ElsParagraph"/>
    <w:rsid w:val="00FF3D25"/>
    <w:pPr>
      <w:numPr>
        <w:ilvl w:val="2"/>
        <w:numId w:val="1"/>
      </w:numPr>
      <w:spacing w:after="40" w:line="210" w:lineRule="exact"/>
      <w:outlineLvl w:val="0"/>
    </w:pPr>
    <w:rPr>
      <w:rFonts w:ascii="Times New Roman" w:eastAsia="Times New Roman" w:hAnsi="Times New Roman" w:cs="Times New Roman"/>
      <w:i/>
      <w:spacing w:val="20"/>
      <w:sz w:val="19"/>
      <w:szCs w:val="20"/>
      <w:lang w:val="en-US"/>
    </w:rPr>
  </w:style>
  <w:style w:type="paragraph" w:customStyle="1" w:styleId="ElsHeading4">
    <w:name w:val="Els_Heading4"/>
    <w:next w:val="ElsParagraph"/>
    <w:rsid w:val="00FF3D25"/>
    <w:pPr>
      <w:numPr>
        <w:ilvl w:val="3"/>
        <w:numId w:val="1"/>
      </w:numPr>
      <w:spacing w:after="160" w:line="210" w:lineRule="exact"/>
      <w:outlineLvl w:val="0"/>
    </w:pPr>
    <w:rPr>
      <w:rFonts w:ascii="Times New Roman" w:eastAsia="Times New Roman" w:hAnsi="Times New Roman" w:cs="Times New Roman"/>
      <w:i/>
      <w:spacing w:val="20"/>
      <w:sz w:val="19"/>
      <w:szCs w:val="20"/>
      <w:lang w:val="en-US"/>
    </w:rPr>
  </w:style>
  <w:style w:type="paragraph" w:customStyle="1" w:styleId="ElsHeading5">
    <w:name w:val="Els_Heading5"/>
    <w:next w:val="ElsParagraph"/>
    <w:rsid w:val="00FF3D25"/>
    <w:pPr>
      <w:numPr>
        <w:ilvl w:val="4"/>
        <w:numId w:val="1"/>
      </w:numPr>
      <w:spacing w:after="160" w:line="210" w:lineRule="exact"/>
      <w:outlineLvl w:val="0"/>
    </w:pPr>
    <w:rPr>
      <w:rFonts w:ascii="Times New Roman" w:eastAsia="Times New Roman" w:hAnsi="Times New Roman" w:cs="Times New Roman"/>
      <w:i/>
      <w:spacing w:val="20"/>
      <w:sz w:val="19"/>
      <w:szCs w:val="20"/>
      <w:lang w:val="en-US"/>
    </w:rPr>
  </w:style>
  <w:style w:type="paragraph" w:customStyle="1" w:styleId="ElsAcknowledgementsHeading">
    <w:name w:val="Els_AcknowledgementsHeading"/>
    <w:next w:val="ElsParagraph"/>
    <w:rsid w:val="00FF3D25"/>
    <w:pPr>
      <w:spacing w:before="220" w:after="220" w:line="220" w:lineRule="exact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ElsReferencesHeading">
    <w:name w:val="Els_ReferencesHeading"/>
    <w:next w:val="ElsReferences"/>
    <w:rsid w:val="00FF3D25"/>
    <w:pPr>
      <w:keepNext/>
      <w:spacing w:before="240" w:after="240" w:line="240" w:lineRule="auto"/>
    </w:pPr>
    <w:rPr>
      <w:rFonts w:ascii="Times New Roman" w:eastAsia="Times New Roman" w:hAnsi="Times New Roman" w:cs="Times New Roman"/>
      <w:b/>
      <w:sz w:val="19"/>
      <w:szCs w:val="20"/>
      <w:lang w:val="en-US"/>
    </w:rPr>
  </w:style>
  <w:style w:type="paragraph" w:customStyle="1" w:styleId="ElsReferences">
    <w:name w:val="Els_References"/>
    <w:rsid w:val="00FF3D2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Standaardalinea-lettertype"/>
    <w:rsid w:val="00FF3D25"/>
  </w:style>
  <w:style w:type="character" w:styleId="Hyperlink">
    <w:name w:val="Hyperlink"/>
    <w:basedOn w:val="Standaardalinea-lettertype"/>
    <w:uiPriority w:val="99"/>
    <w:semiHidden/>
    <w:unhideWhenUsed/>
    <w:rsid w:val="00FF3D25"/>
    <w:rPr>
      <w:color w:val="0000FF"/>
      <w:u w:val="single"/>
    </w:rPr>
  </w:style>
  <w:style w:type="character" w:styleId="Eindnootmarkering">
    <w:name w:val="endnote reference"/>
    <w:basedOn w:val="Standaardalinea-lettertype"/>
    <w:uiPriority w:val="99"/>
    <w:rsid w:val="001B62A1"/>
    <w:rPr>
      <w:rFonts w:cs="Times New Roman"/>
      <w:vertAlign w:val="superscript"/>
    </w:rPr>
  </w:style>
  <w:style w:type="paragraph" w:customStyle="1" w:styleId="ElsAffiliation">
    <w:name w:val="Els_Affiliation"/>
    <w:rsid w:val="006E4DDE"/>
    <w:pPr>
      <w:spacing w:after="0" w:line="200" w:lineRule="exac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ElsArticleTitle">
    <w:name w:val="Els_ArticleTitle"/>
    <w:next w:val="ElsAuthor"/>
    <w:rsid w:val="006E4DDE"/>
    <w:pPr>
      <w:spacing w:before="360" w:after="240" w:line="350" w:lineRule="exact"/>
    </w:pPr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ElsAuthor">
    <w:name w:val="Els_Author"/>
    <w:next w:val="ElsAffiliation"/>
    <w:rsid w:val="006E4DDE"/>
    <w:pPr>
      <w:spacing w:after="160" w:line="29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lsCorrespondingAuthor">
    <w:name w:val="Els_CorrespondingAuthor"/>
    <w:next w:val="Standaard"/>
    <w:rsid w:val="006E4DDE"/>
    <w:pPr>
      <w:spacing w:before="120" w:after="0" w:line="200" w:lineRule="exact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E1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4469"/>
  </w:style>
  <w:style w:type="paragraph" w:styleId="Voettekst">
    <w:name w:val="footer"/>
    <w:basedOn w:val="Standaard"/>
    <w:link w:val="VoettekstChar"/>
    <w:uiPriority w:val="99"/>
    <w:unhideWhenUsed/>
    <w:rsid w:val="00E1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4469"/>
  </w:style>
  <w:style w:type="table" w:styleId="Tabelraster">
    <w:name w:val="Table Grid"/>
    <w:basedOn w:val="Standaardtabel"/>
    <w:uiPriority w:val="59"/>
    <w:rsid w:val="0011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4bTableBody">
    <w:name w:val="G4b Table Body"/>
    <w:basedOn w:val="Standaard"/>
    <w:link w:val="G4bTableBodyChar"/>
    <w:qFormat/>
    <w:rsid w:val="0011008F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G4bTableBodyChar">
    <w:name w:val="G4b Table Body Char"/>
    <w:basedOn w:val="Standaardalinea-lettertype"/>
    <w:link w:val="G4bTableBody"/>
    <w:rsid w:val="0011008F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668D5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668D5"/>
    <w:rPr>
      <w:sz w:val="20"/>
      <w:szCs w:val="20"/>
    </w:rPr>
  </w:style>
  <w:style w:type="paragraph" w:customStyle="1" w:styleId="Ref">
    <w:name w:val="Ref"/>
    <w:basedOn w:val="Standaard"/>
    <w:rsid w:val="00E40AB7"/>
    <w:pPr>
      <w:numPr>
        <w:numId w:val="3"/>
      </w:numPr>
      <w:spacing w:after="0" w:line="205" w:lineRule="exact"/>
    </w:pPr>
    <w:rPr>
      <w:rFonts w:ascii="Times New Roman" w:eastAsia="Times New Roman" w:hAnsi="Times New Roman" w:cs="Times New Roman"/>
      <w:kern w:val="18"/>
      <w:sz w:val="18"/>
      <w:szCs w:val="20"/>
      <w:lang w:val="en-US" w:eastAsia="de-DE"/>
    </w:rPr>
  </w:style>
  <w:style w:type="character" w:customStyle="1" w:styleId="detailwholabel">
    <w:name w:val="detailwholabel"/>
    <w:basedOn w:val="Standaardalinea-lettertype"/>
    <w:rsid w:val="00E11237"/>
  </w:style>
  <w:style w:type="paragraph" w:styleId="Ballontekst">
    <w:name w:val="Balloon Text"/>
    <w:basedOn w:val="Standaard"/>
    <w:link w:val="BallontekstChar"/>
    <w:uiPriority w:val="99"/>
    <w:semiHidden/>
    <w:unhideWhenUsed/>
    <w:rsid w:val="00B1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6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lsParagraph">
    <w:name w:val="Els_Paragraph"/>
    <w:rsid w:val="00FF3D25"/>
    <w:pPr>
      <w:spacing w:after="120" w:line="220" w:lineRule="exact"/>
      <w:ind w:firstLine="230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ElsHeading1">
    <w:name w:val="Els_Heading1"/>
    <w:next w:val="ElsParagraph"/>
    <w:rsid w:val="00FF3D25"/>
    <w:pPr>
      <w:keepNext/>
      <w:numPr>
        <w:numId w:val="1"/>
      </w:numPr>
      <w:spacing w:before="160" w:after="160" w:line="210" w:lineRule="exact"/>
    </w:pPr>
    <w:rPr>
      <w:rFonts w:ascii="Times New Roman" w:eastAsia="Times New Roman" w:hAnsi="Times New Roman" w:cs="Times New Roman"/>
      <w:b/>
      <w:bCs/>
      <w:sz w:val="19"/>
      <w:szCs w:val="20"/>
      <w:lang w:val="en-US"/>
    </w:rPr>
  </w:style>
  <w:style w:type="paragraph" w:customStyle="1" w:styleId="ElsHeading2">
    <w:name w:val="Els_Heading2"/>
    <w:next w:val="ElsParagraph"/>
    <w:rsid w:val="00FF3D25"/>
    <w:pPr>
      <w:numPr>
        <w:ilvl w:val="1"/>
        <w:numId w:val="1"/>
      </w:numPr>
      <w:spacing w:after="160" w:line="210" w:lineRule="exact"/>
    </w:pPr>
    <w:rPr>
      <w:rFonts w:ascii="Times New Roman" w:eastAsia="Times New Roman" w:hAnsi="Times New Roman" w:cs="Times New Roman"/>
      <w:bCs/>
      <w:i/>
      <w:sz w:val="19"/>
      <w:szCs w:val="20"/>
      <w:lang w:val="en-US"/>
    </w:rPr>
  </w:style>
  <w:style w:type="paragraph" w:customStyle="1" w:styleId="ElsHeading3">
    <w:name w:val="Els_Heading3"/>
    <w:next w:val="ElsParagraph"/>
    <w:rsid w:val="00FF3D25"/>
    <w:pPr>
      <w:numPr>
        <w:ilvl w:val="2"/>
        <w:numId w:val="1"/>
      </w:numPr>
      <w:spacing w:after="40" w:line="210" w:lineRule="exact"/>
      <w:outlineLvl w:val="0"/>
    </w:pPr>
    <w:rPr>
      <w:rFonts w:ascii="Times New Roman" w:eastAsia="Times New Roman" w:hAnsi="Times New Roman" w:cs="Times New Roman"/>
      <w:i/>
      <w:spacing w:val="20"/>
      <w:sz w:val="19"/>
      <w:szCs w:val="20"/>
      <w:lang w:val="en-US"/>
    </w:rPr>
  </w:style>
  <w:style w:type="paragraph" w:customStyle="1" w:styleId="ElsHeading4">
    <w:name w:val="Els_Heading4"/>
    <w:next w:val="ElsParagraph"/>
    <w:rsid w:val="00FF3D25"/>
    <w:pPr>
      <w:numPr>
        <w:ilvl w:val="3"/>
        <w:numId w:val="1"/>
      </w:numPr>
      <w:spacing w:after="160" w:line="210" w:lineRule="exact"/>
      <w:outlineLvl w:val="0"/>
    </w:pPr>
    <w:rPr>
      <w:rFonts w:ascii="Times New Roman" w:eastAsia="Times New Roman" w:hAnsi="Times New Roman" w:cs="Times New Roman"/>
      <w:i/>
      <w:spacing w:val="20"/>
      <w:sz w:val="19"/>
      <w:szCs w:val="20"/>
      <w:lang w:val="en-US"/>
    </w:rPr>
  </w:style>
  <w:style w:type="paragraph" w:customStyle="1" w:styleId="ElsHeading5">
    <w:name w:val="Els_Heading5"/>
    <w:next w:val="ElsParagraph"/>
    <w:rsid w:val="00FF3D25"/>
    <w:pPr>
      <w:numPr>
        <w:ilvl w:val="4"/>
        <w:numId w:val="1"/>
      </w:numPr>
      <w:spacing w:after="160" w:line="210" w:lineRule="exact"/>
      <w:outlineLvl w:val="0"/>
    </w:pPr>
    <w:rPr>
      <w:rFonts w:ascii="Times New Roman" w:eastAsia="Times New Roman" w:hAnsi="Times New Roman" w:cs="Times New Roman"/>
      <w:i/>
      <w:spacing w:val="20"/>
      <w:sz w:val="19"/>
      <w:szCs w:val="20"/>
      <w:lang w:val="en-US"/>
    </w:rPr>
  </w:style>
  <w:style w:type="paragraph" w:customStyle="1" w:styleId="ElsAcknowledgementsHeading">
    <w:name w:val="Els_AcknowledgementsHeading"/>
    <w:next w:val="ElsParagraph"/>
    <w:rsid w:val="00FF3D25"/>
    <w:pPr>
      <w:spacing w:before="220" w:after="220" w:line="220" w:lineRule="exact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ElsReferencesHeading">
    <w:name w:val="Els_ReferencesHeading"/>
    <w:next w:val="ElsReferences"/>
    <w:rsid w:val="00FF3D25"/>
    <w:pPr>
      <w:keepNext/>
      <w:spacing w:before="240" w:after="240" w:line="240" w:lineRule="auto"/>
    </w:pPr>
    <w:rPr>
      <w:rFonts w:ascii="Times New Roman" w:eastAsia="Times New Roman" w:hAnsi="Times New Roman" w:cs="Times New Roman"/>
      <w:b/>
      <w:sz w:val="19"/>
      <w:szCs w:val="20"/>
      <w:lang w:val="en-US"/>
    </w:rPr>
  </w:style>
  <w:style w:type="paragraph" w:customStyle="1" w:styleId="ElsReferences">
    <w:name w:val="Els_References"/>
    <w:rsid w:val="00FF3D2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Standaardalinea-lettertype"/>
    <w:rsid w:val="00FF3D25"/>
  </w:style>
  <w:style w:type="character" w:styleId="Hyperlink">
    <w:name w:val="Hyperlink"/>
    <w:basedOn w:val="Standaardalinea-lettertype"/>
    <w:uiPriority w:val="99"/>
    <w:semiHidden/>
    <w:unhideWhenUsed/>
    <w:rsid w:val="00FF3D25"/>
    <w:rPr>
      <w:color w:val="0000FF"/>
      <w:u w:val="single"/>
    </w:rPr>
  </w:style>
  <w:style w:type="character" w:styleId="Eindnootmarkering">
    <w:name w:val="endnote reference"/>
    <w:basedOn w:val="Standaardalinea-lettertype"/>
    <w:uiPriority w:val="99"/>
    <w:rsid w:val="001B62A1"/>
    <w:rPr>
      <w:rFonts w:cs="Times New Roman"/>
      <w:vertAlign w:val="superscript"/>
    </w:rPr>
  </w:style>
  <w:style w:type="paragraph" w:customStyle="1" w:styleId="ElsAffiliation">
    <w:name w:val="Els_Affiliation"/>
    <w:rsid w:val="006E4DDE"/>
    <w:pPr>
      <w:spacing w:after="0" w:line="200" w:lineRule="exac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ElsArticleTitle">
    <w:name w:val="Els_ArticleTitle"/>
    <w:next w:val="ElsAuthor"/>
    <w:rsid w:val="006E4DDE"/>
    <w:pPr>
      <w:spacing w:before="360" w:after="240" w:line="350" w:lineRule="exact"/>
    </w:pPr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ElsAuthor">
    <w:name w:val="Els_Author"/>
    <w:next w:val="ElsAffiliation"/>
    <w:rsid w:val="006E4DDE"/>
    <w:pPr>
      <w:spacing w:after="160" w:line="29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lsCorrespondingAuthor">
    <w:name w:val="Els_CorrespondingAuthor"/>
    <w:next w:val="Standaard"/>
    <w:rsid w:val="006E4DDE"/>
    <w:pPr>
      <w:spacing w:before="120" w:after="0" w:line="200" w:lineRule="exact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E1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4469"/>
  </w:style>
  <w:style w:type="paragraph" w:styleId="Voettekst">
    <w:name w:val="footer"/>
    <w:basedOn w:val="Standaard"/>
    <w:link w:val="VoettekstChar"/>
    <w:uiPriority w:val="99"/>
    <w:unhideWhenUsed/>
    <w:rsid w:val="00E1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4469"/>
  </w:style>
  <w:style w:type="table" w:styleId="Tabelraster">
    <w:name w:val="Table Grid"/>
    <w:basedOn w:val="Standaardtabel"/>
    <w:uiPriority w:val="59"/>
    <w:rsid w:val="0011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4bTableBody">
    <w:name w:val="G4b Table Body"/>
    <w:basedOn w:val="Standaard"/>
    <w:link w:val="G4bTableBodyChar"/>
    <w:qFormat/>
    <w:rsid w:val="0011008F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G4bTableBodyChar">
    <w:name w:val="G4b Table Body Char"/>
    <w:basedOn w:val="Standaardalinea-lettertype"/>
    <w:link w:val="G4bTableBody"/>
    <w:rsid w:val="0011008F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668D5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668D5"/>
    <w:rPr>
      <w:sz w:val="20"/>
      <w:szCs w:val="20"/>
    </w:rPr>
  </w:style>
  <w:style w:type="paragraph" w:customStyle="1" w:styleId="Ref">
    <w:name w:val="Ref"/>
    <w:basedOn w:val="Standaard"/>
    <w:rsid w:val="00E40AB7"/>
    <w:pPr>
      <w:numPr>
        <w:numId w:val="3"/>
      </w:numPr>
      <w:spacing w:after="0" w:line="205" w:lineRule="exact"/>
    </w:pPr>
    <w:rPr>
      <w:rFonts w:ascii="Times New Roman" w:eastAsia="Times New Roman" w:hAnsi="Times New Roman" w:cs="Times New Roman"/>
      <w:kern w:val="18"/>
      <w:sz w:val="18"/>
      <w:szCs w:val="20"/>
      <w:lang w:val="en-US" w:eastAsia="de-DE"/>
    </w:rPr>
  </w:style>
  <w:style w:type="character" w:customStyle="1" w:styleId="detailwholabel">
    <w:name w:val="detailwholabel"/>
    <w:basedOn w:val="Standaardalinea-lettertype"/>
    <w:rsid w:val="00E11237"/>
  </w:style>
  <w:style w:type="paragraph" w:styleId="Ballontekst">
    <w:name w:val="Balloon Text"/>
    <w:basedOn w:val="Standaard"/>
    <w:link w:val="BallontekstChar"/>
    <w:uiPriority w:val="99"/>
    <w:semiHidden/>
    <w:unhideWhenUsed/>
    <w:rsid w:val="00B1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6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7351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27131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74743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Goossens%20A%5BAuthor%5D&amp;cauthor=true&amp;cauthor_uid=22377690" TargetMode="External"/><Relationship Id="rId13" Type="http://schemas.openxmlformats.org/officeDocument/2006/relationships/hyperlink" Target="http://www.ncbi.nlm.nih.gov/pubmed?term=Zhao%20M%5BAuthor%5D&amp;cauthor=true&amp;cauthor_uid=24137431" TargetMode="External"/><Relationship Id="rId18" Type="http://schemas.openxmlformats.org/officeDocument/2006/relationships/hyperlink" Target="http://www.ncbi.nlm.nih.gov/pubmed?term=Xia%20Y%5BAuthor%5D&amp;cauthor=true&amp;cauthor_uid=20657424" TargetMode="External"/><Relationship Id="rId3" Type="http://schemas.openxmlformats.org/officeDocument/2006/relationships/hyperlink" Target="http://www.ncbi.nlm.nih.gov/pubmed?term=Kommera%20H%5BAuthor%5D&amp;cauthor=true&amp;cauthor_uid=20726008" TargetMode="External"/><Relationship Id="rId7" Type="http://schemas.openxmlformats.org/officeDocument/2006/relationships/hyperlink" Target="http://www.ncbi.nlm.nih.gov/pubmed?term=Liu%20BP%5BAuthor%5D&amp;cauthor=true&amp;cauthor_uid=15363977" TargetMode="External"/><Relationship Id="rId12" Type="http://schemas.openxmlformats.org/officeDocument/2006/relationships/hyperlink" Target="http://www.ncbi.nlm.nih.gov/pubmed?term=Zhou%20L%5BAuthor%5D&amp;cauthor=true&amp;cauthor_uid=24137431" TargetMode="External"/><Relationship Id="rId17" Type="http://schemas.openxmlformats.org/officeDocument/2006/relationships/hyperlink" Target="http://www.ncbi.nlm.nih.gov/pubmed?term=Jin%20LH%5BAuthor%5D&amp;cauthor=true&amp;cauthor_uid=23124210" TargetMode="External"/><Relationship Id="rId2" Type="http://schemas.openxmlformats.org/officeDocument/2006/relationships/hyperlink" Target="http://www.ncbi.nlm.nih.gov/pubmed?term=Mar%C3%ADn%20S%5BAuthor%5D&amp;cauthor=true&amp;cauthor_uid=20494586" TargetMode="External"/><Relationship Id="rId16" Type="http://schemas.openxmlformats.org/officeDocument/2006/relationships/hyperlink" Target="http://www.ncbi.nlm.nih.gov/pubmed?term=Majeed%20R%5BAuthor%5D&amp;cauthor=true&amp;cauthor_uid=23811086" TargetMode="External"/><Relationship Id="rId1" Type="http://schemas.openxmlformats.org/officeDocument/2006/relationships/hyperlink" Target="http://www.ncbi.nlm.nih.gov/pubmed?term=Cascante%20M%5BAuthor%5D&amp;cauthor=true&amp;cauthor_uid=19674909" TargetMode="External"/><Relationship Id="rId6" Type="http://schemas.openxmlformats.org/officeDocument/2006/relationships/hyperlink" Target="http://www.ncbi.nlm.nih.gov/pubmed?term=Ho%20JC%5BAuthor%5D&amp;cauthor=true&amp;cauthor_uid=15363977" TargetMode="External"/><Relationship Id="rId11" Type="http://schemas.openxmlformats.org/officeDocument/2006/relationships/hyperlink" Target="http://www.ncbi.nlm.nih.gov/pubmed?term=Li%20X%5BAuthor%5D&amp;cauthor=true&amp;cauthor_uid=24137431" TargetMode="External"/><Relationship Id="rId5" Type="http://schemas.openxmlformats.org/officeDocument/2006/relationships/hyperlink" Target="http://www.ncbi.nlm.nih.gov/pubmed?term=Salvador%20JA%5BAuthor%5D&amp;cauthor=true&amp;cauthor_uid=20494586" TargetMode="External"/><Relationship Id="rId15" Type="http://schemas.openxmlformats.org/officeDocument/2006/relationships/hyperlink" Target="http://www.ncbi.nlm.nih.gov/pubmed?term=Zhang%20X%5BAuthor%5D&amp;cauthor=true&amp;cauthor_uid=24137431" TargetMode="External"/><Relationship Id="rId10" Type="http://schemas.openxmlformats.org/officeDocument/2006/relationships/hyperlink" Target="http://www.ncbi.nlm.nih.gov/pubmed?term=He%20N%5BAuthor%5D&amp;cauthor=true&amp;cauthor_uid=24137431" TargetMode="External"/><Relationship Id="rId19" Type="http://schemas.openxmlformats.org/officeDocument/2006/relationships/hyperlink" Target="http://www.pubfacts.com/author/Rabiya+Majeed" TargetMode="External"/><Relationship Id="rId4" Type="http://schemas.openxmlformats.org/officeDocument/2006/relationships/hyperlink" Target="http://www.ncbi.nlm.nih.gov/pubmed?term=Kalbitz%20J%5BAuthor%5D&amp;cauthor=true&amp;cauthor_uid=20726008" TargetMode="External"/><Relationship Id="rId9" Type="http://schemas.openxmlformats.org/officeDocument/2006/relationships/hyperlink" Target="http://www.ncbi.nlm.nih.gov/pubmed?term=Li%20H%5BAuthor%5D&amp;cauthor=true&amp;cauthor_uid=24137431" TargetMode="External"/><Relationship Id="rId14" Type="http://schemas.openxmlformats.org/officeDocument/2006/relationships/hyperlink" Target="http://www.ncbi.nlm.nih.gov/pubmed?term=Jiang%20H%5BAuthor%5D&amp;cauthor=true&amp;cauthor_uid=24137431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184D-3607-47CB-8EED-A939D9E3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D'hooghe</dc:creator>
  <cp:lastModifiedBy>Gebruiker</cp:lastModifiedBy>
  <cp:revision>2</cp:revision>
  <cp:lastPrinted>2014-09-23T11:47:00Z</cp:lastPrinted>
  <dcterms:created xsi:type="dcterms:W3CDTF">2015-04-29T20:31:00Z</dcterms:created>
  <dcterms:modified xsi:type="dcterms:W3CDTF">2015-04-29T20:31:00Z</dcterms:modified>
</cp:coreProperties>
</file>