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8AF6A" w14:textId="77777777" w:rsidR="00163E4D" w:rsidRPr="00B9566A" w:rsidRDefault="00E83AB7" w:rsidP="00163E4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</w:t>
      </w:r>
      <w:r w:rsidR="00163E4D" w:rsidRPr="00B9566A">
        <w:rPr>
          <w:b/>
          <w:bCs/>
          <w:sz w:val="28"/>
          <w:szCs w:val="28"/>
          <w:lang w:val="en-US"/>
        </w:rPr>
        <w:t xml:space="preserve">he effect </w:t>
      </w:r>
      <w:r>
        <w:rPr>
          <w:b/>
          <w:bCs/>
          <w:sz w:val="28"/>
          <w:szCs w:val="28"/>
          <w:lang w:val="en-US"/>
        </w:rPr>
        <w:t xml:space="preserve">of </w:t>
      </w:r>
      <w:r w:rsidR="00163E4D" w:rsidRPr="00B9566A">
        <w:rPr>
          <w:b/>
          <w:bCs/>
          <w:sz w:val="28"/>
          <w:szCs w:val="28"/>
          <w:lang w:val="en-US"/>
        </w:rPr>
        <w:t xml:space="preserve">two nutraceuticals </w:t>
      </w:r>
      <w:r>
        <w:rPr>
          <w:b/>
          <w:bCs/>
          <w:sz w:val="28"/>
          <w:szCs w:val="28"/>
          <w:lang w:val="en-US"/>
        </w:rPr>
        <w:t>on</w:t>
      </w:r>
      <w:r w:rsidR="00163E4D" w:rsidRPr="00B9566A">
        <w:rPr>
          <w:b/>
          <w:bCs/>
          <w:sz w:val="28"/>
          <w:szCs w:val="28"/>
          <w:lang w:val="en-US"/>
        </w:rPr>
        <w:t xml:space="preserve"> experimentally induced </w:t>
      </w:r>
      <w:r w:rsidR="00B9566A">
        <w:rPr>
          <w:b/>
          <w:bCs/>
          <w:sz w:val="28"/>
          <w:szCs w:val="28"/>
          <w:lang w:val="en-US"/>
        </w:rPr>
        <w:t xml:space="preserve">acute </w:t>
      </w:r>
      <w:r w:rsidR="00163E4D" w:rsidRPr="00B9566A">
        <w:rPr>
          <w:b/>
          <w:bCs/>
          <w:sz w:val="28"/>
          <w:szCs w:val="28"/>
          <w:lang w:val="en-US"/>
        </w:rPr>
        <w:t>synovitis</w:t>
      </w:r>
    </w:p>
    <w:p w14:paraId="73FE7256" w14:textId="77777777" w:rsidR="00163E4D" w:rsidRDefault="00163E4D" w:rsidP="00163E4D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en-US"/>
        </w:rPr>
      </w:pPr>
    </w:p>
    <w:p w14:paraId="03753EC3" w14:textId="77777777" w:rsidR="00163E4D" w:rsidRPr="00C62116" w:rsidRDefault="00B12BEE" w:rsidP="00163E4D">
      <w:pPr>
        <w:spacing w:line="360" w:lineRule="auto"/>
        <w:jc w:val="center"/>
        <w:rPr>
          <w:b/>
          <w:bCs/>
          <w:lang w:val="nl-BE"/>
        </w:rPr>
      </w:pPr>
      <w:r w:rsidRPr="001E6127">
        <w:rPr>
          <w:lang w:val="nl-BE"/>
        </w:rPr>
        <w:t>E</w:t>
      </w:r>
      <w:r w:rsidR="00C32F2F">
        <w:rPr>
          <w:lang w:val="nl-BE"/>
        </w:rPr>
        <w:t>.</w:t>
      </w:r>
      <w:r w:rsidRPr="001E6127">
        <w:rPr>
          <w:lang w:val="nl-BE"/>
        </w:rPr>
        <w:t xml:space="preserve"> Van de Water</w:t>
      </w:r>
      <w:r w:rsidR="00163E4D" w:rsidRPr="001E6127">
        <w:rPr>
          <w:vertAlign w:val="superscript"/>
          <w:lang w:val="nl-BE"/>
        </w:rPr>
        <w:t>1</w:t>
      </w:r>
      <w:r w:rsidR="00163E4D" w:rsidRPr="00C62116">
        <w:rPr>
          <w:lang w:val="nl-BE"/>
        </w:rPr>
        <w:t>,</w:t>
      </w:r>
      <w:r>
        <w:rPr>
          <w:lang w:val="nl-BE"/>
        </w:rPr>
        <w:t xml:space="preserve"> M</w:t>
      </w:r>
      <w:r w:rsidR="00C32F2F">
        <w:rPr>
          <w:lang w:val="nl-BE"/>
        </w:rPr>
        <w:t>.</w:t>
      </w:r>
      <w:r>
        <w:rPr>
          <w:lang w:val="nl-BE"/>
        </w:rPr>
        <w:t xml:space="preserve"> Oosterlinck</w:t>
      </w:r>
      <w:r w:rsidRPr="001C33E6">
        <w:rPr>
          <w:vertAlign w:val="superscript"/>
          <w:lang w:val="nl-BE"/>
        </w:rPr>
        <w:t>1</w:t>
      </w:r>
      <w:r>
        <w:rPr>
          <w:lang w:val="nl-BE"/>
        </w:rPr>
        <w:t>, D</w:t>
      </w:r>
      <w:r w:rsidR="00C32F2F">
        <w:rPr>
          <w:lang w:val="nl-BE"/>
        </w:rPr>
        <w:t>.</w:t>
      </w:r>
      <w:r w:rsidR="00B95098">
        <w:rPr>
          <w:lang w:val="nl-BE"/>
        </w:rPr>
        <w:t>A</w:t>
      </w:r>
      <w:r w:rsidR="00C32F2F">
        <w:rPr>
          <w:lang w:val="nl-BE"/>
        </w:rPr>
        <w:t>.</w:t>
      </w:r>
      <w:r>
        <w:rPr>
          <w:lang w:val="nl-BE"/>
        </w:rPr>
        <w:t xml:space="preserve"> van Doorn</w:t>
      </w:r>
      <w:r>
        <w:rPr>
          <w:vertAlign w:val="superscript"/>
          <w:lang w:val="nl-BE"/>
        </w:rPr>
        <w:t>2</w:t>
      </w:r>
      <w:r w:rsidR="00C32F2F">
        <w:rPr>
          <w:vertAlign w:val="superscript"/>
          <w:lang w:val="nl-BE"/>
        </w:rPr>
        <w:t>,3</w:t>
      </w:r>
      <w:r>
        <w:rPr>
          <w:lang w:val="nl-BE"/>
        </w:rPr>
        <w:t xml:space="preserve">, </w:t>
      </w:r>
      <w:r w:rsidR="00E83AB7">
        <w:rPr>
          <w:lang w:val="nl-BE"/>
        </w:rPr>
        <w:t>P</w:t>
      </w:r>
      <w:r w:rsidR="00C32F2F">
        <w:rPr>
          <w:lang w:val="nl-BE"/>
        </w:rPr>
        <w:t>.</w:t>
      </w:r>
      <w:r>
        <w:rPr>
          <w:lang w:val="nl-BE"/>
        </w:rPr>
        <w:t>R</w:t>
      </w:r>
      <w:r w:rsidR="00C32F2F">
        <w:rPr>
          <w:lang w:val="nl-BE"/>
        </w:rPr>
        <w:t>.</w:t>
      </w:r>
      <w:r>
        <w:rPr>
          <w:lang w:val="nl-BE"/>
        </w:rPr>
        <w:t xml:space="preserve"> van Weeren</w:t>
      </w:r>
      <w:r w:rsidR="00C32F2F">
        <w:rPr>
          <w:vertAlign w:val="superscript"/>
          <w:lang w:val="nl-BE"/>
        </w:rPr>
        <w:t>4</w:t>
      </w:r>
      <w:r>
        <w:rPr>
          <w:lang w:val="nl-BE"/>
        </w:rPr>
        <w:t xml:space="preserve">, </w:t>
      </w:r>
      <w:r w:rsidR="00E83AB7" w:rsidRPr="00E83AB7">
        <w:rPr>
          <w:lang w:val="nl-BE"/>
        </w:rPr>
        <w:t>N</w:t>
      </w:r>
      <w:r w:rsidR="00C32F2F">
        <w:rPr>
          <w:lang w:val="nl-BE"/>
        </w:rPr>
        <w:t>.</w:t>
      </w:r>
      <w:r w:rsidR="00E83AB7">
        <w:rPr>
          <w:lang w:val="nl-BE"/>
        </w:rPr>
        <w:t>M</w:t>
      </w:r>
      <w:r w:rsidR="00C32F2F">
        <w:rPr>
          <w:lang w:val="nl-BE"/>
        </w:rPr>
        <w:t>.</w:t>
      </w:r>
      <w:r w:rsidR="00E83AB7">
        <w:rPr>
          <w:lang w:val="nl-BE"/>
        </w:rPr>
        <w:t xml:space="preserve"> </w:t>
      </w:r>
      <w:r w:rsidR="00E83AB7" w:rsidRPr="00E83AB7">
        <w:rPr>
          <w:lang w:val="nl-BE"/>
        </w:rPr>
        <w:t>Korthage</w:t>
      </w:r>
      <w:r w:rsidR="00E83AB7">
        <w:rPr>
          <w:lang w:val="nl-BE"/>
        </w:rPr>
        <w:t>n</w:t>
      </w:r>
      <w:r w:rsidR="00C32F2F">
        <w:rPr>
          <w:vertAlign w:val="superscript"/>
          <w:lang w:val="nl-BE"/>
        </w:rPr>
        <w:t>4</w:t>
      </w:r>
      <w:r w:rsidR="00C32F2F">
        <w:rPr>
          <w:lang w:val="nl-BE"/>
        </w:rPr>
        <w:t xml:space="preserve">, </w:t>
      </w:r>
      <w:r>
        <w:rPr>
          <w:lang w:val="nl-BE"/>
        </w:rPr>
        <w:t>F</w:t>
      </w:r>
      <w:r w:rsidR="00C32F2F">
        <w:rPr>
          <w:lang w:val="nl-BE"/>
        </w:rPr>
        <w:t>.</w:t>
      </w:r>
      <w:r>
        <w:rPr>
          <w:lang w:val="nl-BE"/>
        </w:rPr>
        <w:t xml:space="preserve"> Pille</w:t>
      </w:r>
      <w:r w:rsidRPr="001C33E6">
        <w:rPr>
          <w:vertAlign w:val="superscript"/>
          <w:lang w:val="nl-BE"/>
        </w:rPr>
        <w:t>1</w:t>
      </w:r>
      <w:r w:rsidR="00163E4D" w:rsidRPr="00C62116">
        <w:rPr>
          <w:lang w:val="nl-BE"/>
        </w:rPr>
        <w:t xml:space="preserve"> </w:t>
      </w:r>
    </w:p>
    <w:p w14:paraId="43F57982" w14:textId="77777777" w:rsidR="00163E4D" w:rsidRPr="0077164F" w:rsidRDefault="00163E4D" w:rsidP="00163E4D">
      <w:pPr>
        <w:spacing w:line="360" w:lineRule="auto"/>
        <w:jc w:val="center"/>
        <w:rPr>
          <w:i/>
          <w:lang w:val="en-GB"/>
        </w:rPr>
      </w:pPr>
      <w:r>
        <w:rPr>
          <w:i/>
          <w:iCs/>
          <w:vertAlign w:val="superscript"/>
          <w:lang w:val="en-US"/>
        </w:rPr>
        <w:t xml:space="preserve">1 </w:t>
      </w:r>
      <w:r>
        <w:rPr>
          <w:i/>
          <w:iCs/>
          <w:lang w:val="en-GB"/>
        </w:rPr>
        <w:t>Dep</w:t>
      </w:r>
      <w:r w:rsidR="00E83AB7">
        <w:rPr>
          <w:i/>
          <w:iCs/>
          <w:lang w:val="en-GB"/>
        </w:rPr>
        <w:t xml:space="preserve">t. </w:t>
      </w:r>
      <w:r>
        <w:rPr>
          <w:i/>
          <w:iCs/>
          <w:lang w:val="en-GB"/>
        </w:rPr>
        <w:t>Surgery and Anaesthesiology, Faculty of Veterinary Medicine, Ghent University, Belgium</w:t>
      </w:r>
      <w:r w:rsidRPr="00D8208D">
        <w:rPr>
          <w:i/>
          <w:iCs/>
          <w:lang w:val="en-GB"/>
        </w:rPr>
        <w:t xml:space="preserve">; </w:t>
      </w:r>
      <w:r w:rsidRPr="00D8208D">
        <w:rPr>
          <w:i/>
          <w:vertAlign w:val="superscript"/>
          <w:lang w:val="en-GB"/>
        </w:rPr>
        <w:t xml:space="preserve"> </w:t>
      </w:r>
      <w:r>
        <w:rPr>
          <w:i/>
          <w:vertAlign w:val="superscript"/>
          <w:lang w:val="en-GB"/>
        </w:rPr>
        <w:t>2</w:t>
      </w:r>
      <w:r w:rsidR="00E83AB7">
        <w:rPr>
          <w:i/>
          <w:lang w:val="en-GB"/>
        </w:rPr>
        <w:t>Dept. Farm Animal Health, Faculty of Veterinary Medicine, Utrech</w:t>
      </w:r>
      <w:r w:rsidR="00C32F2F">
        <w:rPr>
          <w:i/>
          <w:lang w:val="en-GB"/>
        </w:rPr>
        <w:t xml:space="preserve">t University, The Netherlands; </w:t>
      </w:r>
      <w:r w:rsidR="00C32F2F" w:rsidRPr="00C32F2F">
        <w:rPr>
          <w:i/>
          <w:vertAlign w:val="superscript"/>
          <w:lang w:val="en-GB"/>
        </w:rPr>
        <w:t>3</w:t>
      </w:r>
      <w:r w:rsidR="00E83AB7">
        <w:rPr>
          <w:i/>
          <w:lang w:val="en-GB"/>
        </w:rPr>
        <w:t>Equivado</w:t>
      </w:r>
      <w:r w:rsidR="00B95098">
        <w:rPr>
          <w:i/>
          <w:lang w:val="en-GB"/>
        </w:rPr>
        <w:t>,</w:t>
      </w:r>
      <w:r w:rsidR="00E83AB7">
        <w:rPr>
          <w:i/>
          <w:lang w:val="en-GB"/>
        </w:rPr>
        <w:t xml:space="preserve"> </w:t>
      </w:r>
      <w:r w:rsidR="00B95098">
        <w:rPr>
          <w:i/>
          <w:lang w:val="en-GB"/>
        </w:rPr>
        <w:t>E</w:t>
      </w:r>
      <w:r w:rsidR="00E83AB7">
        <w:rPr>
          <w:i/>
          <w:lang w:val="en-GB"/>
        </w:rPr>
        <w:t xml:space="preserve">quine </w:t>
      </w:r>
      <w:r w:rsidR="00B95098">
        <w:rPr>
          <w:i/>
          <w:lang w:val="en-GB"/>
        </w:rPr>
        <w:t>N</w:t>
      </w:r>
      <w:r w:rsidR="00E83AB7">
        <w:rPr>
          <w:i/>
          <w:lang w:val="en-GB"/>
        </w:rPr>
        <w:t xml:space="preserve">utrition </w:t>
      </w:r>
      <w:r w:rsidR="00B95098">
        <w:rPr>
          <w:i/>
          <w:lang w:val="en-GB"/>
        </w:rPr>
        <w:t>C</w:t>
      </w:r>
      <w:r w:rsidR="00E83AB7">
        <w:rPr>
          <w:i/>
          <w:lang w:val="en-GB"/>
        </w:rPr>
        <w:t>onsultancy</w:t>
      </w:r>
      <w:r w:rsidR="00B12BEE">
        <w:rPr>
          <w:i/>
          <w:lang w:val="en-GB"/>
        </w:rPr>
        <w:t xml:space="preserve">; </w:t>
      </w:r>
      <w:r w:rsidR="00C32F2F">
        <w:rPr>
          <w:i/>
          <w:vertAlign w:val="superscript"/>
          <w:lang w:val="en-GB"/>
        </w:rPr>
        <w:t>4</w:t>
      </w:r>
      <w:r w:rsidR="001C33E6">
        <w:rPr>
          <w:i/>
          <w:lang w:val="en-GB"/>
        </w:rPr>
        <w:t>Dept</w:t>
      </w:r>
      <w:r w:rsidR="00E83AB7">
        <w:rPr>
          <w:i/>
          <w:lang w:val="en-GB"/>
        </w:rPr>
        <w:t>.</w:t>
      </w:r>
      <w:r w:rsidR="001C33E6">
        <w:rPr>
          <w:i/>
          <w:lang w:val="en-GB"/>
        </w:rPr>
        <w:t xml:space="preserve"> Equine Sciences, Faculty of Veterinary Medicine, </w:t>
      </w:r>
      <w:r w:rsidR="0077164F">
        <w:rPr>
          <w:i/>
          <w:lang w:val="en-GB"/>
        </w:rPr>
        <w:t>Utrecht</w:t>
      </w:r>
      <w:r w:rsidR="001C33E6">
        <w:rPr>
          <w:i/>
          <w:lang w:val="en-GB"/>
        </w:rPr>
        <w:t xml:space="preserve"> University, </w:t>
      </w:r>
      <w:r w:rsidR="00953D3C">
        <w:rPr>
          <w:i/>
          <w:lang w:val="en-GB"/>
        </w:rPr>
        <w:t xml:space="preserve">The </w:t>
      </w:r>
      <w:r w:rsidR="001C33E6">
        <w:rPr>
          <w:i/>
          <w:lang w:val="en-GB"/>
        </w:rPr>
        <w:t>Netherlands</w:t>
      </w:r>
    </w:p>
    <w:p w14:paraId="3B4352AF" w14:textId="77777777" w:rsidR="00163E4D" w:rsidRDefault="00163E4D" w:rsidP="00163E4D">
      <w:pPr>
        <w:spacing w:line="360" w:lineRule="auto"/>
        <w:jc w:val="both"/>
        <w:rPr>
          <w:lang w:val="en-GB"/>
        </w:rPr>
      </w:pPr>
    </w:p>
    <w:p w14:paraId="20C7D0FA" w14:textId="77777777" w:rsidR="00D14857" w:rsidRDefault="00B9566A" w:rsidP="00163E4D">
      <w:pPr>
        <w:spacing w:line="360" w:lineRule="auto"/>
        <w:rPr>
          <w:bCs/>
          <w:lang w:val="en-GB"/>
        </w:rPr>
      </w:pPr>
      <w:r>
        <w:rPr>
          <w:b/>
          <w:bCs/>
          <w:lang w:val="en-GB"/>
        </w:rPr>
        <w:t>Background</w:t>
      </w:r>
      <w:r w:rsidR="00163E4D" w:rsidRPr="00D8208D">
        <w:rPr>
          <w:b/>
          <w:bCs/>
          <w:lang w:val="en-GB"/>
        </w:rPr>
        <w:t xml:space="preserve">: </w:t>
      </w:r>
      <w:r w:rsidR="009E78E7">
        <w:rPr>
          <w:bCs/>
          <w:lang w:val="en-GB"/>
        </w:rPr>
        <w:t>S</w:t>
      </w:r>
      <w:r w:rsidR="0081382A">
        <w:rPr>
          <w:bCs/>
          <w:lang w:val="en-GB"/>
        </w:rPr>
        <w:t>olid scientific evidence of the efficacy of n</w:t>
      </w:r>
      <w:r w:rsidR="00163E4D">
        <w:rPr>
          <w:bCs/>
          <w:lang w:val="en-GB"/>
        </w:rPr>
        <w:t xml:space="preserve">utraceuticals </w:t>
      </w:r>
      <w:r w:rsidR="0081382A">
        <w:rPr>
          <w:bCs/>
          <w:lang w:val="en-GB"/>
        </w:rPr>
        <w:t xml:space="preserve">for </w:t>
      </w:r>
      <w:r w:rsidR="0077164F">
        <w:rPr>
          <w:bCs/>
          <w:lang w:val="en-GB"/>
        </w:rPr>
        <w:t xml:space="preserve">equine </w:t>
      </w:r>
      <w:r w:rsidR="00163E4D">
        <w:rPr>
          <w:bCs/>
          <w:lang w:val="en-GB"/>
        </w:rPr>
        <w:t>osteoarthritis</w:t>
      </w:r>
      <w:r w:rsidR="00D14857">
        <w:rPr>
          <w:bCs/>
          <w:lang w:val="en-GB"/>
        </w:rPr>
        <w:t xml:space="preserve"> </w:t>
      </w:r>
      <w:r w:rsidR="00B12BEE">
        <w:rPr>
          <w:bCs/>
          <w:lang w:val="en-GB"/>
        </w:rPr>
        <w:t>is</w:t>
      </w:r>
      <w:r w:rsidR="002C62F0">
        <w:rPr>
          <w:bCs/>
          <w:lang w:val="en-GB"/>
        </w:rPr>
        <w:t xml:space="preserve"> lacking</w:t>
      </w:r>
      <w:r w:rsidR="00163E4D">
        <w:rPr>
          <w:bCs/>
          <w:lang w:val="en-GB"/>
        </w:rPr>
        <w:t>.</w:t>
      </w:r>
    </w:p>
    <w:p w14:paraId="2CA8D2A6" w14:textId="77777777" w:rsidR="00B9566A" w:rsidRPr="00B9566A" w:rsidRDefault="003C109D" w:rsidP="00163E4D">
      <w:pPr>
        <w:spacing w:line="360" w:lineRule="auto"/>
        <w:rPr>
          <w:bCs/>
          <w:lang w:val="en-US"/>
        </w:rPr>
      </w:pPr>
      <w:r>
        <w:rPr>
          <w:b/>
          <w:bCs/>
          <w:lang w:val="en-GB"/>
        </w:rPr>
        <w:t>Hypothesis</w:t>
      </w:r>
      <w:r w:rsidR="00B9566A">
        <w:rPr>
          <w:b/>
          <w:bCs/>
          <w:lang w:val="en-GB"/>
        </w:rPr>
        <w:t>:</w:t>
      </w:r>
      <w:r w:rsidR="00B12BEE">
        <w:rPr>
          <w:b/>
          <w:bCs/>
          <w:lang w:val="en-GB"/>
        </w:rPr>
        <w:t xml:space="preserve"> </w:t>
      </w:r>
      <w:r w:rsidR="005C3CE7">
        <w:rPr>
          <w:bCs/>
          <w:lang w:val="en-GB"/>
        </w:rPr>
        <w:t>T</w:t>
      </w:r>
      <w:r w:rsidR="00B12BEE">
        <w:rPr>
          <w:bCs/>
          <w:lang w:val="en-GB"/>
        </w:rPr>
        <w:t xml:space="preserve">wo specific nutraceuticals </w:t>
      </w:r>
      <w:r w:rsidR="0077164F">
        <w:rPr>
          <w:bCs/>
          <w:lang w:val="en-GB"/>
        </w:rPr>
        <w:t>have positive effects on</w:t>
      </w:r>
      <w:r>
        <w:rPr>
          <w:bCs/>
          <w:lang w:val="en-GB"/>
        </w:rPr>
        <w:t xml:space="preserve"> </w:t>
      </w:r>
      <w:r w:rsidR="0077164F">
        <w:rPr>
          <w:bCs/>
          <w:lang w:val="en-GB"/>
        </w:rPr>
        <w:t xml:space="preserve">the degree of </w:t>
      </w:r>
      <w:r w:rsidR="00B12BEE">
        <w:rPr>
          <w:bCs/>
          <w:lang w:val="en-GB"/>
        </w:rPr>
        <w:t xml:space="preserve">synovial </w:t>
      </w:r>
      <w:r>
        <w:rPr>
          <w:bCs/>
          <w:lang w:val="en-GB"/>
        </w:rPr>
        <w:t xml:space="preserve">inflammation </w:t>
      </w:r>
      <w:r w:rsidR="00B12BEE">
        <w:rPr>
          <w:bCs/>
          <w:lang w:val="en-GB"/>
        </w:rPr>
        <w:t>compared to positive and negative control treatment</w:t>
      </w:r>
      <w:r w:rsidR="00F34D3E">
        <w:rPr>
          <w:bCs/>
          <w:lang w:val="en-GB"/>
        </w:rPr>
        <w:t>s</w:t>
      </w:r>
      <w:r w:rsidR="00B12BEE">
        <w:rPr>
          <w:bCs/>
          <w:lang w:val="en-GB"/>
        </w:rPr>
        <w:t>.</w:t>
      </w:r>
    </w:p>
    <w:p w14:paraId="63A5FD40" w14:textId="7326B9DE" w:rsidR="00163E4D" w:rsidRPr="005C3CE7" w:rsidRDefault="00163E4D" w:rsidP="00B84F2F">
      <w:pPr>
        <w:spacing w:line="360" w:lineRule="auto"/>
        <w:rPr>
          <w:bCs/>
          <w:lang w:val="en-US"/>
        </w:rPr>
      </w:pPr>
      <w:r w:rsidRPr="002F1179">
        <w:rPr>
          <w:b/>
          <w:bCs/>
          <w:lang w:val="en-GB"/>
        </w:rPr>
        <w:t>Methods</w:t>
      </w:r>
      <w:r>
        <w:rPr>
          <w:b/>
          <w:bCs/>
          <w:lang w:val="en-GB"/>
        </w:rPr>
        <w:t xml:space="preserve">: </w:t>
      </w:r>
      <w:r w:rsidR="00F34D3E">
        <w:rPr>
          <w:bCs/>
          <w:lang w:val="en-US"/>
        </w:rPr>
        <w:t>This randomized, blinded, controlled study</w:t>
      </w:r>
      <w:r w:rsidR="00466481">
        <w:rPr>
          <w:bCs/>
          <w:lang w:val="en-US"/>
        </w:rPr>
        <w:t xml:space="preserve"> (</w:t>
      </w:r>
      <w:r w:rsidR="00090740">
        <w:rPr>
          <w:bCs/>
          <w:lang w:val="en-US"/>
        </w:rPr>
        <w:t>approv</w:t>
      </w:r>
      <w:r w:rsidR="00466481">
        <w:rPr>
          <w:bCs/>
          <w:lang w:val="en-US"/>
        </w:rPr>
        <w:t xml:space="preserve">al ethical committee UGent </w:t>
      </w:r>
      <w:r w:rsidR="00090740">
        <w:rPr>
          <w:bCs/>
          <w:lang w:val="en-GB"/>
        </w:rPr>
        <w:t xml:space="preserve">n°2013/165), </w:t>
      </w:r>
      <w:r w:rsidR="001E7971">
        <w:rPr>
          <w:bCs/>
          <w:lang w:val="en-GB"/>
        </w:rPr>
        <w:t>included</w:t>
      </w:r>
      <w:r w:rsidR="00F34D3E">
        <w:rPr>
          <w:bCs/>
          <w:lang w:val="en-GB"/>
        </w:rPr>
        <w:t xml:space="preserve"> 24</w:t>
      </w:r>
      <w:r w:rsidR="00B9566A">
        <w:rPr>
          <w:bCs/>
          <w:lang w:val="en-GB"/>
        </w:rPr>
        <w:t xml:space="preserve"> </w:t>
      </w:r>
      <w:r w:rsidR="0077164F">
        <w:rPr>
          <w:bCs/>
          <w:lang w:val="en-GB"/>
        </w:rPr>
        <w:t xml:space="preserve">healthy </w:t>
      </w:r>
      <w:r w:rsidR="00B12BEE">
        <w:rPr>
          <w:bCs/>
          <w:lang w:val="en-GB"/>
        </w:rPr>
        <w:t xml:space="preserve">Standardbred </w:t>
      </w:r>
      <w:r w:rsidR="00B9566A">
        <w:rPr>
          <w:bCs/>
          <w:lang w:val="en-GB"/>
        </w:rPr>
        <w:t>horses</w:t>
      </w:r>
      <w:r w:rsidR="00E43716">
        <w:rPr>
          <w:bCs/>
          <w:lang w:val="en-US"/>
        </w:rPr>
        <w:t xml:space="preserve"> randomly allocated to </w:t>
      </w:r>
      <w:r w:rsidR="002E3894">
        <w:rPr>
          <w:bCs/>
          <w:lang w:val="en-US"/>
        </w:rPr>
        <w:t xml:space="preserve">supplement </w:t>
      </w:r>
      <w:r w:rsidR="00B12BEE">
        <w:rPr>
          <w:bCs/>
          <w:lang w:val="en-US"/>
        </w:rPr>
        <w:t>A</w:t>
      </w:r>
      <w:r w:rsidR="00E43716">
        <w:rPr>
          <w:bCs/>
          <w:lang w:val="en-US"/>
        </w:rPr>
        <w:t xml:space="preserve"> </w:t>
      </w:r>
      <w:r w:rsidR="00896180">
        <w:rPr>
          <w:bCs/>
          <w:lang w:val="en-US"/>
        </w:rPr>
        <w:t>(</w:t>
      </w:r>
      <w:r w:rsidR="003F0FE9">
        <w:rPr>
          <w:bCs/>
          <w:lang w:val="en-US"/>
        </w:rPr>
        <w:t xml:space="preserve">Cavalor </w:t>
      </w:r>
      <w:r w:rsidR="001F6B11">
        <w:rPr>
          <w:bCs/>
          <w:lang w:val="en-US"/>
        </w:rPr>
        <w:t xml:space="preserve">ArtiTec </w:t>
      </w:r>
      <w:r w:rsidR="003F0FE9">
        <w:rPr>
          <w:bCs/>
          <w:lang w:val="en-US"/>
        </w:rPr>
        <w:t>(</w:t>
      </w:r>
      <w:r w:rsidR="001F6B11">
        <w:rPr>
          <w:bCs/>
          <w:lang w:val="en-US"/>
        </w:rPr>
        <w:t>Liquid</w:t>
      </w:r>
      <w:r w:rsidR="003F0FE9">
        <w:rPr>
          <w:bCs/>
          <w:lang w:val="en-US"/>
        </w:rPr>
        <w:t>)</w:t>
      </w:r>
      <w:r w:rsidR="00C73AFB" w:rsidRPr="00C73AFB">
        <w:rPr>
          <w:bCs/>
          <w:vertAlign w:val="superscript"/>
          <w:lang w:val="en-US"/>
        </w:rPr>
        <w:t>®</w:t>
      </w:r>
      <w:r w:rsidR="00201844">
        <w:rPr>
          <w:bCs/>
          <w:vertAlign w:val="superscript"/>
          <w:lang w:val="en-US"/>
        </w:rPr>
        <w:t>a</w:t>
      </w:r>
      <w:r w:rsidR="001F6B11">
        <w:rPr>
          <w:bCs/>
          <w:lang w:val="en-US"/>
        </w:rPr>
        <w:t>, Nutriquine NV, Drongen, Belgium</w:t>
      </w:r>
      <w:r w:rsidR="00896180">
        <w:rPr>
          <w:bCs/>
          <w:lang w:val="en-US"/>
        </w:rPr>
        <w:t xml:space="preserve">) </w:t>
      </w:r>
      <w:r w:rsidR="00E43716">
        <w:rPr>
          <w:bCs/>
          <w:lang w:val="en-US"/>
        </w:rPr>
        <w:t xml:space="preserve">for 28 days, </w:t>
      </w:r>
      <w:r w:rsidR="002E3894">
        <w:rPr>
          <w:bCs/>
          <w:lang w:val="en-US"/>
        </w:rPr>
        <w:t xml:space="preserve">supplement </w:t>
      </w:r>
      <w:r w:rsidR="00B12BEE">
        <w:rPr>
          <w:bCs/>
          <w:lang w:val="en-US"/>
        </w:rPr>
        <w:t>B</w:t>
      </w:r>
      <w:r w:rsidR="00896180">
        <w:rPr>
          <w:bCs/>
          <w:lang w:val="en-US"/>
        </w:rPr>
        <w:t xml:space="preserve"> (</w:t>
      </w:r>
      <w:r w:rsidR="001F6B11">
        <w:rPr>
          <w:bCs/>
          <w:lang w:val="en-US"/>
        </w:rPr>
        <w:t>H</w:t>
      </w:r>
      <w:r w:rsidR="001E6127">
        <w:rPr>
          <w:bCs/>
          <w:lang w:val="en-US"/>
        </w:rPr>
        <w:t>ydro</w:t>
      </w:r>
      <w:r w:rsidR="001F6B11">
        <w:rPr>
          <w:bCs/>
          <w:lang w:val="en-US"/>
        </w:rPr>
        <w:t>-P</w:t>
      </w:r>
      <w:r w:rsidR="00C73AFB" w:rsidRPr="00C73AFB">
        <w:rPr>
          <w:bCs/>
          <w:vertAlign w:val="superscript"/>
          <w:lang w:val="en-US"/>
        </w:rPr>
        <w:t>®</w:t>
      </w:r>
      <w:r w:rsidR="001F6B11">
        <w:rPr>
          <w:bCs/>
          <w:lang w:val="en-US"/>
        </w:rPr>
        <w:t>, Sonac, Son, t</w:t>
      </w:r>
      <w:bookmarkStart w:id="0" w:name="_GoBack"/>
      <w:bookmarkEnd w:id="0"/>
      <w:r w:rsidR="001F6B11">
        <w:rPr>
          <w:bCs/>
          <w:lang w:val="en-US"/>
        </w:rPr>
        <w:t>he Netherlands</w:t>
      </w:r>
      <w:r w:rsidR="001E6127">
        <w:rPr>
          <w:bCs/>
          <w:lang w:val="en-US"/>
        </w:rPr>
        <w:t>)</w:t>
      </w:r>
      <w:r w:rsidR="00D14857">
        <w:rPr>
          <w:bCs/>
          <w:lang w:val="en-US"/>
        </w:rPr>
        <w:t xml:space="preserve"> </w:t>
      </w:r>
      <w:r w:rsidR="00E43716">
        <w:rPr>
          <w:bCs/>
          <w:lang w:val="en-US"/>
        </w:rPr>
        <w:t xml:space="preserve">for 60 days, meloxicam </w:t>
      </w:r>
      <w:r w:rsidR="00090740">
        <w:rPr>
          <w:bCs/>
          <w:lang w:val="en-US"/>
        </w:rPr>
        <w:t>(Metacam</w:t>
      </w:r>
      <w:r w:rsidR="00C73AFB" w:rsidRPr="00C73AFB">
        <w:rPr>
          <w:bCs/>
          <w:vertAlign w:val="superscript"/>
          <w:lang w:val="en-US"/>
        </w:rPr>
        <w:t>®</w:t>
      </w:r>
      <w:r w:rsidR="00BE371E">
        <w:rPr>
          <w:bCs/>
          <w:lang w:val="en-US"/>
        </w:rPr>
        <w:t>, Boehringer Ingelheim Vetmedica, Ingelheim/Rhein, Germany</w:t>
      </w:r>
      <w:r w:rsidR="00090740">
        <w:rPr>
          <w:bCs/>
          <w:lang w:val="en-US"/>
        </w:rPr>
        <w:t xml:space="preserve">) </w:t>
      </w:r>
      <w:r w:rsidR="00E43716">
        <w:rPr>
          <w:bCs/>
          <w:lang w:val="en-US"/>
        </w:rPr>
        <w:t xml:space="preserve">0.6 mg/kg for 4 days (positive control) </w:t>
      </w:r>
      <w:r w:rsidR="00AB37A7">
        <w:rPr>
          <w:bCs/>
          <w:lang w:val="en-US"/>
        </w:rPr>
        <w:t>or</w:t>
      </w:r>
      <w:r w:rsidR="00E43716">
        <w:rPr>
          <w:bCs/>
          <w:lang w:val="en-US"/>
        </w:rPr>
        <w:t xml:space="preserve"> placebo for 60 days (negative control). </w:t>
      </w:r>
      <w:r w:rsidR="001E7971">
        <w:rPr>
          <w:bCs/>
          <w:lang w:val="en-US"/>
        </w:rPr>
        <w:t>S</w:t>
      </w:r>
      <w:r w:rsidR="0077164F">
        <w:rPr>
          <w:bCs/>
          <w:lang w:val="en-US"/>
        </w:rPr>
        <w:t xml:space="preserve">ynovial </w:t>
      </w:r>
      <w:r w:rsidR="00E43716">
        <w:rPr>
          <w:bCs/>
          <w:lang w:val="en-US"/>
        </w:rPr>
        <w:t xml:space="preserve">inflammation was induced in the right intercarpal joint by </w:t>
      </w:r>
      <w:r w:rsidR="00D14857">
        <w:rPr>
          <w:bCs/>
          <w:lang w:val="en-US"/>
        </w:rPr>
        <w:t>intra-articular challenge with</w:t>
      </w:r>
      <w:r w:rsidR="00B62EF2">
        <w:rPr>
          <w:bCs/>
          <w:lang w:val="en-US"/>
        </w:rPr>
        <w:t xml:space="preserve"> 0.5 ng lipopolysaccharide </w:t>
      </w:r>
      <w:r w:rsidR="00E43716">
        <w:rPr>
          <w:bCs/>
          <w:lang w:val="en-US"/>
        </w:rPr>
        <w:t>of E. Coli</w:t>
      </w:r>
      <w:r w:rsidR="00326D94">
        <w:rPr>
          <w:bCs/>
          <w:vertAlign w:val="superscript"/>
          <w:lang w:val="en-US"/>
        </w:rPr>
        <w:t>1</w:t>
      </w:r>
      <w:r w:rsidR="00354700">
        <w:rPr>
          <w:bCs/>
          <w:vertAlign w:val="superscript"/>
          <w:lang w:val="en-US"/>
        </w:rPr>
        <w:t xml:space="preserve"> </w:t>
      </w:r>
      <w:r w:rsidR="00354700">
        <w:rPr>
          <w:bCs/>
          <w:lang w:val="en-US"/>
        </w:rPr>
        <w:t>while treatment</w:t>
      </w:r>
      <w:r w:rsidR="003D383C">
        <w:rPr>
          <w:bCs/>
          <w:lang w:val="en-US"/>
        </w:rPr>
        <w:t>s</w:t>
      </w:r>
      <w:r w:rsidR="00354700">
        <w:rPr>
          <w:bCs/>
          <w:lang w:val="en-US"/>
        </w:rPr>
        <w:t xml:space="preserve"> w</w:t>
      </w:r>
      <w:r w:rsidR="003D383C">
        <w:rPr>
          <w:bCs/>
          <w:lang w:val="en-US"/>
        </w:rPr>
        <w:t xml:space="preserve">ere </w:t>
      </w:r>
      <w:r w:rsidR="00354700">
        <w:rPr>
          <w:bCs/>
          <w:lang w:val="en-US"/>
        </w:rPr>
        <w:t>continued for another 3 days</w:t>
      </w:r>
      <w:r w:rsidR="00E43716">
        <w:rPr>
          <w:bCs/>
          <w:lang w:val="en-US"/>
        </w:rPr>
        <w:t xml:space="preserve">. </w:t>
      </w:r>
      <w:r w:rsidR="00354700">
        <w:rPr>
          <w:bCs/>
          <w:lang w:val="en-US"/>
        </w:rPr>
        <w:t>Synovial fluid analysis, b</w:t>
      </w:r>
      <w:r w:rsidR="009E78E7">
        <w:rPr>
          <w:bCs/>
          <w:lang w:val="en-US"/>
        </w:rPr>
        <w:t xml:space="preserve">lood hematology and </w:t>
      </w:r>
      <w:r w:rsidR="00354700">
        <w:rPr>
          <w:bCs/>
          <w:lang w:val="en-US"/>
        </w:rPr>
        <w:t xml:space="preserve">routine </w:t>
      </w:r>
      <w:r w:rsidR="009E78E7">
        <w:rPr>
          <w:bCs/>
          <w:lang w:val="en-US"/>
        </w:rPr>
        <w:t xml:space="preserve">biochemistry, and general clinical examination were performed </w:t>
      </w:r>
      <w:r w:rsidR="00E43716">
        <w:rPr>
          <w:bCs/>
          <w:lang w:val="en-US"/>
        </w:rPr>
        <w:t>before treatment, immediately prior to LPS-injection, and 8, 24 and 48 hours post-injection. Synovial fluid samples were analyzed for</w:t>
      </w:r>
      <w:r w:rsidR="00F34D3E">
        <w:rPr>
          <w:bCs/>
          <w:lang w:val="en-US"/>
        </w:rPr>
        <w:t xml:space="preserve"> </w:t>
      </w:r>
      <w:r w:rsidR="00F34D3E">
        <w:rPr>
          <w:bCs/>
          <w:lang w:val="en-GB"/>
        </w:rPr>
        <w:t>total nucleated cell counts (TNCC)</w:t>
      </w:r>
      <w:r w:rsidR="00F34D3E">
        <w:rPr>
          <w:bCs/>
          <w:lang w:val="en-US"/>
        </w:rPr>
        <w:t xml:space="preserve">, </w:t>
      </w:r>
      <w:r w:rsidR="00E43716">
        <w:rPr>
          <w:bCs/>
          <w:lang w:val="en-US"/>
        </w:rPr>
        <w:t>total protein</w:t>
      </w:r>
      <w:r w:rsidR="00B84F2F">
        <w:rPr>
          <w:bCs/>
          <w:lang w:val="en-US"/>
        </w:rPr>
        <w:t xml:space="preserve"> (TP)</w:t>
      </w:r>
      <w:r w:rsidR="003C109D">
        <w:rPr>
          <w:bCs/>
          <w:lang w:val="en-US"/>
        </w:rPr>
        <w:t>,</w:t>
      </w:r>
      <w:r w:rsidR="00B84F2F">
        <w:rPr>
          <w:bCs/>
          <w:lang w:val="en-US"/>
        </w:rPr>
        <w:t xml:space="preserve"> and selected bio</w:t>
      </w:r>
      <w:r w:rsidR="00E43716">
        <w:rPr>
          <w:bCs/>
          <w:lang w:val="en-US"/>
        </w:rPr>
        <w:t>markers (PGE</w:t>
      </w:r>
      <w:r w:rsidR="00E43716">
        <w:rPr>
          <w:bCs/>
          <w:vertAlign w:val="subscript"/>
          <w:lang w:val="en-US"/>
        </w:rPr>
        <w:t>2</w:t>
      </w:r>
      <w:r w:rsidR="00E43716">
        <w:rPr>
          <w:bCs/>
          <w:lang w:val="en-US"/>
        </w:rPr>
        <w:t>, PGF</w:t>
      </w:r>
      <w:r w:rsidR="00E43716">
        <w:rPr>
          <w:bCs/>
          <w:vertAlign w:val="subscript"/>
          <w:lang w:val="en-US"/>
        </w:rPr>
        <w:t>2</w:t>
      </w:r>
      <w:r w:rsidR="00E43716" w:rsidRPr="00E43716">
        <w:rPr>
          <w:rFonts w:ascii="Symbol" w:hAnsi="Symbol"/>
          <w:bCs/>
          <w:vertAlign w:val="subscript"/>
          <w:lang w:val="en-US"/>
        </w:rPr>
        <w:t></w:t>
      </w:r>
      <w:r w:rsidR="00E43716">
        <w:rPr>
          <w:bCs/>
          <w:lang w:val="en-US"/>
        </w:rPr>
        <w:t xml:space="preserve">, GAG). </w:t>
      </w:r>
      <w:r w:rsidR="0077164F">
        <w:rPr>
          <w:bCs/>
          <w:lang w:val="en-US"/>
        </w:rPr>
        <w:t xml:space="preserve">Statistical analysis was performed using </w:t>
      </w:r>
      <w:r w:rsidR="002C62F0">
        <w:rPr>
          <w:bCs/>
          <w:lang w:val="en-US"/>
        </w:rPr>
        <w:t xml:space="preserve">a linear model </w:t>
      </w:r>
      <w:r w:rsidR="002C62F0" w:rsidRPr="002C62F0">
        <w:rPr>
          <w:bCs/>
          <w:lang w:val="en-US"/>
        </w:rPr>
        <w:t>with random horse effects and with fixed</w:t>
      </w:r>
      <w:r w:rsidR="00B62EF2">
        <w:rPr>
          <w:bCs/>
          <w:lang w:val="en-US"/>
        </w:rPr>
        <w:t xml:space="preserve"> time</w:t>
      </w:r>
      <w:r w:rsidR="002C62F0" w:rsidRPr="002C62F0">
        <w:rPr>
          <w:bCs/>
          <w:lang w:val="en-US"/>
        </w:rPr>
        <w:t xml:space="preserve"> </w:t>
      </w:r>
      <w:r w:rsidR="00B62EF2">
        <w:rPr>
          <w:bCs/>
          <w:lang w:val="en-US"/>
        </w:rPr>
        <w:t>and</w:t>
      </w:r>
      <w:r w:rsidR="002C62F0" w:rsidRPr="002C62F0">
        <w:rPr>
          <w:bCs/>
          <w:lang w:val="en-US"/>
        </w:rPr>
        <w:t xml:space="preserve"> treatment </w:t>
      </w:r>
      <w:r w:rsidR="002C62F0">
        <w:rPr>
          <w:bCs/>
          <w:lang w:val="en-US"/>
        </w:rPr>
        <w:t xml:space="preserve">effects </w:t>
      </w:r>
      <w:r w:rsidR="002C62F0" w:rsidRPr="002C62F0">
        <w:rPr>
          <w:bCs/>
          <w:lang w:val="en-US"/>
        </w:rPr>
        <w:t xml:space="preserve">and </w:t>
      </w:r>
      <w:r w:rsidR="00B62EF2">
        <w:rPr>
          <w:bCs/>
          <w:lang w:val="en-US"/>
        </w:rPr>
        <w:t>their</w:t>
      </w:r>
      <w:r w:rsidR="002C62F0" w:rsidRPr="002C62F0">
        <w:rPr>
          <w:bCs/>
          <w:lang w:val="en-US"/>
        </w:rPr>
        <w:t xml:space="preserve"> interaction</w:t>
      </w:r>
      <w:r w:rsidR="002C62F0">
        <w:rPr>
          <w:bCs/>
          <w:lang w:val="en-US"/>
        </w:rPr>
        <w:t>.</w:t>
      </w:r>
    </w:p>
    <w:p w14:paraId="71F15D02" w14:textId="0E5AA455" w:rsidR="00163E4D" w:rsidRPr="003D383C" w:rsidRDefault="00163E4D" w:rsidP="00163E4D">
      <w:pPr>
        <w:spacing w:line="360" w:lineRule="auto"/>
        <w:rPr>
          <w:bCs/>
          <w:lang w:val="en-GB"/>
        </w:rPr>
      </w:pPr>
      <w:r w:rsidRPr="002F1179">
        <w:rPr>
          <w:b/>
          <w:bCs/>
          <w:lang w:val="en-GB"/>
        </w:rPr>
        <w:t>Results</w:t>
      </w:r>
      <w:r>
        <w:rPr>
          <w:b/>
          <w:bCs/>
          <w:lang w:val="en-GB"/>
        </w:rPr>
        <w:t xml:space="preserve">: </w:t>
      </w:r>
      <w:r w:rsidR="00E43716">
        <w:rPr>
          <w:bCs/>
          <w:lang w:val="en-GB"/>
        </w:rPr>
        <w:t>Before treatment and</w:t>
      </w:r>
      <w:r w:rsidR="00B84F2F">
        <w:rPr>
          <w:bCs/>
          <w:lang w:val="en-GB"/>
        </w:rPr>
        <w:t xml:space="preserve"> </w:t>
      </w:r>
      <w:r w:rsidR="00B9566A">
        <w:rPr>
          <w:bCs/>
          <w:lang w:val="en-GB"/>
        </w:rPr>
        <w:t>intra-articular challenge</w:t>
      </w:r>
      <w:r w:rsidR="00D93E76">
        <w:rPr>
          <w:bCs/>
          <w:lang w:val="en-GB"/>
        </w:rPr>
        <w:t>,</w:t>
      </w:r>
      <w:r w:rsidR="00B9566A">
        <w:rPr>
          <w:bCs/>
          <w:lang w:val="en-GB"/>
        </w:rPr>
        <w:t xml:space="preserve"> </w:t>
      </w:r>
      <w:r w:rsidR="00E43716">
        <w:rPr>
          <w:bCs/>
          <w:lang w:val="en-GB"/>
        </w:rPr>
        <w:t>there were no significant differences between trea</w:t>
      </w:r>
      <w:r w:rsidR="00B84F2F">
        <w:rPr>
          <w:bCs/>
          <w:lang w:val="en-GB"/>
        </w:rPr>
        <w:t xml:space="preserve">tment groups for </w:t>
      </w:r>
      <w:r w:rsidR="00DA273B">
        <w:rPr>
          <w:bCs/>
          <w:lang w:val="en-GB"/>
        </w:rPr>
        <w:t xml:space="preserve">synovial fluid cytology, </w:t>
      </w:r>
      <w:r w:rsidR="00BE371E">
        <w:rPr>
          <w:bCs/>
          <w:lang w:val="en-GB"/>
        </w:rPr>
        <w:t xml:space="preserve">biomarkers </w:t>
      </w:r>
      <w:r w:rsidR="00DA273B">
        <w:rPr>
          <w:bCs/>
          <w:lang w:val="en-GB"/>
        </w:rPr>
        <w:t>and</w:t>
      </w:r>
      <w:r w:rsidR="00BE371E">
        <w:rPr>
          <w:bCs/>
          <w:lang w:val="en-GB"/>
        </w:rPr>
        <w:t xml:space="preserve"> clinical parameters</w:t>
      </w:r>
      <w:r w:rsidR="00B84F2F">
        <w:rPr>
          <w:bCs/>
          <w:lang w:val="en-GB"/>
        </w:rPr>
        <w:t>. After intra-articular challenge</w:t>
      </w:r>
      <w:r w:rsidR="0077164F">
        <w:rPr>
          <w:bCs/>
          <w:lang w:val="en-GB"/>
        </w:rPr>
        <w:t>,</w:t>
      </w:r>
      <w:r w:rsidR="00B84F2F">
        <w:rPr>
          <w:bCs/>
          <w:lang w:val="en-GB"/>
        </w:rPr>
        <w:t xml:space="preserve"> the </w:t>
      </w:r>
      <w:r w:rsidR="003D383C">
        <w:rPr>
          <w:bCs/>
          <w:lang w:val="en-GB"/>
        </w:rPr>
        <w:t>placebo</w:t>
      </w:r>
      <w:r w:rsidR="00B84F2F">
        <w:rPr>
          <w:bCs/>
          <w:lang w:val="en-GB"/>
        </w:rPr>
        <w:t xml:space="preserve"> group showed </w:t>
      </w:r>
      <w:r w:rsidR="003C109D">
        <w:rPr>
          <w:bCs/>
          <w:lang w:val="en-GB"/>
        </w:rPr>
        <w:t xml:space="preserve">significantly higher </w:t>
      </w:r>
      <w:r w:rsidR="00A11FFF">
        <w:rPr>
          <w:bCs/>
          <w:lang w:val="en-GB"/>
        </w:rPr>
        <w:t xml:space="preserve">synovial fluid </w:t>
      </w:r>
      <w:r w:rsidR="00F34D3E">
        <w:rPr>
          <w:bCs/>
          <w:lang w:val="en-GB"/>
        </w:rPr>
        <w:t>TP, TNCC,</w:t>
      </w:r>
      <w:r w:rsidR="00B84F2F">
        <w:rPr>
          <w:bCs/>
          <w:lang w:val="en-GB"/>
        </w:rPr>
        <w:t xml:space="preserve"> PGE</w:t>
      </w:r>
      <w:r w:rsidR="00B84F2F">
        <w:rPr>
          <w:bCs/>
          <w:vertAlign w:val="subscript"/>
          <w:lang w:val="en-GB"/>
        </w:rPr>
        <w:t>2</w:t>
      </w:r>
      <w:r w:rsidR="00B84F2F">
        <w:rPr>
          <w:bCs/>
          <w:lang w:val="en-GB"/>
        </w:rPr>
        <w:t xml:space="preserve"> and PGF</w:t>
      </w:r>
      <w:r w:rsidR="00B84F2F">
        <w:rPr>
          <w:bCs/>
          <w:vertAlign w:val="subscript"/>
          <w:lang w:val="en-GB"/>
        </w:rPr>
        <w:t>2</w:t>
      </w:r>
      <w:r w:rsidR="00B84F2F" w:rsidRPr="00B84F2F">
        <w:rPr>
          <w:rFonts w:ascii="Symbol" w:hAnsi="Symbol"/>
          <w:bCs/>
          <w:vertAlign w:val="subscript"/>
          <w:lang w:val="en-GB"/>
        </w:rPr>
        <w:t></w:t>
      </w:r>
      <w:r w:rsidR="00B84F2F">
        <w:rPr>
          <w:bCs/>
          <w:lang w:val="en-GB"/>
        </w:rPr>
        <w:t xml:space="preserve"> compared to the </w:t>
      </w:r>
      <w:r w:rsidR="003D383C">
        <w:rPr>
          <w:bCs/>
          <w:lang w:val="en-GB"/>
        </w:rPr>
        <w:t>meloxicam</w:t>
      </w:r>
      <w:r w:rsidR="00B84F2F">
        <w:rPr>
          <w:bCs/>
          <w:lang w:val="en-GB"/>
        </w:rPr>
        <w:t xml:space="preserve"> group</w:t>
      </w:r>
      <w:r w:rsidR="00B62EF2">
        <w:rPr>
          <w:bCs/>
          <w:lang w:val="en-GB"/>
        </w:rPr>
        <w:t xml:space="preserve">. </w:t>
      </w:r>
      <w:r w:rsidR="00B84F2F">
        <w:rPr>
          <w:bCs/>
          <w:lang w:val="en-GB"/>
        </w:rPr>
        <w:t xml:space="preserve">Both </w:t>
      </w:r>
      <w:r w:rsidR="003C109D">
        <w:rPr>
          <w:bCs/>
          <w:lang w:val="en-GB"/>
        </w:rPr>
        <w:t>nutraceuticals</w:t>
      </w:r>
      <w:r w:rsidR="00B84F2F">
        <w:rPr>
          <w:bCs/>
          <w:lang w:val="en-GB"/>
        </w:rPr>
        <w:t xml:space="preserve"> resulted in</w:t>
      </w:r>
      <w:r w:rsidR="003C109D">
        <w:rPr>
          <w:bCs/>
          <w:lang w:val="en-GB"/>
        </w:rPr>
        <w:t xml:space="preserve"> significantly lower</w:t>
      </w:r>
      <w:r w:rsidR="00B84F2F">
        <w:rPr>
          <w:bCs/>
          <w:lang w:val="en-GB"/>
        </w:rPr>
        <w:t xml:space="preserve"> </w:t>
      </w:r>
      <w:r w:rsidR="00A11FFF">
        <w:rPr>
          <w:bCs/>
          <w:lang w:val="en-GB"/>
        </w:rPr>
        <w:t xml:space="preserve">synovial fluid </w:t>
      </w:r>
      <w:r w:rsidR="00B84F2F">
        <w:rPr>
          <w:bCs/>
          <w:lang w:val="en-GB"/>
        </w:rPr>
        <w:t xml:space="preserve">TP, </w:t>
      </w:r>
      <w:r w:rsidR="00F34D3E">
        <w:rPr>
          <w:bCs/>
          <w:lang w:val="en-GB"/>
        </w:rPr>
        <w:t>TNCC</w:t>
      </w:r>
      <w:r w:rsidR="00A11FFF">
        <w:rPr>
          <w:bCs/>
          <w:lang w:val="en-GB"/>
        </w:rPr>
        <w:t xml:space="preserve"> and</w:t>
      </w:r>
      <w:r w:rsidR="00B84F2F">
        <w:rPr>
          <w:bCs/>
          <w:lang w:val="en-GB"/>
        </w:rPr>
        <w:t xml:space="preserve"> PGE</w:t>
      </w:r>
      <w:r w:rsidR="00B84F2F">
        <w:rPr>
          <w:bCs/>
          <w:vertAlign w:val="subscript"/>
          <w:lang w:val="en-GB"/>
        </w:rPr>
        <w:t>2</w:t>
      </w:r>
      <w:r w:rsidR="00B84F2F">
        <w:rPr>
          <w:bCs/>
          <w:lang w:val="en-GB"/>
        </w:rPr>
        <w:t xml:space="preserve"> compared to the </w:t>
      </w:r>
      <w:r w:rsidR="003D383C">
        <w:rPr>
          <w:bCs/>
          <w:lang w:val="en-GB"/>
        </w:rPr>
        <w:t>placebo</w:t>
      </w:r>
      <w:r w:rsidR="0077164F">
        <w:rPr>
          <w:bCs/>
          <w:lang w:val="en-GB"/>
        </w:rPr>
        <w:t xml:space="preserve"> group</w:t>
      </w:r>
      <w:r w:rsidR="00B84F2F">
        <w:rPr>
          <w:bCs/>
          <w:lang w:val="en-GB"/>
        </w:rPr>
        <w:t>.</w:t>
      </w:r>
      <w:r w:rsidR="00A11FFF">
        <w:rPr>
          <w:bCs/>
          <w:lang w:val="en-GB"/>
        </w:rPr>
        <w:t xml:space="preserve"> No adverse systemic effects </w:t>
      </w:r>
      <w:r w:rsidR="005E69AB">
        <w:rPr>
          <w:bCs/>
          <w:lang w:val="en-GB"/>
        </w:rPr>
        <w:t>were observed</w:t>
      </w:r>
      <w:r w:rsidR="006177C3">
        <w:rPr>
          <w:bCs/>
          <w:lang w:val="en-GB"/>
        </w:rPr>
        <w:t xml:space="preserve"> in any of the treatment groups</w:t>
      </w:r>
      <w:r w:rsidR="005E69AB">
        <w:rPr>
          <w:bCs/>
          <w:lang w:val="en-GB"/>
        </w:rPr>
        <w:t>.</w:t>
      </w:r>
    </w:p>
    <w:p w14:paraId="538A10FC" w14:textId="77777777" w:rsidR="00163E4D" w:rsidRPr="002E3894" w:rsidRDefault="00163E4D" w:rsidP="00163E4D">
      <w:pPr>
        <w:spacing w:line="360" w:lineRule="auto"/>
        <w:rPr>
          <w:bCs/>
          <w:lang w:val="en-US"/>
        </w:rPr>
      </w:pPr>
      <w:r w:rsidRPr="002F1179">
        <w:rPr>
          <w:b/>
          <w:bCs/>
          <w:lang w:val="en-GB"/>
        </w:rPr>
        <w:lastRenderedPageBreak/>
        <w:t>Conclusion</w:t>
      </w:r>
      <w:r w:rsidR="00D14857">
        <w:rPr>
          <w:b/>
          <w:bCs/>
          <w:lang w:val="en-GB"/>
        </w:rPr>
        <w:t xml:space="preserve">: </w:t>
      </w:r>
      <w:r w:rsidR="001E7971" w:rsidRPr="001E7971">
        <w:rPr>
          <w:bCs/>
          <w:lang w:val="en-GB"/>
        </w:rPr>
        <w:t>These s</w:t>
      </w:r>
      <w:r w:rsidR="0077164F">
        <w:rPr>
          <w:bCs/>
          <w:lang w:val="en-GB"/>
        </w:rPr>
        <w:t>pecific</w:t>
      </w:r>
      <w:r w:rsidR="00D14857">
        <w:rPr>
          <w:bCs/>
          <w:lang w:val="en-GB"/>
        </w:rPr>
        <w:t xml:space="preserve"> </w:t>
      </w:r>
      <w:r w:rsidR="003C109D">
        <w:rPr>
          <w:bCs/>
          <w:lang w:val="en-GB"/>
        </w:rPr>
        <w:t>nutraceuticals</w:t>
      </w:r>
      <w:r w:rsidR="002E3894">
        <w:rPr>
          <w:bCs/>
          <w:lang w:val="en-GB"/>
        </w:rPr>
        <w:t xml:space="preserve"> </w:t>
      </w:r>
      <w:r w:rsidR="0081382A">
        <w:rPr>
          <w:bCs/>
          <w:lang w:val="en-GB"/>
        </w:rPr>
        <w:t>decrease</w:t>
      </w:r>
      <w:r w:rsidR="00D14857">
        <w:rPr>
          <w:bCs/>
          <w:lang w:val="en-GB"/>
        </w:rPr>
        <w:t xml:space="preserve"> joint inflammation</w:t>
      </w:r>
      <w:r w:rsidR="0077164F">
        <w:rPr>
          <w:bCs/>
          <w:lang w:val="en-GB"/>
        </w:rPr>
        <w:t xml:space="preserve"> in a validated synovitis</w:t>
      </w:r>
      <w:r w:rsidR="00F34D3E" w:rsidRPr="00F34D3E">
        <w:rPr>
          <w:bCs/>
          <w:lang w:val="en-GB"/>
        </w:rPr>
        <w:t xml:space="preserve"> </w:t>
      </w:r>
      <w:r w:rsidR="00F34D3E">
        <w:rPr>
          <w:bCs/>
          <w:lang w:val="en-GB"/>
        </w:rPr>
        <w:t>model</w:t>
      </w:r>
      <w:r w:rsidR="002E3894">
        <w:rPr>
          <w:bCs/>
          <w:lang w:val="en-GB"/>
        </w:rPr>
        <w:t>.</w:t>
      </w:r>
    </w:p>
    <w:p w14:paraId="72BA65BE" w14:textId="77777777" w:rsidR="00163E4D" w:rsidRPr="009032D9" w:rsidRDefault="00EE3676" w:rsidP="00163E4D">
      <w:pPr>
        <w:spacing w:line="360" w:lineRule="auto"/>
        <w:rPr>
          <w:b/>
          <w:bCs/>
          <w:szCs w:val="20"/>
          <w:lang w:val="en-US"/>
        </w:rPr>
      </w:pPr>
      <w:r w:rsidRPr="009032D9">
        <w:rPr>
          <w:b/>
          <w:bCs/>
          <w:szCs w:val="20"/>
          <w:lang w:val="en-US"/>
        </w:rPr>
        <w:t>Reference</w:t>
      </w:r>
    </w:p>
    <w:p w14:paraId="73DE0DD3" w14:textId="77777777" w:rsidR="00E43716" w:rsidRDefault="00E43716" w:rsidP="00AB37A7">
      <w:pPr>
        <w:pStyle w:val="Lijstalinea"/>
        <w:numPr>
          <w:ilvl w:val="0"/>
          <w:numId w:val="1"/>
        </w:numPr>
        <w:spacing w:after="0" w:line="360" w:lineRule="auto"/>
        <w:ind w:left="357" w:hanging="357"/>
        <w:rPr>
          <w:rFonts w:ascii="Times New Roman" w:eastAsia="MS Mincho" w:hAnsi="Times New Roman" w:cs="Times New Roman"/>
          <w:sz w:val="24"/>
          <w:szCs w:val="20"/>
          <w:lang w:val="en-US" w:eastAsia="nl-NL"/>
        </w:rPr>
      </w:pPr>
      <w:r w:rsidRPr="009032D9">
        <w:rPr>
          <w:rFonts w:ascii="Times New Roman" w:eastAsia="MS Mincho" w:hAnsi="Times New Roman" w:cs="Times New Roman"/>
          <w:sz w:val="24"/>
          <w:szCs w:val="20"/>
          <w:lang w:val="nl-NL" w:eastAsia="nl-NL"/>
        </w:rPr>
        <w:t xml:space="preserve">De Grauw J.C., van de Lest C.H.A., van Weeren P.R. (2009). </w:t>
      </w:r>
      <w:r w:rsidRPr="009032D9">
        <w:rPr>
          <w:rFonts w:ascii="Times New Roman" w:eastAsia="MS Mincho" w:hAnsi="Times New Roman" w:cs="Times New Roman"/>
          <w:sz w:val="24"/>
          <w:szCs w:val="20"/>
          <w:lang w:val="en-US" w:eastAsia="nl-NL"/>
        </w:rPr>
        <w:t>Arthritis Res</w:t>
      </w:r>
      <w:r w:rsidR="001E7971">
        <w:rPr>
          <w:rFonts w:ascii="Times New Roman" w:eastAsia="MS Mincho" w:hAnsi="Times New Roman" w:cs="Times New Roman"/>
          <w:sz w:val="24"/>
          <w:szCs w:val="20"/>
          <w:lang w:val="en-US" w:eastAsia="nl-NL"/>
        </w:rPr>
        <w:t>. T</w:t>
      </w:r>
      <w:r w:rsidRPr="009032D9">
        <w:rPr>
          <w:rFonts w:ascii="Times New Roman" w:eastAsia="MS Mincho" w:hAnsi="Times New Roman" w:cs="Times New Roman"/>
          <w:sz w:val="24"/>
          <w:szCs w:val="20"/>
          <w:lang w:val="en-US" w:eastAsia="nl-NL"/>
        </w:rPr>
        <w:t>her</w:t>
      </w:r>
      <w:r w:rsidR="001E7971">
        <w:rPr>
          <w:rFonts w:ascii="Times New Roman" w:eastAsia="MS Mincho" w:hAnsi="Times New Roman" w:cs="Times New Roman"/>
          <w:sz w:val="24"/>
          <w:szCs w:val="20"/>
          <w:lang w:val="en-US" w:eastAsia="nl-NL"/>
        </w:rPr>
        <w:t>.</w:t>
      </w:r>
      <w:r w:rsidRPr="009032D9">
        <w:rPr>
          <w:rFonts w:ascii="Times New Roman" w:eastAsia="MS Mincho" w:hAnsi="Times New Roman" w:cs="Times New Roman"/>
          <w:sz w:val="24"/>
          <w:szCs w:val="20"/>
          <w:lang w:val="en-US" w:eastAsia="nl-NL"/>
        </w:rPr>
        <w:t xml:space="preserve"> </w:t>
      </w:r>
      <w:r w:rsidRPr="009032D9">
        <w:rPr>
          <w:rFonts w:ascii="Times New Roman" w:eastAsia="MS Mincho" w:hAnsi="Times New Roman" w:cs="Times New Roman"/>
          <w:sz w:val="24"/>
          <w:szCs w:val="20"/>
          <w:u w:val="single"/>
          <w:lang w:val="en-US" w:eastAsia="nl-NL"/>
        </w:rPr>
        <w:t>11</w:t>
      </w:r>
      <w:r w:rsidRPr="009032D9">
        <w:rPr>
          <w:rFonts w:ascii="Times New Roman" w:eastAsia="MS Mincho" w:hAnsi="Times New Roman" w:cs="Times New Roman"/>
          <w:sz w:val="24"/>
          <w:szCs w:val="20"/>
          <w:lang w:val="en-US" w:eastAsia="nl-NL"/>
        </w:rPr>
        <w:t>:R35.</w:t>
      </w:r>
    </w:p>
    <w:p w14:paraId="5B2ACCFC" w14:textId="77777777" w:rsidR="00944025" w:rsidRDefault="00944025" w:rsidP="0035405C">
      <w:pPr>
        <w:spacing w:line="360" w:lineRule="auto"/>
        <w:rPr>
          <w:rFonts w:eastAsia="MS Mincho"/>
          <w:szCs w:val="20"/>
          <w:vertAlign w:val="superscript"/>
          <w:lang w:val="en-US"/>
        </w:rPr>
      </w:pPr>
    </w:p>
    <w:p w14:paraId="3BCFE007" w14:textId="4EBF4475" w:rsidR="0035405C" w:rsidRPr="0035405C" w:rsidRDefault="00201844" w:rsidP="0035405C">
      <w:pPr>
        <w:spacing w:line="360" w:lineRule="auto"/>
        <w:rPr>
          <w:rFonts w:eastAsia="MS Mincho"/>
          <w:szCs w:val="20"/>
          <w:lang w:val="en-US"/>
        </w:rPr>
      </w:pPr>
      <w:r w:rsidRPr="00201844">
        <w:rPr>
          <w:rFonts w:eastAsia="MS Mincho"/>
          <w:szCs w:val="20"/>
          <w:vertAlign w:val="superscript"/>
          <w:lang w:val="en-US"/>
        </w:rPr>
        <w:t>a</w:t>
      </w:r>
      <w:r w:rsidR="00944025">
        <w:rPr>
          <w:rFonts w:eastAsia="MS Mincho"/>
          <w:szCs w:val="20"/>
          <w:lang w:val="en-US"/>
        </w:rPr>
        <w:t xml:space="preserve"> Ingredients</w:t>
      </w:r>
      <w:r w:rsidR="0035405C" w:rsidRPr="00944025">
        <w:rPr>
          <w:rFonts w:eastAsia="MS Mincho"/>
          <w:szCs w:val="20"/>
          <w:lang w:val="en-US"/>
        </w:rPr>
        <w:t xml:space="preserve">: </w:t>
      </w:r>
      <w:r w:rsidR="0035405C" w:rsidRPr="00944025">
        <w:rPr>
          <w:rFonts w:eastAsia="MS Mincho"/>
          <w:szCs w:val="20"/>
          <w:lang w:val="en-US"/>
        </w:rPr>
        <w:t>Glucosamine Sulphate 2KCL</w:t>
      </w:r>
      <w:r w:rsidR="00944025" w:rsidRPr="00944025">
        <w:rPr>
          <w:rFonts w:eastAsia="MS Mincho"/>
          <w:szCs w:val="20"/>
          <w:lang w:val="en-US"/>
        </w:rPr>
        <w:t xml:space="preserve">, </w:t>
      </w:r>
      <w:r w:rsidR="0035405C" w:rsidRPr="0035405C">
        <w:rPr>
          <w:rFonts w:eastAsia="MS Mincho"/>
          <w:szCs w:val="20"/>
          <w:lang w:val="en-US"/>
        </w:rPr>
        <w:t>Chondroitin Sulfate Sodium Shark</w:t>
      </w:r>
      <w:r w:rsidR="00944025">
        <w:rPr>
          <w:rFonts w:eastAsia="MS Mincho"/>
          <w:szCs w:val="20"/>
          <w:lang w:val="en-US"/>
        </w:rPr>
        <w:t xml:space="preserve">, </w:t>
      </w:r>
      <w:r w:rsidR="0035405C" w:rsidRPr="0035405C">
        <w:rPr>
          <w:rFonts w:eastAsia="MS Mincho"/>
          <w:szCs w:val="20"/>
          <w:lang w:val="en-US"/>
        </w:rPr>
        <w:t>Methyl Sulfonyl Methane MSM</w:t>
      </w:r>
      <w:r w:rsidR="00944025">
        <w:rPr>
          <w:rFonts w:eastAsia="MS Mincho"/>
          <w:szCs w:val="20"/>
          <w:lang w:val="en-US"/>
        </w:rPr>
        <w:t xml:space="preserve">, </w:t>
      </w:r>
      <w:r w:rsidR="0035405C" w:rsidRPr="0035405C">
        <w:rPr>
          <w:rFonts w:eastAsia="MS Mincho"/>
          <w:szCs w:val="20"/>
          <w:lang w:val="en-US"/>
        </w:rPr>
        <w:t>Boswellic Acid Dry Extract 65%</w:t>
      </w:r>
      <w:r w:rsidR="00944025">
        <w:rPr>
          <w:rFonts w:eastAsia="MS Mincho"/>
          <w:szCs w:val="20"/>
          <w:lang w:val="en-US"/>
        </w:rPr>
        <w:t xml:space="preserve">, </w:t>
      </w:r>
      <w:r w:rsidR="0035405C" w:rsidRPr="0035405C">
        <w:rPr>
          <w:rFonts w:eastAsia="MS Mincho"/>
          <w:szCs w:val="20"/>
          <w:lang w:val="en-US"/>
        </w:rPr>
        <w:t>Ananasus Comosus extract 2500 GDU</w:t>
      </w:r>
      <w:r w:rsidR="00944025">
        <w:rPr>
          <w:rFonts w:eastAsia="MS Mincho"/>
          <w:szCs w:val="20"/>
          <w:lang w:val="en-US"/>
        </w:rPr>
        <w:t xml:space="preserve">, </w:t>
      </w:r>
      <w:r w:rsidR="0035405C" w:rsidRPr="0035405C">
        <w:rPr>
          <w:rFonts w:eastAsia="MS Mincho"/>
          <w:szCs w:val="20"/>
          <w:lang w:val="en-US"/>
        </w:rPr>
        <w:t>L-Glutamine</w:t>
      </w:r>
      <w:r w:rsidR="00944025">
        <w:rPr>
          <w:rFonts w:eastAsia="MS Mincho"/>
          <w:szCs w:val="20"/>
          <w:lang w:val="en-US"/>
        </w:rPr>
        <w:t xml:space="preserve">, </w:t>
      </w:r>
      <w:r w:rsidR="0035405C" w:rsidRPr="0035405C">
        <w:rPr>
          <w:rFonts w:eastAsia="MS Mincho"/>
          <w:szCs w:val="20"/>
          <w:lang w:val="en-US"/>
        </w:rPr>
        <w:t>Feverfew Dry Extract PE 4:1</w:t>
      </w:r>
      <w:r w:rsidR="00944025">
        <w:rPr>
          <w:rFonts w:eastAsia="MS Mincho"/>
          <w:szCs w:val="20"/>
          <w:lang w:val="en-US"/>
        </w:rPr>
        <w:t xml:space="preserve">, </w:t>
      </w:r>
      <w:r w:rsidR="0035405C" w:rsidRPr="0035405C">
        <w:rPr>
          <w:rFonts w:eastAsia="MS Mincho"/>
          <w:szCs w:val="20"/>
          <w:lang w:val="en-US"/>
        </w:rPr>
        <w:t>Hyaluronic Acid</w:t>
      </w:r>
    </w:p>
    <w:p w14:paraId="5A804BCF" w14:textId="77777777" w:rsidR="0035405C" w:rsidRPr="009032D9" w:rsidRDefault="0035405C" w:rsidP="0035405C">
      <w:pPr>
        <w:pStyle w:val="Lijstalinea"/>
        <w:spacing w:after="0" w:line="360" w:lineRule="auto"/>
        <w:ind w:left="357"/>
        <w:rPr>
          <w:rFonts w:ascii="Times New Roman" w:eastAsia="MS Mincho" w:hAnsi="Times New Roman" w:cs="Times New Roman"/>
          <w:sz w:val="24"/>
          <w:szCs w:val="20"/>
          <w:lang w:val="en-US" w:eastAsia="nl-NL"/>
        </w:rPr>
      </w:pPr>
    </w:p>
    <w:sectPr w:rsidR="0035405C" w:rsidRPr="009032D9" w:rsidSect="00B9566A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32276" w14:textId="77777777" w:rsidR="0041055E" w:rsidRDefault="0041055E">
      <w:r>
        <w:separator/>
      </w:r>
    </w:p>
  </w:endnote>
  <w:endnote w:type="continuationSeparator" w:id="0">
    <w:p w14:paraId="2253E137" w14:textId="77777777" w:rsidR="0041055E" w:rsidRDefault="0041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48804" w14:textId="77777777" w:rsidR="00A11FFF" w:rsidRDefault="00A11FF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127D8" w14:textId="77777777" w:rsidR="0041055E" w:rsidRDefault="0041055E">
      <w:r>
        <w:separator/>
      </w:r>
    </w:p>
  </w:footnote>
  <w:footnote w:type="continuationSeparator" w:id="0">
    <w:p w14:paraId="20E85F0F" w14:textId="77777777" w:rsidR="0041055E" w:rsidRDefault="00410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E4F42" w14:textId="77777777" w:rsidR="00A11FFF" w:rsidRDefault="00A11FFF">
    <w:pPr>
      <w:spacing w:line="480" w:lineRule="auto"/>
      <w:rPr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25975"/>
    <w:multiLevelType w:val="hybridMultilevel"/>
    <w:tmpl w:val="2EEC5D82"/>
    <w:lvl w:ilvl="0" w:tplc="354E523E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130CED"/>
    <w:multiLevelType w:val="hybridMultilevel"/>
    <w:tmpl w:val="5C86F486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4D"/>
    <w:rsid w:val="00090740"/>
    <w:rsid w:val="00104731"/>
    <w:rsid w:val="00163E4D"/>
    <w:rsid w:val="001A7E06"/>
    <w:rsid w:val="001C33E6"/>
    <w:rsid w:val="001C67C6"/>
    <w:rsid w:val="001E6127"/>
    <w:rsid w:val="001E7971"/>
    <w:rsid w:val="001F6B11"/>
    <w:rsid w:val="002017B4"/>
    <w:rsid w:val="00201844"/>
    <w:rsid w:val="00283A92"/>
    <w:rsid w:val="002C62F0"/>
    <w:rsid w:val="002E3894"/>
    <w:rsid w:val="00326D94"/>
    <w:rsid w:val="003419C5"/>
    <w:rsid w:val="0035405C"/>
    <w:rsid w:val="00354700"/>
    <w:rsid w:val="00363501"/>
    <w:rsid w:val="003776D5"/>
    <w:rsid w:val="0039498D"/>
    <w:rsid w:val="003C109D"/>
    <w:rsid w:val="003D383C"/>
    <w:rsid w:val="003E18D5"/>
    <w:rsid w:val="003F0FE9"/>
    <w:rsid w:val="0041055E"/>
    <w:rsid w:val="00466481"/>
    <w:rsid w:val="00482C45"/>
    <w:rsid w:val="00515CFA"/>
    <w:rsid w:val="005B32DF"/>
    <w:rsid w:val="005C3CE7"/>
    <w:rsid w:val="005E69AB"/>
    <w:rsid w:val="006059E9"/>
    <w:rsid w:val="006177C3"/>
    <w:rsid w:val="00625736"/>
    <w:rsid w:val="00633216"/>
    <w:rsid w:val="006630F6"/>
    <w:rsid w:val="0068525C"/>
    <w:rsid w:val="006E4D44"/>
    <w:rsid w:val="007468E7"/>
    <w:rsid w:val="0075337A"/>
    <w:rsid w:val="0077164F"/>
    <w:rsid w:val="0081382A"/>
    <w:rsid w:val="008519E0"/>
    <w:rsid w:val="00862816"/>
    <w:rsid w:val="00896180"/>
    <w:rsid w:val="008E59E9"/>
    <w:rsid w:val="009032D9"/>
    <w:rsid w:val="00923B21"/>
    <w:rsid w:val="00944025"/>
    <w:rsid w:val="00953D3C"/>
    <w:rsid w:val="009E5B3B"/>
    <w:rsid w:val="009E78E7"/>
    <w:rsid w:val="00A11FFF"/>
    <w:rsid w:val="00AB37A7"/>
    <w:rsid w:val="00AD7991"/>
    <w:rsid w:val="00B03DDD"/>
    <w:rsid w:val="00B12350"/>
    <w:rsid w:val="00B12BEE"/>
    <w:rsid w:val="00B5518E"/>
    <w:rsid w:val="00B62906"/>
    <w:rsid w:val="00B62EF2"/>
    <w:rsid w:val="00B84F2F"/>
    <w:rsid w:val="00B95098"/>
    <w:rsid w:val="00B9566A"/>
    <w:rsid w:val="00BE371E"/>
    <w:rsid w:val="00C04B19"/>
    <w:rsid w:val="00C32F2F"/>
    <w:rsid w:val="00C548BF"/>
    <w:rsid w:val="00C73AFB"/>
    <w:rsid w:val="00C96BD0"/>
    <w:rsid w:val="00CC6205"/>
    <w:rsid w:val="00D14857"/>
    <w:rsid w:val="00D30038"/>
    <w:rsid w:val="00D32E52"/>
    <w:rsid w:val="00D54201"/>
    <w:rsid w:val="00D70B6B"/>
    <w:rsid w:val="00D93E76"/>
    <w:rsid w:val="00DA273B"/>
    <w:rsid w:val="00DB452C"/>
    <w:rsid w:val="00E243B7"/>
    <w:rsid w:val="00E27E49"/>
    <w:rsid w:val="00E43716"/>
    <w:rsid w:val="00E83AB7"/>
    <w:rsid w:val="00E914D8"/>
    <w:rsid w:val="00E92A2B"/>
    <w:rsid w:val="00EE3676"/>
    <w:rsid w:val="00F34D3E"/>
    <w:rsid w:val="00F5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0F5F6"/>
  <w15:docId w15:val="{2C000C16-2CCB-44E5-80C1-BE269500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63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163E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63E4D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163E4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nl-BE"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43716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43716"/>
    <w:pPr>
      <w:spacing w:after="200"/>
    </w:pPr>
    <w:rPr>
      <w:rFonts w:asciiTheme="minorHAnsi" w:eastAsiaTheme="minorHAnsi" w:hAnsiTheme="minorHAnsi" w:cstheme="minorBidi"/>
      <w:lang w:val="nl-BE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43716"/>
    <w:rPr>
      <w:sz w:val="24"/>
      <w:szCs w:val="24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371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3716"/>
    <w:rPr>
      <w:rFonts w:ascii="Tahoma" w:eastAsia="Times New Roman" w:hAnsi="Tahoma" w:cs="Tahoma"/>
      <w:sz w:val="16"/>
      <w:szCs w:val="16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9566A"/>
    <w:pPr>
      <w:spacing w:after="0"/>
    </w:pPr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9566A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6D4C3A-A5F6-4BC3-A9EB-1574D76D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Utrecht University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Eline Van de Water</dc:creator>
  <cp:lastModifiedBy>MO</cp:lastModifiedBy>
  <cp:revision>10</cp:revision>
  <dcterms:created xsi:type="dcterms:W3CDTF">2015-01-14T10:40:00Z</dcterms:created>
  <dcterms:modified xsi:type="dcterms:W3CDTF">2015-01-15T16:08:00Z</dcterms:modified>
</cp:coreProperties>
</file>