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0C" w:rsidRPr="002854C1" w:rsidRDefault="00EC37BA" w:rsidP="00342F2D">
      <w:pPr>
        <w:pStyle w:val="Titel"/>
        <w:spacing w:after="0" w:line="360" w:lineRule="auto"/>
        <w:jc w:val="center"/>
        <w:rPr>
          <w:szCs w:val="28"/>
          <w:lang w:val="en-US"/>
        </w:rPr>
      </w:pPr>
      <w:bookmarkStart w:id="0" w:name="_GoBack"/>
      <w:bookmarkEnd w:id="0"/>
      <w:r w:rsidRPr="002854C1">
        <w:rPr>
          <w:szCs w:val="28"/>
          <w:lang w:val="en-US"/>
        </w:rPr>
        <w:t>Synthesis of</w:t>
      </w:r>
      <w:r w:rsidR="005F3467" w:rsidRPr="002854C1">
        <w:rPr>
          <w:szCs w:val="28"/>
          <w:lang w:val="en-US"/>
        </w:rPr>
        <w:t xml:space="preserve"> 2-aminomethyl-</w:t>
      </w:r>
      <w:r w:rsidR="009856CA">
        <w:rPr>
          <w:szCs w:val="28"/>
          <w:lang w:val="en-US"/>
        </w:rPr>
        <w:t>4-phenyl-</w:t>
      </w:r>
      <w:r w:rsidR="005F3467" w:rsidRPr="002854C1">
        <w:rPr>
          <w:szCs w:val="28"/>
          <w:lang w:val="en-US"/>
        </w:rPr>
        <w:t>1-azabicyclo[2.2.1]heptanes</w:t>
      </w:r>
      <w:r w:rsidRPr="002854C1">
        <w:rPr>
          <w:szCs w:val="28"/>
          <w:lang w:val="en-US"/>
        </w:rPr>
        <w:t xml:space="preserve"> via LiAlH</w:t>
      </w:r>
      <w:r w:rsidRPr="002854C1">
        <w:rPr>
          <w:szCs w:val="28"/>
          <w:vertAlign w:val="subscript"/>
          <w:lang w:val="en-US"/>
        </w:rPr>
        <w:t>4</w:t>
      </w:r>
      <w:r w:rsidRPr="002854C1">
        <w:rPr>
          <w:szCs w:val="28"/>
          <w:lang w:val="en-US"/>
        </w:rPr>
        <w:t>-induced reductive cyclization of 2-(4-chloro-2-cyano</w:t>
      </w:r>
      <w:r w:rsidR="009856CA">
        <w:rPr>
          <w:szCs w:val="28"/>
          <w:lang w:val="en-US"/>
        </w:rPr>
        <w:t>-2-phenyl</w:t>
      </w:r>
      <w:r w:rsidRPr="002854C1">
        <w:rPr>
          <w:szCs w:val="28"/>
          <w:lang w:val="en-US"/>
        </w:rPr>
        <w:t>butyl)aziridines</w:t>
      </w:r>
      <w:r w:rsidR="007F57A7">
        <w:rPr>
          <w:szCs w:val="28"/>
          <w:lang w:val="en-US"/>
        </w:rPr>
        <w:t xml:space="preserve"> and evaluation of their antimalarial activity</w:t>
      </w:r>
    </w:p>
    <w:p w:rsidR="00EE740C" w:rsidRPr="002854C1" w:rsidRDefault="00EE740C" w:rsidP="00342F2D">
      <w:pPr>
        <w:spacing w:after="0"/>
        <w:jc w:val="center"/>
        <w:rPr>
          <w:lang w:val="en-US"/>
        </w:rPr>
      </w:pPr>
    </w:p>
    <w:p w:rsidR="00EE740C" w:rsidRPr="002854C1" w:rsidRDefault="00871163" w:rsidP="00342F2D">
      <w:pPr>
        <w:spacing w:after="0"/>
        <w:jc w:val="center"/>
        <w:rPr>
          <w:rFonts w:cs="TimesNewRomanSF-BoldItalic"/>
          <w:bCs/>
          <w:i/>
          <w:iCs/>
          <w:vertAlign w:val="superscript"/>
          <w:lang w:val="en-US"/>
        </w:rPr>
      </w:pPr>
      <w:r>
        <w:rPr>
          <w:rFonts w:cs="TimesNewRomanSF-Bold"/>
          <w:bCs/>
          <w:lang w:val="en-US"/>
        </w:rPr>
        <w:t>Matthias D’hooghe,</w:t>
      </w:r>
      <w:r w:rsidRPr="00871163">
        <w:rPr>
          <w:rStyle w:val="Voetnootmarkering"/>
          <w:rFonts w:cs="TimesNewRomanSF-Bold"/>
          <w:bCs/>
          <w:vertAlign w:val="baseline"/>
          <w:lang w:val="en-US"/>
        </w:rPr>
        <w:footnoteReference w:customMarkFollows="1" w:id="1"/>
        <w:sym w:font="Symbol" w:char="F02A"/>
      </w:r>
      <w:r w:rsidR="0033378C" w:rsidRPr="002854C1">
        <w:rPr>
          <w:rFonts w:cs="TimesNewRomanSF-BoldItalic"/>
          <w:bCs/>
          <w:i/>
          <w:iCs/>
          <w:vertAlign w:val="superscript"/>
          <w:lang w:val="en-US"/>
        </w:rPr>
        <w:t>a</w:t>
      </w:r>
      <w:r w:rsidR="0033378C" w:rsidRPr="002854C1">
        <w:rPr>
          <w:rFonts w:cs="TimesNewRomanSF-Bold"/>
          <w:bCs/>
          <w:lang w:val="en-US"/>
        </w:rPr>
        <w:t xml:space="preserve"> </w:t>
      </w:r>
      <w:r w:rsidR="00EE740C" w:rsidRPr="002854C1">
        <w:rPr>
          <w:rFonts w:cs="TimesNewRomanSF-Bold"/>
          <w:bCs/>
          <w:lang w:val="en-US"/>
        </w:rPr>
        <w:t>Karel Vervisch,</w:t>
      </w:r>
      <w:r w:rsidR="00EE740C" w:rsidRPr="002854C1">
        <w:rPr>
          <w:rFonts w:cs="TimesNewRomanSF-BoldItalic"/>
          <w:bCs/>
          <w:i/>
          <w:iCs/>
          <w:vertAlign w:val="superscript"/>
          <w:lang w:val="en-US"/>
        </w:rPr>
        <w:t>a</w:t>
      </w:r>
      <w:r w:rsidR="00EE740C" w:rsidRPr="002854C1">
        <w:rPr>
          <w:rFonts w:cs="TimesNewRomanSF-BoldItalic"/>
          <w:bCs/>
          <w:i/>
          <w:iCs/>
          <w:lang w:val="en-US"/>
        </w:rPr>
        <w:t xml:space="preserve"> </w:t>
      </w:r>
      <w:r w:rsidR="00EE740C" w:rsidRPr="002854C1">
        <w:rPr>
          <w:rFonts w:cs="TimesNewRomanSF-Bold"/>
          <w:bCs/>
          <w:lang w:val="en-US"/>
        </w:rPr>
        <w:t>Karl W. Törnroos</w:t>
      </w:r>
      <w:r w:rsidR="0033378C" w:rsidRPr="002854C1">
        <w:rPr>
          <w:rFonts w:cs="TimesNewRomanSF-Bold"/>
          <w:bCs/>
          <w:lang w:val="en-US"/>
        </w:rPr>
        <w:t>,</w:t>
      </w:r>
      <w:r w:rsidR="00EE740C" w:rsidRPr="002854C1">
        <w:rPr>
          <w:rFonts w:cs="TimesNewRomanSF-BoldItalic"/>
          <w:bCs/>
          <w:i/>
          <w:iCs/>
          <w:vertAlign w:val="superscript"/>
          <w:lang w:val="en-US"/>
        </w:rPr>
        <w:t>b</w:t>
      </w:r>
      <w:r w:rsidR="00EE740C" w:rsidRPr="002854C1">
        <w:rPr>
          <w:rFonts w:cs="TimesNewRomanSF-BoldItalic"/>
          <w:bCs/>
          <w:i/>
          <w:iCs/>
          <w:lang w:val="en-US"/>
        </w:rPr>
        <w:t xml:space="preserve"> </w:t>
      </w:r>
      <w:r w:rsidR="0033378C" w:rsidRPr="002854C1">
        <w:rPr>
          <w:bCs/>
          <w:lang w:val="en-US"/>
        </w:rPr>
        <w:t>Tom Verhaeghe,</w:t>
      </w:r>
      <w:r w:rsidR="0033378C" w:rsidRPr="002854C1">
        <w:rPr>
          <w:bCs/>
          <w:i/>
          <w:vertAlign w:val="superscript"/>
          <w:lang w:val="en-US"/>
        </w:rPr>
        <w:t>c</w:t>
      </w:r>
      <w:r w:rsidR="0033378C" w:rsidRPr="002854C1">
        <w:rPr>
          <w:bCs/>
          <w:lang w:val="en-US"/>
        </w:rPr>
        <w:t xml:space="preserve"> Tom Desmet</w:t>
      </w:r>
      <w:r w:rsidR="00BE6A7C">
        <w:rPr>
          <w:bCs/>
          <w:lang w:val="en-US"/>
        </w:rPr>
        <w:t>,</w:t>
      </w:r>
      <w:r w:rsidR="0033378C" w:rsidRPr="002854C1">
        <w:rPr>
          <w:bCs/>
          <w:i/>
          <w:vertAlign w:val="superscript"/>
          <w:lang w:val="en-US"/>
        </w:rPr>
        <w:t>c</w:t>
      </w:r>
      <w:r w:rsidR="0033378C" w:rsidRPr="002854C1">
        <w:rPr>
          <w:rFonts w:cs="TimesNewRomanSF-BoldItalic"/>
          <w:bCs/>
          <w:iCs/>
          <w:lang w:val="en-US"/>
        </w:rPr>
        <w:t xml:space="preserve"> </w:t>
      </w:r>
      <w:r w:rsidR="00770DED">
        <w:rPr>
          <w:rFonts w:cs="TimesNewRomanSF-BoldItalic"/>
          <w:bCs/>
          <w:iCs/>
          <w:lang w:val="en-US"/>
        </w:rPr>
        <w:br/>
      </w:r>
      <w:r w:rsidR="00BE6A7C" w:rsidRPr="00C02795">
        <w:rPr>
          <w:lang w:val="en-GB"/>
        </w:rPr>
        <w:t>Carmen Lategan,</w:t>
      </w:r>
      <w:r w:rsidR="00BE6A7C" w:rsidRPr="00BE6A7C">
        <w:rPr>
          <w:i/>
          <w:vertAlign w:val="superscript"/>
          <w:lang w:val="en-GB"/>
        </w:rPr>
        <w:t>d</w:t>
      </w:r>
      <w:r w:rsidR="00BE6A7C" w:rsidRPr="00C02795">
        <w:rPr>
          <w:lang w:val="en-GB"/>
        </w:rPr>
        <w:t xml:space="preserve"> Peter J. Smith,</w:t>
      </w:r>
      <w:r w:rsidR="00BE6A7C" w:rsidRPr="00BE6A7C">
        <w:rPr>
          <w:i/>
          <w:vertAlign w:val="superscript"/>
          <w:lang w:val="en-GB"/>
        </w:rPr>
        <w:t>d</w:t>
      </w:r>
      <w:r w:rsidR="00BE6A7C" w:rsidRPr="00C02795">
        <w:rPr>
          <w:lang w:val="en-GB"/>
        </w:rPr>
        <w:t xml:space="preserve"> Kelly Chibale,</w:t>
      </w:r>
      <w:r w:rsidR="00BE6A7C" w:rsidRPr="00BE6A7C">
        <w:rPr>
          <w:i/>
          <w:vertAlign w:val="superscript"/>
          <w:lang w:val="en-GB"/>
        </w:rPr>
        <w:t>e</w:t>
      </w:r>
      <w:r w:rsidR="00BE6A7C">
        <w:rPr>
          <w:rFonts w:cs="TimesNewRomanSF-BoldItalic"/>
          <w:bCs/>
          <w:iCs/>
          <w:lang w:val="en-US"/>
        </w:rPr>
        <w:t xml:space="preserve"> </w:t>
      </w:r>
      <w:r w:rsidR="00EE740C" w:rsidRPr="002854C1">
        <w:rPr>
          <w:rFonts w:cs="TimesNewRomanSF-Bold"/>
          <w:bCs/>
          <w:lang w:val="en-US"/>
        </w:rPr>
        <w:t>and Norbert De Kimpe</w:t>
      </w:r>
      <w:r>
        <w:rPr>
          <w:rFonts w:cs="TimesNewRomanSF-Bold"/>
          <w:bCs/>
          <w:lang w:val="en-US"/>
        </w:rPr>
        <w:sym w:font="Symbol" w:char="F02A"/>
      </w:r>
      <w:r w:rsidR="00EE740C" w:rsidRPr="002854C1">
        <w:rPr>
          <w:rFonts w:cs="TimesNewRomanSF-BoldItalic"/>
          <w:bCs/>
          <w:i/>
          <w:iCs/>
          <w:vertAlign w:val="superscript"/>
          <w:lang w:val="en-US"/>
        </w:rPr>
        <w:t>a</w:t>
      </w:r>
    </w:p>
    <w:p w:rsidR="00EE740C" w:rsidRPr="002854C1" w:rsidRDefault="00EE740C" w:rsidP="00342F2D">
      <w:pPr>
        <w:spacing w:after="0"/>
        <w:jc w:val="center"/>
        <w:rPr>
          <w:lang w:val="en-US"/>
        </w:rPr>
      </w:pPr>
    </w:p>
    <w:p w:rsidR="00EE740C" w:rsidRPr="002854C1" w:rsidRDefault="00EE740C" w:rsidP="00342F2D">
      <w:pPr>
        <w:spacing w:after="0"/>
        <w:jc w:val="center"/>
        <w:rPr>
          <w:i/>
          <w:sz w:val="18"/>
          <w:szCs w:val="18"/>
          <w:lang w:val="en-US"/>
        </w:rPr>
      </w:pPr>
      <w:r w:rsidRPr="002854C1">
        <w:rPr>
          <w:i/>
          <w:sz w:val="18"/>
          <w:szCs w:val="18"/>
          <w:vertAlign w:val="superscript"/>
          <w:lang w:val="en-US"/>
        </w:rPr>
        <w:t>a</w:t>
      </w:r>
      <w:r w:rsidRPr="002854C1">
        <w:rPr>
          <w:i/>
          <w:sz w:val="18"/>
          <w:szCs w:val="18"/>
          <w:lang w:val="en-US"/>
        </w:rPr>
        <w:t>Department of</w:t>
      </w:r>
      <w:r w:rsidR="000537AC" w:rsidRPr="002854C1">
        <w:rPr>
          <w:i/>
          <w:sz w:val="18"/>
          <w:szCs w:val="18"/>
          <w:lang w:val="en-US"/>
        </w:rPr>
        <w:t xml:space="preserve"> S</w:t>
      </w:r>
      <w:r w:rsidR="008A3927" w:rsidRPr="002854C1">
        <w:rPr>
          <w:i/>
          <w:sz w:val="18"/>
          <w:szCs w:val="18"/>
          <w:lang w:val="en-US"/>
        </w:rPr>
        <w:t>ustainable</w:t>
      </w:r>
      <w:r w:rsidR="002039B9" w:rsidRPr="002854C1">
        <w:rPr>
          <w:i/>
          <w:sz w:val="18"/>
          <w:szCs w:val="18"/>
          <w:lang w:val="en-US"/>
        </w:rPr>
        <w:t xml:space="preserve"> </w:t>
      </w:r>
      <w:r w:rsidRPr="002854C1">
        <w:rPr>
          <w:i/>
          <w:sz w:val="18"/>
          <w:szCs w:val="18"/>
          <w:lang w:val="en-US"/>
        </w:rPr>
        <w:t>Organic Chemistr</w:t>
      </w:r>
      <w:r w:rsidR="000537AC" w:rsidRPr="002854C1">
        <w:rPr>
          <w:i/>
          <w:sz w:val="18"/>
          <w:szCs w:val="18"/>
          <w:lang w:val="en-US"/>
        </w:rPr>
        <w:t>y and T</w:t>
      </w:r>
      <w:r w:rsidR="008A3927" w:rsidRPr="002854C1">
        <w:rPr>
          <w:i/>
          <w:sz w:val="18"/>
          <w:szCs w:val="18"/>
          <w:lang w:val="en-US"/>
        </w:rPr>
        <w:t>echnology</w:t>
      </w:r>
      <w:r w:rsidRPr="002854C1">
        <w:rPr>
          <w:i/>
          <w:sz w:val="18"/>
          <w:szCs w:val="18"/>
          <w:lang w:val="en-US"/>
        </w:rPr>
        <w:t>, Faculty of Bioscience Engineering, Ghent University,</w:t>
      </w:r>
      <w:r w:rsidR="006C77A7" w:rsidRPr="002854C1">
        <w:rPr>
          <w:i/>
          <w:sz w:val="18"/>
          <w:szCs w:val="18"/>
          <w:lang w:val="en-US"/>
        </w:rPr>
        <w:t xml:space="preserve"> </w:t>
      </w:r>
      <w:r w:rsidRPr="002854C1">
        <w:rPr>
          <w:i/>
          <w:sz w:val="18"/>
          <w:szCs w:val="18"/>
          <w:lang w:val="en-US"/>
        </w:rPr>
        <w:t>Coupure Links 653, B-9000 Ghent, Belgium</w:t>
      </w:r>
      <w:r w:rsidR="0033378C" w:rsidRPr="002854C1">
        <w:rPr>
          <w:i/>
          <w:sz w:val="18"/>
          <w:szCs w:val="18"/>
          <w:lang w:val="en-US"/>
        </w:rPr>
        <w:t xml:space="preserve">; </w:t>
      </w:r>
      <w:r w:rsidRPr="002854C1">
        <w:rPr>
          <w:i/>
          <w:sz w:val="18"/>
          <w:szCs w:val="18"/>
          <w:vertAlign w:val="superscript"/>
          <w:lang w:val="en-US"/>
        </w:rPr>
        <w:t>b</w:t>
      </w:r>
      <w:r w:rsidRPr="002854C1">
        <w:rPr>
          <w:i/>
          <w:sz w:val="18"/>
          <w:szCs w:val="18"/>
          <w:lang w:val="en-US"/>
        </w:rPr>
        <w:t>Department of Chemistry, University of Bergen, Allégt 41, 5007 Bergen, Norway</w:t>
      </w:r>
      <w:r w:rsidR="0033378C" w:rsidRPr="002854C1">
        <w:rPr>
          <w:i/>
          <w:sz w:val="18"/>
          <w:szCs w:val="18"/>
          <w:lang w:val="en-US"/>
        </w:rPr>
        <w:t xml:space="preserve">; </w:t>
      </w:r>
      <w:r w:rsidR="0033378C" w:rsidRPr="002854C1">
        <w:rPr>
          <w:i/>
          <w:sz w:val="18"/>
          <w:szCs w:val="18"/>
          <w:vertAlign w:val="superscript"/>
          <w:lang w:val="en-US"/>
        </w:rPr>
        <w:t>c</w:t>
      </w:r>
      <w:r w:rsidR="0033378C" w:rsidRPr="002854C1">
        <w:rPr>
          <w:i/>
          <w:sz w:val="18"/>
          <w:szCs w:val="18"/>
          <w:lang w:val="en-GB"/>
        </w:rPr>
        <w:t>Centre for Industrial Biotechnology and Biocatalysis,</w:t>
      </w:r>
      <w:r w:rsidR="0033378C" w:rsidRPr="002854C1">
        <w:rPr>
          <w:i/>
          <w:sz w:val="18"/>
          <w:szCs w:val="18"/>
          <w:lang w:val="en-US"/>
        </w:rPr>
        <w:t xml:space="preserve"> Faculty of Bioscience Engineering, Ghent University, Coupure Links 653, B-9000 Ghent, Belgium</w:t>
      </w:r>
      <w:r w:rsidR="00BE6A7C">
        <w:rPr>
          <w:i/>
          <w:sz w:val="18"/>
          <w:szCs w:val="18"/>
          <w:lang w:val="en-US"/>
        </w:rPr>
        <w:t xml:space="preserve">; </w:t>
      </w:r>
      <w:r w:rsidR="00BE6A7C" w:rsidRPr="00BE6A7C">
        <w:rPr>
          <w:i/>
          <w:sz w:val="18"/>
          <w:szCs w:val="18"/>
          <w:vertAlign w:val="superscript"/>
          <w:lang w:val="en-US"/>
        </w:rPr>
        <w:t>d</w:t>
      </w:r>
      <w:r w:rsidR="00BE6A7C" w:rsidRPr="00C02795">
        <w:rPr>
          <w:i/>
          <w:sz w:val="18"/>
          <w:szCs w:val="18"/>
          <w:lang w:val="en-GB"/>
        </w:rPr>
        <w:t>Medical School, University of Cape Town, K45, OMB, Groote Schuur Hospital, Observatory, 7925, South Africa</w:t>
      </w:r>
      <w:r w:rsidR="00BE6A7C">
        <w:rPr>
          <w:i/>
          <w:sz w:val="18"/>
          <w:szCs w:val="18"/>
          <w:lang w:val="en-GB"/>
        </w:rPr>
        <w:t xml:space="preserve">; </w:t>
      </w:r>
      <w:r w:rsidR="00803F72">
        <w:rPr>
          <w:i/>
          <w:sz w:val="18"/>
          <w:szCs w:val="18"/>
          <w:vertAlign w:val="superscript"/>
          <w:lang w:val="en-GB"/>
        </w:rPr>
        <w:t>e</w:t>
      </w:r>
      <w:r w:rsidR="00BE6A7C" w:rsidRPr="00C02795">
        <w:rPr>
          <w:i/>
          <w:sz w:val="18"/>
          <w:szCs w:val="18"/>
          <w:lang w:val="en-GB"/>
        </w:rPr>
        <w:t>Department of Chemistry and Institute of Infectious Disease &amp; Molecular Medicine, University of Cape Town, Rondebosch 7701, South Africa</w:t>
      </w:r>
    </w:p>
    <w:p w:rsidR="00EE740C" w:rsidRDefault="00EE740C" w:rsidP="00871163">
      <w:pPr>
        <w:spacing w:after="0"/>
        <w:jc w:val="center"/>
        <w:rPr>
          <w:lang w:val="en-US"/>
        </w:rPr>
      </w:pPr>
    </w:p>
    <w:p w:rsidR="00871163" w:rsidRDefault="00342F2D" w:rsidP="00871163">
      <w:pPr>
        <w:pStyle w:val="Bijschrift"/>
        <w:spacing w:after="0" w:line="360" w:lineRule="auto"/>
        <w:rPr>
          <w:b w:val="0"/>
          <w:szCs w:val="20"/>
          <w:lang w:val="en-US"/>
        </w:rPr>
      </w:pPr>
      <w:r w:rsidRPr="00076760">
        <w:rPr>
          <w:szCs w:val="20"/>
          <w:lang w:val="en-US"/>
        </w:rPr>
        <w:t>ABSTRACT</w:t>
      </w:r>
    </w:p>
    <w:p w:rsidR="00342F2D" w:rsidRPr="00076760" w:rsidRDefault="006A5397" w:rsidP="00871163">
      <w:pPr>
        <w:pStyle w:val="Bijschrift"/>
        <w:spacing w:after="0" w:line="360" w:lineRule="auto"/>
        <w:rPr>
          <w:b w:val="0"/>
          <w:szCs w:val="20"/>
          <w:lang w:val="en-US"/>
        </w:rPr>
      </w:pPr>
      <w:r w:rsidRPr="00076760">
        <w:rPr>
          <w:b w:val="0"/>
          <w:szCs w:val="20"/>
          <w:lang w:val="en-US"/>
        </w:rPr>
        <w:t>2-(</w:t>
      </w:r>
      <w:r w:rsidR="00B225EA" w:rsidRPr="00076760">
        <w:rPr>
          <w:b w:val="0"/>
          <w:szCs w:val="20"/>
          <w:lang w:val="en-US"/>
        </w:rPr>
        <w:t>4-</w:t>
      </w:r>
      <w:r w:rsidR="00EC37BA" w:rsidRPr="00076760">
        <w:rPr>
          <w:b w:val="0"/>
          <w:szCs w:val="20"/>
          <w:lang w:val="en-US"/>
        </w:rPr>
        <w:t>C</w:t>
      </w:r>
      <w:r w:rsidR="00B225EA" w:rsidRPr="00076760">
        <w:rPr>
          <w:b w:val="0"/>
          <w:szCs w:val="20"/>
          <w:lang w:val="en-US"/>
        </w:rPr>
        <w:t>hloro-</w:t>
      </w:r>
      <w:r w:rsidRPr="00076760">
        <w:rPr>
          <w:b w:val="0"/>
          <w:szCs w:val="20"/>
          <w:lang w:val="en-US"/>
        </w:rPr>
        <w:t>2-c</w:t>
      </w:r>
      <w:r w:rsidR="007026A8" w:rsidRPr="00076760">
        <w:rPr>
          <w:b w:val="0"/>
          <w:szCs w:val="20"/>
          <w:lang w:val="en-US"/>
        </w:rPr>
        <w:t>yano</w:t>
      </w:r>
      <w:r w:rsidR="00863FAC" w:rsidRPr="00076760">
        <w:rPr>
          <w:b w:val="0"/>
          <w:szCs w:val="20"/>
          <w:lang w:val="en-US"/>
        </w:rPr>
        <w:t>-2-phenyl</w:t>
      </w:r>
      <w:r w:rsidR="00B225EA" w:rsidRPr="00076760">
        <w:rPr>
          <w:b w:val="0"/>
          <w:szCs w:val="20"/>
          <w:lang w:val="en-US"/>
        </w:rPr>
        <w:t>but</w:t>
      </w:r>
      <w:r w:rsidR="007026A8" w:rsidRPr="00076760">
        <w:rPr>
          <w:b w:val="0"/>
          <w:szCs w:val="20"/>
          <w:lang w:val="en-US"/>
        </w:rPr>
        <w:t>yl)aziridines</w:t>
      </w:r>
      <w:r w:rsidR="00863FAC" w:rsidRPr="00076760">
        <w:rPr>
          <w:b w:val="0"/>
          <w:color w:val="000000"/>
          <w:szCs w:val="20"/>
          <w:lang w:val="en-US"/>
        </w:rPr>
        <w:t xml:space="preserve"> were em</w:t>
      </w:r>
      <w:r w:rsidR="007026A8" w:rsidRPr="00076760">
        <w:rPr>
          <w:b w:val="0"/>
          <w:color w:val="000000"/>
          <w:szCs w:val="20"/>
          <w:lang w:val="en-US"/>
        </w:rPr>
        <w:t>ployed for the</w:t>
      </w:r>
      <w:r w:rsidR="00B225EA" w:rsidRPr="00076760">
        <w:rPr>
          <w:b w:val="0"/>
          <w:color w:val="000000"/>
          <w:szCs w:val="20"/>
          <w:lang w:val="en-US"/>
        </w:rPr>
        <w:t xml:space="preserve"> one-step</w:t>
      </w:r>
      <w:r w:rsidR="007026A8" w:rsidRPr="00076760">
        <w:rPr>
          <w:b w:val="0"/>
          <w:color w:val="000000"/>
          <w:szCs w:val="20"/>
          <w:lang w:val="en-US"/>
        </w:rPr>
        <w:t xml:space="preserve"> stereos</w:t>
      </w:r>
      <w:r w:rsidRPr="00076760">
        <w:rPr>
          <w:b w:val="0"/>
          <w:color w:val="000000"/>
          <w:szCs w:val="20"/>
          <w:lang w:val="en-US"/>
        </w:rPr>
        <w:t>e</w:t>
      </w:r>
      <w:r w:rsidR="007026A8" w:rsidRPr="00076760">
        <w:rPr>
          <w:b w:val="0"/>
          <w:color w:val="000000"/>
          <w:szCs w:val="20"/>
          <w:lang w:val="en-US"/>
        </w:rPr>
        <w:t xml:space="preserve">lective construction of </w:t>
      </w:r>
      <w:r w:rsidR="005F3467" w:rsidRPr="00076760">
        <w:rPr>
          <w:b w:val="0"/>
          <w:color w:val="000000"/>
          <w:szCs w:val="20"/>
          <w:lang w:val="en-US"/>
        </w:rPr>
        <w:t xml:space="preserve">both </w:t>
      </w:r>
      <w:r w:rsidR="005F3467" w:rsidRPr="00076760">
        <w:rPr>
          <w:b w:val="0"/>
          <w:i/>
          <w:color w:val="000000"/>
          <w:szCs w:val="20"/>
          <w:lang w:val="en-US"/>
        </w:rPr>
        <w:t>endo</w:t>
      </w:r>
      <w:r w:rsidR="00D572DA" w:rsidRPr="00076760">
        <w:rPr>
          <w:b w:val="0"/>
          <w:color w:val="000000"/>
          <w:szCs w:val="20"/>
          <w:lang w:val="en-US"/>
        </w:rPr>
        <w:t>-</w:t>
      </w:r>
      <w:r w:rsidR="005F3467" w:rsidRPr="00076760">
        <w:rPr>
          <w:b w:val="0"/>
          <w:color w:val="000000"/>
          <w:szCs w:val="20"/>
          <w:lang w:val="en-US"/>
        </w:rPr>
        <w:t xml:space="preserve"> and </w:t>
      </w:r>
      <w:r w:rsidR="005F3467" w:rsidRPr="00076760">
        <w:rPr>
          <w:b w:val="0"/>
          <w:i/>
          <w:color w:val="000000"/>
          <w:szCs w:val="20"/>
          <w:lang w:val="en-US"/>
        </w:rPr>
        <w:t>exo</w:t>
      </w:r>
      <w:r w:rsidR="00D572DA" w:rsidRPr="00076760">
        <w:rPr>
          <w:b w:val="0"/>
          <w:color w:val="000000"/>
          <w:szCs w:val="20"/>
          <w:lang w:val="en-US"/>
        </w:rPr>
        <w:t>-</w:t>
      </w:r>
      <w:r w:rsidR="00692490" w:rsidRPr="00076760">
        <w:rPr>
          <w:b w:val="0"/>
          <w:szCs w:val="20"/>
          <w:lang w:val="en-US"/>
        </w:rPr>
        <w:t>2-aminomethyl-4-phenyl-</w:t>
      </w:r>
      <w:r w:rsidR="00994D5F" w:rsidRPr="00076760">
        <w:rPr>
          <w:b w:val="0"/>
          <w:szCs w:val="20"/>
          <w:lang w:val="en-US"/>
        </w:rPr>
        <w:t>1-</w:t>
      </w:r>
      <w:r w:rsidR="00692490" w:rsidRPr="00076760">
        <w:rPr>
          <w:b w:val="0"/>
          <w:szCs w:val="20"/>
          <w:lang w:val="en-US"/>
        </w:rPr>
        <w:t>azabicyclo[2.2.1]heptanes</w:t>
      </w:r>
      <w:r w:rsidR="00EC37BA" w:rsidRPr="00076760">
        <w:rPr>
          <w:b w:val="0"/>
          <w:szCs w:val="20"/>
          <w:lang w:val="en-US"/>
        </w:rPr>
        <w:t xml:space="preserve"> as </w:t>
      </w:r>
      <w:r w:rsidR="00ED03ED">
        <w:rPr>
          <w:b w:val="0"/>
          <w:szCs w:val="20"/>
          <w:lang w:val="en-US"/>
        </w:rPr>
        <w:t>new</w:t>
      </w:r>
      <w:r w:rsidR="00EC37BA" w:rsidRPr="00076760">
        <w:rPr>
          <w:b w:val="0"/>
          <w:szCs w:val="20"/>
          <w:lang w:val="en-US"/>
        </w:rPr>
        <w:t xml:space="preserve"> aza</w:t>
      </w:r>
      <w:r w:rsidR="00076760" w:rsidRPr="00076760">
        <w:rPr>
          <w:b w:val="0"/>
          <w:szCs w:val="20"/>
          <w:lang w:val="en-US"/>
        </w:rPr>
        <w:t>hetero</w:t>
      </w:r>
      <w:r w:rsidR="00EC37BA" w:rsidRPr="00076760">
        <w:rPr>
          <w:b w:val="0"/>
          <w:szCs w:val="20"/>
          <w:lang w:val="en-US"/>
        </w:rPr>
        <w:t>bicyclic scaffolds</w:t>
      </w:r>
      <w:r w:rsidR="002039B9" w:rsidRPr="00076760">
        <w:rPr>
          <w:b w:val="0"/>
          <w:szCs w:val="20"/>
          <w:lang w:val="en-US"/>
        </w:rPr>
        <w:t xml:space="preserve"> </w:t>
      </w:r>
      <w:r w:rsidR="002039B9" w:rsidRPr="00076760">
        <w:rPr>
          <w:b w:val="0"/>
          <w:i/>
          <w:szCs w:val="20"/>
          <w:lang w:val="en-US"/>
        </w:rPr>
        <w:t xml:space="preserve">via </w:t>
      </w:r>
      <w:r w:rsidR="002039B9" w:rsidRPr="00076760">
        <w:rPr>
          <w:b w:val="0"/>
          <w:szCs w:val="20"/>
          <w:lang w:val="en-US"/>
        </w:rPr>
        <w:t xml:space="preserve">a double </w:t>
      </w:r>
      <w:r w:rsidR="007026A8" w:rsidRPr="00076760">
        <w:rPr>
          <w:b w:val="0"/>
          <w:szCs w:val="20"/>
          <w:lang w:val="en-US"/>
        </w:rPr>
        <w:t>LiAlH</w:t>
      </w:r>
      <w:r w:rsidR="007026A8" w:rsidRPr="00076760">
        <w:rPr>
          <w:b w:val="0"/>
          <w:szCs w:val="20"/>
          <w:vertAlign w:val="subscript"/>
          <w:lang w:val="en-US"/>
        </w:rPr>
        <w:t>4</w:t>
      </w:r>
      <w:r w:rsidR="007026A8" w:rsidRPr="00076760">
        <w:rPr>
          <w:b w:val="0"/>
          <w:szCs w:val="20"/>
          <w:lang w:val="en-US"/>
        </w:rPr>
        <w:t>-induced reductive cyclization protocol.</w:t>
      </w:r>
      <w:r w:rsidR="002039B9" w:rsidRPr="00076760">
        <w:rPr>
          <w:b w:val="0"/>
          <w:szCs w:val="20"/>
          <w:lang w:val="en-US"/>
        </w:rPr>
        <w:t xml:space="preserve"> </w:t>
      </w:r>
      <w:r w:rsidR="00EC37BA" w:rsidRPr="00076760">
        <w:rPr>
          <w:b w:val="0"/>
          <w:szCs w:val="20"/>
          <w:lang w:val="en-US"/>
        </w:rPr>
        <w:t>Antiplasmodial assessment of these 1-azabicyclo[2.2.1]heptanes revealed moderate to good act</w:t>
      </w:r>
      <w:r w:rsidR="0094381D" w:rsidRPr="00076760">
        <w:rPr>
          <w:b w:val="0"/>
          <w:szCs w:val="20"/>
          <w:lang w:val="en-US"/>
        </w:rPr>
        <w:t xml:space="preserve">ivities in the micromolar range, with </w:t>
      </w:r>
      <w:r w:rsidR="0033378C" w:rsidRPr="00076760">
        <w:rPr>
          <w:b w:val="0"/>
          <w:szCs w:val="20"/>
          <w:lang w:val="en-US"/>
        </w:rPr>
        <w:t xml:space="preserve">the </w:t>
      </w:r>
      <w:r w:rsidR="0094381D" w:rsidRPr="00076760">
        <w:rPr>
          <w:b w:val="0"/>
          <w:i/>
          <w:color w:val="000000"/>
          <w:szCs w:val="20"/>
          <w:lang w:val="en-US"/>
        </w:rPr>
        <w:t>exo</w:t>
      </w:r>
      <w:r w:rsidR="0094381D" w:rsidRPr="00076760">
        <w:rPr>
          <w:b w:val="0"/>
          <w:color w:val="000000"/>
          <w:szCs w:val="20"/>
          <w:lang w:val="en-US"/>
        </w:rPr>
        <w:t>-</w:t>
      </w:r>
      <w:r w:rsidR="0033378C" w:rsidRPr="00076760">
        <w:rPr>
          <w:b w:val="0"/>
          <w:szCs w:val="20"/>
          <w:lang w:val="en-US"/>
        </w:rPr>
        <w:t>isomers</w:t>
      </w:r>
      <w:r w:rsidR="0094381D" w:rsidRPr="00076760">
        <w:rPr>
          <w:b w:val="0"/>
          <w:szCs w:val="20"/>
          <w:lang w:val="en-US"/>
        </w:rPr>
        <w:t xml:space="preserve"> </w:t>
      </w:r>
      <w:r w:rsidR="00076760" w:rsidRPr="00076760">
        <w:rPr>
          <w:b w:val="0"/>
          <w:szCs w:val="20"/>
          <w:lang w:val="en-US"/>
        </w:rPr>
        <w:t>being</w:t>
      </w:r>
      <w:r w:rsidR="0094381D" w:rsidRPr="00076760">
        <w:rPr>
          <w:b w:val="0"/>
          <w:szCs w:val="20"/>
          <w:lang w:val="en-US"/>
        </w:rPr>
        <w:t xml:space="preserve"> the most promising structures. Furthermore, the proposed mode of action was supported by ligand docking studies, </w:t>
      </w:r>
      <w:r w:rsidR="00076760" w:rsidRPr="00076760">
        <w:rPr>
          <w:b w:val="0"/>
          <w:szCs w:val="20"/>
          <w:lang w:val="en-US"/>
        </w:rPr>
        <w:t>pointing to</w:t>
      </w:r>
      <w:r w:rsidR="0094381D" w:rsidRPr="00076760">
        <w:rPr>
          <w:b w:val="0"/>
          <w:szCs w:val="20"/>
          <w:lang w:val="en-US"/>
        </w:rPr>
        <w:t xml:space="preserve"> a strong binding interaction with the enzyme plasmepsin II.</w:t>
      </w:r>
    </w:p>
    <w:p w:rsidR="00871163" w:rsidRDefault="00871163" w:rsidP="00871163">
      <w:pPr>
        <w:spacing w:after="0"/>
        <w:rPr>
          <w:b/>
          <w:sz w:val="20"/>
          <w:szCs w:val="20"/>
          <w:lang w:val="en-US"/>
        </w:rPr>
      </w:pPr>
    </w:p>
    <w:p w:rsidR="00342F2D" w:rsidRPr="00076760" w:rsidRDefault="00871163" w:rsidP="00871163">
      <w:pPr>
        <w:spacing w:after="0"/>
        <w:rPr>
          <w:sz w:val="20"/>
          <w:szCs w:val="20"/>
          <w:lang w:val="en-US"/>
        </w:rPr>
      </w:pPr>
      <w:r w:rsidRPr="00871163">
        <w:rPr>
          <w:b/>
          <w:i/>
          <w:sz w:val="20"/>
          <w:szCs w:val="20"/>
          <w:lang w:val="en-US"/>
        </w:rPr>
        <w:t>Keywords</w:t>
      </w:r>
      <w:r w:rsidR="00342F2D" w:rsidRPr="00076760">
        <w:rPr>
          <w:sz w:val="20"/>
          <w:szCs w:val="20"/>
          <w:lang w:val="en-US"/>
        </w:rPr>
        <w:t>: aziridines, 1-azabicyclo[2.2.1]heptanes, ring transformation, antimalarial agents</w:t>
      </w:r>
      <w:r w:rsidR="00076760" w:rsidRPr="00076760">
        <w:rPr>
          <w:sz w:val="20"/>
          <w:szCs w:val="20"/>
          <w:lang w:val="en-US"/>
        </w:rPr>
        <w:t>, plasmepsin II, ligand docking</w:t>
      </w:r>
    </w:p>
    <w:p w:rsidR="00B1486C" w:rsidRPr="002854C1" w:rsidRDefault="00B1486C" w:rsidP="00342F2D">
      <w:pPr>
        <w:spacing w:after="0"/>
        <w:rPr>
          <w:lang w:val="en-US"/>
        </w:rPr>
      </w:pPr>
    </w:p>
    <w:p w:rsidR="002854C1" w:rsidRPr="002854C1" w:rsidRDefault="00AD71B4" w:rsidP="00342F2D">
      <w:pPr>
        <w:spacing w:after="0"/>
        <w:rPr>
          <w:lang w:val="en-GB"/>
        </w:rPr>
      </w:pPr>
      <w:r w:rsidRPr="002854C1">
        <w:rPr>
          <w:lang w:val="en-US"/>
        </w:rPr>
        <w:lastRenderedPageBreak/>
        <w:t xml:space="preserve">An important challenge in modern health care relates to the control of malaria, as this disease </w:t>
      </w:r>
      <w:r w:rsidR="00A10A43" w:rsidRPr="002854C1">
        <w:rPr>
          <w:lang w:val="en-US"/>
        </w:rPr>
        <w:t xml:space="preserve">poses a major threat </w:t>
      </w:r>
      <w:r w:rsidR="007239EF" w:rsidRPr="002854C1">
        <w:rPr>
          <w:lang w:val="en-US"/>
        </w:rPr>
        <w:t>to</w:t>
      </w:r>
      <w:r w:rsidR="00A10A43" w:rsidRPr="002854C1">
        <w:rPr>
          <w:lang w:val="en-US"/>
        </w:rPr>
        <w:t xml:space="preserve"> </w:t>
      </w:r>
      <w:r w:rsidR="00A10A43" w:rsidRPr="002854C1">
        <w:rPr>
          <w:lang w:val="en-GB"/>
        </w:rPr>
        <w:t>African children and pregnant women</w:t>
      </w:r>
      <w:r w:rsidR="00573572">
        <w:rPr>
          <w:lang w:val="en-GB"/>
        </w:rPr>
        <w:t xml:space="preserve"> </w:t>
      </w:r>
      <w:r w:rsidR="009856CA">
        <w:rPr>
          <w:lang w:val="en-GB"/>
        </w:rPr>
        <w:t>with</w:t>
      </w:r>
      <w:r w:rsidR="00A10A43" w:rsidRPr="002854C1">
        <w:rPr>
          <w:lang w:val="en-GB"/>
        </w:rPr>
        <w:t xml:space="preserve"> </w:t>
      </w:r>
      <w:r w:rsidRPr="002854C1">
        <w:rPr>
          <w:lang w:val="en-GB"/>
        </w:rPr>
        <w:t>216 million clinical cases and roughly 655</w:t>
      </w:r>
      <w:r w:rsidR="00A10A43" w:rsidRPr="002854C1">
        <w:rPr>
          <w:lang w:val="en-GB"/>
        </w:rPr>
        <w:t>.</w:t>
      </w:r>
      <w:r w:rsidRPr="002854C1">
        <w:rPr>
          <w:lang w:val="en-GB"/>
        </w:rPr>
        <w:t>000 deaths worldwide in 2010.</w:t>
      </w:r>
      <w:r w:rsidR="00A10A43" w:rsidRPr="002854C1">
        <w:rPr>
          <w:rStyle w:val="Eindnootmarkering"/>
          <w:lang w:val="en-GB"/>
        </w:rPr>
        <w:endnoteReference w:id="1"/>
      </w:r>
      <w:r w:rsidR="00A10A43" w:rsidRPr="002854C1">
        <w:rPr>
          <w:lang w:val="en-GB"/>
        </w:rPr>
        <w:t xml:space="preserve"> </w:t>
      </w:r>
      <w:r w:rsidR="001E0AA6" w:rsidRPr="002854C1">
        <w:rPr>
          <w:lang w:val="en-GB"/>
        </w:rPr>
        <w:t xml:space="preserve">Encouraged by the increasing resistance of </w:t>
      </w:r>
      <w:r w:rsidR="00D0213D">
        <w:rPr>
          <w:lang w:val="en-GB"/>
        </w:rPr>
        <w:t xml:space="preserve">malaria </w:t>
      </w:r>
      <w:r w:rsidR="001E0AA6" w:rsidRPr="002854C1">
        <w:rPr>
          <w:lang w:val="en-GB"/>
        </w:rPr>
        <w:t>parasites against current drugs</w:t>
      </w:r>
      <w:r w:rsidR="008D1423" w:rsidRPr="002854C1">
        <w:rPr>
          <w:lang w:val="en-GB"/>
        </w:rPr>
        <w:t xml:space="preserve"> such as chloroquine</w:t>
      </w:r>
      <w:r w:rsidR="001E0AA6" w:rsidRPr="002854C1">
        <w:rPr>
          <w:lang w:val="en-GB"/>
        </w:rPr>
        <w:t xml:space="preserve">, </w:t>
      </w:r>
      <w:r w:rsidR="0020631D">
        <w:rPr>
          <w:lang w:val="en-GB"/>
        </w:rPr>
        <w:t xml:space="preserve">antimalarial </w:t>
      </w:r>
      <w:r w:rsidR="001E0AA6" w:rsidRPr="002854C1">
        <w:rPr>
          <w:lang w:val="en-GB"/>
        </w:rPr>
        <w:t xml:space="preserve">research is </w:t>
      </w:r>
      <w:r w:rsidR="007239EF" w:rsidRPr="002854C1">
        <w:rPr>
          <w:lang w:val="en-GB"/>
        </w:rPr>
        <w:t xml:space="preserve">more and more </w:t>
      </w:r>
      <w:r w:rsidR="001E0AA6" w:rsidRPr="002854C1">
        <w:rPr>
          <w:lang w:val="en-GB"/>
        </w:rPr>
        <w:t xml:space="preserve">focused </w:t>
      </w:r>
      <w:r w:rsidR="008D1423" w:rsidRPr="002854C1">
        <w:rPr>
          <w:lang w:val="en-GB"/>
        </w:rPr>
        <w:t>on</w:t>
      </w:r>
      <w:r w:rsidR="001E0AA6" w:rsidRPr="002854C1">
        <w:rPr>
          <w:lang w:val="en-GB"/>
        </w:rPr>
        <w:t xml:space="preserve"> new drugable parasite targets.</w:t>
      </w:r>
      <w:r w:rsidR="00AA3E64">
        <w:rPr>
          <w:rStyle w:val="Eindnootmarkering"/>
          <w:lang w:val="en-GB"/>
        </w:rPr>
        <w:endnoteReference w:id="2"/>
      </w:r>
      <w:r w:rsidR="001E0AA6" w:rsidRPr="002854C1">
        <w:rPr>
          <w:lang w:val="en-GB"/>
        </w:rPr>
        <w:t xml:space="preserve"> In that respect, a family of aspartic proteinases (plasmepsins) has been identified </w:t>
      </w:r>
      <w:r w:rsidR="008D1423" w:rsidRPr="002854C1">
        <w:rPr>
          <w:lang w:val="en-GB"/>
        </w:rPr>
        <w:t xml:space="preserve">in the digesting vacuole of </w:t>
      </w:r>
      <w:r w:rsidR="002854C1" w:rsidRPr="002854C1">
        <w:rPr>
          <w:i/>
          <w:lang w:val="en-GB"/>
        </w:rPr>
        <w:t>Plasmodium</w:t>
      </w:r>
      <w:r w:rsidR="008D1423" w:rsidRPr="002854C1">
        <w:rPr>
          <w:i/>
          <w:lang w:val="en-GB"/>
        </w:rPr>
        <w:t xml:space="preserve"> falciparum</w:t>
      </w:r>
      <w:r w:rsidR="008D1423" w:rsidRPr="002854C1">
        <w:rPr>
          <w:lang w:val="en-GB"/>
        </w:rPr>
        <w:t xml:space="preserve"> several years ago,</w:t>
      </w:r>
      <w:r w:rsidR="001E0AA6" w:rsidRPr="002854C1">
        <w:rPr>
          <w:rStyle w:val="Eindnootmarkering"/>
          <w:lang w:val="en-GB"/>
        </w:rPr>
        <w:endnoteReference w:id="3"/>
      </w:r>
      <w:r w:rsidR="008D1423" w:rsidRPr="002854C1">
        <w:rPr>
          <w:lang w:val="en-GB"/>
        </w:rPr>
        <w:t xml:space="preserve"> and further studies </w:t>
      </w:r>
      <w:r w:rsidR="00D0213D">
        <w:rPr>
          <w:lang w:val="en-GB"/>
        </w:rPr>
        <w:t xml:space="preserve">in that direction </w:t>
      </w:r>
      <w:r w:rsidR="008D1423" w:rsidRPr="002854C1">
        <w:rPr>
          <w:lang w:val="en-GB"/>
        </w:rPr>
        <w:t>revealed the occurrence of three aspartic proteinases (PMI, PMII, and PMIV) and the related histo-aspartic proteinase HAP</w:t>
      </w:r>
      <w:r w:rsidR="00630778">
        <w:rPr>
          <w:lang w:val="en-GB"/>
        </w:rPr>
        <w:t xml:space="preserve"> </w:t>
      </w:r>
      <w:r w:rsidR="008D1423" w:rsidRPr="002854C1">
        <w:rPr>
          <w:lang w:val="en-GB"/>
        </w:rPr>
        <w:t>(PMIII).</w:t>
      </w:r>
      <w:r w:rsidR="008D1423" w:rsidRPr="002854C1">
        <w:rPr>
          <w:rStyle w:val="Eindnootmarkering"/>
          <w:lang w:val="en-GB"/>
        </w:rPr>
        <w:endnoteReference w:id="4"/>
      </w:r>
    </w:p>
    <w:p w:rsidR="00D0213D" w:rsidRDefault="008D1423" w:rsidP="00342F2D">
      <w:pPr>
        <w:spacing w:after="0"/>
        <w:rPr>
          <w:lang w:val="en-US"/>
        </w:rPr>
      </w:pPr>
      <w:r w:rsidRPr="002854C1">
        <w:rPr>
          <w:lang w:val="en-GB"/>
        </w:rPr>
        <w:t>Although antimalarial drug design</w:t>
      </w:r>
      <w:r w:rsidR="005C585F">
        <w:rPr>
          <w:lang w:val="en-GB"/>
        </w:rPr>
        <w:t xml:space="preserve"> is still dominated by the search for new quinoline derivatives</w:t>
      </w:r>
      <w:r w:rsidRPr="002854C1">
        <w:rPr>
          <w:lang w:val="en-GB"/>
        </w:rPr>
        <w:t>,</w:t>
      </w:r>
      <w:r w:rsidR="00630778">
        <w:rPr>
          <w:rStyle w:val="Eindnootmarkering"/>
          <w:lang w:val="en-GB"/>
        </w:rPr>
        <w:endnoteReference w:id="5"/>
      </w:r>
      <w:r w:rsidRPr="002854C1">
        <w:rPr>
          <w:lang w:val="en-GB"/>
        </w:rPr>
        <w:t xml:space="preserve"> functionalized piperidines have emerged as interesting </w:t>
      </w:r>
      <w:r w:rsidR="002854C1" w:rsidRPr="002854C1">
        <w:rPr>
          <w:lang w:val="en-GB"/>
        </w:rPr>
        <w:t>alternatives</w:t>
      </w:r>
      <w:r w:rsidRPr="002854C1">
        <w:rPr>
          <w:lang w:val="en-GB"/>
        </w:rPr>
        <w:t xml:space="preserve"> due to their potentially different mode of actions as compared to quinoline systems. Whereas quinolines are known to interact with the toxic heme, thus preventing its crystallization into hemozoin, a number of </w:t>
      </w:r>
      <w:r w:rsidR="00103A1D">
        <w:rPr>
          <w:lang w:val="en-GB"/>
        </w:rPr>
        <w:t xml:space="preserve">(bicyclic) </w:t>
      </w:r>
      <w:r w:rsidR="00ED03ED">
        <w:rPr>
          <w:lang w:val="en-GB"/>
        </w:rPr>
        <w:t>piperidines has</w:t>
      </w:r>
      <w:r w:rsidRPr="002854C1">
        <w:rPr>
          <w:lang w:val="en-GB"/>
        </w:rPr>
        <w:t xml:space="preserve"> been shown to inhibit the above-mentioned plasmepsin enzymes,</w:t>
      </w:r>
      <w:r w:rsidR="00103A1D" w:rsidRPr="002854C1">
        <w:rPr>
          <w:rStyle w:val="Eindnootmarkering"/>
          <w:lang w:val="en-GB"/>
        </w:rPr>
        <w:endnoteReference w:id="6"/>
      </w:r>
      <w:r w:rsidRPr="002854C1">
        <w:rPr>
          <w:lang w:val="en-GB"/>
        </w:rPr>
        <w:t xml:space="preserve"> which are involved in the early steps of hemoglobin degradation.</w:t>
      </w:r>
      <w:r w:rsidR="00507803">
        <w:rPr>
          <w:lang w:val="en-GB"/>
        </w:rPr>
        <w:t xml:space="preserve"> </w:t>
      </w:r>
      <w:r w:rsidR="007239EF" w:rsidRPr="002854C1">
        <w:rPr>
          <w:lang w:val="en-US"/>
        </w:rPr>
        <w:t xml:space="preserve">The piperidine ring </w:t>
      </w:r>
      <w:r w:rsidR="00170C31">
        <w:rPr>
          <w:lang w:val="en-US"/>
        </w:rPr>
        <w:t xml:space="preserve">indeed </w:t>
      </w:r>
      <w:r w:rsidR="007239EF" w:rsidRPr="002854C1">
        <w:rPr>
          <w:lang w:val="en-US"/>
        </w:rPr>
        <w:t>comprises a key structural motif in a broad variety of natural products and biologically active agents and, as a consequence, many efforts are devoted to the synthesis of new piperidine derivatives as potential lead compounds in drug discovery programs.</w:t>
      </w:r>
      <w:r w:rsidR="007239EF" w:rsidRPr="002854C1">
        <w:rPr>
          <w:rStyle w:val="Eindnootmarkering"/>
          <w:lang w:val="en-US"/>
        </w:rPr>
        <w:endnoteReference w:id="7"/>
      </w:r>
    </w:p>
    <w:p w:rsidR="001E0AA6" w:rsidRPr="002854C1" w:rsidRDefault="00076D4B" w:rsidP="00342F2D">
      <w:pPr>
        <w:spacing w:after="0"/>
        <w:rPr>
          <w:lang w:val="en-US"/>
        </w:rPr>
      </w:pPr>
      <w:r w:rsidRPr="002854C1">
        <w:rPr>
          <w:lang w:val="en-GB"/>
        </w:rPr>
        <w:t xml:space="preserve">In the present study, a new synthetic approach for the construction of </w:t>
      </w:r>
      <w:r w:rsidR="00B1486C" w:rsidRPr="002854C1">
        <w:rPr>
          <w:lang w:val="en-GB"/>
        </w:rPr>
        <w:t xml:space="preserve">the </w:t>
      </w:r>
      <w:r w:rsidRPr="002854C1">
        <w:rPr>
          <w:lang w:val="en-US"/>
        </w:rPr>
        <w:t>1-azabicyclo[2.2.1]</w:t>
      </w:r>
      <w:r w:rsidR="00B1486C" w:rsidRPr="002854C1">
        <w:rPr>
          <w:lang w:val="en-US"/>
        </w:rPr>
        <w:t xml:space="preserve">heptane </w:t>
      </w:r>
      <w:r w:rsidR="00507803">
        <w:rPr>
          <w:lang w:val="en-US"/>
        </w:rPr>
        <w:t>scaffold</w:t>
      </w:r>
      <w:r w:rsidRPr="002854C1">
        <w:rPr>
          <w:lang w:val="en-US"/>
        </w:rPr>
        <w:t xml:space="preserve"> was developed based on a one-step double LiAlH</w:t>
      </w:r>
      <w:r w:rsidRPr="002854C1">
        <w:rPr>
          <w:vertAlign w:val="subscript"/>
          <w:lang w:val="en-US"/>
        </w:rPr>
        <w:t>4</w:t>
      </w:r>
      <w:r w:rsidRPr="002854C1">
        <w:rPr>
          <w:lang w:val="en-US"/>
        </w:rPr>
        <w:t xml:space="preserve">-induced reductive cyclization protocol of 2-(4-chloro-2-cyano-2-phenylbutyl)aziridines. </w:t>
      </w:r>
      <w:r w:rsidR="00B1486C" w:rsidRPr="002854C1">
        <w:rPr>
          <w:lang w:val="en-US"/>
        </w:rPr>
        <w:t xml:space="preserve">Both </w:t>
      </w:r>
      <w:r w:rsidR="00B1486C" w:rsidRPr="002854C1">
        <w:rPr>
          <w:i/>
          <w:color w:val="000000"/>
          <w:lang w:val="en-US"/>
        </w:rPr>
        <w:t>endo</w:t>
      </w:r>
      <w:r w:rsidR="00B1486C" w:rsidRPr="002854C1">
        <w:rPr>
          <w:color w:val="000000"/>
          <w:lang w:val="en-US"/>
        </w:rPr>
        <w:t xml:space="preserve">- and </w:t>
      </w:r>
      <w:r w:rsidR="00B1486C" w:rsidRPr="002854C1">
        <w:rPr>
          <w:i/>
          <w:color w:val="000000"/>
          <w:lang w:val="en-US"/>
        </w:rPr>
        <w:t>exo</w:t>
      </w:r>
      <w:r w:rsidR="00B1486C" w:rsidRPr="002854C1">
        <w:rPr>
          <w:color w:val="000000"/>
          <w:lang w:val="en-US"/>
        </w:rPr>
        <w:t>-</w:t>
      </w:r>
      <w:r w:rsidR="00B1486C" w:rsidRPr="002854C1">
        <w:rPr>
          <w:lang w:val="en-US"/>
        </w:rPr>
        <w:t xml:space="preserve">2-aminomethyl-4-phenyl-1-azabicyclo[2.2.1]heptanes were thus prepared and evaluated in terms of their antiplasmodial activity. Furthermore, ligand docking </w:t>
      </w:r>
      <w:r w:rsidR="00507803">
        <w:rPr>
          <w:lang w:val="en-US"/>
        </w:rPr>
        <w:t xml:space="preserve">was performed to support the </w:t>
      </w:r>
      <w:r w:rsidR="00D0213D">
        <w:rPr>
          <w:lang w:val="en-US"/>
        </w:rPr>
        <w:t xml:space="preserve">proposed </w:t>
      </w:r>
      <w:r w:rsidR="00507803">
        <w:rPr>
          <w:lang w:val="en-US"/>
        </w:rPr>
        <w:t>interaction of the test compounds with</w:t>
      </w:r>
      <w:r w:rsidR="00B1486C" w:rsidRPr="002854C1">
        <w:rPr>
          <w:lang w:val="en-US"/>
        </w:rPr>
        <w:t xml:space="preserve"> the enzyme plasmepsin II.</w:t>
      </w:r>
    </w:p>
    <w:p w:rsidR="00863FAC" w:rsidRDefault="00863FAC" w:rsidP="00342F2D">
      <w:pPr>
        <w:spacing w:after="0"/>
        <w:rPr>
          <w:lang w:val="en-US"/>
        </w:rPr>
      </w:pPr>
    </w:p>
    <w:p w:rsidR="00990829" w:rsidRPr="002854C1" w:rsidRDefault="00C46259" w:rsidP="00342F2D">
      <w:pPr>
        <w:spacing w:after="0"/>
        <w:rPr>
          <w:lang w:val="en-US"/>
        </w:rPr>
      </w:pPr>
      <w:r>
        <w:rPr>
          <w:lang w:val="en-US"/>
        </w:rPr>
        <w:t>Aziridines are generally acknowledged as versatile building blocks in organic synthesis.</w:t>
      </w:r>
      <w:r>
        <w:rPr>
          <w:rStyle w:val="Eindnootmarkering"/>
          <w:lang w:val="en-US"/>
        </w:rPr>
        <w:endnoteReference w:id="8"/>
      </w:r>
      <w:r w:rsidR="00D74930">
        <w:rPr>
          <w:lang w:val="en-US"/>
        </w:rPr>
        <w:t xml:space="preserve"> </w:t>
      </w:r>
      <w:r w:rsidR="000229AA" w:rsidRPr="002854C1">
        <w:rPr>
          <w:lang w:val="en-US"/>
        </w:rPr>
        <w:t>Alt</w:t>
      </w:r>
      <w:r w:rsidR="00D87454" w:rsidRPr="002854C1">
        <w:rPr>
          <w:lang w:val="en-US"/>
        </w:rPr>
        <w:t>h</w:t>
      </w:r>
      <w:r w:rsidR="000229AA" w:rsidRPr="002854C1">
        <w:rPr>
          <w:lang w:val="en-US"/>
        </w:rPr>
        <w:t>ough</w:t>
      </w:r>
      <w:r w:rsidR="00D41E0F" w:rsidRPr="002854C1">
        <w:rPr>
          <w:lang w:val="en-US"/>
        </w:rPr>
        <w:t xml:space="preserve"> </w:t>
      </w:r>
      <w:r w:rsidR="003E2579" w:rsidRPr="002854C1">
        <w:rPr>
          <w:lang w:val="en-US"/>
        </w:rPr>
        <w:t>2-(2-cyanoethyl)aziridines</w:t>
      </w:r>
      <w:r w:rsidR="00D97C3F" w:rsidRPr="002854C1">
        <w:rPr>
          <w:lang w:val="en-US"/>
        </w:rPr>
        <w:t xml:space="preserve"> have</w:t>
      </w:r>
      <w:r w:rsidR="000229AA" w:rsidRPr="002854C1">
        <w:rPr>
          <w:lang w:val="en-US"/>
        </w:rPr>
        <w:t xml:space="preserve"> recently been used</w:t>
      </w:r>
      <w:r w:rsidR="00D87454" w:rsidRPr="002854C1">
        <w:rPr>
          <w:lang w:val="en-US"/>
        </w:rPr>
        <w:t xml:space="preserve"> by us</w:t>
      </w:r>
      <w:r w:rsidR="00B225EA" w:rsidRPr="002854C1">
        <w:rPr>
          <w:lang w:val="en-US"/>
        </w:rPr>
        <w:t xml:space="preserve"> as synthons</w:t>
      </w:r>
      <w:r w:rsidR="000229AA" w:rsidRPr="002854C1">
        <w:rPr>
          <w:lang w:val="en-US"/>
        </w:rPr>
        <w:t xml:space="preserve"> for</w:t>
      </w:r>
      <w:r w:rsidR="00F90673" w:rsidRPr="002854C1">
        <w:rPr>
          <w:lang w:val="en-US"/>
        </w:rPr>
        <w:t xml:space="preserve"> </w:t>
      </w:r>
      <w:r w:rsidR="00232A2B" w:rsidRPr="002854C1">
        <w:rPr>
          <w:lang w:val="en-US"/>
        </w:rPr>
        <w:t>the development</w:t>
      </w:r>
      <w:r w:rsidR="003E2579" w:rsidRPr="002854C1">
        <w:rPr>
          <w:lang w:val="en-US"/>
        </w:rPr>
        <w:t xml:space="preserve"> of</w:t>
      </w:r>
      <w:r w:rsidR="002039B9" w:rsidRPr="002854C1">
        <w:rPr>
          <w:lang w:val="en-US"/>
        </w:rPr>
        <w:t xml:space="preserve"> </w:t>
      </w:r>
      <w:r w:rsidR="003E2579" w:rsidRPr="002854C1">
        <w:rPr>
          <w:lang w:val="en-US"/>
        </w:rPr>
        <w:t xml:space="preserve">straightforward </w:t>
      </w:r>
      <w:r w:rsidR="00D87454" w:rsidRPr="002854C1">
        <w:rPr>
          <w:lang w:val="en-US"/>
        </w:rPr>
        <w:t>strategies toward a</w:t>
      </w:r>
      <w:r w:rsidR="003E2579" w:rsidRPr="002854C1">
        <w:rPr>
          <w:lang w:val="en-US"/>
        </w:rPr>
        <w:t xml:space="preserve"> variety of piperidines</w:t>
      </w:r>
      <w:bookmarkStart w:id="1" w:name="_Ref297708231"/>
      <w:r w:rsidR="001B5A85" w:rsidRPr="002854C1">
        <w:rPr>
          <w:rStyle w:val="Eindnootmarkering"/>
          <w:lang w:val="en-US"/>
        </w:rPr>
        <w:endnoteReference w:id="9"/>
      </w:r>
      <w:bookmarkEnd w:id="1"/>
      <w:r w:rsidR="003E2579" w:rsidRPr="002854C1">
        <w:rPr>
          <w:lang w:val="en-US"/>
        </w:rPr>
        <w:t xml:space="preserve"> and cyclopropanes,</w:t>
      </w:r>
      <w:bookmarkStart w:id="2" w:name="_Ref256004366"/>
      <w:r w:rsidR="001B5A85" w:rsidRPr="002854C1">
        <w:rPr>
          <w:rStyle w:val="Eindnootmarkering"/>
          <w:lang w:val="en-US"/>
        </w:rPr>
        <w:endnoteReference w:id="10"/>
      </w:r>
      <w:bookmarkEnd w:id="2"/>
      <w:r w:rsidR="003E2579" w:rsidRPr="002854C1">
        <w:rPr>
          <w:lang w:val="en-US"/>
        </w:rPr>
        <w:t xml:space="preserve"> </w:t>
      </w:r>
      <w:r w:rsidR="000229AA" w:rsidRPr="002854C1">
        <w:rPr>
          <w:lang w:val="en-US"/>
        </w:rPr>
        <w:t>their chemistry</w:t>
      </w:r>
      <w:r w:rsidR="003E2579" w:rsidRPr="002854C1">
        <w:rPr>
          <w:lang w:val="en-US"/>
        </w:rPr>
        <w:t xml:space="preserve"> still remains a scarcely investigated field of research</w:t>
      </w:r>
      <w:r w:rsidR="005F3467" w:rsidRPr="002854C1">
        <w:rPr>
          <w:lang w:val="en-US"/>
        </w:rPr>
        <w:t xml:space="preserve"> in the literature</w:t>
      </w:r>
      <w:r w:rsidR="003E2579" w:rsidRPr="002854C1">
        <w:rPr>
          <w:lang w:val="en-US"/>
        </w:rPr>
        <w:t>.</w:t>
      </w:r>
      <w:bookmarkStart w:id="3" w:name="_Ref339452423"/>
      <w:r w:rsidR="00990829" w:rsidRPr="002854C1">
        <w:rPr>
          <w:rStyle w:val="Eindnootmarkering"/>
          <w:lang w:val="en-US"/>
        </w:rPr>
        <w:endnoteReference w:id="11"/>
      </w:r>
      <w:bookmarkEnd w:id="3"/>
      <w:r w:rsidR="00744BEC">
        <w:rPr>
          <w:lang w:val="en-US"/>
        </w:rPr>
        <w:t xml:space="preserve"> A challenge to be addressed concerns the deployment of the cyano group in </w:t>
      </w:r>
      <w:r w:rsidR="00744BEC" w:rsidRPr="002854C1">
        <w:rPr>
          <w:lang w:val="en-US"/>
        </w:rPr>
        <w:t>2-(2-cyanoethyl)aziridines</w:t>
      </w:r>
      <w:r w:rsidR="00744BEC">
        <w:rPr>
          <w:lang w:val="en-US"/>
        </w:rPr>
        <w:t xml:space="preserve"> as a nucleophile upon </w:t>
      </w:r>
      <w:r w:rsidR="008F1928">
        <w:rPr>
          <w:lang w:val="en-US"/>
        </w:rPr>
        <w:t xml:space="preserve">double </w:t>
      </w:r>
      <w:r w:rsidR="00744BEC">
        <w:rPr>
          <w:lang w:val="en-US"/>
        </w:rPr>
        <w:t xml:space="preserve">hydride reduction which, through </w:t>
      </w:r>
      <w:r w:rsidR="008F1928">
        <w:rPr>
          <w:lang w:val="en-US"/>
        </w:rPr>
        <w:t xml:space="preserve">consecutive </w:t>
      </w:r>
      <w:r w:rsidR="00744BEC">
        <w:rPr>
          <w:lang w:val="en-US"/>
        </w:rPr>
        <w:t>selective attack at either the aziridine moiety or at an additional electrophilic carbon atom</w:t>
      </w:r>
      <w:r w:rsidR="00630778">
        <w:rPr>
          <w:lang w:val="en-US"/>
        </w:rPr>
        <w:t xml:space="preserve"> in the side chain</w:t>
      </w:r>
      <w:r w:rsidR="00744BEC">
        <w:rPr>
          <w:lang w:val="en-US"/>
        </w:rPr>
        <w:t xml:space="preserve">, might provide a convenient access to a </w:t>
      </w:r>
      <w:r w:rsidR="00630778">
        <w:rPr>
          <w:lang w:val="en-US"/>
        </w:rPr>
        <w:t xml:space="preserve">new and </w:t>
      </w:r>
      <w:r w:rsidR="00744BEC">
        <w:rPr>
          <w:lang w:val="en-US"/>
        </w:rPr>
        <w:t>biologically relevant azaheterobicyclic skeleton.</w:t>
      </w:r>
      <w:r w:rsidR="00D74930">
        <w:rPr>
          <w:lang w:val="en-US"/>
        </w:rPr>
        <w:t xml:space="preserve"> </w:t>
      </w:r>
      <w:r w:rsidR="004B247F">
        <w:rPr>
          <w:lang w:val="en-US"/>
        </w:rPr>
        <w:t>To that end, t</w:t>
      </w:r>
      <w:r w:rsidR="00B225EA" w:rsidRPr="002854C1">
        <w:rPr>
          <w:lang w:val="en-US"/>
        </w:rPr>
        <w:t xml:space="preserve">he </w:t>
      </w:r>
      <w:r w:rsidR="004B247F">
        <w:rPr>
          <w:lang w:val="en-US"/>
        </w:rPr>
        <w:t xml:space="preserve">required </w:t>
      </w:r>
      <w:r w:rsidR="004B247F" w:rsidRPr="002854C1">
        <w:rPr>
          <w:lang w:val="en-US"/>
        </w:rPr>
        <w:t>2-(4-</w:t>
      </w:r>
      <w:r w:rsidR="004B247F">
        <w:rPr>
          <w:lang w:val="en-US"/>
        </w:rPr>
        <w:t>c</w:t>
      </w:r>
      <w:r w:rsidR="004B247F" w:rsidRPr="002854C1">
        <w:rPr>
          <w:lang w:val="en-US"/>
        </w:rPr>
        <w:t>hloro-2-cyano-2-</w:t>
      </w:r>
      <w:r w:rsidR="004B247F" w:rsidRPr="002854C1">
        <w:rPr>
          <w:lang w:val="en-US"/>
        </w:rPr>
        <w:lastRenderedPageBreak/>
        <w:t>phenylbutyl)aziridines</w:t>
      </w:r>
      <w:r w:rsidR="004B247F" w:rsidRPr="002854C1">
        <w:rPr>
          <w:color w:val="000000"/>
          <w:lang w:val="en-US"/>
        </w:rPr>
        <w:t xml:space="preserve"> </w:t>
      </w:r>
      <w:r w:rsidR="00D41E0F" w:rsidRPr="002854C1">
        <w:rPr>
          <w:b/>
          <w:lang w:val="en-US"/>
        </w:rPr>
        <w:t>1</w:t>
      </w:r>
      <w:r w:rsidR="00CD73B4" w:rsidRPr="008F1928">
        <w:rPr>
          <w:lang w:val="en-US"/>
        </w:rPr>
        <w:t xml:space="preserve"> </w:t>
      </w:r>
      <w:r w:rsidR="008F1928" w:rsidRPr="008F1928">
        <w:rPr>
          <w:lang w:val="en-US"/>
        </w:rPr>
        <w:t>and</w:t>
      </w:r>
      <w:r w:rsidR="008F1928">
        <w:rPr>
          <w:b/>
          <w:lang w:val="en-US"/>
        </w:rPr>
        <w:t xml:space="preserve"> </w:t>
      </w:r>
      <w:r w:rsidR="00276917" w:rsidRPr="002854C1">
        <w:rPr>
          <w:lang w:val="en-US"/>
        </w:rPr>
        <w:t>the</w:t>
      </w:r>
      <w:r w:rsidR="005F3467" w:rsidRPr="002854C1">
        <w:rPr>
          <w:lang w:val="en-US"/>
        </w:rPr>
        <w:t>ir</w:t>
      </w:r>
      <w:r w:rsidR="00276917" w:rsidRPr="002854C1">
        <w:rPr>
          <w:lang w:val="en-US"/>
        </w:rPr>
        <w:t xml:space="preserve"> diastereomeric counterparts </w:t>
      </w:r>
      <w:r w:rsidR="004444F2" w:rsidRPr="002854C1">
        <w:rPr>
          <w:b/>
          <w:lang w:val="en-US"/>
        </w:rPr>
        <w:t>4</w:t>
      </w:r>
      <w:r w:rsidR="00276917" w:rsidRPr="002854C1">
        <w:rPr>
          <w:b/>
          <w:lang w:val="en-US"/>
        </w:rPr>
        <w:t xml:space="preserve"> </w:t>
      </w:r>
      <w:r w:rsidR="00A67113" w:rsidRPr="002854C1">
        <w:rPr>
          <w:lang w:val="en-US"/>
        </w:rPr>
        <w:t xml:space="preserve">were </w:t>
      </w:r>
      <w:r w:rsidR="004444F2" w:rsidRPr="002854C1">
        <w:rPr>
          <w:lang w:val="en-US"/>
        </w:rPr>
        <w:t xml:space="preserve">prepared </w:t>
      </w:r>
      <w:r w:rsidR="00A67113" w:rsidRPr="002854C1">
        <w:rPr>
          <w:lang w:val="en-US"/>
        </w:rPr>
        <w:t>by</w:t>
      </w:r>
      <w:r w:rsidR="00CD73B4" w:rsidRPr="002854C1">
        <w:rPr>
          <w:lang w:val="en-US"/>
        </w:rPr>
        <w:t xml:space="preserve"> treatment</w:t>
      </w:r>
      <w:r w:rsidR="00A67113" w:rsidRPr="002854C1">
        <w:rPr>
          <w:lang w:val="en-US"/>
        </w:rPr>
        <w:t xml:space="preserve"> </w:t>
      </w:r>
      <w:r w:rsidR="004444F2" w:rsidRPr="002854C1">
        <w:rPr>
          <w:lang w:val="en-US"/>
        </w:rPr>
        <w:t>of the corresponding 2-(bromomethyl)aziridines</w:t>
      </w:r>
      <w:r w:rsidR="004444F2" w:rsidRPr="002854C1">
        <w:rPr>
          <w:rStyle w:val="Eindnootmarkering"/>
          <w:lang w:val="en-US"/>
        </w:rPr>
        <w:endnoteReference w:id="12"/>
      </w:r>
      <w:r w:rsidR="004444F2" w:rsidRPr="002854C1">
        <w:rPr>
          <w:lang w:val="en-US"/>
        </w:rPr>
        <w:t xml:space="preserve"> </w:t>
      </w:r>
      <w:r w:rsidR="00CD73B4" w:rsidRPr="002854C1">
        <w:rPr>
          <w:lang w:val="en-US"/>
        </w:rPr>
        <w:t xml:space="preserve">with </w:t>
      </w:r>
      <w:r w:rsidR="00D74930">
        <w:rPr>
          <w:lang w:val="en-US"/>
        </w:rPr>
        <w:sym w:font="Symbol" w:char="F061"/>
      </w:r>
      <w:r w:rsidR="00CD73B4" w:rsidRPr="002854C1">
        <w:rPr>
          <w:lang w:val="en-US"/>
        </w:rPr>
        <w:t xml:space="preserve">-lithiated </w:t>
      </w:r>
      <w:r w:rsidR="00CD73B4" w:rsidRPr="002854C1">
        <w:rPr>
          <w:rStyle w:val="Eindnootmarkering"/>
          <w:vertAlign w:val="baseline"/>
          <w:lang w:val="en-US"/>
        </w:rPr>
        <w:t>phenylacetonitril</w:t>
      </w:r>
      <w:r w:rsidR="0010140D" w:rsidRPr="002854C1">
        <w:rPr>
          <w:lang w:val="en-US"/>
        </w:rPr>
        <w:t>e</w:t>
      </w:r>
      <w:r w:rsidR="00B225EA" w:rsidRPr="002854C1">
        <w:rPr>
          <w:lang w:val="en-US"/>
        </w:rPr>
        <w:t xml:space="preserve"> in THF</w:t>
      </w:r>
      <w:r w:rsidR="0010140D" w:rsidRPr="002854C1">
        <w:rPr>
          <w:lang w:val="en-US"/>
        </w:rPr>
        <w:t>,</w:t>
      </w:r>
      <w:r w:rsidR="00CD73B4" w:rsidRPr="002854C1">
        <w:rPr>
          <w:lang w:val="en-US"/>
        </w:rPr>
        <w:t xml:space="preserve"> </w:t>
      </w:r>
      <w:r w:rsidR="0010140D" w:rsidRPr="002854C1">
        <w:rPr>
          <w:lang w:val="en-US"/>
        </w:rPr>
        <w:t>followed by</w:t>
      </w:r>
      <w:r w:rsidR="00C16EB3" w:rsidRPr="002854C1">
        <w:rPr>
          <w:lang w:val="en-US"/>
        </w:rPr>
        <w:t xml:space="preserve"> </w:t>
      </w:r>
      <w:r w:rsidR="00877145" w:rsidRPr="002854C1">
        <w:rPr>
          <w:lang w:val="en-US"/>
        </w:rPr>
        <w:t xml:space="preserve">a </w:t>
      </w:r>
      <w:r w:rsidR="000229AA" w:rsidRPr="002854C1">
        <w:rPr>
          <w:lang w:val="en-US"/>
        </w:rPr>
        <w:t>lithium diisopropylamide-</w:t>
      </w:r>
      <w:r w:rsidR="00CD73B4" w:rsidRPr="002854C1">
        <w:rPr>
          <w:lang w:val="en-US"/>
        </w:rPr>
        <w:t>mediated coupling with 1-bromo-2-chloroethane.</w:t>
      </w:r>
      <w:r w:rsidR="00BF03DE">
        <w:fldChar w:fldCharType="begin"/>
      </w:r>
      <w:r w:rsidR="00BF03DE">
        <w:instrText xml:space="preserve"> NOTEREF _Ref256004366 \h  \* MERGEFORMAT </w:instrText>
      </w:r>
      <w:r w:rsidR="00BF03DE">
        <w:fldChar w:fldCharType="separate"/>
      </w:r>
      <w:r w:rsidR="00ED03ED" w:rsidRPr="00ED03ED">
        <w:rPr>
          <w:vertAlign w:val="superscript"/>
          <w:lang w:val="en-US"/>
        </w:rPr>
        <w:t>10</w:t>
      </w:r>
      <w:r w:rsidR="00BF03DE">
        <w:fldChar w:fldCharType="end"/>
      </w:r>
      <w:r w:rsidR="00D74930" w:rsidRPr="00D74930">
        <w:rPr>
          <w:vertAlign w:val="superscript"/>
          <w:lang w:val="en-US"/>
        </w:rPr>
        <w:t>a</w:t>
      </w:r>
      <w:r w:rsidR="00CD73B4" w:rsidRPr="002854C1">
        <w:rPr>
          <w:lang w:val="en-US"/>
        </w:rPr>
        <w:t xml:space="preserve"> </w:t>
      </w:r>
      <w:r w:rsidR="00D572DA" w:rsidRPr="002854C1">
        <w:rPr>
          <w:lang w:val="en-US"/>
        </w:rPr>
        <w:t>It should be noted that</w:t>
      </w:r>
      <w:r w:rsidR="0046338C" w:rsidRPr="002854C1">
        <w:rPr>
          <w:lang w:val="en-US"/>
        </w:rPr>
        <w:t xml:space="preserve"> </w:t>
      </w:r>
      <w:r w:rsidR="00D572DA" w:rsidRPr="002854C1">
        <w:rPr>
          <w:lang w:val="en-US"/>
        </w:rPr>
        <w:t>t</w:t>
      </w:r>
      <w:r w:rsidR="0046338C" w:rsidRPr="002854C1">
        <w:rPr>
          <w:lang w:val="en-US"/>
        </w:rPr>
        <w:t>he correct</w:t>
      </w:r>
      <w:r w:rsidR="009843AB" w:rsidRPr="002854C1">
        <w:rPr>
          <w:lang w:val="en-US"/>
        </w:rPr>
        <w:t xml:space="preserve"> relative</w:t>
      </w:r>
      <w:r w:rsidR="0046338C" w:rsidRPr="002854C1">
        <w:rPr>
          <w:lang w:val="en-US"/>
        </w:rPr>
        <w:t xml:space="preserve"> stereochemistry of </w:t>
      </w:r>
      <w:r w:rsidR="009148A4">
        <w:rPr>
          <w:lang w:val="en-US"/>
        </w:rPr>
        <w:t xml:space="preserve">racemic </w:t>
      </w:r>
      <w:r w:rsidR="00D572DA" w:rsidRPr="002854C1">
        <w:rPr>
          <w:lang w:val="en-US"/>
        </w:rPr>
        <w:t>aziridine</w:t>
      </w:r>
      <w:r w:rsidR="004444F2" w:rsidRPr="002854C1">
        <w:rPr>
          <w:lang w:val="en-US"/>
        </w:rPr>
        <w:t>s</w:t>
      </w:r>
      <w:r w:rsidR="00D572DA" w:rsidRPr="002854C1">
        <w:rPr>
          <w:lang w:val="en-US"/>
        </w:rPr>
        <w:t xml:space="preserve"> </w:t>
      </w:r>
      <w:r w:rsidR="00D572DA" w:rsidRPr="002854C1">
        <w:rPr>
          <w:b/>
          <w:lang w:val="en-US"/>
        </w:rPr>
        <w:t>1</w:t>
      </w:r>
      <w:r w:rsidR="00D572DA" w:rsidRPr="002854C1">
        <w:rPr>
          <w:lang w:val="en-US"/>
        </w:rPr>
        <w:t xml:space="preserve"> and </w:t>
      </w:r>
      <w:r w:rsidR="004444F2" w:rsidRPr="002854C1">
        <w:rPr>
          <w:b/>
          <w:lang w:val="en-US"/>
        </w:rPr>
        <w:t>4</w:t>
      </w:r>
      <w:r w:rsidR="00D572DA" w:rsidRPr="002854C1">
        <w:rPr>
          <w:lang w:val="en-US"/>
        </w:rPr>
        <w:t xml:space="preserve"> ha</w:t>
      </w:r>
      <w:r w:rsidR="004B247F">
        <w:rPr>
          <w:lang w:val="en-US"/>
        </w:rPr>
        <w:t>d</w:t>
      </w:r>
      <w:r w:rsidR="00D572DA" w:rsidRPr="002854C1">
        <w:rPr>
          <w:lang w:val="en-US"/>
        </w:rPr>
        <w:t xml:space="preserve"> previously been assigned </w:t>
      </w:r>
      <w:r w:rsidR="00605139">
        <w:rPr>
          <w:lang w:val="en-US"/>
        </w:rPr>
        <w:t>via initial</w:t>
      </w:r>
      <w:r w:rsidR="00D572DA" w:rsidRPr="002854C1">
        <w:rPr>
          <w:lang w:val="en-US"/>
        </w:rPr>
        <w:t xml:space="preserve"> </w:t>
      </w:r>
      <w:r w:rsidR="00605139">
        <w:rPr>
          <w:lang w:val="en-US"/>
        </w:rPr>
        <w:t>transformation of these aziridines into</w:t>
      </w:r>
      <w:r w:rsidR="00D572DA" w:rsidRPr="002854C1">
        <w:rPr>
          <w:lang w:val="en-US"/>
        </w:rPr>
        <w:t xml:space="preserve"> </w:t>
      </w:r>
      <w:r w:rsidR="00605139">
        <w:rPr>
          <w:lang w:val="en-US"/>
        </w:rPr>
        <w:t xml:space="preserve">the corresponding </w:t>
      </w:r>
      <w:r w:rsidR="00FF7778">
        <w:rPr>
          <w:lang w:val="en-US"/>
        </w:rPr>
        <w:t>2-(chloromethyl)</w:t>
      </w:r>
      <w:r w:rsidR="004444F2" w:rsidRPr="002854C1">
        <w:rPr>
          <w:lang w:val="en-US"/>
        </w:rPr>
        <w:t>piperidine</w:t>
      </w:r>
      <w:r w:rsidR="00605139">
        <w:rPr>
          <w:lang w:val="en-US"/>
        </w:rPr>
        <w:t xml:space="preserve">s, followed by </w:t>
      </w:r>
      <w:r w:rsidR="00605139" w:rsidRPr="002854C1">
        <w:rPr>
          <w:lang w:val="en-US"/>
        </w:rPr>
        <w:t>X-ray diffraction analysis</w:t>
      </w:r>
      <w:r w:rsidR="00605139">
        <w:rPr>
          <w:lang w:val="en-US"/>
        </w:rPr>
        <w:t xml:space="preserve"> of the latter six-membered azaheterocycles</w:t>
      </w:r>
      <w:r w:rsidR="0049325C" w:rsidRPr="002854C1">
        <w:rPr>
          <w:lang w:val="en-US"/>
        </w:rPr>
        <w:t>.</w:t>
      </w:r>
      <w:r w:rsidR="00BF03DE">
        <w:fldChar w:fldCharType="begin"/>
      </w:r>
      <w:r w:rsidR="00BF03DE">
        <w:instrText xml:space="preserve"> NOTEREF _Ref256004366 \h  \* MERGEFORMAT </w:instrText>
      </w:r>
      <w:r w:rsidR="00BF03DE">
        <w:fldChar w:fldCharType="separate"/>
      </w:r>
      <w:r w:rsidR="00ED03ED" w:rsidRPr="00ED03ED">
        <w:rPr>
          <w:vertAlign w:val="superscript"/>
          <w:lang w:val="en-US"/>
        </w:rPr>
        <w:t>10</w:t>
      </w:r>
      <w:r w:rsidR="00BF03DE">
        <w:fldChar w:fldCharType="end"/>
      </w:r>
      <w:r w:rsidR="00744BEC" w:rsidRPr="00744BEC">
        <w:rPr>
          <w:vertAlign w:val="superscript"/>
          <w:lang w:val="en-US"/>
        </w:rPr>
        <w:t>a</w:t>
      </w:r>
    </w:p>
    <w:p w:rsidR="00F267D4" w:rsidRPr="002854C1" w:rsidRDefault="00600BEF" w:rsidP="00342F2D">
      <w:pPr>
        <w:spacing w:after="0"/>
        <w:rPr>
          <w:lang w:val="en-US"/>
        </w:rPr>
      </w:pPr>
      <w:r w:rsidRPr="002854C1">
        <w:rPr>
          <w:lang w:val="en-US"/>
        </w:rPr>
        <w:t>In continuation of our interest in</w:t>
      </w:r>
      <w:r w:rsidR="005C585F">
        <w:rPr>
          <w:lang w:val="en-US"/>
        </w:rPr>
        <w:t xml:space="preserve"> the construction of novel azahetero</w:t>
      </w:r>
      <w:r w:rsidRPr="002854C1">
        <w:rPr>
          <w:lang w:val="en-US"/>
        </w:rPr>
        <w:t>cyclic systems</w:t>
      </w:r>
      <w:r w:rsidR="007E0312" w:rsidRPr="002854C1">
        <w:rPr>
          <w:lang w:val="en-US"/>
        </w:rPr>
        <w:t>,</w:t>
      </w:r>
      <w:r w:rsidR="00447671" w:rsidRPr="002854C1">
        <w:rPr>
          <w:lang w:val="en-US"/>
        </w:rPr>
        <w:t xml:space="preserve"> </w:t>
      </w:r>
      <w:r w:rsidR="00DC255F" w:rsidRPr="002854C1">
        <w:rPr>
          <w:lang w:val="en-US"/>
        </w:rPr>
        <w:t>2-(4-chloro-2-cyano-2-phenylbutyl)aziridines</w:t>
      </w:r>
      <w:r w:rsidR="00DC255F" w:rsidRPr="002854C1">
        <w:rPr>
          <w:b/>
          <w:lang w:val="en-US"/>
        </w:rPr>
        <w:t xml:space="preserve"> </w:t>
      </w:r>
      <w:r w:rsidR="00605139">
        <w:rPr>
          <w:lang w:val="en-US"/>
        </w:rPr>
        <w:t>(2</w:t>
      </w:r>
      <w:r w:rsidR="00605139" w:rsidRPr="00605139">
        <w:rPr>
          <w:i/>
          <w:lang w:val="en-US"/>
        </w:rPr>
        <w:t>S</w:t>
      </w:r>
      <w:r w:rsidR="00605139">
        <w:rPr>
          <w:lang w:val="en-US"/>
        </w:rPr>
        <w:t>*,2’</w:t>
      </w:r>
      <w:r w:rsidR="00605139" w:rsidRPr="00605139">
        <w:rPr>
          <w:i/>
          <w:lang w:val="en-US"/>
        </w:rPr>
        <w:t>S</w:t>
      </w:r>
      <w:r w:rsidR="00605139">
        <w:rPr>
          <w:lang w:val="en-US"/>
        </w:rPr>
        <w:t>*)-</w:t>
      </w:r>
      <w:r w:rsidR="0063097D" w:rsidRPr="002854C1">
        <w:rPr>
          <w:b/>
          <w:lang w:val="en-US"/>
        </w:rPr>
        <w:t>1</w:t>
      </w:r>
      <w:r w:rsidR="00447671" w:rsidRPr="002854C1">
        <w:rPr>
          <w:b/>
          <w:lang w:val="en-US"/>
        </w:rPr>
        <w:t xml:space="preserve"> </w:t>
      </w:r>
      <w:r w:rsidR="00447671" w:rsidRPr="002854C1">
        <w:rPr>
          <w:lang w:val="en-US"/>
        </w:rPr>
        <w:t xml:space="preserve">were </w:t>
      </w:r>
      <w:r w:rsidR="00FF7778">
        <w:rPr>
          <w:lang w:val="en-US"/>
        </w:rPr>
        <w:t xml:space="preserve">thus </w:t>
      </w:r>
      <w:r w:rsidR="00447671" w:rsidRPr="002854C1">
        <w:rPr>
          <w:lang w:val="en-US"/>
        </w:rPr>
        <w:t>treated with</w:t>
      </w:r>
      <w:r w:rsidR="00812F16" w:rsidRPr="002854C1">
        <w:rPr>
          <w:lang w:val="en-US"/>
        </w:rPr>
        <w:t xml:space="preserve"> two molar equivalents of</w:t>
      </w:r>
      <w:r w:rsidR="00447671" w:rsidRPr="002854C1">
        <w:rPr>
          <w:lang w:val="en-US"/>
        </w:rPr>
        <w:t xml:space="preserve"> LiAlH</w:t>
      </w:r>
      <w:r w:rsidR="00447671" w:rsidRPr="002854C1">
        <w:rPr>
          <w:vertAlign w:val="subscript"/>
          <w:lang w:val="en-US"/>
        </w:rPr>
        <w:t>4</w:t>
      </w:r>
      <w:r w:rsidRPr="002854C1">
        <w:rPr>
          <w:lang w:val="en-US"/>
        </w:rPr>
        <w:t xml:space="preserve"> in THF for two </w:t>
      </w:r>
      <w:r w:rsidR="008D1F63" w:rsidRPr="002854C1">
        <w:rPr>
          <w:lang w:val="en-US"/>
        </w:rPr>
        <w:t>h</w:t>
      </w:r>
      <w:r w:rsidRPr="002854C1">
        <w:rPr>
          <w:lang w:val="en-US"/>
        </w:rPr>
        <w:t>ours</w:t>
      </w:r>
      <w:r w:rsidR="008D1F63" w:rsidRPr="002854C1">
        <w:rPr>
          <w:lang w:val="en-US"/>
        </w:rPr>
        <w:t xml:space="preserve"> under reflux</w:t>
      </w:r>
      <w:r w:rsidR="00410328" w:rsidRPr="002854C1">
        <w:rPr>
          <w:lang w:val="en-US"/>
        </w:rPr>
        <w:t>,</w:t>
      </w:r>
      <w:r w:rsidR="008D1F63" w:rsidRPr="002854C1">
        <w:rPr>
          <w:lang w:val="en-US"/>
        </w:rPr>
        <w:t xml:space="preserve"> affording </w:t>
      </w:r>
      <w:r w:rsidR="008D1F63" w:rsidRPr="002854C1">
        <w:rPr>
          <w:i/>
          <w:lang w:val="en-US"/>
        </w:rPr>
        <w:t>endo</w:t>
      </w:r>
      <w:r w:rsidR="008D1F63" w:rsidRPr="002854C1">
        <w:rPr>
          <w:lang w:val="en-US"/>
        </w:rPr>
        <w:t>-</w:t>
      </w:r>
      <w:r w:rsidR="008C2744" w:rsidRPr="002854C1">
        <w:rPr>
          <w:lang w:val="en-US"/>
        </w:rPr>
        <w:t>2-aminomethyl-4-phenyl-</w:t>
      </w:r>
      <w:r w:rsidR="00994D5F" w:rsidRPr="002854C1">
        <w:rPr>
          <w:lang w:val="en-US"/>
        </w:rPr>
        <w:t>1-</w:t>
      </w:r>
      <w:r w:rsidR="008C2744" w:rsidRPr="002854C1">
        <w:rPr>
          <w:lang w:val="en-US"/>
        </w:rPr>
        <w:t>azabicyclo[2.2.1]heptanes</w:t>
      </w:r>
      <w:r w:rsidR="008D1F63" w:rsidRPr="002854C1">
        <w:rPr>
          <w:lang w:val="en-US"/>
        </w:rPr>
        <w:t xml:space="preserve"> </w:t>
      </w:r>
      <w:r w:rsidR="004444F2" w:rsidRPr="002854C1">
        <w:rPr>
          <w:b/>
          <w:lang w:val="en-US"/>
        </w:rPr>
        <w:t>2</w:t>
      </w:r>
      <w:r w:rsidR="008D1F63" w:rsidRPr="002854C1">
        <w:rPr>
          <w:lang w:val="en-US"/>
        </w:rPr>
        <w:t xml:space="preserve"> </w:t>
      </w:r>
      <w:r w:rsidR="00812F16" w:rsidRPr="002854C1">
        <w:rPr>
          <w:lang w:val="en-US"/>
        </w:rPr>
        <w:t>in excellent yields (90-95%)</w:t>
      </w:r>
      <w:r w:rsidR="008D1F63" w:rsidRPr="002854C1">
        <w:rPr>
          <w:lang w:val="en-US"/>
        </w:rPr>
        <w:t xml:space="preserve"> as single reaction products</w:t>
      </w:r>
      <w:r w:rsidR="004444F2" w:rsidRPr="002854C1">
        <w:rPr>
          <w:lang w:val="en-US"/>
        </w:rPr>
        <w:t xml:space="preserve"> (Scheme 1)</w:t>
      </w:r>
      <w:r w:rsidR="008D1F63" w:rsidRPr="002854C1">
        <w:rPr>
          <w:lang w:val="en-US"/>
        </w:rPr>
        <w:t>.</w:t>
      </w:r>
      <w:r w:rsidR="00B00D75" w:rsidRPr="002854C1">
        <w:rPr>
          <w:lang w:val="en-US"/>
        </w:rPr>
        <w:t xml:space="preserve"> </w:t>
      </w:r>
      <w:r w:rsidR="00B56DBE" w:rsidRPr="002854C1">
        <w:rPr>
          <w:lang w:val="en-US"/>
        </w:rPr>
        <w:t>Furthermore,</w:t>
      </w:r>
      <w:r w:rsidR="00DC255F" w:rsidRPr="002854C1">
        <w:rPr>
          <w:lang w:val="en-US"/>
        </w:rPr>
        <w:t xml:space="preserve"> aziridines </w:t>
      </w:r>
      <w:r w:rsidR="005F0383">
        <w:rPr>
          <w:lang w:val="en-US"/>
        </w:rPr>
        <w:t>(2</w:t>
      </w:r>
      <w:r w:rsidR="005F0383" w:rsidRPr="00605139">
        <w:rPr>
          <w:i/>
          <w:lang w:val="en-US"/>
        </w:rPr>
        <w:t>S</w:t>
      </w:r>
      <w:r w:rsidR="005F0383">
        <w:rPr>
          <w:lang w:val="en-US"/>
        </w:rPr>
        <w:t>*,2’</w:t>
      </w:r>
      <w:r w:rsidR="005F0383">
        <w:rPr>
          <w:i/>
          <w:lang w:val="en-US"/>
        </w:rPr>
        <w:t>R</w:t>
      </w:r>
      <w:r w:rsidR="005F0383">
        <w:rPr>
          <w:lang w:val="en-US"/>
        </w:rPr>
        <w:t>*)-</w:t>
      </w:r>
      <w:r w:rsidR="004444F2" w:rsidRPr="002854C1">
        <w:rPr>
          <w:b/>
          <w:lang w:val="en-US"/>
        </w:rPr>
        <w:t>4</w:t>
      </w:r>
      <w:r w:rsidR="00DC255F" w:rsidRPr="002854C1">
        <w:rPr>
          <w:lang w:val="en-US"/>
        </w:rPr>
        <w:t>,</w:t>
      </w:r>
      <w:r w:rsidR="00B56DBE" w:rsidRPr="002854C1">
        <w:rPr>
          <w:lang w:val="en-US"/>
        </w:rPr>
        <w:t xml:space="preserve"> the </w:t>
      </w:r>
      <w:r w:rsidRPr="002854C1">
        <w:rPr>
          <w:lang w:val="en-US"/>
        </w:rPr>
        <w:t>diastereomeric counterparts of aziridine</w:t>
      </w:r>
      <w:r w:rsidR="00812F16" w:rsidRPr="002854C1">
        <w:rPr>
          <w:lang w:val="en-US"/>
        </w:rPr>
        <w:t>s</w:t>
      </w:r>
      <w:r w:rsidRPr="002854C1">
        <w:rPr>
          <w:lang w:val="en-US"/>
        </w:rPr>
        <w:t xml:space="preserve"> </w:t>
      </w:r>
      <w:r w:rsidRPr="002854C1">
        <w:rPr>
          <w:b/>
          <w:lang w:val="en-US"/>
        </w:rPr>
        <w:t>1</w:t>
      </w:r>
      <w:r w:rsidRPr="002854C1">
        <w:rPr>
          <w:lang w:val="en-US"/>
        </w:rPr>
        <w:t>,</w:t>
      </w:r>
      <w:r w:rsidR="00DC255F" w:rsidRPr="002854C1">
        <w:rPr>
          <w:lang w:val="en-US"/>
        </w:rPr>
        <w:t xml:space="preserve"> </w:t>
      </w:r>
      <w:r w:rsidR="002A3A01" w:rsidRPr="002854C1">
        <w:rPr>
          <w:lang w:val="en-US"/>
        </w:rPr>
        <w:t xml:space="preserve">were </w:t>
      </w:r>
      <w:r w:rsidR="0063097D" w:rsidRPr="002854C1">
        <w:rPr>
          <w:lang w:val="en-US"/>
        </w:rPr>
        <w:t>subjected to the same</w:t>
      </w:r>
      <w:r w:rsidR="00B56DBE" w:rsidRPr="002854C1">
        <w:rPr>
          <w:lang w:val="en-US"/>
        </w:rPr>
        <w:t xml:space="preserve"> reaction conditions</w:t>
      </w:r>
      <w:r w:rsidR="00812F16" w:rsidRPr="002854C1">
        <w:rPr>
          <w:lang w:val="en-US"/>
        </w:rPr>
        <w:t xml:space="preserve"> (LiAlH</w:t>
      </w:r>
      <w:r w:rsidR="00812F16" w:rsidRPr="002854C1">
        <w:rPr>
          <w:vertAlign w:val="subscript"/>
          <w:lang w:val="en-US"/>
        </w:rPr>
        <w:t>4</w:t>
      </w:r>
      <w:r w:rsidR="0069308C" w:rsidRPr="002854C1">
        <w:rPr>
          <w:lang w:val="en-US"/>
        </w:rPr>
        <w:t>, THF, r</w:t>
      </w:r>
      <w:r w:rsidR="00812F16" w:rsidRPr="002854C1">
        <w:rPr>
          <w:lang w:val="en-US"/>
        </w:rPr>
        <w:t>eflux</w:t>
      </w:r>
      <w:r w:rsidR="00520769" w:rsidRPr="002854C1">
        <w:rPr>
          <w:lang w:val="en-US"/>
        </w:rPr>
        <w:t>, 2h</w:t>
      </w:r>
      <w:r w:rsidR="00812F16" w:rsidRPr="002854C1">
        <w:rPr>
          <w:lang w:val="en-US"/>
        </w:rPr>
        <w:t>)</w:t>
      </w:r>
      <w:r w:rsidR="00A21259" w:rsidRPr="002854C1">
        <w:rPr>
          <w:lang w:val="en-US"/>
        </w:rPr>
        <w:t>,</w:t>
      </w:r>
      <w:r w:rsidR="00B56DBE" w:rsidRPr="002854C1">
        <w:rPr>
          <w:b/>
          <w:lang w:val="en-US"/>
        </w:rPr>
        <w:t xml:space="preserve"> </w:t>
      </w:r>
      <w:r w:rsidR="00B56DBE" w:rsidRPr="002854C1">
        <w:rPr>
          <w:lang w:val="en-US"/>
        </w:rPr>
        <w:t xml:space="preserve">furnishing </w:t>
      </w:r>
      <w:r w:rsidR="002A3A01" w:rsidRPr="002854C1">
        <w:rPr>
          <w:i/>
          <w:lang w:val="en-US"/>
        </w:rPr>
        <w:t>exo</w:t>
      </w:r>
      <w:r w:rsidR="002A3A01" w:rsidRPr="002854C1">
        <w:rPr>
          <w:lang w:val="en-US"/>
        </w:rPr>
        <w:t>-</w:t>
      </w:r>
      <w:r w:rsidR="008C2744" w:rsidRPr="002854C1">
        <w:rPr>
          <w:lang w:val="en-US"/>
        </w:rPr>
        <w:t>2-aminomethyl-4-phenyl-</w:t>
      </w:r>
      <w:r w:rsidR="00994D5F" w:rsidRPr="002854C1">
        <w:rPr>
          <w:lang w:val="en-US"/>
        </w:rPr>
        <w:t>1-</w:t>
      </w:r>
      <w:r w:rsidR="008C2744" w:rsidRPr="002854C1">
        <w:rPr>
          <w:lang w:val="en-US"/>
        </w:rPr>
        <w:t>azabicyclo[2.2.1]heptanes</w:t>
      </w:r>
      <w:r w:rsidR="002A3A01" w:rsidRPr="002854C1">
        <w:rPr>
          <w:lang w:val="en-US"/>
        </w:rPr>
        <w:t xml:space="preserve"> </w:t>
      </w:r>
      <w:r w:rsidR="004D1152" w:rsidRPr="002854C1">
        <w:rPr>
          <w:b/>
          <w:lang w:val="en-US"/>
        </w:rPr>
        <w:t>18</w:t>
      </w:r>
      <w:r w:rsidR="0069308C" w:rsidRPr="002854C1">
        <w:rPr>
          <w:lang w:val="en-US"/>
        </w:rPr>
        <w:t xml:space="preserve"> in 80-83% yield</w:t>
      </w:r>
      <w:r w:rsidR="00C80F7B" w:rsidRPr="002854C1">
        <w:rPr>
          <w:lang w:val="en-US"/>
        </w:rPr>
        <w:t xml:space="preserve"> (Scheme </w:t>
      </w:r>
      <w:r w:rsidR="00413BC7" w:rsidRPr="002854C1">
        <w:rPr>
          <w:lang w:val="en-US"/>
        </w:rPr>
        <w:t>1</w:t>
      </w:r>
      <w:r w:rsidR="002A3A01" w:rsidRPr="002854C1">
        <w:rPr>
          <w:lang w:val="en-US"/>
        </w:rPr>
        <w:t>)</w:t>
      </w:r>
      <w:r w:rsidRPr="002854C1">
        <w:rPr>
          <w:lang w:val="en-US"/>
        </w:rPr>
        <w:t>.</w:t>
      </w:r>
      <w:r w:rsidR="004B3611" w:rsidRPr="002854C1">
        <w:rPr>
          <w:lang w:val="en-US"/>
        </w:rPr>
        <w:t xml:space="preserve"> These obser</w:t>
      </w:r>
      <w:r w:rsidR="00A50329" w:rsidRPr="002854C1">
        <w:rPr>
          <w:lang w:val="en-US"/>
        </w:rPr>
        <w:t>vations point to the conclusion</w:t>
      </w:r>
      <w:r w:rsidR="004B3611" w:rsidRPr="002854C1">
        <w:rPr>
          <w:lang w:val="en-US"/>
        </w:rPr>
        <w:t xml:space="preserve"> that t</w:t>
      </w:r>
      <w:r w:rsidRPr="002854C1">
        <w:rPr>
          <w:lang w:val="en-US"/>
        </w:rPr>
        <w:t>his LiAlH</w:t>
      </w:r>
      <w:r w:rsidRPr="002854C1">
        <w:rPr>
          <w:vertAlign w:val="subscript"/>
          <w:lang w:val="en-US"/>
        </w:rPr>
        <w:t>4</w:t>
      </w:r>
      <w:r w:rsidRPr="002854C1">
        <w:rPr>
          <w:lang w:val="en-US"/>
        </w:rPr>
        <w:t xml:space="preserve">-mediated rearrangement </w:t>
      </w:r>
      <w:r w:rsidR="0069308C" w:rsidRPr="002854C1">
        <w:rPr>
          <w:lang w:val="en-US"/>
        </w:rPr>
        <w:t xml:space="preserve">of 2-(4-chloro-2-cyano-2-phenylbutyl)aziridines </w:t>
      </w:r>
      <w:r w:rsidR="0069308C" w:rsidRPr="002854C1">
        <w:rPr>
          <w:b/>
          <w:lang w:val="en-US"/>
        </w:rPr>
        <w:t>1</w:t>
      </w:r>
      <w:r w:rsidR="0069308C" w:rsidRPr="002854C1">
        <w:rPr>
          <w:lang w:val="en-US"/>
        </w:rPr>
        <w:t xml:space="preserve"> and </w:t>
      </w:r>
      <w:r w:rsidR="00413BC7" w:rsidRPr="002854C1">
        <w:rPr>
          <w:b/>
          <w:lang w:val="en-US"/>
        </w:rPr>
        <w:t>4</w:t>
      </w:r>
      <w:r w:rsidR="0069308C" w:rsidRPr="002854C1">
        <w:rPr>
          <w:b/>
          <w:lang w:val="en-US"/>
        </w:rPr>
        <w:t xml:space="preserve"> </w:t>
      </w:r>
      <w:r w:rsidRPr="002854C1">
        <w:rPr>
          <w:lang w:val="en-US"/>
        </w:rPr>
        <w:t xml:space="preserve">allows the straightforward </w:t>
      </w:r>
      <w:r w:rsidR="00FF7778">
        <w:rPr>
          <w:lang w:val="en-US"/>
        </w:rPr>
        <w:t xml:space="preserve">and elegant </w:t>
      </w:r>
      <w:r w:rsidRPr="002854C1">
        <w:rPr>
          <w:lang w:val="en-US"/>
        </w:rPr>
        <w:t>construction of stere</w:t>
      </w:r>
      <w:r w:rsidR="00B92D5A" w:rsidRPr="002854C1">
        <w:rPr>
          <w:lang w:val="en-US"/>
        </w:rPr>
        <w:t>odefined 1-azabicyclo[2.2.1]hep</w:t>
      </w:r>
      <w:r w:rsidR="004B3611" w:rsidRPr="002854C1">
        <w:rPr>
          <w:lang w:val="en-US"/>
        </w:rPr>
        <w:t>tanes as valuable</w:t>
      </w:r>
      <w:r w:rsidRPr="002854C1">
        <w:rPr>
          <w:lang w:val="en-US"/>
        </w:rPr>
        <w:t xml:space="preserve"> scaffolds</w:t>
      </w:r>
      <w:r w:rsidR="004B3611" w:rsidRPr="002854C1">
        <w:rPr>
          <w:lang w:val="en-US"/>
        </w:rPr>
        <w:t xml:space="preserve"> in organic and medicinal chemistry</w:t>
      </w:r>
      <w:r w:rsidR="00214E65" w:rsidRPr="002854C1">
        <w:rPr>
          <w:lang w:val="en-US"/>
        </w:rPr>
        <w:t xml:space="preserve">. </w:t>
      </w:r>
    </w:p>
    <w:p w:rsidR="00EA4C5F" w:rsidRPr="0064340E" w:rsidRDefault="00EA4C5F" w:rsidP="00342F2D">
      <w:pPr>
        <w:spacing w:after="0"/>
        <w:rPr>
          <w:lang w:val="en-US"/>
        </w:rPr>
      </w:pPr>
    </w:p>
    <w:p w:rsidR="0064340E" w:rsidRPr="00E52D08" w:rsidRDefault="0064340E" w:rsidP="00342F2D">
      <w:pPr>
        <w:spacing w:after="0"/>
        <w:rPr>
          <w:b/>
          <w:sz w:val="20"/>
          <w:szCs w:val="20"/>
          <w:lang w:val="en-US"/>
        </w:rPr>
      </w:pPr>
      <w:r w:rsidRPr="00E52D08">
        <w:rPr>
          <w:b/>
          <w:sz w:val="20"/>
          <w:szCs w:val="20"/>
          <w:lang w:val="en-US"/>
        </w:rPr>
        <w:t>Scheme 1. LiAlH</w:t>
      </w:r>
      <w:r w:rsidRPr="00E16420">
        <w:rPr>
          <w:b/>
          <w:sz w:val="20"/>
          <w:szCs w:val="20"/>
          <w:vertAlign w:val="subscript"/>
          <w:lang w:val="en-US"/>
        </w:rPr>
        <w:t>4</w:t>
      </w:r>
      <w:r w:rsidRPr="00E52D08">
        <w:rPr>
          <w:b/>
          <w:sz w:val="20"/>
          <w:szCs w:val="20"/>
          <w:lang w:val="en-US"/>
        </w:rPr>
        <w:t>-mediated transformation of aziridines 1 and 4 into 1-azabicyclo[2.2.1]heptanes 2 and 5.</w:t>
      </w:r>
    </w:p>
    <w:p w:rsidR="005C65A8" w:rsidRPr="002854C1" w:rsidRDefault="00BB0DEB" w:rsidP="00342F2D">
      <w:pPr>
        <w:spacing w:after="0"/>
        <w:jc w:val="center"/>
      </w:pPr>
      <w:r w:rsidRPr="002854C1">
        <w:object w:dxaOrig="10004" w:dyaOrig="5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173.25pt" o:ole="">
            <v:imagedata r:id="rId7" o:title=""/>
          </v:shape>
          <o:OLEObject Type="Embed" ProgID="ChemDraw.Document.6.0" ShapeID="_x0000_i1025" DrawAspect="Content" ObjectID="_1465131477" r:id="rId8"/>
        </w:object>
      </w:r>
    </w:p>
    <w:p w:rsidR="00413BC7" w:rsidRDefault="00413BC7" w:rsidP="00342F2D">
      <w:pPr>
        <w:spacing w:after="0"/>
        <w:rPr>
          <w:lang w:val="en-US"/>
        </w:rPr>
      </w:pPr>
    </w:p>
    <w:p w:rsidR="00CB77BD" w:rsidRDefault="00CB77BD" w:rsidP="00CB77BD">
      <w:pPr>
        <w:spacing w:after="0"/>
        <w:rPr>
          <w:lang w:val="en-US"/>
        </w:rPr>
      </w:pPr>
      <w:r w:rsidRPr="002854C1">
        <w:rPr>
          <w:lang w:val="en-US"/>
        </w:rPr>
        <w:lastRenderedPageBreak/>
        <w:t>The reaction mechanism of this new approach to the 1-azabicyclo[2.2.1]heptane skeleton involves an initial addition of hydride across the cyanide moiety, followed by an iminyl anion-induced 5-</w:t>
      </w:r>
      <w:r w:rsidRPr="002854C1">
        <w:rPr>
          <w:i/>
          <w:lang w:val="en-US"/>
        </w:rPr>
        <w:t>exo-tet</w:t>
      </w:r>
      <w:r w:rsidRPr="002854C1">
        <w:rPr>
          <w:lang w:val="en-US"/>
        </w:rPr>
        <w:t xml:space="preserve"> ring closure towards 1-pyrrolines </w:t>
      </w:r>
      <w:r w:rsidRPr="002854C1">
        <w:rPr>
          <w:b/>
          <w:lang w:val="en-US"/>
        </w:rPr>
        <w:t xml:space="preserve">7 </w:t>
      </w:r>
      <w:r w:rsidRPr="002854C1">
        <w:rPr>
          <w:lang w:val="en-US"/>
        </w:rPr>
        <w:t>(Scheme 2).</w:t>
      </w:r>
      <w:r w:rsidRPr="002854C1">
        <w:rPr>
          <w:rStyle w:val="Eindnootmarkering"/>
          <w:lang w:val="en-US"/>
        </w:rPr>
        <w:endnoteReference w:id="13"/>
      </w:r>
      <w:r w:rsidRPr="002854C1">
        <w:rPr>
          <w:lang w:val="en-US"/>
        </w:rPr>
        <w:t xml:space="preserve"> Finally, the pyrrolidine nitrogen regiospecifically opens the aziridine ring in a S</w:t>
      </w:r>
      <w:r w:rsidRPr="002854C1">
        <w:rPr>
          <w:vertAlign w:val="subscript"/>
          <w:lang w:val="en-US"/>
        </w:rPr>
        <w:t>N</w:t>
      </w:r>
      <w:r w:rsidR="005F0383">
        <w:rPr>
          <w:lang w:val="en-US"/>
        </w:rPr>
        <w:t xml:space="preserve">2 fashion at the more </w:t>
      </w:r>
      <w:r w:rsidRPr="002854C1">
        <w:rPr>
          <w:lang w:val="en-US"/>
        </w:rPr>
        <w:t>substituted carbon atom in a second cyclization reaction (5-</w:t>
      </w:r>
      <w:r w:rsidRPr="002854C1">
        <w:rPr>
          <w:i/>
          <w:lang w:val="en-US"/>
        </w:rPr>
        <w:t>exo-tet</w:t>
      </w:r>
      <w:r w:rsidRPr="002854C1">
        <w:rPr>
          <w:lang w:val="en-US"/>
        </w:rPr>
        <w:t xml:space="preserve">) after initial reduction of the cyclic imine </w:t>
      </w:r>
      <w:r w:rsidRPr="002854C1">
        <w:rPr>
          <w:b/>
          <w:lang w:val="en-US"/>
        </w:rPr>
        <w:t>7</w:t>
      </w:r>
      <w:r w:rsidR="008129DA">
        <w:rPr>
          <w:lang w:val="en-US"/>
        </w:rPr>
        <w:t xml:space="preserve"> toward</w:t>
      </w:r>
      <w:r w:rsidRPr="002854C1">
        <w:rPr>
          <w:lang w:val="en-US"/>
        </w:rPr>
        <w:t xml:space="preserve"> pyrrolidine </w:t>
      </w:r>
      <w:r w:rsidRPr="002854C1">
        <w:rPr>
          <w:b/>
          <w:lang w:val="en-US"/>
        </w:rPr>
        <w:t>8</w:t>
      </w:r>
      <w:r w:rsidRPr="002854C1">
        <w:rPr>
          <w:lang w:val="en-US"/>
        </w:rPr>
        <w:t xml:space="preserve">, resulting in the envisaged 2-aminomethyl-4-phenyl-1-azabicyclo[2.2.1]heptanes </w:t>
      </w:r>
      <w:r w:rsidRPr="002854C1">
        <w:rPr>
          <w:b/>
          <w:lang w:val="en-US"/>
        </w:rPr>
        <w:t>2</w:t>
      </w:r>
      <w:r w:rsidRPr="002854C1">
        <w:rPr>
          <w:lang w:val="en-US"/>
        </w:rPr>
        <w:t xml:space="preserve"> in excellent yields as single reaction products (Scheme 2). During the second reductive cyclization step, LiAlH</w:t>
      </w:r>
      <w:r w:rsidRPr="002854C1">
        <w:rPr>
          <w:vertAlign w:val="subscript"/>
          <w:lang w:val="en-US"/>
        </w:rPr>
        <w:t>4</w:t>
      </w:r>
      <w:r w:rsidRPr="002854C1">
        <w:rPr>
          <w:lang w:val="en-US"/>
        </w:rPr>
        <w:t xml:space="preserve"> acts as a Lewis acid to activate the aziridine ring which then becomes susceptible to ring-opening reactions.</w:t>
      </w:r>
      <w:r w:rsidRPr="002854C1">
        <w:rPr>
          <w:rStyle w:val="Eindnootmarkering"/>
          <w:lang w:val="en-US"/>
        </w:rPr>
        <w:endnoteReference w:id="14"/>
      </w:r>
      <w:r w:rsidRPr="002854C1">
        <w:rPr>
          <w:lang w:val="en-US"/>
        </w:rPr>
        <w:t xml:space="preserve"> According to Baldwin’s rules, the 5-</w:t>
      </w:r>
      <w:r w:rsidRPr="002854C1">
        <w:rPr>
          <w:i/>
          <w:lang w:val="en-US"/>
        </w:rPr>
        <w:t>exo-tet</w:t>
      </w:r>
      <w:r w:rsidRPr="002854C1">
        <w:rPr>
          <w:lang w:val="en-US"/>
        </w:rPr>
        <w:t xml:space="preserve"> ring closure is favored and the 6-</w:t>
      </w:r>
      <w:r w:rsidRPr="002854C1">
        <w:rPr>
          <w:i/>
          <w:lang w:val="en-US"/>
        </w:rPr>
        <w:t>endo</w:t>
      </w:r>
      <w:r w:rsidRPr="002854C1">
        <w:rPr>
          <w:lang w:val="en-US"/>
        </w:rPr>
        <w:t>-</w:t>
      </w:r>
      <w:r w:rsidRPr="002854C1">
        <w:rPr>
          <w:i/>
          <w:lang w:val="en-US"/>
        </w:rPr>
        <w:t>tet</w:t>
      </w:r>
      <w:r w:rsidRPr="002854C1">
        <w:rPr>
          <w:lang w:val="en-US"/>
        </w:rPr>
        <w:t xml:space="preserve"> is disfavored, which can explain the regiospecificity of the final aziridine ring opening.</w:t>
      </w:r>
    </w:p>
    <w:p w:rsidR="00CB77BD" w:rsidRDefault="00CB77BD" w:rsidP="00342F2D">
      <w:pPr>
        <w:spacing w:after="0"/>
        <w:rPr>
          <w:lang w:val="en-US"/>
        </w:rPr>
      </w:pPr>
    </w:p>
    <w:p w:rsidR="0064340E" w:rsidRPr="00E52D08" w:rsidRDefault="0064340E" w:rsidP="00342F2D">
      <w:pPr>
        <w:spacing w:after="0"/>
        <w:rPr>
          <w:b/>
          <w:sz w:val="20"/>
          <w:szCs w:val="20"/>
          <w:lang w:val="en-US"/>
        </w:rPr>
      </w:pPr>
      <w:r w:rsidRPr="00E52D08">
        <w:rPr>
          <w:b/>
          <w:sz w:val="20"/>
          <w:szCs w:val="20"/>
          <w:lang w:val="en-US"/>
        </w:rPr>
        <w:t>Scheme 2. Proposed reaction mechanism for the formation of 1-azabicyclo[2.2.1]heptanes 2.</w:t>
      </w:r>
    </w:p>
    <w:p w:rsidR="00A50329" w:rsidRPr="002854C1" w:rsidRDefault="009148A4" w:rsidP="00342F2D">
      <w:pPr>
        <w:spacing w:after="0"/>
        <w:jc w:val="center"/>
      </w:pPr>
      <w:r w:rsidRPr="002854C1">
        <w:object w:dxaOrig="13301" w:dyaOrig="2110">
          <v:shape id="_x0000_i1026" type="#_x0000_t75" style="width:6in;height:68.25pt" o:ole="">
            <v:imagedata r:id="rId9" o:title=""/>
          </v:shape>
          <o:OLEObject Type="Embed" ProgID="ChemDraw.Document.6.0" ShapeID="_x0000_i1026" DrawAspect="Content" ObjectID="_1465131478" r:id="rId10"/>
        </w:object>
      </w:r>
    </w:p>
    <w:p w:rsidR="00413BC7" w:rsidRPr="002854C1" w:rsidRDefault="00413BC7" w:rsidP="00342F2D">
      <w:pPr>
        <w:spacing w:after="0"/>
        <w:rPr>
          <w:lang w:val="en-US"/>
        </w:rPr>
      </w:pPr>
    </w:p>
    <w:p w:rsidR="00D51EAC" w:rsidRDefault="00A24258" w:rsidP="00342F2D">
      <w:pPr>
        <w:spacing w:after="0"/>
        <w:rPr>
          <w:lang w:val="en-US"/>
        </w:rPr>
      </w:pPr>
      <w:r w:rsidRPr="002854C1">
        <w:rPr>
          <w:lang w:val="en-US"/>
        </w:rPr>
        <w:t xml:space="preserve">The </w:t>
      </w:r>
      <w:r w:rsidR="0077417B" w:rsidRPr="002854C1">
        <w:rPr>
          <w:lang w:val="en-US"/>
        </w:rPr>
        <w:t xml:space="preserve">assignment of the correct </w:t>
      </w:r>
      <w:r w:rsidR="00F97341" w:rsidRPr="002854C1">
        <w:rPr>
          <w:lang w:val="en-US"/>
        </w:rPr>
        <w:t>structure of</w:t>
      </w:r>
      <w:r w:rsidR="0077417B" w:rsidRPr="002854C1">
        <w:rPr>
          <w:lang w:val="en-US"/>
        </w:rPr>
        <w:t xml:space="preserve"> </w:t>
      </w:r>
      <w:r w:rsidR="008C2744" w:rsidRPr="002854C1">
        <w:rPr>
          <w:lang w:val="en-US"/>
        </w:rPr>
        <w:t>2-aminomethyl-4-phenyl-</w:t>
      </w:r>
      <w:r w:rsidR="00994D5F" w:rsidRPr="002854C1">
        <w:rPr>
          <w:lang w:val="en-US"/>
        </w:rPr>
        <w:t>1-</w:t>
      </w:r>
      <w:r w:rsidR="008C2744" w:rsidRPr="002854C1">
        <w:rPr>
          <w:lang w:val="en-US"/>
        </w:rPr>
        <w:t>azabicyclo[2.2.1]heptanes</w:t>
      </w:r>
      <w:r w:rsidR="00250884" w:rsidRPr="002854C1">
        <w:rPr>
          <w:lang w:val="en-US"/>
        </w:rPr>
        <w:t xml:space="preserve"> </w:t>
      </w:r>
      <w:r w:rsidR="00413BC7" w:rsidRPr="002854C1">
        <w:rPr>
          <w:b/>
          <w:lang w:val="en-US"/>
        </w:rPr>
        <w:t>2</w:t>
      </w:r>
      <w:r w:rsidR="0063097D" w:rsidRPr="002854C1">
        <w:rPr>
          <w:lang w:val="en-US"/>
        </w:rPr>
        <w:t xml:space="preserve"> and </w:t>
      </w:r>
      <w:r w:rsidR="00413BC7" w:rsidRPr="002854C1">
        <w:rPr>
          <w:b/>
          <w:lang w:val="en-US"/>
        </w:rPr>
        <w:t>5</w:t>
      </w:r>
      <w:r w:rsidR="00250884" w:rsidRPr="002854C1">
        <w:rPr>
          <w:b/>
          <w:lang w:val="en-US"/>
        </w:rPr>
        <w:t xml:space="preserve"> </w:t>
      </w:r>
      <w:r w:rsidR="00250884" w:rsidRPr="002854C1">
        <w:rPr>
          <w:lang w:val="en-US"/>
        </w:rPr>
        <w:t xml:space="preserve">was </w:t>
      </w:r>
      <w:r w:rsidR="005F0383">
        <w:rPr>
          <w:lang w:val="en-US"/>
        </w:rPr>
        <w:t>supported by</w:t>
      </w:r>
      <w:r w:rsidR="0077417B" w:rsidRPr="002854C1">
        <w:rPr>
          <w:lang w:val="en-US"/>
        </w:rPr>
        <w:t xml:space="preserve"> detailed</w:t>
      </w:r>
      <w:r w:rsidR="00C106BD" w:rsidRPr="002854C1">
        <w:rPr>
          <w:lang w:val="en-US"/>
        </w:rPr>
        <w:t xml:space="preserve"> NMR analysis.</w:t>
      </w:r>
      <w:r w:rsidR="0077417B" w:rsidRPr="002854C1">
        <w:rPr>
          <w:lang w:val="en-US"/>
        </w:rPr>
        <w:t xml:space="preserve"> </w:t>
      </w:r>
      <w:r w:rsidR="005F0383">
        <w:rPr>
          <w:lang w:val="en-US"/>
        </w:rPr>
        <w:t>For example</w:t>
      </w:r>
      <w:r w:rsidR="0077417B" w:rsidRPr="002854C1">
        <w:rPr>
          <w:lang w:val="en-US"/>
        </w:rPr>
        <w:t>,</w:t>
      </w:r>
      <w:r w:rsidR="00C106BD" w:rsidRPr="002854C1">
        <w:rPr>
          <w:lang w:val="en-US"/>
        </w:rPr>
        <w:t xml:space="preserve"> </w:t>
      </w:r>
      <w:r w:rsidR="0077417B" w:rsidRPr="002854C1">
        <w:rPr>
          <w:lang w:val="en-US"/>
        </w:rPr>
        <w:t>t</w:t>
      </w:r>
      <w:r w:rsidR="00C106BD" w:rsidRPr="002854C1">
        <w:rPr>
          <w:lang w:val="en-US"/>
        </w:rPr>
        <w:t>he appearance</w:t>
      </w:r>
      <w:r w:rsidR="00250884" w:rsidRPr="002854C1">
        <w:rPr>
          <w:lang w:val="en-US"/>
        </w:rPr>
        <w:t xml:space="preserve"> of </w:t>
      </w:r>
      <w:r w:rsidR="00C106BD" w:rsidRPr="002854C1">
        <w:rPr>
          <w:lang w:val="en-US"/>
        </w:rPr>
        <w:t>a coupling</w:t>
      </w:r>
      <w:r w:rsidR="00250884" w:rsidRPr="002854C1">
        <w:rPr>
          <w:lang w:val="en-US"/>
        </w:rPr>
        <w:t xml:space="preserve"> </w:t>
      </w:r>
      <w:r w:rsidR="00DC255F" w:rsidRPr="002854C1">
        <w:rPr>
          <w:lang w:val="en-US"/>
        </w:rPr>
        <w:t xml:space="preserve">in the HMBC spectrum </w:t>
      </w:r>
      <w:r w:rsidR="00250884" w:rsidRPr="002854C1">
        <w:rPr>
          <w:lang w:val="en-US"/>
        </w:rPr>
        <w:t>between</w:t>
      </w:r>
      <w:r w:rsidR="00C106BD" w:rsidRPr="002854C1">
        <w:rPr>
          <w:lang w:val="en-US"/>
        </w:rPr>
        <w:t xml:space="preserve"> the benzylic hydrogen atoms</w:t>
      </w:r>
      <w:r w:rsidR="0040304A" w:rsidRPr="002854C1">
        <w:rPr>
          <w:lang w:val="en-US"/>
        </w:rPr>
        <w:t xml:space="preserve"> and the exocyclic N</w:t>
      </w:r>
      <w:r w:rsidR="00C33FCD" w:rsidRPr="002854C1">
        <w:rPr>
          <w:lang w:val="en-US"/>
        </w:rPr>
        <w:t>H</w:t>
      </w:r>
      <w:r w:rsidR="0040304A" w:rsidRPr="002854C1">
        <w:rPr>
          <w:lang w:val="en-US"/>
        </w:rPr>
        <w:t>CH</w:t>
      </w:r>
      <w:r w:rsidR="0040304A" w:rsidRPr="002854C1">
        <w:rPr>
          <w:vertAlign w:val="subscript"/>
          <w:lang w:val="en-US"/>
        </w:rPr>
        <w:t>2</w:t>
      </w:r>
      <w:r w:rsidR="00C33FCD" w:rsidRPr="002854C1">
        <w:rPr>
          <w:lang w:val="en-US"/>
        </w:rPr>
        <w:t xml:space="preserve"> </w:t>
      </w:r>
      <w:r w:rsidR="00542332" w:rsidRPr="002854C1">
        <w:rPr>
          <w:lang w:val="en-US"/>
        </w:rPr>
        <w:t>carbon</w:t>
      </w:r>
      <w:r w:rsidR="00F97341" w:rsidRPr="002854C1">
        <w:rPr>
          <w:lang w:val="en-US"/>
        </w:rPr>
        <w:t xml:space="preserve"> atom</w:t>
      </w:r>
      <w:r w:rsidR="00DC255F" w:rsidRPr="002854C1">
        <w:rPr>
          <w:lang w:val="en-US"/>
        </w:rPr>
        <w:t>,</w:t>
      </w:r>
      <w:r w:rsidR="00542332" w:rsidRPr="002854C1">
        <w:rPr>
          <w:lang w:val="en-US"/>
        </w:rPr>
        <w:t xml:space="preserve"> </w:t>
      </w:r>
      <w:r w:rsidR="00C33FCD" w:rsidRPr="002854C1">
        <w:rPr>
          <w:lang w:val="en-US"/>
        </w:rPr>
        <w:t>and between the</w:t>
      </w:r>
      <w:r w:rsidR="00542332" w:rsidRPr="002854C1">
        <w:rPr>
          <w:lang w:val="en-US"/>
        </w:rPr>
        <w:t xml:space="preserve"> hydrogen</w:t>
      </w:r>
      <w:r w:rsidR="00C106BD" w:rsidRPr="002854C1">
        <w:rPr>
          <w:lang w:val="en-US"/>
        </w:rPr>
        <w:t xml:space="preserve"> atoms</w:t>
      </w:r>
      <w:r w:rsidR="00542332" w:rsidRPr="002854C1">
        <w:rPr>
          <w:lang w:val="en-US"/>
        </w:rPr>
        <w:t xml:space="preserve"> of the</w:t>
      </w:r>
      <w:r w:rsidR="002039B9" w:rsidRPr="002854C1">
        <w:rPr>
          <w:lang w:val="en-US"/>
        </w:rPr>
        <w:t xml:space="preserve"> </w:t>
      </w:r>
      <w:r w:rsidR="00542332" w:rsidRPr="002854C1">
        <w:rPr>
          <w:lang w:val="en-US"/>
        </w:rPr>
        <w:t>exocyclic</w:t>
      </w:r>
      <w:r w:rsidR="002039B9" w:rsidRPr="002854C1">
        <w:rPr>
          <w:lang w:val="en-US"/>
        </w:rPr>
        <w:t xml:space="preserve"> </w:t>
      </w:r>
      <w:r w:rsidR="00542332" w:rsidRPr="002854C1">
        <w:rPr>
          <w:lang w:val="en-US"/>
        </w:rPr>
        <w:t>NHCH</w:t>
      </w:r>
      <w:r w:rsidR="00542332" w:rsidRPr="002854C1">
        <w:rPr>
          <w:vertAlign w:val="subscript"/>
          <w:lang w:val="en-US"/>
        </w:rPr>
        <w:t>2</w:t>
      </w:r>
      <w:r w:rsidR="00542332" w:rsidRPr="005F0383">
        <w:rPr>
          <w:lang w:val="en-US"/>
        </w:rPr>
        <w:t xml:space="preserve"> </w:t>
      </w:r>
      <w:r w:rsidR="00542332" w:rsidRPr="002854C1">
        <w:rPr>
          <w:lang w:val="en-US"/>
        </w:rPr>
        <w:t xml:space="preserve">and the </w:t>
      </w:r>
      <w:r w:rsidR="00C33FCD" w:rsidRPr="002854C1">
        <w:rPr>
          <w:lang w:val="en-US"/>
        </w:rPr>
        <w:t>NCH</w:t>
      </w:r>
      <w:r w:rsidR="00542332" w:rsidRPr="002854C1">
        <w:rPr>
          <w:lang w:val="en-US"/>
        </w:rPr>
        <w:t xml:space="preserve"> carbon</w:t>
      </w:r>
      <w:r w:rsidR="00C33FCD" w:rsidRPr="002854C1">
        <w:rPr>
          <w:lang w:val="en-US"/>
        </w:rPr>
        <w:t xml:space="preserve"> </w:t>
      </w:r>
      <w:r w:rsidR="00014610">
        <w:rPr>
          <w:lang w:val="en-US"/>
        </w:rPr>
        <w:t>is</w:t>
      </w:r>
      <w:r w:rsidR="005F0383">
        <w:rPr>
          <w:lang w:val="en-US"/>
        </w:rPr>
        <w:t xml:space="preserve"> in line with</w:t>
      </w:r>
      <w:r w:rsidR="00F97341" w:rsidRPr="002854C1">
        <w:rPr>
          <w:lang w:val="en-US"/>
        </w:rPr>
        <w:t xml:space="preserve"> </w:t>
      </w:r>
      <w:r w:rsidR="0077417B" w:rsidRPr="002854C1">
        <w:rPr>
          <w:lang w:val="en-US"/>
        </w:rPr>
        <w:t>the proposed structure</w:t>
      </w:r>
      <w:r w:rsidR="00C33FCD" w:rsidRPr="002854C1">
        <w:rPr>
          <w:lang w:val="en-US"/>
        </w:rPr>
        <w:t>.</w:t>
      </w:r>
      <w:r w:rsidR="0071535B" w:rsidRPr="002854C1">
        <w:rPr>
          <w:lang w:val="en-US"/>
        </w:rPr>
        <w:t xml:space="preserve"> Furthermore,</w:t>
      </w:r>
      <w:r w:rsidR="00B2004B" w:rsidRPr="002854C1">
        <w:rPr>
          <w:lang w:val="en-US"/>
        </w:rPr>
        <w:t xml:space="preserve"> </w:t>
      </w:r>
      <w:r w:rsidR="008C2744" w:rsidRPr="002854C1">
        <w:rPr>
          <w:lang w:val="en-US"/>
        </w:rPr>
        <w:t xml:space="preserve">bicyclic </w:t>
      </w:r>
      <w:r w:rsidR="00F97341" w:rsidRPr="002854C1">
        <w:rPr>
          <w:lang w:val="en-US"/>
        </w:rPr>
        <w:t xml:space="preserve">piperidine </w:t>
      </w:r>
      <w:r w:rsidR="00413BC7" w:rsidRPr="002854C1">
        <w:rPr>
          <w:b/>
          <w:lang w:val="en-US"/>
        </w:rPr>
        <w:t>2</w:t>
      </w:r>
      <w:r w:rsidR="00F97341" w:rsidRPr="002854C1">
        <w:rPr>
          <w:b/>
          <w:lang w:val="en-US"/>
        </w:rPr>
        <w:t xml:space="preserve">b </w:t>
      </w:r>
      <w:r w:rsidR="00F97341" w:rsidRPr="002854C1">
        <w:rPr>
          <w:lang w:val="en-US"/>
        </w:rPr>
        <w:t>was dissolved in dry ether</w:t>
      </w:r>
      <w:r w:rsidR="003323AA" w:rsidRPr="002854C1">
        <w:rPr>
          <w:lang w:val="en-US"/>
        </w:rPr>
        <w:t>,</w:t>
      </w:r>
      <w:r w:rsidR="00F97341" w:rsidRPr="002854C1">
        <w:rPr>
          <w:lang w:val="en-US"/>
        </w:rPr>
        <w:t xml:space="preserve"> and gaseous HCl was bubbled through the solution </w:t>
      </w:r>
      <w:r w:rsidR="0071535B" w:rsidRPr="002854C1">
        <w:rPr>
          <w:lang w:val="en-US"/>
        </w:rPr>
        <w:t xml:space="preserve">affording a white crystalline </w:t>
      </w:r>
      <w:r w:rsidR="00994D5F" w:rsidRPr="002854C1">
        <w:rPr>
          <w:lang w:val="en-US"/>
        </w:rPr>
        <w:t xml:space="preserve">bicyclic </w:t>
      </w:r>
      <w:r w:rsidR="0071535B" w:rsidRPr="002854C1">
        <w:rPr>
          <w:lang w:val="en-US"/>
        </w:rPr>
        <w:t>piperidine</w:t>
      </w:r>
      <w:r w:rsidR="0071535B" w:rsidRPr="002854C1">
        <w:rPr>
          <w:b/>
          <w:lang w:val="en-US"/>
        </w:rPr>
        <w:t xml:space="preserve"> </w:t>
      </w:r>
      <w:r w:rsidR="0071535B" w:rsidRPr="002854C1">
        <w:rPr>
          <w:lang w:val="en-US"/>
        </w:rPr>
        <w:t xml:space="preserve">hydrochloride salt </w:t>
      </w:r>
      <w:r w:rsidR="00413BC7" w:rsidRPr="002854C1">
        <w:rPr>
          <w:b/>
          <w:lang w:val="en-US"/>
        </w:rPr>
        <w:t>3</w:t>
      </w:r>
      <w:r w:rsidR="00DC255F" w:rsidRPr="002854C1">
        <w:rPr>
          <w:b/>
          <w:lang w:val="en-US"/>
        </w:rPr>
        <w:t xml:space="preserve"> </w:t>
      </w:r>
      <w:r w:rsidR="00214E65" w:rsidRPr="002854C1">
        <w:rPr>
          <w:lang w:val="en-US"/>
        </w:rPr>
        <w:t>after recrysta</w:t>
      </w:r>
      <w:r w:rsidR="00D376EB" w:rsidRPr="002854C1">
        <w:rPr>
          <w:lang w:val="en-US"/>
        </w:rPr>
        <w:t xml:space="preserve">llisation from ethanol (Scheme </w:t>
      </w:r>
      <w:r w:rsidR="00413BC7" w:rsidRPr="002854C1">
        <w:rPr>
          <w:lang w:val="en-US"/>
        </w:rPr>
        <w:t>1</w:t>
      </w:r>
      <w:r w:rsidR="00DC255F" w:rsidRPr="002854C1">
        <w:rPr>
          <w:lang w:val="en-US"/>
        </w:rPr>
        <w:t>)</w:t>
      </w:r>
      <w:r w:rsidR="0071535B" w:rsidRPr="002854C1">
        <w:rPr>
          <w:lang w:val="en-US"/>
        </w:rPr>
        <w:t xml:space="preserve">. The structure of </w:t>
      </w:r>
      <w:r w:rsidR="00994D5F" w:rsidRPr="002854C1">
        <w:rPr>
          <w:lang w:val="en-US"/>
        </w:rPr>
        <w:t>2-aminomethyl-4-phenyl-1-azabicyclo[2.2.1]heptanes</w:t>
      </w:r>
      <w:r w:rsidR="0071535B" w:rsidRPr="002854C1">
        <w:rPr>
          <w:lang w:val="en-US"/>
        </w:rPr>
        <w:t xml:space="preserve"> </w:t>
      </w:r>
      <w:r w:rsidR="00413BC7" w:rsidRPr="002854C1">
        <w:rPr>
          <w:b/>
          <w:lang w:val="en-US"/>
        </w:rPr>
        <w:t>2</w:t>
      </w:r>
      <w:r w:rsidR="0071535B" w:rsidRPr="002854C1">
        <w:rPr>
          <w:lang w:val="en-US"/>
        </w:rPr>
        <w:t xml:space="preserve"> </w:t>
      </w:r>
      <w:r w:rsidR="00DC255F" w:rsidRPr="002854C1">
        <w:rPr>
          <w:lang w:val="en-US"/>
        </w:rPr>
        <w:t>was then</w:t>
      </w:r>
      <w:r w:rsidR="0071535B" w:rsidRPr="002854C1">
        <w:rPr>
          <w:lang w:val="en-US"/>
        </w:rPr>
        <w:t xml:space="preserve"> unambiguously assigned through X-ray </w:t>
      </w:r>
      <w:r w:rsidR="00994D5F" w:rsidRPr="002854C1">
        <w:rPr>
          <w:lang w:val="en-US"/>
        </w:rPr>
        <w:t xml:space="preserve">diffraction </w:t>
      </w:r>
      <w:r w:rsidR="0071535B" w:rsidRPr="002854C1">
        <w:rPr>
          <w:lang w:val="en-US"/>
        </w:rPr>
        <w:t xml:space="preserve">analysis of </w:t>
      </w:r>
      <w:r w:rsidR="00A50329" w:rsidRPr="002854C1">
        <w:rPr>
          <w:lang w:val="en-US"/>
        </w:rPr>
        <w:t>hydrochloride</w:t>
      </w:r>
      <w:r w:rsidR="0071535B" w:rsidRPr="002854C1">
        <w:rPr>
          <w:lang w:val="en-US"/>
        </w:rPr>
        <w:t xml:space="preserve"> </w:t>
      </w:r>
      <w:r w:rsidR="00413BC7" w:rsidRPr="002854C1">
        <w:rPr>
          <w:b/>
          <w:lang w:val="en-US"/>
        </w:rPr>
        <w:t>3</w:t>
      </w:r>
      <w:r w:rsidR="00DC255F" w:rsidRPr="002854C1">
        <w:rPr>
          <w:lang w:val="en-US"/>
        </w:rPr>
        <w:t xml:space="preserve"> (</w:t>
      </w:r>
      <w:r w:rsidR="005F0383">
        <w:rPr>
          <w:lang w:val="en-US"/>
        </w:rPr>
        <w:t>s</w:t>
      </w:r>
      <w:r w:rsidR="00DC255F" w:rsidRPr="002854C1">
        <w:rPr>
          <w:lang w:val="en-US"/>
        </w:rPr>
        <w:t>ee Supporting I</w:t>
      </w:r>
      <w:r w:rsidR="0071535B" w:rsidRPr="002854C1">
        <w:rPr>
          <w:lang w:val="en-US"/>
        </w:rPr>
        <w:t>nfo</w:t>
      </w:r>
      <w:r w:rsidR="00DC255F" w:rsidRPr="002854C1">
        <w:rPr>
          <w:lang w:val="en-US"/>
        </w:rPr>
        <w:t>rmation</w:t>
      </w:r>
      <w:r w:rsidR="000209E1">
        <w:rPr>
          <w:lang w:val="en-US"/>
        </w:rPr>
        <w:t xml:space="preserve">; </w:t>
      </w:r>
      <w:r w:rsidR="000209E1" w:rsidRPr="000209E1">
        <w:rPr>
          <w:lang w:val="en-US"/>
        </w:rPr>
        <w:t>CCDC deposition number</w:t>
      </w:r>
      <w:r w:rsidR="000209E1" w:rsidRPr="00B26CA5">
        <w:rPr>
          <w:lang w:val="en-US"/>
        </w:rPr>
        <w:t xml:space="preserve"> </w:t>
      </w:r>
      <w:r w:rsidR="00B26CA5" w:rsidRPr="00B26CA5">
        <w:rPr>
          <w:lang w:val="en-US"/>
        </w:rPr>
        <w:t>849691</w:t>
      </w:r>
      <w:r w:rsidR="00D51EAC">
        <w:rPr>
          <w:lang w:val="en-US"/>
        </w:rPr>
        <w:t>).</w:t>
      </w:r>
    </w:p>
    <w:p w:rsidR="00250884" w:rsidRPr="002854C1" w:rsidRDefault="00705F92" w:rsidP="00342F2D">
      <w:pPr>
        <w:spacing w:after="0"/>
        <w:rPr>
          <w:lang w:val="en-US"/>
        </w:rPr>
      </w:pPr>
      <w:r w:rsidRPr="002854C1">
        <w:rPr>
          <w:lang w:val="en-US"/>
        </w:rPr>
        <w:t>To summarize,</w:t>
      </w:r>
      <w:r w:rsidR="00B2004B" w:rsidRPr="002854C1">
        <w:rPr>
          <w:lang w:val="en-US"/>
        </w:rPr>
        <w:t xml:space="preserve"> t</w:t>
      </w:r>
      <w:r w:rsidR="00250884" w:rsidRPr="002854C1">
        <w:rPr>
          <w:lang w:val="en-US"/>
        </w:rPr>
        <w:t xml:space="preserve">he net conversion of this methodology concerns a novel </w:t>
      </w:r>
      <w:r w:rsidR="00257542">
        <w:rPr>
          <w:lang w:val="en-US"/>
        </w:rPr>
        <w:t xml:space="preserve">synthetic </w:t>
      </w:r>
      <w:r w:rsidR="00250884" w:rsidRPr="002854C1">
        <w:rPr>
          <w:lang w:val="en-US"/>
        </w:rPr>
        <w:t>transformation of</w:t>
      </w:r>
      <w:r w:rsidR="002039B9" w:rsidRPr="002854C1">
        <w:rPr>
          <w:lang w:val="en-US"/>
        </w:rPr>
        <w:t xml:space="preserve"> </w:t>
      </w:r>
      <w:r w:rsidR="00250884" w:rsidRPr="002854C1">
        <w:rPr>
          <w:lang w:val="en-US"/>
        </w:rPr>
        <w:t>2-(</w:t>
      </w:r>
      <w:r w:rsidR="00DC255F" w:rsidRPr="002854C1">
        <w:rPr>
          <w:lang w:val="en-US"/>
        </w:rPr>
        <w:t>4-chloro-</w:t>
      </w:r>
      <w:r w:rsidR="00250884" w:rsidRPr="002854C1">
        <w:rPr>
          <w:lang w:val="en-US"/>
        </w:rPr>
        <w:t>2-cyano</w:t>
      </w:r>
      <w:r w:rsidR="003323AA" w:rsidRPr="002854C1">
        <w:rPr>
          <w:lang w:val="en-US"/>
        </w:rPr>
        <w:t>-2-phenyl</w:t>
      </w:r>
      <w:r w:rsidR="00DC255F" w:rsidRPr="002854C1">
        <w:rPr>
          <w:lang w:val="en-US"/>
        </w:rPr>
        <w:t>but</w:t>
      </w:r>
      <w:r w:rsidR="00250884" w:rsidRPr="002854C1">
        <w:rPr>
          <w:lang w:val="en-US"/>
        </w:rPr>
        <w:t xml:space="preserve">yl)aziridines </w:t>
      </w:r>
      <w:r w:rsidR="0063097D" w:rsidRPr="002854C1">
        <w:rPr>
          <w:b/>
          <w:lang w:val="en-US"/>
        </w:rPr>
        <w:t>1</w:t>
      </w:r>
      <w:r w:rsidR="00250884" w:rsidRPr="002854C1">
        <w:rPr>
          <w:b/>
          <w:lang w:val="en-US"/>
        </w:rPr>
        <w:t xml:space="preserve"> </w:t>
      </w:r>
      <w:r w:rsidR="00250884" w:rsidRPr="002854C1">
        <w:rPr>
          <w:lang w:val="en-US"/>
        </w:rPr>
        <w:t xml:space="preserve">and </w:t>
      </w:r>
      <w:r w:rsidR="00413BC7" w:rsidRPr="002854C1">
        <w:rPr>
          <w:b/>
          <w:lang w:val="en-US"/>
        </w:rPr>
        <w:t>4</w:t>
      </w:r>
      <w:r w:rsidR="00250884" w:rsidRPr="002854C1">
        <w:rPr>
          <w:lang w:val="en-US"/>
        </w:rPr>
        <w:t xml:space="preserve"> into </w:t>
      </w:r>
      <w:r w:rsidR="00DC255F" w:rsidRPr="002854C1">
        <w:rPr>
          <w:lang w:val="en-US"/>
        </w:rPr>
        <w:t xml:space="preserve">stereodefined </w:t>
      </w:r>
      <w:r w:rsidR="00A50329" w:rsidRPr="002854C1">
        <w:rPr>
          <w:i/>
          <w:lang w:val="en-US"/>
        </w:rPr>
        <w:t>endo</w:t>
      </w:r>
      <w:r w:rsidR="00A50329" w:rsidRPr="002854C1">
        <w:rPr>
          <w:lang w:val="en-US"/>
        </w:rPr>
        <w:t xml:space="preserve">- and </w:t>
      </w:r>
      <w:r w:rsidR="00A50329" w:rsidRPr="002854C1">
        <w:rPr>
          <w:i/>
          <w:lang w:val="en-US"/>
        </w:rPr>
        <w:t>exo</w:t>
      </w:r>
      <w:r w:rsidR="00A50329" w:rsidRPr="002854C1">
        <w:rPr>
          <w:lang w:val="en-US"/>
        </w:rPr>
        <w:t>-</w:t>
      </w:r>
      <w:r w:rsidR="00994D5F" w:rsidRPr="002854C1">
        <w:rPr>
          <w:lang w:val="en-US"/>
        </w:rPr>
        <w:t>2-aminomethyl-4-phenyl-1-azabicyclo[2.2.1]heptanes</w:t>
      </w:r>
      <w:r w:rsidR="00250884" w:rsidRPr="002854C1">
        <w:rPr>
          <w:lang w:val="en-US"/>
        </w:rPr>
        <w:t xml:space="preserve"> </w:t>
      </w:r>
      <w:r w:rsidR="00413BC7" w:rsidRPr="002854C1">
        <w:rPr>
          <w:b/>
          <w:lang w:val="en-US"/>
        </w:rPr>
        <w:t>2</w:t>
      </w:r>
      <w:r w:rsidR="00250884" w:rsidRPr="002854C1">
        <w:rPr>
          <w:lang w:val="en-US"/>
        </w:rPr>
        <w:t xml:space="preserve"> and </w:t>
      </w:r>
      <w:r w:rsidR="00413BC7" w:rsidRPr="002854C1">
        <w:rPr>
          <w:b/>
          <w:lang w:val="en-US"/>
        </w:rPr>
        <w:t>5</w:t>
      </w:r>
      <w:r w:rsidR="00250884" w:rsidRPr="002854C1">
        <w:rPr>
          <w:lang w:val="en-US"/>
        </w:rPr>
        <w:t xml:space="preserve"> </w:t>
      </w:r>
      <w:r w:rsidR="00250884" w:rsidRPr="002854C1">
        <w:rPr>
          <w:i/>
          <w:lang w:val="en-US"/>
        </w:rPr>
        <w:t>via</w:t>
      </w:r>
      <w:r w:rsidR="00250884" w:rsidRPr="002854C1">
        <w:rPr>
          <w:lang w:val="en-US"/>
        </w:rPr>
        <w:t xml:space="preserve"> a double </w:t>
      </w:r>
      <w:r w:rsidR="0077417B" w:rsidRPr="002854C1">
        <w:rPr>
          <w:lang w:val="en-US"/>
        </w:rPr>
        <w:t>reductive cyclization protocol</w:t>
      </w:r>
      <w:r w:rsidR="00250884" w:rsidRPr="002854C1">
        <w:rPr>
          <w:lang w:val="en-US"/>
        </w:rPr>
        <w:t xml:space="preserve">. </w:t>
      </w:r>
      <w:r w:rsidR="003323AA" w:rsidRPr="002854C1">
        <w:rPr>
          <w:lang w:val="en-US"/>
        </w:rPr>
        <w:t>1,2-</w:t>
      </w:r>
      <w:r w:rsidR="00DC255F" w:rsidRPr="002854C1">
        <w:rPr>
          <w:lang w:val="en-US"/>
        </w:rPr>
        <w:t>D</w:t>
      </w:r>
      <w:r w:rsidR="003D68AE" w:rsidRPr="002854C1">
        <w:rPr>
          <w:lang w:val="en-US"/>
        </w:rPr>
        <w:t xml:space="preserve">iamines such as </w:t>
      </w:r>
      <w:r w:rsidR="00994D5F" w:rsidRPr="002854C1">
        <w:rPr>
          <w:lang w:val="en-US"/>
        </w:rPr>
        <w:t xml:space="preserve">bicyclic </w:t>
      </w:r>
      <w:r w:rsidR="003D68AE" w:rsidRPr="002854C1">
        <w:rPr>
          <w:lang w:val="en-US"/>
        </w:rPr>
        <w:t xml:space="preserve">piperidines </w:t>
      </w:r>
      <w:r w:rsidR="00413BC7" w:rsidRPr="002854C1">
        <w:rPr>
          <w:b/>
          <w:lang w:val="en-US"/>
        </w:rPr>
        <w:t>2</w:t>
      </w:r>
      <w:r w:rsidR="003D68AE" w:rsidRPr="002854C1">
        <w:rPr>
          <w:b/>
          <w:lang w:val="en-US"/>
        </w:rPr>
        <w:t xml:space="preserve"> </w:t>
      </w:r>
      <w:r w:rsidR="003D68AE" w:rsidRPr="002854C1">
        <w:rPr>
          <w:lang w:val="en-US"/>
        </w:rPr>
        <w:t xml:space="preserve">and </w:t>
      </w:r>
      <w:r w:rsidR="00413BC7" w:rsidRPr="002854C1">
        <w:rPr>
          <w:b/>
          <w:lang w:val="en-US"/>
        </w:rPr>
        <w:t>5</w:t>
      </w:r>
      <w:r w:rsidR="003D68AE" w:rsidRPr="002854C1">
        <w:rPr>
          <w:lang w:val="en-US"/>
        </w:rPr>
        <w:t xml:space="preserve"> can be seen as </w:t>
      </w:r>
      <w:r w:rsidR="00542332" w:rsidRPr="002854C1">
        <w:rPr>
          <w:lang w:val="en-US"/>
        </w:rPr>
        <w:t>valuable</w:t>
      </w:r>
      <w:r w:rsidR="003D68AE" w:rsidRPr="002854C1">
        <w:rPr>
          <w:lang w:val="en-US"/>
        </w:rPr>
        <w:t xml:space="preserve"> substrates for </w:t>
      </w:r>
      <w:r w:rsidR="0077417B" w:rsidRPr="002854C1">
        <w:rPr>
          <w:lang w:val="en-US"/>
        </w:rPr>
        <w:t xml:space="preserve">the synthesis of </w:t>
      </w:r>
      <w:r w:rsidR="0077417B" w:rsidRPr="002854C1">
        <w:rPr>
          <w:lang w:val="en-US"/>
        </w:rPr>
        <w:lastRenderedPageBreak/>
        <w:t>new cisplatin [</w:t>
      </w:r>
      <w:r w:rsidR="003D68AE" w:rsidRPr="002854C1">
        <w:rPr>
          <w:i/>
          <w:lang w:val="en-US"/>
        </w:rPr>
        <w:t>cis</w:t>
      </w:r>
      <w:r w:rsidR="0077417B" w:rsidRPr="002854C1">
        <w:rPr>
          <w:lang w:val="en-US"/>
        </w:rPr>
        <w:t>-diamin</w:t>
      </w:r>
      <w:r w:rsidR="00DC255F" w:rsidRPr="002854C1">
        <w:rPr>
          <w:lang w:val="en-US"/>
        </w:rPr>
        <w:t>o</w:t>
      </w:r>
      <w:r w:rsidR="0077417B" w:rsidRPr="002854C1">
        <w:rPr>
          <w:lang w:val="en-US"/>
        </w:rPr>
        <w:t>dichloroplatinum(II)]</w:t>
      </w:r>
      <w:r w:rsidR="003D68AE" w:rsidRPr="002854C1">
        <w:rPr>
          <w:lang w:val="en-US"/>
        </w:rPr>
        <w:t xml:space="preserve"> derivatives known for their anticancer activities.</w:t>
      </w:r>
      <w:r w:rsidR="003D68AE" w:rsidRPr="002854C1">
        <w:rPr>
          <w:rStyle w:val="Eindnootmarkering"/>
          <w:lang w:val="en-US"/>
        </w:rPr>
        <w:endnoteReference w:id="15"/>
      </w:r>
      <w:r w:rsidR="002039B9" w:rsidRPr="002854C1">
        <w:rPr>
          <w:lang w:val="en-US"/>
        </w:rPr>
        <w:t xml:space="preserve"> </w:t>
      </w:r>
      <w:r w:rsidR="009D41EC" w:rsidRPr="002854C1">
        <w:rPr>
          <w:lang w:val="en-US"/>
        </w:rPr>
        <w:t>Moreover, very little</w:t>
      </w:r>
      <w:r w:rsidR="0077417B" w:rsidRPr="002854C1">
        <w:rPr>
          <w:lang w:val="en-US"/>
        </w:rPr>
        <w:t xml:space="preserve"> information regarding these conformationally constrained piperidine systems</w:t>
      </w:r>
      <w:r w:rsidR="00E44AC2" w:rsidRPr="002854C1">
        <w:rPr>
          <w:lang w:val="en-US"/>
        </w:rPr>
        <w:t xml:space="preserve"> bearing a</w:t>
      </w:r>
      <w:r w:rsidR="003323AA" w:rsidRPr="002854C1">
        <w:rPr>
          <w:lang w:val="en-US"/>
        </w:rPr>
        <w:t>n</w:t>
      </w:r>
      <w:r w:rsidR="00E44AC2" w:rsidRPr="002854C1">
        <w:rPr>
          <w:lang w:val="en-US"/>
        </w:rPr>
        <w:t xml:space="preserve"> aromatic ring at the bridgehead position is available in the literature</w:t>
      </w:r>
      <w:r w:rsidR="00A24258" w:rsidRPr="002854C1">
        <w:rPr>
          <w:lang w:val="en-US"/>
        </w:rPr>
        <w:t>, pointing to the novelty of this approach.</w:t>
      </w:r>
      <w:r w:rsidR="0077417B" w:rsidRPr="002854C1">
        <w:rPr>
          <w:lang w:val="en-US"/>
        </w:rPr>
        <w:t xml:space="preserve"> </w:t>
      </w:r>
      <w:r w:rsidR="003323AA" w:rsidRPr="002854C1">
        <w:rPr>
          <w:lang w:val="en-US"/>
        </w:rPr>
        <w:t>In addition to a few examples of 4-heteroaryl-</w:t>
      </w:r>
      <w:r w:rsidR="00A50329" w:rsidRPr="002854C1">
        <w:rPr>
          <w:lang w:val="en-US"/>
        </w:rPr>
        <w:t>1-azabicyclo[2.2.1]heptanes</w:t>
      </w:r>
      <w:r w:rsidR="00E44AC2" w:rsidRPr="002854C1">
        <w:rPr>
          <w:lang w:val="en-US"/>
        </w:rPr>
        <w:t>,</w:t>
      </w:r>
      <w:r w:rsidR="009D418C">
        <w:rPr>
          <w:rStyle w:val="Eindnootmarkering"/>
          <w:lang w:val="en-US"/>
        </w:rPr>
        <w:endnoteReference w:id="16"/>
      </w:r>
      <w:r w:rsidR="00B812D4" w:rsidRPr="002854C1">
        <w:rPr>
          <w:rStyle w:val="Eindnootmarkering"/>
          <w:lang w:val="en-US"/>
        </w:rPr>
        <w:t>,</w:t>
      </w:r>
      <w:r w:rsidR="00B812D4" w:rsidRPr="002854C1">
        <w:rPr>
          <w:rStyle w:val="Eindnootmarkering"/>
          <w:lang w:val="en-US"/>
        </w:rPr>
        <w:endnoteReference w:id="17"/>
      </w:r>
      <w:r w:rsidR="003323AA" w:rsidRPr="002854C1">
        <w:rPr>
          <w:lang w:val="en-US"/>
        </w:rPr>
        <w:t xml:space="preserve"> </w:t>
      </w:r>
      <w:r w:rsidR="00E44AC2" w:rsidRPr="002854C1">
        <w:rPr>
          <w:lang w:val="en-US"/>
        </w:rPr>
        <w:t xml:space="preserve">only a few </w:t>
      </w:r>
      <w:r w:rsidR="003323AA" w:rsidRPr="002854C1">
        <w:rPr>
          <w:lang w:val="en-US"/>
        </w:rPr>
        <w:t xml:space="preserve">other examples </w:t>
      </w:r>
      <w:r w:rsidR="009D41EC" w:rsidRPr="002854C1">
        <w:rPr>
          <w:lang w:val="en-US"/>
        </w:rPr>
        <w:t>have been</w:t>
      </w:r>
      <w:r w:rsidR="003323AA" w:rsidRPr="002854C1">
        <w:rPr>
          <w:lang w:val="en-US"/>
        </w:rPr>
        <w:t xml:space="preserve"> reported concerning</w:t>
      </w:r>
      <w:r w:rsidR="00E44AC2" w:rsidRPr="002854C1">
        <w:rPr>
          <w:lang w:val="en-US"/>
        </w:rPr>
        <w:t xml:space="preserve"> </w:t>
      </w:r>
      <w:r w:rsidR="00A50329" w:rsidRPr="002854C1">
        <w:rPr>
          <w:lang w:val="en-US"/>
        </w:rPr>
        <w:t>1-azabicyclo[2.2.1]heptanes</w:t>
      </w:r>
      <w:r w:rsidR="00E44AC2" w:rsidRPr="002854C1">
        <w:rPr>
          <w:lang w:val="en-US"/>
        </w:rPr>
        <w:t xml:space="preserve"> substituted with a phenyl group at the bridgehead position</w:t>
      </w:r>
      <w:r w:rsidR="009D41EC" w:rsidRPr="002854C1">
        <w:rPr>
          <w:lang w:val="en-US"/>
        </w:rPr>
        <w:t>,</w:t>
      </w:r>
      <w:r w:rsidR="005D3C3E" w:rsidRPr="002854C1">
        <w:rPr>
          <w:lang w:val="en-US"/>
        </w:rPr>
        <w:t xml:space="preserve"> </w:t>
      </w:r>
      <w:r w:rsidR="003323AA" w:rsidRPr="002854C1">
        <w:rPr>
          <w:lang w:val="en-US"/>
        </w:rPr>
        <w:t>obtained in</w:t>
      </w:r>
      <w:r w:rsidR="00E44AC2" w:rsidRPr="002854C1">
        <w:rPr>
          <w:lang w:val="en-US"/>
        </w:rPr>
        <w:t xml:space="preserve"> low to moderate yields and as isomeric mixtures</w:t>
      </w:r>
      <w:r w:rsidR="001445AB">
        <w:rPr>
          <w:lang w:val="en-US"/>
        </w:rPr>
        <w:t xml:space="preserve"> through either intramolecular addition of </w:t>
      </w:r>
      <w:r w:rsidR="001445AB" w:rsidRPr="001445AB">
        <w:rPr>
          <w:i/>
          <w:lang w:val="en-US"/>
        </w:rPr>
        <w:t>N</w:t>
      </w:r>
      <w:r w:rsidR="001445AB" w:rsidRPr="001445AB">
        <w:rPr>
          <w:lang w:val="en-US"/>
        </w:rPr>
        <w:t>,</w:t>
      </w:r>
      <w:r w:rsidR="001445AB" w:rsidRPr="001445AB">
        <w:rPr>
          <w:i/>
          <w:lang w:val="en-US"/>
        </w:rPr>
        <w:t>N</w:t>
      </w:r>
      <w:r w:rsidR="001445AB">
        <w:rPr>
          <w:lang w:val="en-US"/>
        </w:rPr>
        <w:t xml:space="preserve">-disubstituted hydroxylamines to unactivated olefins or </w:t>
      </w:r>
      <w:r w:rsidR="001445AB" w:rsidRPr="00014610">
        <w:rPr>
          <w:i/>
          <w:lang w:val="en-US"/>
        </w:rPr>
        <w:t>via</w:t>
      </w:r>
      <w:r w:rsidR="001445AB">
        <w:rPr>
          <w:lang w:val="en-US"/>
        </w:rPr>
        <w:t xml:space="preserve"> </w:t>
      </w:r>
      <w:r w:rsidR="001445AB" w:rsidRPr="001445AB">
        <w:rPr>
          <w:lang w:val="en-US"/>
        </w:rPr>
        <w:t>gold-catalyzed tandem cyclization reactions of 1,6-diynes</w:t>
      </w:r>
      <w:r w:rsidR="00A24258" w:rsidRPr="002854C1">
        <w:rPr>
          <w:lang w:val="en-US"/>
        </w:rPr>
        <w:t>.</w:t>
      </w:r>
      <w:r w:rsidR="00B812D4" w:rsidRPr="002854C1">
        <w:rPr>
          <w:rStyle w:val="Eindnootmarkering"/>
          <w:lang w:val="en-US"/>
        </w:rPr>
        <w:endnoteReference w:id="18"/>
      </w:r>
      <w:r w:rsidR="00E44AC2" w:rsidRPr="002854C1">
        <w:rPr>
          <w:lang w:val="en-US"/>
        </w:rPr>
        <w:t xml:space="preserve"> </w:t>
      </w:r>
    </w:p>
    <w:p w:rsidR="002D536A" w:rsidRPr="002854C1" w:rsidRDefault="002D536A" w:rsidP="00342F2D">
      <w:pPr>
        <w:spacing w:after="0"/>
        <w:rPr>
          <w:lang w:val="en-US"/>
        </w:rPr>
      </w:pPr>
    </w:p>
    <w:p w:rsidR="00413BC7" w:rsidRPr="002854C1" w:rsidRDefault="00D45C09" w:rsidP="00342F2D">
      <w:pPr>
        <w:spacing w:after="0"/>
        <w:rPr>
          <w:lang w:val="en-US"/>
        </w:rPr>
      </w:pPr>
      <w:r w:rsidRPr="002854C1">
        <w:rPr>
          <w:lang w:val="en-US"/>
        </w:rPr>
        <w:t xml:space="preserve">In order to explore </w:t>
      </w:r>
      <w:r w:rsidR="009D418C">
        <w:rPr>
          <w:lang w:val="en-US"/>
        </w:rPr>
        <w:t>the</w:t>
      </w:r>
      <w:r w:rsidRPr="002854C1">
        <w:rPr>
          <w:lang w:val="en-US"/>
        </w:rPr>
        <w:t xml:space="preserve"> potential of these novel azabicyclic systems as antimalarial agents, compounds </w:t>
      </w:r>
      <w:r w:rsidRPr="002854C1">
        <w:rPr>
          <w:b/>
          <w:lang w:val="en-US"/>
        </w:rPr>
        <w:t>2</w:t>
      </w:r>
      <w:r w:rsidRPr="002854C1">
        <w:rPr>
          <w:lang w:val="en-US"/>
        </w:rPr>
        <w:t xml:space="preserve"> and </w:t>
      </w:r>
      <w:r w:rsidRPr="002854C1">
        <w:rPr>
          <w:b/>
          <w:lang w:val="en-US"/>
        </w:rPr>
        <w:t>5</w:t>
      </w:r>
      <w:r w:rsidRPr="002854C1">
        <w:rPr>
          <w:lang w:val="en-US"/>
        </w:rPr>
        <w:t xml:space="preserve"> were screened for their </w:t>
      </w:r>
      <w:r w:rsidRPr="002854C1">
        <w:rPr>
          <w:i/>
          <w:lang w:val="en-US"/>
        </w:rPr>
        <w:t>in vitro</w:t>
      </w:r>
      <w:r w:rsidRPr="002854C1">
        <w:rPr>
          <w:lang w:val="en-US"/>
        </w:rPr>
        <w:t xml:space="preserve"> antiplasmodial activity. All samples were tested agains</w:t>
      </w:r>
      <w:r w:rsidR="003C15BD">
        <w:rPr>
          <w:lang w:val="en-US"/>
        </w:rPr>
        <w:t xml:space="preserve">t a chloroquine-sensitive </w:t>
      </w:r>
      <w:r w:rsidRPr="002854C1">
        <w:rPr>
          <w:lang w:val="en-US"/>
        </w:rPr>
        <w:t xml:space="preserve">strain of </w:t>
      </w:r>
      <w:r w:rsidRPr="002854C1">
        <w:rPr>
          <w:i/>
          <w:lang w:val="en-US"/>
        </w:rPr>
        <w:t>P. falciparum</w:t>
      </w:r>
      <w:r w:rsidRPr="002854C1">
        <w:rPr>
          <w:lang w:val="en-US"/>
        </w:rPr>
        <w:t xml:space="preserve"> (D10). Subsequently, those samples showing promising antiplasmodial activity were tested again</w:t>
      </w:r>
      <w:r w:rsidR="003C15BD">
        <w:rPr>
          <w:lang w:val="en-US"/>
        </w:rPr>
        <w:t>st a chloroquine-resistant</w:t>
      </w:r>
      <w:r w:rsidRPr="002854C1">
        <w:rPr>
          <w:lang w:val="en-US"/>
        </w:rPr>
        <w:t xml:space="preserve"> strain of </w:t>
      </w:r>
      <w:r w:rsidRPr="002854C1">
        <w:rPr>
          <w:i/>
          <w:lang w:val="en-US"/>
        </w:rPr>
        <w:t>P. falciparum</w:t>
      </w:r>
      <w:r w:rsidRPr="002854C1">
        <w:rPr>
          <w:lang w:val="en-US"/>
        </w:rPr>
        <w:t xml:space="preserve"> (Dd2) and screened for </w:t>
      </w:r>
      <w:r w:rsidRPr="002854C1">
        <w:rPr>
          <w:i/>
          <w:lang w:val="en-US"/>
        </w:rPr>
        <w:t>in vitro</w:t>
      </w:r>
      <w:r w:rsidRPr="002854C1">
        <w:rPr>
          <w:lang w:val="en-US"/>
        </w:rPr>
        <w:t xml:space="preserve"> cytotoxicity against a mammalian cell-line, Chinese Hamster Ovarian (CHO) using the 3-(4,5-dimethylthiazol-2-yl)-2,5-diphenyltetrazolium</w:t>
      </w:r>
      <w:r w:rsidR="000F7AE5">
        <w:rPr>
          <w:lang w:val="en-US"/>
        </w:rPr>
        <w:t xml:space="preserve"> </w:t>
      </w:r>
      <w:r w:rsidRPr="002854C1">
        <w:rPr>
          <w:lang w:val="en-US"/>
        </w:rPr>
        <w:t xml:space="preserve">bromide (MTT)-assay. Continuous </w:t>
      </w:r>
      <w:r w:rsidRPr="002854C1">
        <w:rPr>
          <w:i/>
          <w:lang w:val="en-US"/>
        </w:rPr>
        <w:t>in vitro</w:t>
      </w:r>
      <w:r w:rsidRPr="002854C1">
        <w:rPr>
          <w:lang w:val="en-US"/>
        </w:rPr>
        <w:t xml:space="preserve"> cultures of asexual erythrocyte stages of </w:t>
      </w:r>
      <w:r w:rsidRPr="002854C1">
        <w:rPr>
          <w:i/>
          <w:lang w:val="en-US"/>
        </w:rPr>
        <w:t>P. falciparum</w:t>
      </w:r>
      <w:r w:rsidRPr="002854C1">
        <w:rPr>
          <w:lang w:val="en-US"/>
        </w:rPr>
        <w:t xml:space="preserve"> were maintained using a modified method of Trager and Jensen,</w:t>
      </w:r>
      <w:r w:rsidRPr="002854C1">
        <w:rPr>
          <w:rStyle w:val="Eindnootmarkering"/>
          <w:lang w:val="en-US"/>
        </w:rPr>
        <w:endnoteReference w:id="19"/>
      </w:r>
      <w:r w:rsidRPr="002854C1">
        <w:rPr>
          <w:lang w:val="en-US"/>
        </w:rPr>
        <w:t xml:space="preserve"> and quantitative assessment of antiplasmodial activity </w:t>
      </w:r>
      <w:r w:rsidRPr="002854C1">
        <w:rPr>
          <w:i/>
          <w:lang w:val="en-US"/>
        </w:rPr>
        <w:t>in vitro</w:t>
      </w:r>
      <w:r w:rsidRPr="002854C1">
        <w:rPr>
          <w:lang w:val="en-US"/>
        </w:rPr>
        <w:t xml:space="preserve"> was determined via the parasite lactate dehydrogenase assay using a modified method described by Makler.</w:t>
      </w:r>
      <w:r w:rsidRPr="002854C1">
        <w:rPr>
          <w:rStyle w:val="Eindnootmarkering"/>
          <w:lang w:val="en-US"/>
        </w:rPr>
        <w:endnoteReference w:id="20"/>
      </w:r>
      <w:r w:rsidRPr="002854C1">
        <w:rPr>
          <w:lang w:val="en-US"/>
        </w:rPr>
        <w:t xml:space="preserve"> The samples were tested in triplicate on one occasion.</w:t>
      </w:r>
      <w:r w:rsidRPr="002854C1">
        <w:rPr>
          <w:rStyle w:val="Eindnootmarkering"/>
          <w:lang w:val="en-US"/>
        </w:rPr>
        <w:endnoteReference w:id="21"/>
      </w:r>
      <w:r w:rsidRPr="002854C1">
        <w:rPr>
          <w:lang w:val="en-US"/>
        </w:rPr>
        <w:t xml:space="preserve"> The MTT-assay was used as a colorimetric assay for cellular growth and survival, and compares well with other available assays.</w:t>
      </w:r>
      <w:r w:rsidRPr="002854C1">
        <w:rPr>
          <w:rStyle w:val="Eindnootmarkering"/>
          <w:lang w:val="en-US"/>
        </w:rPr>
        <w:endnoteReference w:id="22"/>
      </w:r>
      <w:r w:rsidRPr="002854C1">
        <w:rPr>
          <w:lang w:val="en-US"/>
        </w:rPr>
        <w:t xml:space="preserve"> The tetrazolium salt MTT was used to measure all growth and chemosensitivity.</w:t>
      </w:r>
      <w:r w:rsidR="003C15BD">
        <w:rPr>
          <w:lang w:val="en-US"/>
        </w:rPr>
        <w:t xml:space="preserve"> </w:t>
      </w:r>
      <w:r w:rsidR="003C15BD" w:rsidRPr="002854C1">
        <w:rPr>
          <w:lang w:val="en-US"/>
        </w:rPr>
        <w:t>The samples were tested in triplicate on one occasion.</w:t>
      </w:r>
      <w:r w:rsidR="003C15BD" w:rsidRPr="002854C1">
        <w:rPr>
          <w:rStyle w:val="Eindnootmarkering"/>
          <w:lang w:val="en-US"/>
        </w:rPr>
        <w:endnoteReference w:id="23"/>
      </w:r>
    </w:p>
    <w:p w:rsidR="00AF3EB9" w:rsidRPr="002854C1" w:rsidRDefault="00AF3EB9" w:rsidP="00342F2D">
      <w:pPr>
        <w:spacing w:after="0"/>
        <w:rPr>
          <w:lang w:val="en-US"/>
        </w:rPr>
      </w:pPr>
    </w:p>
    <w:p w:rsidR="00E23C77" w:rsidRPr="00E52D08" w:rsidRDefault="00E23C77" w:rsidP="00342F2D">
      <w:pPr>
        <w:spacing w:after="0"/>
        <w:rPr>
          <w:b/>
          <w:sz w:val="20"/>
          <w:szCs w:val="20"/>
          <w:lang w:val="en-US"/>
        </w:rPr>
      </w:pPr>
      <w:r w:rsidRPr="00E52D08">
        <w:rPr>
          <w:b/>
          <w:sz w:val="20"/>
          <w:szCs w:val="20"/>
          <w:lang w:val="en-US"/>
        </w:rPr>
        <w:t xml:space="preserve">Table 1. </w:t>
      </w:r>
      <w:r w:rsidRPr="00E52D08">
        <w:rPr>
          <w:b/>
          <w:sz w:val="20"/>
          <w:szCs w:val="20"/>
          <w:lang w:val="en-GB"/>
        </w:rPr>
        <w:t>IC</w:t>
      </w:r>
      <w:r w:rsidRPr="00E52D08">
        <w:rPr>
          <w:b/>
          <w:sz w:val="20"/>
          <w:szCs w:val="20"/>
          <w:vertAlign w:val="subscript"/>
          <w:lang w:val="en-GB"/>
        </w:rPr>
        <w:t>50</w:t>
      </w:r>
      <w:r w:rsidRPr="00E52D08">
        <w:rPr>
          <w:b/>
          <w:sz w:val="20"/>
          <w:szCs w:val="20"/>
          <w:lang w:val="en-GB"/>
        </w:rPr>
        <w:t xml:space="preserve">-values of piperidines 2 and 5 tested for </w:t>
      </w:r>
      <w:r w:rsidRPr="00E52D08">
        <w:rPr>
          <w:b/>
          <w:i/>
          <w:sz w:val="20"/>
          <w:szCs w:val="20"/>
          <w:lang w:val="en-GB"/>
        </w:rPr>
        <w:t>in vitro</w:t>
      </w:r>
      <w:r w:rsidRPr="00E52D08">
        <w:rPr>
          <w:b/>
          <w:sz w:val="20"/>
          <w:szCs w:val="20"/>
          <w:lang w:val="en-GB"/>
        </w:rPr>
        <w:t xml:space="preserve"> antimalarial activity and cytotoxicity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164"/>
        <w:gridCol w:w="1464"/>
        <w:gridCol w:w="1465"/>
        <w:gridCol w:w="1465"/>
        <w:gridCol w:w="1169"/>
        <w:gridCol w:w="1169"/>
      </w:tblGrid>
      <w:tr w:rsidR="00522443" w:rsidRPr="008E3296" w:rsidTr="008E3296">
        <w:trPr>
          <w:jc w:val="center"/>
        </w:trPr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D32224" w:rsidRPr="008E3296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8E3296">
              <w:rPr>
                <w:b/>
                <w:sz w:val="18"/>
                <w:szCs w:val="18"/>
                <w:lang w:val="en-US"/>
              </w:rPr>
              <w:t>compound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D32224" w:rsidRPr="008E3296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8E3296">
              <w:rPr>
                <w:b/>
                <w:sz w:val="18"/>
                <w:szCs w:val="18"/>
                <w:lang w:val="en-US"/>
              </w:rPr>
              <w:t>R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32224" w:rsidRPr="008E3296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8E3296">
              <w:rPr>
                <w:b/>
                <w:sz w:val="18"/>
                <w:szCs w:val="18"/>
                <w:lang w:val="en-US"/>
              </w:rPr>
              <w:t>D10 IC</w:t>
            </w:r>
            <w:r w:rsidRPr="008E3296">
              <w:rPr>
                <w:b/>
                <w:sz w:val="18"/>
                <w:szCs w:val="18"/>
                <w:vertAlign w:val="subscript"/>
                <w:lang w:val="en-US"/>
              </w:rPr>
              <w:t>50</w:t>
            </w:r>
            <w:r w:rsidRPr="008E3296">
              <w:rPr>
                <w:b/>
                <w:sz w:val="18"/>
                <w:szCs w:val="18"/>
                <w:lang w:val="en-US"/>
              </w:rPr>
              <w:t xml:space="preserve"> (µM)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D32224" w:rsidRPr="008E3296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8E3296">
              <w:rPr>
                <w:b/>
                <w:sz w:val="18"/>
                <w:szCs w:val="18"/>
                <w:lang w:val="en-US"/>
              </w:rPr>
              <w:t>Dd2 IC</w:t>
            </w:r>
            <w:r w:rsidRPr="008E3296">
              <w:rPr>
                <w:b/>
                <w:sz w:val="18"/>
                <w:szCs w:val="18"/>
                <w:vertAlign w:val="subscript"/>
                <w:lang w:val="en-US"/>
              </w:rPr>
              <w:t>50</w:t>
            </w:r>
            <w:r w:rsidRPr="008E3296">
              <w:rPr>
                <w:b/>
                <w:sz w:val="18"/>
                <w:szCs w:val="18"/>
                <w:lang w:val="en-US"/>
              </w:rPr>
              <w:t xml:space="preserve"> (µM)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D32224" w:rsidRPr="008E3296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8E3296">
              <w:rPr>
                <w:b/>
                <w:sz w:val="18"/>
                <w:szCs w:val="18"/>
                <w:lang w:val="en-US"/>
              </w:rPr>
              <w:t>CHO IC</w:t>
            </w:r>
            <w:r w:rsidRPr="008E3296">
              <w:rPr>
                <w:b/>
                <w:sz w:val="18"/>
                <w:szCs w:val="18"/>
                <w:vertAlign w:val="subscript"/>
                <w:lang w:val="en-US"/>
              </w:rPr>
              <w:t>50</w:t>
            </w:r>
            <w:r w:rsidRPr="008E3296">
              <w:rPr>
                <w:b/>
                <w:sz w:val="18"/>
                <w:szCs w:val="18"/>
                <w:lang w:val="en-US"/>
              </w:rPr>
              <w:t xml:space="preserve"> (µM)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D32224" w:rsidRPr="008E3296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8E3296">
              <w:rPr>
                <w:b/>
                <w:sz w:val="18"/>
                <w:szCs w:val="18"/>
                <w:lang w:val="en-US"/>
              </w:rPr>
              <w:t>RI</w:t>
            </w:r>
            <w:r w:rsidRPr="008E3296">
              <w:rPr>
                <w:b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D32224" w:rsidRPr="008E3296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8E3296">
              <w:rPr>
                <w:b/>
                <w:sz w:val="18"/>
                <w:szCs w:val="18"/>
                <w:lang w:val="en-US"/>
              </w:rPr>
              <w:t>SI</w:t>
            </w:r>
            <w:r w:rsidRPr="008E3296">
              <w:rPr>
                <w:b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  <w:tcBorders>
              <w:top w:val="single" w:sz="4" w:space="0" w:color="auto"/>
            </w:tcBorders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t>2a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18.45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78.49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&gt;300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4.4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ND</w:t>
            </w: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t>2b</w:t>
            </w:r>
          </w:p>
        </w:tc>
        <w:tc>
          <w:tcPr>
            <w:tcW w:w="11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4-Me</w:t>
            </w:r>
          </w:p>
        </w:tc>
        <w:tc>
          <w:tcPr>
            <w:tcW w:w="14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10.34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15.88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162.83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15.7</w:t>
            </w: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t>2c</w:t>
            </w:r>
          </w:p>
        </w:tc>
        <w:tc>
          <w:tcPr>
            <w:tcW w:w="11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4-Cl</w:t>
            </w:r>
          </w:p>
        </w:tc>
        <w:tc>
          <w:tcPr>
            <w:tcW w:w="14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6.01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11.75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90.38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15.1</w:t>
            </w: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t>5a</w:t>
            </w:r>
          </w:p>
        </w:tc>
        <w:tc>
          <w:tcPr>
            <w:tcW w:w="11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4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2.63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24.21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230.79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9.6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91.2</w:t>
            </w: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t>5b</w:t>
            </w:r>
          </w:p>
        </w:tc>
        <w:tc>
          <w:tcPr>
            <w:tcW w:w="11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4-Me</w:t>
            </w:r>
          </w:p>
        </w:tc>
        <w:tc>
          <w:tcPr>
            <w:tcW w:w="14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0.81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10.00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160.44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12.5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200.0</w:t>
            </w: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t>5c</w:t>
            </w:r>
          </w:p>
        </w:tc>
        <w:tc>
          <w:tcPr>
            <w:tcW w:w="11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4-Cl</w:t>
            </w:r>
          </w:p>
        </w:tc>
        <w:tc>
          <w:tcPr>
            <w:tcW w:w="14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1.39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2.40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71.21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1.7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51.1</w:t>
            </w: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lastRenderedPageBreak/>
              <w:t>Chloroquine</w:t>
            </w:r>
          </w:p>
        </w:tc>
        <w:tc>
          <w:tcPr>
            <w:tcW w:w="11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0.03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0.36</w:t>
            </w: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22443" w:rsidRPr="002854C1" w:rsidTr="008E3296">
        <w:trPr>
          <w:jc w:val="center"/>
        </w:trPr>
        <w:tc>
          <w:tcPr>
            <w:tcW w:w="1316" w:type="dxa"/>
          </w:tcPr>
          <w:p w:rsidR="00D32224" w:rsidRPr="002854C1" w:rsidRDefault="00D32224" w:rsidP="00342F2D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 w:rsidRPr="002854C1">
              <w:rPr>
                <w:b/>
                <w:sz w:val="18"/>
                <w:szCs w:val="18"/>
                <w:lang w:val="en-US"/>
              </w:rPr>
              <w:t>Emetine</w:t>
            </w:r>
          </w:p>
        </w:tc>
        <w:tc>
          <w:tcPr>
            <w:tcW w:w="11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4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5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854C1">
              <w:rPr>
                <w:sz w:val="18"/>
                <w:szCs w:val="18"/>
                <w:lang w:val="en-US"/>
              </w:rPr>
              <w:t>0.33</w:t>
            </w: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</w:tcPr>
          <w:p w:rsidR="00D32224" w:rsidRPr="002854C1" w:rsidRDefault="00D32224" w:rsidP="00342F2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D32224" w:rsidRPr="002854C1" w:rsidRDefault="00D32224" w:rsidP="00342F2D">
      <w:pPr>
        <w:spacing w:after="0"/>
        <w:rPr>
          <w:sz w:val="18"/>
          <w:szCs w:val="18"/>
          <w:lang w:val="en-US"/>
        </w:rPr>
      </w:pPr>
      <w:r w:rsidRPr="002854C1">
        <w:rPr>
          <w:sz w:val="18"/>
          <w:szCs w:val="18"/>
          <w:lang w:val="en-US"/>
        </w:rPr>
        <w:t>ND = not determined</w:t>
      </w:r>
      <w:r w:rsidR="008E3296">
        <w:rPr>
          <w:sz w:val="18"/>
          <w:szCs w:val="18"/>
          <w:lang w:val="en-US"/>
        </w:rPr>
        <w:t xml:space="preserve">; </w:t>
      </w:r>
      <w:r w:rsidR="00E23C77" w:rsidRPr="002854C1">
        <w:rPr>
          <w:sz w:val="18"/>
          <w:szCs w:val="18"/>
          <w:vertAlign w:val="superscript"/>
          <w:lang w:val="en-US"/>
        </w:rPr>
        <w:t>a</w:t>
      </w:r>
      <w:r w:rsidRPr="002854C1">
        <w:rPr>
          <w:sz w:val="18"/>
          <w:szCs w:val="18"/>
          <w:lang w:val="en-US"/>
        </w:rPr>
        <w:t xml:space="preserve"> RI (Resistance Index) = IC</w:t>
      </w:r>
      <w:r w:rsidRPr="002854C1">
        <w:rPr>
          <w:sz w:val="18"/>
          <w:szCs w:val="18"/>
          <w:vertAlign w:val="subscript"/>
          <w:lang w:val="en-US"/>
        </w:rPr>
        <w:t>50</w:t>
      </w:r>
      <w:r w:rsidRPr="002854C1">
        <w:rPr>
          <w:sz w:val="18"/>
          <w:szCs w:val="18"/>
          <w:lang w:val="en-US"/>
        </w:rPr>
        <w:t xml:space="preserve"> (Dd2)/IC</w:t>
      </w:r>
      <w:r w:rsidRPr="002854C1">
        <w:rPr>
          <w:sz w:val="18"/>
          <w:szCs w:val="18"/>
          <w:vertAlign w:val="subscript"/>
          <w:lang w:val="en-US"/>
        </w:rPr>
        <w:t>50</w:t>
      </w:r>
      <w:r w:rsidRPr="002854C1">
        <w:rPr>
          <w:sz w:val="18"/>
          <w:szCs w:val="18"/>
          <w:lang w:val="en-US"/>
        </w:rPr>
        <w:t xml:space="preserve"> (D10)</w:t>
      </w:r>
      <w:r w:rsidR="008E3296">
        <w:rPr>
          <w:sz w:val="18"/>
          <w:szCs w:val="18"/>
          <w:lang w:val="en-US"/>
        </w:rPr>
        <w:t xml:space="preserve">; </w:t>
      </w:r>
      <w:r w:rsidRPr="002854C1">
        <w:rPr>
          <w:sz w:val="18"/>
          <w:szCs w:val="18"/>
          <w:vertAlign w:val="superscript"/>
          <w:lang w:val="en-US"/>
        </w:rPr>
        <w:t>b</w:t>
      </w:r>
      <w:r w:rsidR="00E23C77" w:rsidRPr="002854C1">
        <w:rPr>
          <w:sz w:val="18"/>
          <w:szCs w:val="18"/>
          <w:lang w:val="en-US"/>
        </w:rPr>
        <w:t xml:space="preserve"> </w:t>
      </w:r>
      <w:r w:rsidRPr="002854C1">
        <w:rPr>
          <w:sz w:val="18"/>
          <w:szCs w:val="18"/>
          <w:lang w:val="en-US"/>
        </w:rPr>
        <w:t>SI (Selectivity Index) = IC</w:t>
      </w:r>
      <w:r w:rsidRPr="002854C1">
        <w:rPr>
          <w:sz w:val="18"/>
          <w:szCs w:val="18"/>
          <w:vertAlign w:val="subscript"/>
          <w:lang w:val="en-US"/>
        </w:rPr>
        <w:t>50</w:t>
      </w:r>
      <w:r w:rsidRPr="002854C1">
        <w:rPr>
          <w:sz w:val="18"/>
          <w:szCs w:val="18"/>
          <w:lang w:val="en-US"/>
        </w:rPr>
        <w:t xml:space="preserve"> (</w:t>
      </w:r>
      <w:r w:rsidR="008E5EEF" w:rsidRPr="002854C1">
        <w:rPr>
          <w:sz w:val="18"/>
          <w:szCs w:val="18"/>
          <w:lang w:val="en-US"/>
        </w:rPr>
        <w:t>CHO</w:t>
      </w:r>
      <w:r w:rsidRPr="002854C1">
        <w:rPr>
          <w:sz w:val="18"/>
          <w:szCs w:val="18"/>
          <w:lang w:val="en-US"/>
        </w:rPr>
        <w:t>)/IC</w:t>
      </w:r>
      <w:r w:rsidRPr="002854C1">
        <w:rPr>
          <w:sz w:val="18"/>
          <w:szCs w:val="18"/>
          <w:vertAlign w:val="subscript"/>
          <w:lang w:val="en-US"/>
        </w:rPr>
        <w:t>50</w:t>
      </w:r>
      <w:r w:rsidRPr="002854C1">
        <w:rPr>
          <w:sz w:val="18"/>
          <w:szCs w:val="18"/>
          <w:lang w:val="en-US"/>
        </w:rPr>
        <w:t xml:space="preserve"> (D10)</w:t>
      </w:r>
    </w:p>
    <w:p w:rsidR="00AF3EB9" w:rsidRPr="002854C1" w:rsidRDefault="00AF3EB9" w:rsidP="00342F2D">
      <w:pPr>
        <w:spacing w:after="0"/>
        <w:rPr>
          <w:lang w:val="en-US"/>
        </w:rPr>
      </w:pPr>
    </w:p>
    <w:p w:rsidR="002D536A" w:rsidRPr="002854C1" w:rsidRDefault="009D418C" w:rsidP="00342F2D">
      <w:pPr>
        <w:spacing w:after="0"/>
        <w:rPr>
          <w:lang w:val="en-US"/>
        </w:rPr>
      </w:pPr>
      <w:r w:rsidRPr="002854C1">
        <w:rPr>
          <w:lang w:val="en-US"/>
        </w:rPr>
        <w:t>The results of the biological evaluation</w:t>
      </w:r>
      <w:r w:rsidR="000F7AE5">
        <w:rPr>
          <w:lang w:val="en-US"/>
        </w:rPr>
        <w:t>, expressed as D10 IC</w:t>
      </w:r>
      <w:r w:rsidR="000F7AE5">
        <w:rPr>
          <w:vertAlign w:val="subscript"/>
          <w:lang w:val="en-US"/>
        </w:rPr>
        <w:t>50</w:t>
      </w:r>
      <w:r w:rsidR="000F7AE5">
        <w:rPr>
          <w:lang w:val="en-US"/>
        </w:rPr>
        <w:t>, Dd2 IC</w:t>
      </w:r>
      <w:r w:rsidR="000F7AE5">
        <w:rPr>
          <w:vertAlign w:val="subscript"/>
          <w:lang w:val="en-US"/>
        </w:rPr>
        <w:t>50</w:t>
      </w:r>
      <w:r w:rsidR="000F7AE5">
        <w:rPr>
          <w:lang w:val="en-US"/>
        </w:rPr>
        <w:t>, CHO IC</w:t>
      </w:r>
      <w:r w:rsidR="000F7AE5">
        <w:rPr>
          <w:vertAlign w:val="subscript"/>
          <w:lang w:val="en-US"/>
        </w:rPr>
        <w:t>50</w:t>
      </w:r>
      <w:r w:rsidR="000F7AE5">
        <w:rPr>
          <w:lang w:val="en-US"/>
        </w:rPr>
        <w:t>, RI and SI,</w:t>
      </w:r>
      <w:r w:rsidRPr="002854C1">
        <w:rPr>
          <w:lang w:val="en-US"/>
        </w:rPr>
        <w:t xml:space="preserve"> are summarized in Table 1. </w:t>
      </w:r>
      <w:r w:rsidR="002D536A" w:rsidRPr="002854C1">
        <w:rPr>
          <w:lang w:val="en-US"/>
        </w:rPr>
        <w:t xml:space="preserve">From these data, it is clear that </w:t>
      </w:r>
      <w:r w:rsidR="002D536A" w:rsidRPr="002854C1">
        <w:rPr>
          <w:i/>
          <w:color w:val="000000"/>
          <w:lang w:val="en-US"/>
        </w:rPr>
        <w:t>endo</w:t>
      </w:r>
      <w:r w:rsidR="002D536A" w:rsidRPr="002854C1">
        <w:rPr>
          <w:color w:val="000000"/>
          <w:lang w:val="en-US"/>
        </w:rPr>
        <w:t>-</w:t>
      </w:r>
      <w:r w:rsidR="002D536A" w:rsidRPr="002854C1">
        <w:rPr>
          <w:lang w:val="en-US"/>
        </w:rPr>
        <w:t xml:space="preserve">2-aminomethyl-4-phenyl-1-azabicyclo[2.2.1]heptanes </w:t>
      </w:r>
      <w:r w:rsidR="002D536A" w:rsidRPr="002854C1">
        <w:rPr>
          <w:b/>
          <w:lang w:val="en-US"/>
        </w:rPr>
        <w:t>2</w:t>
      </w:r>
      <w:r w:rsidR="002D536A" w:rsidRPr="002854C1">
        <w:rPr>
          <w:lang w:val="en-US"/>
        </w:rPr>
        <w:t xml:space="preserve"> display less pronounced </w:t>
      </w:r>
      <w:r w:rsidR="000F7AE5">
        <w:rPr>
          <w:lang w:val="en-US"/>
        </w:rPr>
        <w:t>bio</w:t>
      </w:r>
      <w:r w:rsidR="002D536A" w:rsidRPr="002854C1">
        <w:rPr>
          <w:lang w:val="en-US"/>
        </w:rPr>
        <w:t xml:space="preserve">activities as compared to their </w:t>
      </w:r>
      <w:r w:rsidR="002D536A" w:rsidRPr="002854C1">
        <w:rPr>
          <w:i/>
          <w:color w:val="000000"/>
          <w:lang w:val="en-US"/>
        </w:rPr>
        <w:t>exo</w:t>
      </w:r>
      <w:r w:rsidR="002D536A" w:rsidRPr="002854C1">
        <w:rPr>
          <w:color w:val="000000"/>
          <w:lang w:val="en-US"/>
        </w:rPr>
        <w:t>-</w:t>
      </w:r>
      <w:r w:rsidR="002D536A" w:rsidRPr="002854C1">
        <w:rPr>
          <w:lang w:val="en-US"/>
        </w:rPr>
        <w:t xml:space="preserve">counterparts </w:t>
      </w:r>
      <w:r w:rsidR="002D536A" w:rsidRPr="002854C1">
        <w:rPr>
          <w:b/>
          <w:lang w:val="en-US"/>
        </w:rPr>
        <w:t>5</w:t>
      </w:r>
      <w:r w:rsidR="002D536A" w:rsidRPr="002854C1">
        <w:rPr>
          <w:lang w:val="en-US"/>
        </w:rPr>
        <w:t>. e</w:t>
      </w:r>
      <w:r w:rsidR="002D536A" w:rsidRPr="002854C1">
        <w:rPr>
          <w:i/>
          <w:color w:val="000000"/>
          <w:lang w:val="en-US"/>
        </w:rPr>
        <w:t>xo</w:t>
      </w:r>
      <w:r w:rsidR="002D536A" w:rsidRPr="002854C1">
        <w:rPr>
          <w:color w:val="000000"/>
          <w:lang w:val="en-US"/>
        </w:rPr>
        <w:t>-</w:t>
      </w:r>
      <w:r w:rsidR="002D536A" w:rsidRPr="002854C1">
        <w:rPr>
          <w:lang w:val="en-US"/>
        </w:rPr>
        <w:t>2-Aminomethyl-4-phenyl-1-azabicyclo[2.2.1]</w:t>
      </w:r>
      <w:r w:rsidR="00F71606" w:rsidRPr="002854C1">
        <w:rPr>
          <w:lang w:val="en-US"/>
        </w:rPr>
        <w:t>heptane</w:t>
      </w:r>
      <w:r w:rsidR="002D536A" w:rsidRPr="002854C1">
        <w:rPr>
          <w:lang w:val="en-US"/>
        </w:rPr>
        <w:t xml:space="preserve"> </w:t>
      </w:r>
      <w:r w:rsidR="002D536A" w:rsidRPr="002854C1">
        <w:rPr>
          <w:b/>
          <w:lang w:val="en-US"/>
        </w:rPr>
        <w:t>5b</w:t>
      </w:r>
      <w:r w:rsidR="002D536A" w:rsidRPr="002854C1">
        <w:rPr>
          <w:lang w:val="en-US"/>
        </w:rPr>
        <w:t xml:space="preserve"> appeared to be the most active compound against the chloroquine-</w:t>
      </w:r>
      <w:r w:rsidR="00F71606" w:rsidRPr="002854C1">
        <w:rPr>
          <w:lang w:val="en-US"/>
        </w:rPr>
        <w:t>sensitive</w:t>
      </w:r>
      <w:r w:rsidR="002D536A" w:rsidRPr="002854C1">
        <w:rPr>
          <w:lang w:val="en-US"/>
        </w:rPr>
        <w:t xml:space="preserve"> strain of </w:t>
      </w:r>
      <w:r w:rsidR="002D536A" w:rsidRPr="002854C1">
        <w:rPr>
          <w:i/>
          <w:lang w:val="en-US"/>
        </w:rPr>
        <w:t>P. falciparum</w:t>
      </w:r>
      <w:r w:rsidR="002D536A" w:rsidRPr="002854C1">
        <w:rPr>
          <w:lang w:val="en-US"/>
        </w:rPr>
        <w:t xml:space="preserve"> D10 with an IC</w:t>
      </w:r>
      <w:r w:rsidR="002D536A" w:rsidRPr="002854C1">
        <w:rPr>
          <w:vertAlign w:val="subscript"/>
          <w:lang w:val="en-US"/>
        </w:rPr>
        <w:t>50</w:t>
      </w:r>
      <w:r w:rsidR="002D536A" w:rsidRPr="002854C1">
        <w:rPr>
          <w:lang w:val="en-US"/>
        </w:rPr>
        <w:t>-value of 810 nM</w:t>
      </w:r>
      <w:r w:rsidR="008E3296">
        <w:rPr>
          <w:lang w:val="en-US"/>
        </w:rPr>
        <w:t>,</w:t>
      </w:r>
      <w:r w:rsidR="002D536A" w:rsidRPr="002854C1">
        <w:rPr>
          <w:lang w:val="en-US"/>
        </w:rPr>
        <w:t xml:space="preserve"> and showed no cytoxicity (SI = 200). However, this compound was </w:t>
      </w:r>
      <w:r w:rsidR="009C671B" w:rsidRPr="002854C1">
        <w:rPr>
          <w:lang w:val="en-US"/>
        </w:rPr>
        <w:t xml:space="preserve">found to be </w:t>
      </w:r>
      <w:r w:rsidR="002D536A" w:rsidRPr="002854C1">
        <w:rPr>
          <w:lang w:val="en-US"/>
        </w:rPr>
        <w:t>considerably less active against the chloroquine-</w:t>
      </w:r>
      <w:r w:rsidR="00F71606" w:rsidRPr="002854C1">
        <w:rPr>
          <w:lang w:val="en-US"/>
        </w:rPr>
        <w:t>resistant</w:t>
      </w:r>
      <w:r w:rsidR="002D536A" w:rsidRPr="002854C1">
        <w:rPr>
          <w:lang w:val="en-US"/>
        </w:rPr>
        <w:t xml:space="preserve"> strain of </w:t>
      </w:r>
      <w:r w:rsidR="002D536A" w:rsidRPr="002854C1">
        <w:rPr>
          <w:i/>
          <w:lang w:val="en-US"/>
        </w:rPr>
        <w:t>P. falciparum</w:t>
      </w:r>
      <w:r w:rsidR="00F71606" w:rsidRPr="002854C1">
        <w:rPr>
          <w:lang w:val="en-US"/>
        </w:rPr>
        <w:t xml:space="preserve"> Dd2</w:t>
      </w:r>
      <w:r w:rsidR="00E52D08">
        <w:rPr>
          <w:lang w:val="en-US"/>
        </w:rPr>
        <w:t xml:space="preserve">, with an </w:t>
      </w:r>
      <w:r w:rsidR="00E52D08" w:rsidRPr="002854C1">
        <w:rPr>
          <w:lang w:val="en-US"/>
        </w:rPr>
        <w:t>IC</w:t>
      </w:r>
      <w:r w:rsidR="00E52D08" w:rsidRPr="002854C1">
        <w:rPr>
          <w:vertAlign w:val="subscript"/>
          <w:lang w:val="en-US"/>
        </w:rPr>
        <w:t>50</w:t>
      </w:r>
      <w:r w:rsidR="00E52D08" w:rsidRPr="002854C1">
        <w:rPr>
          <w:lang w:val="en-US"/>
        </w:rPr>
        <w:t>-value of</w:t>
      </w:r>
      <w:r w:rsidR="00E52D08">
        <w:rPr>
          <w:lang w:val="en-US"/>
        </w:rPr>
        <w:t xml:space="preserve"> 10 µM</w:t>
      </w:r>
      <w:r w:rsidR="002D536A" w:rsidRPr="002854C1">
        <w:rPr>
          <w:lang w:val="en-US"/>
        </w:rPr>
        <w:t xml:space="preserve">. Also compound </w:t>
      </w:r>
      <w:r w:rsidR="002D536A" w:rsidRPr="002854C1">
        <w:rPr>
          <w:b/>
          <w:lang w:val="en-US"/>
        </w:rPr>
        <w:t>5a</w:t>
      </w:r>
      <w:r w:rsidR="002D536A" w:rsidRPr="002854C1">
        <w:rPr>
          <w:lang w:val="en-US"/>
        </w:rPr>
        <w:t xml:space="preserve"> </w:t>
      </w:r>
      <w:r w:rsidR="00E52D08">
        <w:rPr>
          <w:lang w:val="en-US"/>
        </w:rPr>
        <w:t>showed</w:t>
      </w:r>
      <w:r w:rsidR="00F71606" w:rsidRPr="002854C1">
        <w:rPr>
          <w:lang w:val="en-US"/>
        </w:rPr>
        <w:t xml:space="preserve"> to be </w:t>
      </w:r>
      <w:r>
        <w:rPr>
          <w:lang w:val="en-US"/>
        </w:rPr>
        <w:t xml:space="preserve">several times </w:t>
      </w:r>
      <w:r w:rsidR="00F71606" w:rsidRPr="002854C1">
        <w:rPr>
          <w:lang w:val="en-US"/>
        </w:rPr>
        <w:t xml:space="preserve">less active against </w:t>
      </w:r>
      <w:r w:rsidR="00E52D08">
        <w:rPr>
          <w:lang w:val="en-US"/>
        </w:rPr>
        <w:t xml:space="preserve">strain </w:t>
      </w:r>
      <w:r w:rsidR="00F71606" w:rsidRPr="002854C1">
        <w:rPr>
          <w:lang w:val="en-US"/>
        </w:rPr>
        <w:t xml:space="preserve">Dd2 as compared to </w:t>
      </w:r>
      <w:r w:rsidR="00E52D08">
        <w:rPr>
          <w:lang w:val="en-US"/>
        </w:rPr>
        <w:t xml:space="preserve">strain </w:t>
      </w:r>
      <w:r w:rsidR="00F71606" w:rsidRPr="002854C1">
        <w:rPr>
          <w:lang w:val="en-US"/>
        </w:rPr>
        <w:t xml:space="preserve">D10. </w:t>
      </w:r>
      <w:r>
        <w:rPr>
          <w:lang w:val="en-US"/>
        </w:rPr>
        <w:t>On the other hand, t</w:t>
      </w:r>
      <w:r w:rsidR="00F71606" w:rsidRPr="002854C1">
        <w:rPr>
          <w:lang w:val="en-US"/>
        </w:rPr>
        <w:t>he chloro-substituted e</w:t>
      </w:r>
      <w:r w:rsidR="00F71606" w:rsidRPr="002854C1">
        <w:rPr>
          <w:i/>
          <w:color w:val="000000"/>
          <w:lang w:val="en-US"/>
        </w:rPr>
        <w:t>xo</w:t>
      </w:r>
      <w:r w:rsidR="00F71606" w:rsidRPr="002854C1">
        <w:rPr>
          <w:color w:val="000000"/>
          <w:lang w:val="en-US"/>
        </w:rPr>
        <w:t>-</w:t>
      </w:r>
      <w:r w:rsidR="00F71606" w:rsidRPr="002854C1">
        <w:rPr>
          <w:lang w:val="en-US"/>
        </w:rPr>
        <w:t xml:space="preserve">2-aminomethyl-4-phenyl-1-azabicyclo[2.2.1]heptane </w:t>
      </w:r>
      <w:r w:rsidR="00F71606" w:rsidRPr="002854C1">
        <w:rPr>
          <w:b/>
          <w:lang w:val="en-US"/>
        </w:rPr>
        <w:t>5c</w:t>
      </w:r>
      <w:r w:rsidR="00F71606" w:rsidRPr="002854C1">
        <w:rPr>
          <w:lang w:val="en-US"/>
        </w:rPr>
        <w:t xml:space="preserve"> was considered to</w:t>
      </w:r>
      <w:r w:rsidR="008E3296">
        <w:rPr>
          <w:lang w:val="en-US"/>
        </w:rPr>
        <w:t xml:space="preserve"> be </w:t>
      </w:r>
      <w:r>
        <w:rPr>
          <w:lang w:val="en-US"/>
        </w:rPr>
        <w:t>a</w:t>
      </w:r>
      <w:r w:rsidR="008E3296">
        <w:rPr>
          <w:lang w:val="en-US"/>
        </w:rPr>
        <w:t xml:space="preserve"> promising </w:t>
      </w:r>
      <w:r>
        <w:rPr>
          <w:lang w:val="en-US"/>
        </w:rPr>
        <w:t>compound,</w:t>
      </w:r>
      <w:r w:rsidR="00F71606" w:rsidRPr="002854C1">
        <w:rPr>
          <w:lang w:val="en-US"/>
        </w:rPr>
        <w:t xml:space="preserve"> as it exhibited </w:t>
      </w:r>
      <w:r w:rsidR="008E3296">
        <w:rPr>
          <w:lang w:val="en-US"/>
        </w:rPr>
        <w:t xml:space="preserve">a </w:t>
      </w:r>
      <w:r w:rsidR="00F71606" w:rsidRPr="002854C1">
        <w:rPr>
          <w:lang w:val="en-US"/>
        </w:rPr>
        <w:t>good activity against both the chloroquine-sensitive and the chloroquine-resistant strain with IC</w:t>
      </w:r>
      <w:r w:rsidR="00F71606" w:rsidRPr="002854C1">
        <w:rPr>
          <w:vertAlign w:val="subscript"/>
          <w:lang w:val="en-US"/>
        </w:rPr>
        <w:t>50</w:t>
      </w:r>
      <w:r w:rsidR="00F71606" w:rsidRPr="002854C1">
        <w:rPr>
          <w:lang w:val="en-US"/>
        </w:rPr>
        <w:t xml:space="preserve">-values of 1.39 and 2.40 µM, respectively, </w:t>
      </w:r>
      <w:r>
        <w:rPr>
          <w:lang w:val="en-US"/>
        </w:rPr>
        <w:t>and</w:t>
      </w:r>
      <w:r w:rsidR="009C671B" w:rsidRPr="002854C1">
        <w:rPr>
          <w:lang w:val="en-US"/>
        </w:rPr>
        <w:t xml:space="preserve"> </w:t>
      </w:r>
      <w:r w:rsidR="00F71606" w:rsidRPr="002854C1">
        <w:rPr>
          <w:lang w:val="en-US"/>
        </w:rPr>
        <w:t>a good selectivity index of 51.1.</w:t>
      </w:r>
    </w:p>
    <w:p w:rsidR="002D536A" w:rsidRPr="002854C1" w:rsidRDefault="002D536A" w:rsidP="00342F2D">
      <w:pPr>
        <w:spacing w:after="0"/>
        <w:rPr>
          <w:lang w:val="en-US"/>
        </w:rPr>
      </w:pPr>
    </w:p>
    <w:p w:rsidR="00B17987" w:rsidRDefault="00A31107" w:rsidP="00732FDC">
      <w:pPr>
        <w:rPr>
          <w:lang w:val="en-US"/>
        </w:rPr>
      </w:pPr>
      <w:r w:rsidRPr="002854C1">
        <w:rPr>
          <w:lang w:val="en-US"/>
        </w:rPr>
        <w:t xml:space="preserve">In the </w:t>
      </w:r>
      <w:r w:rsidRPr="00195AD8">
        <w:rPr>
          <w:lang w:val="en-US"/>
        </w:rPr>
        <w:t xml:space="preserve">final part of this study, </w:t>
      </w:r>
      <w:r w:rsidR="00C8648A">
        <w:rPr>
          <w:lang w:val="en-US"/>
        </w:rPr>
        <w:t>a</w:t>
      </w:r>
      <w:r w:rsidRPr="00195AD8">
        <w:rPr>
          <w:lang w:val="en-US"/>
        </w:rPr>
        <w:t xml:space="preserve"> </w:t>
      </w:r>
      <w:r w:rsidR="009D418C">
        <w:rPr>
          <w:lang w:val="en-US"/>
        </w:rPr>
        <w:t>possible</w:t>
      </w:r>
      <w:r w:rsidRPr="00195AD8">
        <w:rPr>
          <w:lang w:val="en-US"/>
        </w:rPr>
        <w:t xml:space="preserve"> interaction of </w:t>
      </w:r>
      <w:r w:rsidRPr="00195AD8">
        <w:rPr>
          <w:i/>
          <w:color w:val="000000"/>
          <w:lang w:val="en-US"/>
        </w:rPr>
        <w:t>exo</w:t>
      </w:r>
      <w:r w:rsidRPr="00195AD8">
        <w:rPr>
          <w:color w:val="000000"/>
          <w:lang w:val="en-US"/>
        </w:rPr>
        <w:t>-</w:t>
      </w:r>
      <w:r w:rsidRPr="00195AD8">
        <w:rPr>
          <w:lang w:val="en-US"/>
        </w:rPr>
        <w:t xml:space="preserve">2-aminomethyl-4-phenyl-1-azabicyclo[2.2.1]heptanes </w:t>
      </w:r>
      <w:r w:rsidRPr="00195AD8">
        <w:rPr>
          <w:b/>
          <w:lang w:val="en-US"/>
        </w:rPr>
        <w:t>5</w:t>
      </w:r>
      <w:r w:rsidRPr="00195AD8">
        <w:rPr>
          <w:lang w:val="en-US"/>
        </w:rPr>
        <w:t xml:space="preserve"> with the enzyme plasmepsin II was investigated by means of ligand docking.</w:t>
      </w:r>
      <w:r w:rsidR="00D1455A" w:rsidRPr="00195AD8">
        <w:rPr>
          <w:lang w:val="en-US"/>
        </w:rPr>
        <w:t xml:space="preserve"> </w:t>
      </w:r>
      <w:r w:rsidR="00DD7802" w:rsidRPr="00195AD8">
        <w:rPr>
          <w:lang w:val="en-US"/>
        </w:rPr>
        <w:t xml:space="preserve">The most interesting compound </w:t>
      </w:r>
      <w:r w:rsidR="00DD7802" w:rsidRPr="00195AD8">
        <w:rPr>
          <w:b/>
          <w:lang w:val="en-US"/>
        </w:rPr>
        <w:t>5c</w:t>
      </w:r>
      <w:r w:rsidR="00DD7802" w:rsidRPr="00195AD8">
        <w:rPr>
          <w:lang w:val="en-US"/>
        </w:rPr>
        <w:t xml:space="preserve"> was selected to perform this analysis</w:t>
      </w:r>
      <w:r w:rsidR="00195AD8" w:rsidRPr="00195AD8">
        <w:rPr>
          <w:lang w:val="en-US"/>
        </w:rPr>
        <w:t xml:space="preserve">. </w:t>
      </w:r>
      <w:r w:rsidR="00321083">
        <w:rPr>
          <w:lang w:val="en-US"/>
        </w:rPr>
        <w:t>Because of</w:t>
      </w:r>
      <w:r w:rsidR="003A4EF6">
        <w:rPr>
          <w:lang w:val="en-US"/>
        </w:rPr>
        <w:t xml:space="preserve"> the acidic environment </w:t>
      </w:r>
      <w:r w:rsidR="00496C70">
        <w:rPr>
          <w:lang w:val="en-US"/>
        </w:rPr>
        <w:t>within</w:t>
      </w:r>
      <w:r w:rsidR="003A4EF6">
        <w:rPr>
          <w:lang w:val="en-US"/>
        </w:rPr>
        <w:t xml:space="preserve"> the food vacuo</w:t>
      </w:r>
      <w:r w:rsidR="00321083">
        <w:rPr>
          <w:lang w:val="en-US"/>
        </w:rPr>
        <w:t xml:space="preserve">le, resulting in the </w:t>
      </w:r>
      <w:r w:rsidR="00321083" w:rsidRPr="00321083">
        <w:rPr>
          <w:i/>
          <w:lang w:val="en-US"/>
        </w:rPr>
        <w:t>in situ</w:t>
      </w:r>
      <w:r w:rsidR="00321083">
        <w:rPr>
          <w:lang w:val="en-US"/>
        </w:rPr>
        <w:t xml:space="preserve"> formation of ammonium salts, the </w:t>
      </w:r>
      <w:r w:rsidR="00321083" w:rsidRPr="00321083">
        <w:rPr>
          <w:i/>
          <w:lang w:val="en-US"/>
        </w:rPr>
        <w:t>N</w:t>
      </w:r>
      <w:r w:rsidR="00321083">
        <w:rPr>
          <w:lang w:val="en-US"/>
        </w:rPr>
        <w:t xml:space="preserve">-protonated version of molecule </w:t>
      </w:r>
      <w:r w:rsidR="00321083" w:rsidRPr="00195AD8">
        <w:rPr>
          <w:b/>
          <w:lang w:val="en-US"/>
        </w:rPr>
        <w:t>5c</w:t>
      </w:r>
      <w:r w:rsidR="00321083">
        <w:rPr>
          <w:lang w:val="en-US"/>
        </w:rPr>
        <w:t xml:space="preserve"> was used</w:t>
      </w:r>
      <w:r w:rsidR="009148A4">
        <w:rPr>
          <w:lang w:val="en-US"/>
        </w:rPr>
        <w:t xml:space="preserve"> to represent the actual situation</w:t>
      </w:r>
      <w:r w:rsidR="00321083">
        <w:rPr>
          <w:lang w:val="en-US"/>
        </w:rPr>
        <w:t>.</w:t>
      </w:r>
      <w:r w:rsidR="003A4EF6">
        <w:rPr>
          <w:lang w:val="en-US"/>
        </w:rPr>
        <w:t xml:space="preserve"> </w:t>
      </w:r>
      <w:r w:rsidR="00195AD8" w:rsidRPr="00195AD8">
        <w:rPr>
          <w:lang w:val="en-US"/>
        </w:rPr>
        <w:t>This structure</w:t>
      </w:r>
      <w:r w:rsidR="00DD7802" w:rsidRPr="00195AD8">
        <w:rPr>
          <w:lang w:val="en-US"/>
        </w:rPr>
        <w:t xml:space="preserve"> </w:t>
      </w:r>
      <w:r w:rsidR="00195AD8" w:rsidRPr="00195AD8">
        <w:rPr>
          <w:lang w:val="en-US"/>
        </w:rPr>
        <w:t xml:space="preserve">showed the most optimal fit </w:t>
      </w:r>
      <w:r w:rsidR="00680C98" w:rsidRPr="00195AD8">
        <w:rPr>
          <w:lang w:val="en-US"/>
        </w:rPr>
        <w:t>in</w:t>
      </w:r>
      <w:r w:rsidR="00AD3C47" w:rsidRPr="00195AD8">
        <w:rPr>
          <w:lang w:val="en-US"/>
        </w:rPr>
        <w:t xml:space="preserve"> the active site </w:t>
      </w:r>
      <w:r w:rsidR="00DD7802" w:rsidRPr="00195AD8">
        <w:rPr>
          <w:lang w:val="en-US"/>
        </w:rPr>
        <w:t>with</w:t>
      </w:r>
      <w:r w:rsidR="00551C97" w:rsidRPr="00195AD8">
        <w:rPr>
          <w:lang w:val="en-US"/>
        </w:rPr>
        <w:t xml:space="preserve"> </w:t>
      </w:r>
      <w:r w:rsidR="00DD7802" w:rsidRPr="00195AD8">
        <w:rPr>
          <w:lang w:val="en-US"/>
        </w:rPr>
        <w:t xml:space="preserve">its phenyl and 4-chlorophenyl groups in subsite S1 and S2’, respectively </w:t>
      </w:r>
      <w:r w:rsidR="00551C97" w:rsidRPr="00195AD8">
        <w:rPr>
          <w:lang w:val="en-US"/>
        </w:rPr>
        <w:t>(Figure 1)</w:t>
      </w:r>
      <w:r w:rsidR="00974BE9" w:rsidRPr="00195AD8">
        <w:rPr>
          <w:lang w:val="en-US"/>
        </w:rPr>
        <w:t>.</w:t>
      </w:r>
      <w:r w:rsidR="00AD3C47" w:rsidRPr="00195AD8">
        <w:rPr>
          <w:lang w:val="en-US"/>
        </w:rPr>
        <w:t xml:space="preserve"> </w:t>
      </w:r>
      <w:r w:rsidR="00DD7802" w:rsidRPr="00195AD8">
        <w:rPr>
          <w:lang w:val="en-US"/>
        </w:rPr>
        <w:t>In that orientation,</w:t>
      </w:r>
      <w:r w:rsidR="0067091F" w:rsidRPr="00195AD8">
        <w:rPr>
          <w:lang w:val="en-US"/>
        </w:rPr>
        <w:t xml:space="preserve"> good overlap can also be observed with the binding of the known inhibitor rs370, as determined by crysta</w:t>
      </w:r>
      <w:r w:rsidR="00195AD8" w:rsidRPr="00195AD8">
        <w:rPr>
          <w:lang w:val="en-US"/>
        </w:rPr>
        <w:t>llographic analysis</w:t>
      </w:r>
      <w:r w:rsidR="0067091F" w:rsidRPr="00195AD8">
        <w:rPr>
          <w:lang w:val="en-US"/>
        </w:rPr>
        <w:t>.</w:t>
      </w:r>
      <w:r w:rsidR="00195AD8" w:rsidRPr="00195AD8">
        <w:rPr>
          <w:rStyle w:val="Eindnootmarkering"/>
          <w:lang w:val="en-US"/>
        </w:rPr>
        <w:endnoteReference w:id="24"/>
      </w:r>
      <w:r w:rsidR="0067091F" w:rsidRPr="00195AD8">
        <w:rPr>
          <w:lang w:val="en-US"/>
        </w:rPr>
        <w:t xml:space="preserve"> T</w:t>
      </w:r>
      <w:r w:rsidR="00DD7802" w:rsidRPr="00195AD8">
        <w:rPr>
          <w:lang w:val="en-US"/>
        </w:rPr>
        <w:t>he</w:t>
      </w:r>
      <w:r w:rsidR="00AD3C47" w:rsidRPr="00195AD8">
        <w:rPr>
          <w:lang w:val="en-US"/>
        </w:rPr>
        <w:t xml:space="preserve"> pipe</w:t>
      </w:r>
      <w:r w:rsidR="00974BE9" w:rsidRPr="00195AD8">
        <w:rPr>
          <w:lang w:val="en-US"/>
        </w:rPr>
        <w:t>ridine nitrogen</w:t>
      </w:r>
      <w:r w:rsidR="00195AD8" w:rsidRPr="00195AD8">
        <w:rPr>
          <w:lang w:val="en-US"/>
        </w:rPr>
        <w:t xml:space="preserve"> atom</w:t>
      </w:r>
      <w:r w:rsidR="00757C0B" w:rsidRPr="00195AD8">
        <w:rPr>
          <w:lang w:val="en-US"/>
        </w:rPr>
        <w:t xml:space="preserve"> of compound </w:t>
      </w:r>
      <w:r w:rsidR="00757C0B" w:rsidRPr="00195AD8">
        <w:rPr>
          <w:b/>
          <w:lang w:val="en-US"/>
        </w:rPr>
        <w:t>5c</w:t>
      </w:r>
      <w:r w:rsidR="00757C0B" w:rsidRPr="00195AD8">
        <w:rPr>
          <w:lang w:val="en-US"/>
        </w:rPr>
        <w:t xml:space="preserve"> </w:t>
      </w:r>
      <w:r w:rsidR="0067091F" w:rsidRPr="00195AD8">
        <w:rPr>
          <w:lang w:val="en-US"/>
        </w:rPr>
        <w:t xml:space="preserve">is </w:t>
      </w:r>
      <w:r w:rsidR="00974BE9" w:rsidRPr="00195AD8">
        <w:rPr>
          <w:lang w:val="en-US"/>
        </w:rPr>
        <w:t>point</w:t>
      </w:r>
      <w:r w:rsidR="0067091F" w:rsidRPr="00195AD8">
        <w:rPr>
          <w:lang w:val="en-US"/>
        </w:rPr>
        <w:t>ing</w:t>
      </w:r>
      <w:r w:rsidR="00680C98" w:rsidRPr="00195AD8">
        <w:rPr>
          <w:lang w:val="en-US"/>
        </w:rPr>
        <w:t xml:space="preserve"> toward</w:t>
      </w:r>
      <w:r w:rsidR="00AD3C47" w:rsidRPr="00195AD8">
        <w:rPr>
          <w:lang w:val="en-US"/>
        </w:rPr>
        <w:t xml:space="preserve"> the catalytic </w:t>
      </w:r>
      <w:r w:rsidR="00757C0B" w:rsidRPr="00195AD8">
        <w:rPr>
          <w:lang w:val="en-US"/>
        </w:rPr>
        <w:t>residues</w:t>
      </w:r>
      <w:r w:rsidR="00AD3C47" w:rsidRPr="00195AD8">
        <w:rPr>
          <w:lang w:val="en-US"/>
        </w:rPr>
        <w:t xml:space="preserve"> Asp34 and Asp214</w:t>
      </w:r>
      <w:r w:rsidR="00551C97" w:rsidRPr="00195AD8">
        <w:rPr>
          <w:lang w:val="en-US"/>
        </w:rPr>
        <w:t>,</w:t>
      </w:r>
      <w:r w:rsidR="00AD3C47" w:rsidRPr="00195AD8">
        <w:rPr>
          <w:lang w:val="en-US"/>
        </w:rPr>
        <w:t xml:space="preserve"> </w:t>
      </w:r>
      <w:r w:rsidR="00195AD8" w:rsidRPr="00195AD8">
        <w:rPr>
          <w:lang w:val="en-US"/>
        </w:rPr>
        <w:t>enabling</w:t>
      </w:r>
      <w:r w:rsidR="00974BE9" w:rsidRPr="00195AD8">
        <w:rPr>
          <w:lang w:val="en-US"/>
        </w:rPr>
        <w:t xml:space="preserve"> strong hydrogen bond</w:t>
      </w:r>
      <w:r w:rsidR="00195AD8" w:rsidRPr="00195AD8">
        <w:rPr>
          <w:lang w:val="en-US"/>
        </w:rPr>
        <w:t>s</w:t>
      </w:r>
      <w:r w:rsidR="00974BE9" w:rsidRPr="00195AD8">
        <w:rPr>
          <w:lang w:val="en-US"/>
        </w:rPr>
        <w:t xml:space="preserve"> with t</w:t>
      </w:r>
      <w:r w:rsidR="00195AD8" w:rsidRPr="00195AD8">
        <w:rPr>
          <w:lang w:val="en-US"/>
        </w:rPr>
        <w:t>hese residues</w:t>
      </w:r>
      <w:r w:rsidR="00974BE9" w:rsidRPr="00195AD8">
        <w:rPr>
          <w:lang w:val="en-US"/>
        </w:rPr>
        <w:t xml:space="preserve">. </w:t>
      </w:r>
      <w:r w:rsidR="00195AD8" w:rsidRPr="00195AD8">
        <w:rPr>
          <w:lang w:val="en-US"/>
        </w:rPr>
        <w:t xml:space="preserve">In addition, a hydrogen </w:t>
      </w:r>
      <w:r w:rsidR="00974BE9" w:rsidRPr="00195AD8">
        <w:rPr>
          <w:lang w:val="en-US"/>
        </w:rPr>
        <w:t xml:space="preserve">bond </w:t>
      </w:r>
      <w:r w:rsidR="004C4E20" w:rsidRPr="00195AD8">
        <w:rPr>
          <w:lang w:val="en-US"/>
        </w:rPr>
        <w:t>is</w:t>
      </w:r>
      <w:r w:rsidR="00974BE9" w:rsidRPr="00195AD8">
        <w:rPr>
          <w:lang w:val="en-US"/>
        </w:rPr>
        <w:t xml:space="preserve"> </w:t>
      </w:r>
      <w:r w:rsidR="007C1CF1" w:rsidRPr="00195AD8">
        <w:rPr>
          <w:lang w:val="en-US"/>
        </w:rPr>
        <w:t>observed between the backbone oxygen</w:t>
      </w:r>
      <w:r w:rsidR="00195AD8" w:rsidRPr="00195AD8">
        <w:rPr>
          <w:lang w:val="en-US"/>
        </w:rPr>
        <w:t xml:space="preserve"> atom</w:t>
      </w:r>
      <w:r w:rsidR="007C1CF1" w:rsidRPr="00195AD8">
        <w:rPr>
          <w:lang w:val="en-US"/>
        </w:rPr>
        <w:t xml:space="preserve"> of Gly36 and the secondary amine nitrogen</w:t>
      </w:r>
      <w:r w:rsidR="00195AD8" w:rsidRPr="00195AD8">
        <w:rPr>
          <w:lang w:val="en-US"/>
        </w:rPr>
        <w:t xml:space="preserve"> atom</w:t>
      </w:r>
      <w:r w:rsidR="00712AFD" w:rsidRPr="00195AD8">
        <w:rPr>
          <w:lang w:val="en-US"/>
        </w:rPr>
        <w:t xml:space="preserve"> of the ligand</w:t>
      </w:r>
      <w:r w:rsidR="007C1CF1" w:rsidRPr="00195AD8">
        <w:rPr>
          <w:lang w:val="en-US"/>
        </w:rPr>
        <w:t xml:space="preserve">. </w:t>
      </w:r>
      <w:r w:rsidR="009657FC" w:rsidRPr="00195AD8">
        <w:rPr>
          <w:lang w:val="en-US"/>
        </w:rPr>
        <w:t xml:space="preserve">The highly hydrophobic subsite S1 </w:t>
      </w:r>
      <w:r w:rsidR="00195AD8" w:rsidRPr="00195AD8">
        <w:rPr>
          <w:lang w:val="en-US"/>
        </w:rPr>
        <w:t xml:space="preserve">comprises </w:t>
      </w:r>
      <w:r w:rsidR="009657FC" w:rsidRPr="00195AD8">
        <w:rPr>
          <w:lang w:val="en-US"/>
        </w:rPr>
        <w:t>the si</w:t>
      </w:r>
      <w:r w:rsidR="00551C97" w:rsidRPr="00195AD8">
        <w:rPr>
          <w:lang w:val="en-US"/>
        </w:rPr>
        <w:t>d</w:t>
      </w:r>
      <w:r w:rsidR="009657FC" w:rsidRPr="00195AD8">
        <w:rPr>
          <w:lang w:val="en-US"/>
        </w:rPr>
        <w:t xml:space="preserve">e chains of </w:t>
      </w:r>
      <w:r w:rsidR="00551C97" w:rsidRPr="00195AD8">
        <w:rPr>
          <w:lang w:val="en-US"/>
        </w:rPr>
        <w:t xml:space="preserve">Ile32, </w:t>
      </w:r>
      <w:r w:rsidR="009657FC" w:rsidRPr="00195AD8">
        <w:rPr>
          <w:lang w:val="en-US"/>
        </w:rPr>
        <w:t>Tyr77, Phe11</w:t>
      </w:r>
      <w:r w:rsidR="009001CD" w:rsidRPr="00195AD8">
        <w:rPr>
          <w:lang w:val="en-US"/>
        </w:rPr>
        <w:t>1</w:t>
      </w:r>
      <w:r w:rsidR="00551C97" w:rsidRPr="00195AD8">
        <w:rPr>
          <w:lang w:val="en-US"/>
        </w:rPr>
        <w:t xml:space="preserve">, </w:t>
      </w:r>
      <w:r w:rsidR="009657FC" w:rsidRPr="00195AD8">
        <w:rPr>
          <w:lang w:val="en-US"/>
        </w:rPr>
        <w:t xml:space="preserve">Phe120 </w:t>
      </w:r>
      <w:r w:rsidR="000407CD" w:rsidRPr="00195AD8">
        <w:rPr>
          <w:lang w:val="en-US"/>
        </w:rPr>
        <w:t xml:space="preserve">and Ile123, </w:t>
      </w:r>
      <w:r w:rsidR="00551C97" w:rsidRPr="00195AD8">
        <w:rPr>
          <w:lang w:val="en-US"/>
        </w:rPr>
        <w:t xml:space="preserve">thus </w:t>
      </w:r>
      <w:r w:rsidR="000407CD" w:rsidRPr="00195AD8">
        <w:rPr>
          <w:lang w:val="en-US"/>
        </w:rPr>
        <w:t xml:space="preserve">providing an ideal environment </w:t>
      </w:r>
      <w:r w:rsidR="00195AD8" w:rsidRPr="00195AD8">
        <w:rPr>
          <w:lang w:val="en-US"/>
        </w:rPr>
        <w:lastRenderedPageBreak/>
        <w:t>to accommodate</w:t>
      </w:r>
      <w:r w:rsidR="000407CD" w:rsidRPr="00195AD8">
        <w:rPr>
          <w:lang w:val="en-US"/>
        </w:rPr>
        <w:t xml:space="preserve"> </w:t>
      </w:r>
      <w:r w:rsidR="00DD7802" w:rsidRPr="00195AD8">
        <w:rPr>
          <w:lang w:val="en-US"/>
        </w:rPr>
        <w:t>the phenyl ring</w:t>
      </w:r>
      <w:r w:rsidR="00A24E45">
        <w:rPr>
          <w:lang w:val="en-US"/>
        </w:rPr>
        <w:t xml:space="preserve"> of compound </w:t>
      </w:r>
      <w:r w:rsidR="00A24E45">
        <w:rPr>
          <w:b/>
          <w:lang w:val="en-US"/>
        </w:rPr>
        <w:t>5c</w:t>
      </w:r>
      <w:r w:rsidR="000407CD" w:rsidRPr="00195AD8">
        <w:rPr>
          <w:lang w:val="en-US"/>
        </w:rPr>
        <w:t xml:space="preserve">. </w:t>
      </w:r>
      <w:r w:rsidR="00DD7802" w:rsidRPr="00195AD8">
        <w:rPr>
          <w:lang w:val="en-US"/>
        </w:rPr>
        <w:t xml:space="preserve">In turn, the 4-chlorophenyl group is positioned in subsite S2’, where it interacts with the side chains of Ser37, Met75, Tyr77 and Leu131. </w:t>
      </w:r>
    </w:p>
    <w:p w:rsidR="00732FDC" w:rsidRDefault="00C50030" w:rsidP="00732FDC">
      <w:pPr>
        <w:keepNext/>
        <w:spacing w:after="0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3810</wp:posOffset>
                </wp:positionV>
                <wp:extent cx="278765" cy="21653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451" w:rsidRDefault="00F52451" w:rsidP="00F52451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2.3pt;margin-top:.3pt;width:21.95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mTtAIAALg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" filled="f" stroked="f">
                <v:textbox>
                  <w:txbxContent>
                    <w:p w:rsidR="00F52451" w:rsidRDefault="00F52451" w:rsidP="00F52451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278765" cy="21653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451" w:rsidRDefault="00F52451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.15pt;margin-top:.3pt;width:21.95pt;height:1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HNtg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" filled="f" stroked="f">
                <v:textbox>
                  <w:txbxContent>
                    <w:p w:rsidR="00F52451" w:rsidRDefault="00F52451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3B46B7">
        <w:rPr>
          <w:noProof/>
          <w:lang w:eastAsia="nl-BE"/>
        </w:rPr>
        <w:drawing>
          <wp:inline distT="0" distB="0" distL="0" distR="0">
            <wp:extent cx="2598420" cy="1955800"/>
            <wp:effectExtent l="0" t="0" r="0" b="6350"/>
            <wp:docPr id="3" name="Afbeelding 3" descr="figure1a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1ab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6B7">
        <w:rPr>
          <w:noProof/>
          <w:lang w:eastAsia="nl-BE"/>
        </w:rPr>
        <w:drawing>
          <wp:inline distT="0" distB="0" distL="0" distR="0">
            <wp:extent cx="2598420" cy="1955800"/>
            <wp:effectExtent l="0" t="0" r="0" b="6350"/>
            <wp:docPr id="4" name="Afbeelding 4" descr="figur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1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51" w:rsidRPr="00195AD8" w:rsidRDefault="00732FDC" w:rsidP="00195AD8">
      <w:pPr>
        <w:spacing w:after="0"/>
        <w:rPr>
          <w:b/>
          <w:sz w:val="20"/>
          <w:szCs w:val="20"/>
          <w:lang w:val="en-US"/>
        </w:rPr>
      </w:pPr>
      <w:bookmarkStart w:id="4" w:name="_Ref340232184"/>
      <w:r w:rsidRPr="00195AD8">
        <w:rPr>
          <w:b/>
          <w:sz w:val="20"/>
          <w:szCs w:val="20"/>
          <w:lang w:val="en-US"/>
        </w:rPr>
        <w:t xml:space="preserve">Figure </w:t>
      </w:r>
      <w:r w:rsidR="008E312F" w:rsidRPr="00195AD8">
        <w:rPr>
          <w:b/>
          <w:sz w:val="20"/>
          <w:szCs w:val="20"/>
          <w:lang w:val="en-US"/>
        </w:rPr>
        <w:fldChar w:fldCharType="begin"/>
      </w:r>
      <w:r w:rsidR="00DB58EC" w:rsidRPr="00195AD8">
        <w:rPr>
          <w:b/>
          <w:sz w:val="20"/>
          <w:szCs w:val="20"/>
          <w:lang w:val="en-US"/>
        </w:rPr>
        <w:instrText xml:space="preserve"> SEQ Figure \* ARABIC </w:instrText>
      </w:r>
      <w:r w:rsidR="008E312F" w:rsidRPr="00195AD8">
        <w:rPr>
          <w:b/>
          <w:sz w:val="20"/>
          <w:szCs w:val="20"/>
          <w:lang w:val="en-US"/>
        </w:rPr>
        <w:fldChar w:fldCharType="separate"/>
      </w:r>
      <w:r w:rsidR="00ED03ED">
        <w:rPr>
          <w:b/>
          <w:noProof/>
          <w:sz w:val="20"/>
          <w:szCs w:val="20"/>
          <w:lang w:val="en-US"/>
        </w:rPr>
        <w:t>1</w:t>
      </w:r>
      <w:r w:rsidR="008E312F" w:rsidRPr="00195AD8">
        <w:rPr>
          <w:b/>
          <w:sz w:val="20"/>
          <w:szCs w:val="20"/>
          <w:lang w:val="en-US"/>
        </w:rPr>
        <w:fldChar w:fldCharType="end"/>
      </w:r>
      <w:bookmarkEnd w:id="4"/>
      <w:r w:rsidR="009D418C">
        <w:rPr>
          <w:b/>
          <w:sz w:val="20"/>
          <w:szCs w:val="20"/>
          <w:lang w:val="en-US"/>
        </w:rPr>
        <w:t>.</w:t>
      </w:r>
      <w:r w:rsidRPr="00195AD8">
        <w:rPr>
          <w:b/>
          <w:sz w:val="20"/>
          <w:szCs w:val="20"/>
          <w:lang w:val="en-US"/>
        </w:rPr>
        <w:t xml:space="preserve"> </w:t>
      </w:r>
      <w:r w:rsidR="006F66BD" w:rsidRPr="006F66BD">
        <w:rPr>
          <w:b/>
          <w:sz w:val="20"/>
          <w:szCs w:val="20"/>
          <w:lang w:val="en-US"/>
        </w:rPr>
        <w:t>Docking of compound 5c (in blue) in t</w:t>
      </w:r>
      <w:r w:rsidR="006F66BD">
        <w:rPr>
          <w:b/>
          <w:sz w:val="20"/>
          <w:szCs w:val="20"/>
          <w:lang w:val="en-US"/>
        </w:rPr>
        <w:t>he active site of plasmepsin II:</w:t>
      </w:r>
      <w:r w:rsidR="006F66BD" w:rsidRPr="006F66BD">
        <w:rPr>
          <w:b/>
          <w:sz w:val="20"/>
          <w:szCs w:val="20"/>
          <w:lang w:val="en-US"/>
        </w:rPr>
        <w:t xml:space="preserve"> (a) stick representation of the most important residues, and (b) surface representation with designation of subsites.</w:t>
      </w:r>
    </w:p>
    <w:p w:rsidR="00B17987" w:rsidRDefault="00B17987" w:rsidP="00B17987">
      <w:pPr>
        <w:spacing w:after="0"/>
        <w:rPr>
          <w:lang w:val="en-US"/>
        </w:rPr>
      </w:pPr>
    </w:p>
    <w:p w:rsidR="00A31107" w:rsidRPr="00CF2661" w:rsidRDefault="00D1455A" w:rsidP="00342F2D">
      <w:pPr>
        <w:spacing w:after="0"/>
        <w:rPr>
          <w:lang w:val="en-US"/>
        </w:rPr>
      </w:pPr>
      <w:r w:rsidRPr="00CF2661">
        <w:rPr>
          <w:lang w:val="en-US"/>
        </w:rPr>
        <w:t>The strong binding capacity of e</w:t>
      </w:r>
      <w:r w:rsidRPr="00CF2661">
        <w:rPr>
          <w:i/>
          <w:color w:val="000000"/>
          <w:lang w:val="en-US"/>
        </w:rPr>
        <w:t>xo</w:t>
      </w:r>
      <w:r w:rsidRPr="00CF2661">
        <w:rPr>
          <w:color w:val="000000"/>
          <w:lang w:val="en-US"/>
        </w:rPr>
        <w:t>-</w:t>
      </w:r>
      <w:r w:rsidRPr="00CF2661">
        <w:rPr>
          <w:lang w:val="en-US"/>
        </w:rPr>
        <w:t xml:space="preserve">2-aminomethyl-4-phenyl-1-azabicyclo[2.2.1]heptane </w:t>
      </w:r>
      <w:r w:rsidRPr="00CF2661">
        <w:rPr>
          <w:b/>
          <w:lang w:val="en-US"/>
        </w:rPr>
        <w:t>5c</w:t>
      </w:r>
      <w:r w:rsidRPr="00CF2661">
        <w:rPr>
          <w:lang w:val="en-US"/>
        </w:rPr>
        <w:t xml:space="preserve"> with </w:t>
      </w:r>
      <w:r w:rsidR="00C046A0">
        <w:rPr>
          <w:lang w:val="en-US"/>
        </w:rPr>
        <w:t xml:space="preserve">respect to </w:t>
      </w:r>
      <w:r w:rsidRPr="00CF2661">
        <w:rPr>
          <w:lang w:val="en-US"/>
        </w:rPr>
        <w:t>plasmepsin II corroborates the hypothesis that th</w:t>
      </w:r>
      <w:r w:rsidR="00A24E45">
        <w:rPr>
          <w:lang w:val="en-US"/>
        </w:rPr>
        <w:t>is new class of compounds could (</w:t>
      </w:r>
      <w:r w:rsidR="00577A33" w:rsidRPr="00CF2661">
        <w:rPr>
          <w:lang w:val="en-US"/>
        </w:rPr>
        <w:t>at least partially</w:t>
      </w:r>
      <w:r w:rsidR="00A24E45">
        <w:rPr>
          <w:lang w:val="en-US"/>
        </w:rPr>
        <w:t xml:space="preserve">) </w:t>
      </w:r>
      <w:r w:rsidRPr="00CF2661">
        <w:rPr>
          <w:lang w:val="en-US"/>
        </w:rPr>
        <w:t>act as n</w:t>
      </w:r>
      <w:r w:rsidR="00FF0319" w:rsidRPr="00CF2661">
        <w:rPr>
          <w:lang w:val="en-US"/>
        </w:rPr>
        <w:t>ovel plasmepsin II inhibitors</w:t>
      </w:r>
      <w:r w:rsidR="00C8648A">
        <w:rPr>
          <w:lang w:val="en-US"/>
        </w:rPr>
        <w:t>, although the observed antimalarial activity might be due to other mode of actions as well</w:t>
      </w:r>
      <w:r w:rsidR="00FF0319" w:rsidRPr="00CF2661">
        <w:rPr>
          <w:lang w:val="en-US"/>
        </w:rPr>
        <w:t>.</w:t>
      </w:r>
      <w:r w:rsidR="00CF2661" w:rsidRPr="00CF2661">
        <w:rPr>
          <w:lang w:val="en-US"/>
        </w:rPr>
        <w:t xml:space="preserve"> The findings described in this </w:t>
      </w:r>
      <w:r w:rsidR="00CF2661">
        <w:rPr>
          <w:lang w:val="en-US"/>
        </w:rPr>
        <w:t>Letter</w:t>
      </w:r>
      <w:r w:rsidR="00CF2661" w:rsidRPr="00CF2661">
        <w:rPr>
          <w:lang w:val="en-US"/>
        </w:rPr>
        <w:t xml:space="preserve"> thus provide a platform for more elaborate studies </w:t>
      </w:r>
      <w:r w:rsidR="00B55CFA">
        <w:rPr>
          <w:lang w:val="en-US"/>
        </w:rPr>
        <w:t>based on rational design and synthesis of more potent representatives of</w:t>
      </w:r>
      <w:r w:rsidR="00B55CFA" w:rsidRPr="00CF2661">
        <w:rPr>
          <w:lang w:val="en-US"/>
        </w:rPr>
        <w:t xml:space="preserve"> this new class of </w:t>
      </w:r>
      <w:r w:rsidR="00B55CFA">
        <w:rPr>
          <w:lang w:val="en-US"/>
        </w:rPr>
        <w:t xml:space="preserve">azaheterobicyclic systems, </w:t>
      </w:r>
      <w:r w:rsidR="00CF2661" w:rsidRPr="00CF2661">
        <w:rPr>
          <w:lang w:val="en-US"/>
        </w:rPr>
        <w:t xml:space="preserve">which, in combination with further optimization of drug-relevant molecular properties, should </w:t>
      </w:r>
      <w:r w:rsidR="00B55CFA">
        <w:rPr>
          <w:lang w:val="en-US"/>
        </w:rPr>
        <w:t>result in</w:t>
      </w:r>
      <w:r w:rsidR="00CF2661" w:rsidRPr="00CF2661">
        <w:rPr>
          <w:lang w:val="en-US"/>
        </w:rPr>
        <w:t xml:space="preserve"> promising new lead structures.</w:t>
      </w:r>
    </w:p>
    <w:p w:rsidR="002D536A" w:rsidRPr="002854C1" w:rsidRDefault="002D536A" w:rsidP="00342F2D">
      <w:pPr>
        <w:spacing w:after="0"/>
        <w:rPr>
          <w:lang w:val="en-US"/>
        </w:rPr>
      </w:pPr>
    </w:p>
    <w:p w:rsidR="007D4689" w:rsidRPr="002854C1" w:rsidRDefault="007D4689" w:rsidP="00342F2D">
      <w:pPr>
        <w:pStyle w:val="Bijschrift"/>
        <w:spacing w:after="0" w:line="360" w:lineRule="auto"/>
        <w:rPr>
          <w:b w:val="0"/>
          <w:sz w:val="22"/>
          <w:szCs w:val="22"/>
          <w:lang w:val="en-US"/>
        </w:rPr>
      </w:pPr>
      <w:r w:rsidRPr="002854C1">
        <w:rPr>
          <w:b w:val="0"/>
          <w:color w:val="000000"/>
          <w:sz w:val="22"/>
          <w:szCs w:val="22"/>
          <w:lang w:val="en-US"/>
        </w:rPr>
        <w:t xml:space="preserve">In conclusion, a straightforward </w:t>
      </w:r>
      <w:r w:rsidR="0010140D" w:rsidRPr="002854C1">
        <w:rPr>
          <w:b w:val="0"/>
          <w:color w:val="000000"/>
          <w:sz w:val="22"/>
          <w:szCs w:val="22"/>
          <w:lang w:val="en-US"/>
        </w:rPr>
        <w:t>and highly efficient</w:t>
      </w:r>
      <w:r w:rsidRPr="002854C1">
        <w:rPr>
          <w:b w:val="0"/>
          <w:color w:val="000000"/>
          <w:sz w:val="22"/>
          <w:szCs w:val="22"/>
          <w:lang w:val="en-US"/>
        </w:rPr>
        <w:t xml:space="preserve"> </w:t>
      </w:r>
      <w:r w:rsidR="009D418C">
        <w:rPr>
          <w:b w:val="0"/>
          <w:color w:val="000000"/>
          <w:sz w:val="22"/>
          <w:szCs w:val="22"/>
          <w:lang w:val="en-US"/>
        </w:rPr>
        <w:t xml:space="preserve">synthetic </w:t>
      </w:r>
      <w:r w:rsidRPr="002854C1">
        <w:rPr>
          <w:b w:val="0"/>
          <w:color w:val="000000"/>
          <w:sz w:val="22"/>
          <w:szCs w:val="22"/>
          <w:lang w:val="en-US"/>
        </w:rPr>
        <w:t>route</w:t>
      </w:r>
      <w:r w:rsidR="003323AA" w:rsidRPr="002854C1">
        <w:rPr>
          <w:b w:val="0"/>
          <w:color w:val="000000"/>
          <w:sz w:val="22"/>
          <w:szCs w:val="22"/>
          <w:lang w:val="en-US"/>
        </w:rPr>
        <w:t xml:space="preserve"> toward</w:t>
      </w:r>
      <w:r w:rsidRPr="002854C1">
        <w:rPr>
          <w:b w:val="0"/>
          <w:color w:val="000000"/>
          <w:sz w:val="22"/>
          <w:szCs w:val="22"/>
          <w:lang w:val="en-US"/>
        </w:rPr>
        <w:t xml:space="preserve"> </w:t>
      </w:r>
      <w:r w:rsidR="00A50329" w:rsidRPr="002854C1">
        <w:rPr>
          <w:b w:val="0"/>
          <w:i/>
          <w:color w:val="000000"/>
          <w:sz w:val="22"/>
          <w:szCs w:val="22"/>
          <w:lang w:val="en-US"/>
        </w:rPr>
        <w:t>endo</w:t>
      </w:r>
      <w:r w:rsidR="00A50329" w:rsidRPr="002854C1">
        <w:rPr>
          <w:b w:val="0"/>
          <w:color w:val="000000"/>
          <w:sz w:val="22"/>
          <w:szCs w:val="22"/>
          <w:lang w:val="en-US"/>
        </w:rPr>
        <w:t xml:space="preserve">- and </w:t>
      </w:r>
      <w:r w:rsidR="00A50329" w:rsidRPr="002854C1">
        <w:rPr>
          <w:b w:val="0"/>
          <w:i/>
          <w:color w:val="000000"/>
          <w:sz w:val="22"/>
          <w:szCs w:val="22"/>
          <w:lang w:val="en-US"/>
        </w:rPr>
        <w:t>exo</w:t>
      </w:r>
      <w:r w:rsidR="00A50329" w:rsidRPr="002854C1">
        <w:rPr>
          <w:b w:val="0"/>
          <w:color w:val="000000"/>
          <w:sz w:val="22"/>
          <w:szCs w:val="22"/>
          <w:lang w:val="en-US"/>
        </w:rPr>
        <w:t>-</w:t>
      </w:r>
      <w:r w:rsidR="00994D5F" w:rsidRPr="002854C1">
        <w:rPr>
          <w:b w:val="0"/>
          <w:sz w:val="22"/>
          <w:szCs w:val="22"/>
          <w:lang w:val="en-US"/>
        </w:rPr>
        <w:t>2-aminomethyl-4-phenyl-1-azabicyclo[2.2.1]heptanes</w:t>
      </w:r>
      <w:r w:rsidR="00994D5F" w:rsidRPr="002854C1">
        <w:rPr>
          <w:b w:val="0"/>
          <w:color w:val="000000"/>
          <w:sz w:val="22"/>
          <w:szCs w:val="22"/>
          <w:lang w:val="en-US"/>
        </w:rPr>
        <w:t xml:space="preserve"> </w:t>
      </w:r>
      <w:r w:rsidR="0077417B" w:rsidRPr="002854C1">
        <w:rPr>
          <w:b w:val="0"/>
          <w:color w:val="000000"/>
          <w:sz w:val="22"/>
          <w:szCs w:val="22"/>
          <w:lang w:val="en-US"/>
        </w:rPr>
        <w:t>is</w:t>
      </w:r>
      <w:r w:rsidRPr="002854C1">
        <w:rPr>
          <w:b w:val="0"/>
          <w:color w:val="000000"/>
          <w:sz w:val="22"/>
          <w:szCs w:val="22"/>
          <w:lang w:val="en-US"/>
        </w:rPr>
        <w:t xml:space="preserve"> presented</w:t>
      </w:r>
      <w:r w:rsidR="006465B6" w:rsidRPr="002854C1">
        <w:rPr>
          <w:b w:val="0"/>
          <w:color w:val="000000"/>
          <w:sz w:val="22"/>
          <w:szCs w:val="22"/>
          <w:lang w:val="en-US"/>
        </w:rPr>
        <w:t>,</w:t>
      </w:r>
      <w:r w:rsidRPr="002854C1">
        <w:rPr>
          <w:b w:val="0"/>
          <w:color w:val="000000"/>
          <w:sz w:val="22"/>
          <w:szCs w:val="22"/>
          <w:lang w:val="en-US"/>
        </w:rPr>
        <w:t xml:space="preserve"> </w:t>
      </w:r>
      <w:r w:rsidR="009D41EC" w:rsidRPr="002854C1">
        <w:rPr>
          <w:b w:val="0"/>
          <w:color w:val="000000"/>
          <w:sz w:val="22"/>
          <w:szCs w:val="22"/>
          <w:lang w:val="en-US"/>
        </w:rPr>
        <w:t>involving an unprecedented one-step LiAlH</w:t>
      </w:r>
      <w:r w:rsidR="009D41EC" w:rsidRPr="002854C1">
        <w:rPr>
          <w:b w:val="0"/>
          <w:color w:val="000000"/>
          <w:sz w:val="22"/>
          <w:szCs w:val="22"/>
          <w:vertAlign w:val="subscript"/>
          <w:lang w:val="en-US"/>
        </w:rPr>
        <w:t>4</w:t>
      </w:r>
      <w:r w:rsidR="009D41EC" w:rsidRPr="002854C1">
        <w:rPr>
          <w:b w:val="0"/>
          <w:color w:val="000000"/>
          <w:sz w:val="22"/>
          <w:szCs w:val="22"/>
          <w:lang w:val="en-US"/>
        </w:rPr>
        <w:t xml:space="preserve">-mediated transformation of </w:t>
      </w:r>
      <w:r w:rsidR="009D41EC" w:rsidRPr="002854C1">
        <w:rPr>
          <w:b w:val="0"/>
          <w:sz w:val="22"/>
          <w:szCs w:val="22"/>
          <w:lang w:val="en-US"/>
        </w:rPr>
        <w:t>2-(4-chloro-2-cyano-2-phenylbutyl)aziridines.</w:t>
      </w:r>
      <w:r w:rsidR="00575B62" w:rsidRPr="002854C1">
        <w:rPr>
          <w:b w:val="0"/>
          <w:sz w:val="22"/>
          <w:szCs w:val="22"/>
          <w:lang w:val="en-US"/>
        </w:rPr>
        <w:t xml:space="preserve"> </w:t>
      </w:r>
      <w:r w:rsidR="00577A33" w:rsidRPr="002854C1">
        <w:rPr>
          <w:b w:val="0"/>
          <w:sz w:val="22"/>
          <w:szCs w:val="22"/>
          <w:lang w:val="en-US"/>
        </w:rPr>
        <w:t xml:space="preserve">The good </w:t>
      </w:r>
      <w:r w:rsidR="00577A33" w:rsidRPr="00B55CFA">
        <w:rPr>
          <w:b w:val="0"/>
          <w:i/>
          <w:sz w:val="22"/>
          <w:szCs w:val="22"/>
          <w:lang w:val="en-US"/>
        </w:rPr>
        <w:t>in vitro</w:t>
      </w:r>
      <w:r w:rsidR="00577A33" w:rsidRPr="002854C1">
        <w:rPr>
          <w:b w:val="0"/>
          <w:sz w:val="22"/>
          <w:szCs w:val="22"/>
          <w:lang w:val="en-US"/>
        </w:rPr>
        <w:t xml:space="preserve"> activities of </w:t>
      </w:r>
      <w:r w:rsidR="00577A33" w:rsidRPr="00B55CFA">
        <w:rPr>
          <w:b w:val="0"/>
          <w:i/>
          <w:sz w:val="22"/>
          <w:szCs w:val="22"/>
          <w:lang w:val="en-US"/>
        </w:rPr>
        <w:t>exo</w:t>
      </w:r>
      <w:r w:rsidR="00577A33" w:rsidRPr="002854C1">
        <w:rPr>
          <w:b w:val="0"/>
          <w:sz w:val="22"/>
          <w:szCs w:val="22"/>
          <w:lang w:val="en-US"/>
        </w:rPr>
        <w:t xml:space="preserve">-2-aminomethyl-4-phenyl-1-azabicyclo[2.2.1]heptanes </w:t>
      </w:r>
      <w:r w:rsidR="00577A33" w:rsidRPr="002854C1">
        <w:rPr>
          <w:sz w:val="22"/>
          <w:szCs w:val="22"/>
          <w:lang w:val="en-US"/>
        </w:rPr>
        <w:t>5</w:t>
      </w:r>
      <w:r w:rsidR="00577A33" w:rsidRPr="002854C1">
        <w:rPr>
          <w:b w:val="0"/>
          <w:sz w:val="22"/>
          <w:szCs w:val="22"/>
          <w:lang w:val="en-US"/>
        </w:rPr>
        <w:t xml:space="preserve"> and their </w:t>
      </w:r>
      <w:r w:rsidR="00577A33" w:rsidRPr="00B55CFA">
        <w:rPr>
          <w:b w:val="0"/>
          <w:i/>
          <w:sz w:val="22"/>
          <w:szCs w:val="22"/>
          <w:lang w:val="en-US"/>
        </w:rPr>
        <w:t>in silico</w:t>
      </w:r>
      <w:r w:rsidR="00577A33" w:rsidRPr="002854C1">
        <w:rPr>
          <w:b w:val="0"/>
          <w:sz w:val="22"/>
          <w:szCs w:val="22"/>
          <w:lang w:val="en-US"/>
        </w:rPr>
        <w:t xml:space="preserve"> binding affinity with respect to plasmepsin II provide interesting opportunities for the design of new antimalarial agents in the fight against the emerging resistance.</w:t>
      </w:r>
    </w:p>
    <w:p w:rsidR="00B00793" w:rsidRPr="002854C1" w:rsidRDefault="00B00793" w:rsidP="00342F2D">
      <w:pPr>
        <w:pStyle w:val="Bijschrift"/>
        <w:spacing w:after="0" w:line="360" w:lineRule="auto"/>
        <w:rPr>
          <w:b w:val="0"/>
          <w:color w:val="000000"/>
          <w:sz w:val="22"/>
          <w:szCs w:val="22"/>
          <w:lang w:val="en-US"/>
        </w:rPr>
      </w:pPr>
    </w:p>
    <w:p w:rsidR="009E67A2" w:rsidRPr="004F3408" w:rsidRDefault="009E67A2" w:rsidP="00342F2D">
      <w:pPr>
        <w:pStyle w:val="Kop1"/>
        <w:spacing w:before="0"/>
        <w:rPr>
          <w:sz w:val="24"/>
          <w:szCs w:val="24"/>
          <w:lang w:val="en-US"/>
        </w:rPr>
      </w:pPr>
      <w:r w:rsidRPr="004F3408">
        <w:rPr>
          <w:sz w:val="24"/>
          <w:szCs w:val="24"/>
          <w:lang w:val="en-US"/>
        </w:rPr>
        <w:t>Acknowledgements</w:t>
      </w:r>
    </w:p>
    <w:p w:rsidR="009E67A2" w:rsidRPr="002854C1" w:rsidRDefault="009E67A2" w:rsidP="00342F2D">
      <w:pPr>
        <w:spacing w:after="0"/>
        <w:rPr>
          <w:lang w:val="en-US"/>
        </w:rPr>
      </w:pPr>
      <w:r w:rsidRPr="002854C1">
        <w:rPr>
          <w:lang w:val="en-US"/>
        </w:rPr>
        <w:t>The authors are indebted to the “</w:t>
      </w:r>
      <w:r w:rsidR="0046338C" w:rsidRPr="002854C1">
        <w:rPr>
          <w:lang w:val="en-US"/>
        </w:rPr>
        <w:t>Agency</w:t>
      </w:r>
      <w:r w:rsidRPr="002854C1">
        <w:rPr>
          <w:lang w:val="en-US"/>
        </w:rPr>
        <w:t xml:space="preserve"> for Innovation </w:t>
      </w:r>
      <w:r w:rsidR="0046338C" w:rsidRPr="002854C1">
        <w:rPr>
          <w:lang w:val="en-US"/>
        </w:rPr>
        <w:t>by</w:t>
      </w:r>
      <w:r w:rsidRPr="002854C1">
        <w:rPr>
          <w:lang w:val="en-US"/>
        </w:rPr>
        <w:t xml:space="preserve"> Science a</w:t>
      </w:r>
      <w:r w:rsidR="001017E4">
        <w:rPr>
          <w:lang w:val="en-US"/>
        </w:rPr>
        <w:t>nd Technology” (IWT</w:t>
      </w:r>
      <w:r w:rsidR="00605795">
        <w:rPr>
          <w:lang w:val="en-US"/>
        </w:rPr>
        <w:t>, Belgium</w:t>
      </w:r>
      <w:r w:rsidR="001017E4">
        <w:rPr>
          <w:lang w:val="en-US"/>
        </w:rPr>
        <w:t>)</w:t>
      </w:r>
      <w:r w:rsidRPr="002854C1">
        <w:rPr>
          <w:lang w:val="en-US"/>
        </w:rPr>
        <w:t xml:space="preserve"> </w:t>
      </w:r>
      <w:r w:rsidR="001017E4">
        <w:rPr>
          <w:lang w:val="en-US"/>
        </w:rPr>
        <w:t>and to Ghent University</w:t>
      </w:r>
      <w:r w:rsidRPr="002854C1">
        <w:rPr>
          <w:lang w:val="en-US"/>
        </w:rPr>
        <w:t xml:space="preserve"> for financial support.</w:t>
      </w:r>
    </w:p>
    <w:p w:rsidR="009D41EC" w:rsidRPr="002854C1" w:rsidRDefault="009D41EC" w:rsidP="00342F2D">
      <w:pPr>
        <w:pStyle w:val="Bijschrift"/>
        <w:spacing w:after="0" w:line="360" w:lineRule="auto"/>
        <w:rPr>
          <w:b w:val="0"/>
          <w:color w:val="000000"/>
          <w:sz w:val="22"/>
          <w:szCs w:val="22"/>
          <w:lang w:val="en-US"/>
        </w:rPr>
      </w:pPr>
    </w:p>
    <w:p w:rsidR="00C80F7B" w:rsidRPr="004F3408" w:rsidRDefault="009D41EC" w:rsidP="00342F2D">
      <w:pPr>
        <w:pStyle w:val="Eindnoottekst"/>
        <w:spacing w:line="360" w:lineRule="auto"/>
        <w:rPr>
          <w:b/>
          <w:sz w:val="24"/>
          <w:szCs w:val="24"/>
          <w:lang w:val="en-US"/>
        </w:rPr>
      </w:pPr>
      <w:r w:rsidRPr="004F3408">
        <w:rPr>
          <w:b/>
          <w:sz w:val="24"/>
          <w:szCs w:val="24"/>
          <w:lang w:val="en-US"/>
        </w:rPr>
        <w:t>References</w:t>
      </w:r>
    </w:p>
    <w:sectPr w:rsidR="00C80F7B" w:rsidRPr="004F3408" w:rsidSect="00BF5C85"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DE" w:rsidRDefault="00BF03DE" w:rsidP="00EE740C">
      <w:pPr>
        <w:spacing w:after="0" w:line="240" w:lineRule="auto"/>
      </w:pPr>
      <w:r>
        <w:separator/>
      </w:r>
    </w:p>
  </w:endnote>
  <w:endnote w:type="continuationSeparator" w:id="0">
    <w:p w:rsidR="00BF03DE" w:rsidRDefault="00BF03DE" w:rsidP="00EE740C">
      <w:pPr>
        <w:spacing w:after="0" w:line="240" w:lineRule="auto"/>
      </w:pPr>
      <w:r>
        <w:continuationSeparator/>
      </w:r>
    </w:p>
  </w:endnote>
  <w:endnote w:id="1">
    <w:p w:rsidR="00A10A43" w:rsidRPr="009D418C" w:rsidRDefault="00A10A43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WHO.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World Malaria Report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</w:t>
      </w:r>
      <w:r w:rsidRPr="009D418C">
        <w:rPr>
          <w:rFonts w:asciiTheme="minorHAnsi" w:hAnsiTheme="minorHAnsi" w:cs="Calibri"/>
          <w:b/>
          <w:noProof/>
          <w:sz w:val="22"/>
          <w:szCs w:val="22"/>
          <w:lang w:val="en-GB"/>
        </w:rPr>
        <w:t>2011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>.</w:t>
      </w:r>
    </w:p>
  </w:endnote>
  <w:endnote w:id="2">
    <w:p w:rsidR="00AA3E64" w:rsidRPr="009D418C" w:rsidRDefault="00AA3E64" w:rsidP="009D418C">
      <w:pPr>
        <w:pStyle w:val="Eindnoottekst"/>
        <w:spacing w:line="360" w:lineRule="auto"/>
        <w:rPr>
          <w:rFonts w:asciiTheme="minorHAnsi" w:hAnsiTheme="minorHAnsi" w:cs="AdvMYR4"/>
          <w:sz w:val="22"/>
          <w:szCs w:val="22"/>
          <w:lang w:val="en-US" w:eastAsia="nl-BE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(a) 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Muregi, F. W.; Wamakima, H. N.; Kimani, F. T. </w:t>
      </w:r>
      <w:r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Curr. Pharm. Design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</w:t>
      </w:r>
      <w:r w:rsidRPr="009D418C">
        <w:rPr>
          <w:rFonts w:asciiTheme="minorHAnsi" w:hAnsiTheme="minorHAnsi" w:cs="AdvMYR4"/>
          <w:b/>
          <w:sz w:val="22"/>
          <w:szCs w:val="22"/>
          <w:lang w:val="en-US" w:eastAsia="nl-BE"/>
        </w:rPr>
        <w:t>2012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, </w:t>
      </w:r>
      <w:r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18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>, 3505. (b)</w:t>
      </w:r>
      <w:r w:rsidR="00B86F6C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Meyers, M. J.; Goldberg, D. E. </w:t>
      </w:r>
      <w:r w:rsidR="00B86F6C"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Curr. Top. Med. Chem.</w:t>
      </w:r>
      <w:r w:rsidR="00B86F6C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</w:t>
      </w:r>
      <w:r w:rsidR="00B86F6C" w:rsidRPr="009D418C">
        <w:rPr>
          <w:rFonts w:asciiTheme="minorHAnsi" w:hAnsiTheme="minorHAnsi" w:cs="AdvMYR4"/>
          <w:b/>
          <w:sz w:val="22"/>
          <w:szCs w:val="22"/>
          <w:lang w:val="en-US" w:eastAsia="nl-BE"/>
        </w:rPr>
        <w:t>2012</w:t>
      </w:r>
      <w:r w:rsidR="00B86F6C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, </w:t>
      </w:r>
      <w:r w:rsidR="00B86F6C"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12</w:t>
      </w:r>
      <w:r w:rsidR="00B86F6C" w:rsidRPr="009D418C">
        <w:rPr>
          <w:rFonts w:asciiTheme="minorHAnsi" w:hAnsiTheme="minorHAnsi" w:cs="AdvMYR4"/>
          <w:sz w:val="22"/>
          <w:szCs w:val="22"/>
          <w:lang w:val="en-US" w:eastAsia="nl-BE"/>
        </w:rPr>
        <w:t>, 445. (c)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Gardiner, D. L.; Skinner-Adams, T. S.; Brown, C. L.; Andrews, K. T.; Stack, C. M.; McCarthy, J. S.; Dalton, J. P.; Trenholme, K. R. </w:t>
      </w:r>
      <w:r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Expert Rev. Anti-Infective Therapy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</w:t>
      </w:r>
      <w:r w:rsidRPr="009D418C">
        <w:rPr>
          <w:rFonts w:asciiTheme="minorHAnsi" w:hAnsiTheme="minorHAnsi" w:cs="AdvMYR4"/>
          <w:b/>
          <w:sz w:val="22"/>
          <w:szCs w:val="22"/>
          <w:lang w:val="en-US" w:eastAsia="nl-BE"/>
        </w:rPr>
        <w:t>2009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, </w:t>
      </w:r>
      <w:r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7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>, 1087.</w:t>
      </w:r>
    </w:p>
  </w:endnote>
  <w:endnote w:id="3">
    <w:p w:rsidR="001E0AA6" w:rsidRPr="009D418C" w:rsidRDefault="001E0AA6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8D1423" w:rsidRPr="009D418C">
        <w:rPr>
          <w:rFonts w:asciiTheme="minorHAnsi" w:hAnsiTheme="minorHAnsi" w:cs="AdvMYR4"/>
          <w:sz w:val="22"/>
          <w:szCs w:val="22"/>
          <w:lang w:val="en-US" w:eastAsia="nl-BE"/>
        </w:rPr>
        <w:t>Goldberg,</w:t>
      </w:r>
      <w:r w:rsidR="00147A56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D. E.;</w:t>
      </w:r>
      <w:r w:rsidR="008D1423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Slater,</w:t>
      </w:r>
      <w:r w:rsidR="00563151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A. F.</w:t>
      </w:r>
      <w:r w:rsidR="008D1423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</w:t>
      </w:r>
      <w:r w:rsidR="008D1423" w:rsidRPr="009D418C">
        <w:rPr>
          <w:rFonts w:asciiTheme="minorHAnsi" w:hAnsiTheme="minorHAnsi" w:cs="AdvMYR4I"/>
          <w:i/>
          <w:sz w:val="22"/>
          <w:szCs w:val="22"/>
          <w:lang w:val="en-US" w:eastAsia="nl-BE"/>
        </w:rPr>
        <w:t>Parasitol. Today</w:t>
      </w:r>
      <w:r w:rsidR="008D1423" w:rsidRPr="009D418C">
        <w:rPr>
          <w:rFonts w:asciiTheme="minorHAnsi" w:hAnsiTheme="minorHAnsi" w:cs="AdvMYR4I"/>
          <w:sz w:val="22"/>
          <w:szCs w:val="22"/>
          <w:lang w:val="en-US" w:eastAsia="nl-BE"/>
        </w:rPr>
        <w:t xml:space="preserve"> </w:t>
      </w:r>
      <w:r w:rsidR="008D1423" w:rsidRPr="009D418C">
        <w:rPr>
          <w:rFonts w:asciiTheme="minorHAnsi" w:hAnsiTheme="minorHAnsi" w:cs="AdvMYR6"/>
          <w:b/>
          <w:sz w:val="22"/>
          <w:szCs w:val="22"/>
          <w:lang w:val="en-US" w:eastAsia="nl-BE"/>
        </w:rPr>
        <w:t>1992</w:t>
      </w:r>
      <w:r w:rsidR="008D1423"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, </w:t>
      </w:r>
      <w:r w:rsidR="008D1423" w:rsidRPr="009D418C">
        <w:rPr>
          <w:rFonts w:asciiTheme="minorHAnsi" w:hAnsiTheme="minorHAnsi" w:cs="AdvMYR4I"/>
          <w:i/>
          <w:sz w:val="22"/>
          <w:szCs w:val="22"/>
          <w:lang w:val="en-US" w:eastAsia="nl-BE"/>
        </w:rPr>
        <w:t>8</w:t>
      </w:r>
      <w:r w:rsidR="008D1423" w:rsidRPr="009D418C">
        <w:rPr>
          <w:rFonts w:asciiTheme="minorHAnsi" w:hAnsiTheme="minorHAnsi" w:cs="AdvMYR4"/>
          <w:sz w:val="22"/>
          <w:szCs w:val="22"/>
          <w:lang w:val="en-US" w:eastAsia="nl-BE"/>
        </w:rPr>
        <w:t>, 280.</w:t>
      </w:r>
    </w:p>
  </w:endnote>
  <w:endnote w:id="4">
    <w:p w:rsidR="008D1423" w:rsidRPr="009D418C" w:rsidRDefault="008D1423" w:rsidP="009D418C">
      <w:pPr>
        <w:autoSpaceDE w:val="0"/>
        <w:autoSpaceDN w:val="0"/>
        <w:adjustRightInd w:val="0"/>
        <w:spacing w:after="0"/>
        <w:rPr>
          <w:rFonts w:asciiTheme="minorHAnsi" w:hAnsiTheme="minorHAnsi"/>
          <w:lang w:val="en-US"/>
        </w:rPr>
      </w:pPr>
      <w:r w:rsidRPr="009D418C">
        <w:rPr>
          <w:rStyle w:val="Eindnootmarkering"/>
          <w:rFonts w:asciiTheme="minorHAnsi" w:hAnsiTheme="minorHAnsi"/>
        </w:rPr>
        <w:endnoteRef/>
      </w:r>
      <w:r w:rsidRPr="009D418C">
        <w:rPr>
          <w:rFonts w:asciiTheme="minorHAnsi" w:hAnsiTheme="minorHAnsi"/>
          <w:lang w:val="en-US"/>
        </w:rPr>
        <w:t xml:space="preserve"> (a) </w:t>
      </w:r>
      <w:r w:rsidRPr="009D418C">
        <w:rPr>
          <w:rFonts w:asciiTheme="minorHAnsi" w:hAnsiTheme="minorHAnsi" w:cs="AdvMYR4"/>
          <w:lang w:val="en-US" w:eastAsia="nl-BE"/>
        </w:rPr>
        <w:t>Banerjee,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R.;</w:t>
      </w:r>
      <w:r w:rsidRPr="009D418C">
        <w:rPr>
          <w:rFonts w:asciiTheme="minorHAnsi" w:hAnsiTheme="minorHAnsi" w:cs="AdvMYR4"/>
          <w:lang w:val="en-US" w:eastAsia="nl-BE"/>
        </w:rPr>
        <w:t xml:space="preserve"> Liu,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J.;</w:t>
      </w:r>
      <w:r w:rsidRPr="009D418C">
        <w:rPr>
          <w:rFonts w:asciiTheme="minorHAnsi" w:hAnsiTheme="minorHAnsi" w:cs="AdvMYR4"/>
          <w:lang w:val="en-US" w:eastAsia="nl-BE"/>
        </w:rPr>
        <w:t xml:space="preserve"> </w:t>
      </w:r>
      <w:r w:rsidR="00563151" w:rsidRPr="009D418C">
        <w:rPr>
          <w:rFonts w:asciiTheme="minorHAnsi" w:hAnsiTheme="minorHAnsi" w:cs="AdvMYR4"/>
          <w:lang w:val="en-US" w:eastAsia="nl-BE"/>
        </w:rPr>
        <w:t>B</w:t>
      </w:r>
      <w:r w:rsidRPr="009D418C">
        <w:rPr>
          <w:rFonts w:asciiTheme="minorHAnsi" w:hAnsiTheme="minorHAnsi" w:cs="AdvMYR4"/>
          <w:lang w:val="en-US" w:eastAsia="nl-BE"/>
        </w:rPr>
        <w:t>eatty,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W.;</w:t>
      </w:r>
      <w:r w:rsidRPr="009D418C">
        <w:rPr>
          <w:rFonts w:asciiTheme="minorHAnsi" w:hAnsiTheme="minorHAnsi" w:cs="AdvMYR4"/>
          <w:lang w:val="en-US" w:eastAsia="nl-BE"/>
        </w:rPr>
        <w:t xml:space="preserve"> Pelosof,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L.;</w:t>
      </w:r>
      <w:r w:rsidRPr="009D418C">
        <w:rPr>
          <w:rFonts w:asciiTheme="minorHAnsi" w:hAnsiTheme="minorHAnsi" w:cs="AdvMYR4"/>
          <w:lang w:val="en-US" w:eastAsia="nl-BE"/>
        </w:rPr>
        <w:t xml:space="preserve"> Klemba,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M.;</w:t>
      </w:r>
      <w:r w:rsidRPr="009D418C">
        <w:rPr>
          <w:rFonts w:asciiTheme="minorHAnsi" w:hAnsiTheme="minorHAnsi" w:cs="AdvMYR4"/>
          <w:lang w:val="en-US" w:eastAsia="nl-BE"/>
        </w:rPr>
        <w:t xml:space="preserve"> Goldberg,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D. E.</w:t>
      </w:r>
      <w:r w:rsidRPr="009D418C">
        <w:rPr>
          <w:rFonts w:asciiTheme="minorHAnsi" w:hAnsiTheme="minorHAnsi" w:cs="AdvMYR4"/>
          <w:lang w:val="en-US" w:eastAsia="nl-BE"/>
        </w:rPr>
        <w:t xml:space="preserve"> </w:t>
      </w:r>
      <w:r w:rsidRPr="009D418C">
        <w:rPr>
          <w:rFonts w:asciiTheme="minorHAnsi" w:hAnsiTheme="minorHAnsi" w:cs="AdvMYR4I"/>
          <w:i/>
          <w:lang w:val="en-US" w:eastAsia="nl-BE"/>
        </w:rPr>
        <w:t>Proc. Natl. Acad. Sci. USA</w:t>
      </w:r>
      <w:r w:rsidRPr="009D418C">
        <w:rPr>
          <w:rFonts w:asciiTheme="minorHAnsi" w:hAnsiTheme="minorHAnsi" w:cs="AdvMYR4I"/>
          <w:lang w:val="en-US" w:eastAsia="nl-BE"/>
        </w:rPr>
        <w:t xml:space="preserve"> </w:t>
      </w:r>
      <w:r w:rsidRPr="009D418C">
        <w:rPr>
          <w:rFonts w:asciiTheme="minorHAnsi" w:hAnsiTheme="minorHAnsi" w:cs="AdvMYR6"/>
          <w:b/>
          <w:lang w:val="en-US" w:eastAsia="nl-BE"/>
        </w:rPr>
        <w:t>2002</w:t>
      </w:r>
      <w:r w:rsidRPr="009D418C">
        <w:rPr>
          <w:rFonts w:asciiTheme="minorHAnsi" w:hAnsiTheme="minorHAnsi" w:cs="AdvMYR4"/>
          <w:lang w:val="en-US" w:eastAsia="nl-BE"/>
        </w:rPr>
        <w:t xml:space="preserve">, </w:t>
      </w:r>
      <w:r w:rsidRPr="009D418C">
        <w:rPr>
          <w:rFonts w:asciiTheme="minorHAnsi" w:hAnsiTheme="minorHAnsi" w:cs="AdvMYR4I"/>
          <w:i/>
          <w:lang w:val="en-US" w:eastAsia="nl-BE"/>
        </w:rPr>
        <w:t>99</w:t>
      </w:r>
      <w:r w:rsidRPr="009D418C">
        <w:rPr>
          <w:rFonts w:asciiTheme="minorHAnsi" w:hAnsiTheme="minorHAnsi" w:cs="AdvMYR4"/>
          <w:lang w:val="en-US" w:eastAsia="nl-BE"/>
        </w:rPr>
        <w:t>, 990. (b) Berry,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C.;</w:t>
      </w:r>
      <w:r w:rsidRPr="009D418C">
        <w:rPr>
          <w:rFonts w:asciiTheme="minorHAnsi" w:hAnsiTheme="minorHAnsi" w:cs="AdvMYR4"/>
          <w:lang w:val="en-US" w:eastAsia="nl-BE"/>
        </w:rPr>
        <w:t xml:space="preserve"> Humphreys,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M. J.;</w:t>
      </w:r>
      <w:r w:rsidRPr="009D418C">
        <w:rPr>
          <w:rFonts w:asciiTheme="minorHAnsi" w:hAnsiTheme="minorHAnsi" w:cs="AdvMYR4"/>
          <w:lang w:val="en-US" w:eastAsia="nl-BE"/>
        </w:rPr>
        <w:t xml:space="preserve"> Matharu,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P.;</w:t>
      </w:r>
      <w:r w:rsidRPr="009D418C">
        <w:rPr>
          <w:rFonts w:asciiTheme="minorHAnsi" w:hAnsiTheme="minorHAnsi" w:cs="AdvMYR4"/>
          <w:lang w:val="en-US" w:eastAsia="nl-BE"/>
        </w:rPr>
        <w:t xml:space="preserve"> Granger,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R.;</w:t>
      </w:r>
      <w:r w:rsidRPr="009D418C">
        <w:rPr>
          <w:rFonts w:asciiTheme="minorHAnsi" w:hAnsiTheme="minorHAnsi" w:cs="AdvMYR4"/>
          <w:lang w:val="en-US" w:eastAsia="nl-BE"/>
        </w:rPr>
        <w:t xml:space="preserve"> Horrocks,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P.;</w:t>
      </w:r>
      <w:r w:rsidRPr="009D418C">
        <w:rPr>
          <w:rFonts w:asciiTheme="minorHAnsi" w:hAnsiTheme="minorHAnsi" w:cs="AdvMYR4"/>
          <w:lang w:val="en-US" w:eastAsia="nl-BE"/>
        </w:rPr>
        <w:t xml:space="preserve"> Moon,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R. P.;</w:t>
      </w:r>
      <w:r w:rsidRPr="009D418C">
        <w:rPr>
          <w:rFonts w:asciiTheme="minorHAnsi" w:hAnsiTheme="minorHAnsi" w:cs="AdvMYR4"/>
          <w:lang w:val="en-US" w:eastAsia="nl-BE"/>
        </w:rPr>
        <w:t xml:space="preserve"> Certa,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U.;</w:t>
      </w:r>
      <w:r w:rsidRPr="009D418C">
        <w:rPr>
          <w:rFonts w:asciiTheme="minorHAnsi" w:hAnsiTheme="minorHAnsi" w:cs="AdvMYR4"/>
          <w:lang w:val="en-US" w:eastAsia="nl-BE"/>
        </w:rPr>
        <w:t xml:space="preserve"> Ridley,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R. G.;</w:t>
      </w:r>
      <w:r w:rsidRPr="009D418C">
        <w:rPr>
          <w:rFonts w:asciiTheme="minorHAnsi" w:hAnsiTheme="minorHAnsi" w:cs="AdvMYR4"/>
          <w:lang w:val="en-US" w:eastAsia="nl-BE"/>
        </w:rPr>
        <w:t xml:space="preserve"> Bur,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D.;</w:t>
      </w:r>
      <w:r w:rsidRPr="009D418C">
        <w:rPr>
          <w:rFonts w:asciiTheme="minorHAnsi" w:hAnsiTheme="minorHAnsi" w:cs="AdvMYR4"/>
          <w:lang w:val="en-US" w:eastAsia="nl-BE"/>
        </w:rPr>
        <w:t xml:space="preserve"> Kay,</w:t>
      </w:r>
      <w:r w:rsidR="00563151" w:rsidRPr="009D418C">
        <w:rPr>
          <w:rFonts w:asciiTheme="minorHAnsi" w:hAnsiTheme="minorHAnsi" w:cs="AdvMYR4"/>
          <w:lang w:val="en-US" w:eastAsia="nl-BE"/>
        </w:rPr>
        <w:t xml:space="preserve"> J.</w:t>
      </w:r>
      <w:r w:rsidRPr="009D418C">
        <w:rPr>
          <w:rFonts w:asciiTheme="minorHAnsi" w:hAnsiTheme="minorHAnsi" w:cs="AdvMYR4"/>
          <w:lang w:val="en-US" w:eastAsia="nl-BE"/>
        </w:rPr>
        <w:t xml:space="preserve"> </w:t>
      </w:r>
      <w:r w:rsidRPr="009D418C">
        <w:rPr>
          <w:rFonts w:asciiTheme="minorHAnsi" w:hAnsiTheme="minorHAnsi" w:cs="AdvMYR4I"/>
          <w:i/>
          <w:lang w:val="en-US" w:eastAsia="nl-BE"/>
        </w:rPr>
        <w:t>FEBS Lett.</w:t>
      </w:r>
      <w:r w:rsidRPr="009D418C">
        <w:rPr>
          <w:rFonts w:asciiTheme="minorHAnsi" w:hAnsiTheme="minorHAnsi" w:cs="AdvMYR4I"/>
          <w:lang w:val="en-US" w:eastAsia="nl-BE"/>
        </w:rPr>
        <w:t xml:space="preserve"> </w:t>
      </w:r>
      <w:r w:rsidRPr="009D418C">
        <w:rPr>
          <w:rFonts w:asciiTheme="minorHAnsi" w:hAnsiTheme="minorHAnsi" w:cs="AdvMYR6"/>
          <w:b/>
          <w:lang w:val="en-US" w:eastAsia="nl-BE"/>
        </w:rPr>
        <w:t>1999</w:t>
      </w:r>
      <w:r w:rsidRPr="009D418C">
        <w:rPr>
          <w:rFonts w:asciiTheme="minorHAnsi" w:hAnsiTheme="minorHAnsi" w:cs="AdvMYR4"/>
          <w:lang w:val="en-US" w:eastAsia="nl-BE"/>
        </w:rPr>
        <w:t xml:space="preserve">, </w:t>
      </w:r>
      <w:r w:rsidRPr="009D418C">
        <w:rPr>
          <w:rFonts w:asciiTheme="minorHAnsi" w:hAnsiTheme="minorHAnsi" w:cs="AdvMYR4I"/>
          <w:i/>
          <w:lang w:val="en-US" w:eastAsia="nl-BE"/>
        </w:rPr>
        <w:t>447</w:t>
      </w:r>
      <w:r w:rsidRPr="009D418C">
        <w:rPr>
          <w:rFonts w:asciiTheme="minorHAnsi" w:hAnsiTheme="minorHAnsi" w:cs="AdvMYR4"/>
          <w:lang w:val="en-US" w:eastAsia="nl-BE"/>
        </w:rPr>
        <w:t>, 149.</w:t>
      </w:r>
    </w:p>
  </w:endnote>
  <w:endnote w:id="5">
    <w:p w:rsidR="00630778" w:rsidRPr="009D418C" w:rsidRDefault="00630778" w:rsidP="009D418C">
      <w:pPr>
        <w:pStyle w:val="Eindnoottekst"/>
        <w:spacing w:line="360" w:lineRule="auto"/>
        <w:rPr>
          <w:rFonts w:asciiTheme="minorHAnsi" w:hAnsiTheme="minorHAnsi" w:cs="AdvMYR4"/>
          <w:sz w:val="22"/>
          <w:szCs w:val="22"/>
          <w:lang w:val="en-US" w:eastAsia="nl-BE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hyperlink r:id="rId1" w:tooltip="Find more records by this author" w:history="1">
        <w:r w:rsidRPr="009D418C">
          <w:rPr>
            <w:rFonts w:asciiTheme="minorHAnsi" w:hAnsiTheme="minorHAnsi" w:cs="AdvMYR4"/>
            <w:sz w:val="22"/>
            <w:szCs w:val="22"/>
            <w:lang w:val="en-US" w:eastAsia="nl-BE"/>
          </w:rPr>
          <w:t xml:space="preserve">Kaur, K.; </w:t>
        </w:r>
      </w:hyperlink>
      <w:hyperlink r:id="rId2" w:tooltip="Find more records by this author" w:history="1">
        <w:r w:rsidRPr="009D418C">
          <w:rPr>
            <w:rFonts w:asciiTheme="minorHAnsi" w:hAnsiTheme="minorHAnsi" w:cs="AdvMYR4"/>
            <w:sz w:val="22"/>
            <w:szCs w:val="22"/>
            <w:lang w:val="en-US" w:eastAsia="nl-BE"/>
          </w:rPr>
          <w:t>Jain, M</w:t>
        </w:r>
      </w:hyperlink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.; </w:t>
      </w:r>
      <w:hyperlink r:id="rId3" w:tooltip="Find more records by this author" w:history="1">
        <w:r w:rsidRPr="009D418C">
          <w:rPr>
            <w:rFonts w:asciiTheme="minorHAnsi" w:hAnsiTheme="minorHAnsi" w:cs="AdvMYR4"/>
            <w:sz w:val="22"/>
            <w:szCs w:val="22"/>
            <w:lang w:val="en-US" w:eastAsia="nl-BE"/>
          </w:rPr>
          <w:t>Reddy, R. P.;</w:t>
        </w:r>
      </w:hyperlink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</w:t>
      </w:r>
      <w:hyperlink r:id="rId4" w:tooltip="Find more records by this author" w:history="1">
        <w:r w:rsidRPr="009D418C">
          <w:rPr>
            <w:rFonts w:asciiTheme="minorHAnsi" w:hAnsiTheme="minorHAnsi" w:cs="AdvMYR4"/>
            <w:sz w:val="22"/>
            <w:szCs w:val="22"/>
            <w:lang w:val="en-US" w:eastAsia="nl-BE"/>
          </w:rPr>
          <w:t>Jain, R</w:t>
        </w:r>
      </w:hyperlink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. </w:t>
      </w:r>
      <w:r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Eur. J. Med. Chem.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 </w:t>
      </w:r>
      <w:r w:rsidRPr="009D418C">
        <w:rPr>
          <w:rFonts w:asciiTheme="minorHAnsi" w:hAnsiTheme="minorHAnsi" w:cs="AdvMYR4"/>
          <w:b/>
          <w:sz w:val="22"/>
          <w:szCs w:val="22"/>
          <w:lang w:val="en-US" w:eastAsia="nl-BE"/>
        </w:rPr>
        <w:t>2010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 xml:space="preserve">, </w:t>
      </w:r>
      <w:r w:rsidRPr="009D418C">
        <w:rPr>
          <w:rFonts w:asciiTheme="minorHAnsi" w:hAnsiTheme="minorHAnsi" w:cs="AdvMYR4"/>
          <w:i/>
          <w:sz w:val="22"/>
          <w:szCs w:val="22"/>
          <w:lang w:val="en-US" w:eastAsia="nl-BE"/>
        </w:rPr>
        <w:t>45</w:t>
      </w:r>
      <w:r w:rsidRPr="009D418C">
        <w:rPr>
          <w:rFonts w:asciiTheme="minorHAnsi" w:hAnsiTheme="minorHAnsi" w:cs="AdvMYR4"/>
          <w:sz w:val="22"/>
          <w:szCs w:val="22"/>
          <w:lang w:val="en-US" w:eastAsia="nl-BE"/>
        </w:rPr>
        <w:t>, 3245.</w:t>
      </w:r>
    </w:p>
  </w:endnote>
  <w:endnote w:id="6">
    <w:p w:rsidR="00103A1D" w:rsidRPr="009D418C" w:rsidRDefault="00103A1D" w:rsidP="009D418C">
      <w:pPr>
        <w:autoSpaceDE w:val="0"/>
        <w:autoSpaceDN w:val="0"/>
        <w:adjustRightInd w:val="0"/>
        <w:spacing w:after="0"/>
        <w:rPr>
          <w:rFonts w:asciiTheme="minorHAnsi" w:hAnsiTheme="minorHAnsi"/>
          <w:lang w:val="en-US" w:eastAsia="nl-BE"/>
        </w:rPr>
      </w:pPr>
      <w:r w:rsidRPr="009D418C">
        <w:rPr>
          <w:rStyle w:val="Eindnootmarkering"/>
          <w:rFonts w:asciiTheme="minorHAnsi" w:hAnsiTheme="minorHAnsi"/>
        </w:rPr>
        <w:endnoteRef/>
      </w:r>
      <w:r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 w:cs="AdvMYR4"/>
          <w:lang w:val="en-US" w:eastAsia="nl-BE"/>
        </w:rPr>
        <w:t xml:space="preserve">(a) Oefner, C.; Binggeli, A.; Breu, V.; Bur, D.; Clozel, J. P.; D'Arcy, A.; Dorn, A.; Fischli, W.; Gruninger, F.; Guller, R.; Hirth, G.; Marki, H. P.; Mathews, S.; Muller, M.; Ridley, R. G.; Stadler, H.; Vieira, E.; Wilhelm, M.; Winkler, F. K.; Wostl, W. </w:t>
      </w:r>
      <w:r w:rsidRPr="009D418C">
        <w:rPr>
          <w:rFonts w:asciiTheme="minorHAnsi" w:hAnsiTheme="minorHAnsi" w:cs="AdvMYR4"/>
          <w:i/>
          <w:lang w:val="en-US" w:eastAsia="nl-BE"/>
        </w:rPr>
        <w:t>Chem Biol.</w:t>
      </w:r>
      <w:r w:rsidRPr="009D418C">
        <w:rPr>
          <w:rFonts w:asciiTheme="minorHAnsi" w:hAnsiTheme="minorHAnsi" w:cs="AdvMYR4"/>
          <w:lang w:val="en-US" w:eastAsia="nl-BE"/>
        </w:rPr>
        <w:t xml:space="preserve"> </w:t>
      </w:r>
      <w:r w:rsidRPr="009D418C">
        <w:rPr>
          <w:rFonts w:asciiTheme="minorHAnsi" w:hAnsiTheme="minorHAnsi" w:cs="AdvMYR4"/>
          <w:b/>
          <w:lang w:val="en-US" w:eastAsia="nl-BE"/>
        </w:rPr>
        <w:t>1999</w:t>
      </w:r>
      <w:r w:rsidRPr="009D418C">
        <w:rPr>
          <w:rFonts w:asciiTheme="minorHAnsi" w:hAnsiTheme="minorHAnsi" w:cs="AdvMYR4"/>
          <w:lang w:val="en-US" w:eastAsia="nl-BE"/>
        </w:rPr>
        <w:t xml:space="preserve">, </w:t>
      </w:r>
      <w:r w:rsidRPr="009D418C">
        <w:rPr>
          <w:rFonts w:asciiTheme="minorHAnsi" w:hAnsiTheme="minorHAnsi" w:cs="AdvMYR4"/>
          <w:i/>
          <w:lang w:val="en-US" w:eastAsia="nl-BE"/>
        </w:rPr>
        <w:t>6</w:t>
      </w:r>
      <w:r w:rsidRPr="009D418C">
        <w:rPr>
          <w:rFonts w:asciiTheme="minorHAnsi" w:hAnsiTheme="minorHAnsi" w:cs="AdvMYR4"/>
          <w:lang w:val="en-US" w:eastAsia="nl-BE"/>
        </w:rPr>
        <w:t xml:space="preserve">, 127. (b) </w:t>
      </w:r>
      <w:r w:rsidRPr="009D418C">
        <w:rPr>
          <w:rFonts w:asciiTheme="minorHAnsi" w:hAnsiTheme="minorHAnsi"/>
          <w:lang w:val="en-US" w:eastAsia="nl-BE"/>
        </w:rPr>
        <w:t xml:space="preserve">Carcache, D. A.; Hortner, S. R.; Bertogg, A.; Binkert, C.; Bur, D.; Marki, H. P.; Dorn, A. Diederich, F. </w:t>
      </w:r>
      <w:r w:rsidRPr="009D418C">
        <w:rPr>
          <w:rFonts w:asciiTheme="minorHAnsi" w:hAnsiTheme="minorHAnsi"/>
          <w:i/>
          <w:lang w:val="en-US" w:eastAsia="nl-BE"/>
        </w:rPr>
        <w:t>ChemBioChem</w:t>
      </w:r>
      <w:r w:rsidRPr="009D418C">
        <w:rPr>
          <w:rFonts w:asciiTheme="minorHAnsi" w:hAnsiTheme="minorHAnsi"/>
          <w:lang w:val="en-US" w:eastAsia="nl-BE"/>
        </w:rPr>
        <w:t xml:space="preserve"> </w:t>
      </w:r>
      <w:r w:rsidRPr="009D418C">
        <w:rPr>
          <w:rFonts w:asciiTheme="minorHAnsi" w:hAnsiTheme="minorHAnsi"/>
          <w:b/>
          <w:lang w:val="en-US" w:eastAsia="nl-BE"/>
        </w:rPr>
        <w:t>2002</w:t>
      </w:r>
      <w:r w:rsidRPr="009D418C">
        <w:rPr>
          <w:rFonts w:asciiTheme="minorHAnsi" w:hAnsiTheme="minorHAnsi"/>
          <w:lang w:val="en-US" w:eastAsia="nl-BE"/>
        </w:rPr>
        <w:t xml:space="preserve">, </w:t>
      </w:r>
      <w:r w:rsidRPr="009D418C">
        <w:rPr>
          <w:rFonts w:asciiTheme="minorHAnsi" w:hAnsiTheme="minorHAnsi"/>
          <w:i/>
          <w:lang w:val="en-US" w:eastAsia="nl-BE"/>
        </w:rPr>
        <w:t>3</w:t>
      </w:r>
      <w:r w:rsidRPr="009D418C">
        <w:rPr>
          <w:rFonts w:asciiTheme="minorHAnsi" w:hAnsiTheme="minorHAnsi"/>
          <w:lang w:val="en-US" w:eastAsia="nl-BE"/>
        </w:rPr>
        <w:t xml:space="preserve">, 1137. </w:t>
      </w:r>
      <w:r w:rsidRPr="009D418C">
        <w:rPr>
          <w:rFonts w:asciiTheme="minorHAnsi" w:hAnsiTheme="minorHAnsi" w:cs="AdvMYR4"/>
          <w:lang w:val="en-US" w:eastAsia="nl-BE"/>
        </w:rPr>
        <w:t xml:space="preserve">(c) </w:t>
      </w:r>
      <w:r w:rsidRPr="009D418C">
        <w:rPr>
          <w:rFonts w:asciiTheme="minorHAnsi" w:hAnsiTheme="minorHAnsi"/>
          <w:lang w:val="en-US" w:eastAsia="nl-BE"/>
        </w:rPr>
        <w:t xml:space="preserve">Boss, C.; Richard-Bildstein, S.; Weller, T.; Fischli, W.; Meyer, S.; Binkert, C. </w:t>
      </w:r>
      <w:r w:rsidRPr="009D418C">
        <w:rPr>
          <w:rFonts w:asciiTheme="minorHAnsi" w:hAnsiTheme="minorHAnsi"/>
          <w:i/>
          <w:lang w:val="en-US" w:eastAsia="nl-BE"/>
        </w:rPr>
        <w:t>Curr. Med. Chem.</w:t>
      </w:r>
      <w:r w:rsidRPr="009D418C">
        <w:rPr>
          <w:rFonts w:asciiTheme="minorHAnsi" w:hAnsiTheme="minorHAnsi"/>
          <w:lang w:val="en-US" w:eastAsia="nl-BE"/>
        </w:rPr>
        <w:t xml:space="preserve"> </w:t>
      </w:r>
      <w:r w:rsidRPr="009D418C">
        <w:rPr>
          <w:rFonts w:asciiTheme="minorHAnsi" w:hAnsiTheme="minorHAnsi"/>
          <w:b/>
          <w:lang w:val="en-US" w:eastAsia="nl-BE"/>
        </w:rPr>
        <w:t>2003</w:t>
      </w:r>
      <w:r w:rsidRPr="009D418C">
        <w:rPr>
          <w:rFonts w:asciiTheme="minorHAnsi" w:hAnsiTheme="minorHAnsi"/>
          <w:lang w:val="en-US" w:eastAsia="nl-BE"/>
        </w:rPr>
        <w:t xml:space="preserve">, </w:t>
      </w:r>
      <w:r w:rsidRPr="009D418C">
        <w:rPr>
          <w:rFonts w:asciiTheme="minorHAnsi" w:hAnsiTheme="minorHAnsi"/>
          <w:i/>
          <w:lang w:val="en-US" w:eastAsia="nl-BE"/>
        </w:rPr>
        <w:t>10</w:t>
      </w:r>
      <w:r w:rsidRPr="009D418C">
        <w:rPr>
          <w:rFonts w:asciiTheme="minorHAnsi" w:hAnsiTheme="minorHAnsi"/>
          <w:lang w:val="en-US" w:eastAsia="nl-BE"/>
        </w:rPr>
        <w:t xml:space="preserve">, 883. </w:t>
      </w:r>
      <w:r w:rsidRPr="00605139">
        <w:rPr>
          <w:rFonts w:asciiTheme="minorHAnsi" w:hAnsiTheme="minorHAnsi"/>
          <w:lang w:val="en-US" w:eastAsia="nl-BE"/>
        </w:rPr>
        <w:t xml:space="preserve">(d) Carcache, D.; Hoertner, S.; Seiler, P.; Diederich, F.; Dorn, A.; Maerki, H.; Binkert, C.; Bur, D. </w:t>
      </w:r>
      <w:r w:rsidRPr="00605139">
        <w:rPr>
          <w:rFonts w:asciiTheme="minorHAnsi" w:hAnsiTheme="minorHAnsi"/>
          <w:i/>
          <w:lang w:val="en-US" w:eastAsia="nl-BE"/>
        </w:rPr>
        <w:t xml:space="preserve">Helv. </w:t>
      </w:r>
      <w:r w:rsidRPr="009D418C">
        <w:rPr>
          <w:rFonts w:asciiTheme="minorHAnsi" w:hAnsiTheme="minorHAnsi"/>
          <w:i/>
          <w:lang w:val="en-US" w:eastAsia="nl-BE"/>
        </w:rPr>
        <w:t>Chim. Acta</w:t>
      </w:r>
      <w:r w:rsidRPr="009D418C">
        <w:rPr>
          <w:rFonts w:asciiTheme="minorHAnsi" w:hAnsiTheme="minorHAnsi"/>
          <w:lang w:val="en-US" w:eastAsia="nl-BE"/>
        </w:rPr>
        <w:t xml:space="preserve"> </w:t>
      </w:r>
      <w:r w:rsidRPr="009D418C">
        <w:rPr>
          <w:rFonts w:asciiTheme="minorHAnsi" w:hAnsiTheme="minorHAnsi"/>
          <w:b/>
          <w:lang w:val="en-US" w:eastAsia="nl-BE"/>
        </w:rPr>
        <w:t>2003</w:t>
      </w:r>
      <w:r w:rsidRPr="009D418C">
        <w:rPr>
          <w:rFonts w:asciiTheme="minorHAnsi" w:hAnsiTheme="minorHAnsi"/>
          <w:lang w:val="en-US" w:eastAsia="nl-BE"/>
        </w:rPr>
        <w:t xml:space="preserve">, </w:t>
      </w:r>
      <w:r w:rsidRPr="009D418C">
        <w:rPr>
          <w:rFonts w:asciiTheme="minorHAnsi" w:hAnsiTheme="minorHAnsi"/>
          <w:i/>
          <w:lang w:val="en-US" w:eastAsia="nl-BE"/>
        </w:rPr>
        <w:t>86</w:t>
      </w:r>
      <w:r w:rsidRPr="009D418C">
        <w:rPr>
          <w:rFonts w:asciiTheme="minorHAnsi" w:hAnsiTheme="minorHAnsi"/>
          <w:lang w:val="en-US" w:eastAsia="nl-BE"/>
        </w:rPr>
        <w:t xml:space="preserve">, 2173. (e) </w:t>
      </w:r>
      <w:r w:rsidRPr="009D418C">
        <w:rPr>
          <w:rFonts w:asciiTheme="minorHAnsi" w:hAnsiTheme="minorHAnsi" w:cs="AdvMYR4"/>
          <w:lang w:val="en-US" w:eastAsia="nl-BE"/>
        </w:rPr>
        <w:t xml:space="preserve">Boss, C.; Corminboeuf, O.; Grisostomi, C.; Meyer, S.; Jones, A. F.; Prade, L.; Binkert, C.; Fischli, W.; Weller, T.; Bur, D. </w:t>
      </w:r>
      <w:r w:rsidRPr="009D418C">
        <w:rPr>
          <w:rFonts w:asciiTheme="minorHAnsi" w:hAnsiTheme="minorHAnsi" w:cs="AdvMYR4"/>
          <w:i/>
          <w:lang w:val="en-US" w:eastAsia="nl-BE"/>
        </w:rPr>
        <w:t>ChemMedChem</w:t>
      </w:r>
      <w:r w:rsidRPr="009D418C">
        <w:rPr>
          <w:rFonts w:asciiTheme="minorHAnsi" w:hAnsiTheme="minorHAnsi" w:cs="AdvMYR4"/>
          <w:lang w:val="en-US" w:eastAsia="nl-BE"/>
        </w:rPr>
        <w:t xml:space="preserve"> </w:t>
      </w:r>
      <w:r w:rsidRPr="009D418C">
        <w:rPr>
          <w:rFonts w:asciiTheme="minorHAnsi" w:hAnsiTheme="minorHAnsi" w:cs="AdvMYR4"/>
          <w:b/>
          <w:lang w:val="en-US" w:eastAsia="nl-BE"/>
        </w:rPr>
        <w:t>2006</w:t>
      </w:r>
      <w:r w:rsidRPr="009D418C">
        <w:rPr>
          <w:rFonts w:asciiTheme="minorHAnsi" w:hAnsiTheme="minorHAnsi" w:cs="AdvMYR4"/>
          <w:lang w:val="en-US" w:eastAsia="nl-BE"/>
        </w:rPr>
        <w:t xml:space="preserve">, </w:t>
      </w:r>
      <w:r w:rsidRPr="009D418C">
        <w:rPr>
          <w:rFonts w:asciiTheme="minorHAnsi" w:hAnsiTheme="minorHAnsi" w:cs="AdvMYR4"/>
          <w:i/>
          <w:lang w:val="en-US" w:eastAsia="nl-BE"/>
        </w:rPr>
        <w:t>1</w:t>
      </w:r>
      <w:r w:rsidRPr="009D418C">
        <w:rPr>
          <w:rFonts w:asciiTheme="minorHAnsi" w:hAnsiTheme="minorHAnsi" w:cs="AdvMYR4"/>
          <w:lang w:val="en-US" w:eastAsia="nl-BE"/>
        </w:rPr>
        <w:t xml:space="preserve">, 1341. (f) </w:t>
      </w:r>
      <w:r w:rsidRPr="009D418C">
        <w:rPr>
          <w:rFonts w:asciiTheme="minorHAnsi" w:hAnsiTheme="minorHAnsi"/>
          <w:lang w:val="en-US" w:eastAsia="nl-BE"/>
        </w:rPr>
        <w:t xml:space="preserve">Hof, F.; Schutz, A.; Fah, C.; Meyer, S.; Bur, D.; Liu, J.; Goldberg, D. E.; Diederich, F. </w:t>
      </w:r>
      <w:r w:rsidRPr="009D418C">
        <w:rPr>
          <w:rFonts w:asciiTheme="minorHAnsi" w:hAnsiTheme="minorHAnsi"/>
          <w:i/>
          <w:lang w:val="en-US" w:eastAsia="nl-BE"/>
        </w:rPr>
        <w:t>Angew. Chem. Int. Ed. Engl.</w:t>
      </w:r>
      <w:r w:rsidRPr="009D418C">
        <w:rPr>
          <w:rFonts w:asciiTheme="minorHAnsi" w:hAnsiTheme="minorHAnsi"/>
          <w:lang w:val="en-US" w:eastAsia="nl-BE"/>
        </w:rPr>
        <w:t xml:space="preserve"> </w:t>
      </w:r>
      <w:r w:rsidRPr="009D418C">
        <w:rPr>
          <w:rFonts w:asciiTheme="minorHAnsi" w:hAnsiTheme="minorHAnsi"/>
          <w:b/>
          <w:lang w:val="en-US" w:eastAsia="nl-BE"/>
        </w:rPr>
        <w:t>2006</w:t>
      </w:r>
      <w:r w:rsidRPr="009D418C">
        <w:rPr>
          <w:rFonts w:asciiTheme="minorHAnsi" w:hAnsiTheme="minorHAnsi"/>
          <w:lang w:val="en-US" w:eastAsia="nl-BE"/>
        </w:rPr>
        <w:t xml:space="preserve">, </w:t>
      </w:r>
      <w:r w:rsidRPr="009D418C">
        <w:rPr>
          <w:rFonts w:asciiTheme="minorHAnsi" w:hAnsiTheme="minorHAnsi"/>
          <w:i/>
          <w:lang w:val="en-US" w:eastAsia="nl-BE"/>
        </w:rPr>
        <w:t>45</w:t>
      </w:r>
      <w:r w:rsidRPr="009D418C">
        <w:rPr>
          <w:rFonts w:asciiTheme="minorHAnsi" w:hAnsiTheme="minorHAnsi"/>
          <w:lang w:val="en-US" w:eastAsia="nl-BE"/>
        </w:rPr>
        <w:t>, 2138.</w:t>
      </w:r>
      <w:r w:rsidR="0020631D" w:rsidRPr="009D418C">
        <w:rPr>
          <w:rFonts w:asciiTheme="minorHAnsi" w:hAnsiTheme="minorHAnsi"/>
          <w:lang w:val="en-US" w:eastAsia="nl-BE"/>
        </w:rPr>
        <w:t xml:space="preserve"> (g) Saify, Z. S.; Nisa, M.; Azhar, K. F.; Azim, M. K.; Rasheed, H.; Mushtaq, N.; Arain, M. A.; Haider, S.; Khanum, M.; Ahmed, W. </w:t>
      </w:r>
      <w:r w:rsidR="0020631D" w:rsidRPr="009D418C">
        <w:rPr>
          <w:rFonts w:asciiTheme="minorHAnsi" w:hAnsiTheme="minorHAnsi"/>
          <w:i/>
          <w:lang w:val="en-US" w:eastAsia="nl-BE"/>
        </w:rPr>
        <w:t>Nat. Prod. Res.</w:t>
      </w:r>
      <w:r w:rsidR="0020631D" w:rsidRPr="009D418C">
        <w:rPr>
          <w:rFonts w:asciiTheme="minorHAnsi" w:hAnsiTheme="minorHAnsi"/>
          <w:lang w:val="en-US" w:eastAsia="nl-BE"/>
        </w:rPr>
        <w:t xml:space="preserve"> </w:t>
      </w:r>
      <w:r w:rsidR="0020631D" w:rsidRPr="009D418C">
        <w:rPr>
          <w:rFonts w:asciiTheme="minorHAnsi" w:hAnsiTheme="minorHAnsi"/>
          <w:b/>
          <w:lang w:val="en-US" w:eastAsia="nl-BE"/>
        </w:rPr>
        <w:t>2011</w:t>
      </w:r>
      <w:r w:rsidR="0020631D" w:rsidRPr="009D418C">
        <w:rPr>
          <w:rFonts w:asciiTheme="minorHAnsi" w:hAnsiTheme="minorHAnsi"/>
          <w:lang w:val="en-US" w:eastAsia="nl-BE"/>
        </w:rPr>
        <w:t xml:space="preserve">, </w:t>
      </w:r>
      <w:r w:rsidR="0020631D" w:rsidRPr="009D418C">
        <w:rPr>
          <w:rFonts w:asciiTheme="minorHAnsi" w:hAnsiTheme="minorHAnsi"/>
          <w:i/>
          <w:lang w:val="en-US" w:eastAsia="nl-BE"/>
        </w:rPr>
        <w:t>25</w:t>
      </w:r>
      <w:r w:rsidR="0020631D" w:rsidRPr="009D418C">
        <w:rPr>
          <w:rFonts w:asciiTheme="minorHAnsi" w:hAnsiTheme="minorHAnsi"/>
          <w:lang w:val="en-US" w:eastAsia="nl-BE"/>
        </w:rPr>
        <w:t>, 1965.</w:t>
      </w:r>
    </w:p>
  </w:endnote>
  <w:endnote w:id="7">
    <w:p w:rsidR="007239EF" w:rsidRPr="009D418C" w:rsidRDefault="007239EF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For reviews on the synthesis of piperidines, see: (a) Buffat, M. G. P.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Tetrahedron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2004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60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1701. (b) Felpin, F.-X.; Lebreton, J.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Eur. J. Org. Chem.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2003</w:t>
      </w:r>
      <w:r w:rsidR="00871163">
        <w:rPr>
          <w:rFonts w:asciiTheme="minorHAnsi" w:hAnsiTheme="minorHAnsi"/>
          <w:sz w:val="22"/>
          <w:szCs w:val="22"/>
          <w:lang w:val="en-US"/>
        </w:rPr>
        <w:t>, 3693. (c) Weintraub, P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. M.; Sabol, J. S.; Kane, J. M.; Borcherding, D. R.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Tetrahedron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2003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59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2953. (d) Laschat, S.; Dickner, T.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Synthesis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2000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1781. (e) Bailey, P. D.; Millwood, P. A.; Smith, P. D.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Chem. Commun.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1998</w:t>
      </w:r>
      <w:r w:rsidRPr="009D418C">
        <w:rPr>
          <w:rFonts w:asciiTheme="minorHAnsi" w:hAnsiTheme="minorHAnsi"/>
          <w:sz w:val="22"/>
          <w:szCs w:val="22"/>
          <w:lang w:val="en-US"/>
        </w:rPr>
        <w:t>, 633.</w:t>
      </w:r>
    </w:p>
  </w:endnote>
  <w:endnote w:id="8">
    <w:p w:rsidR="00C46259" w:rsidRPr="009D418C" w:rsidRDefault="00C46259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A4E78" w:rsidRPr="009D418C">
        <w:rPr>
          <w:rFonts w:asciiTheme="minorHAnsi" w:hAnsiTheme="minorHAnsi"/>
          <w:sz w:val="22"/>
          <w:szCs w:val="22"/>
          <w:lang w:val="en-US"/>
        </w:rPr>
        <w:t xml:space="preserve">For reviews on aziridine chemistry, see: 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(a) Tanner, D. 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>Angew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 xml:space="preserve">Chem., Int. Ed. Engl. </w:t>
      </w:r>
      <w:r w:rsidRPr="009D418C">
        <w:rPr>
          <w:rFonts w:asciiTheme="minorHAnsi" w:hAnsiTheme="minorHAnsi"/>
          <w:b/>
          <w:sz w:val="22"/>
          <w:szCs w:val="22"/>
          <w:lang w:val="en-GB"/>
        </w:rPr>
        <w:t>1994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>33</w:t>
      </w:r>
      <w:r w:rsidRPr="009D418C">
        <w:rPr>
          <w:rFonts w:asciiTheme="minorHAnsi" w:hAnsiTheme="minorHAnsi"/>
          <w:sz w:val="22"/>
          <w:szCs w:val="22"/>
          <w:lang w:val="en-GB"/>
        </w:rPr>
        <w:t>, 599. (b) Osborn, H. M. I.; Sweeney, J. B.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 xml:space="preserve"> Tetrahedron: Asymmetry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GB"/>
        </w:rPr>
        <w:t>1997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>8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, 1693. (c) McCoull, W.; Davis, F. A. 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>Synthesis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GB"/>
        </w:rPr>
        <w:t>2000</w:t>
      </w:r>
      <w:r w:rsidRPr="009D418C">
        <w:rPr>
          <w:rFonts w:asciiTheme="minorHAnsi" w:hAnsiTheme="minorHAnsi"/>
          <w:sz w:val="22"/>
          <w:szCs w:val="22"/>
          <w:lang w:val="en-GB"/>
        </w:rPr>
        <w:t>, 1347. (d) Sweeney, J. B.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 xml:space="preserve"> Chem. Soc. Rev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9D418C">
        <w:rPr>
          <w:rFonts w:asciiTheme="minorHAnsi" w:hAnsiTheme="minorHAnsi"/>
          <w:b/>
          <w:sz w:val="22"/>
          <w:szCs w:val="22"/>
          <w:lang w:val="en-GB"/>
        </w:rPr>
        <w:t>2002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GB"/>
        </w:rPr>
        <w:t>31</w:t>
      </w:r>
      <w:r w:rsidRPr="009D418C">
        <w:rPr>
          <w:rFonts w:asciiTheme="minorHAnsi" w:hAnsiTheme="minorHAnsi"/>
          <w:sz w:val="22"/>
          <w:szCs w:val="22"/>
          <w:lang w:val="en-GB"/>
        </w:rPr>
        <w:t xml:space="preserve">, 247. 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(e) Hu, X. E.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Tetrahedron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2004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60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2701. (f) </w:t>
      </w:r>
      <w:r w:rsidRPr="009D418C">
        <w:rPr>
          <w:rFonts w:asciiTheme="minorHAnsi" w:hAnsiTheme="minorHAnsi"/>
          <w:noProof/>
          <w:sz w:val="22"/>
          <w:szCs w:val="22"/>
          <w:lang w:val="en-US"/>
        </w:rPr>
        <w:t xml:space="preserve">Watson, I. D. G. ; Yu, L.; Yudin, A. K. </w:t>
      </w:r>
      <w:r w:rsidRPr="009D418C">
        <w:rPr>
          <w:rFonts w:asciiTheme="minorHAnsi" w:hAnsiTheme="minorHAnsi"/>
          <w:i/>
          <w:noProof/>
          <w:sz w:val="22"/>
          <w:szCs w:val="22"/>
          <w:lang w:val="en-US"/>
        </w:rPr>
        <w:t xml:space="preserve">Acc. </w:t>
      </w:r>
      <w:r w:rsidRPr="00605139">
        <w:rPr>
          <w:rFonts w:asciiTheme="minorHAnsi" w:hAnsiTheme="minorHAnsi"/>
          <w:i/>
          <w:noProof/>
          <w:sz w:val="22"/>
          <w:szCs w:val="22"/>
        </w:rPr>
        <w:t>Chem. Res.</w:t>
      </w:r>
      <w:r w:rsidRPr="00605139">
        <w:rPr>
          <w:rFonts w:asciiTheme="minorHAnsi" w:hAnsiTheme="minorHAnsi"/>
          <w:noProof/>
          <w:sz w:val="22"/>
          <w:szCs w:val="22"/>
        </w:rPr>
        <w:t xml:space="preserve"> </w:t>
      </w:r>
      <w:r w:rsidRPr="00605139">
        <w:rPr>
          <w:rFonts w:asciiTheme="minorHAnsi" w:hAnsiTheme="minorHAnsi"/>
          <w:b/>
          <w:noProof/>
          <w:sz w:val="22"/>
          <w:szCs w:val="22"/>
        </w:rPr>
        <w:t>2006</w:t>
      </w:r>
      <w:r w:rsidRPr="00605139">
        <w:rPr>
          <w:rFonts w:asciiTheme="minorHAnsi" w:hAnsiTheme="minorHAnsi"/>
          <w:noProof/>
          <w:sz w:val="22"/>
          <w:szCs w:val="22"/>
        </w:rPr>
        <w:t xml:space="preserve">, </w:t>
      </w:r>
      <w:r w:rsidRPr="00605139">
        <w:rPr>
          <w:rFonts w:asciiTheme="minorHAnsi" w:hAnsiTheme="minorHAnsi"/>
          <w:i/>
          <w:noProof/>
          <w:sz w:val="22"/>
          <w:szCs w:val="22"/>
        </w:rPr>
        <w:t>39</w:t>
      </w:r>
      <w:r w:rsidRPr="00605139">
        <w:rPr>
          <w:rFonts w:asciiTheme="minorHAnsi" w:hAnsiTheme="minorHAnsi"/>
          <w:noProof/>
          <w:sz w:val="22"/>
          <w:szCs w:val="22"/>
        </w:rPr>
        <w:t xml:space="preserve">, 194-206. </w:t>
      </w:r>
      <w:r w:rsidRPr="009D418C">
        <w:rPr>
          <w:rFonts w:asciiTheme="minorHAnsi" w:hAnsiTheme="minorHAnsi"/>
          <w:noProof/>
          <w:sz w:val="22"/>
          <w:szCs w:val="22"/>
        </w:rPr>
        <w:t xml:space="preserve">(g) </w:t>
      </w:r>
      <w:r w:rsidRPr="009D418C">
        <w:rPr>
          <w:rFonts w:asciiTheme="minorHAnsi" w:hAnsiTheme="minorHAnsi"/>
          <w:sz w:val="22"/>
          <w:szCs w:val="22"/>
        </w:rPr>
        <w:t>Singh, G. S.; D’hooghe, M.; De Kimpe, N.</w:t>
      </w:r>
      <w:r w:rsidRPr="009D418C">
        <w:rPr>
          <w:rFonts w:asciiTheme="minorHAnsi" w:hAnsiTheme="minorHAnsi"/>
          <w:i/>
          <w:sz w:val="22"/>
          <w:szCs w:val="22"/>
        </w:rPr>
        <w:t xml:space="preserve"> Chem. Rev.</w:t>
      </w:r>
      <w:r w:rsidRPr="009D418C">
        <w:rPr>
          <w:rFonts w:asciiTheme="minorHAnsi" w:hAnsiTheme="minorHAnsi"/>
          <w:sz w:val="22"/>
          <w:szCs w:val="22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</w:rPr>
        <w:t>2007</w:t>
      </w:r>
      <w:r w:rsidRPr="009D418C">
        <w:rPr>
          <w:rFonts w:asciiTheme="minorHAnsi" w:hAnsiTheme="minorHAnsi"/>
          <w:sz w:val="22"/>
          <w:szCs w:val="22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</w:rPr>
        <w:t>107</w:t>
      </w:r>
      <w:r w:rsidRPr="009D418C">
        <w:rPr>
          <w:rFonts w:asciiTheme="minorHAnsi" w:hAnsiTheme="minorHAnsi"/>
          <w:sz w:val="22"/>
          <w:szCs w:val="22"/>
        </w:rPr>
        <w:t xml:space="preserve">, 2080. (h) Stanković, S.; D’hooghe, M.; Catak, S.; </w:t>
      </w:r>
      <w:r w:rsidRPr="009D418C">
        <w:rPr>
          <w:rFonts w:asciiTheme="minorHAnsi" w:hAnsiTheme="minorHAnsi"/>
          <w:color w:val="000000"/>
          <w:sz w:val="22"/>
          <w:szCs w:val="22"/>
        </w:rPr>
        <w:t>Eum, H.;</w:t>
      </w:r>
      <w:r w:rsidRPr="009D418C">
        <w:rPr>
          <w:rFonts w:asciiTheme="minorHAnsi" w:hAnsiTheme="minorHAnsi"/>
          <w:sz w:val="22"/>
          <w:szCs w:val="22"/>
        </w:rPr>
        <w:t xml:space="preserve"> Waroquier, M.; Van Speybroeck, V.; De Kimpe, N.; Ha, H.-J. </w:t>
      </w:r>
      <w:r w:rsidRPr="009D418C">
        <w:rPr>
          <w:rFonts w:asciiTheme="minorHAnsi" w:hAnsiTheme="minorHAnsi"/>
          <w:i/>
          <w:sz w:val="22"/>
          <w:szCs w:val="22"/>
        </w:rPr>
        <w:t>Chem. Soc. Rev.</w:t>
      </w:r>
      <w:r w:rsidRPr="009D418C">
        <w:rPr>
          <w:rFonts w:asciiTheme="minorHAnsi" w:hAnsiTheme="minorHAnsi"/>
          <w:sz w:val="22"/>
          <w:szCs w:val="22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</w:rPr>
        <w:t>2012</w:t>
      </w:r>
      <w:r w:rsidRPr="009D418C">
        <w:rPr>
          <w:rFonts w:asciiTheme="minorHAnsi" w:hAnsiTheme="minorHAnsi"/>
          <w:sz w:val="22"/>
          <w:szCs w:val="22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</w:rPr>
        <w:t>41</w:t>
      </w:r>
      <w:r w:rsidRPr="009D418C">
        <w:rPr>
          <w:rFonts w:asciiTheme="minorHAnsi" w:hAnsiTheme="minorHAnsi"/>
          <w:sz w:val="22"/>
          <w:szCs w:val="22"/>
        </w:rPr>
        <w:t>, 643-665.</w:t>
      </w:r>
    </w:p>
  </w:endnote>
  <w:endnote w:id="9">
    <w:p w:rsidR="001A3DB2" w:rsidRPr="009D418C" w:rsidRDefault="001A3DB2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="00507803" w:rsidRPr="009D418C">
        <w:rPr>
          <w:rFonts w:asciiTheme="minorHAnsi" w:hAnsiTheme="minorHAnsi"/>
          <w:sz w:val="22"/>
          <w:szCs w:val="22"/>
        </w:rPr>
        <w:t xml:space="preserve"> (a)</w:t>
      </w:r>
      <w:r w:rsidRPr="009D418C">
        <w:rPr>
          <w:rFonts w:asciiTheme="minorHAnsi" w:hAnsiTheme="minorHAnsi"/>
          <w:sz w:val="22"/>
          <w:szCs w:val="22"/>
        </w:rPr>
        <w:t xml:space="preserve"> Vervisch, K.; D’hooghe, M.; Törnroos, K.</w:t>
      </w:r>
      <w:r w:rsidR="000F752B" w:rsidRPr="009D418C">
        <w:rPr>
          <w:rFonts w:asciiTheme="minorHAnsi" w:hAnsiTheme="minorHAnsi"/>
          <w:sz w:val="22"/>
          <w:szCs w:val="22"/>
        </w:rPr>
        <w:t xml:space="preserve"> </w:t>
      </w:r>
      <w:r w:rsidRPr="009D418C">
        <w:rPr>
          <w:rFonts w:asciiTheme="minorHAnsi" w:hAnsiTheme="minorHAnsi"/>
          <w:sz w:val="22"/>
          <w:szCs w:val="22"/>
        </w:rPr>
        <w:t xml:space="preserve">W.; De Kimpe, N. </w:t>
      </w:r>
      <w:r w:rsidRPr="009D418C">
        <w:rPr>
          <w:rFonts w:asciiTheme="minorHAnsi" w:hAnsiTheme="minorHAnsi"/>
          <w:i/>
          <w:sz w:val="22"/>
          <w:szCs w:val="22"/>
        </w:rPr>
        <w:t>J. Org. Chem.</w:t>
      </w:r>
      <w:r w:rsidRPr="009D418C">
        <w:rPr>
          <w:rFonts w:asciiTheme="minorHAnsi" w:hAnsiTheme="minorHAnsi"/>
          <w:sz w:val="22"/>
          <w:szCs w:val="22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</w:rPr>
        <w:t>2010</w:t>
      </w:r>
      <w:r w:rsidRPr="009D418C">
        <w:rPr>
          <w:rFonts w:asciiTheme="minorHAnsi" w:hAnsiTheme="minorHAnsi"/>
          <w:sz w:val="22"/>
          <w:szCs w:val="22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</w:rPr>
        <w:t>75</w:t>
      </w:r>
      <w:r w:rsidRPr="009D418C">
        <w:rPr>
          <w:rFonts w:asciiTheme="minorHAnsi" w:hAnsiTheme="minorHAnsi"/>
          <w:sz w:val="22"/>
          <w:szCs w:val="22"/>
        </w:rPr>
        <w:t>, 7734.</w:t>
      </w:r>
      <w:r w:rsidR="00507803" w:rsidRPr="009D418C">
        <w:rPr>
          <w:rFonts w:asciiTheme="minorHAnsi" w:hAnsiTheme="minorHAnsi"/>
          <w:sz w:val="22"/>
          <w:szCs w:val="22"/>
        </w:rPr>
        <w:t xml:space="preserve"> (b) Vervisch, K.; D’hooghe, M.; Törnroos, K.</w:t>
      </w:r>
      <w:r w:rsidR="000F752B" w:rsidRPr="009D418C">
        <w:rPr>
          <w:rFonts w:asciiTheme="minorHAnsi" w:hAnsiTheme="minorHAnsi"/>
          <w:sz w:val="22"/>
          <w:szCs w:val="22"/>
        </w:rPr>
        <w:t xml:space="preserve"> </w:t>
      </w:r>
      <w:r w:rsidR="00507803" w:rsidRPr="009D418C">
        <w:rPr>
          <w:rFonts w:asciiTheme="minorHAnsi" w:hAnsiTheme="minorHAnsi"/>
          <w:sz w:val="22"/>
          <w:szCs w:val="22"/>
        </w:rPr>
        <w:t xml:space="preserve">W.; De Kimpe, N. </w:t>
      </w:r>
      <w:r w:rsidR="00507803" w:rsidRPr="009D418C">
        <w:rPr>
          <w:rFonts w:asciiTheme="minorHAnsi" w:hAnsiTheme="minorHAnsi"/>
          <w:i/>
          <w:sz w:val="22"/>
          <w:szCs w:val="22"/>
        </w:rPr>
        <w:t xml:space="preserve">Org. Biomol. Chem. </w:t>
      </w:r>
      <w:r w:rsidR="00507803" w:rsidRPr="009D418C">
        <w:rPr>
          <w:rFonts w:asciiTheme="minorHAnsi" w:hAnsiTheme="minorHAnsi"/>
          <w:b/>
          <w:sz w:val="22"/>
          <w:szCs w:val="22"/>
        </w:rPr>
        <w:t>2012</w:t>
      </w:r>
      <w:r w:rsidR="00507803" w:rsidRPr="009D418C">
        <w:rPr>
          <w:rFonts w:asciiTheme="minorHAnsi" w:hAnsiTheme="minorHAnsi"/>
          <w:sz w:val="22"/>
          <w:szCs w:val="22"/>
        </w:rPr>
        <w:t xml:space="preserve">, </w:t>
      </w:r>
      <w:r w:rsidR="00507803" w:rsidRPr="009D418C">
        <w:rPr>
          <w:rFonts w:asciiTheme="minorHAnsi" w:hAnsiTheme="minorHAnsi"/>
          <w:i/>
          <w:sz w:val="22"/>
          <w:szCs w:val="22"/>
        </w:rPr>
        <w:t>10</w:t>
      </w:r>
      <w:r w:rsidR="00507803" w:rsidRPr="009D418C">
        <w:rPr>
          <w:rFonts w:asciiTheme="minorHAnsi" w:hAnsiTheme="minorHAnsi"/>
          <w:sz w:val="22"/>
          <w:szCs w:val="22"/>
        </w:rPr>
        <w:t>, 3308.</w:t>
      </w:r>
    </w:p>
  </w:endnote>
  <w:endnote w:id="10">
    <w:p w:rsidR="001A3DB2" w:rsidRPr="009D418C" w:rsidRDefault="001A3DB2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</w:rPr>
        <w:t>(</w:t>
      </w:r>
      <w:r w:rsidRPr="009D418C">
        <w:rPr>
          <w:rFonts w:asciiTheme="minorHAnsi" w:hAnsiTheme="minorHAnsi"/>
          <w:i/>
          <w:sz w:val="22"/>
          <w:szCs w:val="22"/>
        </w:rPr>
        <w:t>a</w:t>
      </w:r>
      <w:r w:rsidRPr="009D418C">
        <w:rPr>
          <w:rFonts w:asciiTheme="minorHAnsi" w:hAnsiTheme="minorHAnsi"/>
          <w:sz w:val="22"/>
          <w:szCs w:val="22"/>
        </w:rPr>
        <w:t xml:space="preserve">) D’hooghe, M.; Vervisch, K.; De Kimpe, N. </w:t>
      </w:r>
      <w:r w:rsidRPr="009D418C">
        <w:rPr>
          <w:rFonts w:asciiTheme="minorHAnsi" w:hAnsiTheme="minorHAnsi"/>
          <w:i/>
          <w:sz w:val="22"/>
          <w:szCs w:val="22"/>
        </w:rPr>
        <w:t>J. Org. Chem.</w:t>
      </w:r>
      <w:r w:rsidRPr="009D418C">
        <w:rPr>
          <w:rFonts w:asciiTheme="minorHAnsi" w:hAnsiTheme="minorHAnsi"/>
          <w:b/>
          <w:sz w:val="22"/>
          <w:szCs w:val="22"/>
        </w:rPr>
        <w:t xml:space="preserve"> 2007</w:t>
      </w:r>
      <w:r w:rsidRPr="009D418C">
        <w:rPr>
          <w:rFonts w:asciiTheme="minorHAnsi" w:hAnsiTheme="minorHAnsi"/>
          <w:sz w:val="22"/>
          <w:szCs w:val="22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</w:rPr>
        <w:t>72</w:t>
      </w:r>
      <w:r w:rsidRPr="009D418C">
        <w:rPr>
          <w:rFonts w:asciiTheme="minorHAnsi" w:hAnsiTheme="minorHAnsi"/>
          <w:sz w:val="22"/>
          <w:szCs w:val="22"/>
        </w:rPr>
        <w:t>, 7329. (</w:t>
      </w:r>
      <w:r w:rsidRPr="009D418C">
        <w:rPr>
          <w:rFonts w:asciiTheme="minorHAnsi" w:hAnsiTheme="minorHAnsi"/>
          <w:i/>
          <w:sz w:val="22"/>
          <w:szCs w:val="22"/>
        </w:rPr>
        <w:t>b</w:t>
      </w:r>
      <w:r w:rsidRPr="009D418C">
        <w:rPr>
          <w:rFonts w:asciiTheme="minorHAnsi" w:hAnsiTheme="minorHAnsi"/>
          <w:sz w:val="22"/>
          <w:szCs w:val="22"/>
        </w:rPr>
        <w:t xml:space="preserve">) Vervisch, K.; D’hooghe, M.; Törnroos, K.W.; De Kimpe, N. </w:t>
      </w:r>
      <w:r w:rsidRPr="009D418C">
        <w:rPr>
          <w:rFonts w:asciiTheme="minorHAnsi" w:hAnsiTheme="minorHAnsi"/>
          <w:i/>
          <w:sz w:val="22"/>
          <w:szCs w:val="22"/>
        </w:rPr>
        <w:t xml:space="preserve">Org.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Biomol. Chem.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2009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7</w:t>
      </w:r>
      <w:r w:rsidRPr="009D418C">
        <w:rPr>
          <w:rFonts w:asciiTheme="minorHAnsi" w:hAnsiTheme="minorHAnsi"/>
          <w:sz w:val="22"/>
          <w:szCs w:val="22"/>
          <w:lang w:val="en-US"/>
        </w:rPr>
        <w:t>, 3271.</w:t>
      </w:r>
    </w:p>
  </w:endnote>
  <w:endnote w:id="11">
    <w:p w:rsidR="001A3DB2" w:rsidRPr="009D418C" w:rsidRDefault="001A3DB2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(a) Broeckx, W.; Overbergh, N.; Samyn, C.; Smets, G.; L’Abbe, G.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Tetrahedron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1971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27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3527. </w:t>
      </w:r>
      <w:r w:rsidRPr="009D418C">
        <w:rPr>
          <w:rFonts w:asciiTheme="minorHAnsi" w:hAnsiTheme="minorHAnsi"/>
          <w:sz w:val="22"/>
          <w:szCs w:val="22"/>
        </w:rPr>
        <w:t xml:space="preserve">(b) Nayak, S.K.; Lambertus, T.; Zwanenburg, B. </w:t>
      </w:r>
      <w:r w:rsidRPr="009D418C">
        <w:rPr>
          <w:rFonts w:asciiTheme="minorHAnsi" w:hAnsiTheme="minorHAnsi"/>
          <w:i/>
          <w:sz w:val="22"/>
          <w:szCs w:val="22"/>
        </w:rPr>
        <w:t>Tetrahedron Lett.</w:t>
      </w:r>
      <w:r w:rsidRPr="009D418C">
        <w:rPr>
          <w:rFonts w:asciiTheme="minorHAnsi" w:hAnsiTheme="minorHAnsi"/>
          <w:sz w:val="22"/>
          <w:szCs w:val="22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</w:rPr>
        <w:t>1999</w:t>
      </w:r>
      <w:r w:rsidRPr="009D418C">
        <w:rPr>
          <w:rFonts w:asciiTheme="minorHAnsi" w:hAnsiTheme="minorHAnsi"/>
          <w:sz w:val="22"/>
          <w:szCs w:val="22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</w:rPr>
        <w:t>40</w:t>
      </w:r>
      <w:r w:rsidRPr="009D418C">
        <w:rPr>
          <w:rFonts w:asciiTheme="minorHAnsi" w:hAnsiTheme="minorHAnsi"/>
          <w:sz w:val="22"/>
          <w:szCs w:val="22"/>
        </w:rPr>
        <w:t>, 981.</w:t>
      </w:r>
    </w:p>
  </w:endnote>
  <w:endnote w:id="12">
    <w:p w:rsidR="004444F2" w:rsidRPr="009D418C" w:rsidRDefault="004444F2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nl-NL"/>
        </w:rPr>
        <w:t xml:space="preserve">(a) </w:t>
      </w:r>
      <w:r w:rsidRPr="009D418C">
        <w:rPr>
          <w:rFonts w:asciiTheme="minorHAnsi" w:hAnsiTheme="minorHAnsi" w:cs="Arial"/>
          <w:sz w:val="22"/>
          <w:szCs w:val="22"/>
          <w:lang w:val="nl-NL"/>
        </w:rPr>
        <w:t xml:space="preserve">De Kimpe, N.; Jolie, R.; De Smaele, D., </w:t>
      </w:r>
      <w:r w:rsidRPr="009D418C">
        <w:rPr>
          <w:rFonts w:asciiTheme="minorHAnsi" w:hAnsiTheme="minorHAnsi" w:cs="Arial"/>
          <w:i/>
          <w:iCs/>
          <w:sz w:val="22"/>
          <w:szCs w:val="22"/>
          <w:lang w:val="nl-NL"/>
        </w:rPr>
        <w:t xml:space="preserve">Chem. Soc., Chem Commun. </w:t>
      </w:r>
      <w:r w:rsidRPr="009D418C">
        <w:rPr>
          <w:rFonts w:asciiTheme="minorHAnsi" w:hAnsiTheme="minorHAnsi" w:cs="Arial"/>
          <w:b/>
          <w:bCs/>
          <w:sz w:val="22"/>
          <w:szCs w:val="22"/>
          <w:lang w:val="nl-NL"/>
        </w:rPr>
        <w:t>1994</w:t>
      </w:r>
      <w:r w:rsidRPr="009D418C">
        <w:rPr>
          <w:rFonts w:asciiTheme="minorHAnsi" w:hAnsiTheme="minorHAnsi" w:cs="Arial"/>
          <w:sz w:val="22"/>
          <w:szCs w:val="22"/>
          <w:lang w:val="nl-NL"/>
        </w:rPr>
        <w:t xml:space="preserve">, 1221. (b) De Kimpe, N.; De Smaele, D.; Szakonyi, Z. </w:t>
      </w:r>
      <w:r w:rsidRPr="009D418C">
        <w:rPr>
          <w:rFonts w:asciiTheme="minorHAnsi" w:hAnsiTheme="minorHAnsi" w:cs="Arial"/>
          <w:i/>
          <w:sz w:val="22"/>
          <w:szCs w:val="22"/>
          <w:lang w:val="nl-NL"/>
        </w:rPr>
        <w:t>J. Org.Chem.</w:t>
      </w:r>
      <w:r w:rsidRPr="009D418C">
        <w:rPr>
          <w:rFonts w:asciiTheme="minorHAnsi" w:hAnsiTheme="minorHAnsi" w:cs="Arial"/>
          <w:sz w:val="22"/>
          <w:szCs w:val="22"/>
          <w:lang w:val="nl-NL"/>
        </w:rPr>
        <w:t xml:space="preserve"> </w:t>
      </w:r>
      <w:r w:rsidRPr="009D418C">
        <w:rPr>
          <w:rFonts w:asciiTheme="minorHAnsi" w:hAnsiTheme="minorHAnsi" w:cs="Arial"/>
          <w:b/>
          <w:sz w:val="22"/>
          <w:szCs w:val="22"/>
          <w:lang w:val="nl-NL"/>
        </w:rPr>
        <w:t>1997</w:t>
      </w:r>
      <w:r w:rsidRPr="009D418C">
        <w:rPr>
          <w:rFonts w:asciiTheme="minorHAnsi" w:hAnsiTheme="minorHAnsi" w:cs="Arial"/>
          <w:sz w:val="22"/>
          <w:szCs w:val="22"/>
          <w:lang w:val="nl-NL"/>
        </w:rPr>
        <w:t xml:space="preserve">, </w:t>
      </w:r>
      <w:r w:rsidRPr="009D418C">
        <w:rPr>
          <w:rFonts w:asciiTheme="minorHAnsi" w:hAnsiTheme="minorHAnsi" w:cs="Arial"/>
          <w:i/>
          <w:sz w:val="22"/>
          <w:szCs w:val="22"/>
          <w:lang w:val="nl-NL"/>
        </w:rPr>
        <w:t>62</w:t>
      </w:r>
      <w:r w:rsidRPr="009D418C">
        <w:rPr>
          <w:rFonts w:asciiTheme="minorHAnsi" w:hAnsiTheme="minorHAnsi" w:cs="Arial"/>
          <w:sz w:val="22"/>
          <w:szCs w:val="22"/>
          <w:lang w:val="nl-NL"/>
        </w:rPr>
        <w:t xml:space="preserve">, 2448. (c) </w:t>
      </w:r>
      <w:r w:rsidRPr="009D418C">
        <w:rPr>
          <w:rFonts w:asciiTheme="minorHAnsi" w:hAnsiTheme="minorHAnsi"/>
          <w:noProof/>
          <w:sz w:val="22"/>
          <w:szCs w:val="22"/>
        </w:rPr>
        <w:t xml:space="preserve">D'hooghe, M.; Waterinckx, A.; De Kimpe, N., </w:t>
      </w:r>
      <w:r w:rsidRPr="009D418C">
        <w:rPr>
          <w:rFonts w:asciiTheme="minorHAnsi" w:hAnsiTheme="minorHAnsi"/>
          <w:i/>
          <w:noProof/>
          <w:sz w:val="22"/>
          <w:szCs w:val="22"/>
        </w:rPr>
        <w:t xml:space="preserve">J. Org. Chem. </w:t>
      </w:r>
      <w:r w:rsidRPr="009D418C">
        <w:rPr>
          <w:rFonts w:asciiTheme="minorHAnsi" w:hAnsiTheme="minorHAnsi"/>
          <w:b/>
          <w:noProof/>
          <w:sz w:val="22"/>
          <w:szCs w:val="22"/>
        </w:rPr>
        <w:t>2005,</w:t>
      </w:r>
      <w:r w:rsidRPr="009D418C">
        <w:rPr>
          <w:rFonts w:asciiTheme="minorHAnsi" w:hAnsiTheme="minorHAnsi"/>
          <w:noProof/>
          <w:sz w:val="22"/>
          <w:szCs w:val="22"/>
        </w:rPr>
        <w:t xml:space="preserve"> </w:t>
      </w:r>
      <w:r w:rsidRPr="009D418C">
        <w:rPr>
          <w:rFonts w:asciiTheme="minorHAnsi" w:hAnsiTheme="minorHAnsi"/>
          <w:i/>
          <w:noProof/>
          <w:sz w:val="22"/>
          <w:szCs w:val="22"/>
        </w:rPr>
        <w:t>70</w:t>
      </w:r>
      <w:r w:rsidRPr="009D418C">
        <w:rPr>
          <w:rFonts w:asciiTheme="minorHAnsi" w:hAnsiTheme="minorHAnsi"/>
          <w:noProof/>
          <w:sz w:val="22"/>
          <w:szCs w:val="22"/>
        </w:rPr>
        <w:t>, 227.</w:t>
      </w:r>
    </w:p>
  </w:endnote>
  <w:endnote w:id="13">
    <w:p w:rsidR="00CB77BD" w:rsidRPr="009D418C" w:rsidRDefault="00CB77BD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</w:rPr>
        <w:t xml:space="preserve"> (a) </w:t>
      </w:r>
      <w:r w:rsidRPr="009D418C">
        <w:rPr>
          <w:rFonts w:asciiTheme="minorHAnsi" w:hAnsiTheme="minorHAnsi" w:cs="Arial"/>
          <w:sz w:val="22"/>
          <w:szCs w:val="22"/>
        </w:rPr>
        <w:t xml:space="preserve">Burk, R. M.; Overman, L. E. </w:t>
      </w:r>
      <w:r w:rsidRPr="009D418C">
        <w:rPr>
          <w:rFonts w:asciiTheme="minorHAnsi" w:hAnsiTheme="minorHAnsi" w:cs="Arial"/>
          <w:i/>
          <w:iCs/>
          <w:sz w:val="22"/>
          <w:szCs w:val="22"/>
        </w:rPr>
        <w:t xml:space="preserve">Heterocycles </w:t>
      </w:r>
      <w:r w:rsidRPr="009D418C">
        <w:rPr>
          <w:rFonts w:asciiTheme="minorHAnsi" w:hAnsiTheme="minorHAnsi" w:cs="Arial"/>
          <w:b/>
          <w:bCs/>
          <w:sz w:val="22"/>
          <w:szCs w:val="22"/>
        </w:rPr>
        <w:t>1993,</w:t>
      </w:r>
      <w:r w:rsidRPr="009D418C">
        <w:rPr>
          <w:rFonts w:asciiTheme="minorHAnsi" w:hAnsiTheme="minorHAnsi" w:cs="Arial"/>
          <w:sz w:val="22"/>
          <w:szCs w:val="22"/>
        </w:rPr>
        <w:t xml:space="preserve"> </w:t>
      </w:r>
      <w:r w:rsidRPr="009D418C">
        <w:rPr>
          <w:rFonts w:asciiTheme="minorHAnsi" w:hAnsiTheme="minorHAnsi" w:cs="Arial"/>
          <w:i/>
          <w:iCs/>
          <w:sz w:val="22"/>
          <w:szCs w:val="22"/>
        </w:rPr>
        <w:t>35</w:t>
      </w:r>
      <w:r w:rsidRPr="009D418C">
        <w:rPr>
          <w:rFonts w:asciiTheme="minorHAnsi" w:hAnsiTheme="minorHAnsi" w:cs="Arial"/>
          <w:sz w:val="22"/>
          <w:szCs w:val="22"/>
        </w:rPr>
        <w:t xml:space="preserve">, 205. </w:t>
      </w:r>
    </w:p>
  </w:endnote>
  <w:endnote w:id="14">
    <w:p w:rsidR="00CB77BD" w:rsidRPr="009D418C" w:rsidRDefault="00CB77BD" w:rsidP="009D418C">
      <w:pPr>
        <w:autoSpaceDE w:val="0"/>
        <w:autoSpaceDN w:val="0"/>
        <w:adjustRightInd w:val="0"/>
        <w:spacing w:after="0"/>
        <w:rPr>
          <w:rFonts w:asciiTheme="minorHAnsi" w:hAnsiTheme="minorHAnsi" w:cs="Arial"/>
          <w:lang w:val="en-US"/>
        </w:rPr>
      </w:pPr>
      <w:r w:rsidRPr="009D418C">
        <w:rPr>
          <w:rStyle w:val="Eindnootmarkering"/>
          <w:rFonts w:asciiTheme="minorHAnsi" w:hAnsiTheme="minorHAnsi"/>
        </w:rPr>
        <w:endnoteRef/>
      </w:r>
      <w:r w:rsidR="005D202A" w:rsidRPr="009D418C">
        <w:rPr>
          <w:rFonts w:asciiTheme="minorHAnsi" w:hAnsiTheme="minorHAnsi"/>
        </w:rPr>
        <w:t xml:space="preserve"> </w:t>
      </w:r>
      <w:r w:rsidRPr="009D418C">
        <w:rPr>
          <w:rFonts w:asciiTheme="minorHAnsi" w:hAnsiTheme="minorHAnsi"/>
        </w:rPr>
        <w:t xml:space="preserve">(a) Stanković, S.; D’hooghe, M.; De Kimpe, N. </w:t>
      </w:r>
      <w:r w:rsidRPr="009D418C">
        <w:rPr>
          <w:rFonts w:asciiTheme="minorHAnsi" w:hAnsiTheme="minorHAnsi"/>
          <w:i/>
        </w:rPr>
        <w:t>Org. Biomol.Chem.</w:t>
      </w:r>
      <w:r w:rsidRPr="009D418C">
        <w:rPr>
          <w:rFonts w:asciiTheme="minorHAnsi" w:hAnsiTheme="minorHAnsi"/>
        </w:rPr>
        <w:t xml:space="preserve"> </w:t>
      </w:r>
      <w:r w:rsidRPr="009D418C">
        <w:rPr>
          <w:rFonts w:asciiTheme="minorHAnsi" w:hAnsiTheme="minorHAnsi"/>
          <w:b/>
        </w:rPr>
        <w:t>2010</w:t>
      </w:r>
      <w:r w:rsidRPr="009D418C">
        <w:rPr>
          <w:rFonts w:asciiTheme="minorHAnsi" w:hAnsiTheme="minorHAnsi"/>
        </w:rPr>
        <w:t>,</w:t>
      </w:r>
      <w:r w:rsidRPr="009D418C">
        <w:rPr>
          <w:rFonts w:asciiTheme="minorHAnsi" w:hAnsiTheme="minorHAnsi"/>
          <w:b/>
        </w:rPr>
        <w:t xml:space="preserve"> </w:t>
      </w:r>
      <w:r w:rsidRPr="009D418C">
        <w:rPr>
          <w:rFonts w:asciiTheme="minorHAnsi" w:hAnsiTheme="minorHAnsi"/>
          <w:i/>
        </w:rPr>
        <w:t>8</w:t>
      </w:r>
      <w:r w:rsidRPr="009D418C">
        <w:rPr>
          <w:rFonts w:asciiTheme="minorHAnsi" w:hAnsiTheme="minorHAnsi"/>
        </w:rPr>
        <w:t xml:space="preserve">, 4266. (b) De Kimpe, N.; Verhé, R.; De Buyck, L.; Schamp, N. </w:t>
      </w:r>
      <w:r w:rsidRPr="009D418C">
        <w:rPr>
          <w:rFonts w:asciiTheme="minorHAnsi" w:hAnsiTheme="minorHAnsi"/>
          <w:i/>
          <w:iCs/>
        </w:rPr>
        <w:t>Bull. Soc. Chim. Belg</w:t>
      </w:r>
      <w:r w:rsidRPr="009D418C">
        <w:rPr>
          <w:rFonts w:asciiTheme="minorHAnsi" w:hAnsiTheme="minorHAnsi"/>
        </w:rPr>
        <w:t xml:space="preserve">. </w:t>
      </w:r>
      <w:r w:rsidRPr="009D418C">
        <w:rPr>
          <w:rFonts w:asciiTheme="minorHAnsi" w:hAnsiTheme="minorHAnsi"/>
          <w:b/>
        </w:rPr>
        <w:t>1975</w:t>
      </w:r>
      <w:r w:rsidRPr="009D418C">
        <w:rPr>
          <w:rFonts w:asciiTheme="minorHAnsi" w:hAnsiTheme="minorHAnsi"/>
        </w:rPr>
        <w:t>,</w:t>
      </w:r>
      <w:r w:rsidRPr="009D418C">
        <w:rPr>
          <w:rFonts w:asciiTheme="minorHAnsi" w:hAnsiTheme="minorHAnsi"/>
          <w:i/>
        </w:rPr>
        <w:t xml:space="preserve"> </w:t>
      </w:r>
      <w:r w:rsidRPr="009D418C">
        <w:rPr>
          <w:rFonts w:asciiTheme="minorHAnsi" w:hAnsiTheme="minorHAnsi"/>
          <w:bCs/>
          <w:i/>
        </w:rPr>
        <w:t>84</w:t>
      </w:r>
      <w:r w:rsidRPr="009D418C">
        <w:rPr>
          <w:rFonts w:asciiTheme="minorHAnsi" w:hAnsiTheme="minorHAnsi"/>
        </w:rPr>
        <w:t xml:space="preserve">, 701. (c) Vilhelmsen, M.H.; Ostergaard, L.F.; Nielsen, M.B.; Hammerum, S. </w:t>
      </w:r>
      <w:r w:rsidRPr="009D418C">
        <w:rPr>
          <w:rFonts w:asciiTheme="minorHAnsi" w:hAnsiTheme="minorHAnsi"/>
          <w:i/>
          <w:iCs/>
        </w:rPr>
        <w:t>Org. Biomol. Chem.</w:t>
      </w:r>
      <w:r w:rsidRPr="009D418C">
        <w:rPr>
          <w:rFonts w:asciiTheme="minorHAnsi" w:hAnsiTheme="minorHAnsi"/>
        </w:rPr>
        <w:t xml:space="preserve"> </w:t>
      </w:r>
      <w:r w:rsidRPr="009D418C">
        <w:rPr>
          <w:rFonts w:asciiTheme="minorHAnsi" w:hAnsiTheme="minorHAnsi"/>
          <w:b/>
        </w:rPr>
        <w:t>2008</w:t>
      </w:r>
      <w:r w:rsidRPr="009D418C">
        <w:rPr>
          <w:rFonts w:asciiTheme="minorHAnsi" w:hAnsiTheme="minorHAnsi"/>
        </w:rPr>
        <w:t xml:space="preserve">, </w:t>
      </w:r>
      <w:r w:rsidRPr="009D418C">
        <w:rPr>
          <w:rFonts w:asciiTheme="minorHAnsi" w:hAnsiTheme="minorHAnsi"/>
          <w:bCs/>
          <w:i/>
        </w:rPr>
        <w:t>6</w:t>
      </w:r>
      <w:r w:rsidRPr="009D418C">
        <w:rPr>
          <w:rFonts w:asciiTheme="minorHAnsi" w:hAnsiTheme="minorHAnsi"/>
        </w:rPr>
        <w:t>, 1773. (d)</w:t>
      </w:r>
      <w:r w:rsidRPr="009D418C">
        <w:rPr>
          <w:rFonts w:asciiTheme="minorHAnsi" w:hAnsiTheme="minorHAnsi" w:cs="Arial"/>
        </w:rPr>
        <w:t xml:space="preserve"> De Kimpe, N.; Verhé, R.; De Buyck, L.; Schamp, N., </w:t>
      </w:r>
      <w:r w:rsidRPr="009D418C">
        <w:rPr>
          <w:rFonts w:asciiTheme="minorHAnsi" w:hAnsiTheme="minorHAnsi" w:cs="Arial"/>
          <w:i/>
          <w:iCs/>
        </w:rPr>
        <w:t xml:space="preserve">J. Org. </w:t>
      </w:r>
      <w:r w:rsidRPr="009D418C">
        <w:rPr>
          <w:rFonts w:asciiTheme="minorHAnsi" w:hAnsiTheme="minorHAnsi" w:cs="Arial"/>
          <w:i/>
          <w:iCs/>
          <w:lang w:val="en-US"/>
        </w:rPr>
        <w:t xml:space="preserve">Chem. </w:t>
      </w:r>
      <w:r w:rsidRPr="009D418C">
        <w:rPr>
          <w:rFonts w:asciiTheme="minorHAnsi" w:hAnsiTheme="minorHAnsi" w:cs="Arial"/>
          <w:b/>
          <w:bCs/>
          <w:lang w:val="en-US"/>
        </w:rPr>
        <w:t>1981,</w:t>
      </w:r>
      <w:r w:rsidRPr="009D418C">
        <w:rPr>
          <w:rFonts w:asciiTheme="minorHAnsi" w:hAnsiTheme="minorHAnsi" w:cs="Arial"/>
          <w:lang w:val="en-US"/>
        </w:rPr>
        <w:t xml:space="preserve"> </w:t>
      </w:r>
      <w:r w:rsidRPr="009D418C">
        <w:rPr>
          <w:rFonts w:asciiTheme="minorHAnsi" w:hAnsiTheme="minorHAnsi" w:cs="Arial"/>
          <w:i/>
          <w:iCs/>
          <w:lang w:val="en-US"/>
        </w:rPr>
        <w:t>46</w:t>
      </w:r>
      <w:r w:rsidRPr="009D418C">
        <w:rPr>
          <w:rFonts w:asciiTheme="minorHAnsi" w:hAnsiTheme="minorHAnsi" w:cs="Arial"/>
          <w:lang w:val="en-US"/>
        </w:rPr>
        <w:t>, 2079.</w:t>
      </w:r>
    </w:p>
  </w:endnote>
  <w:endnote w:id="15">
    <w:p w:rsidR="001A3DB2" w:rsidRPr="009D418C" w:rsidRDefault="001A3DB2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(a) Goto, M.; Tsutsui, H.; Matsuda, S.; Tanaka, Y.; Tsuruda, N.; Kurosaki, H.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Chem. Pharm. Bull.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2004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52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47. (b) Abu-Surrah, A.S.; Kettunen, M.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Curr</w:t>
      </w:r>
      <w:r w:rsidRPr="009D418C">
        <w:rPr>
          <w:rFonts w:asciiTheme="minorHAnsi" w:hAnsiTheme="minorHAnsi"/>
          <w:sz w:val="22"/>
          <w:szCs w:val="22"/>
          <w:lang w:val="en-US"/>
        </w:rPr>
        <w:t>.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 xml:space="preserve"> Med. Chem.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2006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13</w:t>
      </w:r>
      <w:r w:rsidRPr="009D418C">
        <w:rPr>
          <w:rFonts w:asciiTheme="minorHAnsi" w:hAnsiTheme="minorHAnsi"/>
          <w:sz w:val="22"/>
          <w:szCs w:val="22"/>
          <w:lang w:val="en-US"/>
        </w:rPr>
        <w:t>, 1337.</w:t>
      </w:r>
    </w:p>
  </w:endnote>
  <w:endnote w:id="16">
    <w:p w:rsidR="009D418C" w:rsidRPr="009D418C" w:rsidRDefault="009D418C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Slowinski, F.; Ben Ayad, O.; Vache, J.; Saady, M.; Leclerc, O.; Lochead, A.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 xml:space="preserve">Org. </w:t>
      </w:r>
      <w:r w:rsidRPr="00605139">
        <w:rPr>
          <w:rFonts w:asciiTheme="minorHAnsi" w:hAnsiTheme="minorHAnsi"/>
          <w:i/>
          <w:sz w:val="22"/>
          <w:szCs w:val="22"/>
          <w:lang w:val="en-US"/>
        </w:rPr>
        <w:t>Lett.</w:t>
      </w:r>
      <w:r w:rsidRPr="00605139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05139">
        <w:rPr>
          <w:rFonts w:asciiTheme="minorHAnsi" w:hAnsiTheme="minorHAnsi"/>
          <w:b/>
          <w:sz w:val="22"/>
          <w:szCs w:val="22"/>
          <w:lang w:val="en-US"/>
        </w:rPr>
        <w:t>2010</w:t>
      </w:r>
      <w:r w:rsidRPr="00605139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605139">
        <w:rPr>
          <w:rFonts w:asciiTheme="minorHAnsi" w:hAnsiTheme="minorHAnsi"/>
          <w:i/>
          <w:sz w:val="22"/>
          <w:szCs w:val="22"/>
          <w:lang w:val="en-US"/>
        </w:rPr>
        <w:t>12</w:t>
      </w:r>
      <w:r w:rsidRPr="00605139">
        <w:rPr>
          <w:rFonts w:asciiTheme="minorHAnsi" w:hAnsiTheme="minorHAnsi"/>
          <w:sz w:val="22"/>
          <w:szCs w:val="22"/>
          <w:lang w:val="en-US"/>
        </w:rPr>
        <w:t>, 5004.</w:t>
      </w:r>
    </w:p>
  </w:endnote>
  <w:endnote w:id="17">
    <w:p w:rsidR="001A3DB2" w:rsidRPr="009D418C" w:rsidRDefault="001A3DB2" w:rsidP="009D418C">
      <w:pPr>
        <w:autoSpaceDE w:val="0"/>
        <w:autoSpaceDN w:val="0"/>
        <w:adjustRightInd w:val="0"/>
        <w:spacing w:after="0"/>
        <w:rPr>
          <w:rFonts w:asciiTheme="minorHAnsi" w:hAnsiTheme="minorHAnsi" w:cs="Times-Roman"/>
          <w:lang w:val="en-US"/>
        </w:rPr>
      </w:pPr>
      <w:r w:rsidRPr="009D418C">
        <w:rPr>
          <w:rStyle w:val="Eindnootmarkering"/>
          <w:rFonts w:asciiTheme="minorHAnsi" w:hAnsiTheme="minorHAnsi"/>
        </w:rPr>
        <w:endnoteRef/>
      </w:r>
      <w:r w:rsidRPr="009D418C">
        <w:rPr>
          <w:rFonts w:asciiTheme="minorHAnsi" w:hAnsiTheme="minorHAnsi"/>
          <w:lang w:val="en-US"/>
        </w:rPr>
        <w:t>(a) Orlek, B.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>S.; Blaney, F.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>E.; Brown, F.; Clark, M.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>S.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>G.; Hadley, M.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>S.; Hatcher, J.; Riley, G.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>J.; Rosenberg, H.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>E.; Wadsworth, H.</w:t>
      </w:r>
      <w:r w:rsidR="005D202A"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lang w:val="en-US"/>
        </w:rPr>
        <w:t xml:space="preserve">J.; Wyman, P. </w:t>
      </w:r>
      <w:r w:rsidRPr="009D418C">
        <w:rPr>
          <w:rFonts w:asciiTheme="minorHAnsi" w:hAnsiTheme="minorHAnsi"/>
          <w:i/>
          <w:lang w:val="en-US"/>
        </w:rPr>
        <w:t>J. Med. Chem.</w:t>
      </w:r>
      <w:r w:rsidRPr="009D418C">
        <w:rPr>
          <w:rFonts w:asciiTheme="minorHAnsi" w:hAnsiTheme="minorHAnsi"/>
          <w:lang w:val="en-US"/>
        </w:rPr>
        <w:t xml:space="preserve"> </w:t>
      </w:r>
      <w:r w:rsidRPr="009D418C">
        <w:rPr>
          <w:rFonts w:asciiTheme="minorHAnsi" w:hAnsiTheme="minorHAnsi"/>
          <w:b/>
          <w:lang w:val="en-US"/>
        </w:rPr>
        <w:t>1991</w:t>
      </w:r>
      <w:r w:rsidRPr="009D418C">
        <w:rPr>
          <w:rFonts w:asciiTheme="minorHAnsi" w:hAnsiTheme="minorHAnsi"/>
          <w:lang w:val="en-US"/>
        </w:rPr>
        <w:t xml:space="preserve">, </w:t>
      </w:r>
      <w:r w:rsidRPr="009D418C">
        <w:rPr>
          <w:rFonts w:asciiTheme="minorHAnsi" w:hAnsiTheme="minorHAnsi"/>
          <w:i/>
          <w:lang w:val="en-US"/>
        </w:rPr>
        <w:t>34</w:t>
      </w:r>
      <w:r w:rsidRPr="009D418C">
        <w:rPr>
          <w:rFonts w:asciiTheme="minorHAnsi" w:hAnsiTheme="minorHAnsi"/>
          <w:lang w:val="en-US"/>
        </w:rPr>
        <w:t xml:space="preserve">, 2726. </w:t>
      </w:r>
      <w:r w:rsidRPr="009D418C">
        <w:rPr>
          <w:rFonts w:asciiTheme="minorHAnsi" w:hAnsiTheme="minorHAnsi" w:cs="Times-Roman"/>
          <w:lang w:val="en-US"/>
        </w:rPr>
        <w:t xml:space="preserve">(b) Jenkins, S. M.; Wadsworth, H. J.; Bromidge, S.; Orlek, B. S.; Wyman, P. A.; Riley, G. J.; Hawkins, J. </w:t>
      </w:r>
      <w:r w:rsidRPr="009D418C">
        <w:rPr>
          <w:rFonts w:asciiTheme="minorHAnsi" w:hAnsiTheme="minorHAnsi" w:cs="Times-Italic"/>
          <w:i/>
          <w:iCs/>
          <w:lang w:val="en-US"/>
        </w:rPr>
        <w:t xml:space="preserve">J. Med. Chem. </w:t>
      </w:r>
      <w:r w:rsidRPr="009D418C">
        <w:rPr>
          <w:rFonts w:asciiTheme="minorHAnsi" w:hAnsiTheme="minorHAnsi" w:cs="Times-Bold"/>
          <w:b/>
          <w:bCs/>
          <w:lang w:val="en-US"/>
        </w:rPr>
        <w:t>1992</w:t>
      </w:r>
      <w:r w:rsidRPr="009D418C">
        <w:rPr>
          <w:rFonts w:asciiTheme="minorHAnsi" w:hAnsiTheme="minorHAnsi" w:cs="Times-Roman"/>
          <w:lang w:val="en-US"/>
        </w:rPr>
        <w:t xml:space="preserve">, </w:t>
      </w:r>
      <w:r w:rsidRPr="009D418C">
        <w:rPr>
          <w:rFonts w:asciiTheme="minorHAnsi" w:hAnsiTheme="minorHAnsi" w:cs="Times-Italic"/>
          <w:i/>
          <w:iCs/>
          <w:lang w:val="en-US"/>
        </w:rPr>
        <w:t>35</w:t>
      </w:r>
      <w:r w:rsidRPr="009D418C">
        <w:rPr>
          <w:rFonts w:asciiTheme="minorHAnsi" w:hAnsiTheme="minorHAnsi" w:cs="Times-Roman"/>
          <w:lang w:val="en-US"/>
        </w:rPr>
        <w:t xml:space="preserve">, 2392. (c) Orlek, B. S.; Cassidy, F.; Clark, M. S. G.; Faulkner, R. E.; Collings, E. J.; Hawkins, J.; Riley, G. J. </w:t>
      </w:r>
      <w:r w:rsidRPr="009D418C">
        <w:rPr>
          <w:rFonts w:asciiTheme="minorHAnsi" w:hAnsiTheme="minorHAnsi" w:cs="Times-Italic"/>
          <w:i/>
          <w:iCs/>
          <w:lang w:val="en-US"/>
        </w:rPr>
        <w:t xml:space="preserve">Bioorg. Med. Chem. Lett. </w:t>
      </w:r>
      <w:r w:rsidRPr="009D418C">
        <w:rPr>
          <w:rFonts w:asciiTheme="minorHAnsi" w:hAnsiTheme="minorHAnsi" w:cs="Times-Bold"/>
          <w:b/>
          <w:bCs/>
          <w:lang w:val="en-US"/>
        </w:rPr>
        <w:t>1994</w:t>
      </w:r>
      <w:r w:rsidRPr="009D418C">
        <w:rPr>
          <w:rFonts w:asciiTheme="minorHAnsi" w:hAnsiTheme="minorHAnsi" w:cs="Times-Roman"/>
          <w:lang w:val="en-US"/>
        </w:rPr>
        <w:t xml:space="preserve">, </w:t>
      </w:r>
      <w:r w:rsidRPr="009D418C">
        <w:rPr>
          <w:rFonts w:asciiTheme="minorHAnsi" w:hAnsiTheme="minorHAnsi" w:cs="Times-Italic"/>
          <w:i/>
          <w:iCs/>
          <w:lang w:val="en-US"/>
        </w:rPr>
        <w:t>4</w:t>
      </w:r>
      <w:r w:rsidRPr="009D418C">
        <w:rPr>
          <w:rFonts w:asciiTheme="minorHAnsi" w:hAnsiTheme="minorHAnsi" w:cs="Times-Roman"/>
          <w:lang w:val="en-US"/>
        </w:rPr>
        <w:t>, 1411.</w:t>
      </w:r>
    </w:p>
  </w:endnote>
  <w:endnote w:id="18">
    <w:p w:rsidR="001A3DB2" w:rsidRPr="009D418C" w:rsidRDefault="001A3DB2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(a) Ciganek, E.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J. Org. Chem.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1995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60</w:t>
      </w:r>
      <w:r w:rsidRPr="009D418C">
        <w:rPr>
          <w:rFonts w:asciiTheme="minorHAnsi" w:hAnsiTheme="minorHAnsi"/>
          <w:sz w:val="22"/>
          <w:szCs w:val="22"/>
          <w:lang w:val="en-US"/>
        </w:rPr>
        <w:t>, 5803. (b) Sperger, C.</w:t>
      </w:r>
      <w:r w:rsidR="005D202A"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A.; Fiksdahl, A.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J. Org. Chem.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/>
          <w:b/>
          <w:sz w:val="22"/>
          <w:szCs w:val="22"/>
          <w:lang w:val="en-US"/>
        </w:rPr>
        <w:t>2010</w:t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9D418C">
        <w:rPr>
          <w:rFonts w:asciiTheme="minorHAnsi" w:hAnsiTheme="minorHAnsi"/>
          <w:i/>
          <w:sz w:val="22"/>
          <w:szCs w:val="22"/>
          <w:lang w:val="en-US"/>
        </w:rPr>
        <w:t>75</w:t>
      </w:r>
      <w:r w:rsidRPr="009D418C">
        <w:rPr>
          <w:rFonts w:asciiTheme="minorHAnsi" w:hAnsiTheme="minorHAnsi"/>
          <w:sz w:val="22"/>
          <w:szCs w:val="22"/>
          <w:lang w:val="en-US"/>
        </w:rPr>
        <w:t>, 4542.</w:t>
      </w:r>
    </w:p>
  </w:endnote>
  <w:endnote w:id="19">
    <w:p w:rsidR="00D45C09" w:rsidRPr="009D418C" w:rsidRDefault="00D45C09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Trager, W.; Jensen, J. B.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Science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</w:t>
      </w:r>
      <w:r w:rsidRPr="009D418C">
        <w:rPr>
          <w:rFonts w:asciiTheme="minorHAnsi" w:hAnsiTheme="minorHAnsi" w:cs="Calibri"/>
          <w:b/>
          <w:noProof/>
          <w:sz w:val="22"/>
          <w:szCs w:val="22"/>
          <w:lang w:val="en-GB"/>
        </w:rPr>
        <w:t xml:space="preserve">1976,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193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>, 673.</w:t>
      </w:r>
    </w:p>
  </w:endnote>
  <w:endnote w:id="20">
    <w:p w:rsidR="00D45C09" w:rsidRPr="009D418C" w:rsidRDefault="00D45C09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Makler, M. T.; Ries, J. M.; Williams, J. A.; Bancroft, J. E.; Piper, R. C.; Gibbins, B. L.; Hinrichs, D. J.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Am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 xml:space="preserve"> J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 xml:space="preserve"> Trop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 xml:space="preserve"> Med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 xml:space="preserve"> Hyg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</w:t>
      </w:r>
      <w:r w:rsidRPr="009D418C">
        <w:rPr>
          <w:rFonts w:asciiTheme="minorHAnsi" w:hAnsiTheme="minorHAnsi" w:cs="Calibri"/>
          <w:b/>
          <w:noProof/>
          <w:sz w:val="22"/>
          <w:szCs w:val="22"/>
          <w:lang w:val="en-GB"/>
        </w:rPr>
        <w:t xml:space="preserve">1993,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48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>, 739.</w:t>
      </w:r>
    </w:p>
  </w:endnote>
  <w:endnote w:id="21">
    <w:p w:rsidR="00D45C09" w:rsidRPr="009D418C" w:rsidRDefault="00D45C09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>The test samples were prepared to a 20 mg/mL stock solution in 100% DMSO. Stock solutions were stored at -20 °C. Further dilutions were prepared in complete medium on the day of the experiment. Chloroquine (CQ) was used as the reference. A full dose-response was performed for all compounds to determine the concentration inhibiting 50% of parasite growth (IC50-value). Test samples were tested at a starting concentration of 100 µg/mL, which was then serially diluted 2-fold in complete medi</w:t>
      </w:r>
      <w:r w:rsidR="00605795">
        <w:rPr>
          <w:rFonts w:asciiTheme="minorHAnsi" w:hAnsiTheme="minorHAnsi" w:cs="Calibri"/>
          <w:noProof/>
          <w:sz w:val="22"/>
          <w:szCs w:val="22"/>
          <w:lang w:val="en-GB"/>
        </w:rPr>
        <w:t>um to give 10 concentrations,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the lowest concentration being 0.2 µg/mL. The same dilution technique was used for all samples. CQ was tested at a starting concentration of 100 ng/mL against a CQS strain. The highest concentration of solvent to which the parasites were exposed to</w:t>
      </w:r>
      <w:r w:rsidR="00605795">
        <w:rPr>
          <w:rFonts w:asciiTheme="minorHAnsi" w:hAnsiTheme="minorHAnsi" w:cs="Calibri"/>
          <w:noProof/>
          <w:sz w:val="22"/>
          <w:szCs w:val="22"/>
          <w:lang w:val="en-GB"/>
        </w:rPr>
        <w:t>,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had no measurable effect on the parasite viability.</w:t>
      </w:r>
    </w:p>
  </w:endnote>
  <w:endnote w:id="22">
    <w:p w:rsidR="00D45C09" w:rsidRPr="009D418C" w:rsidRDefault="00D45C09" w:rsidP="009D418C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(a) 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Mosmann, T.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J Immunol Methods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</w:t>
      </w:r>
      <w:r w:rsidRPr="009D418C">
        <w:rPr>
          <w:rFonts w:asciiTheme="minorHAnsi" w:hAnsiTheme="minorHAnsi" w:cs="Calibri"/>
          <w:b/>
          <w:noProof/>
          <w:sz w:val="22"/>
          <w:szCs w:val="22"/>
          <w:lang w:val="en-GB"/>
        </w:rPr>
        <w:t xml:space="preserve">1983,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65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, 55. (b) Rubinstein, L. V.; Shoemaker, R. H.; Paull, K. D.; Simon, R. M.; Tosini, S.; Skehan, P.; Scudiero, D. A.; Monks, A.; Boyd, M. R.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J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 xml:space="preserve"> Natl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 xml:space="preserve"> Cancer I</w:t>
      </w:r>
      <w:r w:rsidR="00605795">
        <w:rPr>
          <w:rFonts w:asciiTheme="minorHAnsi" w:hAnsiTheme="minorHAnsi" w:cs="Calibri"/>
          <w:i/>
          <w:noProof/>
          <w:sz w:val="22"/>
          <w:szCs w:val="22"/>
          <w:lang w:val="en-GB"/>
        </w:rPr>
        <w:t>.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</w:t>
      </w:r>
      <w:r w:rsidRPr="009D418C">
        <w:rPr>
          <w:rFonts w:asciiTheme="minorHAnsi" w:hAnsiTheme="minorHAnsi" w:cs="Calibri"/>
          <w:b/>
          <w:noProof/>
          <w:sz w:val="22"/>
          <w:szCs w:val="22"/>
          <w:lang w:val="en-GB"/>
        </w:rPr>
        <w:t xml:space="preserve">1990, </w:t>
      </w:r>
      <w:r w:rsidRPr="009D418C">
        <w:rPr>
          <w:rFonts w:asciiTheme="minorHAnsi" w:hAnsiTheme="minorHAnsi" w:cs="Calibri"/>
          <w:i/>
          <w:noProof/>
          <w:sz w:val="22"/>
          <w:szCs w:val="22"/>
          <w:lang w:val="en-GB"/>
        </w:rPr>
        <w:t>82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>, 1113.</w:t>
      </w:r>
    </w:p>
  </w:endnote>
  <w:endnote w:id="23">
    <w:p w:rsidR="003C15BD" w:rsidRPr="009D418C" w:rsidRDefault="003C15BD" w:rsidP="003C15BD">
      <w:pPr>
        <w:pStyle w:val="Eindnoottekst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9D418C">
        <w:rPr>
          <w:rStyle w:val="Eindnootmarkering"/>
          <w:rFonts w:asciiTheme="minorHAnsi" w:hAnsiTheme="minorHAnsi"/>
          <w:sz w:val="22"/>
          <w:szCs w:val="22"/>
        </w:rPr>
        <w:endnoteRef/>
      </w:r>
      <w:r w:rsidRPr="009D418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>The test samples were prepared to a 2 mg/mL stock solution in 10% DMSO and were tested as a suspension. Test compounds were stored at -20 °C until use. Dilutions were prepared on the day of the experiment. Emetine was used as the reference drug in all experiments. The initial concentration of emetine was 100 µg/mL, which was serially diluted in complete medium with 10-fold dilutions to give 6 concentrations, the lowest being 0.001 µg/mL. The same dilution technique was applied to all test samples. The highest concentration of solvent to which the cells were exposed to</w:t>
      </w:r>
      <w:r w:rsidR="00605795">
        <w:rPr>
          <w:rFonts w:asciiTheme="minorHAnsi" w:hAnsiTheme="minorHAnsi" w:cs="Calibri"/>
          <w:noProof/>
          <w:sz w:val="22"/>
          <w:szCs w:val="22"/>
          <w:lang w:val="en-GB"/>
        </w:rPr>
        <w:t>,</w:t>
      </w:r>
      <w:r w:rsidRPr="009D418C">
        <w:rPr>
          <w:rFonts w:asciiTheme="minorHAnsi" w:hAnsiTheme="minorHAnsi" w:cs="Calibri"/>
          <w:noProof/>
          <w:sz w:val="22"/>
          <w:szCs w:val="22"/>
          <w:lang w:val="en-GB"/>
        </w:rPr>
        <w:t xml:space="preserve"> had no measurable effect on the cell viability. The 50% inhibitory concentration (IC50) values were obtained from full dose-response curves, using a non-linear dose-response curve fitting analysis via GraphPad Prism v.4 software.</w:t>
      </w:r>
    </w:p>
  </w:endnote>
  <w:endnote w:id="24">
    <w:p w:rsidR="007208E7" w:rsidRPr="009D418C" w:rsidRDefault="00195AD8" w:rsidP="009D418C">
      <w:pPr>
        <w:spacing w:after="0"/>
        <w:rPr>
          <w:rFonts w:asciiTheme="minorHAnsi" w:hAnsiTheme="minorHAnsi" w:cs="Calibri"/>
          <w:noProof/>
          <w:lang w:val="en-GB"/>
        </w:rPr>
      </w:pPr>
      <w:r w:rsidRPr="009D418C">
        <w:rPr>
          <w:rStyle w:val="Eindnootmarkering"/>
          <w:rFonts w:asciiTheme="minorHAnsi" w:hAnsiTheme="minorHAnsi"/>
        </w:rPr>
        <w:endnoteRef/>
      </w:r>
      <w:r w:rsidRPr="009D418C">
        <w:rPr>
          <w:rFonts w:asciiTheme="minorHAnsi" w:hAnsiTheme="minorHAnsi"/>
          <w:lang w:val="en-US"/>
        </w:rPr>
        <w:t xml:space="preserve"> </w:t>
      </w:r>
      <w:r w:rsidR="007208E7" w:rsidRPr="009D418C">
        <w:rPr>
          <w:rFonts w:asciiTheme="minorHAnsi" w:hAnsiTheme="minorHAnsi" w:cs="Calibri"/>
          <w:noProof/>
          <w:lang w:val="en-GB"/>
        </w:rPr>
        <w:t xml:space="preserve">Asojo, O. A.; Afonina, E.; Gulnik, S. V.; Yu, B.; Erickson, J. W.; Randad, R.; Medjahed, D.; Silva, A. M.; </w:t>
      </w:r>
      <w:r w:rsidR="007208E7" w:rsidRPr="009D418C">
        <w:rPr>
          <w:rFonts w:asciiTheme="minorHAnsi" w:hAnsiTheme="minorHAnsi" w:cs="Calibri"/>
          <w:i/>
          <w:noProof/>
          <w:lang w:val="en-GB"/>
        </w:rPr>
        <w:t>Acta Crystallogr. D</w:t>
      </w:r>
      <w:r w:rsidR="007208E7" w:rsidRPr="009D418C">
        <w:rPr>
          <w:rFonts w:asciiTheme="minorHAnsi" w:hAnsiTheme="minorHAnsi" w:cs="Calibri"/>
          <w:noProof/>
          <w:lang w:val="en-GB"/>
        </w:rPr>
        <w:t xml:space="preserve"> </w:t>
      </w:r>
      <w:r w:rsidR="007208E7" w:rsidRPr="009D418C">
        <w:rPr>
          <w:rFonts w:asciiTheme="minorHAnsi" w:hAnsiTheme="minorHAnsi" w:cs="Calibri"/>
          <w:b/>
          <w:noProof/>
          <w:lang w:val="en-GB"/>
        </w:rPr>
        <w:t>2002</w:t>
      </w:r>
      <w:r w:rsidR="007208E7" w:rsidRPr="009D418C">
        <w:rPr>
          <w:rFonts w:asciiTheme="minorHAnsi" w:hAnsiTheme="minorHAnsi" w:cs="Calibri"/>
          <w:noProof/>
          <w:lang w:val="en-GB"/>
        </w:rPr>
        <w:t xml:space="preserve">, </w:t>
      </w:r>
      <w:r w:rsidR="007208E7" w:rsidRPr="009D418C">
        <w:rPr>
          <w:rFonts w:asciiTheme="minorHAnsi" w:hAnsiTheme="minorHAnsi" w:cs="Calibri"/>
          <w:i/>
          <w:noProof/>
          <w:lang w:val="en-GB"/>
        </w:rPr>
        <w:t>58</w:t>
      </w:r>
      <w:r w:rsidR="007208E7" w:rsidRPr="009D418C">
        <w:rPr>
          <w:rFonts w:asciiTheme="minorHAnsi" w:hAnsiTheme="minorHAnsi" w:cs="Calibri"/>
          <w:noProof/>
          <w:lang w:val="en-GB"/>
        </w:rPr>
        <w:t>, 2001.</w:t>
      </w:r>
    </w:p>
    <w:p w:rsidR="00195AD8" w:rsidRPr="009D418C" w:rsidRDefault="00195AD8" w:rsidP="009D418C">
      <w:pPr>
        <w:pStyle w:val="Eindnoottekst"/>
        <w:spacing w:line="360" w:lineRule="auto"/>
        <w:rPr>
          <w:rFonts w:asciiTheme="minorHAnsi" w:hAnsiTheme="minorHAnsi" w:cs="Calibri"/>
          <w:noProof/>
          <w:sz w:val="22"/>
          <w:szCs w:val="22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SF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SF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MYR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YR4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MYR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DB2" w:rsidRDefault="008E312F">
    <w:pPr>
      <w:pStyle w:val="Voettekst"/>
      <w:jc w:val="right"/>
    </w:pPr>
    <w:r>
      <w:fldChar w:fldCharType="begin"/>
    </w:r>
    <w:r w:rsidR="00CE3E61">
      <w:instrText xml:space="preserve"> PAGE   \* MERGEFORMAT </w:instrText>
    </w:r>
    <w:r>
      <w:fldChar w:fldCharType="separate"/>
    </w:r>
    <w:r w:rsidR="00C50030">
      <w:rPr>
        <w:noProof/>
      </w:rPr>
      <w:t>1</w:t>
    </w:r>
    <w:r>
      <w:rPr>
        <w:noProof/>
      </w:rPr>
      <w:fldChar w:fldCharType="end"/>
    </w:r>
  </w:p>
  <w:p w:rsidR="001A3DB2" w:rsidRDefault="001A3D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DE" w:rsidRDefault="00BF03DE" w:rsidP="00EE740C">
      <w:pPr>
        <w:spacing w:after="0" w:line="240" w:lineRule="auto"/>
      </w:pPr>
      <w:r>
        <w:separator/>
      </w:r>
    </w:p>
  </w:footnote>
  <w:footnote w:type="continuationSeparator" w:id="0">
    <w:p w:rsidR="00BF03DE" w:rsidRDefault="00BF03DE" w:rsidP="00EE740C">
      <w:pPr>
        <w:spacing w:after="0" w:line="240" w:lineRule="auto"/>
      </w:pPr>
      <w:r>
        <w:continuationSeparator/>
      </w:r>
    </w:p>
  </w:footnote>
  <w:footnote w:id="1">
    <w:p w:rsidR="00871163" w:rsidRPr="00F27D43" w:rsidRDefault="00871163" w:rsidP="00F27D43">
      <w:pPr>
        <w:pStyle w:val="Voetnoottekst"/>
        <w:spacing w:line="240" w:lineRule="auto"/>
      </w:pPr>
      <w:r w:rsidRPr="00F27D43">
        <w:rPr>
          <w:rStyle w:val="Voetnootmarkering"/>
        </w:rPr>
        <w:sym w:font="Symbol" w:char="F02A"/>
      </w:r>
      <w:r w:rsidRPr="00F27D43">
        <w:rPr>
          <w:lang w:val="en-US"/>
        </w:rPr>
        <w:t xml:space="preserve"> </w:t>
      </w:r>
      <w:r w:rsidR="00F27D43" w:rsidRPr="00F27D43">
        <w:rPr>
          <w:lang w:val="en-GB"/>
        </w:rPr>
        <w:t xml:space="preserve">Corresponding authors: e-mail: </w:t>
      </w:r>
      <w:hyperlink r:id="rId1" w:history="1">
        <w:r w:rsidR="00F27D43" w:rsidRPr="00F27D43">
          <w:rPr>
            <w:rStyle w:val="Hyperlink"/>
            <w:lang w:val="en-GB"/>
          </w:rPr>
          <w:t>matthias.dhooghe@UGent.be</w:t>
        </w:r>
      </w:hyperlink>
      <w:r w:rsidR="00F27D43" w:rsidRPr="00F27D43">
        <w:rPr>
          <w:lang w:val="en-GB"/>
        </w:rPr>
        <w:t xml:space="preserve">, </w:t>
      </w:r>
      <w:hyperlink r:id="rId2" w:history="1">
        <w:r w:rsidR="00F27D43" w:rsidRPr="00F27D43">
          <w:rPr>
            <w:rStyle w:val="Hyperlink"/>
            <w:lang w:val="en-GB"/>
          </w:rPr>
          <w:t>norbert.dekimpe@UGent.be</w:t>
        </w:r>
      </w:hyperlink>
      <w:r w:rsidR="00F27D43" w:rsidRPr="00F27D43">
        <w:rPr>
          <w:lang w:val="en-GB"/>
        </w:rPr>
        <w:t>; Tel. +32-9-2649394, Fax. +32-9-2646221.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CS KV test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wa0wapw3pa2rde0xaqvae5d0ex0a5xxear0&quot;&gt;doctoraat_library_11904&lt;record-ids&gt;&lt;item&gt;535&lt;/item&gt;&lt;/record-ids&gt;&lt;/item&gt;&lt;/Libraries&gt;"/>
  </w:docVars>
  <w:rsids>
    <w:rsidRoot w:val="00EE740C"/>
    <w:rsid w:val="000059C0"/>
    <w:rsid w:val="00010B08"/>
    <w:rsid w:val="00013C13"/>
    <w:rsid w:val="00014610"/>
    <w:rsid w:val="000209E1"/>
    <w:rsid w:val="000229AA"/>
    <w:rsid w:val="000407CD"/>
    <w:rsid w:val="000537AC"/>
    <w:rsid w:val="00072DFD"/>
    <w:rsid w:val="00075901"/>
    <w:rsid w:val="00076760"/>
    <w:rsid w:val="00076D4B"/>
    <w:rsid w:val="00077CA5"/>
    <w:rsid w:val="00094C6D"/>
    <w:rsid w:val="00095299"/>
    <w:rsid w:val="000A057A"/>
    <w:rsid w:val="000A71CF"/>
    <w:rsid w:val="000B25C6"/>
    <w:rsid w:val="000B5540"/>
    <w:rsid w:val="000B7EC0"/>
    <w:rsid w:val="000C18A8"/>
    <w:rsid w:val="000C1D2A"/>
    <w:rsid w:val="000C58EB"/>
    <w:rsid w:val="000D09A2"/>
    <w:rsid w:val="000D1DBB"/>
    <w:rsid w:val="000F74ED"/>
    <w:rsid w:val="000F752B"/>
    <w:rsid w:val="000F7AE5"/>
    <w:rsid w:val="0010140D"/>
    <w:rsid w:val="001017E4"/>
    <w:rsid w:val="00103A1D"/>
    <w:rsid w:val="00105DEF"/>
    <w:rsid w:val="001119C2"/>
    <w:rsid w:val="0011231A"/>
    <w:rsid w:val="00116D26"/>
    <w:rsid w:val="0013422E"/>
    <w:rsid w:val="001445AB"/>
    <w:rsid w:val="00147A56"/>
    <w:rsid w:val="00151010"/>
    <w:rsid w:val="00153876"/>
    <w:rsid w:val="00155492"/>
    <w:rsid w:val="00170C31"/>
    <w:rsid w:val="00184BEC"/>
    <w:rsid w:val="00187191"/>
    <w:rsid w:val="00192E59"/>
    <w:rsid w:val="00193CB2"/>
    <w:rsid w:val="00195AD8"/>
    <w:rsid w:val="001A1AA0"/>
    <w:rsid w:val="001A3B1F"/>
    <w:rsid w:val="001A3DB2"/>
    <w:rsid w:val="001B2922"/>
    <w:rsid w:val="001B5A85"/>
    <w:rsid w:val="001C6133"/>
    <w:rsid w:val="001C615A"/>
    <w:rsid w:val="001D34BE"/>
    <w:rsid w:val="001D4E0E"/>
    <w:rsid w:val="001D6F50"/>
    <w:rsid w:val="001E0AA6"/>
    <w:rsid w:val="001E53EC"/>
    <w:rsid w:val="001E60CA"/>
    <w:rsid w:val="001F6A59"/>
    <w:rsid w:val="002039B9"/>
    <w:rsid w:val="0020631D"/>
    <w:rsid w:val="00207DD0"/>
    <w:rsid w:val="00214E65"/>
    <w:rsid w:val="002211A6"/>
    <w:rsid w:val="00232A2B"/>
    <w:rsid w:val="00242DF0"/>
    <w:rsid w:val="00244A96"/>
    <w:rsid w:val="00247DE2"/>
    <w:rsid w:val="00250884"/>
    <w:rsid w:val="002509A1"/>
    <w:rsid w:val="00257542"/>
    <w:rsid w:val="002639EA"/>
    <w:rsid w:val="00276917"/>
    <w:rsid w:val="002854C1"/>
    <w:rsid w:val="00292563"/>
    <w:rsid w:val="002A3A01"/>
    <w:rsid w:val="002A3A76"/>
    <w:rsid w:val="002B7E65"/>
    <w:rsid w:val="002C1CD1"/>
    <w:rsid w:val="002C5577"/>
    <w:rsid w:val="002C75A5"/>
    <w:rsid w:val="002D0B17"/>
    <w:rsid w:val="002D536A"/>
    <w:rsid w:val="002E085B"/>
    <w:rsid w:val="002E4D36"/>
    <w:rsid w:val="002F3702"/>
    <w:rsid w:val="00314236"/>
    <w:rsid w:val="00321083"/>
    <w:rsid w:val="00321D00"/>
    <w:rsid w:val="003232A6"/>
    <w:rsid w:val="00324E88"/>
    <w:rsid w:val="003315E4"/>
    <w:rsid w:val="003323AA"/>
    <w:rsid w:val="0033378C"/>
    <w:rsid w:val="0033758E"/>
    <w:rsid w:val="00342F2D"/>
    <w:rsid w:val="00345D0E"/>
    <w:rsid w:val="00355CB0"/>
    <w:rsid w:val="00360641"/>
    <w:rsid w:val="00362032"/>
    <w:rsid w:val="0036280B"/>
    <w:rsid w:val="003649C8"/>
    <w:rsid w:val="003740A7"/>
    <w:rsid w:val="003864B1"/>
    <w:rsid w:val="00386A30"/>
    <w:rsid w:val="0039155E"/>
    <w:rsid w:val="003A3CC4"/>
    <w:rsid w:val="003A4EF6"/>
    <w:rsid w:val="003B0952"/>
    <w:rsid w:val="003B46B7"/>
    <w:rsid w:val="003B7F33"/>
    <w:rsid w:val="003C15BD"/>
    <w:rsid w:val="003C48DB"/>
    <w:rsid w:val="003C5899"/>
    <w:rsid w:val="003D0F81"/>
    <w:rsid w:val="003D68AE"/>
    <w:rsid w:val="003E0686"/>
    <w:rsid w:val="003E14FE"/>
    <w:rsid w:val="003E2579"/>
    <w:rsid w:val="003E66C0"/>
    <w:rsid w:val="003F2535"/>
    <w:rsid w:val="003F3709"/>
    <w:rsid w:val="003F56EC"/>
    <w:rsid w:val="003F57B6"/>
    <w:rsid w:val="0040304A"/>
    <w:rsid w:val="00406766"/>
    <w:rsid w:val="00410328"/>
    <w:rsid w:val="00413BC7"/>
    <w:rsid w:val="004165C7"/>
    <w:rsid w:val="004247E6"/>
    <w:rsid w:val="00432D74"/>
    <w:rsid w:val="004357A4"/>
    <w:rsid w:val="004444F2"/>
    <w:rsid w:val="00447671"/>
    <w:rsid w:val="004520BB"/>
    <w:rsid w:val="004543FD"/>
    <w:rsid w:val="00457042"/>
    <w:rsid w:val="004609C5"/>
    <w:rsid w:val="0046338C"/>
    <w:rsid w:val="0047235E"/>
    <w:rsid w:val="004745FB"/>
    <w:rsid w:val="004750D6"/>
    <w:rsid w:val="00484A71"/>
    <w:rsid w:val="00485164"/>
    <w:rsid w:val="0049325C"/>
    <w:rsid w:val="00496C70"/>
    <w:rsid w:val="004B247F"/>
    <w:rsid w:val="004B3611"/>
    <w:rsid w:val="004C4E20"/>
    <w:rsid w:val="004C5DF5"/>
    <w:rsid w:val="004C72AE"/>
    <w:rsid w:val="004D1152"/>
    <w:rsid w:val="004D2430"/>
    <w:rsid w:val="004D5B6F"/>
    <w:rsid w:val="004E0CF3"/>
    <w:rsid w:val="004E41C4"/>
    <w:rsid w:val="004E6768"/>
    <w:rsid w:val="004E7A3B"/>
    <w:rsid w:val="004F316F"/>
    <w:rsid w:val="004F3408"/>
    <w:rsid w:val="004F68AE"/>
    <w:rsid w:val="00507803"/>
    <w:rsid w:val="00511C01"/>
    <w:rsid w:val="0051767E"/>
    <w:rsid w:val="00520769"/>
    <w:rsid w:val="00522443"/>
    <w:rsid w:val="00522CFC"/>
    <w:rsid w:val="00524203"/>
    <w:rsid w:val="00526E0F"/>
    <w:rsid w:val="00542332"/>
    <w:rsid w:val="00545870"/>
    <w:rsid w:val="00551C97"/>
    <w:rsid w:val="0056056B"/>
    <w:rsid w:val="00562F33"/>
    <w:rsid w:val="00563151"/>
    <w:rsid w:val="00563904"/>
    <w:rsid w:val="00573572"/>
    <w:rsid w:val="005753E6"/>
    <w:rsid w:val="00575B62"/>
    <w:rsid w:val="00577A33"/>
    <w:rsid w:val="00581D09"/>
    <w:rsid w:val="00584835"/>
    <w:rsid w:val="005864D5"/>
    <w:rsid w:val="00596C1D"/>
    <w:rsid w:val="005C2169"/>
    <w:rsid w:val="005C585F"/>
    <w:rsid w:val="005C65A8"/>
    <w:rsid w:val="005C70F4"/>
    <w:rsid w:val="005D202A"/>
    <w:rsid w:val="005D3C3E"/>
    <w:rsid w:val="005D5A1E"/>
    <w:rsid w:val="005E1184"/>
    <w:rsid w:val="005E5025"/>
    <w:rsid w:val="005E65C9"/>
    <w:rsid w:val="005F0383"/>
    <w:rsid w:val="005F05B4"/>
    <w:rsid w:val="005F0733"/>
    <w:rsid w:val="005F1BC0"/>
    <w:rsid w:val="005F3467"/>
    <w:rsid w:val="005F5FAC"/>
    <w:rsid w:val="00600BEF"/>
    <w:rsid w:val="00603816"/>
    <w:rsid w:val="00605139"/>
    <w:rsid w:val="00605795"/>
    <w:rsid w:val="006060DF"/>
    <w:rsid w:val="00606E37"/>
    <w:rsid w:val="00622343"/>
    <w:rsid w:val="00630778"/>
    <w:rsid w:val="0063097D"/>
    <w:rsid w:val="006340D4"/>
    <w:rsid w:val="00636191"/>
    <w:rsid w:val="00636C7F"/>
    <w:rsid w:val="006403FC"/>
    <w:rsid w:val="00640ECF"/>
    <w:rsid w:val="0064340E"/>
    <w:rsid w:val="006465B6"/>
    <w:rsid w:val="00665E6E"/>
    <w:rsid w:val="0067091F"/>
    <w:rsid w:val="00671264"/>
    <w:rsid w:val="00680C98"/>
    <w:rsid w:val="00682D2C"/>
    <w:rsid w:val="006879FE"/>
    <w:rsid w:val="00690743"/>
    <w:rsid w:val="00692490"/>
    <w:rsid w:val="0069308C"/>
    <w:rsid w:val="006A314A"/>
    <w:rsid w:val="006A5397"/>
    <w:rsid w:val="006A72B4"/>
    <w:rsid w:val="006B2064"/>
    <w:rsid w:val="006B2183"/>
    <w:rsid w:val="006B415E"/>
    <w:rsid w:val="006B521B"/>
    <w:rsid w:val="006C4B71"/>
    <w:rsid w:val="006C7644"/>
    <w:rsid w:val="006C77A7"/>
    <w:rsid w:val="006D030E"/>
    <w:rsid w:val="006D451D"/>
    <w:rsid w:val="006E3A75"/>
    <w:rsid w:val="006E5106"/>
    <w:rsid w:val="006F4D1D"/>
    <w:rsid w:val="006F66BD"/>
    <w:rsid w:val="007017B8"/>
    <w:rsid w:val="00701A16"/>
    <w:rsid w:val="00702143"/>
    <w:rsid w:val="007026A8"/>
    <w:rsid w:val="00703AB4"/>
    <w:rsid w:val="00705F92"/>
    <w:rsid w:val="00710B84"/>
    <w:rsid w:val="00712AFD"/>
    <w:rsid w:val="0071405F"/>
    <w:rsid w:val="0071535B"/>
    <w:rsid w:val="00715441"/>
    <w:rsid w:val="007208E7"/>
    <w:rsid w:val="007233AA"/>
    <w:rsid w:val="007239EF"/>
    <w:rsid w:val="00727997"/>
    <w:rsid w:val="00732836"/>
    <w:rsid w:val="00732FDC"/>
    <w:rsid w:val="007350DC"/>
    <w:rsid w:val="00741F1C"/>
    <w:rsid w:val="00744BEC"/>
    <w:rsid w:val="00757C0B"/>
    <w:rsid w:val="00770DED"/>
    <w:rsid w:val="00771D91"/>
    <w:rsid w:val="00773890"/>
    <w:rsid w:val="0077417B"/>
    <w:rsid w:val="00781282"/>
    <w:rsid w:val="0078722B"/>
    <w:rsid w:val="007A1B6E"/>
    <w:rsid w:val="007A5926"/>
    <w:rsid w:val="007A6D1A"/>
    <w:rsid w:val="007B3470"/>
    <w:rsid w:val="007B6918"/>
    <w:rsid w:val="007B7EAF"/>
    <w:rsid w:val="007C1CF1"/>
    <w:rsid w:val="007C4949"/>
    <w:rsid w:val="007C6F1B"/>
    <w:rsid w:val="007D4689"/>
    <w:rsid w:val="007E0312"/>
    <w:rsid w:val="007E5252"/>
    <w:rsid w:val="007F092B"/>
    <w:rsid w:val="007F1F0E"/>
    <w:rsid w:val="007F57A7"/>
    <w:rsid w:val="007F64A7"/>
    <w:rsid w:val="00803F72"/>
    <w:rsid w:val="008129DA"/>
    <w:rsid w:val="00812F16"/>
    <w:rsid w:val="00822F95"/>
    <w:rsid w:val="00826FB3"/>
    <w:rsid w:val="00827293"/>
    <w:rsid w:val="008516D9"/>
    <w:rsid w:val="0085270D"/>
    <w:rsid w:val="00857C58"/>
    <w:rsid w:val="00863FAC"/>
    <w:rsid w:val="00871163"/>
    <w:rsid w:val="00875892"/>
    <w:rsid w:val="00877145"/>
    <w:rsid w:val="00877DE4"/>
    <w:rsid w:val="008821B2"/>
    <w:rsid w:val="008825BF"/>
    <w:rsid w:val="00883F3F"/>
    <w:rsid w:val="008844E6"/>
    <w:rsid w:val="008865B0"/>
    <w:rsid w:val="0088728D"/>
    <w:rsid w:val="0089393B"/>
    <w:rsid w:val="00895E9F"/>
    <w:rsid w:val="00896883"/>
    <w:rsid w:val="008A3927"/>
    <w:rsid w:val="008B13AC"/>
    <w:rsid w:val="008C2744"/>
    <w:rsid w:val="008C6F0C"/>
    <w:rsid w:val="008D1423"/>
    <w:rsid w:val="008D1F63"/>
    <w:rsid w:val="008D222D"/>
    <w:rsid w:val="008D32FC"/>
    <w:rsid w:val="008E207C"/>
    <w:rsid w:val="008E312F"/>
    <w:rsid w:val="008E3296"/>
    <w:rsid w:val="008E5EEF"/>
    <w:rsid w:val="008F006F"/>
    <w:rsid w:val="008F1928"/>
    <w:rsid w:val="009001CD"/>
    <w:rsid w:val="009046E5"/>
    <w:rsid w:val="00911C4E"/>
    <w:rsid w:val="00912684"/>
    <w:rsid w:val="009148A4"/>
    <w:rsid w:val="00915184"/>
    <w:rsid w:val="00925B51"/>
    <w:rsid w:val="00925B96"/>
    <w:rsid w:val="00931F8B"/>
    <w:rsid w:val="0093774A"/>
    <w:rsid w:val="0094068F"/>
    <w:rsid w:val="0094381D"/>
    <w:rsid w:val="00950154"/>
    <w:rsid w:val="00956EAF"/>
    <w:rsid w:val="00963192"/>
    <w:rsid w:val="009657FC"/>
    <w:rsid w:val="009670F4"/>
    <w:rsid w:val="0097197A"/>
    <w:rsid w:val="00973944"/>
    <w:rsid w:val="00974BE9"/>
    <w:rsid w:val="009825FD"/>
    <w:rsid w:val="00983E08"/>
    <w:rsid w:val="009843AB"/>
    <w:rsid w:val="009856CA"/>
    <w:rsid w:val="00987581"/>
    <w:rsid w:val="00990829"/>
    <w:rsid w:val="00994D5F"/>
    <w:rsid w:val="00996120"/>
    <w:rsid w:val="009A26C5"/>
    <w:rsid w:val="009B46D4"/>
    <w:rsid w:val="009B514E"/>
    <w:rsid w:val="009C671B"/>
    <w:rsid w:val="009D0B2D"/>
    <w:rsid w:val="009D418C"/>
    <w:rsid w:val="009D41EC"/>
    <w:rsid w:val="009D74C9"/>
    <w:rsid w:val="009E014A"/>
    <w:rsid w:val="009E41D9"/>
    <w:rsid w:val="009E67A2"/>
    <w:rsid w:val="009E67D5"/>
    <w:rsid w:val="009F095A"/>
    <w:rsid w:val="009F3D50"/>
    <w:rsid w:val="009F40FD"/>
    <w:rsid w:val="009F4472"/>
    <w:rsid w:val="00A051AD"/>
    <w:rsid w:val="00A06BE8"/>
    <w:rsid w:val="00A10A43"/>
    <w:rsid w:val="00A14E4A"/>
    <w:rsid w:val="00A20A59"/>
    <w:rsid w:val="00A21259"/>
    <w:rsid w:val="00A24258"/>
    <w:rsid w:val="00A24E45"/>
    <w:rsid w:val="00A2582C"/>
    <w:rsid w:val="00A26375"/>
    <w:rsid w:val="00A31107"/>
    <w:rsid w:val="00A50329"/>
    <w:rsid w:val="00A638F5"/>
    <w:rsid w:val="00A67113"/>
    <w:rsid w:val="00A72639"/>
    <w:rsid w:val="00A80AF7"/>
    <w:rsid w:val="00A81DC0"/>
    <w:rsid w:val="00A87ACE"/>
    <w:rsid w:val="00A913CA"/>
    <w:rsid w:val="00A977A9"/>
    <w:rsid w:val="00AA3E64"/>
    <w:rsid w:val="00AA4C3E"/>
    <w:rsid w:val="00AA70E8"/>
    <w:rsid w:val="00AC63FB"/>
    <w:rsid w:val="00AD0161"/>
    <w:rsid w:val="00AD3C47"/>
    <w:rsid w:val="00AD71B4"/>
    <w:rsid w:val="00AE13C1"/>
    <w:rsid w:val="00AE2937"/>
    <w:rsid w:val="00AE34F4"/>
    <w:rsid w:val="00AF3EB9"/>
    <w:rsid w:val="00AF7B54"/>
    <w:rsid w:val="00B00793"/>
    <w:rsid w:val="00B00D75"/>
    <w:rsid w:val="00B031DD"/>
    <w:rsid w:val="00B12CAE"/>
    <w:rsid w:val="00B1486C"/>
    <w:rsid w:val="00B17987"/>
    <w:rsid w:val="00B2004B"/>
    <w:rsid w:val="00B202BB"/>
    <w:rsid w:val="00B225EA"/>
    <w:rsid w:val="00B22E35"/>
    <w:rsid w:val="00B23748"/>
    <w:rsid w:val="00B26CA5"/>
    <w:rsid w:val="00B4146A"/>
    <w:rsid w:val="00B46BD1"/>
    <w:rsid w:val="00B55CFA"/>
    <w:rsid w:val="00B56DBE"/>
    <w:rsid w:val="00B57AF9"/>
    <w:rsid w:val="00B647B8"/>
    <w:rsid w:val="00B80DF6"/>
    <w:rsid w:val="00B812D4"/>
    <w:rsid w:val="00B84A87"/>
    <w:rsid w:val="00B84F77"/>
    <w:rsid w:val="00B8610C"/>
    <w:rsid w:val="00B86F6C"/>
    <w:rsid w:val="00B92D5A"/>
    <w:rsid w:val="00BA4592"/>
    <w:rsid w:val="00BA6E96"/>
    <w:rsid w:val="00BB0DEB"/>
    <w:rsid w:val="00BB1D56"/>
    <w:rsid w:val="00BD39EE"/>
    <w:rsid w:val="00BD7267"/>
    <w:rsid w:val="00BE5383"/>
    <w:rsid w:val="00BE543E"/>
    <w:rsid w:val="00BE6A7C"/>
    <w:rsid w:val="00BF03DE"/>
    <w:rsid w:val="00BF5007"/>
    <w:rsid w:val="00BF5C85"/>
    <w:rsid w:val="00C046A0"/>
    <w:rsid w:val="00C05FC9"/>
    <w:rsid w:val="00C06365"/>
    <w:rsid w:val="00C0676F"/>
    <w:rsid w:val="00C07E53"/>
    <w:rsid w:val="00C106BD"/>
    <w:rsid w:val="00C148D7"/>
    <w:rsid w:val="00C16E1B"/>
    <w:rsid w:val="00C16EB3"/>
    <w:rsid w:val="00C24FB2"/>
    <w:rsid w:val="00C25E0D"/>
    <w:rsid w:val="00C33FCD"/>
    <w:rsid w:val="00C37343"/>
    <w:rsid w:val="00C43D3A"/>
    <w:rsid w:val="00C461BC"/>
    <w:rsid w:val="00C46259"/>
    <w:rsid w:val="00C50030"/>
    <w:rsid w:val="00C67ABC"/>
    <w:rsid w:val="00C73016"/>
    <w:rsid w:val="00C80F7B"/>
    <w:rsid w:val="00C8648A"/>
    <w:rsid w:val="00C947B0"/>
    <w:rsid w:val="00C95B7E"/>
    <w:rsid w:val="00C95CB4"/>
    <w:rsid w:val="00CA25A0"/>
    <w:rsid w:val="00CA3AF9"/>
    <w:rsid w:val="00CA4428"/>
    <w:rsid w:val="00CA7C50"/>
    <w:rsid w:val="00CB1D3D"/>
    <w:rsid w:val="00CB39C4"/>
    <w:rsid w:val="00CB66FF"/>
    <w:rsid w:val="00CB77BD"/>
    <w:rsid w:val="00CC366A"/>
    <w:rsid w:val="00CC5583"/>
    <w:rsid w:val="00CC6D2A"/>
    <w:rsid w:val="00CD1076"/>
    <w:rsid w:val="00CD4114"/>
    <w:rsid w:val="00CD73B4"/>
    <w:rsid w:val="00CE1071"/>
    <w:rsid w:val="00CE3E61"/>
    <w:rsid w:val="00CF2661"/>
    <w:rsid w:val="00CF3352"/>
    <w:rsid w:val="00CF74F4"/>
    <w:rsid w:val="00D01801"/>
    <w:rsid w:val="00D0213D"/>
    <w:rsid w:val="00D02B0F"/>
    <w:rsid w:val="00D02FD0"/>
    <w:rsid w:val="00D0636E"/>
    <w:rsid w:val="00D1455A"/>
    <w:rsid w:val="00D17FEA"/>
    <w:rsid w:val="00D23076"/>
    <w:rsid w:val="00D24611"/>
    <w:rsid w:val="00D24ADF"/>
    <w:rsid w:val="00D24B45"/>
    <w:rsid w:val="00D32224"/>
    <w:rsid w:val="00D376EB"/>
    <w:rsid w:val="00D41E0F"/>
    <w:rsid w:val="00D43F84"/>
    <w:rsid w:val="00D45C09"/>
    <w:rsid w:val="00D51EAC"/>
    <w:rsid w:val="00D536AE"/>
    <w:rsid w:val="00D572DA"/>
    <w:rsid w:val="00D57930"/>
    <w:rsid w:val="00D60238"/>
    <w:rsid w:val="00D622E7"/>
    <w:rsid w:val="00D63FAF"/>
    <w:rsid w:val="00D72244"/>
    <w:rsid w:val="00D73BB0"/>
    <w:rsid w:val="00D74930"/>
    <w:rsid w:val="00D87454"/>
    <w:rsid w:val="00D90388"/>
    <w:rsid w:val="00D941DA"/>
    <w:rsid w:val="00D97C3F"/>
    <w:rsid w:val="00DB58EC"/>
    <w:rsid w:val="00DC0AF4"/>
    <w:rsid w:val="00DC255F"/>
    <w:rsid w:val="00DD021D"/>
    <w:rsid w:val="00DD7802"/>
    <w:rsid w:val="00DE57FB"/>
    <w:rsid w:val="00DF7AC0"/>
    <w:rsid w:val="00E031FB"/>
    <w:rsid w:val="00E060BD"/>
    <w:rsid w:val="00E07828"/>
    <w:rsid w:val="00E16420"/>
    <w:rsid w:val="00E2183A"/>
    <w:rsid w:val="00E22519"/>
    <w:rsid w:val="00E23C77"/>
    <w:rsid w:val="00E248F4"/>
    <w:rsid w:val="00E44AC2"/>
    <w:rsid w:val="00E508C5"/>
    <w:rsid w:val="00E52D08"/>
    <w:rsid w:val="00E55238"/>
    <w:rsid w:val="00E561FF"/>
    <w:rsid w:val="00E666AE"/>
    <w:rsid w:val="00E66BB5"/>
    <w:rsid w:val="00E67963"/>
    <w:rsid w:val="00E70C7A"/>
    <w:rsid w:val="00E73661"/>
    <w:rsid w:val="00E80C7F"/>
    <w:rsid w:val="00E84C05"/>
    <w:rsid w:val="00E86A52"/>
    <w:rsid w:val="00E90CEA"/>
    <w:rsid w:val="00EA4C5F"/>
    <w:rsid w:val="00EA4E78"/>
    <w:rsid w:val="00EA5844"/>
    <w:rsid w:val="00EB2D45"/>
    <w:rsid w:val="00EC37BA"/>
    <w:rsid w:val="00ED03ED"/>
    <w:rsid w:val="00ED0691"/>
    <w:rsid w:val="00ED7BDC"/>
    <w:rsid w:val="00EE33DF"/>
    <w:rsid w:val="00EE740C"/>
    <w:rsid w:val="00EF09B1"/>
    <w:rsid w:val="00F032AF"/>
    <w:rsid w:val="00F04C58"/>
    <w:rsid w:val="00F07523"/>
    <w:rsid w:val="00F108F2"/>
    <w:rsid w:val="00F1187A"/>
    <w:rsid w:val="00F177C1"/>
    <w:rsid w:val="00F267D4"/>
    <w:rsid w:val="00F27D43"/>
    <w:rsid w:val="00F37AB4"/>
    <w:rsid w:val="00F43C08"/>
    <w:rsid w:val="00F45085"/>
    <w:rsid w:val="00F46729"/>
    <w:rsid w:val="00F472C6"/>
    <w:rsid w:val="00F47C61"/>
    <w:rsid w:val="00F52451"/>
    <w:rsid w:val="00F563E7"/>
    <w:rsid w:val="00F71606"/>
    <w:rsid w:val="00F7774B"/>
    <w:rsid w:val="00F85F20"/>
    <w:rsid w:val="00F86E2D"/>
    <w:rsid w:val="00F90673"/>
    <w:rsid w:val="00F90F6D"/>
    <w:rsid w:val="00F9603D"/>
    <w:rsid w:val="00F97341"/>
    <w:rsid w:val="00FA4AAF"/>
    <w:rsid w:val="00FB32D4"/>
    <w:rsid w:val="00FD69BE"/>
    <w:rsid w:val="00FE396B"/>
    <w:rsid w:val="00FE5206"/>
    <w:rsid w:val="00FE684A"/>
    <w:rsid w:val="00FF0319"/>
    <w:rsid w:val="00FF34F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C28F6-5AC6-4A87-AA36-0AA6C885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740C"/>
    <w:pPr>
      <w:spacing w:after="200" w:line="360" w:lineRule="auto"/>
      <w:jc w:val="both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740C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740C"/>
    <w:rPr>
      <w:rFonts w:eastAsia="Times New Roman" w:cs="Times New Roman"/>
      <w:b/>
      <w:bCs/>
      <w:color w:val="000000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E740C"/>
    <w:pPr>
      <w:spacing w:after="300" w:line="480" w:lineRule="auto"/>
      <w:contextualSpacing/>
    </w:pPr>
    <w:rPr>
      <w:rFonts w:eastAsia="Times New Roman"/>
      <w:b/>
      <w:color w:val="000000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E740C"/>
    <w:rPr>
      <w:rFonts w:eastAsia="Times New Roman" w:cs="Times New Roman"/>
      <w:b/>
      <w:color w:val="000000"/>
      <w:spacing w:val="5"/>
      <w:kern w:val="28"/>
      <w:sz w:val="28"/>
      <w:szCs w:val="5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E740C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E740C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E740C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732FDC"/>
    <w:pPr>
      <w:spacing w:line="240" w:lineRule="auto"/>
    </w:pPr>
    <w:rPr>
      <w:b/>
      <w:bCs/>
      <w:sz w:val="20"/>
      <w:szCs w:val="18"/>
    </w:rPr>
  </w:style>
  <w:style w:type="table" w:styleId="Tabelraster">
    <w:name w:val="Table Grid"/>
    <w:basedOn w:val="Standaardtabel"/>
    <w:uiPriority w:val="59"/>
    <w:rsid w:val="00FE3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arcering1">
    <w:name w:val="Lichte arcering1"/>
    <w:basedOn w:val="Standaardtabel"/>
    <w:uiPriority w:val="60"/>
    <w:rsid w:val="00F43C0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C148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BE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E543E"/>
  </w:style>
  <w:style w:type="paragraph" w:styleId="Voettekst">
    <w:name w:val="footer"/>
    <w:basedOn w:val="Standaard"/>
    <w:link w:val="VoettekstChar"/>
    <w:uiPriority w:val="99"/>
    <w:unhideWhenUsed/>
    <w:rsid w:val="00BE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43E"/>
  </w:style>
  <w:style w:type="paragraph" w:styleId="Lijstalinea">
    <w:name w:val="List Paragraph"/>
    <w:basedOn w:val="Standaard"/>
    <w:uiPriority w:val="34"/>
    <w:qFormat/>
    <w:rsid w:val="0041032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C77A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32A6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524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245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245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2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2451"/>
    <w:rPr>
      <w:b/>
      <w:bCs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116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1163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1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pps.webofknowledge.com/OneClickSearch.do?product=WOS&amp;search_mode=OneClickSearch&amp;colName=WOS&amp;SID=T1@LaAAGhh5Le9CpcKf&amp;field=AU&amp;value=Reddy,%20RP" TargetMode="External"/><Relationship Id="rId2" Type="http://schemas.openxmlformats.org/officeDocument/2006/relationships/hyperlink" Target="http://apps.webofknowledge.com/DaisyOneClickSearch.do?product=WOS&amp;search_mode=DaisyOneClickSearch&amp;colName=WOS&amp;SID=T1@LaAAGhh5Le9CpcKf&amp;author_name=Jain,%20M&amp;dais_id=1636620" TargetMode="External"/><Relationship Id="rId1" Type="http://schemas.openxmlformats.org/officeDocument/2006/relationships/hyperlink" Target="http://apps.webofknowledge.com/OneClickSearch.do?product=WOS&amp;search_mode=OneClickSearch&amp;colName=WOS&amp;SID=T1@LaAAGhh5Le9CpcKf&amp;field=AU&amp;value=Kaur,%20K" TargetMode="External"/><Relationship Id="rId4" Type="http://schemas.openxmlformats.org/officeDocument/2006/relationships/hyperlink" Target="http://apps.webofknowledge.com/DaisyOneClickSearch.do?product=WOS&amp;search_mode=DaisyOneClickSearch&amp;colName=WOS&amp;SID=T1@LaAAGhh5Le9CpcKf&amp;author_name=Jain,%20R&amp;dais_id=53460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norbert.dekimpe@UGent.be" TargetMode="External"/><Relationship Id="rId1" Type="http://schemas.openxmlformats.org/officeDocument/2006/relationships/hyperlink" Target="mailto:matthias.dhooghe@UGent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8CCC6-463E-4AA3-8FC1-37BD1002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2360</Words>
  <Characters>12983</Characters>
  <Application>Microsoft Office Word</Application>
  <DocSecurity>0</DocSecurity>
  <Lines>108</Lines>
  <Paragraphs>30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Acknowledgements</vt:lpstr>
    </vt:vector>
  </TitlesOfParts>
  <Company>Vakgroep Organische Chemie</Company>
  <LinksUpToDate>false</LinksUpToDate>
  <CharactersWithSpaces>15313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Ans</cp:lastModifiedBy>
  <cp:revision>2</cp:revision>
  <cp:lastPrinted>2012-11-12T10:42:00Z</cp:lastPrinted>
  <dcterms:created xsi:type="dcterms:W3CDTF">2014-06-24T14:12:00Z</dcterms:created>
  <dcterms:modified xsi:type="dcterms:W3CDTF">2014-06-24T14:12:00Z</dcterms:modified>
</cp:coreProperties>
</file>