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29948" w14:textId="27E829D8" w:rsidR="00200B6F" w:rsidRPr="00A701FC" w:rsidRDefault="00A701FC" w:rsidP="00A701FC">
      <w:pPr>
        <w:spacing w:line="276" w:lineRule="auto"/>
        <w:jc w:val="left"/>
        <w:rPr>
          <w:b/>
          <w:sz w:val="40"/>
          <w:szCs w:val="40"/>
        </w:rPr>
      </w:pPr>
      <w:r w:rsidRPr="00A701FC">
        <w:rPr>
          <w:b/>
          <w:sz w:val="40"/>
          <w:szCs w:val="40"/>
        </w:rPr>
        <w:t>P</w:t>
      </w:r>
      <w:r w:rsidR="00F17396" w:rsidRPr="00A701FC">
        <w:rPr>
          <w:b/>
          <w:sz w:val="40"/>
          <w:szCs w:val="40"/>
        </w:rPr>
        <w:t>rognostic value of geriatric and cardiac parameters for one</w:t>
      </w:r>
      <w:r w:rsidR="00422C9C" w:rsidRPr="00A701FC">
        <w:rPr>
          <w:b/>
          <w:sz w:val="40"/>
          <w:szCs w:val="40"/>
        </w:rPr>
        <w:t>-</w:t>
      </w:r>
      <w:r w:rsidR="00F17396" w:rsidRPr="00A701FC">
        <w:rPr>
          <w:b/>
          <w:sz w:val="40"/>
          <w:szCs w:val="40"/>
        </w:rPr>
        <w:t>year mortality</w:t>
      </w:r>
      <w:r w:rsidR="00B14BCD" w:rsidRPr="00A701FC">
        <w:rPr>
          <w:b/>
          <w:sz w:val="40"/>
          <w:szCs w:val="40"/>
        </w:rPr>
        <w:t xml:space="preserve"> in older heart failure patients. A multicentre, observational, prospective</w:t>
      </w:r>
      <w:r w:rsidR="00E630AC" w:rsidRPr="00A701FC">
        <w:rPr>
          <w:b/>
          <w:sz w:val="40"/>
          <w:szCs w:val="40"/>
        </w:rPr>
        <w:t xml:space="preserve"> </w:t>
      </w:r>
      <w:r w:rsidR="00B14BCD" w:rsidRPr="00A701FC">
        <w:rPr>
          <w:b/>
          <w:sz w:val="40"/>
          <w:szCs w:val="40"/>
        </w:rPr>
        <w:t>study.</w:t>
      </w:r>
    </w:p>
    <w:p w14:paraId="41515704" w14:textId="77777777" w:rsidR="00200B6F" w:rsidRDefault="00200B6F" w:rsidP="00200B6F">
      <w:pPr>
        <w:pStyle w:val="Titel"/>
      </w:pPr>
    </w:p>
    <w:p w14:paraId="3120CD7B" w14:textId="11BDF512" w:rsidR="007C6238" w:rsidRPr="004E5DF5" w:rsidRDefault="00B14BCD" w:rsidP="003E2BC9">
      <w:pPr>
        <w:rPr>
          <w:lang w:val="en-US"/>
        </w:rPr>
      </w:pPr>
      <w:r w:rsidRPr="00F8114E">
        <w:rPr>
          <w:lang w:val="en-US"/>
        </w:rPr>
        <w:t>L. Kestens</w:t>
      </w:r>
      <w:r w:rsidR="002F6138" w:rsidRPr="00F8114E">
        <w:rPr>
          <w:vertAlign w:val="superscript"/>
          <w:lang w:val="en-US"/>
        </w:rPr>
        <w:t>1</w:t>
      </w:r>
      <w:r w:rsidR="007C6238" w:rsidRPr="00F8114E">
        <w:rPr>
          <w:vertAlign w:val="superscript"/>
          <w:lang w:val="en-US"/>
        </w:rPr>
        <w:t>*</w:t>
      </w:r>
      <w:r w:rsidRPr="00F8114E">
        <w:rPr>
          <w:lang w:val="en-US"/>
        </w:rPr>
        <w:t>, S. Billet</w:t>
      </w:r>
      <w:r w:rsidR="002F6138" w:rsidRPr="00F8114E">
        <w:rPr>
          <w:vertAlign w:val="superscript"/>
          <w:lang w:val="en-US"/>
        </w:rPr>
        <w:t>1</w:t>
      </w:r>
      <w:r w:rsidR="007C6238" w:rsidRPr="00F8114E">
        <w:rPr>
          <w:vertAlign w:val="superscript"/>
          <w:lang w:val="en-US"/>
        </w:rPr>
        <w:t>*</w:t>
      </w:r>
      <w:r w:rsidRPr="00F8114E">
        <w:rPr>
          <w:lang w:val="en-US"/>
        </w:rPr>
        <w:t xml:space="preserve">, </w:t>
      </w:r>
      <w:r w:rsidR="008E3EB2" w:rsidRPr="00F8114E">
        <w:rPr>
          <w:lang w:val="en-US"/>
        </w:rPr>
        <w:t>L. Hens</w:t>
      </w:r>
      <w:r w:rsidR="002F6138" w:rsidRPr="00F8114E">
        <w:rPr>
          <w:vertAlign w:val="superscript"/>
          <w:lang w:val="en-US"/>
        </w:rPr>
        <w:t>2</w:t>
      </w:r>
      <w:r w:rsidR="008E3EB2" w:rsidRPr="00F8114E">
        <w:rPr>
          <w:lang w:val="en-US"/>
        </w:rPr>
        <w:t xml:space="preserve">, </w:t>
      </w:r>
      <w:r w:rsidRPr="00F8114E">
        <w:rPr>
          <w:lang w:val="en-US"/>
        </w:rPr>
        <w:t>A. Velghe</w:t>
      </w:r>
      <w:r w:rsidR="002F6138" w:rsidRPr="00F8114E">
        <w:rPr>
          <w:vertAlign w:val="superscript"/>
          <w:lang w:val="en-US"/>
        </w:rPr>
        <w:t>1</w:t>
      </w:r>
      <w:r w:rsidRPr="00F8114E">
        <w:rPr>
          <w:lang w:val="en-US"/>
        </w:rPr>
        <w:t>, R. Piers</w:t>
      </w:r>
      <w:r w:rsidR="002F6138" w:rsidRPr="00F8114E">
        <w:rPr>
          <w:vertAlign w:val="superscript"/>
          <w:lang w:val="en-US"/>
        </w:rPr>
        <w:t>1</w:t>
      </w:r>
      <w:r w:rsidRPr="00F8114E">
        <w:rPr>
          <w:lang w:val="en-US"/>
        </w:rPr>
        <w:t xml:space="preserve"> </w:t>
      </w:r>
      <w:r w:rsidR="007C6238" w:rsidRPr="004E5DF5">
        <w:rPr>
          <w:lang w:val="en-US"/>
        </w:rPr>
        <w:t>(* equal contribution)</w:t>
      </w:r>
    </w:p>
    <w:p w14:paraId="0543B686" w14:textId="7158A93A" w:rsidR="004E5DF5" w:rsidRDefault="004E5DF5" w:rsidP="003E2BC9">
      <w:pPr>
        <w:rPr>
          <w:lang w:val="en-US"/>
        </w:rPr>
      </w:pPr>
      <w:r w:rsidRPr="00790D1B">
        <w:rPr>
          <w:lang w:val="en-US"/>
        </w:rPr>
        <w:t>Ruth Piers ORCID 0000-0001-5261-220X</w:t>
      </w:r>
    </w:p>
    <w:p w14:paraId="10B6019C" w14:textId="0CA31C57" w:rsidR="0036228F" w:rsidRPr="004E5DF5" w:rsidRDefault="0036228F" w:rsidP="003E2BC9">
      <w:pPr>
        <w:rPr>
          <w:lang w:val="en-US"/>
        </w:rPr>
      </w:pPr>
      <w:r w:rsidRPr="00790D1B">
        <w:rPr>
          <w:lang w:val="en-US"/>
        </w:rPr>
        <w:t xml:space="preserve">Anja </w:t>
      </w:r>
      <w:proofErr w:type="spellStart"/>
      <w:r w:rsidRPr="00790D1B">
        <w:rPr>
          <w:lang w:val="en-US"/>
        </w:rPr>
        <w:t>Velghe</w:t>
      </w:r>
      <w:proofErr w:type="spellEnd"/>
      <w:r w:rsidRPr="00790D1B">
        <w:rPr>
          <w:lang w:val="en-US"/>
        </w:rPr>
        <w:t xml:space="preserve"> ORCID </w:t>
      </w:r>
      <w:r w:rsidR="00396853" w:rsidRPr="00790D1B">
        <w:rPr>
          <w:lang w:val="en-US"/>
        </w:rPr>
        <w:t>0000-0002-0421-2719</w:t>
      </w:r>
    </w:p>
    <w:p w14:paraId="4EAC0097" w14:textId="77777777" w:rsidR="00BE3F21" w:rsidRPr="00CA146C" w:rsidRDefault="00373940" w:rsidP="00F73F79">
      <w:pPr>
        <w:pStyle w:val="Lijstalinea"/>
        <w:numPr>
          <w:ilvl w:val="0"/>
          <w:numId w:val="11"/>
        </w:numPr>
      </w:pPr>
      <w:r w:rsidRPr="00CA146C">
        <w:t xml:space="preserve">Department of Geriatric Medicine, Ghent University Hospital, Ghent, Belgium </w:t>
      </w:r>
    </w:p>
    <w:p w14:paraId="1C2F38E8" w14:textId="79DEDA6C" w:rsidR="00373940" w:rsidRPr="00CA146C" w:rsidRDefault="00BE3F21" w:rsidP="00F73F79">
      <w:pPr>
        <w:pStyle w:val="Lijstalinea"/>
        <w:numPr>
          <w:ilvl w:val="0"/>
          <w:numId w:val="11"/>
        </w:numPr>
      </w:pPr>
      <w:r w:rsidRPr="00CA146C">
        <w:t xml:space="preserve">Department of Cardiology, </w:t>
      </w:r>
      <w:r w:rsidR="005514FA">
        <w:t xml:space="preserve">Ghent University Hospital, Ghent, and Department of Cardiology </w:t>
      </w:r>
      <w:r w:rsidRPr="00CA146C">
        <w:t xml:space="preserve">AZ </w:t>
      </w:r>
      <w:proofErr w:type="spellStart"/>
      <w:r w:rsidRPr="00CA146C">
        <w:t>Groeninge</w:t>
      </w:r>
      <w:proofErr w:type="spellEnd"/>
      <w:r w:rsidRPr="00CA146C">
        <w:t>, Kortrijk, Belgium</w:t>
      </w:r>
    </w:p>
    <w:p w14:paraId="6578BD80" w14:textId="647B9177" w:rsidR="00CB0C7C" w:rsidRPr="00917994" w:rsidRDefault="00BE3F21" w:rsidP="00917994">
      <w:pPr>
        <w:pStyle w:val="Kop1"/>
      </w:pPr>
      <w:r w:rsidRPr="00917994">
        <w:t>K</w:t>
      </w:r>
      <w:r w:rsidR="00BF531F" w:rsidRPr="00917994">
        <w:t>ey</w:t>
      </w:r>
      <w:r w:rsidR="00D00A9C" w:rsidRPr="00917994">
        <w:t>words</w:t>
      </w:r>
    </w:p>
    <w:p w14:paraId="68581610" w14:textId="29FF5FEC" w:rsidR="002F6138" w:rsidRPr="00373940" w:rsidRDefault="00CB0C7C" w:rsidP="00CA146C">
      <w:r w:rsidRPr="00CA146C">
        <w:t xml:space="preserve">Heart failure, </w:t>
      </w:r>
      <w:r w:rsidR="009E0B86" w:rsidRPr="00CA146C">
        <w:t xml:space="preserve">prognostic factors, </w:t>
      </w:r>
      <w:r w:rsidR="002F10AE" w:rsidRPr="00CA146C">
        <w:t>older adults</w:t>
      </w:r>
      <w:r w:rsidR="000E6391" w:rsidRPr="00CA146C">
        <w:t xml:space="preserve">, </w:t>
      </w:r>
      <w:r w:rsidR="00FB6B4F" w:rsidRPr="00CA146C">
        <w:t>one-year mortality</w:t>
      </w:r>
    </w:p>
    <w:p w14:paraId="778E6C25" w14:textId="5106A133" w:rsidR="006D1584" w:rsidRPr="006D1584" w:rsidRDefault="00B14BCD" w:rsidP="00917994">
      <w:pPr>
        <w:pStyle w:val="Kop1"/>
      </w:pPr>
      <w:r w:rsidRPr="00CA146C">
        <w:t>A</w:t>
      </w:r>
      <w:r w:rsidR="00D00A9C">
        <w:t>bstract</w:t>
      </w:r>
    </w:p>
    <w:p w14:paraId="2885F9F2" w14:textId="3806E243" w:rsidR="001803AC" w:rsidRPr="00CA146C" w:rsidRDefault="001803AC" w:rsidP="00F73F79">
      <w:pPr>
        <w:rPr>
          <w:b/>
          <w:bCs/>
        </w:rPr>
      </w:pPr>
      <w:r w:rsidRPr="00334588">
        <w:rPr>
          <w:rStyle w:val="Kop3Char"/>
        </w:rPr>
        <w:t>Purpose</w:t>
      </w:r>
      <w:r w:rsidRPr="00CA146C">
        <w:rPr>
          <w:b/>
          <w:bCs/>
        </w:rPr>
        <w:br/>
      </w:r>
      <w:r w:rsidRPr="00CA146C">
        <w:t xml:space="preserve">Heart failure </w:t>
      </w:r>
      <w:r w:rsidR="00F953D3" w:rsidRPr="00CA146C">
        <w:t xml:space="preserve">is </w:t>
      </w:r>
      <w:r w:rsidRPr="00CA146C">
        <w:t xml:space="preserve">prevalent </w:t>
      </w:r>
      <w:r w:rsidR="00FD5AA3" w:rsidRPr="00CA146C">
        <w:t xml:space="preserve">amongst older people and has </w:t>
      </w:r>
      <w:r w:rsidRPr="00CA146C">
        <w:t xml:space="preserve">a poor prognosis. </w:t>
      </w:r>
      <w:r w:rsidR="00F2671A" w:rsidRPr="00CA146C">
        <w:t>Aim</w:t>
      </w:r>
      <w:r w:rsidRPr="00CA146C">
        <w:t xml:space="preserve"> of this study is to identify</w:t>
      </w:r>
      <w:r w:rsidR="00F2671A" w:rsidRPr="00CA146C">
        <w:t xml:space="preserve"> potential prognostic</w:t>
      </w:r>
      <w:r w:rsidR="00E913A4" w:rsidRPr="00CA146C">
        <w:t>,</w:t>
      </w:r>
      <w:r w:rsidR="00F2671A" w:rsidRPr="00CA146C">
        <w:t xml:space="preserve"> geriatric and cardiac</w:t>
      </w:r>
      <w:r w:rsidRPr="00CA146C">
        <w:t xml:space="preserve"> </w:t>
      </w:r>
      <w:r w:rsidR="00F2671A" w:rsidRPr="00CA146C">
        <w:t>parameters which could</w:t>
      </w:r>
      <w:r w:rsidRPr="00CA146C">
        <w:t xml:space="preserve"> help clinicians </w:t>
      </w:r>
      <w:r w:rsidR="00F2671A" w:rsidRPr="00CA146C">
        <w:t>identify</w:t>
      </w:r>
      <w:r w:rsidRPr="00CA146C">
        <w:t xml:space="preserve"> older heart failure patients at high risk for one-year mortality. </w:t>
      </w:r>
    </w:p>
    <w:p w14:paraId="36D27169" w14:textId="141D0B6A" w:rsidR="001803AC" w:rsidRDefault="001803AC" w:rsidP="00F73F79">
      <w:r w:rsidRPr="00220CC0">
        <w:rPr>
          <w:rStyle w:val="Kop3Char"/>
        </w:rPr>
        <w:t>Methods</w:t>
      </w:r>
      <w:r w:rsidRPr="00CA146C">
        <w:rPr>
          <w:b/>
          <w:bCs/>
        </w:rPr>
        <w:br/>
      </w:r>
      <w:r w:rsidRPr="00CA146C">
        <w:t>Multicentre, observational</w:t>
      </w:r>
      <w:r w:rsidR="008E3EB2" w:rsidRPr="00CA146C">
        <w:t xml:space="preserve"> cohort </w:t>
      </w:r>
      <w:r w:rsidRPr="00CA146C">
        <w:t xml:space="preserve">study which included 147 heart failure patients aged </w:t>
      </w:r>
      <w:r w:rsidRPr="00CA146C">
        <w:rPr>
          <w:rFonts w:cstheme="minorHAnsi"/>
        </w:rPr>
        <w:t>≥</w:t>
      </w:r>
      <w:r w:rsidRPr="00CA146C">
        <w:t xml:space="preserve">75 years, hospitalized on </w:t>
      </w:r>
      <w:r w:rsidR="00C5143C" w:rsidRPr="00CA146C">
        <w:t>the cardiac or</w:t>
      </w:r>
      <w:r w:rsidRPr="00CA146C">
        <w:t xml:space="preserve"> geriatric department in two hosp</w:t>
      </w:r>
      <w:r w:rsidR="004037E0" w:rsidRPr="00CA146C">
        <w:t xml:space="preserve">itals. </w:t>
      </w:r>
      <w:r w:rsidR="004037E0">
        <w:t xml:space="preserve">One-year survival </w:t>
      </w:r>
      <w:r>
        <w:t>was the outcome measure. For univariate analysis Chi square test and independent sample T-</w:t>
      </w:r>
      <w:r>
        <w:lastRenderedPageBreak/>
        <w:t>test were used; for multivariate</w:t>
      </w:r>
      <w:r w:rsidR="000107D0">
        <w:t xml:space="preserve"> analysis </w:t>
      </w:r>
      <w:r w:rsidR="006A7A9F">
        <w:t>L</w:t>
      </w:r>
      <w:r w:rsidR="000107D0">
        <w:t>ogistic regression and Cox regression</w:t>
      </w:r>
      <w:r w:rsidR="008E3EB2">
        <w:t xml:space="preserve"> for time-dependent analysis</w:t>
      </w:r>
      <w:r w:rsidR="000107D0">
        <w:t>.</w:t>
      </w:r>
    </w:p>
    <w:p w14:paraId="4255A156" w14:textId="07A945F5" w:rsidR="001803AC" w:rsidRDefault="001803AC" w:rsidP="00F73F79">
      <w:r w:rsidRPr="00220CC0">
        <w:rPr>
          <w:rStyle w:val="Kop3Char"/>
        </w:rPr>
        <w:t>Results</w:t>
      </w:r>
      <w:r>
        <w:rPr>
          <w:b/>
          <w:bCs/>
        </w:rPr>
        <w:br/>
      </w:r>
      <w:r>
        <w:t xml:space="preserve">One-year mortality was 28% (41/147). One-year survivors and non-survivors did not differ in following characteristics: age, gender, sodium level at hospital discharge, ejection fraction, NYHA Class, </w:t>
      </w:r>
      <w:r w:rsidR="00E84446">
        <w:t>b</w:t>
      </w:r>
      <w:r w:rsidR="000156F5">
        <w:t>asic and instrumental activities of daily living and the presence of a geriatric risk profile</w:t>
      </w:r>
      <w:r>
        <w:t>. There was a significant lower systolic blood pressure at discharge in non-survivors compared to one-year</w:t>
      </w:r>
      <w:r w:rsidR="00F953D3">
        <w:t>-</w:t>
      </w:r>
      <w:r>
        <w:t xml:space="preserve">survivors </w:t>
      </w:r>
      <w:r w:rsidRPr="0063454A">
        <w:rPr>
          <w:i/>
          <w:iCs/>
        </w:rPr>
        <w:t>(</w:t>
      </w:r>
      <w:r w:rsidR="00E84446">
        <w:rPr>
          <w:i/>
          <w:iCs/>
        </w:rPr>
        <w:t>mean 125,26</w:t>
      </w:r>
      <w:r w:rsidR="0081317C">
        <w:rPr>
          <w:i/>
          <w:iCs/>
        </w:rPr>
        <w:t>mmHg</w:t>
      </w:r>
      <w:r w:rsidR="00E84446">
        <w:rPr>
          <w:i/>
          <w:iCs/>
        </w:rPr>
        <w:t xml:space="preserve"> vs. 137,59</w:t>
      </w:r>
      <w:r w:rsidR="0081317C">
        <w:rPr>
          <w:i/>
          <w:iCs/>
        </w:rPr>
        <w:t>mmHg</w:t>
      </w:r>
      <w:r w:rsidRPr="0063454A">
        <w:rPr>
          <w:i/>
          <w:iCs/>
        </w:rPr>
        <w:t>).</w:t>
      </w:r>
      <w:r>
        <w:t xml:space="preserve"> Non-survivors had more severe underlying comorbidities according to the </w:t>
      </w:r>
      <w:r w:rsidR="000F2CAE">
        <w:t>a</w:t>
      </w:r>
      <w:r w:rsidR="008E3EB2">
        <w:t xml:space="preserve">ge adjusted </w:t>
      </w:r>
      <w:r>
        <w:rPr>
          <w:rFonts w:cstheme="minorHAnsi"/>
          <w:lang w:val="en-US"/>
        </w:rPr>
        <w:t>Charlson Comorbidity index</w:t>
      </w:r>
      <w:r>
        <w:t xml:space="preserve"> (CCI) </w:t>
      </w:r>
      <w:r w:rsidRPr="00873668">
        <w:rPr>
          <w:i/>
          <w:iCs/>
        </w:rPr>
        <w:t>(</w:t>
      </w:r>
      <w:r w:rsidR="00E84446">
        <w:rPr>
          <w:i/>
          <w:iCs/>
        </w:rPr>
        <w:t>mean 8,80 vs. 7,40</w:t>
      </w:r>
      <w:r w:rsidRPr="00873668">
        <w:rPr>
          <w:i/>
          <w:iCs/>
        </w:rPr>
        <w:t>).</w:t>
      </w:r>
    </w:p>
    <w:p w14:paraId="64FDAF61" w14:textId="385141D4" w:rsidR="00B05241" w:rsidRDefault="008E3EB2" w:rsidP="00F73F79">
      <w:pPr>
        <w:rPr>
          <w:lang w:val="en-US"/>
        </w:rPr>
      </w:pPr>
      <w:r>
        <w:t>Both l</w:t>
      </w:r>
      <w:r w:rsidR="001803AC">
        <w:t xml:space="preserve">ogistic </w:t>
      </w:r>
      <w:r>
        <w:t xml:space="preserve">and Cox </w:t>
      </w:r>
      <w:r w:rsidR="001803AC">
        <w:t>regression showed</w:t>
      </w:r>
      <w:r w:rsidR="00201952">
        <w:rPr>
          <w:lang w:val="en-US"/>
        </w:rPr>
        <w:t xml:space="preserve"> a higher risk </w:t>
      </w:r>
      <w:r>
        <w:rPr>
          <w:lang w:val="en-US"/>
        </w:rPr>
        <w:t xml:space="preserve">and rate </w:t>
      </w:r>
      <w:r w:rsidR="00201952">
        <w:rPr>
          <w:lang w:val="en-US"/>
        </w:rPr>
        <w:t>of mortality with decreasing</w:t>
      </w:r>
      <w:r w:rsidR="001803AC">
        <w:rPr>
          <w:lang w:val="en-US"/>
        </w:rPr>
        <w:t xml:space="preserve"> </w:t>
      </w:r>
      <w:r w:rsidR="001803AC" w:rsidRPr="002A71E0">
        <w:rPr>
          <w:lang w:val="en-US"/>
        </w:rPr>
        <w:t>systolic blood pressure</w:t>
      </w:r>
      <w:r w:rsidR="001803AC">
        <w:rPr>
          <w:lang w:val="en-US"/>
        </w:rPr>
        <w:t xml:space="preserve"> at discharge</w:t>
      </w:r>
      <w:r w:rsidR="001803AC" w:rsidRPr="002A71E0">
        <w:rPr>
          <w:lang w:val="en-US"/>
        </w:rPr>
        <w:t xml:space="preserve"> </w:t>
      </w:r>
      <w:r w:rsidR="00386539">
        <w:rPr>
          <w:i/>
          <w:iCs/>
          <w:lang w:val="en-US"/>
        </w:rPr>
        <w:t xml:space="preserve">(OR </w:t>
      </w:r>
      <w:r w:rsidR="00200682">
        <w:rPr>
          <w:i/>
          <w:iCs/>
          <w:lang w:val="en-US"/>
        </w:rPr>
        <w:t>0</w:t>
      </w:r>
      <w:r w:rsidR="00386539">
        <w:rPr>
          <w:i/>
          <w:iCs/>
          <w:lang w:val="en-US"/>
        </w:rPr>
        <w:t xml:space="preserve">.963, </w:t>
      </w:r>
      <w:r>
        <w:rPr>
          <w:i/>
          <w:iCs/>
          <w:lang w:val="en-US"/>
        </w:rPr>
        <w:t>p=0.001 and HR</w:t>
      </w:r>
      <w:r w:rsidRPr="008E3EB2">
        <w:rPr>
          <w:i/>
          <w:iCs/>
          <w:lang w:val="en-US"/>
        </w:rPr>
        <w:t xml:space="preserve"> </w:t>
      </w:r>
      <w:r>
        <w:rPr>
          <w:i/>
          <w:iCs/>
          <w:lang w:val="en-US"/>
        </w:rPr>
        <w:t>0</w:t>
      </w:r>
      <w:r w:rsidRPr="008E3EB2">
        <w:rPr>
          <w:i/>
          <w:iCs/>
          <w:lang w:val="en-US"/>
        </w:rPr>
        <w:t>.970,</w:t>
      </w:r>
      <w:r>
        <w:rPr>
          <w:i/>
          <w:iCs/>
          <w:lang w:val="en-US"/>
        </w:rPr>
        <w:t xml:space="preserve"> p&lt;0.001</w:t>
      </w:r>
      <w:r w:rsidR="001803AC" w:rsidRPr="0063454A">
        <w:rPr>
          <w:i/>
          <w:iCs/>
          <w:lang w:val="en-US"/>
        </w:rPr>
        <w:t xml:space="preserve">) </w:t>
      </w:r>
      <w:r w:rsidR="001803AC">
        <w:rPr>
          <w:lang w:val="en-US"/>
        </w:rPr>
        <w:t xml:space="preserve">and with increasing CCI </w:t>
      </w:r>
      <w:r w:rsidR="00386539">
        <w:rPr>
          <w:i/>
          <w:iCs/>
          <w:lang w:val="en-US"/>
        </w:rPr>
        <w:t>(OR 1.344</w:t>
      </w:r>
      <w:r w:rsidR="001803AC">
        <w:rPr>
          <w:i/>
          <w:iCs/>
          <w:lang w:val="en-US"/>
        </w:rPr>
        <w:t>,</w:t>
      </w:r>
      <w:r w:rsidR="001803AC" w:rsidRPr="00873668">
        <w:rPr>
          <w:i/>
          <w:iCs/>
          <w:lang w:val="en-US"/>
        </w:rPr>
        <w:t xml:space="preserve"> </w:t>
      </w:r>
      <w:r>
        <w:rPr>
          <w:i/>
          <w:iCs/>
          <w:lang w:val="en-US"/>
        </w:rPr>
        <w:t xml:space="preserve">p=0.002 and </w:t>
      </w:r>
      <w:r w:rsidRPr="008E3EB2">
        <w:rPr>
          <w:i/>
          <w:iCs/>
          <w:lang w:val="en-US"/>
        </w:rPr>
        <w:t xml:space="preserve">HR 1.269, </w:t>
      </w:r>
      <w:r>
        <w:rPr>
          <w:i/>
          <w:iCs/>
          <w:lang w:val="en-US"/>
        </w:rPr>
        <w:t>p=0.001</w:t>
      </w:r>
      <w:r w:rsidR="001803AC" w:rsidRPr="00873668">
        <w:rPr>
          <w:i/>
          <w:iCs/>
          <w:lang w:val="en-US"/>
        </w:rPr>
        <w:t>)</w:t>
      </w:r>
      <w:r w:rsidR="001803AC" w:rsidRPr="0063454A">
        <w:rPr>
          <w:lang w:val="en-US"/>
        </w:rPr>
        <w:t xml:space="preserve">; the other variables were not significantly related.  </w:t>
      </w:r>
    </w:p>
    <w:p w14:paraId="49EA66D4" w14:textId="50830C44" w:rsidR="00BC5332" w:rsidRDefault="001803AC" w:rsidP="00F73F79">
      <w:r w:rsidRPr="00220CC0">
        <w:rPr>
          <w:rStyle w:val="Kop3Char"/>
        </w:rPr>
        <w:t>Conclusion</w:t>
      </w:r>
      <w:r>
        <w:rPr>
          <w:b/>
          <w:bCs/>
        </w:rPr>
        <w:br/>
      </w:r>
      <w:r>
        <w:t>Lower blood pres</w:t>
      </w:r>
      <w:r w:rsidR="00E64B35">
        <w:t>sure and more severe comorbidities</w:t>
      </w:r>
      <w:r w:rsidR="00BC6A71">
        <w:t xml:space="preserve">, but not functionality </w:t>
      </w:r>
      <w:r w:rsidR="000D7452">
        <w:t>n</w:t>
      </w:r>
      <w:r>
        <w:t>or</w:t>
      </w:r>
      <w:r w:rsidR="00BC6A71">
        <w:t xml:space="preserve"> the presence of a</w:t>
      </w:r>
      <w:r>
        <w:t xml:space="preserve"> geriatric risk profile, are related to one-year mortality in older</w:t>
      </w:r>
      <w:r w:rsidR="001E3FF8">
        <w:t>,</w:t>
      </w:r>
      <w:r>
        <w:t xml:space="preserve"> </w:t>
      </w:r>
      <w:r w:rsidR="008E3EB2">
        <w:t xml:space="preserve">in-hospital </w:t>
      </w:r>
      <w:r>
        <w:t xml:space="preserve">heart failure patients. </w:t>
      </w:r>
    </w:p>
    <w:p w14:paraId="78C40B9D" w14:textId="719161CB" w:rsidR="00E17ABD" w:rsidRPr="00E17ABD" w:rsidRDefault="00AB7BA6" w:rsidP="00E17ABD">
      <w:pPr>
        <w:pStyle w:val="Kop1"/>
      </w:pPr>
      <w:r>
        <w:t>I</w:t>
      </w:r>
      <w:r w:rsidR="00D00A9C">
        <w:t>ntroduction</w:t>
      </w:r>
    </w:p>
    <w:p w14:paraId="232761CB" w14:textId="5ED9B5BA" w:rsidR="00E17ABD" w:rsidRPr="00E17ABD" w:rsidRDefault="00E17ABD" w:rsidP="00E17ABD">
      <w:pPr>
        <w:rPr>
          <w:lang w:val="en-US"/>
        </w:rPr>
      </w:pPr>
      <w:r w:rsidRPr="00E17ABD">
        <w:rPr>
          <w:lang w:val="en-US"/>
        </w:rPr>
        <w:t>The global population is aging rapidly, leading to a fast growing number of older peo</w:t>
      </w:r>
      <w:r>
        <w:rPr>
          <w:lang w:val="en-US"/>
        </w:rPr>
        <w:t>ple living with heart failure [1]</w:t>
      </w:r>
      <w:r w:rsidR="00D53FFA">
        <w:rPr>
          <w:lang w:val="en-US"/>
        </w:rPr>
        <w:t>.</w:t>
      </w:r>
      <w:r w:rsidRPr="00E17ABD">
        <w:rPr>
          <w:lang w:val="en-US"/>
        </w:rPr>
        <w:t xml:space="preserve"> Heart failure is considered the quintessential cardiovascular syndrome of aging and is a chronic, progressive and ultimately lethal co</w:t>
      </w:r>
      <w:r>
        <w:rPr>
          <w:lang w:val="en-US"/>
        </w:rPr>
        <w:t>ndition</w:t>
      </w:r>
      <w:r w:rsidR="00933A61">
        <w:rPr>
          <w:lang w:val="en-US"/>
        </w:rPr>
        <w:t xml:space="preserve"> </w:t>
      </w:r>
      <w:r>
        <w:rPr>
          <w:lang w:val="en-US"/>
        </w:rPr>
        <w:t>[1]</w:t>
      </w:r>
      <w:r w:rsidR="00D53FFA">
        <w:rPr>
          <w:lang w:val="en-US"/>
        </w:rPr>
        <w:t>.</w:t>
      </w:r>
      <w:r w:rsidRPr="00E17ABD">
        <w:rPr>
          <w:lang w:val="en-US"/>
        </w:rPr>
        <w:t xml:space="preserve"> Until today, it  remains the most common reason for hospitalization in older people </w:t>
      </w:r>
      <w:r>
        <w:rPr>
          <w:lang w:val="en-US"/>
        </w:rPr>
        <w:t>[1</w:t>
      </w:r>
      <w:r w:rsidR="002B7F2B">
        <w:rPr>
          <w:lang w:val="en-US"/>
        </w:rPr>
        <w:t>,</w:t>
      </w:r>
      <w:r w:rsidR="0069444E">
        <w:rPr>
          <w:lang w:val="en-US"/>
        </w:rPr>
        <w:t xml:space="preserve"> </w:t>
      </w:r>
      <w:r>
        <w:rPr>
          <w:lang w:val="en-US"/>
        </w:rPr>
        <w:t>2]</w:t>
      </w:r>
      <w:r w:rsidR="00D53FFA">
        <w:rPr>
          <w:lang w:val="en-US"/>
        </w:rPr>
        <w:t>.</w:t>
      </w:r>
      <w:r w:rsidRPr="00E17ABD">
        <w:rPr>
          <w:lang w:val="en-US"/>
        </w:rPr>
        <w:t xml:space="preserve"> </w:t>
      </w:r>
      <w:r w:rsidR="00D03D4D">
        <w:rPr>
          <w:lang w:val="en-US"/>
        </w:rPr>
        <w:t>O</w:t>
      </w:r>
      <w:r w:rsidR="00D03D4D" w:rsidRPr="00E17ABD">
        <w:rPr>
          <w:lang w:val="en-US"/>
        </w:rPr>
        <w:t xml:space="preserve">verall, heart failure </w:t>
      </w:r>
      <w:r w:rsidR="00D03D4D" w:rsidRPr="00E17ABD">
        <w:rPr>
          <w:lang w:val="en-US"/>
        </w:rPr>
        <w:lastRenderedPageBreak/>
        <w:t>remains a condition with a poor prognosis</w:t>
      </w:r>
      <w:r w:rsidR="00D03D4D">
        <w:rPr>
          <w:lang w:val="en-US"/>
        </w:rPr>
        <w:t xml:space="preserve">, with increasing mortality rates according to age. One- and five-year mortality was estimated around </w:t>
      </w:r>
      <w:r w:rsidR="00D03D4D" w:rsidRPr="00F47B19">
        <w:rPr>
          <w:lang w:val="en-US"/>
        </w:rPr>
        <w:t>7% and 24% for 60-year-olds an</w:t>
      </w:r>
      <w:r w:rsidR="00D03D4D">
        <w:rPr>
          <w:lang w:val="en-US"/>
        </w:rPr>
        <w:t xml:space="preserve">d increased to 20% and 54% for 80-year-olds in previous literature [2, </w:t>
      </w:r>
      <w:r w:rsidR="00040371">
        <w:rPr>
          <w:lang w:val="en-US"/>
        </w:rPr>
        <w:t>3</w:t>
      </w:r>
      <w:r w:rsidR="00D03D4D">
        <w:rPr>
          <w:lang w:val="en-US"/>
        </w:rPr>
        <w:t>].</w:t>
      </w:r>
    </w:p>
    <w:p w14:paraId="38DF6849" w14:textId="03250CDB" w:rsidR="00E17ABD" w:rsidRPr="00E17ABD" w:rsidRDefault="00E17ABD" w:rsidP="00E17ABD">
      <w:pPr>
        <w:rPr>
          <w:lang w:val="en-US"/>
        </w:rPr>
      </w:pPr>
      <w:r w:rsidRPr="00E17ABD">
        <w:rPr>
          <w:lang w:val="en-US"/>
        </w:rPr>
        <w:t xml:space="preserve">Heart failure is defined as a consequence of any structural or functional disorder that impairs the ability of the ventricles to fill with or eject blood, leading to elevated ventricular filling pressures resulting in pulmonary and/or systemic congestion </w:t>
      </w:r>
      <w:r>
        <w:rPr>
          <w:lang w:val="en-US"/>
        </w:rPr>
        <w:t>[1</w:t>
      </w:r>
      <w:r w:rsidR="002B7F2B">
        <w:rPr>
          <w:lang w:val="en-US"/>
        </w:rPr>
        <w:t>,</w:t>
      </w:r>
      <w:r w:rsidR="0069444E">
        <w:rPr>
          <w:lang w:val="en-US"/>
        </w:rPr>
        <w:t xml:space="preserve"> </w:t>
      </w:r>
      <w:r w:rsidR="002B7F2B">
        <w:rPr>
          <w:lang w:val="en-US"/>
        </w:rPr>
        <w:t>2,</w:t>
      </w:r>
      <w:r w:rsidR="0069444E">
        <w:rPr>
          <w:lang w:val="en-US"/>
        </w:rPr>
        <w:t xml:space="preserve"> </w:t>
      </w:r>
      <w:r w:rsidR="00040371">
        <w:rPr>
          <w:lang w:val="en-US"/>
        </w:rPr>
        <w:t>4</w:t>
      </w:r>
      <w:r>
        <w:rPr>
          <w:lang w:val="en-US"/>
        </w:rPr>
        <w:t>]</w:t>
      </w:r>
      <w:r w:rsidR="00D53FFA">
        <w:rPr>
          <w:lang w:val="en-US"/>
        </w:rPr>
        <w:t>.</w:t>
      </w:r>
      <w:r w:rsidRPr="00E17ABD">
        <w:rPr>
          <w:lang w:val="en-US"/>
        </w:rPr>
        <w:t xml:space="preserve"> It is mainly categorized by left ventricular ejection fraction. The European Society of Cardiology guidelines separates patients with heart failure into three categories: patients with reduced EF (&lt; 40%) called </w:t>
      </w:r>
      <w:proofErr w:type="spellStart"/>
      <w:r w:rsidRPr="00E17ABD">
        <w:rPr>
          <w:lang w:val="en-US"/>
        </w:rPr>
        <w:t>HFrEF</w:t>
      </w:r>
      <w:proofErr w:type="spellEnd"/>
      <w:r w:rsidRPr="00E17ABD">
        <w:rPr>
          <w:lang w:val="en-US"/>
        </w:rPr>
        <w:t>, mi</w:t>
      </w:r>
      <w:r w:rsidR="00933A61">
        <w:rPr>
          <w:lang w:val="en-US"/>
        </w:rPr>
        <w:t>ldly reduced</w:t>
      </w:r>
      <w:r w:rsidRPr="00E17ABD">
        <w:rPr>
          <w:lang w:val="en-US"/>
        </w:rPr>
        <w:t xml:space="preserve"> EF (40% to 49%) called </w:t>
      </w:r>
      <w:proofErr w:type="spellStart"/>
      <w:r w:rsidRPr="00E17ABD">
        <w:rPr>
          <w:lang w:val="en-US"/>
        </w:rPr>
        <w:t>HFmrEF</w:t>
      </w:r>
      <w:proofErr w:type="spellEnd"/>
      <w:r w:rsidRPr="00E17ABD">
        <w:rPr>
          <w:lang w:val="en-US"/>
        </w:rPr>
        <w:t xml:space="preserve">, and preserved EF ( ≥ 50%), called </w:t>
      </w:r>
      <w:proofErr w:type="spellStart"/>
      <w:r w:rsidRPr="00E17ABD">
        <w:rPr>
          <w:lang w:val="en-US"/>
        </w:rPr>
        <w:t>HFpEF</w:t>
      </w:r>
      <w:proofErr w:type="spellEnd"/>
      <w:r w:rsidRPr="00E17ABD">
        <w:rPr>
          <w:lang w:val="en-US"/>
        </w:rPr>
        <w:t xml:space="preserve">. Often these three categories are reduced to two; </w:t>
      </w:r>
      <w:proofErr w:type="spellStart"/>
      <w:r w:rsidRPr="00E17ABD">
        <w:rPr>
          <w:lang w:val="en-US"/>
        </w:rPr>
        <w:t>HFrEF</w:t>
      </w:r>
      <w:proofErr w:type="spellEnd"/>
      <w:r w:rsidRPr="00E17ABD">
        <w:rPr>
          <w:lang w:val="en-US"/>
        </w:rPr>
        <w:t xml:space="preserve"> (EF </w:t>
      </w:r>
      <w:r w:rsidR="00200682">
        <w:rPr>
          <w:lang w:val="en-US"/>
        </w:rPr>
        <w:t>&lt;</w:t>
      </w:r>
      <w:r w:rsidR="00040371">
        <w:rPr>
          <w:lang w:val="en-US"/>
        </w:rPr>
        <w:t xml:space="preserve"> 50%) and </w:t>
      </w:r>
      <w:proofErr w:type="spellStart"/>
      <w:r w:rsidR="00040371">
        <w:rPr>
          <w:lang w:val="en-US"/>
        </w:rPr>
        <w:t>HFpEF</w:t>
      </w:r>
      <w:proofErr w:type="spellEnd"/>
      <w:r w:rsidR="00040371">
        <w:rPr>
          <w:lang w:val="en-US"/>
        </w:rPr>
        <w:t xml:space="preserve"> (EF </w:t>
      </w:r>
      <w:r w:rsidR="00200682">
        <w:rPr>
          <w:lang w:val="en-US"/>
        </w:rPr>
        <w:t>≥</w:t>
      </w:r>
      <w:r w:rsidR="00040371">
        <w:rPr>
          <w:lang w:val="en-US"/>
        </w:rPr>
        <w:t>50%) [5</w:t>
      </w:r>
      <w:r w:rsidR="002B7F2B">
        <w:rPr>
          <w:lang w:val="en-US"/>
        </w:rPr>
        <w:t>,</w:t>
      </w:r>
      <w:r w:rsidR="0069444E">
        <w:rPr>
          <w:lang w:val="en-US"/>
        </w:rPr>
        <w:t xml:space="preserve"> </w:t>
      </w:r>
      <w:r w:rsidR="00040371">
        <w:rPr>
          <w:lang w:val="en-US"/>
        </w:rPr>
        <w:t>6</w:t>
      </w:r>
      <w:r w:rsidR="002B7F2B">
        <w:rPr>
          <w:lang w:val="en-US"/>
        </w:rPr>
        <w:t>,</w:t>
      </w:r>
      <w:r w:rsidR="0069444E">
        <w:rPr>
          <w:lang w:val="en-US"/>
        </w:rPr>
        <w:t xml:space="preserve"> </w:t>
      </w:r>
      <w:r w:rsidR="00040371">
        <w:rPr>
          <w:lang w:val="en-US"/>
        </w:rPr>
        <w:t>7</w:t>
      </w:r>
      <w:r>
        <w:rPr>
          <w:lang w:val="en-US"/>
        </w:rPr>
        <w:t>]</w:t>
      </w:r>
      <w:r w:rsidR="00D53FFA">
        <w:rPr>
          <w:lang w:val="en-US"/>
        </w:rPr>
        <w:t>.</w:t>
      </w:r>
      <w:r w:rsidRPr="00E17ABD">
        <w:rPr>
          <w:lang w:val="en-US"/>
        </w:rPr>
        <w:t xml:space="preserve"> </w:t>
      </w:r>
      <w:r w:rsidR="007B033F">
        <w:rPr>
          <w:lang w:val="en-US"/>
        </w:rPr>
        <w:t>In older patients, b</w:t>
      </w:r>
      <w:r w:rsidRPr="00E17ABD">
        <w:rPr>
          <w:lang w:val="en-US"/>
        </w:rPr>
        <w:t xml:space="preserve">oth </w:t>
      </w:r>
      <w:proofErr w:type="spellStart"/>
      <w:r w:rsidRPr="00E17ABD">
        <w:rPr>
          <w:lang w:val="en-US"/>
        </w:rPr>
        <w:t>HFrEF</w:t>
      </w:r>
      <w:proofErr w:type="spellEnd"/>
      <w:r w:rsidRPr="00E17ABD">
        <w:rPr>
          <w:lang w:val="en-US"/>
        </w:rPr>
        <w:t xml:space="preserve"> and </w:t>
      </w:r>
      <w:proofErr w:type="spellStart"/>
      <w:r w:rsidRPr="00E17ABD">
        <w:rPr>
          <w:lang w:val="en-US"/>
        </w:rPr>
        <w:t>HFpEF</w:t>
      </w:r>
      <w:proofErr w:type="spellEnd"/>
      <w:r w:rsidRPr="00E17ABD">
        <w:rPr>
          <w:lang w:val="en-US"/>
        </w:rPr>
        <w:t xml:space="preserve"> are associated with age related structural changes in other organ systems and comorbid conditions, though their pathophysiology</w:t>
      </w:r>
      <w:r w:rsidR="007B0C14">
        <w:rPr>
          <w:lang w:val="en-US"/>
        </w:rPr>
        <w:t xml:space="preserve"> seem</w:t>
      </w:r>
      <w:r w:rsidR="007B033F">
        <w:rPr>
          <w:lang w:val="en-US"/>
        </w:rPr>
        <w:t>s</w:t>
      </w:r>
      <w:r w:rsidR="007B0C14">
        <w:rPr>
          <w:lang w:val="en-US"/>
        </w:rPr>
        <w:t xml:space="preserve"> to differ significantly</w:t>
      </w:r>
      <w:r w:rsidR="00D53FFA">
        <w:rPr>
          <w:lang w:val="en-US"/>
        </w:rPr>
        <w:t xml:space="preserve"> </w:t>
      </w:r>
      <w:r w:rsidR="00040371">
        <w:rPr>
          <w:lang w:val="en-US"/>
        </w:rPr>
        <w:t>[5</w:t>
      </w:r>
      <w:r w:rsidR="007B0C14">
        <w:rPr>
          <w:lang w:val="en-US"/>
        </w:rPr>
        <w:t>]</w:t>
      </w:r>
      <w:r w:rsidR="00D53FFA">
        <w:rPr>
          <w:lang w:val="en-US"/>
        </w:rPr>
        <w:t>.</w:t>
      </w:r>
      <w:r w:rsidRPr="00E17ABD">
        <w:rPr>
          <w:lang w:val="en-US"/>
        </w:rPr>
        <w:t xml:space="preserve"> </w:t>
      </w:r>
      <w:proofErr w:type="spellStart"/>
      <w:r w:rsidRPr="00E17ABD">
        <w:rPr>
          <w:lang w:val="en-US"/>
        </w:rPr>
        <w:t>HFrEF</w:t>
      </w:r>
      <w:proofErr w:type="spellEnd"/>
      <w:r w:rsidRPr="00E17ABD">
        <w:rPr>
          <w:lang w:val="en-US"/>
        </w:rPr>
        <w:t xml:space="preserve"> is believed to be the result of a substantial loss of cardiomyocytes, acutely or chronically, res</w:t>
      </w:r>
      <w:r w:rsidR="007B0C14">
        <w:rPr>
          <w:lang w:val="en-US"/>
        </w:rPr>
        <w:t>ulting in systolic dysfunction</w:t>
      </w:r>
      <w:r w:rsidR="00D53FFA">
        <w:rPr>
          <w:lang w:val="en-US"/>
        </w:rPr>
        <w:t xml:space="preserve"> </w:t>
      </w:r>
      <w:r w:rsidR="00040371">
        <w:rPr>
          <w:lang w:val="en-US"/>
        </w:rPr>
        <w:t>[6</w:t>
      </w:r>
      <w:r w:rsidR="007B0C14">
        <w:rPr>
          <w:lang w:val="en-US"/>
        </w:rPr>
        <w:t>]</w:t>
      </w:r>
      <w:r w:rsidR="00D53FFA">
        <w:rPr>
          <w:lang w:val="en-US"/>
        </w:rPr>
        <w:t>.</w:t>
      </w:r>
      <w:r w:rsidRPr="00E17ABD">
        <w:rPr>
          <w:lang w:val="en-US"/>
        </w:rPr>
        <w:t xml:space="preserve"> The pathophysiology of </w:t>
      </w:r>
      <w:proofErr w:type="spellStart"/>
      <w:r w:rsidRPr="00E17ABD">
        <w:rPr>
          <w:lang w:val="en-US"/>
        </w:rPr>
        <w:t>HFpEF</w:t>
      </w:r>
      <w:proofErr w:type="spellEnd"/>
      <w:r w:rsidRPr="00E17ABD">
        <w:rPr>
          <w:lang w:val="en-US"/>
        </w:rPr>
        <w:t xml:space="preserve"> is more associated with left ventricular </w:t>
      </w:r>
      <w:r w:rsidR="004F06CE">
        <w:rPr>
          <w:lang w:val="en-US"/>
        </w:rPr>
        <w:t xml:space="preserve">wall </w:t>
      </w:r>
      <w:r w:rsidRPr="00E17ABD">
        <w:rPr>
          <w:lang w:val="en-US"/>
        </w:rPr>
        <w:t xml:space="preserve">stiffening, </w:t>
      </w:r>
      <w:r w:rsidR="004F06CE">
        <w:rPr>
          <w:lang w:val="en-US"/>
        </w:rPr>
        <w:t xml:space="preserve">resulting in diastolic dysfunction, </w:t>
      </w:r>
      <w:r w:rsidRPr="00E17ABD">
        <w:rPr>
          <w:lang w:val="en-US"/>
        </w:rPr>
        <w:t>reduced arterial compliance, left atrial hypertension</w:t>
      </w:r>
      <w:r w:rsidR="004F06CE">
        <w:rPr>
          <w:lang w:val="en-US"/>
        </w:rPr>
        <w:t xml:space="preserve"> and </w:t>
      </w:r>
      <w:r w:rsidRPr="00E17ABD">
        <w:rPr>
          <w:lang w:val="en-US"/>
        </w:rPr>
        <w:t>pulmonary venous congestio</w:t>
      </w:r>
      <w:r w:rsidR="004F06CE">
        <w:rPr>
          <w:lang w:val="en-US"/>
        </w:rPr>
        <w:t>n</w:t>
      </w:r>
      <w:r w:rsidR="00D53FFA">
        <w:rPr>
          <w:lang w:val="en-US"/>
        </w:rPr>
        <w:t xml:space="preserve"> </w:t>
      </w:r>
      <w:r w:rsidR="00040371">
        <w:rPr>
          <w:lang w:val="en-US"/>
        </w:rPr>
        <w:t>[6</w:t>
      </w:r>
      <w:r w:rsidR="007B0C14">
        <w:rPr>
          <w:lang w:val="en-US"/>
        </w:rPr>
        <w:t>]</w:t>
      </w:r>
      <w:r w:rsidR="00D53FFA">
        <w:rPr>
          <w:lang w:val="en-US"/>
        </w:rPr>
        <w:t>.</w:t>
      </w:r>
      <w:r w:rsidRPr="00E17ABD">
        <w:rPr>
          <w:lang w:val="en-US"/>
        </w:rPr>
        <w:t xml:space="preserve"> Previous studies have shown that patients with </w:t>
      </w:r>
      <w:proofErr w:type="spellStart"/>
      <w:r w:rsidRPr="00E17ABD">
        <w:rPr>
          <w:lang w:val="en-US"/>
        </w:rPr>
        <w:t>HFpEF</w:t>
      </w:r>
      <w:proofErr w:type="spellEnd"/>
      <w:r w:rsidRPr="00E17ABD">
        <w:rPr>
          <w:lang w:val="en-US"/>
        </w:rPr>
        <w:t xml:space="preserve"> are more often female and have a highe</w:t>
      </w:r>
      <w:r w:rsidR="007B0C14">
        <w:rPr>
          <w:lang w:val="en-US"/>
        </w:rPr>
        <w:t>r prevalence of comorbidities</w:t>
      </w:r>
      <w:r w:rsidR="00D53FFA">
        <w:rPr>
          <w:lang w:val="en-US"/>
        </w:rPr>
        <w:t xml:space="preserve"> </w:t>
      </w:r>
      <w:r w:rsidR="00040371">
        <w:rPr>
          <w:lang w:val="en-US"/>
        </w:rPr>
        <w:t>[5</w:t>
      </w:r>
      <w:r w:rsidR="00886C94">
        <w:rPr>
          <w:lang w:val="en-US"/>
        </w:rPr>
        <w:t>]</w:t>
      </w:r>
      <w:r w:rsidR="00D53FFA">
        <w:rPr>
          <w:lang w:val="en-US"/>
        </w:rPr>
        <w:t>.</w:t>
      </w:r>
      <w:r w:rsidR="00886C94" w:rsidRPr="00E17ABD">
        <w:rPr>
          <w:lang w:val="en-US"/>
        </w:rPr>
        <w:t xml:space="preserve"> </w:t>
      </w:r>
      <w:r w:rsidRPr="00E17ABD">
        <w:rPr>
          <w:lang w:val="en-US"/>
        </w:rPr>
        <w:t>They suffer from comorbid conditions such as obesity, diabetes mellitus, chronic kidney diseas</w:t>
      </w:r>
      <w:r w:rsidR="007B0C14">
        <w:rPr>
          <w:lang w:val="en-US"/>
        </w:rPr>
        <w:t>e and physical deconditioning</w:t>
      </w:r>
      <w:r w:rsidR="00FE2774">
        <w:rPr>
          <w:lang w:val="en-US"/>
        </w:rPr>
        <w:t xml:space="preserve">, where patients with </w:t>
      </w:r>
      <w:proofErr w:type="spellStart"/>
      <w:r w:rsidR="00FE2774">
        <w:rPr>
          <w:lang w:val="en-US"/>
        </w:rPr>
        <w:t>HFrEF</w:t>
      </w:r>
      <w:proofErr w:type="spellEnd"/>
      <w:r w:rsidR="00FE2774">
        <w:rPr>
          <w:lang w:val="en-US"/>
        </w:rPr>
        <w:t xml:space="preserve"> mostly suffer from arterial disease like carotid and peripheral arterial disease</w:t>
      </w:r>
      <w:r w:rsidR="00D53FFA">
        <w:rPr>
          <w:lang w:val="en-US"/>
        </w:rPr>
        <w:t xml:space="preserve"> </w:t>
      </w:r>
      <w:r w:rsidR="00134750">
        <w:rPr>
          <w:lang w:val="en-US"/>
        </w:rPr>
        <w:t>[6</w:t>
      </w:r>
      <w:r w:rsidR="007B0C14">
        <w:rPr>
          <w:lang w:val="en-US"/>
        </w:rPr>
        <w:t>]</w:t>
      </w:r>
      <w:r w:rsidR="00D53FFA">
        <w:rPr>
          <w:lang w:val="en-US"/>
        </w:rPr>
        <w:t>.</w:t>
      </w:r>
      <w:r w:rsidRPr="00E17ABD">
        <w:rPr>
          <w:lang w:val="en-US"/>
        </w:rPr>
        <w:t xml:space="preserve"> It is well established that </w:t>
      </w:r>
      <w:proofErr w:type="spellStart"/>
      <w:r w:rsidRPr="00E17ABD">
        <w:rPr>
          <w:lang w:val="en-US"/>
        </w:rPr>
        <w:t>HFpEF</w:t>
      </w:r>
      <w:proofErr w:type="spellEnd"/>
      <w:r w:rsidRPr="00E17ABD">
        <w:rPr>
          <w:lang w:val="en-US"/>
        </w:rPr>
        <w:t xml:space="preserve"> nowadays accounts for at least half of the cases of heart failure in</w:t>
      </w:r>
      <w:r w:rsidR="007B0C14">
        <w:rPr>
          <w:lang w:val="en-US"/>
        </w:rPr>
        <w:t xml:space="preserve"> patients older than 65 years</w:t>
      </w:r>
      <w:r w:rsidR="00D53FFA">
        <w:rPr>
          <w:lang w:val="en-US"/>
        </w:rPr>
        <w:t xml:space="preserve"> </w:t>
      </w:r>
      <w:r w:rsidR="00134750">
        <w:rPr>
          <w:lang w:val="en-US"/>
        </w:rPr>
        <w:t>[5,</w:t>
      </w:r>
      <w:r w:rsidR="00BB466E">
        <w:rPr>
          <w:lang w:val="en-US"/>
        </w:rPr>
        <w:t xml:space="preserve"> </w:t>
      </w:r>
      <w:r w:rsidR="00134750">
        <w:rPr>
          <w:lang w:val="en-US"/>
        </w:rPr>
        <w:t>6</w:t>
      </w:r>
      <w:r w:rsidR="007B0C14">
        <w:rPr>
          <w:lang w:val="en-US"/>
        </w:rPr>
        <w:t>]</w:t>
      </w:r>
      <w:r w:rsidR="00D53FFA">
        <w:rPr>
          <w:lang w:val="en-US"/>
        </w:rPr>
        <w:t>.</w:t>
      </w:r>
    </w:p>
    <w:p w14:paraId="7C596510" w14:textId="77777777" w:rsidR="00556F91" w:rsidRDefault="00556F91" w:rsidP="00E17ABD">
      <w:pPr>
        <w:rPr>
          <w:lang w:val="en-US"/>
        </w:rPr>
      </w:pPr>
    </w:p>
    <w:p w14:paraId="0B452BCA" w14:textId="538E1D03" w:rsidR="00556F91" w:rsidRDefault="00556F91" w:rsidP="00E17ABD">
      <w:pPr>
        <w:rPr>
          <w:lang w:val="en-US"/>
        </w:rPr>
      </w:pPr>
      <w:r w:rsidRPr="00556F91">
        <w:rPr>
          <w:lang w:val="en-US"/>
        </w:rPr>
        <w:lastRenderedPageBreak/>
        <w:t>Disability is "the difficulty of coping with self-care tasks (Activities of daily living, ADL) and tasks of household management (Instrumental Activities of daily living, IADL)". The likelihood of developing a disability rises steadily with age. Most people with disabilities have more than one type of disability. Disability has been associated with mortality, hospitalization, length of hospital stay and institutionalization.</w:t>
      </w:r>
      <w:r>
        <w:rPr>
          <w:lang w:val="en-US"/>
        </w:rPr>
        <w:t xml:space="preserve"> </w:t>
      </w:r>
      <w:r w:rsidRPr="00556F91">
        <w:rPr>
          <w:lang w:val="en-US"/>
        </w:rPr>
        <w:t>[8, 9, 10, 11</w:t>
      </w:r>
      <w:r>
        <w:rPr>
          <w:lang w:val="en-US"/>
        </w:rPr>
        <w:t>, 12</w:t>
      </w:r>
      <w:r w:rsidRPr="00556F91">
        <w:rPr>
          <w:lang w:val="en-US"/>
        </w:rPr>
        <w:t xml:space="preserve">]. </w:t>
      </w:r>
    </w:p>
    <w:p w14:paraId="7C4371EA" w14:textId="002D956A" w:rsidR="000C5646" w:rsidRDefault="002A6A3B" w:rsidP="00E17ABD">
      <w:pPr>
        <w:rPr>
          <w:lang w:val="en-US"/>
        </w:rPr>
      </w:pPr>
      <w:r>
        <w:rPr>
          <w:lang w:val="en-US"/>
        </w:rPr>
        <w:t xml:space="preserve">A </w:t>
      </w:r>
      <w:r w:rsidR="00E17ABD" w:rsidRPr="00E17ABD">
        <w:rPr>
          <w:lang w:val="en-US"/>
        </w:rPr>
        <w:t xml:space="preserve">higher New York Heart Association (NYHA) class, troponin elevation, elevation of natriuretic peptides (BNP and NT pro-BNP), lower systolic blood pressure, decreased </w:t>
      </w:r>
      <w:proofErr w:type="spellStart"/>
      <w:r w:rsidR="00E17ABD" w:rsidRPr="00E17ABD">
        <w:rPr>
          <w:lang w:val="en-US"/>
        </w:rPr>
        <w:t>haemoglobin</w:t>
      </w:r>
      <w:proofErr w:type="spellEnd"/>
      <w:r w:rsidR="00E17ABD" w:rsidRPr="00E17ABD">
        <w:rPr>
          <w:lang w:val="en-US"/>
        </w:rPr>
        <w:t xml:space="preserve">, hyponatremia (sodium levels below 135 </w:t>
      </w:r>
      <w:proofErr w:type="spellStart"/>
      <w:r w:rsidR="00E17ABD" w:rsidRPr="00E17ABD">
        <w:rPr>
          <w:lang w:val="en-US"/>
        </w:rPr>
        <w:t>mEq</w:t>
      </w:r>
      <w:proofErr w:type="spellEnd"/>
      <w:r w:rsidR="00E17ABD" w:rsidRPr="00E17ABD">
        <w:rPr>
          <w:lang w:val="en-US"/>
        </w:rPr>
        <w:t>/L), extensive comorbidities, elevated heart rate upon admission and a large difference in BUN and creatinine from admission to discharge have all been proven to be linked to a higher mortality rate in patients hospitalize</w:t>
      </w:r>
      <w:r w:rsidR="00B55299">
        <w:rPr>
          <w:lang w:val="en-US"/>
        </w:rPr>
        <w:t>d for heart failure</w:t>
      </w:r>
      <w:r w:rsidR="00D53FFA">
        <w:rPr>
          <w:lang w:val="en-US"/>
        </w:rPr>
        <w:t xml:space="preserve"> </w:t>
      </w:r>
      <w:r w:rsidR="00B55299">
        <w:rPr>
          <w:lang w:val="en-US"/>
        </w:rPr>
        <w:t>[3</w:t>
      </w:r>
      <w:r w:rsidR="005F5B58">
        <w:rPr>
          <w:lang w:val="en-US"/>
        </w:rPr>
        <w:t>,</w:t>
      </w:r>
      <w:r w:rsidR="0069444E">
        <w:rPr>
          <w:lang w:val="en-US"/>
        </w:rPr>
        <w:t xml:space="preserve"> </w:t>
      </w:r>
      <w:r w:rsidR="00CA7E92">
        <w:rPr>
          <w:lang w:val="en-US"/>
        </w:rPr>
        <w:t>1</w:t>
      </w:r>
      <w:r w:rsidR="00356D27">
        <w:rPr>
          <w:lang w:val="en-US"/>
        </w:rPr>
        <w:t>3</w:t>
      </w:r>
      <w:r w:rsidR="005F5B58">
        <w:rPr>
          <w:lang w:val="en-US"/>
        </w:rPr>
        <w:t>,</w:t>
      </w:r>
      <w:r w:rsidR="0069444E">
        <w:rPr>
          <w:lang w:val="en-US"/>
        </w:rPr>
        <w:t xml:space="preserve"> </w:t>
      </w:r>
      <w:r w:rsidR="00CA7E92">
        <w:rPr>
          <w:lang w:val="en-US"/>
        </w:rPr>
        <w:t>1</w:t>
      </w:r>
      <w:r w:rsidR="00356D27">
        <w:rPr>
          <w:lang w:val="en-US"/>
        </w:rPr>
        <w:t>4</w:t>
      </w:r>
      <w:r w:rsidR="00B55299">
        <w:rPr>
          <w:lang w:val="en-US"/>
        </w:rPr>
        <w:t>]</w:t>
      </w:r>
      <w:r w:rsidR="00D53FFA">
        <w:rPr>
          <w:lang w:val="en-US"/>
        </w:rPr>
        <w:t>.</w:t>
      </w:r>
      <w:r w:rsidR="00E17ABD" w:rsidRPr="00E17ABD">
        <w:rPr>
          <w:lang w:val="en-US"/>
        </w:rPr>
        <w:t xml:space="preserve"> </w:t>
      </w:r>
      <w:r w:rsidR="008D5EFF">
        <w:rPr>
          <w:lang w:val="en-US"/>
        </w:rPr>
        <w:t>O</w:t>
      </w:r>
      <w:r w:rsidR="00E17ABD" w:rsidRPr="00E17ABD">
        <w:rPr>
          <w:lang w:val="en-US"/>
        </w:rPr>
        <w:t>lder adults with a geriatric profile were often excluded</w:t>
      </w:r>
      <w:r w:rsidR="00EC4333">
        <w:rPr>
          <w:lang w:val="en-US"/>
        </w:rPr>
        <w:t xml:space="preserve"> in these studies, </w:t>
      </w:r>
      <w:r w:rsidR="00E17ABD" w:rsidRPr="00E17ABD">
        <w:rPr>
          <w:lang w:val="en-US"/>
        </w:rPr>
        <w:t>leading to in</w:t>
      </w:r>
      <w:r w:rsidR="00583F1F">
        <w:rPr>
          <w:lang w:val="en-US"/>
        </w:rPr>
        <w:t>conclusive</w:t>
      </w:r>
      <w:r w:rsidR="00E17ABD" w:rsidRPr="00E17ABD">
        <w:rPr>
          <w:lang w:val="en-US"/>
        </w:rPr>
        <w:t xml:space="preserve"> data in th</w:t>
      </w:r>
      <w:r w:rsidR="00307D8B">
        <w:rPr>
          <w:lang w:val="en-US"/>
        </w:rPr>
        <w:t>is group of</w:t>
      </w:r>
      <w:r w:rsidR="00E17ABD" w:rsidRPr="00E17ABD">
        <w:rPr>
          <w:lang w:val="en-US"/>
        </w:rPr>
        <w:t xml:space="preserve"> patients where disease course is already more heter</w:t>
      </w:r>
      <w:r w:rsidR="00B55299">
        <w:rPr>
          <w:lang w:val="en-US"/>
        </w:rPr>
        <w:t>ogeneous and less predictable</w:t>
      </w:r>
      <w:r w:rsidR="00D53FFA">
        <w:rPr>
          <w:lang w:val="en-US"/>
        </w:rPr>
        <w:t xml:space="preserve"> </w:t>
      </w:r>
      <w:r w:rsidR="00B55299">
        <w:rPr>
          <w:lang w:val="en-US"/>
        </w:rPr>
        <w:t>[</w:t>
      </w:r>
      <w:r w:rsidR="00CA7E92">
        <w:rPr>
          <w:lang w:val="en-US"/>
        </w:rPr>
        <w:t>1</w:t>
      </w:r>
      <w:r w:rsidR="00356D27">
        <w:rPr>
          <w:lang w:val="en-US"/>
        </w:rPr>
        <w:t>5</w:t>
      </w:r>
      <w:r w:rsidR="00B55299">
        <w:rPr>
          <w:lang w:val="en-US"/>
        </w:rPr>
        <w:t>]</w:t>
      </w:r>
      <w:r w:rsidR="00D53FFA">
        <w:rPr>
          <w:lang w:val="en-US"/>
        </w:rPr>
        <w:t>.</w:t>
      </w:r>
      <w:r w:rsidR="007044B6">
        <w:rPr>
          <w:lang w:val="en-US"/>
        </w:rPr>
        <w:t xml:space="preserve"> </w:t>
      </w:r>
    </w:p>
    <w:p w14:paraId="640D74DF" w14:textId="185AD343" w:rsidR="004105F1" w:rsidRDefault="000C5646" w:rsidP="00E17ABD">
      <w:pPr>
        <w:rPr>
          <w:lang w:val="en-US"/>
        </w:rPr>
      </w:pPr>
      <w:r w:rsidRPr="00E17ABD">
        <w:rPr>
          <w:lang w:val="en-US"/>
        </w:rPr>
        <w:t xml:space="preserve">Patients </w:t>
      </w:r>
      <w:r>
        <w:rPr>
          <w:lang w:val="en-US"/>
        </w:rPr>
        <w:t xml:space="preserve">with heart failure </w:t>
      </w:r>
      <w:r w:rsidRPr="00E17ABD">
        <w:rPr>
          <w:lang w:val="en-US"/>
        </w:rPr>
        <w:t xml:space="preserve">often experience a variety of debilitating physical and emotional symptoms and are believed to have a similar level of palliative care </w:t>
      </w:r>
      <w:r>
        <w:rPr>
          <w:lang w:val="en-US"/>
        </w:rPr>
        <w:t xml:space="preserve">needs as </w:t>
      </w:r>
      <w:r w:rsidR="00D22CEA">
        <w:rPr>
          <w:lang w:val="en-US"/>
        </w:rPr>
        <w:t>patients with advanced cancer [3</w:t>
      </w:r>
      <w:r>
        <w:rPr>
          <w:lang w:val="en-US"/>
        </w:rPr>
        <w:t>,</w:t>
      </w:r>
      <w:r w:rsidR="0099040B">
        <w:rPr>
          <w:lang w:val="en-US"/>
        </w:rPr>
        <w:t xml:space="preserve"> </w:t>
      </w:r>
      <w:r>
        <w:rPr>
          <w:lang w:val="en-US"/>
        </w:rPr>
        <w:t>1</w:t>
      </w:r>
      <w:r w:rsidR="00356D27">
        <w:rPr>
          <w:lang w:val="en-US"/>
        </w:rPr>
        <w:t>6</w:t>
      </w:r>
      <w:r>
        <w:rPr>
          <w:lang w:val="en-US"/>
        </w:rPr>
        <w:t>].</w:t>
      </w:r>
      <w:r w:rsidRPr="00E17ABD">
        <w:rPr>
          <w:lang w:val="en-US"/>
        </w:rPr>
        <w:t xml:space="preserve"> Recent systematic reviews and meta-analysis suggest that </w:t>
      </w:r>
      <w:r>
        <w:rPr>
          <w:lang w:val="en-US"/>
        </w:rPr>
        <w:t xml:space="preserve">timely </w:t>
      </w:r>
      <w:r w:rsidRPr="00E17ABD">
        <w:rPr>
          <w:lang w:val="en-US"/>
        </w:rPr>
        <w:t xml:space="preserve">introduction of palliative care in advanced heart failure leads to a positive effect on quality of life, symptom relief, documentation of care preferences, resource use and caregiver outcomes </w:t>
      </w:r>
      <w:r w:rsidR="00D22CEA">
        <w:rPr>
          <w:lang w:val="en-US"/>
        </w:rPr>
        <w:t>[3</w:t>
      </w:r>
      <w:r>
        <w:rPr>
          <w:lang w:val="en-US"/>
        </w:rPr>
        <w:t>, 1</w:t>
      </w:r>
      <w:r w:rsidR="00356D27">
        <w:rPr>
          <w:lang w:val="en-US"/>
        </w:rPr>
        <w:t>7</w:t>
      </w:r>
      <w:r>
        <w:rPr>
          <w:lang w:val="en-US"/>
        </w:rPr>
        <w:t>].</w:t>
      </w:r>
      <w:r w:rsidRPr="00E17ABD">
        <w:rPr>
          <w:lang w:val="en-US"/>
        </w:rPr>
        <w:t xml:space="preserve"> </w:t>
      </w:r>
      <w:r w:rsidR="00EC4333">
        <w:rPr>
          <w:lang w:val="en-US"/>
        </w:rPr>
        <w:t xml:space="preserve">Therefore, </w:t>
      </w:r>
      <w:r>
        <w:rPr>
          <w:lang w:val="en-US"/>
        </w:rPr>
        <w:t xml:space="preserve">further </w:t>
      </w:r>
      <w:r w:rsidR="00EC4333">
        <w:rPr>
          <w:lang w:val="en-US"/>
        </w:rPr>
        <w:t>i</w:t>
      </w:r>
      <w:r w:rsidR="00307D8B">
        <w:rPr>
          <w:lang w:val="en-US"/>
        </w:rPr>
        <w:t>dentifying prognostic factors in older patients with heart failure could lead to an earlier recognition of patients who could benefit from a more palliative oriented approach and/or more individualized care plan</w:t>
      </w:r>
      <w:r w:rsidR="00D53FFA">
        <w:rPr>
          <w:lang w:val="en-US"/>
        </w:rPr>
        <w:t xml:space="preserve"> </w:t>
      </w:r>
      <w:r w:rsidR="00D22CEA">
        <w:rPr>
          <w:lang w:val="en-US"/>
        </w:rPr>
        <w:t>[3</w:t>
      </w:r>
      <w:r w:rsidR="00307D8B">
        <w:rPr>
          <w:lang w:val="en-US"/>
        </w:rPr>
        <w:t>]</w:t>
      </w:r>
      <w:r w:rsidR="00D53FFA">
        <w:rPr>
          <w:lang w:val="en-US"/>
        </w:rPr>
        <w:t>.</w:t>
      </w:r>
      <w:r w:rsidR="00474DEB">
        <w:rPr>
          <w:lang w:val="en-US"/>
        </w:rPr>
        <w:t xml:space="preserve"> </w:t>
      </w:r>
      <w:r w:rsidR="008D5EFF">
        <w:rPr>
          <w:lang w:val="en-US"/>
        </w:rPr>
        <w:t xml:space="preserve">With this study, we want to </w:t>
      </w:r>
      <w:r w:rsidR="00784107">
        <w:rPr>
          <w:lang w:val="en-US"/>
        </w:rPr>
        <w:t xml:space="preserve">contribute to this identification and </w:t>
      </w:r>
      <w:r w:rsidR="008D5EFF">
        <w:rPr>
          <w:lang w:val="en-US"/>
        </w:rPr>
        <w:t xml:space="preserve">examine which cardiac and geriatric factors </w:t>
      </w:r>
      <w:r w:rsidR="00784107">
        <w:rPr>
          <w:lang w:val="en-US"/>
        </w:rPr>
        <w:t xml:space="preserve">could be of predictive value. Furthermore we want to investigate potential differences between patients with </w:t>
      </w:r>
      <w:proofErr w:type="spellStart"/>
      <w:r w:rsidR="00784107">
        <w:rPr>
          <w:lang w:val="en-US"/>
        </w:rPr>
        <w:t>HFrEF</w:t>
      </w:r>
      <w:proofErr w:type="spellEnd"/>
      <w:r w:rsidR="00784107">
        <w:rPr>
          <w:lang w:val="en-US"/>
        </w:rPr>
        <w:t xml:space="preserve"> and </w:t>
      </w:r>
      <w:proofErr w:type="spellStart"/>
      <w:r w:rsidR="00784107">
        <w:rPr>
          <w:lang w:val="en-US"/>
        </w:rPr>
        <w:t>HFpEF</w:t>
      </w:r>
      <w:proofErr w:type="spellEnd"/>
      <w:r w:rsidR="00784107">
        <w:rPr>
          <w:lang w:val="en-US"/>
        </w:rPr>
        <w:t xml:space="preserve"> since </w:t>
      </w:r>
      <w:proofErr w:type="spellStart"/>
      <w:r w:rsidR="00784107">
        <w:rPr>
          <w:lang w:val="en-US"/>
        </w:rPr>
        <w:t>HFpEF</w:t>
      </w:r>
      <w:proofErr w:type="spellEnd"/>
      <w:r w:rsidR="00784107">
        <w:rPr>
          <w:lang w:val="en-US"/>
        </w:rPr>
        <w:t xml:space="preserve"> </w:t>
      </w:r>
      <w:r w:rsidR="00F8114E">
        <w:rPr>
          <w:lang w:val="en-US"/>
        </w:rPr>
        <w:t xml:space="preserve">nowadays </w:t>
      </w:r>
      <w:r w:rsidR="00784107">
        <w:rPr>
          <w:lang w:val="en-US"/>
        </w:rPr>
        <w:t>accounts</w:t>
      </w:r>
      <w:r w:rsidR="00DE24A6">
        <w:rPr>
          <w:lang w:val="en-US"/>
        </w:rPr>
        <w:t xml:space="preserve"> for</w:t>
      </w:r>
      <w:r w:rsidR="00784107">
        <w:rPr>
          <w:lang w:val="en-US"/>
        </w:rPr>
        <w:t xml:space="preserve"> the majority of older patients </w:t>
      </w:r>
      <w:r w:rsidR="00DE24A6">
        <w:rPr>
          <w:lang w:val="en-US"/>
        </w:rPr>
        <w:t xml:space="preserve">with heart failure. </w:t>
      </w:r>
    </w:p>
    <w:p w14:paraId="44219CA1" w14:textId="20FF3FF4" w:rsidR="005013C2" w:rsidRPr="00826D0A" w:rsidRDefault="00C6206F" w:rsidP="00917994">
      <w:pPr>
        <w:pStyle w:val="Kop1"/>
      </w:pPr>
      <w:r>
        <w:lastRenderedPageBreak/>
        <w:t>M</w:t>
      </w:r>
      <w:r w:rsidR="00D00A9C">
        <w:t>ethodology</w:t>
      </w:r>
    </w:p>
    <w:p w14:paraId="2590A350" w14:textId="79DADFF6" w:rsidR="004E5DF5" w:rsidRDefault="00B71710" w:rsidP="00CA146C">
      <w:r w:rsidRPr="00C64C57">
        <w:t>In this m</w:t>
      </w:r>
      <w:r w:rsidR="00FA3DFC" w:rsidRPr="00C64C57">
        <w:t>ulticentric cohort study</w:t>
      </w:r>
      <w:r w:rsidRPr="00C64C57">
        <w:t xml:space="preserve"> w</w:t>
      </w:r>
      <w:r w:rsidR="00FA3DFC" w:rsidRPr="00C64C57">
        <w:t xml:space="preserve">e prospectively included </w:t>
      </w:r>
      <w:r w:rsidR="001D3131" w:rsidRPr="00C64C57">
        <w:t>older patients</w:t>
      </w:r>
      <w:r w:rsidRPr="00C64C57">
        <w:t xml:space="preserve"> </w:t>
      </w:r>
      <w:r w:rsidR="004E5DF5" w:rsidRPr="00C64C57">
        <w:t xml:space="preserve">admitted on the acute geriatric and cardiology department in two Belgian hospitals </w:t>
      </w:r>
      <w:r w:rsidR="00F33AA5" w:rsidRPr="00C64C57">
        <w:t>between</w:t>
      </w:r>
      <w:r w:rsidR="00D5114C" w:rsidRPr="00C64C57">
        <w:t xml:space="preserve"> January 2018 </w:t>
      </w:r>
      <w:r w:rsidR="00F33AA5" w:rsidRPr="00C64C57">
        <w:t>and</w:t>
      </w:r>
      <w:r w:rsidR="00D5114C" w:rsidRPr="00C64C57">
        <w:t xml:space="preserve"> July 2018</w:t>
      </w:r>
      <w:r w:rsidR="00641E9B" w:rsidRPr="00C64C57">
        <w:t xml:space="preserve">. </w:t>
      </w:r>
      <w:r w:rsidR="004E5DF5" w:rsidRPr="00C64C57">
        <w:t xml:space="preserve">We selected the patients with heart failure, </w:t>
      </w:r>
      <w:r w:rsidR="00652683" w:rsidRPr="00C64C57">
        <w:t xml:space="preserve">using the </w:t>
      </w:r>
      <w:r w:rsidR="00CD1C98" w:rsidRPr="00C64C57">
        <w:t>following criteri</w:t>
      </w:r>
      <w:r w:rsidR="00652683" w:rsidRPr="00C64C57">
        <w:t>a</w:t>
      </w:r>
      <w:r w:rsidR="00652683">
        <w:t xml:space="preserve">: </w:t>
      </w:r>
      <w:r w:rsidR="00CD1C98" w:rsidRPr="00FA3DFC">
        <w:t>patients had a</w:t>
      </w:r>
      <w:r w:rsidR="006543FB">
        <w:t xml:space="preserve">n </w:t>
      </w:r>
      <w:r w:rsidR="00CD1C98" w:rsidRPr="00FA3DFC">
        <w:t>ejection fraction of &lt; 50% on transthoracic echocardiograph</w:t>
      </w:r>
      <w:r w:rsidR="00652683">
        <w:t xml:space="preserve"> and/or</w:t>
      </w:r>
      <w:r w:rsidR="00CD1C98" w:rsidRPr="00FA3DFC">
        <w:t xml:space="preserve"> had a diagnosis of heart failure </w:t>
      </w:r>
      <w:r w:rsidR="00652683">
        <w:t>and/</w:t>
      </w:r>
      <w:r w:rsidR="00CD1C98" w:rsidRPr="00FA3DFC">
        <w:t xml:space="preserve">or were being treated with medication, indicating the presence of heart failure. </w:t>
      </w:r>
      <w:r w:rsidR="00652683">
        <w:t>M</w:t>
      </w:r>
      <w:r w:rsidR="00CD1C98" w:rsidRPr="00FA3DFC">
        <w:t xml:space="preserve">edication included the use of loop diuretics alone or combined with any of the following drugs: beta blockers, ACE inhibition/ARB inhibitors and/or mineralocorticoid receptor antagonists. </w:t>
      </w:r>
      <w:r w:rsidR="00FD4BA1">
        <w:t>For statistical analysis, the simplification was made to categorize p</w:t>
      </w:r>
      <w:r w:rsidR="00FD4BA1" w:rsidRPr="00FD4BA1">
        <w:t xml:space="preserve">atients with an ejection fraction of &lt; 50% </w:t>
      </w:r>
      <w:r w:rsidR="00FD4BA1">
        <w:t xml:space="preserve">as </w:t>
      </w:r>
      <w:proofErr w:type="spellStart"/>
      <w:r w:rsidR="00FD4BA1">
        <w:t>HFrEF</w:t>
      </w:r>
      <w:proofErr w:type="spellEnd"/>
      <w:r w:rsidR="00FD4BA1">
        <w:t xml:space="preserve"> and all others as </w:t>
      </w:r>
      <w:proofErr w:type="spellStart"/>
      <w:r w:rsidR="00FD4BA1">
        <w:t>HFpEF</w:t>
      </w:r>
      <w:proofErr w:type="spellEnd"/>
      <w:r w:rsidR="00FD4BA1">
        <w:t xml:space="preserve">. </w:t>
      </w:r>
      <w:r w:rsidR="004E5DF5" w:rsidRPr="004E5DF5">
        <w:t>All recruited patients were older than 75 years and were either hospitalized on the cardiology or the geriatric ward. Inclusion criteria did not specify the reason for hospitalization.</w:t>
      </w:r>
      <w:r w:rsidR="004E5DF5">
        <w:t xml:space="preserve"> </w:t>
      </w:r>
    </w:p>
    <w:p w14:paraId="29CC6178" w14:textId="7DCC66CC" w:rsidR="00652683" w:rsidRDefault="004E5DF5" w:rsidP="00CA146C">
      <w:r w:rsidRPr="004E5DF5">
        <w:t xml:space="preserve">In total 655 patients were eligible for inclusion and 248 gave informed consent. </w:t>
      </w:r>
      <w:r w:rsidR="00652683" w:rsidRPr="00652683">
        <w:t>Finally, 147 of those had heart failure and were included in this study [Figure 1].</w:t>
      </w:r>
    </w:p>
    <w:p w14:paraId="0F2C3300" w14:textId="5B7D5B38" w:rsidR="00CD1C98" w:rsidRDefault="000B1A3F" w:rsidP="00CA146C">
      <w:pPr>
        <w:rPr>
          <w:dstrike/>
        </w:rPr>
      </w:pPr>
      <w:r>
        <w:t>Following</w:t>
      </w:r>
      <w:r w:rsidR="00AA493B">
        <w:t xml:space="preserve"> </w:t>
      </w:r>
      <w:r w:rsidR="00985B98">
        <w:t>characteristics were collected</w:t>
      </w:r>
      <w:r w:rsidR="00FA3DFC">
        <w:t xml:space="preserve"> from the medical file</w:t>
      </w:r>
      <w:r w:rsidR="00985B98">
        <w:t xml:space="preserve">: </w:t>
      </w:r>
      <w:r w:rsidR="00AA493B">
        <w:t xml:space="preserve">age, gender, weight, </w:t>
      </w:r>
      <w:r w:rsidR="00820E40">
        <w:t xml:space="preserve">systolic </w:t>
      </w:r>
      <w:r w:rsidR="00AA493B">
        <w:t>blood pressure at discharge, sodium level at discharge, NYHA clas</w:t>
      </w:r>
      <w:r w:rsidR="00611AFF">
        <w:t>s</w:t>
      </w:r>
      <w:r w:rsidR="00AA493B">
        <w:t>, the presence of a geriatric risk profile</w:t>
      </w:r>
      <w:r w:rsidR="00075766">
        <w:t xml:space="preserve"> [</w:t>
      </w:r>
      <w:r w:rsidR="00AD6DCE">
        <w:t>1</w:t>
      </w:r>
      <w:r w:rsidR="00356D27">
        <w:t>8</w:t>
      </w:r>
      <w:r w:rsidR="00075766">
        <w:t>]</w:t>
      </w:r>
      <w:r w:rsidR="00AA493B">
        <w:t>, KATZ scale</w:t>
      </w:r>
      <w:r w:rsidR="00A50EF1">
        <w:t xml:space="preserve"> (b</w:t>
      </w:r>
      <w:r w:rsidR="00985B98">
        <w:t>asic activities of daily living)</w:t>
      </w:r>
      <w:r w:rsidR="00075766">
        <w:t xml:space="preserve"> [</w:t>
      </w:r>
      <w:r w:rsidR="00AD6DCE">
        <w:t>1</w:t>
      </w:r>
      <w:r w:rsidR="00356D27">
        <w:t>9</w:t>
      </w:r>
      <w:r w:rsidR="00075766">
        <w:t>]</w:t>
      </w:r>
      <w:r w:rsidR="00AA493B">
        <w:t>,</w:t>
      </w:r>
      <w:r w:rsidR="006B76AD">
        <w:t xml:space="preserve"> Charlson comorbidity index</w:t>
      </w:r>
      <w:r w:rsidR="00075766">
        <w:t xml:space="preserve"> [</w:t>
      </w:r>
      <w:r w:rsidR="00356D27">
        <w:t>20</w:t>
      </w:r>
      <w:r w:rsidR="00075766">
        <w:t>]</w:t>
      </w:r>
      <w:r w:rsidR="00985B98">
        <w:t>,</w:t>
      </w:r>
      <w:r w:rsidR="00A50EF1">
        <w:t xml:space="preserve"> Lawton</w:t>
      </w:r>
      <w:r w:rsidR="00985B98">
        <w:t xml:space="preserve"> </w:t>
      </w:r>
      <w:r w:rsidR="00AA493B">
        <w:t>scale</w:t>
      </w:r>
      <w:r w:rsidR="00A50EF1">
        <w:t xml:space="preserve"> (instrumental activities of daily living)</w:t>
      </w:r>
      <w:r w:rsidR="00075766">
        <w:t xml:space="preserve"> [</w:t>
      </w:r>
      <w:r w:rsidR="00743072">
        <w:t>2</w:t>
      </w:r>
      <w:r w:rsidR="00356D27">
        <w:t>1</w:t>
      </w:r>
      <w:r w:rsidR="00075766">
        <w:t>]</w:t>
      </w:r>
      <w:r w:rsidR="00A52452">
        <w:t xml:space="preserve"> and ejection fraction</w:t>
      </w:r>
      <w:r w:rsidR="000F67DD">
        <w:t>.</w:t>
      </w:r>
      <w:r w:rsidR="00BD0909">
        <w:t xml:space="preserve"> S</w:t>
      </w:r>
      <w:r w:rsidR="00AD39A5">
        <w:t>urvival status</w:t>
      </w:r>
      <w:r w:rsidR="00EA15DD">
        <w:t xml:space="preserve"> </w:t>
      </w:r>
      <w:r w:rsidR="00935015">
        <w:t xml:space="preserve">after one year </w:t>
      </w:r>
      <w:r w:rsidR="00AD39A5">
        <w:t>was assessed by telephone</w:t>
      </w:r>
      <w:r w:rsidR="000F67DD">
        <w:t xml:space="preserve"> call</w:t>
      </w:r>
      <w:r w:rsidR="00AD39A5">
        <w:t xml:space="preserve">. </w:t>
      </w:r>
      <w:r w:rsidR="00AD39A5" w:rsidRPr="00C64C57">
        <w:t xml:space="preserve">Firstly the patient </w:t>
      </w:r>
      <w:r w:rsidR="004E5DF5" w:rsidRPr="00C64C57">
        <w:t xml:space="preserve">or legal representative </w:t>
      </w:r>
      <w:r w:rsidR="00AD39A5" w:rsidRPr="00C64C57">
        <w:t xml:space="preserve">was contacted, secondly the </w:t>
      </w:r>
      <w:r w:rsidR="004E5DF5" w:rsidRPr="00C64C57">
        <w:t>general practitioner</w:t>
      </w:r>
      <w:r w:rsidR="00AD39A5" w:rsidRPr="00C64C57">
        <w:t>.</w:t>
      </w:r>
      <w:r w:rsidR="00AD39A5">
        <w:t xml:space="preserve"> </w:t>
      </w:r>
    </w:p>
    <w:p w14:paraId="576D6840" w14:textId="00BBD2E5" w:rsidR="00666244" w:rsidRDefault="00641E9B" w:rsidP="00CA146C">
      <w:r>
        <w:t xml:space="preserve">SPSS statistical package </w:t>
      </w:r>
      <w:r w:rsidR="00DC521A">
        <w:t>version 2</w:t>
      </w:r>
      <w:r w:rsidR="00430D43">
        <w:t>9</w:t>
      </w:r>
      <w:r w:rsidR="001A43E4">
        <w:t xml:space="preserve"> was used </w:t>
      </w:r>
      <w:r w:rsidR="004E6379">
        <w:t>for statistics</w:t>
      </w:r>
      <w:r w:rsidR="00E65540">
        <w:t xml:space="preserve">. </w:t>
      </w:r>
      <w:r w:rsidR="00353FB4">
        <w:t xml:space="preserve">For categorical variables the </w:t>
      </w:r>
      <w:r w:rsidR="00124A96">
        <w:t>Chi square test</w:t>
      </w:r>
      <w:r w:rsidR="0042189A">
        <w:t xml:space="preserve"> </w:t>
      </w:r>
      <w:r w:rsidR="00353FB4">
        <w:t xml:space="preserve">was used and for continuous variables the independent sample T-test. </w:t>
      </w:r>
      <w:r w:rsidR="004E6379">
        <w:t>A</w:t>
      </w:r>
      <w:r w:rsidR="00B54570">
        <w:t xml:space="preserve">ll variables with a p-value &lt; </w:t>
      </w:r>
      <w:r w:rsidR="004E6379">
        <w:t>0</w:t>
      </w:r>
      <w:r w:rsidR="00F02D45">
        <w:t>.</w:t>
      </w:r>
      <w:r w:rsidR="004E6379">
        <w:t>2 in univariate analysis were included in the multivariate analysis</w:t>
      </w:r>
      <w:r w:rsidR="00FA3DFC">
        <w:t xml:space="preserve"> and the type of heart failure was forced in the model because this was </w:t>
      </w:r>
      <w:r w:rsidR="00EC6D58">
        <w:t xml:space="preserve">one of </w:t>
      </w:r>
      <w:r w:rsidR="00FA3DFC">
        <w:t xml:space="preserve">our main research </w:t>
      </w:r>
      <w:r w:rsidR="00FA3DFC">
        <w:lastRenderedPageBreak/>
        <w:t>question</w:t>
      </w:r>
      <w:r w:rsidR="00EC6D58">
        <w:t>s</w:t>
      </w:r>
      <w:r w:rsidR="004E6379">
        <w:t xml:space="preserve">. </w:t>
      </w:r>
      <w:r w:rsidR="00AC1E6D">
        <w:t>A</w:t>
      </w:r>
      <w:r w:rsidR="001C0DAC">
        <w:t xml:space="preserve"> </w:t>
      </w:r>
      <w:r w:rsidR="00DC0856">
        <w:t>logistic and cox</w:t>
      </w:r>
      <w:r w:rsidR="001C0DAC">
        <w:t xml:space="preserve"> regression</w:t>
      </w:r>
      <w:r w:rsidR="00430D43">
        <w:t xml:space="preserve"> including interaction terms</w:t>
      </w:r>
      <w:r w:rsidR="001C0DAC">
        <w:t xml:space="preserve"> w</w:t>
      </w:r>
      <w:r w:rsidR="00430D43">
        <w:t>ere</w:t>
      </w:r>
      <w:r w:rsidR="001C0DAC">
        <w:t xml:space="preserve"> performed</w:t>
      </w:r>
      <w:r w:rsidR="00AC1E6D">
        <w:t xml:space="preserve"> for one-year survival (time)</w:t>
      </w:r>
      <w:r w:rsidR="00DC0856">
        <w:t xml:space="preserve">. </w:t>
      </w:r>
      <w:r w:rsidR="00A141F7">
        <w:t xml:space="preserve"> </w:t>
      </w:r>
    </w:p>
    <w:p w14:paraId="15F8A82B" w14:textId="2137FD7F" w:rsidR="00D22CEA" w:rsidRDefault="00D1463F" w:rsidP="00D1463F">
      <w:r>
        <w:t xml:space="preserve">This study was approved by the ethics committee from UZ Ghent (Belgian Registration number B670201734355A). </w:t>
      </w:r>
    </w:p>
    <w:p w14:paraId="7C04AC07" w14:textId="77777777" w:rsidR="00D22CEA" w:rsidRDefault="00D22CEA">
      <w:pPr>
        <w:spacing w:line="276" w:lineRule="auto"/>
        <w:jc w:val="left"/>
      </w:pPr>
      <w:r>
        <w:br w:type="page"/>
      </w:r>
    </w:p>
    <w:p w14:paraId="45DA9277" w14:textId="532844AB" w:rsidR="00076D0D" w:rsidRPr="00D00A9C" w:rsidRDefault="007D7258" w:rsidP="00917994">
      <w:pPr>
        <w:pStyle w:val="Kop1"/>
        <w:rPr>
          <w:rStyle w:val="Intensievebenadrukking"/>
        </w:rPr>
      </w:pPr>
      <w:r w:rsidRPr="00D00A9C">
        <w:rPr>
          <w:rStyle w:val="Intensievebenadrukking"/>
        </w:rPr>
        <w:lastRenderedPageBreak/>
        <w:t xml:space="preserve">Figure </w:t>
      </w:r>
      <w:r w:rsidR="00076D0D" w:rsidRPr="00D00A9C">
        <w:rPr>
          <w:rStyle w:val="Intensievebenadrukking"/>
        </w:rPr>
        <w:t xml:space="preserve"> 1. Flow chart patient inclusion</w:t>
      </w:r>
    </w:p>
    <w:p w14:paraId="1DAEB2CB" w14:textId="0DA2E84E" w:rsidR="00CA228B" w:rsidRPr="00CA228B" w:rsidRDefault="004A69B1" w:rsidP="00CA146C">
      <w:r>
        <w:rPr>
          <w:noProof/>
          <w:lang w:eastAsia="en-GB"/>
        </w:rPr>
        <mc:AlternateContent>
          <mc:Choice Requires="wpg">
            <w:drawing>
              <wp:anchor distT="0" distB="0" distL="114300" distR="114300" simplePos="0" relativeHeight="251654656" behindDoc="0" locked="0" layoutInCell="1" allowOverlap="1" wp14:anchorId="06B5564E" wp14:editId="38E0F90A">
                <wp:simplePos x="0" y="0"/>
                <wp:positionH relativeFrom="column">
                  <wp:posOffset>21102</wp:posOffset>
                </wp:positionH>
                <wp:positionV relativeFrom="paragraph">
                  <wp:posOffset>31457</wp:posOffset>
                </wp:positionV>
                <wp:extent cx="5577205" cy="7708912"/>
                <wp:effectExtent l="0" t="0" r="23495" b="25400"/>
                <wp:wrapNone/>
                <wp:docPr id="2" name="Groep 2"/>
                <wp:cNvGraphicFramePr/>
                <a:graphic xmlns:a="http://schemas.openxmlformats.org/drawingml/2006/main">
                  <a:graphicData uri="http://schemas.microsoft.com/office/word/2010/wordprocessingGroup">
                    <wpg:wgp>
                      <wpg:cNvGrpSpPr/>
                      <wpg:grpSpPr>
                        <a:xfrm>
                          <a:off x="0" y="0"/>
                          <a:ext cx="5577205" cy="7708912"/>
                          <a:chOff x="-35174" y="-154750"/>
                          <a:chExt cx="5577817" cy="7709142"/>
                        </a:xfrm>
                      </wpg:grpSpPr>
                      <wps:wsp>
                        <wps:cNvPr id="7" name="Rechte verbindingslijn 7"/>
                        <wps:cNvCnPr/>
                        <wps:spPr>
                          <a:xfrm>
                            <a:off x="798358" y="1133122"/>
                            <a:ext cx="16848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Afgeronde rechthoek 8"/>
                        <wps:cNvSpPr/>
                        <wps:spPr>
                          <a:xfrm>
                            <a:off x="2490254" y="597893"/>
                            <a:ext cx="3052389" cy="167410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011C8A" w14:textId="04BE6D03" w:rsidR="005A491F" w:rsidRPr="00717524" w:rsidRDefault="005A491F" w:rsidP="00F73F79">
                              <w:pPr>
                                <w:pStyle w:val="Geenafstand"/>
                              </w:pPr>
                              <w:r w:rsidRPr="00717524">
                                <w:t>229 patients did not fulfill inclusion criteria:</w:t>
                              </w:r>
                            </w:p>
                            <w:p w14:paraId="28B0BB04" w14:textId="77777777" w:rsidR="005A491F" w:rsidRPr="00717524" w:rsidRDefault="005A491F" w:rsidP="00F73F79">
                              <w:pPr>
                                <w:pStyle w:val="Geenafstand"/>
                              </w:pPr>
                              <w:r w:rsidRPr="00717524">
                                <w:t>- 124 patients because of hospitalisation longer than 2 days on another ward</w:t>
                              </w:r>
                            </w:p>
                            <w:p w14:paraId="1F035CF9" w14:textId="1B0C5985" w:rsidR="005A491F" w:rsidRPr="00717524" w:rsidRDefault="005A491F" w:rsidP="00F73F79">
                              <w:pPr>
                                <w:pStyle w:val="Geenafstand"/>
                              </w:pPr>
                              <w:r w:rsidRPr="00717524">
                                <w:t xml:space="preserve">- 13 because of death </w:t>
                              </w:r>
                              <w:r>
                                <w:t>on</w:t>
                              </w:r>
                              <w:r w:rsidRPr="00717524">
                                <w:t xml:space="preserve"> admission</w:t>
                              </w:r>
                            </w:p>
                            <w:p w14:paraId="5F129219" w14:textId="77777777" w:rsidR="005A491F" w:rsidRPr="00717524" w:rsidRDefault="005A491F" w:rsidP="00F73F79">
                              <w:pPr>
                                <w:pStyle w:val="Geenafstand"/>
                              </w:pPr>
                              <w:r w:rsidRPr="00717524">
                                <w:t>- 20 because of already included in the study</w:t>
                              </w:r>
                            </w:p>
                            <w:p w14:paraId="667BBA85" w14:textId="23E902AF" w:rsidR="005A491F" w:rsidRPr="00717524" w:rsidRDefault="005A491F" w:rsidP="00F73F79">
                              <w:pPr>
                                <w:pStyle w:val="Geenafstand"/>
                              </w:pPr>
                              <w:r w:rsidRPr="00717524">
                                <w:t xml:space="preserve">- 72 because of length of stay shorter than 2 </w:t>
                              </w:r>
                              <w:r>
                                <w:t xml:space="preserve">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Afgeronde rechthoek 1"/>
                        <wps:cNvSpPr/>
                        <wps:spPr>
                          <a:xfrm>
                            <a:off x="-35174" y="-154750"/>
                            <a:ext cx="1814931" cy="801883"/>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A4BF091" w14:textId="74AF452E" w:rsidR="005A491F" w:rsidRPr="009A78AB" w:rsidRDefault="005A491F" w:rsidP="00F73F79">
                              <w:pPr>
                                <w:pStyle w:val="Geenafstand"/>
                              </w:pPr>
                              <w:r w:rsidRPr="009A78AB">
                                <w:t xml:space="preserve">884 patients </w:t>
                              </w:r>
                              <w:r>
                                <w:t xml:space="preserve"> </w:t>
                              </w:r>
                              <w:r w:rsidRPr="009A78AB">
                                <w:t>(75 years and older, from 4 wards) admitted during the study period (January 2018 – July 2018)</w:t>
                              </w:r>
                            </w:p>
                            <w:p w14:paraId="17749855" w14:textId="7E58C81C" w:rsidR="005A491F" w:rsidRPr="00F73F79" w:rsidRDefault="005A491F" w:rsidP="00DB1827">
                              <w:pPr>
                                <w:spacing w:line="240" w:lineRule="auto"/>
                                <w:rPr>
                                  <w:sz w:val="20"/>
                                  <w:szCs w:val="20"/>
                                </w:rPr>
                              </w:pPr>
                              <w:r w:rsidRPr="00F73F79">
                                <w:rPr>
                                  <w:sz w:val="20"/>
                                  <w:szCs w:val="20"/>
                                </w:rPr>
                                <w:t>study period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fgeronde rechthoek 12"/>
                        <wps:cNvSpPr/>
                        <wps:spPr>
                          <a:xfrm>
                            <a:off x="11429" y="2496133"/>
                            <a:ext cx="1655774" cy="37337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1C8A4C" w14:textId="77777777" w:rsidR="005A491F" w:rsidRPr="00F55D48" w:rsidRDefault="005A491F" w:rsidP="00F73F79">
                              <w:pPr>
                                <w:pStyle w:val="Geenafstand"/>
                              </w:pPr>
                              <w:r w:rsidRPr="00F55D48">
                                <w:t xml:space="preserve">655 eligible for inclusion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hte verbindingslijn met pijl 13"/>
                        <wps:cNvCnPr/>
                        <wps:spPr>
                          <a:xfrm>
                            <a:off x="783346" y="2869491"/>
                            <a:ext cx="0" cy="158114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Rechte verbindingslijn 15"/>
                        <wps:cNvCnPr>
                          <a:endCxn id="16" idx="1"/>
                        </wps:cNvCnPr>
                        <wps:spPr>
                          <a:xfrm>
                            <a:off x="786704" y="3319877"/>
                            <a:ext cx="1724252" cy="299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Afgeronde rechthoek 16"/>
                        <wps:cNvSpPr/>
                        <wps:spPr>
                          <a:xfrm>
                            <a:off x="2510956" y="2789064"/>
                            <a:ext cx="3003342" cy="112187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0ECC75" w14:textId="77777777" w:rsidR="005A491F" w:rsidRPr="00F80971" w:rsidRDefault="005A491F" w:rsidP="00F73F79">
                              <w:pPr>
                                <w:pStyle w:val="Geenafstand"/>
                              </w:pPr>
                              <w:r w:rsidRPr="00F80971">
                                <w:t>397</w:t>
                              </w:r>
                              <w:r>
                                <w:t xml:space="preserve"> </w:t>
                              </w:r>
                              <w:r w:rsidRPr="00F80971">
                                <w:t xml:space="preserve">not included in the study: </w:t>
                              </w:r>
                            </w:p>
                            <w:p w14:paraId="7CC677E5" w14:textId="496E7353" w:rsidR="005A491F" w:rsidRPr="00F80971" w:rsidRDefault="005A491F" w:rsidP="00F73F79">
                              <w:pPr>
                                <w:pStyle w:val="Geenafstand"/>
                              </w:pPr>
                              <w:r w:rsidRPr="00F80971">
                                <w:t>- 347 because of lack of time</w:t>
                              </w:r>
                              <w:r>
                                <w:t xml:space="preserve"> of junior doctors to assemble all information and ask for IC</w:t>
                              </w:r>
                            </w:p>
                            <w:p w14:paraId="64F292C3" w14:textId="77777777" w:rsidR="005A491F" w:rsidRPr="00F80971" w:rsidRDefault="005A491F" w:rsidP="00F73F79">
                              <w:pPr>
                                <w:pStyle w:val="Geenafstand"/>
                              </w:pPr>
                              <w:r w:rsidRPr="00F80971">
                                <w:t xml:space="preserve">- </w:t>
                              </w:r>
                              <w:r>
                                <w:t>50 because of absence of a legal representative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Afgeronde rechthoek 17"/>
                        <wps:cNvSpPr/>
                        <wps:spPr>
                          <a:xfrm>
                            <a:off x="0" y="4018209"/>
                            <a:ext cx="1657168" cy="48386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A781E1" w14:textId="77777777" w:rsidR="005A491F" w:rsidRPr="00F55D48" w:rsidRDefault="005A491F" w:rsidP="00F73F79">
                              <w:pPr>
                                <w:pStyle w:val="Geenafstand"/>
                              </w:pPr>
                              <w:r w:rsidRPr="00F55D48">
                                <w:t>258 were asked for informed consent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 verbindingslijn met pijl 19"/>
                        <wps:cNvCnPr/>
                        <wps:spPr>
                          <a:xfrm flipH="1">
                            <a:off x="804930" y="4501167"/>
                            <a:ext cx="3810" cy="68960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Rechte verbindingslijn 20"/>
                        <wps:cNvCnPr/>
                        <wps:spPr>
                          <a:xfrm flipV="1">
                            <a:off x="814842" y="4826821"/>
                            <a:ext cx="1638998" cy="126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Afgeronde rechthoek 21"/>
                        <wps:cNvSpPr/>
                        <wps:spPr>
                          <a:xfrm>
                            <a:off x="2453210" y="4680646"/>
                            <a:ext cx="3061087" cy="285749"/>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B5D1299" w14:textId="21DAC32C" w:rsidR="005A491F" w:rsidRPr="00D87DCC" w:rsidRDefault="005A491F" w:rsidP="00F73F79">
                              <w:pPr>
                                <w:pStyle w:val="Geenafstand"/>
                              </w:pPr>
                              <w:r w:rsidRPr="00D87DCC">
                                <w:t xml:space="preserve">10 refused </w:t>
                              </w:r>
                              <w:r>
                                <w:t>informed consent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Afgeronde rechthoek 22"/>
                        <wps:cNvSpPr/>
                        <wps:spPr>
                          <a:xfrm>
                            <a:off x="0" y="5209505"/>
                            <a:ext cx="1645739" cy="42899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380521" w14:textId="73C03671" w:rsidR="005A491F" w:rsidRPr="000756CA" w:rsidRDefault="005A491F" w:rsidP="00F73F79">
                              <w:pPr>
                                <w:pStyle w:val="Geenafstand"/>
                              </w:pPr>
                              <w:r w:rsidRPr="000756CA">
                                <w:t>248 patients  gave informed consent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hte verbindingslijn met pijl 23"/>
                        <wps:cNvCnPr/>
                        <wps:spPr>
                          <a:xfrm>
                            <a:off x="798358" y="5640947"/>
                            <a:ext cx="0" cy="144844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Rechte verbindingslijn 24"/>
                        <wps:cNvCnPr/>
                        <wps:spPr>
                          <a:xfrm>
                            <a:off x="798358" y="6271686"/>
                            <a:ext cx="15831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Afgeronde rechthoek 25"/>
                        <wps:cNvSpPr/>
                        <wps:spPr>
                          <a:xfrm>
                            <a:off x="2399820" y="5746489"/>
                            <a:ext cx="3094215" cy="132273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63142F" w14:textId="4576DAB4" w:rsidR="005A491F" w:rsidRPr="00F31D47" w:rsidRDefault="005A491F" w:rsidP="00F73F79">
                              <w:pPr>
                                <w:pStyle w:val="Geenafstand"/>
                              </w:pPr>
                              <w:r w:rsidRPr="00F31D47">
                                <w:t>Selection of patients with heart failure:</w:t>
                              </w:r>
                            </w:p>
                            <w:p w14:paraId="35E43581" w14:textId="05686B30" w:rsidR="005A491F" w:rsidRPr="00F31D47" w:rsidRDefault="005A491F" w:rsidP="00F73F79">
                              <w:pPr>
                                <w:pStyle w:val="Geenafstand"/>
                              </w:pPr>
                              <w:r w:rsidRPr="00F31D47">
                                <w:t>- EF  &lt; 50%</w:t>
                              </w:r>
                              <w:r>
                                <w:t xml:space="preserve">  </w:t>
                              </w:r>
                              <w:r>
                                <w:tab/>
                              </w:r>
                              <w:r>
                                <w:tab/>
                              </w:r>
                            </w:p>
                            <w:p w14:paraId="0EE56943" w14:textId="703B0839" w:rsidR="005A491F" w:rsidRDefault="005A491F" w:rsidP="00F73F79">
                              <w:pPr>
                                <w:pStyle w:val="Geenafstand"/>
                              </w:pPr>
                              <w:r w:rsidRPr="00F31D47">
                                <w:t>- History of heart failure on a clinical basis</w:t>
                              </w:r>
                              <w:r>
                                <w:t xml:space="preserve"> </w:t>
                              </w:r>
                            </w:p>
                            <w:p w14:paraId="6B0939E9" w14:textId="77777777" w:rsidR="005A491F" w:rsidRPr="00F31D47" w:rsidRDefault="005A491F" w:rsidP="00F73F79">
                              <w:pPr>
                                <w:pStyle w:val="Geenafstand"/>
                              </w:pPr>
                              <w:r>
                                <w:t>- Presence of medical heart failure therapy</w:t>
                              </w:r>
                            </w:p>
                            <w:p w14:paraId="5BFFA0F8" w14:textId="77777777" w:rsidR="005A491F" w:rsidRPr="00F31D47" w:rsidRDefault="005A491F" w:rsidP="00F73F79">
                              <w:pPr>
                                <w:pStyle w:val="Geenafstand"/>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Afgeronde rechthoek 26"/>
                        <wps:cNvSpPr/>
                        <wps:spPr>
                          <a:xfrm>
                            <a:off x="11430" y="7088909"/>
                            <a:ext cx="1642960" cy="46548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99375B" w14:textId="0D2AFE98" w:rsidR="005A491F" w:rsidRPr="007F537A" w:rsidRDefault="005A491F" w:rsidP="00B05241">
                              <w:pPr>
                                <w:pStyle w:val="Geenafstand"/>
                              </w:pPr>
                              <w:r w:rsidRPr="007F537A">
                                <w:t xml:space="preserve">147 patients </w:t>
                              </w:r>
                              <w:r>
                                <w:t>aged</w:t>
                              </w:r>
                              <w:r w:rsidR="00BA1F97">
                                <w:t xml:space="preserve"> ≥</w:t>
                              </w:r>
                              <w:r>
                                <w:t xml:space="preserve"> 75 </w:t>
                              </w:r>
                              <w:r w:rsidRPr="007F537A">
                                <w:t xml:space="preserve">with heart failure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B5564E" id="Groep 2" o:spid="_x0000_s1026" style="position:absolute;left:0;text-align:left;margin-left:1.65pt;margin-top:2.5pt;width:439.15pt;height:607pt;z-index:251654656;mso-width-relative:margin;mso-height-relative:margin" coordorigin="-351,-1547" coordsize="55778,7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eB3wYAADM4AAAOAAAAZHJzL2Uyb0RvYy54bWzsW1tv2zYYfR+w/yDovbVI3SijThGklw0o&#10;2qLt1mdFlmy1MqlRTOz01++Qutmp7bhem3SugECRLJIiP53zXaknT1eLwrpOZZULPrHJY8e2Up6I&#10;ac5nE/uvDy8eMduqVMyncSF4OrFv0sp+evb7b0+W5TilYi6KaSotDMKr8bKc2HOlyvFoVCXzdBFX&#10;j0WZctzMhFzECpdyNprKeInRF8WIOk4wWgo5LaVI0qrCr8/qm/aZGT/L0kS9ybIqVVYxsTE3ZY7S&#10;HC/1cXT2JB7PZFzO86SZRnzELBZxzvHQbqhnsYqtK5l/NdQiT6SoRKYeJ2IxElmWJ6lZA1ZDnFur&#10;eSnFVWnWMhsvZ2UnJoj2lpyOHjZ5ff1Slu/LtxKSWJYzyMJc6bWsMrnQ/zFLa2VEdtOJLF0pK8GP&#10;vh+G1PFtK8G9MHRYRGgt1GQOyet+j1yfhJ5tocEj4nuh30g9mT9fG4SRsBskIp4ZZNTOYbQxs2UJ&#10;rFS9OKr/Jo7387hMjZSrMcTxVlr5FGuxLR4vgNh3aTJXqcb4Zc41rqsi/8StUK9SzwRdLngjvmpc&#10;QZJbZBdGzPVBBciAENcltBFSK0YSMI8FpJaAkU+39nhcykq9TMXC0icTu8i5nm48jq9fVQqzQNO2&#10;if654PpYiSKfvsiLwlxoOqUXhbSuYxBBrYiePfqttcKV7glRt6swZ+qmSOtR36UZJIMXSszTDUX7&#10;MeMkSblqxy04WutuGWbQdXTu7ti0111TQ99v6dz1ME8WXHWdFzkXctvTe1FkdftWAvW6tQguxfTG&#10;vF8jGgCvfu8/HIGAS43A82yWSsGnqSU1Fuci/WyxNfh17G1fXEubjrrUixzq1xz0o5BFbs3RFn6u&#10;41OXRTX8SBB6xAkahLRKoEVYA0JoJj4FNdSDIpFue6U1Etv5b0fiVggXHXyPQmH7xCNQOP3cEmcn&#10;CtXqctVonBqQlhS1NavK5EUOzfAqrtTbWMJ8wdBBXak3OGSFWE5s0ZzZ1lzIL9t+1+2hRnHXtpYw&#10;hxO7+ucqlqltFX9yKFioZE/bT3Ph+dD5tiXX71yu3+FXiwsBRQOFhtmZU91eFe1pJsXiIyz3uX4q&#10;bsU8wbMndqJke3GhajMN25+k5+emGWxmGatX/H2ZtGpI4/LD6mMsywaZCqB+LVql/pWWrNtqBcHF&#10;+ZUSWW5UaE/0RgHcH88hpN08N7jQk4OZuZvnu0xty3PCiBe5jZlhDmHMKILdtuYnpnnPmfugeP+0&#10;H0dv43d0L3xg+WmxnO6lufEHD+Y5gYMMaw1vEpY9gEO5ac5JoN1ymHvtlLuh64bRYM2NO9qRt/Zk&#10;9zikP96aG7p3732g+2nR3W3pviN+XCAnUeafCosY8jbUPyCSZK7rBTX3WRB5kTEYiJaaWBrOlGY9&#10;8RmUhAlSd1v3Ssk4n83VheAcrryQtVv8fePKeKzivHjOp5a6KRFPx1KKZaOOhoBTR8l1yP3wASdB&#10;GmdvzgMNNpMeJkzn04sVr30X4LLJEOj0whqm65B5V3KEBaFTB6dIjUQsNLDtIU1C6lEf9lMDm0YR&#10;9fZbsyFBsist05m/k0iQEMBtT+RkLPjBLhX1iRP5jWJFhsQJDMp6FLqOA83boJAQSlh4R6LuJw6e&#10;TjdHYhRRZ1IHr+q0vKouK78tJ4oKQm+e7k6WwFOCPfGQBaGOiY96riOACpGSry2Ox1w4WvtNzkD1&#10;tfLCpnI5wub0yZa96VBDdaOltZYfqH5aVEd+Y68z2gdQhptrzmajBNa9TSsr8vKPNmfcFDSZg2Ro&#10;owV8h6DuoUneawGXkSaaClgU1DpiCKY2S4mbZb+j6iZt6eMIRfETV+90gWQvftGgt1Y74n4D279v&#10;w5Z4TPuh2ngxGjB6KwNAApTyosZ4EXoncIdw6dcIl4CTPeFSjaLDwyXPd6lWjxqFAUO0ZMKtNeXp&#10;BMRhzZ4OyvzQ+z4uFDhzwBaFrYXh3q04qYpRl5QZPKCT8oCwR2gfX7vKwUGV4ZqpPiIdH7u1Ntwc&#10;EqCe7zabPzwK2/H/LQpvhh73QfPNJx7hw/Ra6e5gp0tpDVQ/LaofXC2iXWrrW/cd+oHnRHVFqLfS&#10;TXyDzT0Mf/tzHEO1qNvOaKLEX3x7IqowdwQ4XWrmW6EaUJ19u+VQoqLpEqcFbOTU24h3x+NDWPOL&#10;hDVd1XJbTph23vFBbhJ1ETnr0B1hDUKWwMOm2A1nyYUOpbpQaorsLqWha7JGu3E4pIYfKjXclQMG&#10;b+m0vKW9dV/aOckHMR67ZJocMD5eQdn3Ft8RHFHkfptKUOCjGLTfSxro/lB07z6JGOh+X3RHJs58&#10;mYac3Manb+vXJl/Xf+t39i8AAAD//wMAUEsDBBQABgAIAAAAIQCUVW9m3gAAAAgBAAAPAAAAZHJz&#10;L2Rvd25yZXYueG1sTI9Ba8JAEIXvhf6HZYTe6iYGJY3ZiEjbkxSqhdLbmh2TYHY2ZNck/vtOT/U4&#10;vI8338s3k23FgL1vHCmI5xEIpNKZhioFX8e35xSED5qMbh2hght62BSPD7nOjBvpE4dDqASXkM+0&#10;gjqELpPSlzVa7eeuQ+Ls7HqrA599JU2vRy63rVxE0Upa3RB/qHWHuxrLy+FqFbyPetwm8euwv5x3&#10;t5/j8uN7H6NST7NpuwYRcAr/MPzpszoU7HRyVzJetAqShEEFSx7EaZrGKxAnxhbxSwSyyOX9gOIX&#10;AAD//wMAUEsBAi0AFAAGAAgAAAAhALaDOJL+AAAA4QEAABMAAAAAAAAAAAAAAAAAAAAAAFtDb250&#10;ZW50X1R5cGVzXS54bWxQSwECLQAUAAYACAAAACEAOP0h/9YAAACUAQAACwAAAAAAAAAAAAAAAAAv&#10;AQAAX3JlbHMvLnJlbHNQSwECLQAUAAYACAAAACEAgGXXgd8GAAAzOAAADgAAAAAAAAAAAAAAAAAu&#10;AgAAZHJzL2Uyb0RvYy54bWxQSwECLQAUAAYACAAAACEAlFVvZt4AAAAIAQAADwAAAAAAAAAAAAAA&#10;AAA5CQAAZHJzL2Rvd25yZXYueG1sUEsFBgAAAAAEAAQA8wAAAEQKAAAAAA==&#10;">
                <v:line id="Rechte verbindingslijn 7" o:spid="_x0000_s1027" style="position:absolute;visibility:visible;mso-wrap-style:square" from="7983,11331" to="24832,1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iBxAAAANoAAAAPAAAAZHJzL2Rvd25yZXYueG1sRI9Pa8JA&#10;FMTvBb/D8gRvdaOgkegqQRCqPdU/eH1kn0k0+zbsbmPaT98tFHocZuY3zGrTm0Z05HxtWcFknIAg&#10;LqyuuVRwPu1eFyB8QNbYWCYFX+Rhsx68rDDT9skf1B1DKSKEfYYKqhDaTEpfVGTQj21LHL2bdQZD&#10;lK6U2uEzwk0jp0kylwZrjgsVtrStqHgcP42CRXG4uzzN95PZpU2/u+n7fHdNlRoN+3wJIlAf/sN/&#10;7TetIIXfK/EGyPUPAAAA//8DAFBLAQItABQABgAIAAAAIQDb4fbL7gAAAIUBAAATAAAAAAAAAAAA&#10;AAAAAAAAAABbQ29udGVudF9UeXBlc10ueG1sUEsBAi0AFAAGAAgAAAAhAFr0LFu/AAAAFQEAAAsA&#10;AAAAAAAAAAAAAAAAHwEAAF9yZWxzLy5yZWxzUEsBAi0AFAAGAAgAAAAhABQN2IHEAAAA2gAAAA8A&#10;AAAAAAAAAAAAAAAABwIAAGRycy9kb3ducmV2LnhtbFBLBQYAAAAAAwADALcAAAD4AgAAAAA=&#10;" strokecolor="black [3213]"/>
                <v:roundrect id="Afgeronde rechthoek 8" o:spid="_x0000_s1028" style="position:absolute;left:24902;top:5978;width:30524;height:167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gFgwQAAANoAAAAPAAAAZHJzL2Rvd25yZXYueG1sRE+7asMw&#10;FN0D/QdxC1lCLadDCK5lU0oDaaBDkxg6XqzrR2tdGUlxnL+vhkLGw3nn5WwGMZHzvWUF6yQFQVxb&#10;3XOr4HzaPW1B+ICscbBMCm7koSweFjlm2l75i6ZjaEUMYZ+hgi6EMZPS1x0Z9IkdiSPXWGcwROha&#10;qR1eY7gZ5HOabqTBnmNDhyO9dVT/Hi9GwfvPd+o+2t6OzeFmZfNZrdymUmr5OL++gAg0h7v4373X&#10;CuLWeCXeAFn8AQAA//8DAFBLAQItABQABgAIAAAAIQDb4fbL7gAAAIUBAAATAAAAAAAAAAAAAAAA&#10;AAAAAABbQ29udGVudF9UeXBlc10ueG1sUEsBAi0AFAAGAAgAAAAhAFr0LFu/AAAAFQEAAAsAAAAA&#10;AAAAAAAAAAAAHwEAAF9yZWxzLy5yZWxzUEsBAi0AFAAGAAgAAAAhAIQ+AWDBAAAA2gAAAA8AAAAA&#10;AAAAAAAAAAAABwIAAGRycy9kb3ducmV2LnhtbFBLBQYAAAAAAwADALcAAAD1AgAAAAA=&#10;" fillcolor="white [3201]" strokecolor="black [3213]" strokeweight="2pt">
                  <v:textbox>
                    <w:txbxContent>
                      <w:p w14:paraId="3F011C8A" w14:textId="04BE6D03" w:rsidR="005A491F" w:rsidRPr="00717524" w:rsidRDefault="005A491F" w:rsidP="00F73F79">
                        <w:pPr>
                          <w:pStyle w:val="Geenafstand"/>
                        </w:pPr>
                        <w:r w:rsidRPr="00717524">
                          <w:t>229 patients did not fulfill inclusion criteria:</w:t>
                        </w:r>
                      </w:p>
                      <w:p w14:paraId="28B0BB04" w14:textId="77777777" w:rsidR="005A491F" w:rsidRPr="00717524" w:rsidRDefault="005A491F" w:rsidP="00F73F79">
                        <w:pPr>
                          <w:pStyle w:val="Geenafstand"/>
                        </w:pPr>
                        <w:r w:rsidRPr="00717524">
                          <w:t>- 124 patients because of hospitalisation longer than 2 days on another ward</w:t>
                        </w:r>
                      </w:p>
                      <w:p w14:paraId="1F035CF9" w14:textId="1B0C5985" w:rsidR="005A491F" w:rsidRPr="00717524" w:rsidRDefault="005A491F" w:rsidP="00F73F79">
                        <w:pPr>
                          <w:pStyle w:val="Geenafstand"/>
                        </w:pPr>
                        <w:r w:rsidRPr="00717524">
                          <w:t xml:space="preserve">- 13 because of death </w:t>
                        </w:r>
                        <w:r>
                          <w:t>on</w:t>
                        </w:r>
                        <w:r w:rsidRPr="00717524">
                          <w:t xml:space="preserve"> admission</w:t>
                        </w:r>
                      </w:p>
                      <w:p w14:paraId="5F129219" w14:textId="77777777" w:rsidR="005A491F" w:rsidRPr="00717524" w:rsidRDefault="005A491F" w:rsidP="00F73F79">
                        <w:pPr>
                          <w:pStyle w:val="Geenafstand"/>
                        </w:pPr>
                        <w:r w:rsidRPr="00717524">
                          <w:t>- 20 because of already included in the study</w:t>
                        </w:r>
                      </w:p>
                      <w:p w14:paraId="667BBA85" w14:textId="23E902AF" w:rsidR="005A491F" w:rsidRPr="00717524" w:rsidRDefault="005A491F" w:rsidP="00F73F79">
                        <w:pPr>
                          <w:pStyle w:val="Geenafstand"/>
                        </w:pPr>
                        <w:r w:rsidRPr="00717524">
                          <w:t xml:space="preserve">- 72 because of length of stay shorter than 2 </w:t>
                        </w:r>
                        <w:r>
                          <w:t xml:space="preserve"> days</w:t>
                        </w:r>
                      </w:p>
                    </w:txbxContent>
                  </v:textbox>
                </v:roundrect>
                <v:roundrect id="Afgeronde rechthoek 1" o:spid="_x0000_s1029" style="position:absolute;left:-351;top:-1547;width:18148;height:80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Kj9wQAAANoAAAAPAAAAZHJzL2Rvd25yZXYueG1sRE9La8JA&#10;EL4L/odlCr2IbuwhSOoqpSi0hR4aDfQ4ZCcPm50Nu1tN/n03UPA0fHzP2e4H04krOd9aVrBeJSCI&#10;S6tbrhWcT8flBoQPyBo7y6RgJA/73Xy2xUzbG3/RNQ+1iCHsM1TQhNBnUvqyIYN+ZXviyFXWGQwR&#10;ulpqh7cYbjr5lCSpNNhybGiwp9eGyp/81yg4XL4T9163tq8+Riurz2Lh0kKpx4fh5RlEoCHcxf/u&#10;Nx3nw/TKdOXuDwAA//8DAFBLAQItABQABgAIAAAAIQDb4fbL7gAAAIUBAAATAAAAAAAAAAAAAAAA&#10;AAAAAABbQ29udGVudF9UeXBlc10ueG1sUEsBAi0AFAAGAAgAAAAhAFr0LFu/AAAAFQEAAAsAAAAA&#10;AAAAAAAAAAAAHwEAAF9yZWxzLy5yZWxzUEsBAi0AFAAGAAgAAAAhABUEqP3BAAAA2gAAAA8AAAAA&#10;AAAAAAAAAAAABwIAAGRycy9kb3ducmV2LnhtbFBLBQYAAAAAAwADALcAAAD1AgAAAAA=&#10;" fillcolor="white [3201]" strokecolor="black [3213]" strokeweight="2pt">
                  <v:textbox>
                    <w:txbxContent>
                      <w:p w14:paraId="6A4BF091" w14:textId="74AF452E" w:rsidR="005A491F" w:rsidRPr="009A78AB" w:rsidRDefault="005A491F" w:rsidP="00F73F79">
                        <w:pPr>
                          <w:pStyle w:val="Geenafstand"/>
                        </w:pPr>
                        <w:r w:rsidRPr="009A78AB">
                          <w:t xml:space="preserve">884 patients </w:t>
                        </w:r>
                        <w:r>
                          <w:t xml:space="preserve"> </w:t>
                        </w:r>
                        <w:r w:rsidRPr="009A78AB">
                          <w:t>(75 years and older, from 4 wards) admitted during the study period (January 2018 – July 2018)</w:t>
                        </w:r>
                      </w:p>
                      <w:p w14:paraId="17749855" w14:textId="7E58C81C" w:rsidR="005A491F" w:rsidRPr="00F73F79" w:rsidRDefault="005A491F" w:rsidP="00DB1827">
                        <w:pPr>
                          <w:spacing w:line="240" w:lineRule="auto"/>
                          <w:rPr>
                            <w:sz w:val="20"/>
                            <w:szCs w:val="20"/>
                          </w:rPr>
                        </w:pPr>
                        <w:r w:rsidRPr="00F73F79">
                          <w:rPr>
                            <w:sz w:val="20"/>
                            <w:szCs w:val="20"/>
                          </w:rPr>
                          <w:t>study period</w:t>
                        </w:r>
                      </w:p>
                    </w:txbxContent>
                  </v:textbox>
                </v:roundrect>
                <v:roundrect id="Afgeronde rechthoek 12" o:spid="_x0000_s1030" style="position:absolute;left:114;top:24961;width:16558;height:37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iADwQAAANsAAAAPAAAAZHJzL2Rvd25yZXYueG1sRE9Li8Iw&#10;EL4L/ocwghfRdD2IVKOIuKALHtbdgsehmT60mZQkav33G2HB23x8z1muO9OIOzlfW1bwMUlAEOdW&#10;11wq+P35HM9B+ICssbFMCp7kYb3q95aYavvgb7qfQiliCPsUFVQhtKmUPq/IoJ/YljhyhXUGQ4Su&#10;lNrhI4abRk6TZCYN1hwbKmxpW1F+Pd2Mgt3lnLhDWdu2+HpaWRyzkZtlSg0H3WYBIlAX3uJ/917H&#10;+VN4/RIPkKs/AAAA//8DAFBLAQItABQABgAIAAAAIQDb4fbL7gAAAIUBAAATAAAAAAAAAAAAAAAA&#10;AAAAAABbQ29udGVudF9UeXBlc10ueG1sUEsBAi0AFAAGAAgAAAAhAFr0LFu/AAAAFQEAAAsAAAAA&#10;AAAAAAAAAAAAHwEAAF9yZWxzLy5yZWxzUEsBAi0AFAAGAAgAAAAhAMNKIAPBAAAA2wAAAA8AAAAA&#10;AAAAAAAAAAAABwIAAGRycy9kb3ducmV2LnhtbFBLBQYAAAAAAwADALcAAAD1AgAAAAA=&#10;" fillcolor="white [3201]" strokecolor="black [3213]" strokeweight="2pt">
                  <v:textbox>
                    <w:txbxContent>
                      <w:p w14:paraId="251C8A4C" w14:textId="77777777" w:rsidR="005A491F" w:rsidRPr="00F55D48" w:rsidRDefault="005A491F" w:rsidP="00F73F79">
                        <w:pPr>
                          <w:pStyle w:val="Geenafstand"/>
                        </w:pPr>
                        <w:r w:rsidRPr="00F55D48">
                          <w:t xml:space="preserve">655 eligible for inclusion </w:t>
                        </w:r>
                      </w:p>
                    </w:txbxContent>
                  </v:textbox>
                </v:roundrect>
                <v:shapetype id="_x0000_t32" coordsize="21600,21600" o:spt="32" o:oned="t" path="m,l21600,21600e" filled="f">
                  <v:path arrowok="t" fillok="f" o:connecttype="none"/>
                  <o:lock v:ext="edit" shapetype="t"/>
                </v:shapetype>
                <v:shape id="Rechte verbindingslijn met pijl 13" o:spid="_x0000_s1031" type="#_x0000_t32" style="position:absolute;left:7833;top:28694;width:0;height:158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4DbvwAAANsAAAAPAAAAZHJzL2Rvd25yZXYueG1sRE9Na8JA&#10;EL0X+h+WKXirmyagkrpKaQ0Ub0bpechOk5DsbNjdJvHfuwXB2zze52z3s+nFSM63lhW8LRMQxJXV&#10;LdcKLufidQPCB2SNvWVScCUP+93z0xZzbSc+0ViGWsQQ9jkqaEIYcil91ZBBv7QDceR+rTMYInS1&#10;1A6nGG56mSbJShpsOTY0ONBnQ1VX/hkFLWeB06+soOOhc+v6pxttdlFq8TJ/vIMINIeH+O7+1nF+&#10;Bv+/xAPk7gYAAP//AwBQSwECLQAUAAYACAAAACEA2+H2y+4AAACFAQAAEwAAAAAAAAAAAAAAAAAA&#10;AAAAW0NvbnRlbnRfVHlwZXNdLnhtbFBLAQItABQABgAIAAAAIQBa9CxbvwAAABUBAAALAAAAAAAA&#10;AAAAAAAAAB8BAABfcmVscy8ucmVsc1BLAQItABQABgAIAAAAIQCfj4DbvwAAANsAAAAPAAAAAAAA&#10;AAAAAAAAAAcCAABkcnMvZG93bnJldi54bWxQSwUGAAAAAAMAAwC3AAAA8wIAAAAA&#10;" strokecolor="black [3213]">
                  <v:stroke endarrow="open"/>
                </v:shape>
                <v:line id="Rechte verbindingslijn 15" o:spid="_x0000_s1032" style="position:absolute;visibility:visible;mso-wrap-style:square" from="7867,33198" to="25109,3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agwgAAANsAAAAPAAAAZHJzL2Rvd25yZXYueG1sRE9La8JA&#10;EL4L/Q/LFHrTjYJGUlcJgmDryUfpdchOk7TZ2bC7jdFf7wqCt/n4nrNY9aYRHTlfW1YwHiUgiAur&#10;ay4VnI6b4RyED8gaG8uk4EIeVsuXwQIzbc+8p+4QShFD2GeooAqhzaT0RUUG/ci2xJH7sc5giNCV&#10;Ujs8x3DTyEmSzKTBmmNDhS2tKyr+Dv9Gwbz4/HV5mn+Mp19teu0mu9nmO1Xq7bXP30EE6sNT/HBv&#10;dZw/hfsv8QC5vAEAAP//AwBQSwECLQAUAAYACAAAACEA2+H2y+4AAACFAQAAEwAAAAAAAAAAAAAA&#10;AAAAAAAAW0NvbnRlbnRfVHlwZXNdLnhtbFBLAQItABQABgAIAAAAIQBa9CxbvwAAABUBAAALAAAA&#10;AAAAAAAAAAAAAB8BAABfcmVscy8ucmVsc1BLAQItABQABgAIAAAAIQAOPCagwgAAANsAAAAPAAAA&#10;AAAAAAAAAAAAAAcCAABkcnMvZG93bnJldi54bWxQSwUGAAAAAAMAAwC3AAAA9gIAAAAA&#10;" strokecolor="black [3213]"/>
                <v:roundrect id="Afgeronde rechthoek 16" o:spid="_x0000_s1033" style="position:absolute;left:25109;top:27890;width:30033;height:11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SYAwAAAANsAAAAPAAAAZHJzL2Rvd25yZXYueG1sRE9Li8Iw&#10;EL4L/ocwwl5kTXcPRbpGEVFYBQ++wOPQTB+7zaQkUeu/N4LgbT6+50xmnWnElZyvLSv4GiUgiHOr&#10;ay4VHA+rzzEIH5A1NpZJwZ08zKb93gQzbW+8o+s+lCKGsM9QQRVCm0np84oM+pFtiSNXWGcwROhK&#10;qR3eYrhp5HeSpNJgzbGhwpYWFeX/+4tRsPw7J25d1rYtNncri+1p6NKTUh+Dbv4DIlAX3uKX+1fH&#10;+Sk8f4kHyOkDAAD//wMAUEsBAi0AFAAGAAgAAAAhANvh9svuAAAAhQEAABMAAAAAAAAAAAAAAAAA&#10;AAAAAFtDb250ZW50X1R5cGVzXS54bWxQSwECLQAUAAYACAAAACEAWvQsW78AAAAVAQAACwAAAAAA&#10;AAAAAAAAAAAfAQAAX3JlbHMvLnJlbHNQSwECLQAUAAYACAAAACEAvHEmAMAAAADbAAAADwAAAAAA&#10;AAAAAAAAAAAHAgAAZHJzL2Rvd25yZXYueG1sUEsFBgAAAAADAAMAtwAAAPQCAAAAAA==&#10;" fillcolor="white [3201]" strokecolor="black [3213]" strokeweight="2pt">
                  <v:textbox>
                    <w:txbxContent>
                      <w:p w14:paraId="320ECC75" w14:textId="77777777" w:rsidR="005A491F" w:rsidRPr="00F80971" w:rsidRDefault="005A491F" w:rsidP="00F73F79">
                        <w:pPr>
                          <w:pStyle w:val="Geenafstand"/>
                        </w:pPr>
                        <w:r w:rsidRPr="00F80971">
                          <w:t>397</w:t>
                        </w:r>
                        <w:r>
                          <w:t xml:space="preserve"> </w:t>
                        </w:r>
                        <w:r w:rsidRPr="00F80971">
                          <w:t xml:space="preserve">not included in the study: </w:t>
                        </w:r>
                      </w:p>
                      <w:p w14:paraId="7CC677E5" w14:textId="496E7353" w:rsidR="005A491F" w:rsidRPr="00F80971" w:rsidRDefault="005A491F" w:rsidP="00F73F79">
                        <w:pPr>
                          <w:pStyle w:val="Geenafstand"/>
                        </w:pPr>
                        <w:r w:rsidRPr="00F80971">
                          <w:t>- 347 because of lack of time</w:t>
                        </w:r>
                        <w:r>
                          <w:t xml:space="preserve"> of junior doctors to assemble all information and ask for IC</w:t>
                        </w:r>
                      </w:p>
                      <w:p w14:paraId="64F292C3" w14:textId="77777777" w:rsidR="005A491F" w:rsidRPr="00F80971" w:rsidRDefault="005A491F" w:rsidP="00F73F79">
                        <w:pPr>
                          <w:pStyle w:val="Geenafstand"/>
                        </w:pPr>
                        <w:r w:rsidRPr="00F80971">
                          <w:t xml:space="preserve">- </w:t>
                        </w:r>
                        <w:r>
                          <w:t>50 because of absence of a legal representative</w:t>
                        </w:r>
                      </w:p>
                    </w:txbxContent>
                  </v:textbox>
                </v:roundrect>
                <v:roundrect id="Afgeronde rechthoek 17" o:spid="_x0000_s1034" style="position:absolute;top:40182;width:16571;height:48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YObwQAAANsAAAAPAAAAZHJzL2Rvd25yZXYueG1sRE9LawIx&#10;EL4L/ocwghepWT1oWY0ipUIVPKgVehw2sw/dTJYk1fXfG0HwNh/fc+bL1tTiSs5XlhWMhgkI4szq&#10;igsFv8f1xycIH5A11pZJwZ08LBfdzhxTbW+8p+shFCKGsE9RQRlCk0rps5IM+qFtiCOXW2cwROgK&#10;qR3eYrip5ThJJtJgxbGhxIa+Ssouh3+j4Pv8l7hNUdkm396tzHengZuclOr32tUMRKA2vMUv94+O&#10;86fw/CUeIBcPAAAA//8DAFBLAQItABQABgAIAAAAIQDb4fbL7gAAAIUBAAATAAAAAAAAAAAAAAAA&#10;AAAAAABbQ29udGVudF9UeXBlc10ueG1sUEsBAi0AFAAGAAgAAAAhAFr0LFu/AAAAFQEAAAsAAAAA&#10;AAAAAAAAAAAAHwEAAF9yZWxzLy5yZWxzUEsBAi0AFAAGAAgAAAAhANM9g5vBAAAA2wAAAA8AAAAA&#10;AAAAAAAAAAAABwIAAGRycy9kb3ducmV2LnhtbFBLBQYAAAAAAwADALcAAAD1AgAAAAA=&#10;" fillcolor="white [3201]" strokecolor="black [3213]" strokeweight="2pt">
                  <v:textbox>
                    <w:txbxContent>
                      <w:p w14:paraId="7FA781E1" w14:textId="77777777" w:rsidR="005A491F" w:rsidRPr="00F55D48" w:rsidRDefault="005A491F" w:rsidP="00F73F79">
                        <w:pPr>
                          <w:pStyle w:val="Geenafstand"/>
                        </w:pPr>
                        <w:r w:rsidRPr="00F55D48">
                          <w:t>258 were asked for informed consent</w:t>
                        </w:r>
                      </w:p>
                    </w:txbxContent>
                  </v:textbox>
                </v:roundrect>
                <v:shape id="Rechte verbindingslijn met pijl 19" o:spid="_x0000_s1035" type="#_x0000_t32" style="position:absolute;left:8049;top:45011;width:38;height:68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8DlwgAAANsAAAAPAAAAZHJzL2Rvd25yZXYueG1sRI/RagIx&#10;EEXfBf8hjNA3zSpY2tWsiFboW1vrB4ybcZN1M1mSVLd/3xQKfZvh3rnnznozuE7cKETrWcF8VoAg&#10;rr223Cg4fR6mTyBiQtbYeSYF3xRhU41Hayy1v/MH3Y6pETmEY4kKTEp9KWWsDTmMM98TZ+3ig8OU&#10;19BIHfCew10nF0XxKB1azgSDPe0M1dfjl8vcrW2X+6C5fjm39j0YfLt0qNTDZNiuQCQa0r/57/pV&#10;5/rP8PtLHkBWPwAAAP//AwBQSwECLQAUAAYACAAAACEA2+H2y+4AAACFAQAAEwAAAAAAAAAAAAAA&#10;AAAAAAAAW0NvbnRlbnRfVHlwZXNdLnhtbFBLAQItABQABgAIAAAAIQBa9CxbvwAAABUBAAALAAAA&#10;AAAAAAAAAAAAAB8BAABfcmVscy8ucmVsc1BLAQItABQABgAIAAAAIQBKm8DlwgAAANsAAAAPAAAA&#10;AAAAAAAAAAAAAAcCAABkcnMvZG93bnJldi54bWxQSwUGAAAAAAMAAwC3AAAA9gIAAAAA&#10;" strokecolor="black [3213]">
                  <v:stroke endarrow="open"/>
                </v:shape>
                <v:line id="Rechte verbindingslijn 20" o:spid="_x0000_s1036" style="position:absolute;flip:y;visibility:visible;mso-wrap-style:square" from="8148,48268" to="24538,48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G10wQAAANsAAAAPAAAAZHJzL2Rvd25yZXYueG1sRE/dasIw&#10;FL4f+A7hCN7NdGUT7YziCgPZTZn6AIfmrClrTmqSadunXy4Gu/z4/rf7wXbiRj60jhU8LTMQxLXT&#10;LTcKLuf3xzWIEJE1do5JwUgB9rvZwxYL7e78SbdTbEQK4VCgAhNjX0gZakMWw9L1xIn7ct5iTNA3&#10;Unu8p3DbyTzLVtJiy6nBYE+lofr79GMVdFO8TJu30kzZ9XnUVbVy/uVDqcV8OLyCiDTEf/Gf+6gV&#10;5Gl9+pJ+gNz9AgAA//8DAFBLAQItABQABgAIAAAAIQDb4fbL7gAAAIUBAAATAAAAAAAAAAAAAAAA&#10;AAAAAABbQ29udGVudF9UeXBlc10ueG1sUEsBAi0AFAAGAAgAAAAhAFr0LFu/AAAAFQEAAAsAAAAA&#10;AAAAAAAAAAAAHwEAAF9yZWxzLy5yZWxzUEsBAi0AFAAGAAgAAAAhAFNQbXTBAAAA2wAAAA8AAAAA&#10;AAAAAAAAAAAABwIAAGRycy9kb3ducmV2LnhtbFBLBQYAAAAAAwADALcAAAD1AgAAAAA=&#10;" strokecolor="black [3213]"/>
                <v:roundrect id="Afgeronde rechthoek 21" o:spid="_x0000_s1037" style="position:absolute;left:24532;top:46806;width:30610;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gZowwAAANsAAAAPAAAAZHJzL2Rvd25yZXYueG1sRI9La8Mw&#10;EITvhfwHsYHeGtmhDokb2SQpLcW3PKDXxdraptbKWPKj/74qFHIcZuYbZp/PphUj9a6xrCBeRSCI&#10;S6sbrhTcrm9PWxDOI2tsLZOCH3KQZ4uHPabaTnym8eIrESDsUlRQe9+lUrqyJoNuZTvi4H3Z3qAP&#10;sq+k7nEKcNPKdRRtpMGGw0KNHZ1qKr8vg1HgGaPdUMTvx6SZ7fP2M3k9FIlSj8v58ALC0+zv4f/2&#10;h1awjuHvS/gBMvsFAAD//wMAUEsBAi0AFAAGAAgAAAAhANvh9svuAAAAhQEAABMAAAAAAAAAAAAA&#10;AAAAAAAAAFtDb250ZW50X1R5cGVzXS54bWxQSwECLQAUAAYACAAAACEAWvQsW78AAAAVAQAACwAA&#10;AAAAAAAAAAAAAAAfAQAAX3JlbHMvLnJlbHNQSwECLQAUAAYACAAAACEAp+IGaMMAAADbAAAADwAA&#10;AAAAAAAAAAAAAAAHAgAAZHJzL2Rvd25yZXYueG1sUEsFBgAAAAADAAMAtwAAAPcCAAAAAA==&#10;" fillcolor="white [3201]" strokecolor="black [3200]" strokeweight="2pt">
                  <v:textbox>
                    <w:txbxContent>
                      <w:p w14:paraId="0B5D1299" w14:textId="21DAC32C" w:rsidR="005A491F" w:rsidRPr="00D87DCC" w:rsidRDefault="005A491F" w:rsidP="00F73F79">
                        <w:pPr>
                          <w:pStyle w:val="Geenafstand"/>
                        </w:pPr>
                        <w:r w:rsidRPr="00D87DCC">
                          <w:t xml:space="preserve">10 refused </w:t>
                        </w:r>
                        <w:r>
                          <w:t>informed consent</w:t>
                        </w:r>
                      </w:p>
                    </w:txbxContent>
                  </v:textbox>
                </v:roundrect>
                <v:roundrect id="Afgeronde rechthoek 22" o:spid="_x0000_s1038" style="position:absolute;top:52095;width:16457;height:42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uq+wwAAANsAAAAPAAAAZHJzL2Rvd25yZXYueG1sRI9LiwIx&#10;EITvC/sfQgteFs3sHERmjSKyCyp48AV7bCY9D510hiTq+O+NIHgsquorajLrTCOu5HxtWcH3MAFB&#10;nFtdc6ngsP8bjEH4gKyxsUwK7uRhNv38mGCm7Y23dN2FUkQI+wwVVCG0mZQ+r8igH9qWOHqFdQZD&#10;lK6U2uEtwk0j0yQZSYM1x4UKW1pUlJ93F6Pg9/SfuFVZ27ZY360sNscvNzoq1e918x8QgbrwDr/a&#10;S60gTeH5Jf4AOX0AAAD//wMAUEsBAi0AFAAGAAgAAAAhANvh9svuAAAAhQEAABMAAAAAAAAAAAAA&#10;AAAAAAAAAFtDb250ZW50X1R5cGVzXS54bWxQSwECLQAUAAYACAAAACEAWvQsW78AAAAVAQAACwAA&#10;AAAAAAAAAAAAAAAfAQAAX3JlbHMvLnJlbHNQSwECLQAUAAYACAAAACEADSbqvsMAAADbAAAADwAA&#10;AAAAAAAAAAAAAAAHAgAAZHJzL2Rvd25yZXYueG1sUEsFBgAAAAADAAMAtwAAAPcCAAAAAA==&#10;" fillcolor="white [3201]" strokecolor="black [3213]" strokeweight="2pt">
                  <v:textbox>
                    <w:txbxContent>
                      <w:p w14:paraId="52380521" w14:textId="73C03671" w:rsidR="005A491F" w:rsidRPr="000756CA" w:rsidRDefault="005A491F" w:rsidP="00F73F79">
                        <w:pPr>
                          <w:pStyle w:val="Geenafstand"/>
                        </w:pPr>
                        <w:r w:rsidRPr="000756CA">
                          <w:t>248 patients  gave informed consent</w:t>
                        </w:r>
                      </w:p>
                    </w:txbxContent>
                  </v:textbox>
                </v:roundrect>
                <v:shape id="Rechte verbindingslijn met pijl 23" o:spid="_x0000_s1039" type="#_x0000_t32" style="position:absolute;left:7983;top:56409;width:0;height:14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0pmwQAAANsAAAAPAAAAZHJzL2Rvd25yZXYueG1sRI/BasMw&#10;EETvhfyD2EButRwb2uJECSGNofRW1+S8WBvb2FoZSXXcv68KhR6HmXnD7I+LGcVMzveWFWyTFARx&#10;Y3XPrYL6s3x8AeEDssbRMin4Jg/Hw+phj4W2d/6guQqtiBD2BSroQpgKKX3TkUGf2Ik4ejfrDIYo&#10;XSu1w3uEm1FmafokDfYcFzqc6NxRM1RfRkHPeeDsNS/p/TK45/Y6zDavldqsl9MORKAl/If/2m9a&#10;QZbD75f4A+ThBwAA//8DAFBLAQItABQABgAIAAAAIQDb4fbL7gAAAIUBAAATAAAAAAAAAAAAAAAA&#10;AAAAAABbQ29udGVudF9UeXBlc10ueG1sUEsBAi0AFAAGAAgAAAAhAFr0LFu/AAAAFQEAAAsAAAAA&#10;AAAAAAAAAAAAHwEAAF9yZWxzLy5yZWxzUEsBAi0AFAAGAAgAAAAhAFHjSmbBAAAA2wAAAA8AAAAA&#10;AAAAAAAAAAAABwIAAGRycy9kb3ducmV2LnhtbFBLBQYAAAAAAwADALcAAAD1AgAAAAA=&#10;" strokecolor="black [3213]">
                  <v:stroke endarrow="open"/>
                </v:shape>
                <v:line id="Rechte verbindingslijn 24" o:spid="_x0000_s1040" style="position:absolute;visibility:visible;mso-wrap-style:square" from="7983,62716" to="23814,62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EmGxQAAANsAAAAPAAAAZHJzL2Rvd25yZXYueG1sRI9Ba8JA&#10;FITvBf/D8oTe6sbQ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CvHEmGxQAAANsAAAAP&#10;AAAAAAAAAAAAAAAAAAcCAABkcnMvZG93bnJldi54bWxQSwUGAAAAAAMAAwC3AAAA+QIAAAAA&#10;" strokecolor="black [3213]"/>
                <v:roundrect id="Afgeronde rechthoek 25" o:spid="_x0000_s1041" style="position:absolute;left:23998;top:57464;width:30942;height:132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3LKwwAAANsAAAAPAAAAZHJzL2Rvd25yZXYueG1sRI9LiwIx&#10;EITvgv8htOBFNLOCIrNGEVlBBQ/rA/bYTHoeu5POkEQd/70RFjwWVfUVNV+2phY3cr6yrOBjlIAg&#10;zqyuuFBwPm2GMxA+IGusLZOCB3lYLrqdOaba3vmbbsdQiAhhn6KCMoQmldJnJRn0I9sQRy+3zmCI&#10;0hVSO7xHuKnlOEmm0mDFcaHEhtYlZX/Hq1Hw9fuTuF1R2SbfP6zMD5eBm16U6vfa1SeIQG14h//b&#10;W61gPIHXl/gD5OIJAAD//wMAUEsBAi0AFAAGAAgAAAAhANvh9svuAAAAhQEAABMAAAAAAAAAAAAA&#10;AAAAAAAAAFtDb250ZW50X1R5cGVzXS54bWxQSwECLQAUAAYACAAAACEAWvQsW78AAAAVAQAACwAA&#10;AAAAAAAAAAAAAAAfAQAAX3JlbHMvLnJlbHNQSwECLQAUAAYACAAAACEAgs9yysMAAADbAAAADwAA&#10;AAAAAAAAAAAAAAAHAgAAZHJzL2Rvd25yZXYueG1sUEsFBgAAAAADAAMAtwAAAPcCAAAAAA==&#10;" fillcolor="white [3201]" strokecolor="black [3213]" strokeweight="2pt">
                  <v:textbox>
                    <w:txbxContent>
                      <w:p w14:paraId="6163142F" w14:textId="4576DAB4" w:rsidR="005A491F" w:rsidRPr="00F31D47" w:rsidRDefault="005A491F" w:rsidP="00F73F79">
                        <w:pPr>
                          <w:pStyle w:val="Geenafstand"/>
                        </w:pPr>
                        <w:r w:rsidRPr="00F31D47">
                          <w:t>Selection of patients with heart failure:</w:t>
                        </w:r>
                      </w:p>
                      <w:p w14:paraId="35E43581" w14:textId="05686B30" w:rsidR="005A491F" w:rsidRPr="00F31D47" w:rsidRDefault="005A491F" w:rsidP="00F73F79">
                        <w:pPr>
                          <w:pStyle w:val="Geenafstand"/>
                        </w:pPr>
                        <w:r w:rsidRPr="00F31D47">
                          <w:t>- EF  &lt; 50%</w:t>
                        </w:r>
                        <w:r>
                          <w:t xml:space="preserve">  </w:t>
                        </w:r>
                        <w:r>
                          <w:tab/>
                        </w:r>
                        <w:r>
                          <w:tab/>
                        </w:r>
                      </w:p>
                      <w:p w14:paraId="0EE56943" w14:textId="703B0839" w:rsidR="005A491F" w:rsidRDefault="005A491F" w:rsidP="00F73F79">
                        <w:pPr>
                          <w:pStyle w:val="Geenafstand"/>
                        </w:pPr>
                        <w:r w:rsidRPr="00F31D47">
                          <w:t>- History of heart failure on a clinical basis</w:t>
                        </w:r>
                        <w:r>
                          <w:t xml:space="preserve"> </w:t>
                        </w:r>
                      </w:p>
                      <w:p w14:paraId="6B0939E9" w14:textId="77777777" w:rsidR="005A491F" w:rsidRPr="00F31D47" w:rsidRDefault="005A491F" w:rsidP="00F73F79">
                        <w:pPr>
                          <w:pStyle w:val="Geenafstand"/>
                        </w:pPr>
                        <w:r>
                          <w:t>- Presence of medical heart failure therapy</w:t>
                        </w:r>
                      </w:p>
                      <w:p w14:paraId="5BFFA0F8" w14:textId="77777777" w:rsidR="005A491F" w:rsidRPr="00F31D47" w:rsidRDefault="005A491F" w:rsidP="00F73F79">
                        <w:pPr>
                          <w:pStyle w:val="Geenafstand"/>
                        </w:pPr>
                      </w:p>
                    </w:txbxContent>
                  </v:textbox>
                </v:roundrect>
                <v:roundrect id="Afgeronde rechthoek 26" o:spid="_x0000_s1042" style="position:absolute;left:114;top:70889;width:16429;height:46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ey9wwAAANsAAAAPAAAAZHJzL2Rvd25yZXYueG1sRI/NigIx&#10;EITvC/sOoQUvi2b0MMisUURWUMGD7gp7bCY9PzrpDEnU8e2NIHgsquorajrvTCOu5HxtWcFomIAg&#10;zq2uuVTw97saTED4gKyxsUwK7uRhPvv8mGKm7Y33dD2EUkQI+wwVVCG0mZQ+r8igH9qWOHqFdQZD&#10;lK6U2uEtwk0jx0mSSoM1x4UKW1pWlJ8PF6Pg5/SfuE1Z27bY3q0sdscvlx6V6ve6xTeIQF14h1/t&#10;tVYwTuH5Jf4AOXsAAAD//wMAUEsBAi0AFAAGAAgAAAAhANvh9svuAAAAhQEAABMAAAAAAAAAAAAA&#10;AAAAAAAAAFtDb250ZW50X1R5cGVzXS54bWxQSwECLQAUAAYACAAAACEAWvQsW78AAAAVAQAACwAA&#10;AAAAAAAAAAAAAAAfAQAAX3JlbHMvLnJlbHNQSwECLQAUAAYACAAAACEAch3svcMAAADbAAAADwAA&#10;AAAAAAAAAAAAAAAHAgAAZHJzL2Rvd25yZXYueG1sUEsFBgAAAAADAAMAtwAAAPcCAAAAAA==&#10;" fillcolor="white [3201]" strokecolor="black [3213]" strokeweight="2pt">
                  <v:textbox>
                    <w:txbxContent>
                      <w:p w14:paraId="4099375B" w14:textId="0D2AFE98" w:rsidR="005A491F" w:rsidRPr="007F537A" w:rsidRDefault="005A491F" w:rsidP="00B05241">
                        <w:pPr>
                          <w:pStyle w:val="Geenafstand"/>
                        </w:pPr>
                        <w:r w:rsidRPr="007F537A">
                          <w:t xml:space="preserve">147 patients </w:t>
                        </w:r>
                        <w:r>
                          <w:t>aged</w:t>
                        </w:r>
                        <w:r w:rsidR="00BA1F97">
                          <w:t xml:space="preserve"> ≥</w:t>
                        </w:r>
                        <w:r>
                          <w:t xml:space="preserve"> 75 </w:t>
                        </w:r>
                        <w:r w:rsidRPr="007F537A">
                          <w:t xml:space="preserve">with heart failure </w:t>
                        </w:r>
                      </w:p>
                    </w:txbxContent>
                  </v:textbox>
                </v:roundrect>
              </v:group>
            </w:pict>
          </mc:Fallback>
        </mc:AlternateContent>
      </w:r>
    </w:p>
    <w:p w14:paraId="6820A5C2" w14:textId="6E6613C2" w:rsidR="00F80971" w:rsidRPr="000B73A6" w:rsidRDefault="00FE531D" w:rsidP="00CA146C">
      <w:r>
        <w:rPr>
          <w:noProof/>
          <w:lang w:eastAsia="en-GB"/>
        </w:rPr>
        <mc:AlternateContent>
          <mc:Choice Requires="wps">
            <w:drawing>
              <wp:anchor distT="0" distB="0" distL="114300" distR="114300" simplePos="0" relativeHeight="251658752" behindDoc="0" locked="0" layoutInCell="1" allowOverlap="1" wp14:anchorId="5D10F3FC" wp14:editId="19AA569F">
                <wp:simplePos x="0" y="0"/>
                <wp:positionH relativeFrom="column">
                  <wp:posOffset>873659</wp:posOffset>
                </wp:positionH>
                <wp:positionV relativeFrom="paragraph">
                  <wp:posOffset>364685</wp:posOffset>
                </wp:positionV>
                <wp:extent cx="9468" cy="1849751"/>
                <wp:effectExtent l="76200" t="0" r="67310" b="55880"/>
                <wp:wrapNone/>
                <wp:docPr id="1116094183" name="Rechte verbindingslijn met pijl 1"/>
                <wp:cNvGraphicFramePr/>
                <a:graphic xmlns:a="http://schemas.openxmlformats.org/drawingml/2006/main">
                  <a:graphicData uri="http://schemas.microsoft.com/office/word/2010/wordprocessingShape">
                    <wps:wsp>
                      <wps:cNvCnPr/>
                      <wps:spPr>
                        <a:xfrm flipH="1">
                          <a:off x="0" y="0"/>
                          <a:ext cx="9468" cy="18497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FA135E" id="Rechte verbindingslijn met pijl 1" o:spid="_x0000_s1026" type="#_x0000_t32" style="position:absolute;margin-left:68.8pt;margin-top:28.7pt;width:.75pt;height:145.65pt;flip:x;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tDwwEAAMwDAAAOAAAAZHJzL2Uyb0RvYy54bWysU9tu1DAQfUfiHyy/s8lWpbTRZvuw5fKA&#10;oCrwAa4zTix809hskr9n7OymiIuEEC8jx55z5pyZye52soYdAaP2ruXbTc0ZOOk77fqWf/n85sU1&#10;ZzEJ1wnjHbR8hshv98+f7cbQwIUfvOkAGZG42Iyh5UNKoamqKAewIm58AEePyqMViT6xrzoUI7Fb&#10;U13U9VU1euwCegkx0u3d8sj3hV8pkOmjUhESMy0nbalELPExx2q/E02PIgxanmSIf1BhhXZUdKW6&#10;E0mwb6h/obJaoo9epY30tvJKaQnFA7nZ1j+5+TSIAMULNSeGtU3x/9HKD8eDu0dqwxhiE8M9ZheT&#10;QsuU0eEdzbT4IqVsKm2b17bBlJiky5vLK5qypIft9eXNq5fb3NVqYclsAWN6C96yfGh5TCh0P6SD&#10;d47m43GpII7vY1qAZ0AGG5djEtq8dh1Lc6AlSqiF6w2c6uSU6kl+OaXZwAJ/AMV0RzKXMmWz4GCQ&#10;HQXtRPf1rNY4yswQpY1ZQXVx/0fQKTfDoGzb3wLX7FLRu7QCrXYef1c1TWepask/u168ZtuPvpvL&#10;MEs7aGXKHE7rnXfyx+8Cf/oJ998BAAD//wMAUEsDBBQABgAIAAAAIQCe28q43wAAAAoBAAAPAAAA&#10;ZHJzL2Rvd25yZXYueG1sTI/BbsIwEETvlfgHayv1VhxIIJDGQRUSxyIVeig3Ey9O2ngd2QZSvr7m&#10;1B5H+zTztlwNpmMXdL61JGAyToAh1Va1pAV87DfPC2A+SFKys4QCftDDqho9lLJQ9krveNkFzWIJ&#10;+UIKaELoC8593aCRfmx7pHg7WWdkiNFprpy8xnLT8WmSzLmRLcWFRva4brD+3p2NgLdgtDPL2SbT&#10;mtLDl9+vP7c3IZ4eh9cXYAGH8AfDXT+qQxWdjvZMyrMu5jSfR1TALM+A3YF0OQF2FJBmixx4VfL/&#10;L1S/AAAA//8DAFBLAQItABQABgAIAAAAIQC2gziS/gAAAOEBAAATAAAAAAAAAAAAAAAAAAAAAABb&#10;Q29udGVudF9UeXBlc10ueG1sUEsBAi0AFAAGAAgAAAAhADj9If/WAAAAlAEAAAsAAAAAAAAAAAAA&#10;AAAALwEAAF9yZWxzLy5yZWxzUEsBAi0AFAAGAAgAAAAhALQn60PDAQAAzAMAAA4AAAAAAAAAAAAA&#10;AAAALgIAAGRycy9lMm9Eb2MueG1sUEsBAi0AFAAGAAgAAAAhAJ7byrjfAAAACgEAAA8AAAAAAAAA&#10;AAAAAAAAHQQAAGRycy9kb3ducmV2LnhtbFBLBQYAAAAABAAEAPMAAAApBQAAAAA=&#10;" strokecolor="black [3040]">
                <v:stroke endarrow="block"/>
              </v:shape>
            </w:pict>
          </mc:Fallback>
        </mc:AlternateContent>
      </w:r>
    </w:p>
    <w:p w14:paraId="4783E64F" w14:textId="10DD988D" w:rsidR="00F80971" w:rsidRPr="000B73A6" w:rsidRDefault="00F80971" w:rsidP="00CA146C"/>
    <w:p w14:paraId="2A272E95" w14:textId="4037B416" w:rsidR="00F80971" w:rsidRPr="000B73A6" w:rsidRDefault="00F80971" w:rsidP="00CA146C"/>
    <w:p w14:paraId="170C891C" w14:textId="38CAB47D" w:rsidR="00F80971" w:rsidRPr="000B73A6" w:rsidRDefault="00F80971" w:rsidP="00CA146C"/>
    <w:p w14:paraId="56F4B1C4" w14:textId="77777777" w:rsidR="00F80971" w:rsidRPr="000B73A6" w:rsidRDefault="00F80971" w:rsidP="00CA146C"/>
    <w:p w14:paraId="04549EB3" w14:textId="77777777" w:rsidR="00F80971" w:rsidRPr="000B73A6" w:rsidRDefault="00F80971" w:rsidP="00CA146C"/>
    <w:p w14:paraId="3D58DB1F" w14:textId="5EF69909" w:rsidR="00F80971" w:rsidRPr="000B73A6" w:rsidRDefault="00F80971" w:rsidP="00CA146C"/>
    <w:p w14:paraId="14DB008B" w14:textId="231024F1" w:rsidR="00F80971" w:rsidRPr="000B73A6" w:rsidRDefault="00F80971" w:rsidP="00CA146C"/>
    <w:p w14:paraId="30B08487" w14:textId="73F890B9" w:rsidR="00377C57" w:rsidRPr="000B73A6" w:rsidRDefault="00377C57" w:rsidP="00CA146C"/>
    <w:p w14:paraId="721DF289" w14:textId="5385F45E" w:rsidR="00B33ED5" w:rsidRPr="00BD5D57" w:rsidRDefault="00377C57" w:rsidP="00CA146C">
      <w:r w:rsidRPr="000B73A6">
        <w:br w:type="page"/>
      </w:r>
    </w:p>
    <w:p w14:paraId="33240810" w14:textId="69747A56" w:rsidR="00BD5D57" w:rsidRDefault="00B33ED5" w:rsidP="00917994">
      <w:pPr>
        <w:pStyle w:val="Kop1"/>
      </w:pPr>
      <w:r>
        <w:lastRenderedPageBreak/>
        <w:t>R</w:t>
      </w:r>
      <w:r w:rsidR="00D00A9C">
        <w:t>esults</w:t>
      </w:r>
    </w:p>
    <w:p w14:paraId="4CABAB3C" w14:textId="262D629E" w:rsidR="00921E64" w:rsidRPr="008D225E" w:rsidRDefault="00FA3DFC" w:rsidP="00CA146C">
      <w:pPr>
        <w:rPr>
          <w:iCs/>
        </w:rPr>
      </w:pPr>
      <w:r>
        <w:t xml:space="preserve">Overall, </w:t>
      </w:r>
      <w:r w:rsidRPr="007E6CAD">
        <w:t xml:space="preserve">65% </w:t>
      </w:r>
      <w:r w:rsidR="00174DB7" w:rsidRPr="007E6CAD">
        <w:t>(89/137)</w:t>
      </w:r>
      <w:r w:rsidR="00174DB7">
        <w:t xml:space="preserve"> of </w:t>
      </w:r>
      <w:r>
        <w:t xml:space="preserve">the study sample </w:t>
      </w:r>
      <w:r w:rsidR="001B1B9F">
        <w:t>suffered from</w:t>
      </w:r>
      <w:r w:rsidR="00174DB7">
        <w:t xml:space="preserve"> </w:t>
      </w:r>
      <w:proofErr w:type="spellStart"/>
      <w:r w:rsidR="00174DB7">
        <w:t>HFpEF</w:t>
      </w:r>
      <w:proofErr w:type="spellEnd"/>
      <w:r w:rsidR="00646979">
        <w:t xml:space="preserve"> and </w:t>
      </w:r>
      <w:r w:rsidR="00646979" w:rsidRPr="007E6CAD">
        <w:t>35%</w:t>
      </w:r>
      <w:r w:rsidR="00646979">
        <w:t xml:space="preserve"> </w:t>
      </w:r>
      <w:r w:rsidR="00B30365">
        <w:t>(48/</w:t>
      </w:r>
      <w:r w:rsidR="007E6CAD">
        <w:t xml:space="preserve">137) </w:t>
      </w:r>
      <w:r w:rsidR="00646979">
        <w:t xml:space="preserve">of </w:t>
      </w:r>
      <w:proofErr w:type="spellStart"/>
      <w:r w:rsidR="00646979">
        <w:t>HFrEF</w:t>
      </w:r>
      <w:proofErr w:type="spellEnd"/>
      <w:r w:rsidR="00174DB7">
        <w:t xml:space="preserve">. </w:t>
      </w:r>
      <w:r w:rsidR="00087DC0">
        <w:t>Age</w:t>
      </w:r>
      <w:r w:rsidR="001B1B9F">
        <w:t xml:space="preserve">, </w:t>
      </w:r>
      <w:r w:rsidR="00087DC0">
        <w:t xml:space="preserve">gender, </w:t>
      </w:r>
      <w:r w:rsidR="001B1B9F">
        <w:t xml:space="preserve">sodium level at discharge, </w:t>
      </w:r>
      <w:r w:rsidR="00087DC0">
        <w:t xml:space="preserve">blood pressure at discharge, NYHA class, </w:t>
      </w:r>
      <w:r w:rsidR="00911E5B">
        <w:t xml:space="preserve">age adjusted </w:t>
      </w:r>
      <w:r w:rsidR="001B1B9F">
        <w:t xml:space="preserve">Charlson Comorbidity Index, basic and instrumental activities of </w:t>
      </w:r>
      <w:r w:rsidR="00087DC0">
        <w:t>daily living and</w:t>
      </w:r>
      <w:r w:rsidR="001B1B9F">
        <w:t xml:space="preserve"> the presence of a geriatric risk profile</w:t>
      </w:r>
      <w:r w:rsidR="00087DC0">
        <w:t xml:space="preserve"> were all evaluated. None of them</w:t>
      </w:r>
      <w:r w:rsidR="001B1B9F">
        <w:t xml:space="preserve"> differed between patient</w:t>
      </w:r>
      <w:r w:rsidR="00087DC0">
        <w:t>s</w:t>
      </w:r>
      <w:r w:rsidR="001B1B9F">
        <w:t xml:space="preserve"> with </w:t>
      </w:r>
      <w:proofErr w:type="spellStart"/>
      <w:r w:rsidR="001B1B9F">
        <w:t>HFrEF</w:t>
      </w:r>
      <w:proofErr w:type="spellEnd"/>
      <w:r w:rsidR="001B1B9F">
        <w:t xml:space="preserve"> versus </w:t>
      </w:r>
      <w:proofErr w:type="spellStart"/>
      <w:r w:rsidR="001B1B9F">
        <w:t>HFpEF</w:t>
      </w:r>
      <w:proofErr w:type="spellEnd"/>
      <w:r w:rsidR="008D225E">
        <w:t xml:space="preserve"> </w:t>
      </w:r>
      <w:r w:rsidR="008D225E" w:rsidRPr="008D225E">
        <w:t>[</w:t>
      </w:r>
      <w:proofErr w:type="spellStart"/>
      <w:r w:rsidR="00087DC0" w:rsidRPr="008D225E">
        <w:t>eTable</w:t>
      </w:r>
      <w:proofErr w:type="spellEnd"/>
      <w:r w:rsidR="00087DC0" w:rsidRPr="008D225E">
        <w:t xml:space="preserve"> 1, appendix</w:t>
      </w:r>
      <w:r w:rsidR="008D225E" w:rsidRPr="008D225E">
        <w:t>]</w:t>
      </w:r>
      <w:r w:rsidR="008D225E">
        <w:rPr>
          <w:i/>
        </w:rPr>
        <w:t>.</w:t>
      </w:r>
    </w:p>
    <w:p w14:paraId="67A9AB8B" w14:textId="581963F0" w:rsidR="003C20A6" w:rsidRDefault="006F3194" w:rsidP="00CA146C">
      <w:r>
        <w:t>O</w:t>
      </w:r>
      <w:r w:rsidR="00FA3DFC">
        <w:t>ne-year mortality was 28% (</w:t>
      </w:r>
      <w:r>
        <w:t>41</w:t>
      </w:r>
      <w:r w:rsidR="00FA3DFC">
        <w:t>/147</w:t>
      </w:r>
      <w:r>
        <w:t xml:space="preserve">). We </w:t>
      </w:r>
      <w:r w:rsidR="00FA3DFC">
        <w:t xml:space="preserve">did not find </w:t>
      </w:r>
      <w:r>
        <w:t xml:space="preserve">any differences in demographics between </w:t>
      </w:r>
      <w:r w:rsidR="00FA3DFC">
        <w:t>survivors and non-surv</w:t>
      </w:r>
      <w:r w:rsidR="00FA122F">
        <w:t>ivors</w:t>
      </w:r>
      <w:r>
        <w:t xml:space="preserve">. </w:t>
      </w:r>
      <w:r w:rsidR="00A84399">
        <w:t>A lower s</w:t>
      </w:r>
      <w:r w:rsidR="009C176F">
        <w:t>yst</w:t>
      </w:r>
      <w:r w:rsidR="00A84399">
        <w:t>olic blood pressure</w:t>
      </w:r>
      <w:r w:rsidR="00B756B4">
        <w:t xml:space="preserve"> at discharge</w:t>
      </w:r>
      <w:r w:rsidR="00A84399">
        <w:t xml:space="preserve"> and a higher score on the </w:t>
      </w:r>
      <w:r w:rsidR="0033243E">
        <w:t xml:space="preserve">age adjusted </w:t>
      </w:r>
      <w:r w:rsidR="00A84399">
        <w:t xml:space="preserve">Charlson Comorbidity Index were both linked with a higher risk of mortality in </w:t>
      </w:r>
      <w:r w:rsidR="004E5DF5">
        <w:t>the</w:t>
      </w:r>
      <w:r w:rsidR="00A84399">
        <w:t xml:space="preserve"> univariate analysis </w:t>
      </w:r>
      <w:r w:rsidR="00A84399" w:rsidRPr="00A84399">
        <w:rPr>
          <w:i/>
        </w:rPr>
        <w:t>(p-value b</w:t>
      </w:r>
      <w:r w:rsidR="00145211">
        <w:rPr>
          <w:i/>
        </w:rPr>
        <w:t xml:space="preserve">oth </w:t>
      </w:r>
      <w:r w:rsidR="00A84399" w:rsidRPr="00A84399">
        <w:rPr>
          <w:i/>
        </w:rPr>
        <w:t>0</w:t>
      </w:r>
      <w:r w:rsidR="00F02D45">
        <w:rPr>
          <w:i/>
        </w:rPr>
        <w:t>.</w:t>
      </w:r>
      <w:r w:rsidR="00A84399" w:rsidRPr="00A84399">
        <w:rPr>
          <w:i/>
        </w:rPr>
        <w:t>002</w:t>
      </w:r>
      <w:r w:rsidR="00E82675" w:rsidRPr="009D139E">
        <w:rPr>
          <w:i/>
          <w:iCs/>
        </w:rPr>
        <w:t>)</w:t>
      </w:r>
      <w:r w:rsidR="00E82675">
        <w:t xml:space="preserve">. </w:t>
      </w:r>
      <w:r w:rsidR="004C7E0A">
        <w:t xml:space="preserve">The other parameters including premorbid </w:t>
      </w:r>
      <w:r w:rsidR="00B756B4">
        <w:t>functioning</w:t>
      </w:r>
      <w:r w:rsidR="004C7E0A">
        <w:t xml:space="preserve"> did not show any difference between survivors and non-survivors</w:t>
      </w:r>
      <w:r>
        <w:t xml:space="preserve"> </w:t>
      </w:r>
      <w:r w:rsidR="009D139E">
        <w:t>[</w:t>
      </w:r>
      <w:r w:rsidRPr="009D139E">
        <w:rPr>
          <w:iCs/>
        </w:rPr>
        <w:t>Table 1</w:t>
      </w:r>
      <w:r w:rsidR="004C3D2B" w:rsidRPr="009D139E">
        <w:rPr>
          <w:iCs/>
        </w:rPr>
        <w:t>, Figure 2A and Figure 2B</w:t>
      </w:r>
      <w:r w:rsidR="009D139E">
        <w:t>].</w:t>
      </w:r>
    </w:p>
    <w:p w14:paraId="12EA583F" w14:textId="77777777" w:rsidR="003C20A6" w:rsidRDefault="003C20A6">
      <w:pPr>
        <w:spacing w:line="276" w:lineRule="auto"/>
        <w:jc w:val="left"/>
      </w:pPr>
      <w:r>
        <w:br w:type="page"/>
      </w:r>
    </w:p>
    <w:p w14:paraId="0C20E05A" w14:textId="3168197E" w:rsidR="00FD0D8F" w:rsidRPr="00F73F79" w:rsidRDefault="005600A8" w:rsidP="00CA146C">
      <w:pPr>
        <w:rPr>
          <w:rStyle w:val="Intensievebenadrukking"/>
        </w:rPr>
      </w:pPr>
      <w:r w:rsidRPr="00F73F79">
        <w:rPr>
          <w:rStyle w:val="Intensievebenadrukking"/>
        </w:rPr>
        <w:lastRenderedPageBreak/>
        <w:t xml:space="preserve">Table </w:t>
      </w:r>
      <w:r w:rsidR="00312AB3" w:rsidRPr="00F73F79">
        <w:rPr>
          <w:rStyle w:val="Intensievebenadrukking"/>
        </w:rPr>
        <w:t>1</w:t>
      </w:r>
      <w:r w:rsidRPr="00F73F79">
        <w:rPr>
          <w:rStyle w:val="Intensievebenadrukking"/>
        </w:rPr>
        <w:t xml:space="preserve">. </w:t>
      </w:r>
      <w:r w:rsidR="00312AB3" w:rsidRPr="00F73F79">
        <w:rPr>
          <w:rStyle w:val="Intensievebenadrukking"/>
        </w:rPr>
        <w:t>Comparison of patients ch</w:t>
      </w:r>
      <w:r w:rsidR="007D4FB2" w:rsidRPr="00F73F79">
        <w:rPr>
          <w:rStyle w:val="Intensievebenadrukking"/>
        </w:rPr>
        <w:t>a</w:t>
      </w:r>
      <w:r w:rsidR="00312AB3" w:rsidRPr="00F73F79">
        <w:rPr>
          <w:rStyle w:val="Intensievebenadrukking"/>
        </w:rPr>
        <w:t>ra</w:t>
      </w:r>
      <w:r w:rsidR="007D4FB2" w:rsidRPr="00F73F79">
        <w:rPr>
          <w:rStyle w:val="Intensievebenadrukking"/>
        </w:rPr>
        <w:t xml:space="preserve">cteristics </w:t>
      </w:r>
      <w:r w:rsidR="00312AB3" w:rsidRPr="00F73F79">
        <w:rPr>
          <w:rStyle w:val="Intensievebenadrukking"/>
        </w:rPr>
        <w:t>between</w:t>
      </w:r>
      <w:r w:rsidR="007D4FB2" w:rsidRPr="00F73F79">
        <w:rPr>
          <w:rStyle w:val="Intensievebenadrukking"/>
        </w:rPr>
        <w:t xml:space="preserve"> survivors and non-survivors </w:t>
      </w:r>
    </w:p>
    <w:tbl>
      <w:tblPr>
        <w:tblStyle w:val="Tabelrasterlicht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134"/>
        <w:gridCol w:w="1548"/>
        <w:gridCol w:w="1434"/>
        <w:gridCol w:w="958"/>
      </w:tblGrid>
      <w:tr w:rsidR="003F3214" w:rsidRPr="00CD3112" w14:paraId="50FC545A" w14:textId="77777777" w:rsidTr="000B10D9">
        <w:trPr>
          <w:trHeight w:val="194"/>
        </w:trPr>
        <w:tc>
          <w:tcPr>
            <w:tcW w:w="4106" w:type="dxa"/>
            <w:tcBorders>
              <w:top w:val="single" w:sz="12" w:space="0" w:color="4F81BD" w:themeColor="accent1"/>
              <w:bottom w:val="single" w:sz="12" w:space="0" w:color="4F81BD" w:themeColor="accent1"/>
            </w:tcBorders>
            <w:noWrap/>
            <w:hideMark/>
          </w:tcPr>
          <w:p w14:paraId="454C4E4D" w14:textId="77777777" w:rsidR="00CD3112" w:rsidRPr="00F73F79" w:rsidRDefault="00CD3112" w:rsidP="00F73F79">
            <w:pPr>
              <w:pStyle w:val="Geenafstand"/>
              <w:rPr>
                <w:b/>
                <w:bCs/>
                <w:lang w:val="en-US"/>
              </w:rPr>
            </w:pPr>
            <w:r w:rsidRPr="00F73F79">
              <w:rPr>
                <w:b/>
                <w:bCs/>
                <w:lang w:val="en-US"/>
              </w:rPr>
              <w:t> </w:t>
            </w:r>
          </w:p>
        </w:tc>
        <w:tc>
          <w:tcPr>
            <w:tcW w:w="1134" w:type="dxa"/>
            <w:tcBorders>
              <w:top w:val="single" w:sz="12" w:space="0" w:color="4F81BD" w:themeColor="accent1"/>
              <w:bottom w:val="single" w:sz="12" w:space="0" w:color="4F81BD" w:themeColor="accent1"/>
            </w:tcBorders>
          </w:tcPr>
          <w:p w14:paraId="5898265A" w14:textId="08400DD6" w:rsidR="00CD3112" w:rsidRPr="00F73F79" w:rsidRDefault="00716A8F" w:rsidP="00F73F79">
            <w:pPr>
              <w:pStyle w:val="Geenafstand"/>
              <w:rPr>
                <w:b/>
                <w:bCs/>
              </w:rPr>
            </w:pPr>
            <w:r w:rsidRPr="00F73F79">
              <w:rPr>
                <w:b/>
                <w:bCs/>
              </w:rPr>
              <w:t>Total</w:t>
            </w:r>
          </w:p>
        </w:tc>
        <w:tc>
          <w:tcPr>
            <w:tcW w:w="1548" w:type="dxa"/>
            <w:tcBorders>
              <w:top w:val="single" w:sz="12" w:space="0" w:color="4F81BD" w:themeColor="accent1"/>
              <w:bottom w:val="single" w:sz="12" w:space="0" w:color="4F81BD" w:themeColor="accent1"/>
            </w:tcBorders>
            <w:noWrap/>
            <w:hideMark/>
          </w:tcPr>
          <w:p w14:paraId="1B64C79A" w14:textId="0CF21860" w:rsidR="00CD3112" w:rsidRPr="00F73F79" w:rsidRDefault="00F40966" w:rsidP="00F73F79">
            <w:pPr>
              <w:pStyle w:val="Geenafstand"/>
              <w:rPr>
                <w:b/>
                <w:bCs/>
              </w:rPr>
            </w:pPr>
            <w:r w:rsidRPr="00F73F79">
              <w:rPr>
                <w:b/>
                <w:bCs/>
              </w:rPr>
              <w:t>Alive after one year</w:t>
            </w:r>
          </w:p>
        </w:tc>
        <w:tc>
          <w:tcPr>
            <w:tcW w:w="1434" w:type="dxa"/>
            <w:tcBorders>
              <w:top w:val="single" w:sz="12" w:space="0" w:color="4F81BD" w:themeColor="accent1"/>
              <w:bottom w:val="single" w:sz="12" w:space="0" w:color="4F81BD" w:themeColor="accent1"/>
            </w:tcBorders>
            <w:noWrap/>
            <w:hideMark/>
          </w:tcPr>
          <w:p w14:paraId="044A1A71" w14:textId="6D09AEA4" w:rsidR="00CD3112" w:rsidRPr="00F73F79" w:rsidRDefault="00CD3112" w:rsidP="00F73F79">
            <w:pPr>
              <w:pStyle w:val="Geenafstand"/>
              <w:rPr>
                <w:b/>
                <w:bCs/>
              </w:rPr>
            </w:pPr>
            <w:r w:rsidRPr="00F73F79">
              <w:rPr>
                <w:b/>
                <w:bCs/>
              </w:rPr>
              <w:t>Died</w:t>
            </w:r>
            <w:r w:rsidR="00F40966" w:rsidRPr="00F73F79">
              <w:rPr>
                <w:b/>
                <w:bCs/>
              </w:rPr>
              <w:t xml:space="preserve"> within one year</w:t>
            </w:r>
          </w:p>
        </w:tc>
        <w:tc>
          <w:tcPr>
            <w:tcW w:w="958" w:type="dxa"/>
            <w:tcBorders>
              <w:top w:val="single" w:sz="12" w:space="0" w:color="4F81BD" w:themeColor="accent1"/>
              <w:bottom w:val="single" w:sz="12" w:space="0" w:color="4F81BD" w:themeColor="accent1"/>
            </w:tcBorders>
            <w:noWrap/>
            <w:hideMark/>
          </w:tcPr>
          <w:p w14:paraId="29E51D12" w14:textId="77777777" w:rsidR="00CD3112" w:rsidRPr="00F73F79" w:rsidRDefault="00CD3112" w:rsidP="00F73F79">
            <w:pPr>
              <w:pStyle w:val="Geenafstand"/>
              <w:rPr>
                <w:b/>
                <w:bCs/>
              </w:rPr>
            </w:pPr>
            <w:r w:rsidRPr="00F73F79">
              <w:rPr>
                <w:b/>
                <w:bCs/>
              </w:rPr>
              <w:t>P-value</w:t>
            </w:r>
          </w:p>
        </w:tc>
      </w:tr>
      <w:tr w:rsidR="003F3214" w:rsidRPr="00CD3112" w14:paraId="12B630F1" w14:textId="77777777" w:rsidTr="000B10D9">
        <w:trPr>
          <w:trHeight w:val="30"/>
        </w:trPr>
        <w:tc>
          <w:tcPr>
            <w:tcW w:w="4106" w:type="dxa"/>
            <w:tcBorders>
              <w:top w:val="single" w:sz="12" w:space="0" w:color="4F81BD" w:themeColor="accent1"/>
              <w:bottom w:val="single" w:sz="4" w:space="0" w:color="4F81BD" w:themeColor="accent1"/>
            </w:tcBorders>
            <w:noWrap/>
          </w:tcPr>
          <w:p w14:paraId="69ED7D67" w14:textId="60356231" w:rsidR="00CD3112" w:rsidRPr="00F73F79" w:rsidRDefault="00716A8F" w:rsidP="00F73F79">
            <w:pPr>
              <w:pStyle w:val="Geenafstand"/>
              <w:rPr>
                <w:b/>
                <w:bCs/>
                <w:lang w:val="en-US"/>
              </w:rPr>
            </w:pPr>
            <w:r w:rsidRPr="00F73F79">
              <w:rPr>
                <w:b/>
                <w:bCs/>
                <w:lang w:val="en-US"/>
              </w:rPr>
              <w:t>Patients for which one year survival is available</w:t>
            </w:r>
          </w:p>
        </w:tc>
        <w:tc>
          <w:tcPr>
            <w:tcW w:w="1134" w:type="dxa"/>
            <w:tcBorders>
              <w:top w:val="single" w:sz="12" w:space="0" w:color="4F81BD" w:themeColor="accent1"/>
              <w:bottom w:val="single" w:sz="4" w:space="0" w:color="4F81BD" w:themeColor="accent1"/>
            </w:tcBorders>
          </w:tcPr>
          <w:p w14:paraId="161A7BE7" w14:textId="70EA11CA" w:rsidR="00CD3112" w:rsidRPr="001F7131" w:rsidRDefault="000C6415" w:rsidP="00F73F79">
            <w:pPr>
              <w:pStyle w:val="Geenafstand"/>
            </w:pPr>
            <w:r w:rsidRPr="001F7131">
              <w:t xml:space="preserve"> n = </w:t>
            </w:r>
            <w:r w:rsidR="0094260A" w:rsidRPr="001F7131">
              <w:t>147</w:t>
            </w:r>
          </w:p>
        </w:tc>
        <w:tc>
          <w:tcPr>
            <w:tcW w:w="1548" w:type="dxa"/>
            <w:tcBorders>
              <w:top w:val="single" w:sz="12" w:space="0" w:color="4F81BD" w:themeColor="accent1"/>
              <w:bottom w:val="single" w:sz="4" w:space="0" w:color="4F81BD" w:themeColor="accent1"/>
            </w:tcBorders>
            <w:noWrap/>
          </w:tcPr>
          <w:p w14:paraId="56F0D15A" w14:textId="29DA5C6E" w:rsidR="00CD3112" w:rsidRPr="001F7131" w:rsidRDefault="000C6415" w:rsidP="00F73F79">
            <w:pPr>
              <w:pStyle w:val="Geenafstand"/>
            </w:pPr>
            <w:r w:rsidRPr="001F7131">
              <w:t xml:space="preserve">n = </w:t>
            </w:r>
            <w:r w:rsidR="004415AD" w:rsidRPr="001F7131">
              <w:t>106</w:t>
            </w:r>
          </w:p>
        </w:tc>
        <w:tc>
          <w:tcPr>
            <w:tcW w:w="1434" w:type="dxa"/>
            <w:tcBorders>
              <w:top w:val="single" w:sz="12" w:space="0" w:color="4F81BD" w:themeColor="accent1"/>
              <w:bottom w:val="single" w:sz="4" w:space="0" w:color="4F81BD" w:themeColor="accent1"/>
            </w:tcBorders>
            <w:noWrap/>
          </w:tcPr>
          <w:p w14:paraId="6F9C49FA" w14:textId="72473D24" w:rsidR="00CD3112" w:rsidRPr="001F7131" w:rsidRDefault="000C6415" w:rsidP="00F73F79">
            <w:pPr>
              <w:pStyle w:val="Geenafstand"/>
            </w:pPr>
            <w:r w:rsidRPr="001F7131">
              <w:t xml:space="preserve">n = </w:t>
            </w:r>
            <w:r w:rsidR="004415AD" w:rsidRPr="001F7131">
              <w:t>41</w:t>
            </w:r>
          </w:p>
        </w:tc>
        <w:tc>
          <w:tcPr>
            <w:tcW w:w="958" w:type="dxa"/>
            <w:tcBorders>
              <w:top w:val="single" w:sz="12" w:space="0" w:color="4F81BD" w:themeColor="accent1"/>
              <w:bottom w:val="single" w:sz="4" w:space="0" w:color="4F81BD" w:themeColor="accent1"/>
            </w:tcBorders>
            <w:noWrap/>
          </w:tcPr>
          <w:p w14:paraId="59CEE551" w14:textId="77777777" w:rsidR="00CD3112" w:rsidRPr="001F7131" w:rsidRDefault="00CD3112" w:rsidP="00F73F79">
            <w:pPr>
              <w:pStyle w:val="Geenafstand"/>
            </w:pPr>
          </w:p>
        </w:tc>
      </w:tr>
      <w:tr w:rsidR="004415AD" w:rsidRPr="00CD3112" w14:paraId="65BBEA6D" w14:textId="77777777" w:rsidTr="003B46A0">
        <w:trPr>
          <w:trHeight w:val="69"/>
        </w:trPr>
        <w:tc>
          <w:tcPr>
            <w:tcW w:w="9180" w:type="dxa"/>
            <w:gridSpan w:val="5"/>
            <w:tcBorders>
              <w:top w:val="single" w:sz="4" w:space="0" w:color="4F81BD" w:themeColor="accent1"/>
              <w:bottom w:val="single" w:sz="4" w:space="0" w:color="4F81BD" w:themeColor="accent1"/>
            </w:tcBorders>
          </w:tcPr>
          <w:p w14:paraId="4A8B86B7" w14:textId="0078156E" w:rsidR="004415AD" w:rsidRPr="00F73F79" w:rsidRDefault="004415AD" w:rsidP="00F73F79">
            <w:pPr>
              <w:pStyle w:val="Geenafstand"/>
              <w:rPr>
                <w:b/>
                <w:bCs/>
              </w:rPr>
            </w:pPr>
            <w:r w:rsidRPr="00F73F79">
              <w:rPr>
                <w:b/>
                <w:bCs/>
              </w:rPr>
              <w:t>Demographics</w:t>
            </w:r>
          </w:p>
        </w:tc>
      </w:tr>
      <w:tr w:rsidR="003F3214" w:rsidRPr="00CD3112" w14:paraId="0F1152AA" w14:textId="77777777" w:rsidTr="000B10D9">
        <w:trPr>
          <w:trHeight w:val="181"/>
        </w:trPr>
        <w:tc>
          <w:tcPr>
            <w:tcW w:w="4106" w:type="dxa"/>
            <w:tcBorders>
              <w:top w:val="single" w:sz="4" w:space="0" w:color="4F81BD" w:themeColor="accent1"/>
            </w:tcBorders>
            <w:noWrap/>
          </w:tcPr>
          <w:p w14:paraId="751D5087" w14:textId="6D6B62AF" w:rsidR="00CD3112" w:rsidRPr="00F66EDE" w:rsidRDefault="00CD3112" w:rsidP="00F73F79">
            <w:pPr>
              <w:pStyle w:val="Geenafstand"/>
            </w:pPr>
            <w:r w:rsidRPr="00F66EDE">
              <w:t>Mean Age</w:t>
            </w:r>
          </w:p>
        </w:tc>
        <w:tc>
          <w:tcPr>
            <w:tcW w:w="1134" w:type="dxa"/>
            <w:tcBorders>
              <w:top w:val="single" w:sz="4" w:space="0" w:color="4F81BD" w:themeColor="accent1"/>
            </w:tcBorders>
          </w:tcPr>
          <w:p w14:paraId="50B040B0" w14:textId="77777777" w:rsidR="00CD3112" w:rsidRPr="00F66EDE" w:rsidRDefault="00CD3112" w:rsidP="00F73F79">
            <w:pPr>
              <w:pStyle w:val="Geenafstand"/>
            </w:pPr>
          </w:p>
        </w:tc>
        <w:tc>
          <w:tcPr>
            <w:tcW w:w="1548" w:type="dxa"/>
            <w:tcBorders>
              <w:top w:val="single" w:sz="4" w:space="0" w:color="4F81BD" w:themeColor="accent1"/>
            </w:tcBorders>
            <w:noWrap/>
          </w:tcPr>
          <w:p w14:paraId="00A751B1" w14:textId="4C625DFA" w:rsidR="00CD3112" w:rsidRPr="00F66EDE" w:rsidRDefault="00CD3112" w:rsidP="00F73F79">
            <w:pPr>
              <w:pStyle w:val="Geenafstand"/>
            </w:pPr>
            <w:r w:rsidRPr="00F66EDE">
              <w:t>84</w:t>
            </w:r>
            <w:r w:rsidR="00873C4C" w:rsidRPr="00F66EDE">
              <w:t>.</w:t>
            </w:r>
            <w:r w:rsidRPr="00F66EDE">
              <w:t>3 (5</w:t>
            </w:r>
            <w:r w:rsidR="00873C4C" w:rsidRPr="00F66EDE">
              <w:t>.</w:t>
            </w:r>
            <w:r w:rsidR="000B10D9">
              <w:t>5</w:t>
            </w:r>
            <w:r w:rsidRPr="00F66EDE">
              <w:t>)</w:t>
            </w:r>
          </w:p>
        </w:tc>
        <w:tc>
          <w:tcPr>
            <w:tcW w:w="1434" w:type="dxa"/>
            <w:tcBorders>
              <w:top w:val="single" w:sz="4" w:space="0" w:color="4F81BD" w:themeColor="accent1"/>
            </w:tcBorders>
            <w:noWrap/>
          </w:tcPr>
          <w:p w14:paraId="2DF5B683" w14:textId="382B9D99" w:rsidR="00CD3112" w:rsidRPr="00F66EDE" w:rsidRDefault="00CD3112" w:rsidP="00F73F79">
            <w:pPr>
              <w:pStyle w:val="Geenafstand"/>
            </w:pPr>
            <w:r w:rsidRPr="00F66EDE">
              <w:t>84</w:t>
            </w:r>
            <w:r w:rsidR="00873C4C" w:rsidRPr="00F66EDE">
              <w:t>.</w:t>
            </w:r>
            <w:r w:rsidR="000B10D9">
              <w:t>9</w:t>
            </w:r>
            <w:r w:rsidRPr="00F66EDE">
              <w:t xml:space="preserve"> (5</w:t>
            </w:r>
            <w:r w:rsidR="00873C4C" w:rsidRPr="00F66EDE">
              <w:t>.</w:t>
            </w:r>
            <w:r w:rsidRPr="00F66EDE">
              <w:t>0)</w:t>
            </w:r>
          </w:p>
        </w:tc>
        <w:tc>
          <w:tcPr>
            <w:tcW w:w="958" w:type="dxa"/>
            <w:tcBorders>
              <w:top w:val="single" w:sz="4" w:space="0" w:color="4F81BD" w:themeColor="accent1"/>
            </w:tcBorders>
            <w:noWrap/>
          </w:tcPr>
          <w:p w14:paraId="466796CF" w14:textId="2372BB74" w:rsidR="00CD3112" w:rsidRPr="00F66EDE" w:rsidRDefault="00CD3112" w:rsidP="00F73F79">
            <w:pPr>
              <w:pStyle w:val="Geenafstand"/>
            </w:pPr>
            <w:r w:rsidRPr="00F66EDE">
              <w:t>0</w:t>
            </w:r>
            <w:r w:rsidR="00873C4C" w:rsidRPr="00F66EDE">
              <w:t>.</w:t>
            </w:r>
            <w:r w:rsidRPr="00F66EDE">
              <w:t>604</w:t>
            </w:r>
          </w:p>
        </w:tc>
      </w:tr>
      <w:tr w:rsidR="003F3214" w:rsidRPr="00CD3112" w14:paraId="2F8BA868" w14:textId="77777777" w:rsidTr="000B10D9">
        <w:trPr>
          <w:trHeight w:val="109"/>
        </w:trPr>
        <w:tc>
          <w:tcPr>
            <w:tcW w:w="4106" w:type="dxa"/>
            <w:noWrap/>
          </w:tcPr>
          <w:p w14:paraId="269CFC41" w14:textId="653A3B4C" w:rsidR="00CD3112" w:rsidRPr="00F66EDE" w:rsidRDefault="00CD3112" w:rsidP="00F73F79">
            <w:pPr>
              <w:pStyle w:val="Geenafstand"/>
            </w:pPr>
            <w:r w:rsidRPr="00F66EDE">
              <w:t>Gender</w:t>
            </w:r>
          </w:p>
        </w:tc>
        <w:tc>
          <w:tcPr>
            <w:tcW w:w="1134" w:type="dxa"/>
          </w:tcPr>
          <w:p w14:paraId="4E048C73" w14:textId="35FC99B4" w:rsidR="00CD3112" w:rsidRPr="00F66EDE" w:rsidRDefault="008E07D7" w:rsidP="00F73F79">
            <w:pPr>
              <w:pStyle w:val="Geenafstand"/>
            </w:pPr>
            <w:r w:rsidRPr="00F66EDE">
              <w:t>n = 147</w:t>
            </w:r>
          </w:p>
        </w:tc>
        <w:tc>
          <w:tcPr>
            <w:tcW w:w="1548" w:type="dxa"/>
            <w:noWrap/>
          </w:tcPr>
          <w:p w14:paraId="6F8621CD" w14:textId="051D3EF2" w:rsidR="00CD3112" w:rsidRPr="00F66EDE" w:rsidRDefault="00CD3112" w:rsidP="00F73F79">
            <w:pPr>
              <w:pStyle w:val="Geenafstand"/>
            </w:pPr>
          </w:p>
        </w:tc>
        <w:tc>
          <w:tcPr>
            <w:tcW w:w="1434" w:type="dxa"/>
            <w:noWrap/>
          </w:tcPr>
          <w:p w14:paraId="07CBADA9" w14:textId="77777777" w:rsidR="00CD3112" w:rsidRPr="00F66EDE" w:rsidRDefault="00CD3112" w:rsidP="00F73F79">
            <w:pPr>
              <w:pStyle w:val="Geenafstand"/>
            </w:pPr>
          </w:p>
        </w:tc>
        <w:tc>
          <w:tcPr>
            <w:tcW w:w="958" w:type="dxa"/>
            <w:noWrap/>
          </w:tcPr>
          <w:p w14:paraId="2BD1ED5C" w14:textId="6C31B0EF" w:rsidR="00CD3112" w:rsidRPr="00F66EDE" w:rsidRDefault="00CD3112" w:rsidP="00F73F79">
            <w:pPr>
              <w:pStyle w:val="Geenafstand"/>
            </w:pPr>
            <w:r w:rsidRPr="00F66EDE">
              <w:t>0</w:t>
            </w:r>
            <w:r w:rsidR="00873C4C" w:rsidRPr="00F66EDE">
              <w:t>.</w:t>
            </w:r>
            <w:r w:rsidRPr="00F66EDE">
              <w:t>090</w:t>
            </w:r>
          </w:p>
        </w:tc>
      </w:tr>
      <w:tr w:rsidR="003F3214" w:rsidRPr="00CD3112" w14:paraId="06AC10B3" w14:textId="77777777" w:rsidTr="000B10D9">
        <w:trPr>
          <w:trHeight w:val="60"/>
        </w:trPr>
        <w:tc>
          <w:tcPr>
            <w:tcW w:w="4106" w:type="dxa"/>
            <w:noWrap/>
            <w:hideMark/>
          </w:tcPr>
          <w:p w14:paraId="1BC86A49" w14:textId="0A3141F1" w:rsidR="00CD3112" w:rsidRPr="00F66EDE" w:rsidRDefault="00497DDE" w:rsidP="00F73F79">
            <w:pPr>
              <w:pStyle w:val="Geenafstand"/>
            </w:pPr>
            <w:r w:rsidRPr="00F66EDE">
              <w:t xml:space="preserve">                </w:t>
            </w:r>
            <w:r w:rsidR="00CD3112" w:rsidRPr="00F66EDE">
              <w:t>Male</w:t>
            </w:r>
          </w:p>
        </w:tc>
        <w:tc>
          <w:tcPr>
            <w:tcW w:w="1134" w:type="dxa"/>
          </w:tcPr>
          <w:p w14:paraId="133B0296" w14:textId="744B8806" w:rsidR="00CD3112" w:rsidRPr="00F66EDE" w:rsidRDefault="003F4DC0" w:rsidP="00F73F79">
            <w:pPr>
              <w:pStyle w:val="Geenafstand"/>
            </w:pPr>
            <w:r w:rsidRPr="00F66EDE">
              <w:t>n = 66</w:t>
            </w:r>
          </w:p>
        </w:tc>
        <w:tc>
          <w:tcPr>
            <w:tcW w:w="1548" w:type="dxa"/>
            <w:noWrap/>
            <w:hideMark/>
          </w:tcPr>
          <w:p w14:paraId="72A23773" w14:textId="6BCB1136" w:rsidR="00CD3112" w:rsidRPr="00F66EDE" w:rsidRDefault="00CD3112" w:rsidP="00F73F79">
            <w:pPr>
              <w:pStyle w:val="Geenafstand"/>
            </w:pPr>
            <w:r w:rsidRPr="00F66EDE">
              <w:t>43 (40</w:t>
            </w:r>
            <w:r w:rsidR="00873C4C" w:rsidRPr="00F66EDE">
              <w:t>.</w:t>
            </w:r>
            <w:r w:rsidRPr="00F66EDE">
              <w:t>6%)</w:t>
            </w:r>
          </w:p>
        </w:tc>
        <w:tc>
          <w:tcPr>
            <w:tcW w:w="1434" w:type="dxa"/>
            <w:noWrap/>
            <w:hideMark/>
          </w:tcPr>
          <w:p w14:paraId="54363B2D" w14:textId="39A00471" w:rsidR="00CD3112" w:rsidRPr="00F66EDE" w:rsidRDefault="00CD3112" w:rsidP="00F73F79">
            <w:pPr>
              <w:pStyle w:val="Geenafstand"/>
            </w:pPr>
            <w:r w:rsidRPr="00F66EDE">
              <w:t>23 (56</w:t>
            </w:r>
            <w:r w:rsidR="00873C4C" w:rsidRPr="00F66EDE">
              <w:t>.</w:t>
            </w:r>
            <w:r w:rsidRPr="00F66EDE">
              <w:t>1%)</w:t>
            </w:r>
          </w:p>
        </w:tc>
        <w:tc>
          <w:tcPr>
            <w:tcW w:w="958" w:type="dxa"/>
            <w:noWrap/>
            <w:hideMark/>
          </w:tcPr>
          <w:p w14:paraId="3F8905B0" w14:textId="77777777" w:rsidR="00CD3112" w:rsidRPr="00F66EDE" w:rsidRDefault="00CD3112" w:rsidP="00F73F79">
            <w:pPr>
              <w:pStyle w:val="Geenafstand"/>
            </w:pPr>
            <w:r w:rsidRPr="00F66EDE">
              <w:t> </w:t>
            </w:r>
          </w:p>
        </w:tc>
      </w:tr>
      <w:tr w:rsidR="003F3214" w:rsidRPr="00CD3112" w14:paraId="145CB8D9" w14:textId="77777777" w:rsidTr="000B10D9">
        <w:trPr>
          <w:trHeight w:val="87"/>
        </w:trPr>
        <w:tc>
          <w:tcPr>
            <w:tcW w:w="4106" w:type="dxa"/>
            <w:tcBorders>
              <w:bottom w:val="single" w:sz="4" w:space="0" w:color="4F81BD" w:themeColor="accent1"/>
            </w:tcBorders>
            <w:noWrap/>
            <w:hideMark/>
          </w:tcPr>
          <w:p w14:paraId="12095BC0" w14:textId="62D7A7BE" w:rsidR="00CD3112" w:rsidRPr="00F66EDE" w:rsidRDefault="00497DDE" w:rsidP="00F73F79">
            <w:pPr>
              <w:pStyle w:val="Geenafstand"/>
            </w:pPr>
            <w:r w:rsidRPr="00F66EDE">
              <w:t xml:space="preserve">                </w:t>
            </w:r>
            <w:r w:rsidR="00CD3112" w:rsidRPr="00F66EDE">
              <w:t>Female</w:t>
            </w:r>
          </w:p>
        </w:tc>
        <w:tc>
          <w:tcPr>
            <w:tcW w:w="1134" w:type="dxa"/>
            <w:tcBorders>
              <w:bottom w:val="single" w:sz="4" w:space="0" w:color="4F81BD" w:themeColor="accent1"/>
            </w:tcBorders>
          </w:tcPr>
          <w:p w14:paraId="274B9541" w14:textId="523B6B97" w:rsidR="00CD3112" w:rsidRPr="00F66EDE" w:rsidRDefault="003F4DC0" w:rsidP="00F73F79">
            <w:pPr>
              <w:pStyle w:val="Geenafstand"/>
            </w:pPr>
            <w:r w:rsidRPr="00F66EDE">
              <w:t>n = 81</w:t>
            </w:r>
          </w:p>
        </w:tc>
        <w:tc>
          <w:tcPr>
            <w:tcW w:w="1548" w:type="dxa"/>
            <w:tcBorders>
              <w:bottom w:val="single" w:sz="4" w:space="0" w:color="4F81BD" w:themeColor="accent1"/>
            </w:tcBorders>
            <w:noWrap/>
            <w:hideMark/>
          </w:tcPr>
          <w:p w14:paraId="0C119B7C" w14:textId="06805008" w:rsidR="00CD3112" w:rsidRPr="00F66EDE" w:rsidRDefault="00CD3112" w:rsidP="00F73F79">
            <w:pPr>
              <w:pStyle w:val="Geenafstand"/>
            </w:pPr>
            <w:r w:rsidRPr="00F66EDE">
              <w:t>63 (59</w:t>
            </w:r>
            <w:r w:rsidR="00873C4C" w:rsidRPr="00F66EDE">
              <w:t>.</w:t>
            </w:r>
            <w:r w:rsidRPr="00F66EDE">
              <w:t>4%)</w:t>
            </w:r>
          </w:p>
        </w:tc>
        <w:tc>
          <w:tcPr>
            <w:tcW w:w="1434" w:type="dxa"/>
            <w:tcBorders>
              <w:bottom w:val="single" w:sz="4" w:space="0" w:color="4F81BD" w:themeColor="accent1"/>
            </w:tcBorders>
            <w:noWrap/>
            <w:hideMark/>
          </w:tcPr>
          <w:p w14:paraId="1A86A982" w14:textId="6AC21F2F" w:rsidR="00CD3112" w:rsidRPr="00F66EDE" w:rsidRDefault="00CD3112" w:rsidP="00F73F79">
            <w:pPr>
              <w:pStyle w:val="Geenafstand"/>
            </w:pPr>
            <w:r w:rsidRPr="00F66EDE">
              <w:t>18 (43</w:t>
            </w:r>
            <w:r w:rsidR="00873C4C" w:rsidRPr="00F66EDE">
              <w:t>.</w:t>
            </w:r>
            <w:r w:rsidRPr="00F66EDE">
              <w:t>9%)</w:t>
            </w:r>
          </w:p>
        </w:tc>
        <w:tc>
          <w:tcPr>
            <w:tcW w:w="958" w:type="dxa"/>
            <w:tcBorders>
              <w:bottom w:val="single" w:sz="4" w:space="0" w:color="4F81BD" w:themeColor="accent1"/>
            </w:tcBorders>
            <w:noWrap/>
            <w:hideMark/>
          </w:tcPr>
          <w:p w14:paraId="3B21A250" w14:textId="77777777" w:rsidR="00CD3112" w:rsidRPr="00F66EDE" w:rsidRDefault="00CD3112" w:rsidP="00F73F79">
            <w:pPr>
              <w:pStyle w:val="Geenafstand"/>
            </w:pPr>
            <w:r w:rsidRPr="00F66EDE">
              <w:t> </w:t>
            </w:r>
          </w:p>
        </w:tc>
      </w:tr>
      <w:tr w:rsidR="004415AD" w:rsidRPr="00CD3112" w14:paraId="6D0285D9" w14:textId="77777777" w:rsidTr="003B46A0">
        <w:trPr>
          <w:trHeight w:val="50"/>
        </w:trPr>
        <w:tc>
          <w:tcPr>
            <w:tcW w:w="9180" w:type="dxa"/>
            <w:gridSpan w:val="5"/>
            <w:tcBorders>
              <w:top w:val="single" w:sz="4" w:space="0" w:color="4F81BD" w:themeColor="accent1"/>
              <w:bottom w:val="single" w:sz="4" w:space="0" w:color="4F81BD" w:themeColor="accent1"/>
            </w:tcBorders>
          </w:tcPr>
          <w:p w14:paraId="0FAFF97A" w14:textId="002DE9BD" w:rsidR="004415AD" w:rsidRPr="00F73F79" w:rsidRDefault="004415AD" w:rsidP="00F73F79">
            <w:pPr>
              <w:pStyle w:val="Geenafstand"/>
              <w:rPr>
                <w:b/>
                <w:bCs/>
              </w:rPr>
            </w:pPr>
            <w:r w:rsidRPr="00F73F79">
              <w:rPr>
                <w:b/>
                <w:bCs/>
              </w:rPr>
              <w:t>Biochemical factors</w:t>
            </w:r>
          </w:p>
        </w:tc>
      </w:tr>
      <w:tr w:rsidR="003F3214" w:rsidRPr="00CD3112" w14:paraId="1E4F9AE5" w14:textId="77777777" w:rsidTr="000B10D9">
        <w:trPr>
          <w:trHeight w:val="50"/>
        </w:trPr>
        <w:tc>
          <w:tcPr>
            <w:tcW w:w="4106" w:type="dxa"/>
            <w:tcBorders>
              <w:top w:val="single" w:sz="4" w:space="0" w:color="4F81BD" w:themeColor="accent1"/>
              <w:bottom w:val="single" w:sz="4" w:space="0" w:color="4F81BD" w:themeColor="accent1"/>
            </w:tcBorders>
            <w:noWrap/>
            <w:hideMark/>
          </w:tcPr>
          <w:p w14:paraId="14D5CF72" w14:textId="498DFA05" w:rsidR="00CD3112" w:rsidRPr="00F66EDE" w:rsidRDefault="00CD3112" w:rsidP="00F73F79">
            <w:pPr>
              <w:pStyle w:val="Geenafstand"/>
            </w:pPr>
            <w:r w:rsidRPr="00F66EDE">
              <w:t xml:space="preserve">Mean Sodium level at discharge </w:t>
            </w:r>
          </w:p>
        </w:tc>
        <w:tc>
          <w:tcPr>
            <w:tcW w:w="1134" w:type="dxa"/>
            <w:tcBorders>
              <w:top w:val="single" w:sz="4" w:space="0" w:color="4F81BD" w:themeColor="accent1"/>
              <w:bottom w:val="single" w:sz="4" w:space="0" w:color="4F81BD" w:themeColor="accent1"/>
            </w:tcBorders>
          </w:tcPr>
          <w:p w14:paraId="6B52E35D" w14:textId="419FCFF7" w:rsidR="00CD3112" w:rsidRPr="001F7131" w:rsidRDefault="008E07D7" w:rsidP="00F73F79">
            <w:pPr>
              <w:pStyle w:val="Geenafstand"/>
            </w:pPr>
            <w:r>
              <w:t xml:space="preserve">n = </w:t>
            </w:r>
            <w:r w:rsidR="00873C4C">
              <w:t>135</w:t>
            </w:r>
          </w:p>
        </w:tc>
        <w:tc>
          <w:tcPr>
            <w:tcW w:w="1548" w:type="dxa"/>
            <w:tcBorders>
              <w:top w:val="single" w:sz="4" w:space="0" w:color="4F81BD" w:themeColor="accent1"/>
              <w:bottom w:val="single" w:sz="4" w:space="0" w:color="4F81BD" w:themeColor="accent1"/>
            </w:tcBorders>
            <w:noWrap/>
            <w:hideMark/>
          </w:tcPr>
          <w:p w14:paraId="6983F465" w14:textId="363D8DC9" w:rsidR="00CD3112" w:rsidRPr="001F7131" w:rsidRDefault="00CD3112" w:rsidP="00F73F79">
            <w:pPr>
              <w:pStyle w:val="Geenafstand"/>
            </w:pPr>
            <w:r w:rsidRPr="001F7131">
              <w:t>140</w:t>
            </w:r>
            <w:r w:rsidR="00873C4C">
              <w:t>.</w:t>
            </w:r>
            <w:r w:rsidRPr="001F7131">
              <w:t>2 (3</w:t>
            </w:r>
            <w:r w:rsidR="00873C4C">
              <w:t>.</w:t>
            </w:r>
            <w:r w:rsidR="000B10D9">
              <w:t>9</w:t>
            </w:r>
            <w:r w:rsidRPr="001F7131">
              <w:t>)</w:t>
            </w:r>
          </w:p>
        </w:tc>
        <w:tc>
          <w:tcPr>
            <w:tcW w:w="1434" w:type="dxa"/>
            <w:tcBorders>
              <w:top w:val="single" w:sz="4" w:space="0" w:color="4F81BD" w:themeColor="accent1"/>
              <w:bottom w:val="single" w:sz="4" w:space="0" w:color="4F81BD" w:themeColor="accent1"/>
            </w:tcBorders>
            <w:noWrap/>
            <w:hideMark/>
          </w:tcPr>
          <w:p w14:paraId="0643B870" w14:textId="6F625303" w:rsidR="00CD3112" w:rsidRPr="001F7131" w:rsidRDefault="00CD3112" w:rsidP="00F73F79">
            <w:pPr>
              <w:pStyle w:val="Geenafstand"/>
            </w:pPr>
            <w:r w:rsidRPr="001F7131">
              <w:t>140</w:t>
            </w:r>
            <w:r w:rsidR="00873C4C">
              <w:t>.</w:t>
            </w:r>
            <w:r w:rsidR="000B10D9">
              <w:t>7</w:t>
            </w:r>
            <w:r w:rsidRPr="001F7131">
              <w:t xml:space="preserve"> (</w:t>
            </w:r>
            <w:r w:rsidR="000B10D9">
              <w:t>4.0</w:t>
            </w:r>
            <w:r w:rsidRPr="001F7131">
              <w:t>)</w:t>
            </w:r>
          </w:p>
        </w:tc>
        <w:tc>
          <w:tcPr>
            <w:tcW w:w="958" w:type="dxa"/>
            <w:tcBorders>
              <w:top w:val="single" w:sz="4" w:space="0" w:color="4F81BD" w:themeColor="accent1"/>
              <w:bottom w:val="single" w:sz="4" w:space="0" w:color="4F81BD" w:themeColor="accent1"/>
            </w:tcBorders>
            <w:noWrap/>
            <w:hideMark/>
          </w:tcPr>
          <w:p w14:paraId="6F0749D2" w14:textId="6330D968" w:rsidR="00CD3112" w:rsidRPr="001F7131" w:rsidRDefault="00CD3112" w:rsidP="00F73F79">
            <w:pPr>
              <w:pStyle w:val="Geenafstand"/>
            </w:pPr>
            <w:r w:rsidRPr="001F7131">
              <w:t>0</w:t>
            </w:r>
            <w:r w:rsidR="00873C4C">
              <w:t>.</w:t>
            </w:r>
            <w:r w:rsidRPr="001F7131">
              <w:t>512</w:t>
            </w:r>
          </w:p>
        </w:tc>
      </w:tr>
      <w:tr w:rsidR="004415AD" w:rsidRPr="00CD3112" w14:paraId="4A8D7470" w14:textId="77777777" w:rsidTr="003B46A0">
        <w:trPr>
          <w:trHeight w:val="58"/>
        </w:trPr>
        <w:tc>
          <w:tcPr>
            <w:tcW w:w="9180" w:type="dxa"/>
            <w:gridSpan w:val="5"/>
            <w:tcBorders>
              <w:top w:val="single" w:sz="4" w:space="0" w:color="4F81BD" w:themeColor="accent1"/>
              <w:bottom w:val="single" w:sz="4" w:space="0" w:color="4F81BD" w:themeColor="accent1"/>
            </w:tcBorders>
          </w:tcPr>
          <w:p w14:paraId="17198EF1" w14:textId="6A09B156" w:rsidR="004415AD" w:rsidRPr="00F73F79" w:rsidRDefault="005F5A46" w:rsidP="00F73F79">
            <w:pPr>
              <w:pStyle w:val="Geenafstand"/>
              <w:rPr>
                <w:b/>
                <w:bCs/>
              </w:rPr>
            </w:pPr>
            <w:r w:rsidRPr="00F73F79">
              <w:rPr>
                <w:b/>
                <w:bCs/>
              </w:rPr>
              <w:t xml:space="preserve">Cardiac </w:t>
            </w:r>
            <w:r w:rsidR="004415AD" w:rsidRPr="00F73F79">
              <w:rPr>
                <w:b/>
                <w:bCs/>
              </w:rPr>
              <w:t>Clinical factors </w:t>
            </w:r>
          </w:p>
        </w:tc>
      </w:tr>
      <w:tr w:rsidR="003F3214" w:rsidRPr="00CD3112" w14:paraId="017D2395" w14:textId="77777777" w:rsidTr="005C6B44">
        <w:trPr>
          <w:trHeight w:val="117"/>
        </w:trPr>
        <w:tc>
          <w:tcPr>
            <w:tcW w:w="4106" w:type="dxa"/>
            <w:tcBorders>
              <w:top w:val="single" w:sz="4" w:space="0" w:color="4F81BD" w:themeColor="accent1"/>
            </w:tcBorders>
            <w:noWrap/>
          </w:tcPr>
          <w:p w14:paraId="605FA6CC" w14:textId="17A44DF2" w:rsidR="00CD3112" w:rsidRPr="00F66EDE" w:rsidRDefault="00CD3112" w:rsidP="00F73F79">
            <w:pPr>
              <w:pStyle w:val="Geenafstand"/>
            </w:pPr>
            <w:r w:rsidRPr="00F66EDE">
              <w:t>Mean Blood pressure at discharge</w:t>
            </w:r>
          </w:p>
        </w:tc>
        <w:tc>
          <w:tcPr>
            <w:tcW w:w="1134" w:type="dxa"/>
            <w:tcBorders>
              <w:top w:val="single" w:sz="4" w:space="0" w:color="4F81BD" w:themeColor="accent1"/>
            </w:tcBorders>
          </w:tcPr>
          <w:p w14:paraId="6BD2A095" w14:textId="41C0B55E" w:rsidR="00CD3112" w:rsidRPr="001F7131" w:rsidRDefault="00873C4C" w:rsidP="00F73F79">
            <w:pPr>
              <w:pStyle w:val="Geenafstand"/>
            </w:pPr>
            <w:r>
              <w:t>n = 135</w:t>
            </w:r>
          </w:p>
        </w:tc>
        <w:tc>
          <w:tcPr>
            <w:tcW w:w="1548" w:type="dxa"/>
            <w:tcBorders>
              <w:top w:val="single" w:sz="4" w:space="0" w:color="4F81BD" w:themeColor="accent1"/>
            </w:tcBorders>
            <w:noWrap/>
          </w:tcPr>
          <w:p w14:paraId="508ECB08" w14:textId="7BDB61FC" w:rsidR="00CD3112" w:rsidRPr="001F7131" w:rsidRDefault="00CD3112" w:rsidP="00F73F79">
            <w:pPr>
              <w:pStyle w:val="Geenafstand"/>
            </w:pPr>
            <w:r w:rsidRPr="001F7131">
              <w:t>137</w:t>
            </w:r>
            <w:r w:rsidR="00873C4C">
              <w:t>.</w:t>
            </w:r>
            <w:r w:rsidR="000B10D9">
              <w:t>6</w:t>
            </w:r>
            <w:r w:rsidRPr="001F7131">
              <w:t xml:space="preserve"> (21</w:t>
            </w:r>
            <w:r w:rsidR="00873C4C">
              <w:t>.</w:t>
            </w:r>
            <w:r w:rsidRPr="001F7131">
              <w:t>0)</w:t>
            </w:r>
          </w:p>
        </w:tc>
        <w:tc>
          <w:tcPr>
            <w:tcW w:w="1434" w:type="dxa"/>
            <w:tcBorders>
              <w:top w:val="single" w:sz="4" w:space="0" w:color="4F81BD" w:themeColor="accent1"/>
            </w:tcBorders>
            <w:noWrap/>
          </w:tcPr>
          <w:p w14:paraId="110FD377" w14:textId="1AC07B36" w:rsidR="00CD3112" w:rsidRPr="001F7131" w:rsidRDefault="00CD3112" w:rsidP="00A07EAA">
            <w:pPr>
              <w:pStyle w:val="Geenafstand"/>
              <w:jc w:val="both"/>
            </w:pPr>
            <w:r w:rsidRPr="001F7131">
              <w:t>125</w:t>
            </w:r>
            <w:r w:rsidR="00873C4C">
              <w:t>.</w:t>
            </w:r>
            <w:r w:rsidR="000B10D9">
              <w:t>3</w:t>
            </w:r>
            <w:r w:rsidR="00574576">
              <w:t xml:space="preserve"> </w:t>
            </w:r>
            <w:r w:rsidR="003B46A0">
              <w:t>(</w:t>
            </w:r>
            <w:r w:rsidRPr="001F7131">
              <w:t>18</w:t>
            </w:r>
            <w:r w:rsidR="00873C4C">
              <w:t>.</w:t>
            </w:r>
            <w:r w:rsidR="000B10D9">
              <w:t>7</w:t>
            </w:r>
            <w:r w:rsidRPr="001F7131">
              <w:t>)</w:t>
            </w:r>
          </w:p>
        </w:tc>
        <w:tc>
          <w:tcPr>
            <w:tcW w:w="958" w:type="dxa"/>
            <w:tcBorders>
              <w:top w:val="single" w:sz="4" w:space="0" w:color="4F81BD" w:themeColor="accent1"/>
            </w:tcBorders>
            <w:noWrap/>
          </w:tcPr>
          <w:p w14:paraId="273042BD" w14:textId="16DF588E" w:rsidR="00CD3112" w:rsidRPr="001F7131" w:rsidRDefault="00CD3112" w:rsidP="00F73F79">
            <w:pPr>
              <w:pStyle w:val="Geenafstand"/>
            </w:pPr>
            <w:r w:rsidRPr="001F7131">
              <w:t>0</w:t>
            </w:r>
            <w:r w:rsidR="00873C4C">
              <w:t>.</w:t>
            </w:r>
            <w:r w:rsidRPr="001F7131">
              <w:t>002</w:t>
            </w:r>
          </w:p>
        </w:tc>
      </w:tr>
      <w:tr w:rsidR="003F3214" w:rsidRPr="00CD3112" w14:paraId="394673BF" w14:textId="77777777" w:rsidTr="005C6B44">
        <w:trPr>
          <w:trHeight w:val="174"/>
        </w:trPr>
        <w:tc>
          <w:tcPr>
            <w:tcW w:w="4106" w:type="dxa"/>
            <w:noWrap/>
          </w:tcPr>
          <w:p w14:paraId="534A25A3" w14:textId="4B6D1A9B" w:rsidR="00CD3112" w:rsidRPr="00F66EDE" w:rsidRDefault="00CD3112" w:rsidP="00F73F79">
            <w:pPr>
              <w:pStyle w:val="Geenafstand"/>
            </w:pPr>
            <w:r w:rsidRPr="00F66EDE">
              <w:t xml:space="preserve">NYHA class  </w:t>
            </w:r>
          </w:p>
        </w:tc>
        <w:tc>
          <w:tcPr>
            <w:tcW w:w="1134" w:type="dxa"/>
          </w:tcPr>
          <w:p w14:paraId="6E6320D3" w14:textId="2B2820F6" w:rsidR="00CD3112" w:rsidRPr="001F7131" w:rsidRDefault="00873C4C" w:rsidP="00F73F79">
            <w:pPr>
              <w:pStyle w:val="Geenafstand"/>
            </w:pPr>
            <w:r>
              <w:t>n = 135</w:t>
            </w:r>
          </w:p>
        </w:tc>
        <w:tc>
          <w:tcPr>
            <w:tcW w:w="1548" w:type="dxa"/>
            <w:noWrap/>
          </w:tcPr>
          <w:p w14:paraId="5E92CFA8" w14:textId="72B394DF" w:rsidR="00CD3112" w:rsidRPr="001F7131" w:rsidRDefault="00CD3112" w:rsidP="00F73F79">
            <w:pPr>
              <w:pStyle w:val="Geenafstand"/>
            </w:pPr>
          </w:p>
        </w:tc>
        <w:tc>
          <w:tcPr>
            <w:tcW w:w="1434" w:type="dxa"/>
            <w:noWrap/>
          </w:tcPr>
          <w:p w14:paraId="41353A05" w14:textId="77777777" w:rsidR="00CD3112" w:rsidRPr="001F7131" w:rsidRDefault="00CD3112" w:rsidP="00F73F79">
            <w:pPr>
              <w:pStyle w:val="Geenafstand"/>
            </w:pPr>
          </w:p>
        </w:tc>
        <w:tc>
          <w:tcPr>
            <w:tcW w:w="958" w:type="dxa"/>
            <w:noWrap/>
          </w:tcPr>
          <w:p w14:paraId="31FFB16D" w14:textId="34493C53" w:rsidR="00CD3112" w:rsidRPr="001F7131" w:rsidRDefault="00CD3112" w:rsidP="00F73F79">
            <w:pPr>
              <w:pStyle w:val="Geenafstand"/>
            </w:pPr>
            <w:r w:rsidRPr="001F7131">
              <w:t>0</w:t>
            </w:r>
            <w:r w:rsidR="00873C4C">
              <w:t>.</w:t>
            </w:r>
            <w:r w:rsidRPr="001F7131">
              <w:t>086</w:t>
            </w:r>
          </w:p>
        </w:tc>
      </w:tr>
      <w:tr w:rsidR="003F3214" w:rsidRPr="00CD3112" w14:paraId="5CC9178B" w14:textId="77777777" w:rsidTr="005C6B44">
        <w:trPr>
          <w:trHeight w:val="60"/>
        </w:trPr>
        <w:tc>
          <w:tcPr>
            <w:tcW w:w="4106" w:type="dxa"/>
            <w:noWrap/>
          </w:tcPr>
          <w:p w14:paraId="5ED3355C" w14:textId="6032371D" w:rsidR="00CD3112" w:rsidRPr="00F66EDE" w:rsidRDefault="00497DDE" w:rsidP="00F73F79">
            <w:pPr>
              <w:pStyle w:val="Geenafstand"/>
            </w:pPr>
            <w:r w:rsidRPr="00F66EDE">
              <w:t xml:space="preserve">                </w:t>
            </w:r>
            <w:r w:rsidR="00CD3112" w:rsidRPr="00F66EDE">
              <w:t>NYHA class I &amp; II</w:t>
            </w:r>
          </w:p>
        </w:tc>
        <w:tc>
          <w:tcPr>
            <w:tcW w:w="1134" w:type="dxa"/>
          </w:tcPr>
          <w:p w14:paraId="4AA10EB7" w14:textId="77777777" w:rsidR="00CD3112" w:rsidRPr="001F7131" w:rsidRDefault="00CD3112" w:rsidP="00F73F79">
            <w:pPr>
              <w:pStyle w:val="Geenafstand"/>
            </w:pPr>
          </w:p>
        </w:tc>
        <w:tc>
          <w:tcPr>
            <w:tcW w:w="1548" w:type="dxa"/>
            <w:noWrap/>
          </w:tcPr>
          <w:p w14:paraId="67B2F57E" w14:textId="525D37BE" w:rsidR="00CD3112" w:rsidRPr="001F7131" w:rsidRDefault="00CD3112" w:rsidP="00F73F79">
            <w:pPr>
              <w:pStyle w:val="Geenafstand"/>
            </w:pPr>
            <w:r w:rsidRPr="001F7131">
              <w:t>41 (42</w:t>
            </w:r>
            <w:r w:rsidR="00873C4C">
              <w:t>.</w:t>
            </w:r>
            <w:r w:rsidRPr="001F7131">
              <w:t>3%)</w:t>
            </w:r>
          </w:p>
        </w:tc>
        <w:tc>
          <w:tcPr>
            <w:tcW w:w="1434" w:type="dxa"/>
            <w:noWrap/>
          </w:tcPr>
          <w:p w14:paraId="5780D244" w14:textId="13ABFBF1" w:rsidR="00CD3112" w:rsidRPr="001F7131" w:rsidRDefault="00CD3112" w:rsidP="00F73F79">
            <w:pPr>
              <w:pStyle w:val="Geenafstand"/>
            </w:pPr>
            <w:r w:rsidRPr="001F7131">
              <w:t>10 (26</w:t>
            </w:r>
            <w:r w:rsidR="00873C4C">
              <w:t>.</w:t>
            </w:r>
            <w:r w:rsidRPr="001F7131">
              <w:t>3%)</w:t>
            </w:r>
          </w:p>
        </w:tc>
        <w:tc>
          <w:tcPr>
            <w:tcW w:w="958" w:type="dxa"/>
            <w:noWrap/>
          </w:tcPr>
          <w:p w14:paraId="040F5F56" w14:textId="77777777" w:rsidR="00CD3112" w:rsidRPr="001F7131" w:rsidRDefault="00CD3112" w:rsidP="00F73F79">
            <w:pPr>
              <w:pStyle w:val="Geenafstand"/>
            </w:pPr>
          </w:p>
        </w:tc>
      </w:tr>
      <w:tr w:rsidR="003F3214" w:rsidRPr="003F3214" w14:paraId="26A59243" w14:textId="77777777" w:rsidTr="005C6B44">
        <w:trPr>
          <w:trHeight w:val="60"/>
        </w:trPr>
        <w:tc>
          <w:tcPr>
            <w:tcW w:w="4106" w:type="dxa"/>
            <w:tcBorders>
              <w:bottom w:val="single" w:sz="4" w:space="0" w:color="4F81BD" w:themeColor="accent1"/>
            </w:tcBorders>
            <w:noWrap/>
          </w:tcPr>
          <w:p w14:paraId="29991D45" w14:textId="50AA006A" w:rsidR="00CD3112" w:rsidRPr="00F66EDE" w:rsidRDefault="00497DDE" w:rsidP="00F73F79">
            <w:pPr>
              <w:pStyle w:val="Geenafstand"/>
            </w:pPr>
            <w:r w:rsidRPr="00F66EDE">
              <w:t xml:space="preserve">                </w:t>
            </w:r>
            <w:r w:rsidR="00CD3112" w:rsidRPr="00F66EDE">
              <w:t>NYHA class III &amp; IV</w:t>
            </w:r>
          </w:p>
        </w:tc>
        <w:tc>
          <w:tcPr>
            <w:tcW w:w="1134" w:type="dxa"/>
            <w:tcBorders>
              <w:bottom w:val="single" w:sz="4" w:space="0" w:color="4F81BD" w:themeColor="accent1"/>
            </w:tcBorders>
          </w:tcPr>
          <w:p w14:paraId="6CD7D538" w14:textId="77777777" w:rsidR="00CD3112" w:rsidRPr="001F7131" w:rsidRDefault="00CD3112" w:rsidP="00F73F79">
            <w:pPr>
              <w:pStyle w:val="Geenafstand"/>
            </w:pPr>
          </w:p>
        </w:tc>
        <w:tc>
          <w:tcPr>
            <w:tcW w:w="1548" w:type="dxa"/>
            <w:tcBorders>
              <w:bottom w:val="single" w:sz="4" w:space="0" w:color="4F81BD" w:themeColor="accent1"/>
            </w:tcBorders>
            <w:noWrap/>
          </w:tcPr>
          <w:p w14:paraId="72049783" w14:textId="6D9A31FB" w:rsidR="00CD3112" w:rsidRPr="001F7131" w:rsidRDefault="00CD3112" w:rsidP="00F73F79">
            <w:pPr>
              <w:pStyle w:val="Geenafstand"/>
            </w:pPr>
            <w:r w:rsidRPr="001F7131">
              <w:t>56 (57</w:t>
            </w:r>
            <w:r w:rsidR="00873C4C" w:rsidRPr="006125C7">
              <w:t>.</w:t>
            </w:r>
            <w:r w:rsidRPr="001F7131">
              <w:t>7%)</w:t>
            </w:r>
          </w:p>
        </w:tc>
        <w:tc>
          <w:tcPr>
            <w:tcW w:w="1434" w:type="dxa"/>
            <w:tcBorders>
              <w:bottom w:val="single" w:sz="4" w:space="0" w:color="4F81BD" w:themeColor="accent1"/>
            </w:tcBorders>
            <w:noWrap/>
          </w:tcPr>
          <w:p w14:paraId="35356651" w14:textId="613260D8" w:rsidR="00CD3112" w:rsidRPr="001F7131" w:rsidRDefault="00CD3112" w:rsidP="00F73F79">
            <w:pPr>
              <w:pStyle w:val="Geenafstand"/>
            </w:pPr>
            <w:r w:rsidRPr="001F7131">
              <w:t>28</w:t>
            </w:r>
            <w:r w:rsidR="00542962">
              <w:t xml:space="preserve"> </w:t>
            </w:r>
            <w:r w:rsidRPr="001F7131">
              <w:t>(73</w:t>
            </w:r>
            <w:r w:rsidR="00873C4C" w:rsidRPr="006125C7">
              <w:t>.</w:t>
            </w:r>
            <w:r w:rsidRPr="001F7131">
              <w:t>7%)</w:t>
            </w:r>
          </w:p>
        </w:tc>
        <w:tc>
          <w:tcPr>
            <w:tcW w:w="958" w:type="dxa"/>
            <w:tcBorders>
              <w:bottom w:val="single" w:sz="4" w:space="0" w:color="4F81BD" w:themeColor="accent1"/>
            </w:tcBorders>
            <w:noWrap/>
          </w:tcPr>
          <w:p w14:paraId="5CA2F04A" w14:textId="77777777" w:rsidR="00CD3112" w:rsidRPr="001F7131" w:rsidRDefault="00CD3112" w:rsidP="00F73F79">
            <w:pPr>
              <w:pStyle w:val="Geenafstand"/>
            </w:pPr>
          </w:p>
        </w:tc>
      </w:tr>
      <w:tr w:rsidR="004415AD" w:rsidRPr="006125C7" w14:paraId="5BE4CB02" w14:textId="77777777" w:rsidTr="003B46A0">
        <w:trPr>
          <w:trHeight w:val="50"/>
        </w:trPr>
        <w:tc>
          <w:tcPr>
            <w:tcW w:w="9180" w:type="dxa"/>
            <w:gridSpan w:val="5"/>
            <w:tcBorders>
              <w:top w:val="single" w:sz="4" w:space="0" w:color="4F81BD" w:themeColor="accent1"/>
              <w:bottom w:val="single" w:sz="4" w:space="0" w:color="4F81BD" w:themeColor="accent1"/>
            </w:tcBorders>
          </w:tcPr>
          <w:p w14:paraId="19E0B0A1" w14:textId="5B2EDFCE" w:rsidR="004415AD" w:rsidRPr="00F73F79" w:rsidRDefault="00316720" w:rsidP="00F73F79">
            <w:pPr>
              <w:pStyle w:val="Geenafstand"/>
              <w:rPr>
                <w:b/>
                <w:bCs/>
              </w:rPr>
            </w:pPr>
            <w:r w:rsidRPr="00F73F79">
              <w:rPr>
                <w:b/>
                <w:bCs/>
              </w:rPr>
              <w:t>Comorbidities</w:t>
            </w:r>
          </w:p>
        </w:tc>
      </w:tr>
      <w:tr w:rsidR="00194C7A" w:rsidRPr="006125C7" w14:paraId="7BD306CC" w14:textId="77777777" w:rsidTr="000B10D9">
        <w:trPr>
          <w:trHeight w:val="349"/>
        </w:trPr>
        <w:tc>
          <w:tcPr>
            <w:tcW w:w="4106" w:type="dxa"/>
            <w:tcBorders>
              <w:top w:val="single" w:sz="4" w:space="0" w:color="4F81BD" w:themeColor="accent1"/>
              <w:bottom w:val="single" w:sz="4" w:space="0" w:color="4F81BD" w:themeColor="accent1"/>
            </w:tcBorders>
            <w:noWrap/>
          </w:tcPr>
          <w:p w14:paraId="72FA9AAF" w14:textId="77777777" w:rsidR="006125C7" w:rsidRPr="00F66EDE" w:rsidRDefault="00CD3112" w:rsidP="00F73F79">
            <w:pPr>
              <w:pStyle w:val="Geenafstand"/>
            </w:pPr>
            <w:r w:rsidRPr="00F66EDE">
              <w:t xml:space="preserve">Mean score of the ACI </w:t>
            </w:r>
          </w:p>
          <w:p w14:paraId="6743A687" w14:textId="3F43A6BB" w:rsidR="00CD3112" w:rsidRPr="00F66EDE" w:rsidRDefault="00CD3112" w:rsidP="00F73F79">
            <w:pPr>
              <w:pStyle w:val="Geenafstand"/>
            </w:pPr>
            <w:r w:rsidRPr="00F66EDE">
              <w:t>(The Charlson Age Comorbidity Index</w:t>
            </w:r>
            <w:r w:rsidR="006125C7" w:rsidRPr="00F66EDE">
              <w:t>)</w:t>
            </w:r>
          </w:p>
        </w:tc>
        <w:tc>
          <w:tcPr>
            <w:tcW w:w="1134" w:type="dxa"/>
            <w:tcBorders>
              <w:top w:val="single" w:sz="4" w:space="0" w:color="4F81BD" w:themeColor="accent1"/>
              <w:bottom w:val="single" w:sz="4" w:space="0" w:color="4F81BD" w:themeColor="accent1"/>
            </w:tcBorders>
          </w:tcPr>
          <w:p w14:paraId="095BE746" w14:textId="3FBA3E08" w:rsidR="00CD3112" w:rsidRPr="001F7131" w:rsidRDefault="00873C4C" w:rsidP="00F73F79">
            <w:pPr>
              <w:pStyle w:val="Geenafstand"/>
            </w:pPr>
            <w:r w:rsidRPr="006125C7">
              <w:t>n = 147</w:t>
            </w:r>
          </w:p>
        </w:tc>
        <w:tc>
          <w:tcPr>
            <w:tcW w:w="1548" w:type="dxa"/>
            <w:tcBorders>
              <w:top w:val="single" w:sz="4" w:space="0" w:color="4F81BD" w:themeColor="accent1"/>
              <w:bottom w:val="single" w:sz="4" w:space="0" w:color="4F81BD" w:themeColor="accent1"/>
            </w:tcBorders>
            <w:noWrap/>
          </w:tcPr>
          <w:p w14:paraId="29587A90" w14:textId="359DA818" w:rsidR="00CD3112" w:rsidRPr="001F7131" w:rsidRDefault="00CD3112" w:rsidP="00F73F79">
            <w:pPr>
              <w:pStyle w:val="Geenafstand"/>
            </w:pPr>
            <w:r w:rsidRPr="001F7131">
              <w:t>7</w:t>
            </w:r>
            <w:r w:rsidR="00873C4C" w:rsidRPr="006125C7">
              <w:t>.</w:t>
            </w:r>
            <w:r w:rsidRPr="001F7131">
              <w:t>4 (2</w:t>
            </w:r>
            <w:r w:rsidR="00873C4C" w:rsidRPr="006125C7">
              <w:t>.</w:t>
            </w:r>
            <w:r w:rsidRPr="001F7131">
              <w:t>4)</w:t>
            </w:r>
          </w:p>
        </w:tc>
        <w:tc>
          <w:tcPr>
            <w:tcW w:w="1434" w:type="dxa"/>
            <w:tcBorders>
              <w:top w:val="single" w:sz="4" w:space="0" w:color="4F81BD" w:themeColor="accent1"/>
              <w:bottom w:val="single" w:sz="4" w:space="0" w:color="4F81BD" w:themeColor="accent1"/>
            </w:tcBorders>
            <w:noWrap/>
          </w:tcPr>
          <w:p w14:paraId="4262A0E8" w14:textId="62687FE9" w:rsidR="00CD3112" w:rsidRPr="001F7131" w:rsidRDefault="00CD3112" w:rsidP="00F73F79">
            <w:pPr>
              <w:pStyle w:val="Geenafstand"/>
            </w:pPr>
            <w:r w:rsidRPr="001F7131">
              <w:t>8</w:t>
            </w:r>
            <w:r w:rsidR="00873C4C" w:rsidRPr="006125C7">
              <w:t>.</w:t>
            </w:r>
            <w:r w:rsidRPr="001F7131">
              <w:t>8 (2</w:t>
            </w:r>
            <w:r w:rsidR="00873C4C" w:rsidRPr="006125C7">
              <w:t>.</w:t>
            </w:r>
            <w:r w:rsidR="000B10D9">
              <w:t>4</w:t>
            </w:r>
            <w:r w:rsidRPr="001F7131">
              <w:t>)</w:t>
            </w:r>
          </w:p>
        </w:tc>
        <w:tc>
          <w:tcPr>
            <w:tcW w:w="958" w:type="dxa"/>
            <w:tcBorders>
              <w:top w:val="single" w:sz="4" w:space="0" w:color="4F81BD" w:themeColor="accent1"/>
              <w:bottom w:val="single" w:sz="4" w:space="0" w:color="4F81BD" w:themeColor="accent1"/>
            </w:tcBorders>
            <w:noWrap/>
          </w:tcPr>
          <w:p w14:paraId="5CC3BFC4" w14:textId="4253BD43" w:rsidR="00CD3112" w:rsidRPr="001F7131" w:rsidRDefault="00CD3112" w:rsidP="00F73F79">
            <w:pPr>
              <w:pStyle w:val="Geenafstand"/>
            </w:pPr>
            <w:r w:rsidRPr="001F7131">
              <w:t>0</w:t>
            </w:r>
            <w:r w:rsidR="00873C4C" w:rsidRPr="006125C7">
              <w:t>.</w:t>
            </w:r>
            <w:r w:rsidRPr="001F7131">
              <w:t>002</w:t>
            </w:r>
          </w:p>
        </w:tc>
      </w:tr>
      <w:tr w:rsidR="0095113E" w:rsidRPr="0095113E" w14:paraId="2854F00E" w14:textId="77777777" w:rsidTr="000B10D9">
        <w:trPr>
          <w:trHeight w:val="50"/>
        </w:trPr>
        <w:tc>
          <w:tcPr>
            <w:tcW w:w="4106" w:type="dxa"/>
            <w:tcBorders>
              <w:top w:val="single" w:sz="4" w:space="0" w:color="4F81BD" w:themeColor="accent1"/>
              <w:bottom w:val="single" w:sz="4" w:space="0" w:color="4F81BD" w:themeColor="accent1"/>
            </w:tcBorders>
            <w:noWrap/>
          </w:tcPr>
          <w:p w14:paraId="64F11B22" w14:textId="42CA268B" w:rsidR="0095113E" w:rsidRPr="00F73F79" w:rsidRDefault="00316720" w:rsidP="00F73F79">
            <w:pPr>
              <w:pStyle w:val="Geenafstand"/>
              <w:rPr>
                <w:b/>
                <w:bCs/>
              </w:rPr>
            </w:pPr>
            <w:r w:rsidRPr="00F73F79">
              <w:rPr>
                <w:b/>
                <w:bCs/>
              </w:rPr>
              <w:t>Premorbid Functional Factors</w:t>
            </w:r>
          </w:p>
        </w:tc>
        <w:tc>
          <w:tcPr>
            <w:tcW w:w="1134" w:type="dxa"/>
            <w:tcBorders>
              <w:top w:val="single" w:sz="4" w:space="0" w:color="4F81BD" w:themeColor="accent1"/>
              <w:bottom w:val="single" w:sz="4" w:space="0" w:color="4F81BD" w:themeColor="accent1"/>
            </w:tcBorders>
          </w:tcPr>
          <w:p w14:paraId="10AACC6F" w14:textId="77777777" w:rsidR="0095113E" w:rsidRPr="006125C7" w:rsidRDefault="0095113E" w:rsidP="00F73F79">
            <w:pPr>
              <w:pStyle w:val="Geenafstand"/>
            </w:pPr>
          </w:p>
        </w:tc>
        <w:tc>
          <w:tcPr>
            <w:tcW w:w="1548" w:type="dxa"/>
            <w:tcBorders>
              <w:top w:val="single" w:sz="4" w:space="0" w:color="4F81BD" w:themeColor="accent1"/>
              <w:bottom w:val="single" w:sz="4" w:space="0" w:color="4F81BD" w:themeColor="accent1"/>
            </w:tcBorders>
            <w:noWrap/>
          </w:tcPr>
          <w:p w14:paraId="03717314" w14:textId="77777777" w:rsidR="0095113E" w:rsidRPr="0095113E" w:rsidRDefault="0095113E" w:rsidP="00F73F79">
            <w:pPr>
              <w:pStyle w:val="Geenafstand"/>
            </w:pPr>
          </w:p>
        </w:tc>
        <w:tc>
          <w:tcPr>
            <w:tcW w:w="1434" w:type="dxa"/>
            <w:tcBorders>
              <w:top w:val="single" w:sz="4" w:space="0" w:color="4F81BD" w:themeColor="accent1"/>
              <w:bottom w:val="single" w:sz="4" w:space="0" w:color="4F81BD" w:themeColor="accent1"/>
            </w:tcBorders>
            <w:noWrap/>
          </w:tcPr>
          <w:p w14:paraId="325874F2" w14:textId="77777777" w:rsidR="0095113E" w:rsidRPr="0095113E" w:rsidRDefault="0095113E" w:rsidP="00F73F79">
            <w:pPr>
              <w:pStyle w:val="Geenafstand"/>
            </w:pPr>
          </w:p>
        </w:tc>
        <w:tc>
          <w:tcPr>
            <w:tcW w:w="958" w:type="dxa"/>
            <w:tcBorders>
              <w:top w:val="single" w:sz="4" w:space="0" w:color="4F81BD" w:themeColor="accent1"/>
              <w:bottom w:val="single" w:sz="4" w:space="0" w:color="4F81BD" w:themeColor="accent1"/>
            </w:tcBorders>
            <w:noWrap/>
          </w:tcPr>
          <w:p w14:paraId="068B47FA" w14:textId="77777777" w:rsidR="0095113E" w:rsidRPr="0095113E" w:rsidRDefault="0095113E" w:rsidP="00F73F79">
            <w:pPr>
              <w:pStyle w:val="Geenafstand"/>
            </w:pPr>
          </w:p>
        </w:tc>
      </w:tr>
      <w:tr w:rsidR="001F00D6" w:rsidRPr="006125C7" w14:paraId="38372BBA" w14:textId="77777777" w:rsidTr="000B10D9">
        <w:trPr>
          <w:trHeight w:val="289"/>
        </w:trPr>
        <w:tc>
          <w:tcPr>
            <w:tcW w:w="4106" w:type="dxa"/>
            <w:tcBorders>
              <w:top w:val="single" w:sz="4" w:space="0" w:color="4F81BD" w:themeColor="accent1"/>
            </w:tcBorders>
            <w:noWrap/>
          </w:tcPr>
          <w:p w14:paraId="6CF158A8" w14:textId="6758AA25" w:rsidR="008F04CD" w:rsidRPr="00F66EDE" w:rsidRDefault="008F04CD" w:rsidP="00F73F79">
            <w:pPr>
              <w:pStyle w:val="Geenafstand"/>
            </w:pPr>
            <w:r w:rsidRPr="00F66EDE">
              <w:t xml:space="preserve">KATZ scale </w:t>
            </w:r>
            <w:r w:rsidRPr="00F66EDE">
              <w:tab/>
            </w:r>
            <w:r w:rsidRPr="00F66EDE">
              <w:tab/>
            </w:r>
            <w:r w:rsidRPr="00F66EDE">
              <w:tab/>
            </w:r>
            <w:r w:rsidRPr="00F66EDE">
              <w:tab/>
            </w:r>
          </w:p>
          <w:p w14:paraId="2F09EB2B" w14:textId="48748133" w:rsidR="008F04CD" w:rsidRPr="00F66EDE" w:rsidRDefault="008F04CD" w:rsidP="00F73F79">
            <w:pPr>
              <w:pStyle w:val="Geenafstand"/>
            </w:pPr>
            <w:r w:rsidRPr="00F66EDE">
              <w:t xml:space="preserve">            Needs assistance for at least 1 </w:t>
            </w:r>
            <w:proofErr w:type="spellStart"/>
            <w:r w:rsidR="0061071B">
              <w:t>b</w:t>
            </w:r>
            <w:r w:rsidRPr="00F66EDE">
              <w:t>ADL</w:t>
            </w:r>
            <w:proofErr w:type="spellEnd"/>
          </w:p>
          <w:p w14:paraId="153B15DE" w14:textId="0B92179F" w:rsidR="008F04CD" w:rsidRPr="00F66EDE" w:rsidRDefault="008F04CD" w:rsidP="00F73F79">
            <w:pPr>
              <w:pStyle w:val="Geenafstand"/>
            </w:pPr>
            <w:r w:rsidRPr="00F66EDE">
              <w:t xml:space="preserve">Mean score of </w:t>
            </w:r>
            <w:proofErr w:type="spellStart"/>
            <w:r w:rsidRPr="00F66EDE">
              <w:t>iADL</w:t>
            </w:r>
            <w:proofErr w:type="spellEnd"/>
            <w:r w:rsidRPr="00F66EDE">
              <w:t xml:space="preserve"> </w:t>
            </w:r>
            <w:r w:rsidRPr="00F66EDE">
              <w:tab/>
            </w:r>
            <w:r w:rsidRPr="00F66EDE">
              <w:tab/>
            </w:r>
          </w:p>
          <w:p w14:paraId="09DD37B8" w14:textId="646B94BE" w:rsidR="001F00D6" w:rsidRPr="00F73F79" w:rsidRDefault="001F00D6" w:rsidP="00F73F79">
            <w:pPr>
              <w:pStyle w:val="Geenafstand"/>
              <w:rPr>
                <w:b/>
                <w:bCs/>
              </w:rPr>
            </w:pPr>
            <w:r w:rsidRPr="00F66EDE">
              <w:t xml:space="preserve">GRP </w:t>
            </w:r>
            <w:r w:rsidR="006125C7" w:rsidRPr="00F66EDE">
              <w:t>positive</w:t>
            </w:r>
          </w:p>
        </w:tc>
        <w:tc>
          <w:tcPr>
            <w:tcW w:w="1134" w:type="dxa"/>
            <w:tcBorders>
              <w:top w:val="single" w:sz="4" w:space="0" w:color="4F81BD" w:themeColor="accent1"/>
            </w:tcBorders>
          </w:tcPr>
          <w:p w14:paraId="6D3BA518" w14:textId="70087295" w:rsidR="008F04CD" w:rsidRDefault="008F04CD" w:rsidP="00F73F79">
            <w:pPr>
              <w:pStyle w:val="Geenafstand"/>
            </w:pPr>
            <w:r>
              <w:t>n = 145</w:t>
            </w:r>
          </w:p>
          <w:p w14:paraId="24397804" w14:textId="72F3BC77" w:rsidR="008F04CD" w:rsidRDefault="008F04CD" w:rsidP="00F73F79">
            <w:pPr>
              <w:pStyle w:val="Geenafstand"/>
            </w:pPr>
            <w:r>
              <w:t xml:space="preserve">                                         </w:t>
            </w:r>
          </w:p>
          <w:p w14:paraId="4BBDF351" w14:textId="1F938BEA" w:rsidR="008F04CD" w:rsidRDefault="008F04CD" w:rsidP="00F73F79">
            <w:pPr>
              <w:pStyle w:val="Geenafstand"/>
            </w:pPr>
            <w:r>
              <w:t>n = 146</w:t>
            </w:r>
          </w:p>
          <w:p w14:paraId="06AF5302" w14:textId="6652763C" w:rsidR="001F00D6" w:rsidRPr="006125C7" w:rsidRDefault="006125C7" w:rsidP="00F73F79">
            <w:pPr>
              <w:pStyle w:val="Geenafstand"/>
            </w:pPr>
            <w:r w:rsidRPr="006125C7">
              <w:t>n = 129</w:t>
            </w:r>
          </w:p>
        </w:tc>
        <w:tc>
          <w:tcPr>
            <w:tcW w:w="1548" w:type="dxa"/>
            <w:tcBorders>
              <w:top w:val="single" w:sz="4" w:space="0" w:color="4F81BD" w:themeColor="accent1"/>
            </w:tcBorders>
            <w:noWrap/>
          </w:tcPr>
          <w:p w14:paraId="77BEAFD6" w14:textId="77777777" w:rsidR="008F04CD" w:rsidRDefault="008F04CD" w:rsidP="00F73F79">
            <w:pPr>
              <w:pStyle w:val="Geenafstand"/>
            </w:pPr>
          </w:p>
          <w:p w14:paraId="512C374D" w14:textId="08B736D1" w:rsidR="008F04CD" w:rsidRDefault="008F04CD" w:rsidP="00F73F79">
            <w:pPr>
              <w:pStyle w:val="Geenafstand"/>
            </w:pPr>
            <w:r>
              <w:t>23 (21.9%)</w:t>
            </w:r>
          </w:p>
          <w:p w14:paraId="7D22CB2D" w14:textId="4C904242" w:rsidR="008F04CD" w:rsidRDefault="008F04CD" w:rsidP="00F73F79">
            <w:pPr>
              <w:pStyle w:val="Geenafstand"/>
            </w:pPr>
            <w:r>
              <w:t>3.3 (2.</w:t>
            </w:r>
            <w:r w:rsidR="000B10D9">
              <w:t>2</w:t>
            </w:r>
            <w:r>
              <w:t>)</w:t>
            </w:r>
          </w:p>
          <w:p w14:paraId="0F1019F1" w14:textId="5619D88B" w:rsidR="001F00D6" w:rsidRPr="006125C7" w:rsidRDefault="006125C7" w:rsidP="00F73F79">
            <w:pPr>
              <w:pStyle w:val="Geenafstand"/>
            </w:pPr>
            <w:r w:rsidRPr="001F7131">
              <w:t>94 (88</w:t>
            </w:r>
            <w:r w:rsidR="009047D0">
              <w:t>.</w:t>
            </w:r>
            <w:r w:rsidRPr="001F7131">
              <w:t>7%)</w:t>
            </w:r>
          </w:p>
        </w:tc>
        <w:tc>
          <w:tcPr>
            <w:tcW w:w="1434" w:type="dxa"/>
            <w:tcBorders>
              <w:top w:val="single" w:sz="4" w:space="0" w:color="4F81BD" w:themeColor="accent1"/>
            </w:tcBorders>
            <w:noWrap/>
          </w:tcPr>
          <w:p w14:paraId="3AD97DDA" w14:textId="77777777" w:rsidR="008F04CD" w:rsidRDefault="008F04CD" w:rsidP="00F73F79">
            <w:pPr>
              <w:pStyle w:val="Geenafstand"/>
            </w:pPr>
          </w:p>
          <w:p w14:paraId="44BDDB74" w14:textId="0062CC1B" w:rsidR="008F04CD" w:rsidRDefault="008F04CD" w:rsidP="00F73F79">
            <w:pPr>
              <w:pStyle w:val="Geenafstand"/>
            </w:pPr>
            <w:r>
              <w:t>6 (15%)</w:t>
            </w:r>
          </w:p>
          <w:p w14:paraId="4298C104" w14:textId="2D8089DA" w:rsidR="008F04CD" w:rsidRDefault="008F04CD" w:rsidP="00F73F79">
            <w:pPr>
              <w:pStyle w:val="Geenafstand"/>
            </w:pPr>
            <w:r>
              <w:t>3.15 (2.2)</w:t>
            </w:r>
          </w:p>
          <w:p w14:paraId="77BFFE73" w14:textId="053510D0" w:rsidR="001F00D6" w:rsidRPr="006125C7" w:rsidRDefault="006125C7" w:rsidP="00F73F79">
            <w:pPr>
              <w:pStyle w:val="Geenafstand"/>
            </w:pPr>
            <w:r w:rsidRPr="001F7131">
              <w:t>35 (85</w:t>
            </w:r>
            <w:r w:rsidR="009047D0">
              <w:t>.</w:t>
            </w:r>
            <w:r w:rsidRPr="001F7131">
              <w:t>4%)</w:t>
            </w:r>
          </w:p>
        </w:tc>
        <w:tc>
          <w:tcPr>
            <w:tcW w:w="958" w:type="dxa"/>
            <w:tcBorders>
              <w:top w:val="single" w:sz="4" w:space="0" w:color="4F81BD" w:themeColor="accent1"/>
            </w:tcBorders>
            <w:noWrap/>
          </w:tcPr>
          <w:p w14:paraId="7931820D" w14:textId="7D1BEE6D" w:rsidR="008F04CD" w:rsidRDefault="00680E5C" w:rsidP="00F73F79">
            <w:pPr>
              <w:pStyle w:val="Geenafstand"/>
            </w:pPr>
            <w:r>
              <w:t>0.353</w:t>
            </w:r>
          </w:p>
          <w:p w14:paraId="5F55D906" w14:textId="77777777" w:rsidR="00A85707" w:rsidRDefault="00A85707" w:rsidP="00F73F79">
            <w:pPr>
              <w:pStyle w:val="Geenafstand"/>
            </w:pPr>
          </w:p>
          <w:p w14:paraId="5BF89F88" w14:textId="2660CB91" w:rsidR="008F04CD" w:rsidRDefault="008F04CD" w:rsidP="00F73F79">
            <w:pPr>
              <w:pStyle w:val="Geenafstand"/>
            </w:pPr>
            <w:r>
              <w:t>0.713</w:t>
            </w:r>
          </w:p>
          <w:p w14:paraId="1B91820F" w14:textId="3582D05D" w:rsidR="001F00D6" w:rsidRPr="006125C7" w:rsidRDefault="001F00D6" w:rsidP="00F73F79">
            <w:pPr>
              <w:pStyle w:val="Geenafstand"/>
            </w:pPr>
            <w:r w:rsidRPr="001F7131">
              <w:t>0</w:t>
            </w:r>
            <w:r w:rsidR="009047D0">
              <w:t>.</w:t>
            </w:r>
            <w:r w:rsidRPr="001F7131">
              <w:t>583</w:t>
            </w:r>
          </w:p>
        </w:tc>
      </w:tr>
      <w:tr w:rsidR="00A47706" w:rsidRPr="001F7131" w14:paraId="7DD49FEA" w14:textId="77777777" w:rsidTr="000B0D72">
        <w:trPr>
          <w:trHeight w:val="50"/>
        </w:trPr>
        <w:tc>
          <w:tcPr>
            <w:tcW w:w="9180" w:type="dxa"/>
            <w:gridSpan w:val="5"/>
            <w:tcBorders>
              <w:top w:val="single" w:sz="4" w:space="0" w:color="4F81BD" w:themeColor="accent1"/>
              <w:bottom w:val="single" w:sz="4" w:space="0" w:color="4F81BD" w:themeColor="accent1"/>
            </w:tcBorders>
          </w:tcPr>
          <w:p w14:paraId="2C135C9C" w14:textId="77777777" w:rsidR="00A47706" w:rsidRPr="00F73F79" w:rsidRDefault="00A47706" w:rsidP="00F73F79">
            <w:pPr>
              <w:pStyle w:val="Geenafstand"/>
              <w:rPr>
                <w:b/>
                <w:bCs/>
              </w:rPr>
            </w:pPr>
            <w:r w:rsidRPr="00F73F79">
              <w:rPr>
                <w:b/>
                <w:bCs/>
              </w:rPr>
              <w:t>Cardiac ultrasound factors </w:t>
            </w:r>
          </w:p>
        </w:tc>
      </w:tr>
      <w:tr w:rsidR="00A47706" w:rsidRPr="001F7131" w14:paraId="574125D1" w14:textId="77777777" w:rsidTr="000B10D9">
        <w:trPr>
          <w:trHeight w:val="50"/>
        </w:trPr>
        <w:tc>
          <w:tcPr>
            <w:tcW w:w="4106" w:type="dxa"/>
            <w:tcBorders>
              <w:top w:val="single" w:sz="4" w:space="0" w:color="4F81BD" w:themeColor="accent1"/>
            </w:tcBorders>
            <w:noWrap/>
            <w:hideMark/>
          </w:tcPr>
          <w:p w14:paraId="6107CCA4" w14:textId="77777777" w:rsidR="00A47706" w:rsidRPr="00F66EDE" w:rsidRDefault="00A47706" w:rsidP="00F73F79">
            <w:pPr>
              <w:pStyle w:val="Geenafstand"/>
            </w:pPr>
            <w:r w:rsidRPr="00F66EDE">
              <w:t xml:space="preserve">Ejection Fraction </w:t>
            </w:r>
          </w:p>
        </w:tc>
        <w:tc>
          <w:tcPr>
            <w:tcW w:w="1134" w:type="dxa"/>
            <w:tcBorders>
              <w:top w:val="single" w:sz="4" w:space="0" w:color="4F81BD" w:themeColor="accent1"/>
            </w:tcBorders>
          </w:tcPr>
          <w:p w14:paraId="03429A5B" w14:textId="77777777" w:rsidR="00A47706" w:rsidRPr="001F7131" w:rsidRDefault="00A47706" w:rsidP="00F73F79">
            <w:pPr>
              <w:pStyle w:val="Geenafstand"/>
            </w:pPr>
            <w:r>
              <w:t>n = 136</w:t>
            </w:r>
          </w:p>
        </w:tc>
        <w:tc>
          <w:tcPr>
            <w:tcW w:w="1548" w:type="dxa"/>
            <w:tcBorders>
              <w:top w:val="single" w:sz="4" w:space="0" w:color="4F81BD" w:themeColor="accent1"/>
            </w:tcBorders>
            <w:noWrap/>
            <w:hideMark/>
          </w:tcPr>
          <w:p w14:paraId="2D284251" w14:textId="77777777" w:rsidR="00A47706" w:rsidRPr="001F7131" w:rsidRDefault="00A47706" w:rsidP="00F73F79">
            <w:pPr>
              <w:pStyle w:val="Geenafstand"/>
            </w:pPr>
          </w:p>
        </w:tc>
        <w:tc>
          <w:tcPr>
            <w:tcW w:w="1434" w:type="dxa"/>
            <w:tcBorders>
              <w:top w:val="single" w:sz="4" w:space="0" w:color="4F81BD" w:themeColor="accent1"/>
            </w:tcBorders>
            <w:noWrap/>
            <w:hideMark/>
          </w:tcPr>
          <w:p w14:paraId="7C84EC2D" w14:textId="77777777" w:rsidR="00A47706" w:rsidRPr="001F7131" w:rsidRDefault="00A47706" w:rsidP="00F73F79">
            <w:pPr>
              <w:pStyle w:val="Geenafstand"/>
            </w:pPr>
          </w:p>
        </w:tc>
        <w:tc>
          <w:tcPr>
            <w:tcW w:w="958" w:type="dxa"/>
            <w:tcBorders>
              <w:top w:val="single" w:sz="4" w:space="0" w:color="4F81BD" w:themeColor="accent1"/>
            </w:tcBorders>
            <w:noWrap/>
            <w:hideMark/>
          </w:tcPr>
          <w:p w14:paraId="12656785" w14:textId="77777777" w:rsidR="00A47706" w:rsidRPr="001F7131" w:rsidRDefault="00A47706" w:rsidP="00F73F79">
            <w:pPr>
              <w:pStyle w:val="Geenafstand"/>
            </w:pPr>
            <w:r w:rsidRPr="001F7131">
              <w:t>0</w:t>
            </w:r>
            <w:r>
              <w:t>.</w:t>
            </w:r>
            <w:r w:rsidRPr="001F7131">
              <w:t>814</w:t>
            </w:r>
          </w:p>
        </w:tc>
      </w:tr>
      <w:tr w:rsidR="00A47706" w:rsidRPr="001F7131" w14:paraId="0D683BDD" w14:textId="77777777" w:rsidTr="000B10D9">
        <w:trPr>
          <w:trHeight w:val="60"/>
        </w:trPr>
        <w:tc>
          <w:tcPr>
            <w:tcW w:w="4106" w:type="dxa"/>
            <w:noWrap/>
          </w:tcPr>
          <w:p w14:paraId="7954AE38" w14:textId="77777777" w:rsidR="00A47706" w:rsidRPr="00F66EDE" w:rsidRDefault="00A47706" w:rsidP="00F73F79">
            <w:pPr>
              <w:pStyle w:val="Geenafstand"/>
            </w:pPr>
            <w:r w:rsidRPr="00F66EDE">
              <w:t xml:space="preserve">                Reduced (&lt; 50%)</w:t>
            </w:r>
          </w:p>
        </w:tc>
        <w:tc>
          <w:tcPr>
            <w:tcW w:w="1134" w:type="dxa"/>
          </w:tcPr>
          <w:p w14:paraId="40AC9EBE" w14:textId="77777777" w:rsidR="00A47706" w:rsidRPr="001F7131" w:rsidRDefault="00A47706" w:rsidP="00F73F79">
            <w:pPr>
              <w:pStyle w:val="Geenafstand"/>
            </w:pPr>
          </w:p>
        </w:tc>
        <w:tc>
          <w:tcPr>
            <w:tcW w:w="1548" w:type="dxa"/>
            <w:noWrap/>
          </w:tcPr>
          <w:p w14:paraId="3952B75D" w14:textId="77777777" w:rsidR="00A47706" w:rsidRPr="001F7131" w:rsidRDefault="00A47706" w:rsidP="00F73F79">
            <w:pPr>
              <w:pStyle w:val="Geenafstand"/>
            </w:pPr>
            <w:r w:rsidRPr="001F7131">
              <w:t>34 (34</w:t>
            </w:r>
            <w:r>
              <w:t>.</w:t>
            </w:r>
            <w:r w:rsidRPr="001F7131">
              <w:t>7%)</w:t>
            </w:r>
          </w:p>
        </w:tc>
        <w:tc>
          <w:tcPr>
            <w:tcW w:w="1434" w:type="dxa"/>
            <w:noWrap/>
          </w:tcPr>
          <w:p w14:paraId="35514A8B" w14:textId="77777777" w:rsidR="00A47706" w:rsidRPr="001F7131" w:rsidRDefault="00A47706" w:rsidP="00F73F79">
            <w:pPr>
              <w:pStyle w:val="Geenafstand"/>
            </w:pPr>
            <w:r w:rsidRPr="001F7131">
              <w:t>14 (36</w:t>
            </w:r>
            <w:r>
              <w:t>.</w:t>
            </w:r>
            <w:r w:rsidRPr="001F7131">
              <w:t>8%)</w:t>
            </w:r>
          </w:p>
        </w:tc>
        <w:tc>
          <w:tcPr>
            <w:tcW w:w="958" w:type="dxa"/>
            <w:noWrap/>
          </w:tcPr>
          <w:p w14:paraId="0AA59595" w14:textId="77777777" w:rsidR="00A47706" w:rsidRPr="001F7131" w:rsidRDefault="00A47706" w:rsidP="00F73F79">
            <w:pPr>
              <w:pStyle w:val="Geenafstand"/>
            </w:pPr>
          </w:p>
        </w:tc>
      </w:tr>
      <w:tr w:rsidR="00A47706" w:rsidRPr="001F7131" w14:paraId="4858D714" w14:textId="77777777" w:rsidTr="000B10D9">
        <w:trPr>
          <w:trHeight w:val="185"/>
        </w:trPr>
        <w:tc>
          <w:tcPr>
            <w:tcW w:w="4106" w:type="dxa"/>
            <w:tcBorders>
              <w:bottom w:val="single" w:sz="4" w:space="0" w:color="4F81BD" w:themeColor="accent1"/>
            </w:tcBorders>
            <w:noWrap/>
          </w:tcPr>
          <w:p w14:paraId="72CD52BE" w14:textId="7CC51EE9" w:rsidR="00A47706" w:rsidRPr="00F66EDE" w:rsidRDefault="00A47706" w:rsidP="00F73F79">
            <w:pPr>
              <w:pStyle w:val="Geenafstand"/>
            </w:pPr>
            <w:r w:rsidRPr="00F66EDE">
              <w:t xml:space="preserve">                </w:t>
            </w:r>
            <w:r w:rsidR="00093C75">
              <w:t>Preserved</w:t>
            </w:r>
            <w:r w:rsidRPr="00F66EDE">
              <w:t xml:space="preserve"> ( &gt; 50%)</w:t>
            </w:r>
          </w:p>
        </w:tc>
        <w:tc>
          <w:tcPr>
            <w:tcW w:w="1134" w:type="dxa"/>
            <w:tcBorders>
              <w:bottom w:val="single" w:sz="4" w:space="0" w:color="4F81BD" w:themeColor="accent1"/>
            </w:tcBorders>
          </w:tcPr>
          <w:p w14:paraId="49EC2B79" w14:textId="77777777" w:rsidR="00A47706" w:rsidRPr="001F7131" w:rsidRDefault="00A47706" w:rsidP="00F73F79">
            <w:pPr>
              <w:pStyle w:val="Geenafstand"/>
            </w:pPr>
          </w:p>
        </w:tc>
        <w:tc>
          <w:tcPr>
            <w:tcW w:w="1548" w:type="dxa"/>
            <w:tcBorders>
              <w:bottom w:val="single" w:sz="4" w:space="0" w:color="4F81BD" w:themeColor="accent1"/>
            </w:tcBorders>
            <w:noWrap/>
          </w:tcPr>
          <w:p w14:paraId="044CA2BE" w14:textId="77777777" w:rsidR="00A47706" w:rsidRPr="001F7131" w:rsidRDefault="00A47706" w:rsidP="00F73F79">
            <w:pPr>
              <w:pStyle w:val="Geenafstand"/>
            </w:pPr>
            <w:r w:rsidRPr="001F7131">
              <w:t>64 (65</w:t>
            </w:r>
            <w:r>
              <w:t>.</w:t>
            </w:r>
            <w:r w:rsidRPr="001F7131">
              <w:t>3%)</w:t>
            </w:r>
          </w:p>
        </w:tc>
        <w:tc>
          <w:tcPr>
            <w:tcW w:w="1434" w:type="dxa"/>
            <w:tcBorders>
              <w:bottom w:val="single" w:sz="4" w:space="0" w:color="4F81BD" w:themeColor="accent1"/>
            </w:tcBorders>
            <w:noWrap/>
          </w:tcPr>
          <w:p w14:paraId="0B0C0814" w14:textId="77777777" w:rsidR="00A47706" w:rsidRPr="001F7131" w:rsidRDefault="00A47706" w:rsidP="00F73F79">
            <w:pPr>
              <w:pStyle w:val="Geenafstand"/>
            </w:pPr>
            <w:r w:rsidRPr="001F7131">
              <w:t>24 (63</w:t>
            </w:r>
            <w:r>
              <w:t>.</w:t>
            </w:r>
            <w:r w:rsidRPr="001F7131">
              <w:t>2%)</w:t>
            </w:r>
          </w:p>
        </w:tc>
        <w:tc>
          <w:tcPr>
            <w:tcW w:w="958" w:type="dxa"/>
            <w:tcBorders>
              <w:bottom w:val="single" w:sz="4" w:space="0" w:color="4F81BD" w:themeColor="accent1"/>
            </w:tcBorders>
            <w:noWrap/>
          </w:tcPr>
          <w:p w14:paraId="679E8B74" w14:textId="77777777" w:rsidR="00A47706" w:rsidRPr="001F7131" w:rsidRDefault="00A47706" w:rsidP="00F73F79">
            <w:pPr>
              <w:pStyle w:val="Geenafstand"/>
            </w:pPr>
          </w:p>
        </w:tc>
      </w:tr>
    </w:tbl>
    <w:p w14:paraId="6EF49E05" w14:textId="6A3B2186" w:rsidR="009940CE" w:rsidRDefault="005D5F1D" w:rsidP="00362D02">
      <w:pPr>
        <w:pStyle w:val="Geenafstand"/>
        <w:jc w:val="both"/>
      </w:pPr>
      <w:r>
        <w:rPr>
          <w:u w:val="single"/>
        </w:rPr>
        <w:br/>
      </w:r>
      <w:r w:rsidR="00FD0D8F" w:rsidRPr="00156348">
        <w:rPr>
          <w:u w:val="single"/>
        </w:rPr>
        <w:t>Legend:</w:t>
      </w:r>
      <w:r w:rsidR="00FD0D8F" w:rsidRPr="00156348">
        <w:t xml:space="preserve"> NYHA class: a functional classification that catalogues the extent/severity of heart failure, range I to IV, </w:t>
      </w:r>
      <w:r w:rsidR="00101A51" w:rsidRPr="00156348">
        <w:t>class I &amp; II = limited restriction secondary to heart failure, class III &amp; IV = moderate to</w:t>
      </w:r>
      <w:r w:rsidR="00FD0D8F" w:rsidRPr="00156348">
        <w:t xml:space="preserve"> severe limitati</w:t>
      </w:r>
      <w:r w:rsidR="00101A51" w:rsidRPr="00156348">
        <w:t xml:space="preserve">on secondary to heart failure. </w:t>
      </w:r>
      <w:r w:rsidR="00FD0D8F" w:rsidRPr="00156348">
        <w:t>CACI: Charlson Age-Comorbidity Index, a combination of age and measure of comorbidity to predict the risk of mortality, high score</w:t>
      </w:r>
      <w:r w:rsidR="00AA56BA">
        <w:t xml:space="preserve"> </w:t>
      </w:r>
      <w:r w:rsidR="00FD0D8F" w:rsidRPr="00156348">
        <w:t xml:space="preserve">= higher risk to die. </w:t>
      </w:r>
      <w:r w:rsidR="00680A13">
        <w:t xml:space="preserve">KATZ scale: a scale used to describe basic activities of daily living such as washing, clothing, </w:t>
      </w:r>
      <w:r w:rsidR="00CD240F">
        <w:t xml:space="preserve">eating, mobility for short distances and urinary and faecal continence. Documented as ‘dependent’ for basic activities of daily living in case of need for assistance for at least one of these tasks. </w:t>
      </w:r>
      <w:r w:rsidR="00CD240F" w:rsidRPr="00CD240F">
        <w:t>The Lawton Instrumental Activities of D</w:t>
      </w:r>
      <w:r w:rsidR="00CD240F">
        <w:t>aily Living Scale (IADL) is an</w:t>
      </w:r>
      <w:r w:rsidR="00CD240F" w:rsidRPr="00CD240F">
        <w:t xml:space="preserve"> instrument to assess independent living skills</w:t>
      </w:r>
      <w:r w:rsidR="007F1527">
        <w:t xml:space="preserve">. These skills being the ability to use the telephone, </w:t>
      </w:r>
      <w:r w:rsidR="00F91ECB">
        <w:t xml:space="preserve">to do </w:t>
      </w:r>
      <w:r w:rsidR="007F1527">
        <w:t xml:space="preserve">laundry, food preparation, shopping, housekeeping, handle finance matters, responsibility for own medication and the mode of transportation patients use. A </w:t>
      </w:r>
      <w:r w:rsidR="007F1527" w:rsidRPr="007F1527">
        <w:t xml:space="preserve">score ranges from </w:t>
      </w:r>
      <w:r w:rsidR="007F1527">
        <w:t>0 (low function, dependent) to 6 (high function, independent), differences between men and women were left out in this dataset. GRP: Geriatric Risk</w:t>
      </w:r>
      <w:r w:rsidR="00FD0D8F" w:rsidRPr="00156348">
        <w:t xml:space="preserve"> Profile score, range 0-6, high score= high risk.</w:t>
      </w:r>
      <w:r w:rsidR="00970668">
        <w:t xml:space="preserve"> </w:t>
      </w:r>
      <w:r w:rsidR="000273EC">
        <w:t>A GRP score ≥ 2 was considered positive.</w:t>
      </w:r>
    </w:p>
    <w:p w14:paraId="39FE7146" w14:textId="395F26B2" w:rsidR="00795741" w:rsidRDefault="008D1529" w:rsidP="00362D02">
      <w:pPr>
        <w:pStyle w:val="Geenafstand"/>
        <w:jc w:val="both"/>
      </w:pPr>
      <w:r>
        <w:t>Percentage documented as percentage of people within the total number survivors/non-survivors.</w:t>
      </w:r>
      <w:r w:rsidR="00795741">
        <w:t xml:space="preserve"> Width of confidence intervals listed for means. </w:t>
      </w:r>
    </w:p>
    <w:p w14:paraId="4359A49F" w14:textId="77777777" w:rsidR="00C278D9" w:rsidRDefault="00C278D9">
      <w:pPr>
        <w:spacing w:line="276" w:lineRule="auto"/>
        <w:jc w:val="left"/>
        <w:rPr>
          <w:sz w:val="20"/>
          <w:szCs w:val="20"/>
        </w:rPr>
      </w:pPr>
      <w:r>
        <w:br w:type="page"/>
      </w:r>
    </w:p>
    <w:p w14:paraId="51FD2005" w14:textId="1521E896" w:rsidR="00C27056" w:rsidRPr="00F73F79" w:rsidRDefault="00C27056" w:rsidP="00CA146C">
      <w:pPr>
        <w:rPr>
          <w:rStyle w:val="Intensievebenadrukking"/>
        </w:rPr>
      </w:pPr>
      <w:r w:rsidRPr="00F73F79">
        <w:rPr>
          <w:rStyle w:val="Intensievebenadrukking"/>
        </w:rPr>
        <w:lastRenderedPageBreak/>
        <w:t xml:space="preserve">Figure 2A. Boxplot of systolic blood pressure by survival status for </w:t>
      </w:r>
      <w:proofErr w:type="spellStart"/>
      <w:r w:rsidRPr="00F73F79">
        <w:rPr>
          <w:rStyle w:val="Intensievebenadrukking"/>
        </w:rPr>
        <w:t>HFpEF</w:t>
      </w:r>
      <w:proofErr w:type="spellEnd"/>
      <w:r w:rsidRPr="00F73F79">
        <w:rPr>
          <w:rStyle w:val="Intensievebenadrukking"/>
        </w:rPr>
        <w:t xml:space="preserve"> vs. </w:t>
      </w:r>
      <w:proofErr w:type="spellStart"/>
      <w:r w:rsidRPr="00F73F79">
        <w:rPr>
          <w:rStyle w:val="Intensievebenadrukking"/>
        </w:rPr>
        <w:t>HFrEF</w:t>
      </w:r>
      <w:proofErr w:type="spellEnd"/>
    </w:p>
    <w:p w14:paraId="3FF9821C" w14:textId="3DD5B7F6" w:rsidR="00C27056" w:rsidRPr="00C27056" w:rsidRDefault="003322FA" w:rsidP="00CA146C">
      <w:pPr>
        <w:rPr>
          <w:rFonts w:cstheme="minorHAnsi"/>
          <w:color w:val="4F81BD" w:themeColor="accent1"/>
          <w:sz w:val="18"/>
          <w:szCs w:val="18"/>
          <w:lang w:val="en-US"/>
        </w:rPr>
      </w:pPr>
      <w:r>
        <w:rPr>
          <w:noProof/>
          <w:lang w:eastAsia="en-GB"/>
        </w:rPr>
        <w:drawing>
          <wp:inline distT="0" distB="0" distL="0" distR="0" wp14:anchorId="4AFF253E" wp14:editId="731C8381">
            <wp:extent cx="5731510" cy="3243560"/>
            <wp:effectExtent l="0" t="0" r="254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5260"/>
                    <a:stretch/>
                  </pic:blipFill>
                  <pic:spPr bwMode="auto">
                    <a:xfrm>
                      <a:off x="0" y="0"/>
                      <a:ext cx="5731510" cy="3243560"/>
                    </a:xfrm>
                    <a:prstGeom prst="rect">
                      <a:avLst/>
                    </a:prstGeom>
                    <a:ln>
                      <a:noFill/>
                    </a:ln>
                    <a:extLst>
                      <a:ext uri="{53640926-AAD7-44D8-BBD7-CCE9431645EC}">
                        <a14:shadowObscured xmlns:a14="http://schemas.microsoft.com/office/drawing/2010/main"/>
                      </a:ext>
                    </a:extLst>
                  </pic:spPr>
                </pic:pic>
              </a:graphicData>
            </a:graphic>
          </wp:inline>
        </w:drawing>
      </w:r>
    </w:p>
    <w:p w14:paraId="0CDA23F8" w14:textId="58D0053F" w:rsidR="00C27056" w:rsidRPr="00F73F79" w:rsidRDefault="00C27056" w:rsidP="00CA146C">
      <w:pPr>
        <w:rPr>
          <w:rStyle w:val="Intensievebenadrukking"/>
        </w:rPr>
      </w:pPr>
      <w:r w:rsidRPr="00F73F79">
        <w:rPr>
          <w:rStyle w:val="Intensievebenadrukking"/>
        </w:rPr>
        <w:t xml:space="preserve">Figure 2B. Boxplot of </w:t>
      </w:r>
      <w:r w:rsidR="00FD108E">
        <w:rPr>
          <w:rStyle w:val="Intensievebenadrukking"/>
        </w:rPr>
        <w:t xml:space="preserve">Age Adjusted </w:t>
      </w:r>
      <w:r w:rsidRPr="00F73F79">
        <w:rPr>
          <w:rStyle w:val="Intensievebenadrukking"/>
        </w:rPr>
        <w:t xml:space="preserve">Charlson Comorbidity Index by survival status for </w:t>
      </w:r>
      <w:proofErr w:type="spellStart"/>
      <w:r w:rsidRPr="00F73F79">
        <w:rPr>
          <w:rStyle w:val="Intensievebenadrukking"/>
        </w:rPr>
        <w:t>HFpEF</w:t>
      </w:r>
      <w:proofErr w:type="spellEnd"/>
      <w:r w:rsidRPr="00F73F79">
        <w:rPr>
          <w:rStyle w:val="Intensievebenadrukking"/>
        </w:rPr>
        <w:t xml:space="preserve"> vs. </w:t>
      </w:r>
      <w:proofErr w:type="spellStart"/>
      <w:r w:rsidRPr="00F73F79">
        <w:rPr>
          <w:rStyle w:val="Intensievebenadrukking"/>
        </w:rPr>
        <w:t>HFrEF</w:t>
      </w:r>
      <w:proofErr w:type="spellEnd"/>
    </w:p>
    <w:p w14:paraId="0D8A442C" w14:textId="72BD0809" w:rsidR="00C27056" w:rsidRDefault="003322FA" w:rsidP="00CA146C">
      <w:r>
        <w:rPr>
          <w:noProof/>
          <w:lang w:eastAsia="en-GB"/>
        </w:rPr>
        <w:drawing>
          <wp:inline distT="0" distB="0" distL="0" distR="0" wp14:anchorId="58EA3841" wp14:editId="7E0CF1CF">
            <wp:extent cx="5731510" cy="3416036"/>
            <wp:effectExtent l="0" t="0" r="254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4756"/>
                    <a:stretch/>
                  </pic:blipFill>
                  <pic:spPr bwMode="auto">
                    <a:xfrm>
                      <a:off x="0" y="0"/>
                      <a:ext cx="5731510" cy="3416036"/>
                    </a:xfrm>
                    <a:prstGeom prst="rect">
                      <a:avLst/>
                    </a:prstGeom>
                    <a:ln>
                      <a:noFill/>
                    </a:ln>
                    <a:extLst>
                      <a:ext uri="{53640926-AAD7-44D8-BBD7-CCE9431645EC}">
                        <a14:shadowObscured xmlns:a14="http://schemas.microsoft.com/office/drawing/2010/main"/>
                      </a:ext>
                    </a:extLst>
                  </pic:spPr>
                </pic:pic>
              </a:graphicData>
            </a:graphic>
          </wp:inline>
        </w:drawing>
      </w:r>
    </w:p>
    <w:p w14:paraId="48166BF1" w14:textId="086D8A48" w:rsidR="006E2D07" w:rsidRPr="00921E64" w:rsidRDefault="00921E64" w:rsidP="00CA146C">
      <w:pPr>
        <w:rPr>
          <w:lang w:val="en-US"/>
        </w:rPr>
      </w:pPr>
      <w:r>
        <w:rPr>
          <w:lang w:val="en-US"/>
        </w:rPr>
        <w:t xml:space="preserve">In the logistic and Cox regression variables with a p-value &lt; 0.2 in the univariate analysis were included. In order to specifically look for a potential difference between patients with </w:t>
      </w:r>
      <w:proofErr w:type="spellStart"/>
      <w:r>
        <w:rPr>
          <w:lang w:val="en-US"/>
        </w:rPr>
        <w:t>HFrEF</w:t>
      </w:r>
      <w:proofErr w:type="spellEnd"/>
      <w:r>
        <w:rPr>
          <w:lang w:val="en-US"/>
        </w:rPr>
        <w:t xml:space="preserve"> </w:t>
      </w:r>
      <w:r>
        <w:rPr>
          <w:lang w:val="en-US"/>
        </w:rPr>
        <w:lastRenderedPageBreak/>
        <w:t xml:space="preserve">and </w:t>
      </w:r>
      <w:proofErr w:type="spellStart"/>
      <w:r>
        <w:rPr>
          <w:lang w:val="en-US"/>
        </w:rPr>
        <w:t>HFpEF</w:t>
      </w:r>
      <w:proofErr w:type="spellEnd"/>
      <w:r>
        <w:rPr>
          <w:lang w:val="en-US"/>
        </w:rPr>
        <w:t>, the type of heart failure was also included as a covariate and an interaction term was checked for each variable according to type of heart failure. All interaction terms were not statistically significant</w:t>
      </w:r>
      <w:r w:rsidR="00FA122F">
        <w:rPr>
          <w:lang w:val="en-US"/>
        </w:rPr>
        <w:t xml:space="preserve"> and thus were left out from the final model as presented in Table 2</w:t>
      </w:r>
      <w:r>
        <w:rPr>
          <w:lang w:val="en-US"/>
        </w:rPr>
        <w:t>. The odds of mortality decrease</w:t>
      </w:r>
      <w:r w:rsidR="006033B8">
        <w:rPr>
          <w:lang w:val="en-US"/>
        </w:rPr>
        <w:t>d</w:t>
      </w:r>
      <w:r>
        <w:rPr>
          <w:lang w:val="en-US"/>
        </w:rPr>
        <w:t xml:space="preserve"> in patients with higher systolic blood pressure</w:t>
      </w:r>
      <w:r w:rsidR="00080DFA">
        <w:rPr>
          <w:lang w:val="en-US"/>
        </w:rPr>
        <w:t xml:space="preserve"> at discharge</w:t>
      </w:r>
      <w:r>
        <w:rPr>
          <w:lang w:val="en-US"/>
        </w:rPr>
        <w:t xml:space="preserve"> (4% per unit/mmHg blood pressure) (</w:t>
      </w:r>
      <w:r>
        <w:rPr>
          <w:i/>
          <w:iCs/>
          <w:lang w:val="en-US"/>
        </w:rPr>
        <w:t xml:space="preserve">p = </w:t>
      </w:r>
      <w:r w:rsidRPr="008B6363">
        <w:rPr>
          <w:i/>
          <w:iCs/>
          <w:lang w:val="en-US"/>
        </w:rPr>
        <w:t>0.001</w:t>
      </w:r>
      <w:r>
        <w:rPr>
          <w:lang w:val="en-US"/>
        </w:rPr>
        <w:t>) and increase</w:t>
      </w:r>
      <w:r w:rsidR="006033B8">
        <w:rPr>
          <w:lang w:val="en-US"/>
        </w:rPr>
        <w:t>d</w:t>
      </w:r>
      <w:r>
        <w:rPr>
          <w:lang w:val="en-US"/>
        </w:rPr>
        <w:t xml:space="preserve"> in patients with a higher </w:t>
      </w:r>
      <w:r w:rsidR="00F1550C">
        <w:rPr>
          <w:lang w:val="en-US"/>
        </w:rPr>
        <w:t xml:space="preserve">age adjusted </w:t>
      </w:r>
      <w:r>
        <w:rPr>
          <w:lang w:val="en-US"/>
        </w:rPr>
        <w:t>Charlson Comorbidity index (34% per extra ‘point’ on the Charlson comorbidity index) (</w:t>
      </w:r>
      <w:r>
        <w:rPr>
          <w:i/>
          <w:iCs/>
          <w:lang w:val="en-US"/>
        </w:rPr>
        <w:t>p = 0.002</w:t>
      </w:r>
      <w:r>
        <w:rPr>
          <w:lang w:val="en-US"/>
        </w:rPr>
        <w:t>)</w:t>
      </w:r>
      <w:r w:rsidR="004E3287">
        <w:rPr>
          <w:lang w:val="en-US"/>
        </w:rPr>
        <w:t xml:space="preserve"> [</w:t>
      </w:r>
      <w:r w:rsidRPr="004E3287">
        <w:rPr>
          <w:iCs/>
          <w:lang w:val="en-US"/>
        </w:rPr>
        <w:t>Table 2</w:t>
      </w:r>
      <w:r w:rsidR="004E3287" w:rsidRPr="004E3287">
        <w:rPr>
          <w:iCs/>
          <w:lang w:val="en-US"/>
        </w:rPr>
        <w:t>].</w:t>
      </w:r>
    </w:p>
    <w:p w14:paraId="62C5C459" w14:textId="2C74B8A7" w:rsidR="004365A8" w:rsidRPr="00F73F79" w:rsidRDefault="00C875DF" w:rsidP="00CA146C">
      <w:pPr>
        <w:rPr>
          <w:rStyle w:val="Intensievebenadrukking"/>
        </w:rPr>
      </w:pPr>
      <w:r w:rsidRPr="00F73F79">
        <w:rPr>
          <w:rStyle w:val="Intensievebenadrukking"/>
        </w:rPr>
        <w:t xml:space="preserve">Table </w:t>
      </w:r>
      <w:r w:rsidR="00C03070" w:rsidRPr="00F73F79">
        <w:rPr>
          <w:rStyle w:val="Intensievebenadrukking"/>
        </w:rPr>
        <w:t>2</w:t>
      </w:r>
      <w:r w:rsidRPr="00F73F79">
        <w:rPr>
          <w:rStyle w:val="Intensievebenadrukking"/>
        </w:rPr>
        <w:t xml:space="preserve">. </w:t>
      </w:r>
      <w:r w:rsidR="00C03070" w:rsidRPr="00F73F79">
        <w:rPr>
          <w:rStyle w:val="Intensievebenadrukking"/>
        </w:rPr>
        <w:t>Logistic</w:t>
      </w:r>
      <w:r w:rsidRPr="00F73F79">
        <w:rPr>
          <w:rStyle w:val="Intensievebenadrukking"/>
        </w:rPr>
        <w:t xml:space="preserve"> regression to evaluate</w:t>
      </w:r>
      <w:r w:rsidR="00406EA4" w:rsidRPr="00F73F79">
        <w:rPr>
          <w:rStyle w:val="Intensievebenadrukking"/>
        </w:rPr>
        <w:t xml:space="preserve"> odds of</w:t>
      </w:r>
      <w:r w:rsidR="00C03070" w:rsidRPr="00F73F79">
        <w:rPr>
          <w:rStyle w:val="Intensievebenadrukking"/>
        </w:rPr>
        <w:t xml:space="preserve"> one-year mortality</w:t>
      </w:r>
    </w:p>
    <w:tbl>
      <w:tblPr>
        <w:tblStyle w:val="Tabelrasterlicht1"/>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1013"/>
        <w:gridCol w:w="1418"/>
        <w:gridCol w:w="1397"/>
        <w:gridCol w:w="1250"/>
      </w:tblGrid>
      <w:tr w:rsidR="00B622D1" w:rsidRPr="00CD3112" w14:paraId="759475D6" w14:textId="01848DCF" w:rsidTr="00B622D1">
        <w:trPr>
          <w:trHeight w:val="194"/>
        </w:trPr>
        <w:tc>
          <w:tcPr>
            <w:tcW w:w="3948" w:type="dxa"/>
            <w:tcBorders>
              <w:top w:val="single" w:sz="12" w:space="0" w:color="4F81BD" w:themeColor="accent1"/>
              <w:bottom w:val="single" w:sz="12" w:space="0" w:color="4F81BD" w:themeColor="accent1"/>
            </w:tcBorders>
            <w:noWrap/>
            <w:hideMark/>
          </w:tcPr>
          <w:p w14:paraId="580A6DC3" w14:textId="77777777" w:rsidR="00790FEA" w:rsidRPr="00F73F79" w:rsidRDefault="00790FEA" w:rsidP="00F73F79">
            <w:pPr>
              <w:pStyle w:val="Geenafstand"/>
              <w:rPr>
                <w:b/>
                <w:bCs/>
                <w:lang w:val="en-US"/>
              </w:rPr>
            </w:pPr>
            <w:r w:rsidRPr="00F73F79">
              <w:rPr>
                <w:b/>
                <w:bCs/>
                <w:lang w:val="en-US"/>
              </w:rPr>
              <w:t> </w:t>
            </w:r>
          </w:p>
        </w:tc>
        <w:tc>
          <w:tcPr>
            <w:tcW w:w="1013" w:type="dxa"/>
            <w:tcBorders>
              <w:top w:val="single" w:sz="12" w:space="0" w:color="4F81BD" w:themeColor="accent1"/>
              <w:bottom w:val="single" w:sz="12" w:space="0" w:color="4F81BD" w:themeColor="accent1"/>
            </w:tcBorders>
            <w:noWrap/>
            <w:hideMark/>
          </w:tcPr>
          <w:p w14:paraId="35F7482C" w14:textId="77777777" w:rsidR="00790FEA" w:rsidRPr="00F73F79" w:rsidRDefault="00790FEA" w:rsidP="00F73F79">
            <w:pPr>
              <w:pStyle w:val="Geenafstand"/>
              <w:rPr>
                <w:b/>
                <w:bCs/>
              </w:rPr>
            </w:pPr>
          </w:p>
          <w:p w14:paraId="21BB735F" w14:textId="77777777" w:rsidR="00790FEA" w:rsidRPr="00F73F79" w:rsidRDefault="00790FEA" w:rsidP="00F73F79">
            <w:pPr>
              <w:pStyle w:val="Geenafstand"/>
              <w:rPr>
                <w:b/>
                <w:bCs/>
              </w:rPr>
            </w:pPr>
          </w:p>
          <w:p w14:paraId="6799C400" w14:textId="77777777" w:rsidR="00B622D1" w:rsidRDefault="00790FEA" w:rsidP="00F73F79">
            <w:pPr>
              <w:pStyle w:val="Geenafstand"/>
              <w:rPr>
                <w:b/>
                <w:bCs/>
              </w:rPr>
            </w:pPr>
            <w:r w:rsidRPr="00F73F79">
              <w:rPr>
                <w:b/>
                <w:bCs/>
              </w:rPr>
              <w:t xml:space="preserve">Odds </w:t>
            </w:r>
          </w:p>
          <w:p w14:paraId="5DFAA16D" w14:textId="5B6FB5AE" w:rsidR="00790FEA" w:rsidRPr="00F73F79" w:rsidRDefault="001757F1" w:rsidP="00F73F79">
            <w:pPr>
              <w:pStyle w:val="Geenafstand"/>
              <w:rPr>
                <w:b/>
                <w:bCs/>
              </w:rPr>
            </w:pPr>
            <w:r>
              <w:rPr>
                <w:b/>
                <w:bCs/>
              </w:rPr>
              <w:t>r</w:t>
            </w:r>
            <w:r w:rsidR="00790FEA" w:rsidRPr="00F73F79">
              <w:rPr>
                <w:b/>
                <w:bCs/>
              </w:rPr>
              <w:t>atio</w:t>
            </w:r>
          </w:p>
        </w:tc>
        <w:tc>
          <w:tcPr>
            <w:tcW w:w="1418" w:type="dxa"/>
            <w:tcBorders>
              <w:top w:val="single" w:sz="12" w:space="0" w:color="4F81BD" w:themeColor="accent1"/>
              <w:bottom w:val="single" w:sz="12" w:space="0" w:color="4F81BD" w:themeColor="accent1"/>
            </w:tcBorders>
            <w:noWrap/>
            <w:hideMark/>
          </w:tcPr>
          <w:p w14:paraId="7FD4E5E0" w14:textId="697CC120" w:rsidR="00790FEA" w:rsidRPr="00F73F79" w:rsidRDefault="00790FEA" w:rsidP="00F73F79">
            <w:pPr>
              <w:pStyle w:val="Geenafstand"/>
              <w:rPr>
                <w:b/>
                <w:bCs/>
              </w:rPr>
            </w:pPr>
            <w:r w:rsidRPr="00F73F79">
              <w:rPr>
                <w:b/>
                <w:bCs/>
              </w:rPr>
              <w:t>95%</w:t>
            </w:r>
          </w:p>
          <w:p w14:paraId="57DBB34C" w14:textId="77777777" w:rsidR="001757F1" w:rsidRPr="00F73F79" w:rsidRDefault="001757F1" w:rsidP="001757F1">
            <w:pPr>
              <w:pStyle w:val="Geenafstand"/>
              <w:rPr>
                <w:b/>
                <w:bCs/>
              </w:rPr>
            </w:pPr>
            <w:r w:rsidRPr="00F73F79">
              <w:rPr>
                <w:b/>
                <w:bCs/>
              </w:rPr>
              <w:t xml:space="preserve">Confidence </w:t>
            </w:r>
          </w:p>
          <w:p w14:paraId="227A5635" w14:textId="77777777" w:rsidR="001757F1" w:rsidRPr="00F73F79" w:rsidRDefault="001757F1" w:rsidP="001757F1">
            <w:pPr>
              <w:pStyle w:val="Geenafstand"/>
              <w:rPr>
                <w:b/>
                <w:bCs/>
              </w:rPr>
            </w:pPr>
            <w:r w:rsidRPr="00F73F79">
              <w:rPr>
                <w:b/>
                <w:bCs/>
              </w:rPr>
              <w:t>Interval</w:t>
            </w:r>
          </w:p>
          <w:p w14:paraId="730FAA69" w14:textId="1446A716" w:rsidR="00790FEA" w:rsidRPr="00F73F79" w:rsidRDefault="00790FEA" w:rsidP="00F73F79">
            <w:pPr>
              <w:pStyle w:val="Geenafstand"/>
              <w:rPr>
                <w:b/>
                <w:bCs/>
              </w:rPr>
            </w:pPr>
            <w:r w:rsidRPr="00F73F79">
              <w:rPr>
                <w:b/>
                <w:bCs/>
              </w:rPr>
              <w:t>Lower</w:t>
            </w:r>
          </w:p>
        </w:tc>
        <w:tc>
          <w:tcPr>
            <w:tcW w:w="1397" w:type="dxa"/>
            <w:tcBorders>
              <w:top w:val="single" w:sz="12" w:space="0" w:color="4F81BD" w:themeColor="accent1"/>
              <w:bottom w:val="single" w:sz="12" w:space="0" w:color="4F81BD" w:themeColor="accent1"/>
            </w:tcBorders>
            <w:noWrap/>
            <w:hideMark/>
          </w:tcPr>
          <w:p w14:paraId="55CA901D" w14:textId="77777777" w:rsidR="00B622D1" w:rsidRDefault="00B622D1" w:rsidP="00F73F79">
            <w:pPr>
              <w:pStyle w:val="Geenafstand"/>
              <w:rPr>
                <w:b/>
                <w:bCs/>
              </w:rPr>
            </w:pPr>
            <w:r>
              <w:rPr>
                <w:b/>
                <w:bCs/>
              </w:rPr>
              <w:t>95%</w:t>
            </w:r>
          </w:p>
          <w:p w14:paraId="17580A3F" w14:textId="31FD1991" w:rsidR="00790FEA" w:rsidRPr="00F73F79" w:rsidRDefault="00790FEA" w:rsidP="00F73F79">
            <w:pPr>
              <w:pStyle w:val="Geenafstand"/>
              <w:rPr>
                <w:b/>
                <w:bCs/>
              </w:rPr>
            </w:pPr>
            <w:r w:rsidRPr="00F73F79">
              <w:rPr>
                <w:b/>
                <w:bCs/>
              </w:rPr>
              <w:t xml:space="preserve">Confidence </w:t>
            </w:r>
          </w:p>
          <w:p w14:paraId="52BAAB48" w14:textId="7AC53AEC" w:rsidR="00790FEA" w:rsidRPr="00F73F79" w:rsidRDefault="00790FEA" w:rsidP="00F73F79">
            <w:pPr>
              <w:pStyle w:val="Geenafstand"/>
              <w:rPr>
                <w:b/>
                <w:bCs/>
              </w:rPr>
            </w:pPr>
            <w:r w:rsidRPr="00F73F79">
              <w:rPr>
                <w:b/>
                <w:bCs/>
              </w:rPr>
              <w:t>Interval</w:t>
            </w:r>
          </w:p>
          <w:p w14:paraId="3B0979DA" w14:textId="0147CAB3" w:rsidR="00790FEA" w:rsidRPr="00F73F79" w:rsidRDefault="00790FEA" w:rsidP="00F73F79">
            <w:pPr>
              <w:pStyle w:val="Geenafstand"/>
              <w:rPr>
                <w:b/>
                <w:bCs/>
              </w:rPr>
            </w:pPr>
            <w:r w:rsidRPr="00F73F79">
              <w:rPr>
                <w:b/>
                <w:bCs/>
              </w:rPr>
              <w:t>Upper</w:t>
            </w:r>
          </w:p>
        </w:tc>
        <w:tc>
          <w:tcPr>
            <w:tcW w:w="1250" w:type="dxa"/>
            <w:tcBorders>
              <w:top w:val="single" w:sz="12" w:space="0" w:color="4F81BD" w:themeColor="accent1"/>
              <w:bottom w:val="single" w:sz="12" w:space="0" w:color="4F81BD" w:themeColor="accent1"/>
            </w:tcBorders>
          </w:tcPr>
          <w:p w14:paraId="3DC3BFA5" w14:textId="77777777" w:rsidR="009A7597" w:rsidRDefault="009A7597" w:rsidP="00F73F79">
            <w:pPr>
              <w:pStyle w:val="Geenafstand"/>
              <w:rPr>
                <w:b/>
                <w:bCs/>
              </w:rPr>
            </w:pPr>
          </w:p>
          <w:p w14:paraId="68C46FCA" w14:textId="77777777" w:rsidR="009A7597" w:rsidRDefault="009A7597" w:rsidP="00F73F79">
            <w:pPr>
              <w:pStyle w:val="Geenafstand"/>
              <w:rPr>
                <w:b/>
                <w:bCs/>
              </w:rPr>
            </w:pPr>
          </w:p>
          <w:p w14:paraId="5BCDD4FB" w14:textId="0DEA18C1" w:rsidR="00790FEA" w:rsidRDefault="00790FEA" w:rsidP="00F73F79">
            <w:pPr>
              <w:pStyle w:val="Geenafstand"/>
              <w:rPr>
                <w:b/>
                <w:bCs/>
              </w:rPr>
            </w:pPr>
            <w:r w:rsidRPr="00F73F79">
              <w:rPr>
                <w:b/>
                <w:bCs/>
              </w:rPr>
              <w:t>Significance</w:t>
            </w:r>
          </w:p>
          <w:p w14:paraId="5540DD71" w14:textId="027092A1" w:rsidR="00790FEA" w:rsidRPr="00F73F79" w:rsidRDefault="00790FEA" w:rsidP="00F73F79">
            <w:pPr>
              <w:pStyle w:val="Geenafstand"/>
              <w:rPr>
                <w:b/>
                <w:bCs/>
              </w:rPr>
            </w:pPr>
            <w:r w:rsidRPr="00F73F79">
              <w:rPr>
                <w:b/>
                <w:bCs/>
              </w:rPr>
              <w:t xml:space="preserve">P value </w:t>
            </w:r>
          </w:p>
        </w:tc>
      </w:tr>
      <w:tr w:rsidR="00B622D1" w:rsidRPr="00CD3112" w14:paraId="7DDEE936" w14:textId="347C2E71" w:rsidTr="00B622D1">
        <w:trPr>
          <w:trHeight w:val="30"/>
        </w:trPr>
        <w:tc>
          <w:tcPr>
            <w:tcW w:w="3948" w:type="dxa"/>
            <w:tcBorders>
              <w:top w:val="single" w:sz="12" w:space="0" w:color="4F81BD" w:themeColor="accent1"/>
              <w:bottom w:val="single" w:sz="4" w:space="0" w:color="4F81BD" w:themeColor="accent1"/>
            </w:tcBorders>
            <w:noWrap/>
          </w:tcPr>
          <w:p w14:paraId="5B79842F" w14:textId="40272885" w:rsidR="00790FEA" w:rsidRPr="00F73F79" w:rsidRDefault="00790FEA" w:rsidP="00F73F79">
            <w:pPr>
              <w:pStyle w:val="Geenafstand"/>
              <w:rPr>
                <w:b/>
                <w:bCs/>
                <w:lang w:val="en-US"/>
              </w:rPr>
            </w:pPr>
            <w:r w:rsidRPr="00F73F79">
              <w:rPr>
                <w:b/>
                <w:bCs/>
                <w:lang w:val="en-US"/>
              </w:rPr>
              <w:t>Gender</w:t>
            </w:r>
          </w:p>
        </w:tc>
        <w:tc>
          <w:tcPr>
            <w:tcW w:w="1013" w:type="dxa"/>
            <w:tcBorders>
              <w:top w:val="single" w:sz="12" w:space="0" w:color="4F81BD" w:themeColor="accent1"/>
              <w:bottom w:val="single" w:sz="4" w:space="0" w:color="4F81BD" w:themeColor="accent1"/>
            </w:tcBorders>
            <w:noWrap/>
          </w:tcPr>
          <w:p w14:paraId="6A29DA29" w14:textId="2F6D2BB7" w:rsidR="00790FEA" w:rsidRPr="001F7131" w:rsidRDefault="00790FEA" w:rsidP="00F73F79">
            <w:pPr>
              <w:pStyle w:val="Geenafstand"/>
            </w:pPr>
            <w:r>
              <w:t>0.520</w:t>
            </w:r>
          </w:p>
        </w:tc>
        <w:tc>
          <w:tcPr>
            <w:tcW w:w="1418" w:type="dxa"/>
            <w:tcBorders>
              <w:top w:val="single" w:sz="12" w:space="0" w:color="4F81BD" w:themeColor="accent1"/>
              <w:bottom w:val="single" w:sz="4" w:space="0" w:color="4F81BD" w:themeColor="accent1"/>
            </w:tcBorders>
            <w:noWrap/>
          </w:tcPr>
          <w:p w14:paraId="62A34629" w14:textId="1EBF99E4" w:rsidR="00790FEA" w:rsidRPr="001F7131" w:rsidRDefault="00790FEA" w:rsidP="00F73F79">
            <w:pPr>
              <w:pStyle w:val="Geenafstand"/>
            </w:pPr>
            <w:r>
              <w:t>0.225</w:t>
            </w:r>
          </w:p>
        </w:tc>
        <w:tc>
          <w:tcPr>
            <w:tcW w:w="1397" w:type="dxa"/>
            <w:tcBorders>
              <w:top w:val="single" w:sz="12" w:space="0" w:color="4F81BD" w:themeColor="accent1"/>
              <w:bottom w:val="single" w:sz="4" w:space="0" w:color="4F81BD" w:themeColor="accent1"/>
            </w:tcBorders>
            <w:noWrap/>
          </w:tcPr>
          <w:p w14:paraId="2CC788FC" w14:textId="0FCF477B" w:rsidR="00790FEA" w:rsidRPr="001F7131" w:rsidRDefault="00790FEA" w:rsidP="00F73F79">
            <w:pPr>
              <w:pStyle w:val="Geenafstand"/>
            </w:pPr>
            <w:r>
              <w:t>1.202</w:t>
            </w:r>
          </w:p>
        </w:tc>
        <w:tc>
          <w:tcPr>
            <w:tcW w:w="1250" w:type="dxa"/>
            <w:tcBorders>
              <w:top w:val="single" w:sz="12" w:space="0" w:color="4F81BD" w:themeColor="accent1"/>
              <w:bottom w:val="single" w:sz="4" w:space="0" w:color="4F81BD" w:themeColor="accent1"/>
            </w:tcBorders>
          </w:tcPr>
          <w:p w14:paraId="1B0E63B2" w14:textId="33B5DE1D" w:rsidR="00790FEA" w:rsidRDefault="00790FEA" w:rsidP="00F73F79">
            <w:pPr>
              <w:pStyle w:val="Geenafstand"/>
            </w:pPr>
            <w:r>
              <w:t>0.126</w:t>
            </w:r>
          </w:p>
        </w:tc>
      </w:tr>
      <w:tr w:rsidR="00B622D1" w:rsidRPr="00CD3112" w14:paraId="1661EEEC" w14:textId="12135173" w:rsidTr="00B622D1">
        <w:trPr>
          <w:trHeight w:val="159"/>
        </w:trPr>
        <w:tc>
          <w:tcPr>
            <w:tcW w:w="3948" w:type="dxa"/>
            <w:tcBorders>
              <w:top w:val="single" w:sz="4" w:space="0" w:color="4F81BD" w:themeColor="accent1"/>
            </w:tcBorders>
            <w:noWrap/>
          </w:tcPr>
          <w:p w14:paraId="4446A21C" w14:textId="09BC01F7" w:rsidR="00790FEA" w:rsidRPr="00F73F79" w:rsidRDefault="00790FEA" w:rsidP="00F73F79">
            <w:pPr>
              <w:pStyle w:val="Geenafstand"/>
              <w:rPr>
                <w:b/>
                <w:bCs/>
              </w:rPr>
            </w:pPr>
            <w:r w:rsidRPr="00F73F79">
              <w:rPr>
                <w:b/>
                <w:bCs/>
              </w:rPr>
              <w:t>Age adjusted Charlson Comorbidity Index</w:t>
            </w:r>
          </w:p>
        </w:tc>
        <w:tc>
          <w:tcPr>
            <w:tcW w:w="1013" w:type="dxa"/>
            <w:tcBorders>
              <w:top w:val="single" w:sz="4" w:space="0" w:color="4F81BD" w:themeColor="accent1"/>
            </w:tcBorders>
            <w:noWrap/>
          </w:tcPr>
          <w:p w14:paraId="17BF6B22" w14:textId="548F8AB2" w:rsidR="00790FEA" w:rsidRPr="001F7131" w:rsidRDefault="00790FEA" w:rsidP="00F73F79">
            <w:pPr>
              <w:pStyle w:val="Geenafstand"/>
            </w:pPr>
            <w:r>
              <w:t>1.344</w:t>
            </w:r>
          </w:p>
        </w:tc>
        <w:tc>
          <w:tcPr>
            <w:tcW w:w="1418" w:type="dxa"/>
            <w:tcBorders>
              <w:top w:val="single" w:sz="4" w:space="0" w:color="4F81BD" w:themeColor="accent1"/>
            </w:tcBorders>
            <w:noWrap/>
          </w:tcPr>
          <w:p w14:paraId="257DC3C8" w14:textId="454B51C3" w:rsidR="00790FEA" w:rsidRPr="001F7131" w:rsidRDefault="00790FEA" w:rsidP="00F73F79">
            <w:pPr>
              <w:pStyle w:val="Geenafstand"/>
            </w:pPr>
            <w:r>
              <w:t>1.114</w:t>
            </w:r>
          </w:p>
        </w:tc>
        <w:tc>
          <w:tcPr>
            <w:tcW w:w="1397" w:type="dxa"/>
            <w:tcBorders>
              <w:top w:val="single" w:sz="4" w:space="0" w:color="4F81BD" w:themeColor="accent1"/>
            </w:tcBorders>
            <w:noWrap/>
          </w:tcPr>
          <w:p w14:paraId="64CC8D9F" w14:textId="4185D480" w:rsidR="00790FEA" w:rsidRPr="00CD4180" w:rsidRDefault="00790FEA" w:rsidP="00F73F79">
            <w:pPr>
              <w:pStyle w:val="Geenafstand"/>
            </w:pPr>
            <w:r>
              <w:t>1.623</w:t>
            </w:r>
          </w:p>
        </w:tc>
        <w:tc>
          <w:tcPr>
            <w:tcW w:w="1250" w:type="dxa"/>
            <w:tcBorders>
              <w:top w:val="single" w:sz="4" w:space="0" w:color="4F81BD" w:themeColor="accent1"/>
            </w:tcBorders>
          </w:tcPr>
          <w:p w14:paraId="0A285B95" w14:textId="6316DE25" w:rsidR="00790FEA" w:rsidRDefault="00790FEA" w:rsidP="00F73F79">
            <w:pPr>
              <w:pStyle w:val="Geenafstand"/>
            </w:pPr>
            <w:r>
              <w:t>0.002</w:t>
            </w:r>
          </w:p>
        </w:tc>
      </w:tr>
      <w:tr w:rsidR="00B622D1" w:rsidRPr="00CD3112" w14:paraId="5EFAF9C5" w14:textId="494E1C73" w:rsidTr="00B622D1">
        <w:trPr>
          <w:trHeight w:val="50"/>
        </w:trPr>
        <w:tc>
          <w:tcPr>
            <w:tcW w:w="3948" w:type="dxa"/>
            <w:tcBorders>
              <w:top w:val="single" w:sz="4" w:space="0" w:color="4F81BD" w:themeColor="accent1"/>
              <w:bottom w:val="single" w:sz="4" w:space="0" w:color="4F81BD" w:themeColor="accent1"/>
            </w:tcBorders>
            <w:noWrap/>
            <w:hideMark/>
          </w:tcPr>
          <w:p w14:paraId="65C1A9F7" w14:textId="181C7A74" w:rsidR="00790FEA" w:rsidRPr="00F73F79" w:rsidRDefault="00790FEA" w:rsidP="00F73F79">
            <w:pPr>
              <w:pStyle w:val="Geenafstand"/>
              <w:rPr>
                <w:b/>
                <w:bCs/>
              </w:rPr>
            </w:pPr>
            <w:r w:rsidRPr="00F73F79">
              <w:rPr>
                <w:b/>
                <w:bCs/>
              </w:rPr>
              <w:t>Type of Heart failure (</w:t>
            </w:r>
            <w:proofErr w:type="spellStart"/>
            <w:r w:rsidRPr="00F73F79">
              <w:rPr>
                <w:b/>
                <w:bCs/>
              </w:rPr>
              <w:t>HFrEF</w:t>
            </w:r>
            <w:proofErr w:type="spellEnd"/>
            <w:r w:rsidRPr="00F73F79">
              <w:rPr>
                <w:b/>
                <w:bCs/>
              </w:rPr>
              <w:t xml:space="preserve"> vs </w:t>
            </w:r>
            <w:proofErr w:type="spellStart"/>
            <w:r w:rsidRPr="00F73F79">
              <w:rPr>
                <w:b/>
                <w:bCs/>
              </w:rPr>
              <w:t>HFpEF</w:t>
            </w:r>
            <w:proofErr w:type="spellEnd"/>
            <w:r w:rsidRPr="00F73F79">
              <w:rPr>
                <w:b/>
                <w:bCs/>
              </w:rPr>
              <w:t xml:space="preserve">) </w:t>
            </w:r>
          </w:p>
        </w:tc>
        <w:tc>
          <w:tcPr>
            <w:tcW w:w="1013" w:type="dxa"/>
            <w:tcBorders>
              <w:top w:val="single" w:sz="4" w:space="0" w:color="4F81BD" w:themeColor="accent1"/>
              <w:bottom w:val="single" w:sz="4" w:space="0" w:color="4F81BD" w:themeColor="accent1"/>
            </w:tcBorders>
            <w:noWrap/>
            <w:hideMark/>
          </w:tcPr>
          <w:p w14:paraId="5D391AA9" w14:textId="35E3E74A" w:rsidR="00790FEA" w:rsidRPr="001F7131" w:rsidRDefault="00790FEA" w:rsidP="00F73F79">
            <w:pPr>
              <w:pStyle w:val="Geenafstand"/>
            </w:pPr>
            <w:r>
              <w:t>0.642</w:t>
            </w:r>
          </w:p>
        </w:tc>
        <w:tc>
          <w:tcPr>
            <w:tcW w:w="1418" w:type="dxa"/>
            <w:tcBorders>
              <w:top w:val="single" w:sz="4" w:space="0" w:color="4F81BD" w:themeColor="accent1"/>
              <w:bottom w:val="single" w:sz="4" w:space="0" w:color="4F81BD" w:themeColor="accent1"/>
            </w:tcBorders>
            <w:noWrap/>
            <w:hideMark/>
          </w:tcPr>
          <w:p w14:paraId="72C0AF31" w14:textId="2B7D2D63" w:rsidR="00790FEA" w:rsidRPr="001F7131" w:rsidRDefault="00790FEA" w:rsidP="00F73F79">
            <w:pPr>
              <w:pStyle w:val="Geenafstand"/>
            </w:pPr>
            <w:r>
              <w:t>0.262</w:t>
            </w:r>
          </w:p>
        </w:tc>
        <w:tc>
          <w:tcPr>
            <w:tcW w:w="1397" w:type="dxa"/>
            <w:tcBorders>
              <w:top w:val="single" w:sz="4" w:space="0" w:color="4F81BD" w:themeColor="accent1"/>
              <w:bottom w:val="single" w:sz="4" w:space="0" w:color="4F81BD" w:themeColor="accent1"/>
            </w:tcBorders>
            <w:noWrap/>
            <w:hideMark/>
          </w:tcPr>
          <w:p w14:paraId="650DD6EC" w14:textId="66ABF2B7" w:rsidR="00790FEA" w:rsidRPr="00CD4180" w:rsidRDefault="00790FEA" w:rsidP="00F73F79">
            <w:pPr>
              <w:pStyle w:val="Geenafstand"/>
            </w:pPr>
            <w:r>
              <w:t>1.574</w:t>
            </w:r>
          </w:p>
        </w:tc>
        <w:tc>
          <w:tcPr>
            <w:tcW w:w="1250" w:type="dxa"/>
            <w:tcBorders>
              <w:top w:val="single" w:sz="4" w:space="0" w:color="4F81BD" w:themeColor="accent1"/>
              <w:bottom w:val="single" w:sz="4" w:space="0" w:color="4F81BD" w:themeColor="accent1"/>
            </w:tcBorders>
          </w:tcPr>
          <w:p w14:paraId="54A63FE4" w14:textId="7F551997" w:rsidR="00790FEA" w:rsidRDefault="00790FEA" w:rsidP="00F73F79">
            <w:pPr>
              <w:pStyle w:val="Geenafstand"/>
            </w:pPr>
            <w:r>
              <w:t>0.333</w:t>
            </w:r>
          </w:p>
        </w:tc>
      </w:tr>
      <w:tr w:rsidR="00B622D1" w:rsidRPr="00CD3112" w14:paraId="648FF24C" w14:textId="08EDFF0C" w:rsidTr="00B622D1">
        <w:trPr>
          <w:trHeight w:val="50"/>
        </w:trPr>
        <w:tc>
          <w:tcPr>
            <w:tcW w:w="3948" w:type="dxa"/>
            <w:tcBorders>
              <w:top w:val="single" w:sz="4" w:space="0" w:color="4F81BD" w:themeColor="accent1"/>
              <w:bottom w:val="single" w:sz="4" w:space="0" w:color="4F81BD" w:themeColor="accent1"/>
            </w:tcBorders>
            <w:noWrap/>
          </w:tcPr>
          <w:p w14:paraId="75A70DD5" w14:textId="4201514C" w:rsidR="00790FEA" w:rsidRPr="00F73F79" w:rsidRDefault="00790FEA" w:rsidP="00F73F79">
            <w:pPr>
              <w:pStyle w:val="Geenafstand"/>
              <w:rPr>
                <w:b/>
                <w:bCs/>
              </w:rPr>
            </w:pPr>
            <w:r w:rsidRPr="00F73F79">
              <w:rPr>
                <w:b/>
                <w:bCs/>
              </w:rPr>
              <w:t>NYHA class (I/II vs. III/IV)</w:t>
            </w:r>
          </w:p>
        </w:tc>
        <w:tc>
          <w:tcPr>
            <w:tcW w:w="1013" w:type="dxa"/>
            <w:tcBorders>
              <w:top w:val="single" w:sz="4" w:space="0" w:color="4F81BD" w:themeColor="accent1"/>
              <w:bottom w:val="single" w:sz="4" w:space="0" w:color="4F81BD" w:themeColor="accent1"/>
            </w:tcBorders>
            <w:noWrap/>
          </w:tcPr>
          <w:p w14:paraId="0958A513" w14:textId="33CF858D" w:rsidR="00790FEA" w:rsidRPr="001F7131" w:rsidRDefault="00790FEA" w:rsidP="00F73F79">
            <w:pPr>
              <w:pStyle w:val="Geenafstand"/>
            </w:pPr>
            <w:r>
              <w:t>2.024</w:t>
            </w:r>
          </w:p>
        </w:tc>
        <w:tc>
          <w:tcPr>
            <w:tcW w:w="1418" w:type="dxa"/>
            <w:tcBorders>
              <w:top w:val="single" w:sz="4" w:space="0" w:color="4F81BD" w:themeColor="accent1"/>
              <w:bottom w:val="single" w:sz="4" w:space="0" w:color="4F81BD" w:themeColor="accent1"/>
            </w:tcBorders>
            <w:noWrap/>
          </w:tcPr>
          <w:p w14:paraId="28C17F41" w14:textId="008C445E" w:rsidR="00790FEA" w:rsidRPr="001F7131" w:rsidRDefault="00790FEA" w:rsidP="00F73F79">
            <w:pPr>
              <w:pStyle w:val="Geenafstand"/>
            </w:pPr>
            <w:r>
              <w:t>0.806</w:t>
            </w:r>
          </w:p>
        </w:tc>
        <w:tc>
          <w:tcPr>
            <w:tcW w:w="1397" w:type="dxa"/>
            <w:tcBorders>
              <w:top w:val="single" w:sz="4" w:space="0" w:color="4F81BD" w:themeColor="accent1"/>
              <w:bottom w:val="single" w:sz="4" w:space="0" w:color="4F81BD" w:themeColor="accent1"/>
            </w:tcBorders>
            <w:noWrap/>
          </w:tcPr>
          <w:p w14:paraId="223BA0AE" w14:textId="2AB025ED" w:rsidR="00790FEA" w:rsidRPr="00CD4180" w:rsidRDefault="00790FEA" w:rsidP="00F73F79">
            <w:pPr>
              <w:pStyle w:val="Geenafstand"/>
            </w:pPr>
            <w:r>
              <w:t>5.086</w:t>
            </w:r>
          </w:p>
        </w:tc>
        <w:tc>
          <w:tcPr>
            <w:tcW w:w="1250" w:type="dxa"/>
            <w:tcBorders>
              <w:top w:val="single" w:sz="4" w:space="0" w:color="4F81BD" w:themeColor="accent1"/>
              <w:bottom w:val="single" w:sz="4" w:space="0" w:color="4F81BD" w:themeColor="accent1"/>
            </w:tcBorders>
          </w:tcPr>
          <w:p w14:paraId="2D5E3472" w14:textId="7EC3A220" w:rsidR="00790FEA" w:rsidRDefault="00790FEA" w:rsidP="00F73F79">
            <w:pPr>
              <w:pStyle w:val="Geenafstand"/>
            </w:pPr>
            <w:r>
              <w:t>0.133</w:t>
            </w:r>
          </w:p>
        </w:tc>
      </w:tr>
      <w:tr w:rsidR="00B622D1" w:rsidRPr="00CD3112" w14:paraId="4D1421A9" w14:textId="120EBF07" w:rsidTr="00B622D1">
        <w:trPr>
          <w:trHeight w:val="50"/>
        </w:trPr>
        <w:tc>
          <w:tcPr>
            <w:tcW w:w="3948" w:type="dxa"/>
            <w:tcBorders>
              <w:top w:val="single" w:sz="4" w:space="0" w:color="4F81BD" w:themeColor="accent1"/>
            </w:tcBorders>
            <w:noWrap/>
          </w:tcPr>
          <w:p w14:paraId="706530A5" w14:textId="67BEE17E" w:rsidR="00790FEA" w:rsidRPr="00F73F79" w:rsidRDefault="00790FEA" w:rsidP="00F73F79">
            <w:pPr>
              <w:pStyle w:val="Geenafstand"/>
              <w:rPr>
                <w:b/>
                <w:bCs/>
              </w:rPr>
            </w:pPr>
            <w:r w:rsidRPr="00F73F79">
              <w:rPr>
                <w:b/>
                <w:bCs/>
              </w:rPr>
              <w:t>Systolic Blood pressure</w:t>
            </w:r>
            <w:r w:rsidR="00080DFA">
              <w:rPr>
                <w:b/>
                <w:bCs/>
              </w:rPr>
              <w:t xml:space="preserve"> at discharge</w:t>
            </w:r>
          </w:p>
        </w:tc>
        <w:tc>
          <w:tcPr>
            <w:tcW w:w="1013" w:type="dxa"/>
            <w:tcBorders>
              <w:top w:val="single" w:sz="4" w:space="0" w:color="4F81BD" w:themeColor="accent1"/>
            </w:tcBorders>
            <w:noWrap/>
          </w:tcPr>
          <w:p w14:paraId="50C2132D" w14:textId="549F197A" w:rsidR="00790FEA" w:rsidRPr="001F7131" w:rsidRDefault="00790FEA" w:rsidP="00F73F79">
            <w:pPr>
              <w:pStyle w:val="Geenafstand"/>
            </w:pPr>
            <w:r>
              <w:t>0.963</w:t>
            </w:r>
          </w:p>
        </w:tc>
        <w:tc>
          <w:tcPr>
            <w:tcW w:w="1418" w:type="dxa"/>
            <w:tcBorders>
              <w:top w:val="single" w:sz="4" w:space="0" w:color="4F81BD" w:themeColor="accent1"/>
            </w:tcBorders>
            <w:noWrap/>
          </w:tcPr>
          <w:p w14:paraId="40668CD3" w14:textId="32CAFA04" w:rsidR="00790FEA" w:rsidRPr="001F7131" w:rsidRDefault="00790FEA" w:rsidP="00F73F79">
            <w:pPr>
              <w:pStyle w:val="Geenafstand"/>
            </w:pPr>
            <w:r>
              <w:t>0.941</w:t>
            </w:r>
          </w:p>
        </w:tc>
        <w:tc>
          <w:tcPr>
            <w:tcW w:w="1397" w:type="dxa"/>
            <w:tcBorders>
              <w:top w:val="single" w:sz="4" w:space="0" w:color="4F81BD" w:themeColor="accent1"/>
            </w:tcBorders>
            <w:noWrap/>
          </w:tcPr>
          <w:p w14:paraId="39354E93" w14:textId="307DEB0B" w:rsidR="00790FEA" w:rsidRPr="00CD4180" w:rsidRDefault="00790FEA" w:rsidP="00F73F79">
            <w:pPr>
              <w:pStyle w:val="Geenafstand"/>
            </w:pPr>
            <w:r>
              <w:t>0.985</w:t>
            </w:r>
          </w:p>
        </w:tc>
        <w:tc>
          <w:tcPr>
            <w:tcW w:w="1250" w:type="dxa"/>
            <w:tcBorders>
              <w:top w:val="single" w:sz="4" w:space="0" w:color="4F81BD" w:themeColor="accent1"/>
            </w:tcBorders>
          </w:tcPr>
          <w:p w14:paraId="5AC31934" w14:textId="65F16AAE" w:rsidR="00790FEA" w:rsidRDefault="00790FEA" w:rsidP="00F73F79">
            <w:pPr>
              <w:pStyle w:val="Geenafstand"/>
            </w:pPr>
            <w:r>
              <w:t>0.001</w:t>
            </w:r>
          </w:p>
        </w:tc>
      </w:tr>
    </w:tbl>
    <w:p w14:paraId="7356C4B8" w14:textId="26D9A793" w:rsidR="004365A8" w:rsidRPr="001F7131" w:rsidRDefault="004365A8" w:rsidP="00CA146C"/>
    <w:p w14:paraId="5EF9B296" w14:textId="0B56BA85" w:rsidR="00921E64" w:rsidRDefault="00921E64" w:rsidP="00CA146C">
      <w:r>
        <w:t>The Cox regression showed that rate of mortality increase</w:t>
      </w:r>
      <w:r w:rsidR="00911BF2">
        <w:t>d</w:t>
      </w:r>
      <w:r>
        <w:t xml:space="preserve"> with 27% per higher score/unit on the </w:t>
      </w:r>
      <w:r w:rsidR="009B3F34">
        <w:t xml:space="preserve">age adjusted </w:t>
      </w:r>
      <w:r>
        <w:t>Charlson Comorbidity Index (</w:t>
      </w:r>
      <w:r w:rsidRPr="00CC6F9D">
        <w:rPr>
          <w:i/>
          <w:iCs/>
        </w:rPr>
        <w:t>p = 0.0</w:t>
      </w:r>
      <w:r>
        <w:rPr>
          <w:i/>
          <w:iCs/>
        </w:rPr>
        <w:t>01</w:t>
      </w:r>
      <w:r>
        <w:t>) and decrease</w:t>
      </w:r>
      <w:r w:rsidR="00911BF2">
        <w:t>d</w:t>
      </w:r>
      <w:r>
        <w:t xml:space="preserve"> with 3% per higher unit/systolic blood pressure</w:t>
      </w:r>
      <w:r w:rsidR="00F86832">
        <w:t xml:space="preserve"> at discharge</w:t>
      </w:r>
      <w:r>
        <w:t xml:space="preserve"> (</w:t>
      </w:r>
      <w:r w:rsidRPr="001A528B">
        <w:rPr>
          <w:i/>
          <w:iCs/>
        </w:rPr>
        <w:t>p &lt; 0.001</w:t>
      </w:r>
      <w:r>
        <w:t xml:space="preserve">) </w:t>
      </w:r>
      <w:r w:rsidR="004B1E23">
        <w:t>[</w:t>
      </w:r>
      <w:r w:rsidRPr="004B1E23">
        <w:rPr>
          <w:iCs/>
        </w:rPr>
        <w:t>Table 3</w:t>
      </w:r>
      <w:r w:rsidR="004B1E23">
        <w:t>].</w:t>
      </w:r>
    </w:p>
    <w:p w14:paraId="2C451795" w14:textId="54AA1F07" w:rsidR="00EF51C6" w:rsidRDefault="00921E64" w:rsidP="00CA146C">
      <w:r>
        <w:t>Gender, type of heart failure and NYHA class were not statistically associated with status and/or rate of mortality.</w:t>
      </w:r>
    </w:p>
    <w:p w14:paraId="27B9FCCB" w14:textId="77777777" w:rsidR="00EF51C6" w:rsidRDefault="00EF51C6">
      <w:pPr>
        <w:spacing w:line="276" w:lineRule="auto"/>
        <w:jc w:val="left"/>
      </w:pPr>
      <w:r>
        <w:br w:type="page"/>
      </w:r>
    </w:p>
    <w:p w14:paraId="6A62799D" w14:textId="2AE84092" w:rsidR="00E80A25" w:rsidRPr="00F73F79" w:rsidRDefault="00E80A25" w:rsidP="00CA146C">
      <w:pPr>
        <w:rPr>
          <w:rStyle w:val="Intensievebenadrukking"/>
        </w:rPr>
      </w:pPr>
      <w:r w:rsidRPr="00F73F79">
        <w:rPr>
          <w:rStyle w:val="Intensievebenadrukking"/>
        </w:rPr>
        <w:lastRenderedPageBreak/>
        <w:t xml:space="preserve">Table </w:t>
      </w:r>
      <w:r w:rsidR="00F21E52" w:rsidRPr="00F73F79">
        <w:rPr>
          <w:rStyle w:val="Intensievebenadrukking"/>
        </w:rPr>
        <w:t>3.  Cox regression analysis</w:t>
      </w:r>
    </w:p>
    <w:tbl>
      <w:tblPr>
        <w:tblStyle w:val="Tabelrasterlicht1"/>
        <w:tblW w:w="9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271"/>
        <w:gridCol w:w="1281"/>
        <w:gridCol w:w="1183"/>
        <w:gridCol w:w="1528"/>
      </w:tblGrid>
      <w:tr w:rsidR="001D1A20" w:rsidRPr="00CD3112" w14:paraId="5B081677" w14:textId="67AA94F3" w:rsidTr="0031314C">
        <w:trPr>
          <w:trHeight w:val="194"/>
        </w:trPr>
        <w:tc>
          <w:tcPr>
            <w:tcW w:w="3969" w:type="dxa"/>
            <w:tcBorders>
              <w:top w:val="single" w:sz="12" w:space="0" w:color="4F81BD" w:themeColor="accent1"/>
              <w:bottom w:val="single" w:sz="12" w:space="0" w:color="4F81BD" w:themeColor="accent1"/>
            </w:tcBorders>
            <w:noWrap/>
            <w:hideMark/>
          </w:tcPr>
          <w:p w14:paraId="5EE0768B" w14:textId="77777777" w:rsidR="001D1A20" w:rsidRPr="00F73F79" w:rsidRDefault="001D1A20" w:rsidP="00F73F79">
            <w:pPr>
              <w:pStyle w:val="Geenafstand"/>
              <w:rPr>
                <w:b/>
                <w:bCs/>
                <w:lang w:val="en-US"/>
              </w:rPr>
            </w:pPr>
            <w:r w:rsidRPr="00F73F79">
              <w:rPr>
                <w:b/>
                <w:bCs/>
                <w:lang w:val="en-US"/>
              </w:rPr>
              <w:t> </w:t>
            </w:r>
          </w:p>
        </w:tc>
        <w:tc>
          <w:tcPr>
            <w:tcW w:w="1271" w:type="dxa"/>
            <w:tcBorders>
              <w:top w:val="single" w:sz="12" w:space="0" w:color="4F81BD" w:themeColor="accent1"/>
              <w:bottom w:val="single" w:sz="12" w:space="0" w:color="4F81BD" w:themeColor="accent1"/>
            </w:tcBorders>
            <w:noWrap/>
            <w:hideMark/>
          </w:tcPr>
          <w:p w14:paraId="7E85E896" w14:textId="77777777" w:rsidR="001D1A20" w:rsidRPr="00F73F79" w:rsidRDefault="001D1A20" w:rsidP="00F73F79">
            <w:pPr>
              <w:pStyle w:val="Geenafstand"/>
              <w:rPr>
                <w:b/>
                <w:bCs/>
              </w:rPr>
            </w:pPr>
          </w:p>
          <w:p w14:paraId="0389DB55" w14:textId="77777777" w:rsidR="001D1A20" w:rsidRPr="00F73F79" w:rsidRDefault="001D1A20" w:rsidP="00F73F79">
            <w:pPr>
              <w:pStyle w:val="Geenafstand"/>
              <w:rPr>
                <w:b/>
                <w:bCs/>
              </w:rPr>
            </w:pPr>
          </w:p>
          <w:p w14:paraId="5AB00619" w14:textId="34E02D4E" w:rsidR="001D1A20" w:rsidRPr="00F73F79" w:rsidRDefault="001D1A20" w:rsidP="00F73F79">
            <w:pPr>
              <w:pStyle w:val="Geenafstand"/>
              <w:rPr>
                <w:b/>
                <w:bCs/>
              </w:rPr>
            </w:pPr>
            <w:r w:rsidRPr="00F73F79">
              <w:rPr>
                <w:b/>
                <w:bCs/>
              </w:rPr>
              <w:t>Hazard ratio</w:t>
            </w:r>
          </w:p>
        </w:tc>
        <w:tc>
          <w:tcPr>
            <w:tcW w:w="1281" w:type="dxa"/>
            <w:tcBorders>
              <w:top w:val="single" w:sz="12" w:space="0" w:color="4F81BD" w:themeColor="accent1"/>
              <w:bottom w:val="single" w:sz="12" w:space="0" w:color="4F81BD" w:themeColor="accent1"/>
            </w:tcBorders>
            <w:noWrap/>
            <w:hideMark/>
          </w:tcPr>
          <w:p w14:paraId="0A30747D" w14:textId="759FD333" w:rsidR="001D1A20" w:rsidRPr="00F73F79" w:rsidRDefault="001D1A20" w:rsidP="00F73F79">
            <w:pPr>
              <w:pStyle w:val="Geenafstand"/>
              <w:rPr>
                <w:b/>
                <w:bCs/>
              </w:rPr>
            </w:pPr>
            <w:r w:rsidRPr="00F73F79">
              <w:rPr>
                <w:b/>
                <w:bCs/>
              </w:rPr>
              <w:t>95% Confidence Interval</w:t>
            </w:r>
          </w:p>
          <w:p w14:paraId="7FF1829F" w14:textId="77777777" w:rsidR="001D1A20" w:rsidRPr="00F73F79" w:rsidRDefault="001D1A20" w:rsidP="00F73F79">
            <w:pPr>
              <w:pStyle w:val="Geenafstand"/>
              <w:rPr>
                <w:b/>
                <w:bCs/>
              </w:rPr>
            </w:pPr>
            <w:r w:rsidRPr="00F73F79">
              <w:rPr>
                <w:b/>
                <w:bCs/>
              </w:rPr>
              <w:t>Lower</w:t>
            </w:r>
          </w:p>
        </w:tc>
        <w:tc>
          <w:tcPr>
            <w:tcW w:w="1134" w:type="dxa"/>
            <w:tcBorders>
              <w:top w:val="single" w:sz="12" w:space="0" w:color="4F81BD" w:themeColor="accent1"/>
              <w:bottom w:val="single" w:sz="12" w:space="0" w:color="4F81BD" w:themeColor="accent1"/>
            </w:tcBorders>
            <w:noWrap/>
            <w:hideMark/>
          </w:tcPr>
          <w:p w14:paraId="6EC9137A" w14:textId="77777777" w:rsidR="00C00CCB" w:rsidRPr="00F73F79" w:rsidRDefault="00C00CCB" w:rsidP="00C00CCB">
            <w:pPr>
              <w:pStyle w:val="Geenafstand"/>
              <w:rPr>
                <w:b/>
                <w:bCs/>
              </w:rPr>
            </w:pPr>
            <w:r w:rsidRPr="00F73F79">
              <w:rPr>
                <w:b/>
                <w:bCs/>
              </w:rPr>
              <w:t>95% Confidence Interval</w:t>
            </w:r>
          </w:p>
          <w:p w14:paraId="440DA88E" w14:textId="3A606708" w:rsidR="001D1A20" w:rsidRPr="00F73F79" w:rsidRDefault="001D1A20" w:rsidP="00F73F79">
            <w:pPr>
              <w:pStyle w:val="Geenafstand"/>
              <w:rPr>
                <w:b/>
                <w:bCs/>
              </w:rPr>
            </w:pPr>
            <w:r w:rsidRPr="00F73F79">
              <w:rPr>
                <w:b/>
                <w:bCs/>
              </w:rPr>
              <w:t>Upper</w:t>
            </w:r>
          </w:p>
        </w:tc>
        <w:tc>
          <w:tcPr>
            <w:tcW w:w="1577" w:type="dxa"/>
            <w:tcBorders>
              <w:top w:val="single" w:sz="12" w:space="0" w:color="4F81BD" w:themeColor="accent1"/>
              <w:bottom w:val="single" w:sz="12" w:space="0" w:color="4F81BD" w:themeColor="accent1"/>
            </w:tcBorders>
          </w:tcPr>
          <w:p w14:paraId="445EC4B7" w14:textId="77777777" w:rsidR="00EF51C6" w:rsidRDefault="00EF51C6" w:rsidP="00F73F79">
            <w:pPr>
              <w:pStyle w:val="Geenafstand"/>
              <w:rPr>
                <w:b/>
                <w:bCs/>
              </w:rPr>
            </w:pPr>
          </w:p>
          <w:p w14:paraId="33B9F4B9" w14:textId="77777777" w:rsidR="00EF51C6" w:rsidRDefault="00EF51C6" w:rsidP="00F73F79">
            <w:pPr>
              <w:pStyle w:val="Geenafstand"/>
              <w:rPr>
                <w:b/>
                <w:bCs/>
              </w:rPr>
            </w:pPr>
          </w:p>
          <w:p w14:paraId="07EFF4BB" w14:textId="0AD54B64" w:rsidR="001D1A20" w:rsidRPr="00F73F79" w:rsidRDefault="001D1A20" w:rsidP="00F73F79">
            <w:pPr>
              <w:pStyle w:val="Geenafstand"/>
              <w:rPr>
                <w:b/>
                <w:bCs/>
              </w:rPr>
            </w:pPr>
            <w:r w:rsidRPr="00F73F79">
              <w:rPr>
                <w:b/>
                <w:bCs/>
              </w:rPr>
              <w:t>Significance</w:t>
            </w:r>
          </w:p>
          <w:p w14:paraId="1621178E" w14:textId="1B8C6235" w:rsidR="001D1A20" w:rsidRPr="00F73F79" w:rsidRDefault="001D1A20" w:rsidP="00F73F79">
            <w:pPr>
              <w:pStyle w:val="Geenafstand"/>
              <w:rPr>
                <w:b/>
                <w:bCs/>
              </w:rPr>
            </w:pPr>
            <w:r w:rsidRPr="00F73F79">
              <w:rPr>
                <w:b/>
                <w:bCs/>
              </w:rPr>
              <w:t xml:space="preserve">P value </w:t>
            </w:r>
          </w:p>
        </w:tc>
      </w:tr>
      <w:tr w:rsidR="001D1A20" w:rsidRPr="00CD3112" w14:paraId="6F6C7C8D" w14:textId="0E915DEF" w:rsidTr="0031314C">
        <w:trPr>
          <w:trHeight w:val="30"/>
        </w:trPr>
        <w:tc>
          <w:tcPr>
            <w:tcW w:w="3969" w:type="dxa"/>
            <w:tcBorders>
              <w:top w:val="single" w:sz="12" w:space="0" w:color="4F81BD" w:themeColor="accent1"/>
              <w:bottom w:val="single" w:sz="4" w:space="0" w:color="4F81BD" w:themeColor="accent1"/>
            </w:tcBorders>
            <w:noWrap/>
          </w:tcPr>
          <w:p w14:paraId="6052CCFD" w14:textId="77777777" w:rsidR="001D1A20" w:rsidRPr="00F73F79" w:rsidRDefault="001D1A20" w:rsidP="00F73F79">
            <w:pPr>
              <w:pStyle w:val="Geenafstand"/>
              <w:rPr>
                <w:b/>
                <w:bCs/>
                <w:lang w:val="en-US"/>
              </w:rPr>
            </w:pPr>
            <w:r w:rsidRPr="00F73F79">
              <w:rPr>
                <w:b/>
                <w:bCs/>
                <w:lang w:val="en-US"/>
              </w:rPr>
              <w:t>Gender</w:t>
            </w:r>
          </w:p>
        </w:tc>
        <w:tc>
          <w:tcPr>
            <w:tcW w:w="1271" w:type="dxa"/>
            <w:tcBorders>
              <w:top w:val="single" w:sz="12" w:space="0" w:color="4F81BD" w:themeColor="accent1"/>
              <w:bottom w:val="single" w:sz="4" w:space="0" w:color="4F81BD" w:themeColor="accent1"/>
            </w:tcBorders>
            <w:noWrap/>
          </w:tcPr>
          <w:p w14:paraId="7C1EEF6D" w14:textId="776EEF7A" w:rsidR="001D1A20" w:rsidRPr="001F7131" w:rsidRDefault="001D1A20" w:rsidP="00F73F79">
            <w:pPr>
              <w:pStyle w:val="Geenafstand"/>
            </w:pPr>
            <w:r>
              <w:t>0.694</w:t>
            </w:r>
          </w:p>
        </w:tc>
        <w:tc>
          <w:tcPr>
            <w:tcW w:w="1281" w:type="dxa"/>
            <w:tcBorders>
              <w:top w:val="single" w:sz="12" w:space="0" w:color="4F81BD" w:themeColor="accent1"/>
              <w:bottom w:val="single" w:sz="4" w:space="0" w:color="4F81BD" w:themeColor="accent1"/>
            </w:tcBorders>
            <w:noWrap/>
          </w:tcPr>
          <w:p w14:paraId="49D42354" w14:textId="55678571" w:rsidR="001D1A20" w:rsidRPr="001F7131" w:rsidRDefault="001D1A20" w:rsidP="00F73F79">
            <w:pPr>
              <w:pStyle w:val="Geenafstand"/>
            </w:pPr>
            <w:r>
              <w:t>0.353</w:t>
            </w:r>
          </w:p>
        </w:tc>
        <w:tc>
          <w:tcPr>
            <w:tcW w:w="1134" w:type="dxa"/>
            <w:tcBorders>
              <w:top w:val="single" w:sz="12" w:space="0" w:color="4F81BD" w:themeColor="accent1"/>
              <w:bottom w:val="single" w:sz="4" w:space="0" w:color="4F81BD" w:themeColor="accent1"/>
            </w:tcBorders>
            <w:noWrap/>
          </w:tcPr>
          <w:p w14:paraId="6A5C3BBC" w14:textId="480B6793" w:rsidR="001D1A20" w:rsidRPr="001F7131" w:rsidRDefault="001D1A20" w:rsidP="00F73F79">
            <w:pPr>
              <w:pStyle w:val="Geenafstand"/>
            </w:pPr>
            <w:r>
              <w:t>1.361</w:t>
            </w:r>
          </w:p>
        </w:tc>
        <w:tc>
          <w:tcPr>
            <w:tcW w:w="1577" w:type="dxa"/>
            <w:tcBorders>
              <w:top w:val="single" w:sz="12" w:space="0" w:color="4F81BD" w:themeColor="accent1"/>
              <w:bottom w:val="single" w:sz="4" w:space="0" w:color="4F81BD" w:themeColor="accent1"/>
            </w:tcBorders>
          </w:tcPr>
          <w:p w14:paraId="79CD47E7" w14:textId="73A04E89" w:rsidR="001D1A20" w:rsidRDefault="001D1A20" w:rsidP="00F73F79">
            <w:pPr>
              <w:pStyle w:val="Geenafstand"/>
            </w:pPr>
            <w:r>
              <w:t>0.287</w:t>
            </w:r>
          </w:p>
        </w:tc>
      </w:tr>
      <w:tr w:rsidR="001D1A20" w:rsidRPr="00CD3112" w14:paraId="0B6D0F54" w14:textId="534C5DF5" w:rsidTr="0031314C">
        <w:trPr>
          <w:trHeight w:val="181"/>
        </w:trPr>
        <w:tc>
          <w:tcPr>
            <w:tcW w:w="3969" w:type="dxa"/>
            <w:tcBorders>
              <w:top w:val="single" w:sz="4" w:space="0" w:color="4F81BD" w:themeColor="accent1"/>
            </w:tcBorders>
            <w:noWrap/>
          </w:tcPr>
          <w:p w14:paraId="2FF32496" w14:textId="55A1C285" w:rsidR="001D1A20" w:rsidRPr="00F73F79" w:rsidRDefault="0031314C" w:rsidP="00F73F79">
            <w:pPr>
              <w:pStyle w:val="Geenafstand"/>
              <w:rPr>
                <w:b/>
                <w:bCs/>
              </w:rPr>
            </w:pPr>
            <w:r>
              <w:rPr>
                <w:b/>
                <w:bCs/>
              </w:rPr>
              <w:t xml:space="preserve">Age adjusted </w:t>
            </w:r>
            <w:r w:rsidR="001D1A20" w:rsidRPr="00F73F79">
              <w:rPr>
                <w:b/>
                <w:bCs/>
              </w:rPr>
              <w:t>Charlson Comorbidity Index</w:t>
            </w:r>
          </w:p>
        </w:tc>
        <w:tc>
          <w:tcPr>
            <w:tcW w:w="1271" w:type="dxa"/>
            <w:tcBorders>
              <w:top w:val="single" w:sz="4" w:space="0" w:color="4F81BD" w:themeColor="accent1"/>
            </w:tcBorders>
            <w:noWrap/>
          </w:tcPr>
          <w:p w14:paraId="352DC13B" w14:textId="4AB552F1" w:rsidR="001D1A20" w:rsidRPr="001F7131" w:rsidRDefault="001D1A20" w:rsidP="00F73F79">
            <w:pPr>
              <w:pStyle w:val="Geenafstand"/>
            </w:pPr>
            <w:r>
              <w:t>1.269</w:t>
            </w:r>
          </w:p>
        </w:tc>
        <w:tc>
          <w:tcPr>
            <w:tcW w:w="1281" w:type="dxa"/>
            <w:tcBorders>
              <w:top w:val="single" w:sz="4" w:space="0" w:color="4F81BD" w:themeColor="accent1"/>
            </w:tcBorders>
            <w:noWrap/>
          </w:tcPr>
          <w:p w14:paraId="375AB8B2" w14:textId="1ADE3774" w:rsidR="001D1A20" w:rsidRPr="001F7131" w:rsidRDefault="001D1A20" w:rsidP="00F73F79">
            <w:pPr>
              <w:pStyle w:val="Geenafstand"/>
            </w:pPr>
            <w:r>
              <w:t>1.101</w:t>
            </w:r>
          </w:p>
        </w:tc>
        <w:tc>
          <w:tcPr>
            <w:tcW w:w="1134" w:type="dxa"/>
            <w:tcBorders>
              <w:top w:val="single" w:sz="4" w:space="0" w:color="4F81BD" w:themeColor="accent1"/>
            </w:tcBorders>
            <w:noWrap/>
          </w:tcPr>
          <w:p w14:paraId="2E6C4A59" w14:textId="624036AB" w:rsidR="001D1A20" w:rsidRPr="00CD4180" w:rsidRDefault="001D1A20" w:rsidP="00F73F79">
            <w:pPr>
              <w:pStyle w:val="Geenafstand"/>
            </w:pPr>
            <w:r>
              <w:t>1.464</w:t>
            </w:r>
          </w:p>
        </w:tc>
        <w:tc>
          <w:tcPr>
            <w:tcW w:w="1577" w:type="dxa"/>
            <w:tcBorders>
              <w:top w:val="single" w:sz="4" w:space="0" w:color="4F81BD" w:themeColor="accent1"/>
            </w:tcBorders>
          </w:tcPr>
          <w:p w14:paraId="33BD4F34" w14:textId="67F1E251" w:rsidR="001D1A20" w:rsidRDefault="001D1A20" w:rsidP="00F73F79">
            <w:pPr>
              <w:pStyle w:val="Geenafstand"/>
            </w:pPr>
            <w:r>
              <w:t>0.001</w:t>
            </w:r>
          </w:p>
        </w:tc>
      </w:tr>
      <w:tr w:rsidR="001D1A20" w:rsidRPr="00CD3112" w14:paraId="275158E1" w14:textId="00945782" w:rsidTr="0031314C">
        <w:trPr>
          <w:trHeight w:val="50"/>
        </w:trPr>
        <w:tc>
          <w:tcPr>
            <w:tcW w:w="3969" w:type="dxa"/>
            <w:tcBorders>
              <w:top w:val="single" w:sz="4" w:space="0" w:color="4F81BD" w:themeColor="accent1"/>
              <w:bottom w:val="single" w:sz="4" w:space="0" w:color="4F81BD" w:themeColor="accent1"/>
            </w:tcBorders>
            <w:noWrap/>
            <w:hideMark/>
          </w:tcPr>
          <w:p w14:paraId="71F1B891" w14:textId="77777777" w:rsidR="001D1A20" w:rsidRPr="00F73F79" w:rsidRDefault="001D1A20" w:rsidP="00F73F79">
            <w:pPr>
              <w:pStyle w:val="Geenafstand"/>
              <w:rPr>
                <w:b/>
                <w:bCs/>
              </w:rPr>
            </w:pPr>
            <w:r w:rsidRPr="00F73F79">
              <w:rPr>
                <w:b/>
                <w:bCs/>
              </w:rPr>
              <w:t>Type of Heart failure (</w:t>
            </w:r>
            <w:proofErr w:type="spellStart"/>
            <w:r w:rsidRPr="00F73F79">
              <w:rPr>
                <w:b/>
                <w:bCs/>
              </w:rPr>
              <w:t>HFrEF</w:t>
            </w:r>
            <w:proofErr w:type="spellEnd"/>
            <w:r w:rsidRPr="00F73F79">
              <w:rPr>
                <w:b/>
                <w:bCs/>
              </w:rPr>
              <w:t xml:space="preserve"> vs </w:t>
            </w:r>
            <w:proofErr w:type="spellStart"/>
            <w:r w:rsidRPr="00F73F79">
              <w:rPr>
                <w:b/>
                <w:bCs/>
              </w:rPr>
              <w:t>HFpEF</w:t>
            </w:r>
            <w:proofErr w:type="spellEnd"/>
            <w:r w:rsidRPr="00F73F79">
              <w:rPr>
                <w:b/>
                <w:bCs/>
              </w:rPr>
              <w:t xml:space="preserve">) </w:t>
            </w:r>
          </w:p>
        </w:tc>
        <w:tc>
          <w:tcPr>
            <w:tcW w:w="1271" w:type="dxa"/>
            <w:tcBorders>
              <w:top w:val="single" w:sz="4" w:space="0" w:color="4F81BD" w:themeColor="accent1"/>
              <w:bottom w:val="single" w:sz="4" w:space="0" w:color="4F81BD" w:themeColor="accent1"/>
            </w:tcBorders>
            <w:noWrap/>
            <w:hideMark/>
          </w:tcPr>
          <w:p w14:paraId="52710ED4" w14:textId="772FE39B" w:rsidR="001D1A20" w:rsidRPr="001F7131" w:rsidRDefault="001D1A20" w:rsidP="00F73F79">
            <w:pPr>
              <w:pStyle w:val="Geenafstand"/>
            </w:pPr>
            <w:r>
              <w:t>0.835</w:t>
            </w:r>
          </w:p>
        </w:tc>
        <w:tc>
          <w:tcPr>
            <w:tcW w:w="1281" w:type="dxa"/>
            <w:tcBorders>
              <w:top w:val="single" w:sz="4" w:space="0" w:color="4F81BD" w:themeColor="accent1"/>
              <w:bottom w:val="single" w:sz="4" w:space="0" w:color="4F81BD" w:themeColor="accent1"/>
            </w:tcBorders>
            <w:noWrap/>
            <w:hideMark/>
          </w:tcPr>
          <w:p w14:paraId="5652C078" w14:textId="0C5CD370" w:rsidR="001D1A20" w:rsidRPr="001F7131" w:rsidRDefault="001D1A20" w:rsidP="00F73F79">
            <w:pPr>
              <w:pStyle w:val="Geenafstand"/>
            </w:pPr>
            <w:r>
              <w:t>0.425</w:t>
            </w:r>
          </w:p>
        </w:tc>
        <w:tc>
          <w:tcPr>
            <w:tcW w:w="1134" w:type="dxa"/>
            <w:tcBorders>
              <w:top w:val="single" w:sz="4" w:space="0" w:color="4F81BD" w:themeColor="accent1"/>
              <w:bottom w:val="single" w:sz="4" w:space="0" w:color="4F81BD" w:themeColor="accent1"/>
            </w:tcBorders>
            <w:noWrap/>
            <w:hideMark/>
          </w:tcPr>
          <w:p w14:paraId="3FAE932F" w14:textId="5674B02D" w:rsidR="001D1A20" w:rsidRPr="00CD4180" w:rsidRDefault="001D1A20" w:rsidP="00F73F79">
            <w:pPr>
              <w:pStyle w:val="Geenafstand"/>
            </w:pPr>
            <w:r w:rsidRPr="00CD4180">
              <w:t>1.6</w:t>
            </w:r>
            <w:r>
              <w:t>41</w:t>
            </w:r>
          </w:p>
        </w:tc>
        <w:tc>
          <w:tcPr>
            <w:tcW w:w="1577" w:type="dxa"/>
            <w:tcBorders>
              <w:top w:val="single" w:sz="4" w:space="0" w:color="4F81BD" w:themeColor="accent1"/>
              <w:bottom w:val="single" w:sz="4" w:space="0" w:color="4F81BD" w:themeColor="accent1"/>
            </w:tcBorders>
          </w:tcPr>
          <w:p w14:paraId="55EDD2FE" w14:textId="458423B4" w:rsidR="001D1A20" w:rsidRPr="00CD4180" w:rsidRDefault="001D1A20" w:rsidP="00F73F79">
            <w:pPr>
              <w:pStyle w:val="Geenafstand"/>
            </w:pPr>
            <w:r>
              <w:t>0.601</w:t>
            </w:r>
          </w:p>
        </w:tc>
      </w:tr>
      <w:tr w:rsidR="001D1A20" w:rsidRPr="00CD3112" w14:paraId="1AE8771E" w14:textId="1FC44008" w:rsidTr="0031314C">
        <w:trPr>
          <w:trHeight w:val="50"/>
        </w:trPr>
        <w:tc>
          <w:tcPr>
            <w:tcW w:w="3969" w:type="dxa"/>
            <w:tcBorders>
              <w:top w:val="single" w:sz="4" w:space="0" w:color="4F81BD" w:themeColor="accent1"/>
              <w:bottom w:val="single" w:sz="4" w:space="0" w:color="4F81BD" w:themeColor="accent1"/>
            </w:tcBorders>
            <w:noWrap/>
          </w:tcPr>
          <w:p w14:paraId="76CB6B4E" w14:textId="77777777" w:rsidR="001D1A20" w:rsidRPr="00F73F79" w:rsidRDefault="001D1A20" w:rsidP="00F73F79">
            <w:pPr>
              <w:pStyle w:val="Geenafstand"/>
              <w:rPr>
                <w:b/>
                <w:bCs/>
              </w:rPr>
            </w:pPr>
            <w:r w:rsidRPr="00F73F79">
              <w:rPr>
                <w:b/>
                <w:bCs/>
              </w:rPr>
              <w:t>NYHA class (I/II vs. III/IV)</w:t>
            </w:r>
          </w:p>
        </w:tc>
        <w:tc>
          <w:tcPr>
            <w:tcW w:w="1271" w:type="dxa"/>
            <w:tcBorders>
              <w:top w:val="single" w:sz="4" w:space="0" w:color="4F81BD" w:themeColor="accent1"/>
              <w:bottom w:val="single" w:sz="4" w:space="0" w:color="4F81BD" w:themeColor="accent1"/>
            </w:tcBorders>
            <w:noWrap/>
          </w:tcPr>
          <w:p w14:paraId="6282BA66" w14:textId="22E5AAEC" w:rsidR="001D1A20" w:rsidRPr="001F7131" w:rsidRDefault="001D1A20" w:rsidP="00F73F79">
            <w:pPr>
              <w:pStyle w:val="Geenafstand"/>
            </w:pPr>
            <w:r>
              <w:t>1.218</w:t>
            </w:r>
          </w:p>
        </w:tc>
        <w:tc>
          <w:tcPr>
            <w:tcW w:w="1281" w:type="dxa"/>
            <w:tcBorders>
              <w:top w:val="single" w:sz="4" w:space="0" w:color="4F81BD" w:themeColor="accent1"/>
              <w:bottom w:val="single" w:sz="4" w:space="0" w:color="4F81BD" w:themeColor="accent1"/>
            </w:tcBorders>
            <w:noWrap/>
          </w:tcPr>
          <w:p w14:paraId="4C35B964" w14:textId="08068AC0" w:rsidR="001D1A20" w:rsidRPr="001F7131" w:rsidRDefault="001D1A20" w:rsidP="00F73F79">
            <w:pPr>
              <w:pStyle w:val="Geenafstand"/>
            </w:pPr>
            <w:r>
              <w:t>0.572</w:t>
            </w:r>
          </w:p>
        </w:tc>
        <w:tc>
          <w:tcPr>
            <w:tcW w:w="1134" w:type="dxa"/>
            <w:tcBorders>
              <w:top w:val="single" w:sz="4" w:space="0" w:color="4F81BD" w:themeColor="accent1"/>
              <w:bottom w:val="single" w:sz="4" w:space="0" w:color="4F81BD" w:themeColor="accent1"/>
            </w:tcBorders>
            <w:noWrap/>
          </w:tcPr>
          <w:p w14:paraId="4415FF1B" w14:textId="335220CD" w:rsidR="001D1A20" w:rsidRPr="00CD4180" w:rsidRDefault="001D1A20" w:rsidP="00F73F79">
            <w:pPr>
              <w:pStyle w:val="Geenafstand"/>
            </w:pPr>
            <w:r>
              <w:t>2.591</w:t>
            </w:r>
          </w:p>
        </w:tc>
        <w:tc>
          <w:tcPr>
            <w:tcW w:w="1577" w:type="dxa"/>
            <w:tcBorders>
              <w:top w:val="single" w:sz="4" w:space="0" w:color="4F81BD" w:themeColor="accent1"/>
              <w:bottom w:val="single" w:sz="4" w:space="0" w:color="4F81BD" w:themeColor="accent1"/>
            </w:tcBorders>
          </w:tcPr>
          <w:p w14:paraId="46D9251C" w14:textId="795A87E7" w:rsidR="001D1A20" w:rsidRDefault="001D1A20" w:rsidP="00F73F79">
            <w:pPr>
              <w:pStyle w:val="Geenafstand"/>
            </w:pPr>
            <w:r>
              <w:t>0.609</w:t>
            </w:r>
          </w:p>
        </w:tc>
      </w:tr>
      <w:tr w:rsidR="001D1A20" w:rsidRPr="00CD3112" w14:paraId="00D87C30" w14:textId="1371717A" w:rsidTr="0031314C">
        <w:trPr>
          <w:trHeight w:val="34"/>
        </w:trPr>
        <w:tc>
          <w:tcPr>
            <w:tcW w:w="3969" w:type="dxa"/>
            <w:tcBorders>
              <w:top w:val="single" w:sz="4" w:space="0" w:color="4F81BD" w:themeColor="accent1"/>
            </w:tcBorders>
            <w:noWrap/>
          </w:tcPr>
          <w:p w14:paraId="632E783D" w14:textId="6EFA75EE" w:rsidR="001D1A20" w:rsidRPr="00F73F79" w:rsidRDefault="001D1A20" w:rsidP="00F73F79">
            <w:pPr>
              <w:pStyle w:val="Geenafstand"/>
              <w:rPr>
                <w:b/>
                <w:bCs/>
              </w:rPr>
            </w:pPr>
            <w:r w:rsidRPr="00F73F79">
              <w:rPr>
                <w:b/>
                <w:bCs/>
              </w:rPr>
              <w:t>Systolic Blood pressure</w:t>
            </w:r>
            <w:r w:rsidR="00080DFA">
              <w:rPr>
                <w:b/>
                <w:bCs/>
              </w:rPr>
              <w:t xml:space="preserve"> at discharge</w:t>
            </w:r>
          </w:p>
        </w:tc>
        <w:tc>
          <w:tcPr>
            <w:tcW w:w="1271" w:type="dxa"/>
            <w:tcBorders>
              <w:top w:val="single" w:sz="4" w:space="0" w:color="4F81BD" w:themeColor="accent1"/>
            </w:tcBorders>
            <w:noWrap/>
          </w:tcPr>
          <w:p w14:paraId="6C8A4765" w14:textId="63F29018" w:rsidR="001D1A20" w:rsidRPr="001F7131" w:rsidRDefault="001D1A20" w:rsidP="00F73F79">
            <w:pPr>
              <w:pStyle w:val="Geenafstand"/>
            </w:pPr>
            <w:r>
              <w:t>0.970</w:t>
            </w:r>
          </w:p>
        </w:tc>
        <w:tc>
          <w:tcPr>
            <w:tcW w:w="1281" w:type="dxa"/>
            <w:tcBorders>
              <w:top w:val="single" w:sz="4" w:space="0" w:color="4F81BD" w:themeColor="accent1"/>
            </w:tcBorders>
            <w:noWrap/>
          </w:tcPr>
          <w:p w14:paraId="0FE1CBE1" w14:textId="1C036449" w:rsidR="001D1A20" w:rsidRPr="001F7131" w:rsidRDefault="001D1A20" w:rsidP="00F73F79">
            <w:pPr>
              <w:pStyle w:val="Geenafstand"/>
            </w:pPr>
            <w:r>
              <w:t>0.952</w:t>
            </w:r>
          </w:p>
        </w:tc>
        <w:tc>
          <w:tcPr>
            <w:tcW w:w="1134" w:type="dxa"/>
            <w:tcBorders>
              <w:top w:val="single" w:sz="4" w:space="0" w:color="4F81BD" w:themeColor="accent1"/>
            </w:tcBorders>
            <w:noWrap/>
          </w:tcPr>
          <w:p w14:paraId="645736A6" w14:textId="2FFE6157" w:rsidR="001D1A20" w:rsidRPr="00CD4180" w:rsidRDefault="001D1A20" w:rsidP="00F73F79">
            <w:pPr>
              <w:pStyle w:val="Geenafstand"/>
            </w:pPr>
            <w:r>
              <w:t>0.987</w:t>
            </w:r>
          </w:p>
        </w:tc>
        <w:tc>
          <w:tcPr>
            <w:tcW w:w="1577" w:type="dxa"/>
            <w:tcBorders>
              <w:top w:val="single" w:sz="4" w:space="0" w:color="4F81BD" w:themeColor="accent1"/>
            </w:tcBorders>
          </w:tcPr>
          <w:p w14:paraId="021B01AF" w14:textId="6476D1A9" w:rsidR="001D1A20" w:rsidRDefault="001D1A20" w:rsidP="00F73F79">
            <w:pPr>
              <w:pStyle w:val="Geenafstand"/>
            </w:pPr>
            <w:r>
              <w:t>&lt;0.001</w:t>
            </w:r>
          </w:p>
        </w:tc>
      </w:tr>
    </w:tbl>
    <w:p w14:paraId="12C59B7B" w14:textId="792BC22B" w:rsidR="00034A8D" w:rsidRDefault="00B10A8C" w:rsidP="00917994">
      <w:pPr>
        <w:pStyle w:val="Kop1"/>
      </w:pPr>
      <w:r>
        <w:t>D</w:t>
      </w:r>
      <w:r w:rsidR="00D00A9C">
        <w:t>iscussion</w:t>
      </w:r>
    </w:p>
    <w:p w14:paraId="247E82D0" w14:textId="47579612" w:rsidR="00F778AF" w:rsidRDefault="00FA122F" w:rsidP="00CA146C">
      <w:r>
        <w:t xml:space="preserve">This study is one of the first combining cardiac and geriatric parameters as potential prognostic factors in an older heart failure population, with a focus on the difference between </w:t>
      </w:r>
      <w:proofErr w:type="spellStart"/>
      <w:r>
        <w:t>HFrEF</w:t>
      </w:r>
      <w:proofErr w:type="spellEnd"/>
      <w:r>
        <w:t xml:space="preserve"> and </w:t>
      </w:r>
      <w:proofErr w:type="spellStart"/>
      <w:r>
        <w:t>HFpEF</w:t>
      </w:r>
      <w:proofErr w:type="spellEnd"/>
      <w:r>
        <w:t>.</w:t>
      </w:r>
      <w:r w:rsidR="00EB5EBC" w:rsidRPr="00EB5EBC">
        <w:t xml:space="preserve"> </w:t>
      </w:r>
      <w:r>
        <w:t>S</w:t>
      </w:r>
      <w:r w:rsidR="00EB5EBC" w:rsidRPr="00EB5EBC">
        <w:t xml:space="preserve">ystolic blood pressure </w:t>
      </w:r>
      <w:r w:rsidR="005D74E5">
        <w:t xml:space="preserve">at discharge </w:t>
      </w:r>
      <w:r w:rsidR="00EB5EBC" w:rsidRPr="00EB5EBC">
        <w:t xml:space="preserve">and the extent of underlying comorbidities were predictive of status and rate of </w:t>
      </w:r>
      <w:r>
        <w:t xml:space="preserve">one-year </w:t>
      </w:r>
      <w:r w:rsidR="00EB5EBC" w:rsidRPr="00EB5EBC">
        <w:t>mortality</w:t>
      </w:r>
      <w:r w:rsidR="00CB19E5">
        <w:t xml:space="preserve"> in both types of heart failure</w:t>
      </w:r>
      <w:r w:rsidR="00EB5EBC" w:rsidRPr="00EB5EBC">
        <w:t>. None of the other parameters we studied, including basic and instr</w:t>
      </w:r>
      <w:r w:rsidR="00197280">
        <w:t>umental activities of daily livi</w:t>
      </w:r>
      <w:r w:rsidR="00EB5EBC" w:rsidRPr="00EB5EBC">
        <w:t xml:space="preserve">ng and the presence of a geriatric risk profile, </w:t>
      </w:r>
      <w:r>
        <w:t xml:space="preserve">were </w:t>
      </w:r>
      <w:r w:rsidR="00EB5EBC" w:rsidRPr="00EB5EBC">
        <w:t xml:space="preserve">predictive for one-year mortality in patients with </w:t>
      </w:r>
      <w:proofErr w:type="spellStart"/>
      <w:r w:rsidR="00EB5EBC" w:rsidRPr="00EB5EBC">
        <w:t>HFrEF</w:t>
      </w:r>
      <w:proofErr w:type="spellEnd"/>
      <w:r w:rsidR="00EB5EBC" w:rsidRPr="00EB5EBC">
        <w:t xml:space="preserve"> or </w:t>
      </w:r>
      <w:proofErr w:type="spellStart"/>
      <w:r w:rsidR="00EB5EBC" w:rsidRPr="00EB5EBC">
        <w:t>HFpEF</w:t>
      </w:r>
      <w:proofErr w:type="spellEnd"/>
      <w:r w:rsidR="00EB5EBC" w:rsidRPr="00EB5EBC">
        <w:t>.</w:t>
      </w:r>
      <w:r w:rsidR="00344184">
        <w:t xml:space="preserve"> </w:t>
      </w:r>
    </w:p>
    <w:p w14:paraId="20474139" w14:textId="60F0A5E4" w:rsidR="00C6628D" w:rsidRDefault="00F778AF" w:rsidP="00CA146C">
      <w:r>
        <w:t xml:space="preserve">Previous studies </w:t>
      </w:r>
      <w:r w:rsidR="00FA122F">
        <w:t xml:space="preserve">in heart failure patients </w:t>
      </w:r>
      <w:r w:rsidR="00AB4550">
        <w:t xml:space="preserve">did show </w:t>
      </w:r>
      <w:r>
        <w:t xml:space="preserve">that patients with </w:t>
      </w:r>
      <w:proofErr w:type="spellStart"/>
      <w:r>
        <w:t>HFpEF</w:t>
      </w:r>
      <w:proofErr w:type="spellEnd"/>
      <w:r>
        <w:t xml:space="preserve"> are more often female and have more severe comorbidities, which was not the case in our study. The fact that the patients in our cohort were old</w:t>
      </w:r>
      <w:r w:rsidR="00FA122F">
        <w:t>er</w:t>
      </w:r>
      <w:r>
        <w:t xml:space="preserve">, with a mean age of 84 years in </w:t>
      </w:r>
      <w:r w:rsidR="008876CC">
        <w:t>both patient groups, could potentially</w:t>
      </w:r>
      <w:r>
        <w:t xml:space="preserve"> explain why co</w:t>
      </w:r>
      <w:r w:rsidR="00410EA8">
        <w:t>morbidities were quite numerous</w:t>
      </w:r>
      <w:r>
        <w:t xml:space="preserve"> in both patient groups. </w:t>
      </w:r>
      <w:r w:rsidR="00FA122F">
        <w:t>S</w:t>
      </w:r>
      <w:r w:rsidR="00187D6B">
        <w:t xml:space="preserve">everal </w:t>
      </w:r>
      <w:r w:rsidR="00FA122F">
        <w:t xml:space="preserve">other </w:t>
      </w:r>
      <w:r w:rsidR="00187D6B">
        <w:t xml:space="preserve">studies focused on geriatric parameters as </w:t>
      </w:r>
      <w:r w:rsidR="00FA122F">
        <w:t xml:space="preserve">potential </w:t>
      </w:r>
      <w:r w:rsidR="00187D6B">
        <w:t>predictive parameter</w:t>
      </w:r>
      <w:r w:rsidR="00FA122F">
        <w:t>s</w:t>
      </w:r>
      <w:r w:rsidR="00187D6B">
        <w:t xml:space="preserve"> in older patients with heart failure</w:t>
      </w:r>
      <w:r w:rsidR="00D61434">
        <w:t xml:space="preserve"> </w:t>
      </w:r>
      <w:r w:rsidR="00F2112E">
        <w:t>[</w:t>
      </w:r>
      <w:r w:rsidR="00197280">
        <w:fldChar w:fldCharType="begin" w:fldLock="1"/>
      </w:r>
      <w:r w:rsidR="001854E1">
        <w:instrText>ADDIN CSL_CITATION {"citationItems":[{"id":"ITEM-1","itemData":{"DOI":"10.1002/ejhf.518","ISSN":"18790844","PMID":"27072307","abstract":"Aims: The aim of this study was to evaluate the prevalence, clinical features, and the independent impact of frailty—a geriatric syndrome characterized by the decline of physiological systems—and its components, on prognosis after heart failure (HF) hospitalization. Methods and results: FRAIL-HF is a prospective cohort study including 450 non-dependent patients ≥70 years old hospitalized for HF. Frailty was screened according to the biological phenotype criteria (low physical activity, weight loss, slow walking speed, weak grip strength, and exhaustion). The independent influence of frailty on mortality, functional decline, and readmission risks was calculated adjusted for HF characteristics and co-morbidities. Mean age was 80 ± 6 years; 76% fulfilled frailty criteria. Frail patients were older, more often female, but showed no differences in chronic co-morbidities, LVEF, and NT-proBNP levels. Slow walking speed was the most discriminative component between frail (89.2%) and non-frail patients (26%). Overall, 1-year survival was 89% in the non-frail group and 75% in frail subjects (P = 0.003). After adjusting for age, gender, chronic and acute co-morbidities, NYHA, and NT-proBNP, frail patients showed higher risks for 30-day functional decline [odds ratio (OR) 2.20, 95% confidence interval (CI) 1.19–4.08], 1-year all-cause mortality [hazard ratio (HR) 2.13, 95% CI 1.07–4.23], and 1-year readmission (OR 1.96, 95% CI 1.14–3.34). The association of individual components with 1-year adjusted mortality risk was HR 2.14, 95% CI 1.05–4.39 for low physical activity and HR 1.77, 95% CI 0.95–3.29 for slow walking speed. Conclusion: Frailty is highly prevalent even among non-dependent elderly HF patients, and is an independent predictor of early disability, long-term mortality, and readmission. Individual frailty components may be useful for risk prediction.","author":[{"dropping-particle":"","family":"Vidán","given":"María T.","non-dropping-particle":"","parse-names":false,"suffix":""},{"dropping-particle":"","family":"Blaya-Novakova","given":"Vendula","non-dropping-particle":"","parse-names":false,"suffix":""},{"dropping-particle":"","family":"Sánchez","given":"Elísabet","non-dropping-particle":"","parse-names":false,"suffix":""},{"dropping-particle":"","family":"Ortiz","given":"Javier","non-dropping-particle":"","parse-names":false,"suffix":""},{"dropping-particle":"","family":"Serra-Rexach","given":"José A.","non-dropping-particle":"","parse-names":false,"suffix":""},{"dropping-particle":"","family":"Bueno","given":"Héctor","non-dropping-particle":"","parse-names":false,"suffix":""}],"container-title":"European Journal of Heart Failure","id":"ITEM-1","issue":"7","issued":{"date-parts":[["2016"]]},"page":"869-875","title":"Prevalence and prognostic impact of frailty and its components in non-dependent elderly patients with heart failure","type":"article-journal","volume":"18"},"uris":["http://www.mendeley.com/documents/?uuid=7fa5cae0-e2bb-4b73-a794-b06aef72b2d8"]}],"mendeley":{"formattedCitation":"(13)","manualFormatting":"8, 9,","plainTextFormattedCitation":"(13)","previouslyFormattedCitation":"(13)"},"properties":{"noteIndex":0},"schema":"https://github.com/citation-style-language/schema/raw/master/csl-citation.json"}</w:instrText>
      </w:r>
      <w:r w:rsidR="00197280">
        <w:fldChar w:fldCharType="separate"/>
      </w:r>
      <w:r w:rsidR="001854E1">
        <w:rPr>
          <w:noProof/>
        </w:rPr>
        <w:t>8, 9</w:t>
      </w:r>
      <w:r w:rsidR="0019167A">
        <w:rPr>
          <w:noProof/>
        </w:rPr>
        <w:t>,</w:t>
      </w:r>
      <w:r w:rsidR="00197280">
        <w:fldChar w:fldCharType="end"/>
      </w:r>
      <w:r w:rsidR="00490D8F">
        <w:t xml:space="preserve"> </w:t>
      </w:r>
      <w:r w:rsidR="008210B6">
        <w:t>2</w:t>
      </w:r>
      <w:r w:rsidR="0042574B">
        <w:t>2</w:t>
      </w:r>
      <w:r w:rsidR="00490D8F">
        <w:t xml:space="preserve">, </w:t>
      </w:r>
      <w:r w:rsidR="001854E1">
        <w:t>2</w:t>
      </w:r>
      <w:r w:rsidR="0042574B">
        <w:t>3</w:t>
      </w:r>
      <w:r w:rsidR="00F2112E">
        <w:t>].</w:t>
      </w:r>
      <w:r w:rsidR="00197280">
        <w:t xml:space="preserve"> These</w:t>
      </w:r>
      <w:r w:rsidR="005C6813">
        <w:t xml:space="preserve"> studies</w:t>
      </w:r>
      <w:r w:rsidR="00691D5F">
        <w:t xml:space="preserve"> showed that </w:t>
      </w:r>
      <w:r w:rsidR="00187D6B">
        <w:t>mobility</w:t>
      </w:r>
      <w:r w:rsidR="00E40483">
        <w:t xml:space="preserve"> disability</w:t>
      </w:r>
      <w:r w:rsidR="00176D7A">
        <w:t xml:space="preserve">, </w:t>
      </w:r>
      <w:r w:rsidR="001B1FCC" w:rsidRPr="001B1FCC">
        <w:t>low physical activity, weight loss, slow wa</w:t>
      </w:r>
      <w:r w:rsidR="00691D5F">
        <w:t>lking speed, weak grip strength and exhaustion were linked</w:t>
      </w:r>
      <w:r w:rsidR="001B1FCC" w:rsidRPr="001B1FCC">
        <w:t xml:space="preserve"> </w:t>
      </w:r>
      <w:r w:rsidR="00197280">
        <w:t>with a higher</w:t>
      </w:r>
      <w:r w:rsidR="00691D5F">
        <w:t xml:space="preserve"> readmission risk and </w:t>
      </w:r>
      <w:r w:rsidR="00197280">
        <w:t xml:space="preserve">a higher </w:t>
      </w:r>
      <w:r w:rsidR="00691D5F">
        <w:t xml:space="preserve">long-term </w:t>
      </w:r>
      <w:r w:rsidR="00197280">
        <w:t xml:space="preserve">mortality risk </w:t>
      </w:r>
      <w:r w:rsidR="00197280">
        <w:fldChar w:fldCharType="begin" w:fldLock="1"/>
      </w:r>
      <w:r w:rsidR="009E0173">
        <w:instrText>ADDIN CSL_CITATION {"citationItems":[{"id":"ITEM-1","itemData":{"DOI":"10.1002/ejhf.518","ISSN":"18790844","PMID":"27072307","abstract":"Aims: The aim of this study was to evaluate the prevalence, clinical features, and the independent impact of frailty—a geriatric syndrome characterized by the decline of physiological systems—and its components, on prognosis after heart failure (HF) hospitalization. Methods and results: FRAIL-HF is a prospective cohort study including 450 non-dependent patients ≥70 years old hospitalized for HF. Frailty was screened according to the biological phenotype criteria (low physical activity, weight loss, slow walking speed, weak grip strength, and exhaustion). The independent influence of frailty on mortality, functional decline, and readmission risks was calculated adjusted for HF characteristics and co-morbidities. Mean age was 80 ± 6 years; 76% fulfilled frailty criteria. Frail patients were older, more often female, but showed no differences in chronic co-morbidities, LVEF, and NT-proBNP levels. Slow walking speed was the most discriminative component between frail (89.2%) and non-frail patients (26%). Overall, 1-year survival was 89% in the non-frail group and 75% in frail subjects (P = 0.003). After adjusting for age, gender, chronic and acute co-morbidities, NYHA, and NT-proBNP, frail patients showed higher risks for 30-day functional decline [odds ratio (OR) 2.20, 95% confidence interval (CI) 1.19–4.08], 1-year all-cause mortality [hazard ratio (HR) 2.13, 95% CI 1.07–4.23], and 1-year readmission (OR 1.96, 95% CI 1.14–3.34). The association of individual components with 1-year adjusted mortality risk was HR 2.14, 95% CI 1.05–4.39 for low physical activity and HR 1.77, 95% CI 0.95–3.29 for slow walking speed. Conclusion: Frailty is highly prevalent even among non-dependent elderly HF patients, and is an independent predictor of early disability, long-term mortality, and readmission. Individual frailty components may be useful for risk prediction.","author":[{"dropping-particle":"","family":"Vidán","given":"María T.","non-dropping-particle":"","parse-names":false,"suffix":""},{"dropping-particle":"","family":"Blaya-Novakova","given":"Vendula","non-dropping-particle":"","parse-names":false,"suffix":""},{"dropping-particle":"","family":"Sánchez","given":"Elísabet","non-dropping-particle":"","parse-names":false,"suffix":""},{"dropping-particle":"","family":"Ortiz","given":"Javier","non-dropping-particle":"","parse-names":false,"suffix":""},{"dropping-particle":"","family":"Serra-Rexach","given":"José A.","non-dropping-particle":"","parse-names":false,"suffix":""},{"dropping-particle":"","family":"Bueno","given":"Héctor","non-dropping-particle":"","parse-names":false,"suffix":""}],"container-title":"European Journal of Heart Failure","id":"ITEM-1","issue":"7","issued":{"date-parts":[["2016"]]},"page":"869-875","title":"Prevalence and prognostic impact of frailty and its components in non-dependent elderly patients with heart failure","type":"article-journal","volume":"18"},"uris":["http://www.mendeley.com/documents/?uuid=7fa5cae0-e2bb-4b73-a794-b06aef72b2d8"]}],"mendeley":{"formattedCitation":"(13)","manualFormatting":"[8, 9]","plainTextFormattedCitation":"(13)","previouslyFormattedCitation":"(13)"},"properties":{"noteIndex":0},"schema":"https://github.com/citation-style-language/schema/raw/master/csl-citation.json"}</w:instrText>
      </w:r>
      <w:r w:rsidR="00197280">
        <w:fldChar w:fldCharType="separate"/>
      </w:r>
      <w:r w:rsidR="00E947E1">
        <w:rPr>
          <w:noProof/>
        </w:rPr>
        <w:t>[</w:t>
      </w:r>
      <w:r w:rsidR="00176D7A">
        <w:rPr>
          <w:noProof/>
        </w:rPr>
        <w:t xml:space="preserve">8, </w:t>
      </w:r>
      <w:r w:rsidR="001854E1">
        <w:rPr>
          <w:noProof/>
        </w:rPr>
        <w:t>9</w:t>
      </w:r>
      <w:r w:rsidR="00E947E1">
        <w:rPr>
          <w:noProof/>
        </w:rPr>
        <w:t>]</w:t>
      </w:r>
      <w:r w:rsidR="00197280">
        <w:fldChar w:fldCharType="end"/>
      </w:r>
      <w:r w:rsidR="00E947E1">
        <w:t>.</w:t>
      </w:r>
      <w:r w:rsidR="001B1FCC" w:rsidRPr="001B1FCC">
        <w:t xml:space="preserve"> In line with these findings, we hypothesized that </w:t>
      </w:r>
      <w:r w:rsidR="00FA122F">
        <w:t xml:space="preserve">geriatric </w:t>
      </w:r>
      <w:r w:rsidR="001B1FCC" w:rsidRPr="001B1FCC">
        <w:t>parameters would have</w:t>
      </w:r>
      <w:r w:rsidR="001B1FCC">
        <w:t xml:space="preserve"> shown</w:t>
      </w:r>
      <w:r w:rsidR="001B1FCC" w:rsidRPr="001B1FCC">
        <w:t xml:space="preserve"> </w:t>
      </w:r>
      <w:r w:rsidR="001B1FCC">
        <w:t>prognostic value</w:t>
      </w:r>
      <w:r w:rsidR="001B1FCC" w:rsidRPr="001B1FCC">
        <w:t>, but this was not the case</w:t>
      </w:r>
      <w:r w:rsidR="0001700F">
        <w:t xml:space="preserve">. </w:t>
      </w:r>
      <w:r w:rsidR="000A3366">
        <w:t>There</w:t>
      </w:r>
      <w:r w:rsidR="002F1AD9">
        <w:t xml:space="preserve"> </w:t>
      </w:r>
      <w:r w:rsidR="000A3366">
        <w:t xml:space="preserve">is extensive research available on </w:t>
      </w:r>
      <w:r w:rsidR="00735886">
        <w:t>the prognostic value of</w:t>
      </w:r>
      <w:r w:rsidR="000A3366">
        <w:t xml:space="preserve"> </w:t>
      </w:r>
      <w:r w:rsidR="00C326B5">
        <w:t xml:space="preserve">certain </w:t>
      </w:r>
      <w:r w:rsidR="000A3366">
        <w:t xml:space="preserve">cardiac parameters where lower systolic blood pressure (systolic and/or diastolic) </w:t>
      </w:r>
      <w:r w:rsidR="00110AC3">
        <w:t xml:space="preserve">has already </w:t>
      </w:r>
      <w:r w:rsidR="00110AC3">
        <w:lastRenderedPageBreak/>
        <w:t>been</w:t>
      </w:r>
      <w:r w:rsidR="000A3366">
        <w:t xml:space="preserve"> linked to </w:t>
      </w:r>
      <w:r w:rsidR="00110AC3">
        <w:t xml:space="preserve">a </w:t>
      </w:r>
      <w:r w:rsidR="000A3366">
        <w:t>higher mortality</w:t>
      </w:r>
      <w:r w:rsidR="00CA1E2D">
        <w:t xml:space="preserve"> in heart failure patients</w:t>
      </w:r>
      <w:r w:rsidR="00442B65">
        <w:t xml:space="preserve"> </w:t>
      </w:r>
      <w:r w:rsidR="000A3366">
        <w:fldChar w:fldCharType="begin" w:fldLock="1"/>
      </w:r>
      <w:r w:rsidR="00CB618E">
        <w:instrText>ADDIN CSL_CITATION {"citationItems":[{"id":"ITEM-1","itemData":{"DOI":"10.1016/j.cardfail.2004.02.011","ISSN":"10719164","PMID":"15599835","abstract":"Background Decompensated heart failure (HF) is among the most common indications for hospitalization in the United States, but little is known about features on admission that predict adverse events. We used data from the Outcomes of a Prospective Trial of Intravenous Milrinone for Exacerbations of Chronic Heart Failure (OPTIME-CHF) study to develop a model that would predict outcomes in patients with decompensated HF. Methods and results OPTIME-CHF randomized 949 patients hospitalized with decompensated HF for 48 to 72 hours of infusion of either milrinone or placebo. We used multivariable modeling to evaluate variables on admission that would be predictive of 60-day mortality or the composite of death or rehospitalization at 60 days. Variables at presentation that predicted death at 60 days were increased age, lower systolic blood pressure, New York Heart Association class IV symptoms, elevated blood urea nitrogen (BUN), and decreased sodium. Predictors of the composite of death or rehospitalization within 60 days were the number of HF hospitalizations in the preceding 12 months, elevated BUN, lower systolic blood pressure, decreased hemoglobin, and a history of percutaneous coronary intervention (PCI). The discriminatory power of the model was substantial for the mortality model (c-index .77) but less for the composite endpoint (c-index .69). Conclusions Risk stratification of patients with decompensated HF may be accomplished using easily assessed clinical variables. Further research into the validity of this model in independent samples will potentially aid in the development of risk stratification strategies.","author":[{"dropping-particle":"","family":"Felker","given":"G. Michael","non-dropping-particle":"","parse-names":false,"suffix":""},{"dropping-particle":"","family":"Leimberger","given":"Jeffrey D.","non-dropping-particle":"","parse-names":false,"suffix":""},{"dropping-particle":"","family":"Califf","given":"Robert M.","non-dropping-particle":"","parse-names":false,"suffix":""},{"dropping-particle":"","family":"Cuffe","given":"Michael S.","non-dropping-particle":"","parse-names":false,"suffix":""},{"dropping-particle":"","family":"Massie","given":"Barry M.","non-dropping-particle":"","parse-names":false,"suffix":""},{"dropping-particle":"","family":"Adams","given":"Kirkwood F.","non-dropping-particle":"","parse-names":false,"suffix":""},{"dropping-particle":"","family":"Gheorghiade","given":"Mihai","non-dropping-particle":"","parse-names":false,"suffix":""},{"dropping-particle":"","family":"O'Connor","given":"Christopher M.","non-dropping-particle":"","parse-names":false,"suffix":""}],"container-title":"Journal of Cardiac Failure","id":"ITEM-1","issue":"6","issued":{"date-parts":[["2004"]]},"page":"460-466","title":"Risk stratification after hospitalization for decompensated heart failure","type":"article-journal","volume":"10"},"uris":["http://www.mendeley.com/documents/?uuid=f8c6326e-fc1b-443e-9040-da9d00624096"]}],"mendeley":{"formattedCitation":"(11)","plainTextFormattedCitation":"(11)","previouslyFormattedCitation":"(11)"},"properties":{"noteIndex":0},"schema":"https://github.com/citation-style-language/schema/raw/master/csl-citation.json"}</w:instrText>
      </w:r>
      <w:r w:rsidR="000A3366">
        <w:fldChar w:fldCharType="separate"/>
      </w:r>
      <w:r w:rsidR="00A369EF">
        <w:rPr>
          <w:noProof/>
        </w:rPr>
        <w:t>[</w:t>
      </w:r>
      <w:r w:rsidR="0042574B">
        <w:rPr>
          <w:noProof/>
        </w:rPr>
        <w:t>16</w:t>
      </w:r>
      <w:r w:rsidR="00A369EF">
        <w:rPr>
          <w:noProof/>
        </w:rPr>
        <w:t>,</w:t>
      </w:r>
      <w:r w:rsidR="000A3366">
        <w:fldChar w:fldCharType="end"/>
      </w:r>
      <w:r w:rsidR="00A369EF">
        <w:fldChar w:fldCharType="begin" w:fldLock="1"/>
      </w:r>
      <w:r w:rsidR="008210B6">
        <w:instrText>ADDIN CSL_CITATION {"citationItems":[{"id":"ITEM-1","itemData":{"DOI":"10.1093/eurheartj/ehi555","ISSN":"0195668X","PMID":"16219658","abstract":"Aims: We aimed to develop prognostic models for patients with chronic heart failure (CHF). Methods and results: We evaluated data from 7599 patients in the CHARM programme with CHF with and without left ventricular systolic dysfunction. Multi-variable Cox regression models were developed using baseline candidate variables to predict all-cause mortality (n = 1831 deaths) and the composite of cardiovascular (CV) death and heart failure (HF) hospitalization (n = 2460 patients with events). Final models included 21 predictor variables for CV death/HF hospitalization and for death. The three most powerful predictors were older age (beginning &gt;60 years), diabetes, and lower left ventricular ejection fraction (EF) (beginning &lt;45%). Other independent predictors that increased risk included higher NYHA class, cardiomegaly, prior HF hospitalization, male sex, lower body mass index, and lower diastolic blood pressure. The model accurately stratified actual 2-year mortality from 2.5 to 44% for the lowest to highest deciles of predicted risk. Conclusion: In a large contemporary CHF population, including patients with preserved and decreased left ventricular systolic function, routine clinical variables can discriminate risk regardless of EF. Diabetes was found to be a surprisingly strong independent predictor. These models can stratify risk and help define how patient characteristics relate to clinical course. © The European Society of Cardiology 2005. All rights reserved.","author":[{"dropping-particle":"","family":"Pocock","given":"Stuart J.","non-dropping-particle":"","parse-names":false,"suffix":""},{"dropping-particle":"","family":"Wang","given":"Duolao","non-dropping-particle":"","parse-names":false,"suffix":""},{"dropping-particle":"","family":"Pfeffer","given":"Marc A.","non-dropping-particle":"","parse-names":false,"suffix":""},{"dropping-particle":"","family":"Yusuf","given":"Salim","non-dropping-particle":"","parse-names":false,"suffix":""},{"dropping-particle":"","family":"McMurray","given":"John J.V.","non-dropping-particle":"","parse-names":false,"suffix":""},{"dropping-particle":"","family":"Swedberg","given":"Karl B.","non-dropping-particle":"","parse-names":false,"suffix":""},{"dropping-particle":"","family":"Östergren","given":"Jan","non-dropping-particle":"","parse-names":false,"suffix":""},{"dropping-particle":"","family":"Michelson","given":"Eric L.","non-dropping-particle":"","parse-names":false,"suffix":""},{"dropping-particle":"","family":"Pieper","given":"Karen S.","non-dropping-particle":"","parse-names":false,"suffix":""},{"dropping-particle":"","family":"Granger","given":"Christopher B.","non-dropping-particle":"","parse-names":false,"suffix":""}],"container-title":"European Heart Journal","id":"ITEM-1","issue":"1","issued":{"date-parts":[["2006"]]},"page":"65-75","title":"Predictors of mortality and morbidity in patients with chronic heart failure","type":"article-journal","volume":"27"},"uris":["http://www.mendeley.com/documents/?uuid=dfbf9fab-52dc-4bca-b1c7-3d05c7345858"]}],"mendeley":{"formattedCitation":"(16)","manualFormatting":" 23,","plainTextFormattedCitation":"(16)","previouslyFormattedCitation":"(16)"},"properties":{"noteIndex":0},"schema":"https://github.com/citation-style-language/schema/raw/master/csl-citation.json"}</w:instrText>
      </w:r>
      <w:r w:rsidR="00A369EF">
        <w:fldChar w:fldCharType="separate"/>
      </w:r>
      <w:r w:rsidR="00A369EF">
        <w:rPr>
          <w:noProof/>
        </w:rPr>
        <w:t xml:space="preserve"> </w:t>
      </w:r>
      <w:r w:rsidR="0042574B">
        <w:rPr>
          <w:noProof/>
        </w:rPr>
        <w:t>24</w:t>
      </w:r>
      <w:r w:rsidR="00A369EF">
        <w:rPr>
          <w:noProof/>
        </w:rPr>
        <w:t>,</w:t>
      </w:r>
      <w:r w:rsidR="00A369EF">
        <w:fldChar w:fldCharType="end"/>
      </w:r>
      <w:r w:rsidR="004022F1">
        <w:t xml:space="preserve"> </w:t>
      </w:r>
      <w:r w:rsidR="00CB618E">
        <w:fldChar w:fldCharType="begin" w:fldLock="1"/>
      </w:r>
      <w:r w:rsidR="008210B6">
        <w:instrText>ADDIN CSL_CITATION {"citationItems":[{"id":"ITEM-1","itemData":{"DOI":"10.1093/eurheartj/ehl407","ISSN":"0195668X","PMID":"17127708","abstract":"Aims: Acute heart failure (AHF) is associated with poor prognosis and requires recurrent hospitalizations. However, studies on AHF characteristics, treatment, and prognostic factors are few. Our aim was to investigate the characteristics, treatment, and 1-year prognosis of AHF and identify prognostic factors in different clinical groups. Methods and results: We conducted a prospective multicentre study with 620 patients hospitalized due to AHF; mean age 75.1 (10.4) years, 50% male. Half of the patients had new-onset heart failure. Acute congestion (63.5%) and pulmonary oedema (26.3%) were the most common clinical presentations. Left ventricular ejection fraction (LVEF) was reported in two-thirds of patients. Half of these had preserved systolic function (LVEF≥45%). At discharge, 86% of patients had beta-blockers and 76% either ACE-inhibitors or angiotensin receptor blockers in use. The 12-month all-cause mortality was 27.4%. We identified several clinical and biochemical prognostic risk factors in univariate analysis. Independent predictors of 1-year mortality were older age, male gender, lower systolic blood pressure (SBP) on admission, C-reactive protein, and serum creatinine &gt;120 μmol/L. Conclusion: We present the characteristics and prognosis of an unselected population of AHF patients. One-year mortality is high, and independent clinical risk factors include age, male gender, lower SBP on admission, C-reactive protein, and renal dysfunction. © The European Society of Cardiology 2006. All rights reserved.","author":[{"dropping-particle":"","family":"Siirilä-Waris","given":"Krista","non-dropping-particle":"","parse-names":false,"suffix":""},{"dropping-particle":"","family":"Lassus","given":"Johan","non-dropping-particle":"","parse-names":false,"suffix":""},{"dropping-particle":"","family":"Melin","given":"John","non-dropping-particle":"","parse-names":false,"suffix":""},{"dropping-particle":"","family":"Peuhkurinen","given":"Keijo","non-dropping-particle":"","parse-names":false,"suffix":""},{"dropping-particle":"","family":"Nieminen","given":"Markku S.","non-dropping-particle":"","parse-names":false,"suffix":""},{"dropping-particle":"","family":"Harjola","given":"Veli Pekka","non-dropping-particle":"","parse-names":false,"suffix":""}],"container-title":"European Heart Journal","id":"ITEM-1","issue":"24","issued":{"date-parts":[["2006"]]},"page":"3011-3017","title":"Characteristics, outcomes, and predictors of 1-year mortality in patients hospitalized for acute heart failure","type":"article-journal","volume":"27"},"uris":["http://www.mendeley.com/documents/?uuid=bc34765a-a1ca-48b5-99a3-2c1f94961eb5"]}],"mendeley":{"formattedCitation":"(17)","manualFormatting":"24, 25]","plainTextFormattedCitation":"(17)"},"properties":{"noteIndex":0},"schema":"https://github.com/citation-style-language/schema/raw/master/csl-citation.json"}</w:instrText>
      </w:r>
      <w:r w:rsidR="00CB618E">
        <w:fldChar w:fldCharType="separate"/>
      </w:r>
      <w:r w:rsidR="001854E1">
        <w:rPr>
          <w:noProof/>
        </w:rPr>
        <w:t>2</w:t>
      </w:r>
      <w:r w:rsidR="0042574B">
        <w:rPr>
          <w:noProof/>
        </w:rPr>
        <w:t>5</w:t>
      </w:r>
      <w:r w:rsidR="00490D8F">
        <w:rPr>
          <w:noProof/>
        </w:rPr>
        <w:t xml:space="preserve">, </w:t>
      </w:r>
      <w:r w:rsidR="001854E1">
        <w:rPr>
          <w:noProof/>
        </w:rPr>
        <w:t>2</w:t>
      </w:r>
      <w:r w:rsidR="0042574B">
        <w:rPr>
          <w:noProof/>
        </w:rPr>
        <w:t>6</w:t>
      </w:r>
      <w:r w:rsidR="004022F1">
        <w:rPr>
          <w:noProof/>
        </w:rPr>
        <w:t>]</w:t>
      </w:r>
      <w:r w:rsidR="00CB618E">
        <w:fldChar w:fldCharType="end"/>
      </w:r>
      <w:r w:rsidR="004022F1">
        <w:t>.</w:t>
      </w:r>
      <w:r w:rsidR="00CE0730">
        <w:t xml:space="preserve"> </w:t>
      </w:r>
      <w:r w:rsidR="00857DC3">
        <w:t xml:space="preserve">Our study supports </w:t>
      </w:r>
      <w:r w:rsidR="00442B65">
        <w:t>th</w:t>
      </w:r>
      <w:r w:rsidR="002D6749">
        <w:t>is</w:t>
      </w:r>
      <w:r w:rsidR="00857DC3">
        <w:t xml:space="preserve"> previous </w:t>
      </w:r>
      <w:r w:rsidR="00442B65">
        <w:t>finding</w:t>
      </w:r>
      <w:r w:rsidR="00857DC3">
        <w:t xml:space="preserve"> </w:t>
      </w:r>
      <w:r w:rsidR="008C1266">
        <w:t>and confirms that</w:t>
      </w:r>
      <w:r w:rsidR="00857DC3">
        <w:t xml:space="preserve"> this routine clinical</w:t>
      </w:r>
      <w:r w:rsidR="00F93761">
        <w:t>, cardiac</w:t>
      </w:r>
      <w:r w:rsidR="00857DC3">
        <w:t xml:space="preserve"> parameter can contribute to predicting </w:t>
      </w:r>
      <w:r w:rsidR="002D6749">
        <w:t xml:space="preserve">the </w:t>
      </w:r>
      <w:r w:rsidR="00857DC3">
        <w:t>risk of mortality</w:t>
      </w:r>
      <w:r w:rsidR="008F0750">
        <w:t xml:space="preserve">. </w:t>
      </w:r>
      <w:r w:rsidR="00C44ACB">
        <w:t>The same cannot be said about the included</w:t>
      </w:r>
      <w:r w:rsidR="00857DC3">
        <w:t xml:space="preserve"> geriatric parameters</w:t>
      </w:r>
      <w:r w:rsidR="00490D8F">
        <w:t xml:space="preserve"> [</w:t>
      </w:r>
      <w:r w:rsidR="001854E1">
        <w:t>2</w:t>
      </w:r>
      <w:r w:rsidR="0042574B">
        <w:t>4</w:t>
      </w:r>
      <w:r w:rsidR="0069235B">
        <w:t>]</w:t>
      </w:r>
      <w:r w:rsidR="0020019E">
        <w:t>.</w:t>
      </w:r>
      <w:r w:rsidR="00667108" w:rsidRPr="00667108">
        <w:t xml:space="preserve"> This observation could be attributed to the predominance of cardiovascular-related causes of death in older heart failure patients, which appear to be independent of their functional abilitie</w:t>
      </w:r>
      <w:r w:rsidR="007965F1">
        <w:t>s</w:t>
      </w:r>
      <w:r w:rsidR="00490D8F">
        <w:t xml:space="preserve"> [</w:t>
      </w:r>
      <w:r w:rsidR="001854E1">
        <w:t>2</w:t>
      </w:r>
      <w:r w:rsidR="0042574B">
        <w:t>7</w:t>
      </w:r>
      <w:r w:rsidR="008C7A80">
        <w:t>]</w:t>
      </w:r>
      <w:r w:rsidR="00C637EC">
        <w:t>. It could also be that the presence of a low systolic blood pres</w:t>
      </w:r>
      <w:r w:rsidR="006C2FE3">
        <w:t>sure and extensive comorbidity</w:t>
      </w:r>
      <w:r w:rsidR="005D593D">
        <w:t xml:space="preserve"> limits (</w:t>
      </w:r>
      <w:r w:rsidR="005D593D" w:rsidRPr="005D593D">
        <w:t>optimization</w:t>
      </w:r>
      <w:r w:rsidR="00C637EC">
        <w:t xml:space="preserve"> of) heart failure therapy. </w:t>
      </w:r>
      <w:r w:rsidR="00F84CA3">
        <w:t>T</w:t>
      </w:r>
      <w:r w:rsidR="001B1FCC">
        <w:t>he fact that</w:t>
      </w:r>
      <w:r w:rsidR="001B1FCC" w:rsidRPr="001B1FCC">
        <w:t xml:space="preserve"> </w:t>
      </w:r>
      <w:r w:rsidR="008F7D66">
        <w:t>ADL</w:t>
      </w:r>
      <w:r w:rsidR="001B1FCC" w:rsidRPr="001B1FCC">
        <w:t xml:space="preserve"> </w:t>
      </w:r>
      <w:r w:rsidR="00ED7443">
        <w:t xml:space="preserve">was scored </w:t>
      </w:r>
      <w:r w:rsidR="001B1FCC" w:rsidRPr="001B1FCC">
        <w:t xml:space="preserve">as </w:t>
      </w:r>
      <w:r w:rsidR="003D0DAF">
        <w:t xml:space="preserve">a </w:t>
      </w:r>
      <w:r w:rsidR="001B1FCC" w:rsidRPr="001B1FCC">
        <w:t>dichotomic</w:t>
      </w:r>
      <w:r w:rsidR="00FA122F">
        <w:t xml:space="preserve"> </w:t>
      </w:r>
      <w:r w:rsidR="00C45098">
        <w:t xml:space="preserve">variable </w:t>
      </w:r>
      <w:r w:rsidR="00FA122F">
        <w:t xml:space="preserve">in this study </w:t>
      </w:r>
      <w:r w:rsidR="00C45098">
        <w:t>(</w:t>
      </w:r>
      <w:r w:rsidR="001B1FCC" w:rsidRPr="001B1FCC">
        <w:t>defining a patient as dependent or independent</w:t>
      </w:r>
      <w:r w:rsidR="003D0DAF">
        <w:t>)</w:t>
      </w:r>
      <w:r w:rsidR="0015533C">
        <w:t xml:space="preserve"> could</w:t>
      </w:r>
      <w:r w:rsidR="001E542A">
        <w:t xml:space="preserve"> </w:t>
      </w:r>
      <w:r w:rsidR="001B1FCC">
        <w:t xml:space="preserve">be </w:t>
      </w:r>
      <w:r w:rsidR="00BD0112">
        <w:t>an explanation</w:t>
      </w:r>
      <w:r w:rsidR="00BD72F2">
        <w:t xml:space="preserve"> for the lack </w:t>
      </w:r>
      <w:r w:rsidR="009E5F83">
        <w:t xml:space="preserve">of </w:t>
      </w:r>
      <w:r w:rsidR="00BD72F2">
        <w:t xml:space="preserve">predictive value of </w:t>
      </w:r>
      <w:r w:rsidR="00B54B24">
        <w:t xml:space="preserve">the </w:t>
      </w:r>
      <w:r w:rsidR="00BD72F2">
        <w:t>geriatric parameters</w:t>
      </w:r>
      <w:r w:rsidR="001B1FCC" w:rsidRPr="001B1FCC">
        <w:t xml:space="preserve">. </w:t>
      </w:r>
      <w:r w:rsidR="00FA122F">
        <w:t>D</w:t>
      </w:r>
      <w:r w:rsidR="001B1FCC" w:rsidRPr="001B1FCC">
        <w:t>ividing these functional parameters in</w:t>
      </w:r>
      <w:r w:rsidR="00052591">
        <w:t xml:space="preserve">to subcategories </w:t>
      </w:r>
      <w:r w:rsidR="00176C5F">
        <w:t>would be a more refined approach for future studies</w:t>
      </w:r>
      <w:r w:rsidR="009637B3">
        <w:t>.</w:t>
      </w:r>
      <w:r w:rsidR="00AB2D9A">
        <w:t xml:space="preserve"> Furthermore, there was no information available on which heart failure </w:t>
      </w:r>
      <w:r w:rsidR="00C5329E">
        <w:t>medication</w:t>
      </w:r>
      <w:r w:rsidR="00AB2D9A">
        <w:t xml:space="preserve"> a patient received, which could also be of added value. </w:t>
      </w:r>
    </w:p>
    <w:p w14:paraId="7C960046" w14:textId="506B4CD0" w:rsidR="00C6628D" w:rsidRDefault="00C6628D" w:rsidP="00CA146C">
      <w:r>
        <w:t xml:space="preserve">We consider our study to have several strengths. </w:t>
      </w:r>
      <w:r w:rsidRPr="00C6628D">
        <w:t xml:space="preserve">First of all, </w:t>
      </w:r>
      <w:r w:rsidR="00176C5F">
        <w:t xml:space="preserve">the </w:t>
      </w:r>
      <w:r w:rsidRPr="00C6628D">
        <w:t xml:space="preserve">patient cohort consists of patients older than 75 years and was assembled from both the cardiac and </w:t>
      </w:r>
      <w:r w:rsidR="006E61FE">
        <w:t>the geriatric ward. This leads</w:t>
      </w:r>
      <w:r w:rsidRPr="00C6628D">
        <w:t xml:space="preserve"> to a very realistic</w:t>
      </w:r>
      <w:r w:rsidR="008F1482">
        <w:t xml:space="preserve"> and</w:t>
      </w:r>
      <w:r w:rsidRPr="00C6628D">
        <w:t xml:space="preserve"> </w:t>
      </w:r>
      <w:r>
        <w:t xml:space="preserve">heterogeneous </w:t>
      </w:r>
      <w:r w:rsidR="0051250D">
        <w:t>patient cohort</w:t>
      </w:r>
      <w:r w:rsidR="00E31D32">
        <w:t>, where ‘the most</w:t>
      </w:r>
      <w:r w:rsidR="008D69DE">
        <w:t xml:space="preserve"> frail’</w:t>
      </w:r>
      <w:r w:rsidR="00E31D32">
        <w:t xml:space="preserve"> patients were not excluded.</w:t>
      </w:r>
      <w:r w:rsidRPr="00C6628D">
        <w:t xml:space="preserve"> Secondly, we used multiple parameters (basic activities of daily living, instrumental activities of daily living and the presence of a geriatric risk profile) to describe a pa</w:t>
      </w:r>
      <w:r w:rsidR="008A2722">
        <w:t>tient’s functional status, leading to a b</w:t>
      </w:r>
      <w:r w:rsidR="001274E6">
        <w:t>road</w:t>
      </w:r>
      <w:r w:rsidR="008F1482">
        <w:t xml:space="preserve"> perspective</w:t>
      </w:r>
      <w:r w:rsidR="0081001F">
        <w:t xml:space="preserve"> on the patient’</w:t>
      </w:r>
      <w:r w:rsidR="008F1482">
        <w:t>s</w:t>
      </w:r>
      <w:r w:rsidR="0081001F">
        <w:t xml:space="preserve"> capabilities. </w:t>
      </w:r>
    </w:p>
    <w:p w14:paraId="21958880" w14:textId="19AFCE90" w:rsidR="00C6628D" w:rsidRDefault="00C6628D" w:rsidP="00CA146C">
      <w:r>
        <w:t xml:space="preserve">A first limitation to our study is the </w:t>
      </w:r>
      <w:r w:rsidR="00966744">
        <w:t xml:space="preserve">dependency </w:t>
      </w:r>
      <w:r w:rsidR="00310A01">
        <w:t xml:space="preserve">on </w:t>
      </w:r>
      <w:r w:rsidR="00176C5F">
        <w:t xml:space="preserve">the </w:t>
      </w:r>
      <w:r w:rsidR="00966744">
        <w:t xml:space="preserve">completeness of </w:t>
      </w:r>
      <w:r w:rsidR="00176C5F">
        <w:t>medical record</w:t>
      </w:r>
      <w:r w:rsidR="00966744">
        <w:t>s</w:t>
      </w:r>
      <w:r>
        <w:t xml:space="preserve">, </w:t>
      </w:r>
      <w:r w:rsidR="008F1482">
        <w:t>makin</w:t>
      </w:r>
      <w:r w:rsidR="002B046F">
        <w:t>g</w:t>
      </w:r>
      <w:r w:rsidR="00D02F29">
        <w:t xml:space="preserve"> </w:t>
      </w:r>
      <w:r w:rsidR="008F1482">
        <w:t xml:space="preserve">it impossible </w:t>
      </w:r>
      <w:r>
        <w:t>to refine some parameters</w:t>
      </w:r>
      <w:r w:rsidR="008F1482">
        <w:t xml:space="preserve">. </w:t>
      </w:r>
      <w:r w:rsidR="004E5DF5" w:rsidRPr="00C64C57">
        <w:t>As a frailty tool is not part of routine assessment</w:t>
      </w:r>
      <w:r w:rsidR="00462DF1" w:rsidRPr="00C64C57">
        <w:t xml:space="preserve"> in the two hospitals</w:t>
      </w:r>
      <w:r w:rsidR="004E5DF5" w:rsidRPr="00C64C57">
        <w:t xml:space="preserve">, we had to rely on </w:t>
      </w:r>
      <w:proofErr w:type="spellStart"/>
      <w:r w:rsidR="004E5DF5" w:rsidRPr="00C64C57">
        <w:t>bADL</w:t>
      </w:r>
      <w:proofErr w:type="spellEnd"/>
      <w:r w:rsidR="004E5DF5" w:rsidRPr="00C64C57">
        <w:t xml:space="preserve"> and </w:t>
      </w:r>
      <w:proofErr w:type="spellStart"/>
      <w:r w:rsidR="004E5DF5" w:rsidRPr="00C64C57">
        <w:t>iADL</w:t>
      </w:r>
      <w:proofErr w:type="spellEnd"/>
      <w:r w:rsidR="004E5DF5" w:rsidRPr="00C64C57">
        <w:t xml:space="preserve"> and GRP scores as geriatric parameters</w:t>
      </w:r>
      <w:r w:rsidR="004E5DF5" w:rsidRPr="00556F91">
        <w:t>.</w:t>
      </w:r>
      <w:r w:rsidR="004E5DF5">
        <w:t xml:space="preserve"> </w:t>
      </w:r>
      <w:r>
        <w:t>A second limitation is that we potentially missed a number of patients with heart failure in our sele</w:t>
      </w:r>
      <w:r w:rsidR="0072792D">
        <w:t>ction process. We used 3 criteria to select the patients w</w:t>
      </w:r>
      <w:r w:rsidR="00C63566">
        <w:t xml:space="preserve">ith heart failure in our cohort: </w:t>
      </w:r>
      <w:r w:rsidR="0072792D">
        <w:t>previous diagnosis, echo</w:t>
      </w:r>
      <w:r w:rsidR="00C63566">
        <w:t xml:space="preserve">cardiographic data </w:t>
      </w:r>
      <w:r w:rsidR="003C0172">
        <w:t>and/or</w:t>
      </w:r>
      <w:r w:rsidR="00C63566">
        <w:t xml:space="preserve"> the use of</w:t>
      </w:r>
      <w:r w:rsidR="009308A4">
        <w:t xml:space="preserve"> specific heart failure </w:t>
      </w:r>
      <w:r w:rsidR="009308A4">
        <w:lastRenderedPageBreak/>
        <w:t>medication</w:t>
      </w:r>
      <w:r w:rsidR="00C63566">
        <w:t>. This</w:t>
      </w:r>
      <w:r w:rsidR="00AB793A">
        <w:t xml:space="preserve"> </w:t>
      </w:r>
      <w:r w:rsidR="00C63566">
        <w:t>implies</w:t>
      </w:r>
      <w:r w:rsidR="00AB793A">
        <w:t xml:space="preserve"> </w:t>
      </w:r>
      <w:r w:rsidR="0072792D">
        <w:t>we potentially missed a group of patients with heart failur</w:t>
      </w:r>
      <w:r w:rsidR="009308A4">
        <w:t xml:space="preserve">e </w:t>
      </w:r>
      <w:r w:rsidR="00AA14FE">
        <w:t>who do not take</w:t>
      </w:r>
      <w:r w:rsidR="009308A4">
        <w:t xml:space="preserve"> any of these medication</w:t>
      </w:r>
      <w:r w:rsidR="00824C00">
        <w:t>s</w:t>
      </w:r>
      <w:r w:rsidR="009308A4">
        <w:t xml:space="preserve"> and/or with an incomplete medical file. </w:t>
      </w:r>
    </w:p>
    <w:p w14:paraId="51C6750D" w14:textId="3D085946" w:rsidR="00FE1BF6" w:rsidRDefault="00570F57" w:rsidP="00CA146C">
      <w:r>
        <w:t xml:space="preserve">Based on our findings, we propose to use </w:t>
      </w:r>
      <w:r w:rsidR="00F141A7">
        <w:t>systolic blood pressure</w:t>
      </w:r>
      <w:r w:rsidR="00A16EE9">
        <w:t xml:space="preserve"> and the severit</w:t>
      </w:r>
      <w:r w:rsidR="00FE0369">
        <w:t xml:space="preserve">y of a patient’s comorbidities for evaluating the </w:t>
      </w:r>
      <w:r w:rsidR="0056366D">
        <w:t>risk of mortality</w:t>
      </w:r>
      <w:r w:rsidR="00615B7E">
        <w:t xml:space="preserve">. </w:t>
      </w:r>
      <w:r w:rsidR="009B39E4">
        <w:t xml:space="preserve">These parameters are both easy to obtain in daily clinical practice. </w:t>
      </w:r>
    </w:p>
    <w:p w14:paraId="25E66E0D" w14:textId="3FA05880" w:rsidR="00176C5F" w:rsidRPr="006155C0" w:rsidRDefault="009B39E4" w:rsidP="00CA146C">
      <w:r>
        <w:t xml:space="preserve">Patients with a lower systolic blood pressure and/or with extensive comorbidities could in our opinion benefit from timely introduction of an advanced care planning and a more palliative oriented approach. </w:t>
      </w:r>
      <w:r w:rsidR="00A16EE9">
        <w:t>For</w:t>
      </w:r>
      <w:r w:rsidR="0056366D">
        <w:t xml:space="preserve"> </w:t>
      </w:r>
      <w:r w:rsidR="00765438">
        <w:t xml:space="preserve">now, </w:t>
      </w:r>
      <w:r w:rsidR="0056366D">
        <w:t xml:space="preserve">we could not demonstrate any prognostic value of </w:t>
      </w:r>
      <w:r w:rsidR="00955D1A">
        <w:t>functional/</w:t>
      </w:r>
      <w:r w:rsidR="00176C5F">
        <w:t>geriatric</w:t>
      </w:r>
      <w:r w:rsidR="0056366D">
        <w:t xml:space="preserve"> parameters</w:t>
      </w:r>
      <w:r w:rsidR="00106D1B">
        <w:t xml:space="preserve"> in older patients with heart failure. </w:t>
      </w:r>
      <w:r w:rsidR="008117EC">
        <w:t>Blood pressure and comorbidity</w:t>
      </w:r>
      <w:r w:rsidR="005A1938">
        <w:t xml:space="preserve"> seem of greater value for predicting one year mortality, e</w:t>
      </w:r>
      <w:r w:rsidR="00106D1B">
        <w:t>ven in patients hospitalized on the geriatric ward</w:t>
      </w:r>
      <w:r w:rsidR="006A67B3">
        <w:t xml:space="preserve">. </w:t>
      </w:r>
      <w:r w:rsidR="00DA5FEA">
        <w:t>F</w:t>
      </w:r>
      <w:r w:rsidR="0056366D">
        <w:t>urther research in larger patient groups is required</w:t>
      </w:r>
      <w:r w:rsidR="00DC3BAF">
        <w:t xml:space="preserve"> to determine </w:t>
      </w:r>
      <w:r w:rsidR="006F2477">
        <w:t xml:space="preserve">if functional parameters </w:t>
      </w:r>
      <w:r w:rsidR="00462DF1" w:rsidRPr="00C64C57">
        <w:t>and/or frailty tools (such as the widespread Rockwood Clinical Frailty Scale)</w:t>
      </w:r>
      <w:r w:rsidR="00462DF1">
        <w:t xml:space="preserve"> </w:t>
      </w:r>
      <w:r w:rsidR="006F2477">
        <w:t xml:space="preserve">could be of </w:t>
      </w:r>
      <w:r w:rsidR="00E00880">
        <w:t>added value</w:t>
      </w:r>
      <w:r w:rsidR="006F2477">
        <w:t xml:space="preserve"> </w:t>
      </w:r>
      <w:r w:rsidR="00865B78">
        <w:t xml:space="preserve">in predicting </w:t>
      </w:r>
      <w:r w:rsidR="00860C63">
        <w:t xml:space="preserve">the risk of mortality in </w:t>
      </w:r>
      <w:r w:rsidR="00E00880">
        <w:t xml:space="preserve">older, geriatric </w:t>
      </w:r>
      <w:r w:rsidR="00860C63">
        <w:t xml:space="preserve">heart </w:t>
      </w:r>
      <w:r w:rsidR="00744D4A">
        <w:t>failure patients</w:t>
      </w:r>
      <w:r w:rsidR="0056366D">
        <w:t xml:space="preserve">. </w:t>
      </w:r>
      <w:r w:rsidR="00744D4A">
        <w:t xml:space="preserve">When setting up </w:t>
      </w:r>
      <w:r w:rsidR="00FD4112">
        <w:t xml:space="preserve">further research projects we recommend </w:t>
      </w:r>
      <w:r w:rsidR="00182924">
        <w:t xml:space="preserve">including the </w:t>
      </w:r>
      <w:r w:rsidR="00F33017">
        <w:t>subcategories</w:t>
      </w:r>
      <w:r w:rsidR="00182924">
        <w:t xml:space="preserve">/questions of the different </w:t>
      </w:r>
      <w:r w:rsidR="00F33017">
        <w:t>functional/</w:t>
      </w:r>
      <w:r w:rsidR="008F7B79">
        <w:t xml:space="preserve">geriatric </w:t>
      </w:r>
      <w:r w:rsidR="0073251E">
        <w:t>parameters,</w:t>
      </w:r>
      <w:r w:rsidR="00AB2D9A">
        <w:t xml:space="preserve"> providing information on heart failure medication</w:t>
      </w:r>
      <w:r w:rsidR="00D92991">
        <w:t>,</w:t>
      </w:r>
      <w:r w:rsidR="00AB2D9A">
        <w:t xml:space="preserve"> </w:t>
      </w:r>
      <w:r w:rsidR="00D92991">
        <w:t>adding parameters that probe for frailty/physical function</w:t>
      </w:r>
      <w:r w:rsidR="0001700F">
        <w:t>ing</w:t>
      </w:r>
      <w:r w:rsidR="00D92991">
        <w:t xml:space="preserve">, </w:t>
      </w:r>
      <w:r w:rsidR="001F2E06">
        <w:t xml:space="preserve">adding </w:t>
      </w:r>
      <w:r w:rsidR="008F7B79">
        <w:t>the risk of read</w:t>
      </w:r>
      <w:r w:rsidR="006A21EA">
        <w:t>mission</w:t>
      </w:r>
      <w:r w:rsidR="00D92991">
        <w:t xml:space="preserve"> and </w:t>
      </w:r>
      <w:r w:rsidR="006A67B3">
        <w:t>cause of death</w:t>
      </w:r>
      <w:r w:rsidR="00D92991">
        <w:t xml:space="preserve"> </w:t>
      </w:r>
      <w:r w:rsidR="006A21EA">
        <w:t>as outcome parameter</w:t>
      </w:r>
      <w:r w:rsidR="006A67B3">
        <w:t>s</w:t>
      </w:r>
      <w:r w:rsidR="00DF01C9">
        <w:t>.</w:t>
      </w:r>
      <w:r w:rsidR="004B088A">
        <w:t xml:space="preserve"> </w:t>
      </w:r>
      <w:r w:rsidR="00F33017">
        <w:t xml:space="preserve"> </w:t>
      </w:r>
    </w:p>
    <w:p w14:paraId="793705DC" w14:textId="60EF1334" w:rsidR="00176C5F" w:rsidRPr="00966744" w:rsidRDefault="00966744" w:rsidP="00917994">
      <w:pPr>
        <w:pStyle w:val="Kop1"/>
      </w:pPr>
      <w:r w:rsidRPr="00966744">
        <w:t>A</w:t>
      </w:r>
      <w:r w:rsidR="00D00A9C">
        <w:t>cknowledgments</w:t>
      </w:r>
    </w:p>
    <w:p w14:paraId="4B83BA5C" w14:textId="0B04F2BE" w:rsidR="008238DC" w:rsidRPr="00966744" w:rsidRDefault="00966744" w:rsidP="00CA146C">
      <w:r w:rsidRPr="00966744">
        <w:t>The authors wish to thank</w:t>
      </w:r>
      <w:r>
        <w:t xml:space="preserve"> the patients and their families/legal representatives for their participati</w:t>
      </w:r>
      <w:r w:rsidR="006C5881">
        <w:t>o</w:t>
      </w:r>
      <w:r>
        <w:t xml:space="preserve">n in our study. Furthermore we would like to thank </w:t>
      </w:r>
      <w:proofErr w:type="spellStart"/>
      <w:r>
        <w:t>Dr.</w:t>
      </w:r>
      <w:proofErr w:type="spellEnd"/>
      <w:r>
        <w:t xml:space="preserve"> Van de Vyver Celine and </w:t>
      </w:r>
      <w:proofErr w:type="spellStart"/>
      <w:r>
        <w:t>Dr.</w:t>
      </w:r>
      <w:proofErr w:type="spellEnd"/>
      <w:r>
        <w:t xml:space="preserve"> Maes Hanne for the data collection. </w:t>
      </w:r>
    </w:p>
    <w:p w14:paraId="4D49A520" w14:textId="67080BA3" w:rsidR="001C16A5" w:rsidRDefault="0026653F" w:rsidP="00917994">
      <w:pPr>
        <w:pStyle w:val="Kop1"/>
      </w:pPr>
      <w:r>
        <w:lastRenderedPageBreak/>
        <w:t>References</w:t>
      </w:r>
    </w:p>
    <w:p w14:paraId="20C66A8C" w14:textId="3F227A9B" w:rsidR="00AE5745" w:rsidRDefault="001C16A5" w:rsidP="00AE5745">
      <w:pPr>
        <w:rPr>
          <w:noProof/>
        </w:rPr>
      </w:pPr>
      <w:r>
        <w:fldChar w:fldCharType="begin" w:fldLock="1"/>
      </w:r>
      <w:r>
        <w:instrText xml:space="preserve">ADDIN Mendeley Bibliography CSL_BIBLIOGRAPHY </w:instrText>
      </w:r>
      <w:r>
        <w:fldChar w:fldCharType="separate"/>
      </w:r>
      <w:r w:rsidR="00AE5745">
        <w:rPr>
          <w:noProof/>
        </w:rPr>
        <w:t xml:space="preserve">1. </w:t>
      </w:r>
      <w:r w:rsidR="00AE5745">
        <w:rPr>
          <w:noProof/>
        </w:rPr>
        <w:tab/>
        <w:t xml:space="preserve">Gorodeski EZ, Goyal P, Hummel SL, Krishnaswami A, Goodlin SJ, Hart LL, et al. Domain Management Approach to Heart Failure in the Geriatric Patient: Present and Future. J Am Coll Cardiol. 2018;71(17):1921–36. </w:t>
      </w:r>
    </w:p>
    <w:p w14:paraId="76F237C0" w14:textId="77777777" w:rsidR="00AE5745" w:rsidRPr="004F52C8" w:rsidRDefault="00AE5745" w:rsidP="00AE5745">
      <w:pPr>
        <w:rPr>
          <w:noProof/>
          <w:lang w:val="nl-BE"/>
        </w:rPr>
      </w:pPr>
      <w:r>
        <w:rPr>
          <w:noProof/>
        </w:rPr>
        <w:t xml:space="preserve">2. </w:t>
      </w:r>
      <w:r>
        <w:rPr>
          <w:noProof/>
        </w:rPr>
        <w:tab/>
        <w:t xml:space="preserve">Thomas S, Rich MW. Epidemiology, Pathophysiology, and Prognosis of Heart Failure in the Elderly. </w:t>
      </w:r>
      <w:r w:rsidRPr="004F52C8">
        <w:rPr>
          <w:noProof/>
          <w:lang w:val="nl-BE"/>
        </w:rPr>
        <w:t xml:space="preserve">Clin Geriatr Med. 2007;23(1):1–10. </w:t>
      </w:r>
    </w:p>
    <w:p w14:paraId="3082F1C1" w14:textId="1FEDC38D" w:rsidR="00D03D4D" w:rsidRDefault="00D03D4D" w:rsidP="00AE5745">
      <w:pPr>
        <w:rPr>
          <w:noProof/>
        </w:rPr>
      </w:pPr>
      <w:r w:rsidRPr="004F52C8">
        <w:rPr>
          <w:noProof/>
          <w:lang w:val="nl-BE"/>
        </w:rPr>
        <w:t xml:space="preserve">3. </w:t>
      </w:r>
      <w:r w:rsidRPr="00AE5745">
        <w:rPr>
          <w:noProof/>
          <w:lang w:val="nl-BE"/>
        </w:rPr>
        <w:tab/>
        <w:t xml:space="preserve">Ament SMC, Couwenberg IME, Boyne JJJ, Kleijnen J, Stoffers HEJH, van den Beuken MHJ, et al. </w:t>
      </w:r>
      <w:r>
        <w:rPr>
          <w:noProof/>
        </w:rPr>
        <w:t xml:space="preserve">Tools to help healthcare professionals recognize palliative care needs in patients with advanced heart failure: A systematic review. Palliat Med. 2021;35(1):45–58. </w:t>
      </w:r>
    </w:p>
    <w:p w14:paraId="4551B81C" w14:textId="344DB920" w:rsidR="00AE5745" w:rsidRDefault="00D03D4D" w:rsidP="00AE5745">
      <w:pPr>
        <w:rPr>
          <w:noProof/>
        </w:rPr>
      </w:pPr>
      <w:r>
        <w:rPr>
          <w:noProof/>
        </w:rPr>
        <w:t>4</w:t>
      </w:r>
      <w:r w:rsidR="00AE5745">
        <w:rPr>
          <w:noProof/>
        </w:rPr>
        <w:t xml:space="preserve">. </w:t>
      </w:r>
      <w:r w:rsidR="00AE5745">
        <w:rPr>
          <w:noProof/>
        </w:rPr>
        <w:tab/>
        <w:t xml:space="preserve">Sridharan L, Klein L. Prognostic factors in patients hospitalized for heart failure. Curr Heart Fail Rep. 2013;10(4):380–6. </w:t>
      </w:r>
    </w:p>
    <w:p w14:paraId="6B10F1A5" w14:textId="07398912" w:rsidR="00AE5745" w:rsidRDefault="00D03D4D" w:rsidP="00AE5745">
      <w:pPr>
        <w:rPr>
          <w:noProof/>
        </w:rPr>
      </w:pPr>
      <w:r>
        <w:rPr>
          <w:noProof/>
        </w:rPr>
        <w:t>5</w:t>
      </w:r>
      <w:r w:rsidR="00AE5745">
        <w:rPr>
          <w:noProof/>
        </w:rPr>
        <w:t xml:space="preserve">. </w:t>
      </w:r>
      <w:r w:rsidR="00AE5745">
        <w:rPr>
          <w:noProof/>
        </w:rPr>
        <w:tab/>
        <w:t xml:space="preserve">Shah KS, Xu H, Matsouaka RA, Bhatt DL, Heidenreich PA, Hernandez AF, et al. Heart Failure With Preserved, Borderline, and Reduced Ejection Fraction: 5-Year Outcomes. J Am Coll Cardiol. 2017;70(20):2476–86. </w:t>
      </w:r>
    </w:p>
    <w:p w14:paraId="0413413A" w14:textId="187F4E95" w:rsidR="00AE5745" w:rsidRDefault="00D03D4D" w:rsidP="00AE5745">
      <w:pPr>
        <w:rPr>
          <w:noProof/>
        </w:rPr>
      </w:pPr>
      <w:r>
        <w:rPr>
          <w:noProof/>
        </w:rPr>
        <w:t>6</w:t>
      </w:r>
      <w:r w:rsidR="00AE5745">
        <w:rPr>
          <w:noProof/>
        </w:rPr>
        <w:t xml:space="preserve">. </w:t>
      </w:r>
      <w:r w:rsidR="00AE5745">
        <w:rPr>
          <w:noProof/>
        </w:rPr>
        <w:tab/>
        <w:t xml:space="preserve">Pagel PS, Tawil JN, Boettcher BT, Izquierdo DA, Lazicki TJ, Crystal GJ, et al. Heart Failure With Preserved Ejection Fraction: A Comprehensive Review and Update of Diagnosis, Pathophysiology, Treatment, and Perioperative Implications. J Cardiothorac Vasc Anesth. 2021;35(6):1839–59. </w:t>
      </w:r>
    </w:p>
    <w:p w14:paraId="22141709" w14:textId="1F253A90" w:rsidR="003A1073" w:rsidRPr="004F52C8" w:rsidRDefault="00D03D4D" w:rsidP="00AE5745">
      <w:pPr>
        <w:rPr>
          <w:noProof/>
        </w:rPr>
      </w:pPr>
      <w:r>
        <w:rPr>
          <w:noProof/>
        </w:rPr>
        <w:t>7</w:t>
      </w:r>
      <w:r w:rsidR="00AE5745">
        <w:rPr>
          <w:noProof/>
        </w:rPr>
        <w:t xml:space="preserve">. </w:t>
      </w:r>
      <w:r w:rsidR="00AE5745">
        <w:rPr>
          <w:noProof/>
        </w:rPr>
        <w:tab/>
      </w:r>
      <w:r w:rsidR="00D876F5" w:rsidRPr="00D876F5">
        <w:rPr>
          <w:noProof/>
        </w:rPr>
        <w:t>McDonagh TA, Metra M, Adamo M, Baumbach A, Böhm M, Burri H, et al. 2021 ESC Guidelines for the diagnosis and treatment of acute and chronic heart failure. Eur Heart J. 2021;42(36):3599–726.</w:t>
      </w:r>
    </w:p>
    <w:p w14:paraId="32E66D81" w14:textId="0CDF7FDA" w:rsidR="003A1073" w:rsidRDefault="003A1073" w:rsidP="003A1073">
      <w:pPr>
        <w:rPr>
          <w:noProof/>
        </w:rPr>
      </w:pPr>
      <w:r>
        <w:t>8</w:t>
      </w:r>
      <w:r>
        <w:rPr>
          <w:noProof/>
        </w:rPr>
        <w:t xml:space="preserve">. </w:t>
      </w:r>
      <w:r>
        <w:rPr>
          <w:noProof/>
        </w:rPr>
        <w:tab/>
        <w:t xml:space="preserve">Chaudhry SI, Wang Y, Gill TM, Krumholz HM. Geriatric Conditions and Subsequent Mortality in Older Patients With Heart Failure. J Am Coll Cardiol. 2010;55(4):309–16. </w:t>
      </w:r>
    </w:p>
    <w:p w14:paraId="0942F847" w14:textId="097E3E2F" w:rsidR="003A1073" w:rsidRDefault="003A1073" w:rsidP="003A1073">
      <w:pPr>
        <w:rPr>
          <w:noProof/>
        </w:rPr>
      </w:pPr>
      <w:r>
        <w:rPr>
          <w:noProof/>
        </w:rPr>
        <w:lastRenderedPageBreak/>
        <w:t xml:space="preserve">9. </w:t>
      </w:r>
      <w:r>
        <w:rPr>
          <w:noProof/>
        </w:rPr>
        <w:tab/>
        <w:t xml:space="preserve">Vidán MT, Blaya-Novakova V, Sánchez E, Ortiz J, Serra-Rexach JA, Bueno H. Prevalence and prognostic impact of frailty and its components in non-dependent elderly patients with heart failure. Eur J Heart Fail. 2016;18(7):869–75. </w:t>
      </w:r>
    </w:p>
    <w:p w14:paraId="479B7BBA" w14:textId="4FD882E5" w:rsidR="003A1073" w:rsidRDefault="003A1073" w:rsidP="00AE5745">
      <w:pPr>
        <w:rPr>
          <w:noProof/>
        </w:rPr>
      </w:pPr>
      <w:r>
        <w:rPr>
          <w:noProof/>
        </w:rPr>
        <w:t xml:space="preserve">10. </w:t>
      </w:r>
      <w:r>
        <w:rPr>
          <w:noProof/>
        </w:rPr>
        <w:tab/>
      </w:r>
      <w:r w:rsidRPr="003A1073">
        <w:rPr>
          <w:noProof/>
        </w:rPr>
        <w:t>Fried LP, Tangen CM, Walston J, Newman AB, Hirsch C, Gottdiener J, Seeman T, Tracy R, Kop WJ, Burke G, McBurnie MA; Cardiovascular Health Study Collaborative Research Group. Frailty in older adults: evidence for a phenotype. J Gerontol A Biol Sci Med Sci 2001;56:M146–M156.</w:t>
      </w:r>
    </w:p>
    <w:p w14:paraId="2D87D1E2" w14:textId="4E8B9D4C" w:rsidR="00556F91" w:rsidRDefault="00E42ADC" w:rsidP="00AE5745">
      <w:pPr>
        <w:rPr>
          <w:noProof/>
        </w:rPr>
      </w:pPr>
      <w:r>
        <w:rPr>
          <w:noProof/>
        </w:rPr>
        <w:t xml:space="preserve">11. </w:t>
      </w:r>
      <w:r>
        <w:rPr>
          <w:noProof/>
        </w:rPr>
        <w:tab/>
      </w:r>
      <w:r w:rsidRPr="00E42ADC">
        <w:rPr>
          <w:noProof/>
        </w:rPr>
        <w:t>Sánchez E, Vidán MT, Serra JA, Fernández-Avilés F, Bueno H. Prevalence of geriatric syndromes and impact on clinical and functional outcomes in older patients with acute cardiac diseases. Heart. 2011;97(19):1602–6.</w:t>
      </w:r>
    </w:p>
    <w:p w14:paraId="495C70DA" w14:textId="7205E857" w:rsidR="00556F91" w:rsidRDefault="00556F91" w:rsidP="00AE5745">
      <w:pPr>
        <w:rPr>
          <w:noProof/>
        </w:rPr>
      </w:pPr>
      <w:r>
        <w:rPr>
          <w:noProof/>
        </w:rPr>
        <w:t xml:space="preserve">12. </w:t>
      </w:r>
      <w:r w:rsidR="004C5FB1">
        <w:rPr>
          <w:noProof/>
        </w:rPr>
        <w:tab/>
      </w:r>
      <w:r w:rsidRPr="00556F91">
        <w:rPr>
          <w:noProof/>
        </w:rPr>
        <w:t>Abizanda P et al.</w:t>
      </w:r>
      <w:r w:rsidR="00665AB2">
        <w:rPr>
          <w:noProof/>
        </w:rPr>
        <w:t xml:space="preserve"> </w:t>
      </w:r>
      <w:r w:rsidR="00665AB2" w:rsidRPr="00D068E3">
        <w:rPr>
          <w:noProof/>
        </w:rPr>
        <w:t>Age, frailty, disability, institutionalization, multimorbidity or comorbidity. Which are the main targets in older adults?</w:t>
      </w:r>
      <w:r w:rsidR="00665AB2" w:rsidRPr="00556F91">
        <w:rPr>
          <w:noProof/>
        </w:rPr>
        <w:t xml:space="preserve"> </w:t>
      </w:r>
      <w:r w:rsidRPr="00556F91">
        <w:rPr>
          <w:noProof/>
        </w:rPr>
        <w:t xml:space="preserve"> J Nutr Health Aging 2014;</w:t>
      </w:r>
      <w:r w:rsidR="00665AB2">
        <w:rPr>
          <w:noProof/>
        </w:rPr>
        <w:t xml:space="preserve"> </w:t>
      </w:r>
      <w:r w:rsidRPr="00556F91">
        <w:rPr>
          <w:noProof/>
        </w:rPr>
        <w:t xml:space="preserve"> 18(6): 622-27.</w:t>
      </w:r>
    </w:p>
    <w:p w14:paraId="57DCFBD5" w14:textId="6EFFCA3F" w:rsidR="000C5646" w:rsidRDefault="000C5646" w:rsidP="000C5646">
      <w:pPr>
        <w:rPr>
          <w:noProof/>
        </w:rPr>
      </w:pPr>
      <w:r>
        <w:rPr>
          <w:noProof/>
        </w:rPr>
        <w:t>1</w:t>
      </w:r>
      <w:r w:rsidR="00556F91">
        <w:rPr>
          <w:noProof/>
        </w:rPr>
        <w:t>3</w:t>
      </w:r>
      <w:r>
        <w:rPr>
          <w:noProof/>
        </w:rPr>
        <w:t xml:space="preserve">. </w:t>
      </w:r>
      <w:r>
        <w:rPr>
          <w:noProof/>
        </w:rPr>
        <w:tab/>
        <w:t xml:space="preserve">Abraham WT, Fonarow GC, Albert NM, Stough WG, Gheorghiade M, Greenberg BH, et al. Predictors of In-Hospital Mortality in Patients Hospitalized for Heart Failure. Insights From the Organized Program to Initiate Lifesaving Treatment in Hospitalized Patients With Heart Failure (OPTIMIZE-HF). J Am Coll Cardiol. 2008;52(5):347–56. </w:t>
      </w:r>
    </w:p>
    <w:p w14:paraId="501BDC3D" w14:textId="7A3D1EF6" w:rsidR="000C5646" w:rsidRDefault="000C5646" w:rsidP="00AE5745">
      <w:pPr>
        <w:rPr>
          <w:noProof/>
        </w:rPr>
      </w:pPr>
      <w:r>
        <w:rPr>
          <w:noProof/>
        </w:rPr>
        <w:t>1</w:t>
      </w:r>
      <w:r w:rsidR="00556F91">
        <w:rPr>
          <w:noProof/>
        </w:rPr>
        <w:t>4</w:t>
      </w:r>
      <w:r>
        <w:rPr>
          <w:noProof/>
        </w:rPr>
        <w:t xml:space="preserve">. </w:t>
      </w:r>
      <w:r>
        <w:rPr>
          <w:noProof/>
        </w:rPr>
        <w:tab/>
        <w:t xml:space="preserve">Felker GM, Leimberger JD, Califf RM, Cuffe MS, Massie BM, Adams KF, et al. Risk stratification after hospitalization for decompensated heart failure. J Card Fail. 2004;10(6):460–6. </w:t>
      </w:r>
    </w:p>
    <w:p w14:paraId="340B58A7" w14:textId="5CF737F5" w:rsidR="00AE5745" w:rsidRDefault="006904A1" w:rsidP="00AE5745">
      <w:pPr>
        <w:rPr>
          <w:noProof/>
        </w:rPr>
      </w:pPr>
      <w:r>
        <w:rPr>
          <w:noProof/>
        </w:rPr>
        <w:t>1</w:t>
      </w:r>
      <w:r w:rsidR="00556F91">
        <w:rPr>
          <w:noProof/>
        </w:rPr>
        <w:t>5</w:t>
      </w:r>
      <w:r w:rsidR="00AE5745">
        <w:rPr>
          <w:noProof/>
        </w:rPr>
        <w:t xml:space="preserve">. </w:t>
      </w:r>
      <w:r w:rsidR="00AE5745">
        <w:rPr>
          <w:noProof/>
        </w:rPr>
        <w:tab/>
        <w:t xml:space="preserve">Kavalieratos, Dio; Gelfman, Laura P; Tycon, Laura E; Riegel, Barbara; Bekelman, David B; Ikejiani, Dara; Goldstein, Nathan; Kimmel, Stephen E; Bakitas, Marie A; Arnold </w:t>
      </w:r>
      <w:r w:rsidR="00AE5745">
        <w:rPr>
          <w:noProof/>
        </w:rPr>
        <w:lastRenderedPageBreak/>
        <w:t xml:space="preserve">RM. Integration of palliative care in heart failure: rationale, evidence and future priorities. J Am Coll Cardiol. 2017;70(15):1919–30. </w:t>
      </w:r>
    </w:p>
    <w:p w14:paraId="1D5DE34D" w14:textId="629CCB21" w:rsidR="000C5646" w:rsidRPr="00D31295" w:rsidRDefault="000C5646" w:rsidP="000C5646">
      <w:pPr>
        <w:rPr>
          <w:noProof/>
          <w:lang w:val="de-DE"/>
        </w:rPr>
      </w:pPr>
      <w:r w:rsidRPr="004F52C8">
        <w:rPr>
          <w:noProof/>
        </w:rPr>
        <w:t>1</w:t>
      </w:r>
      <w:r w:rsidR="00556F91">
        <w:rPr>
          <w:noProof/>
        </w:rPr>
        <w:t>6</w:t>
      </w:r>
      <w:r w:rsidRPr="004F52C8">
        <w:rPr>
          <w:noProof/>
        </w:rPr>
        <w:t xml:space="preserve">. </w:t>
      </w:r>
      <w:r w:rsidRPr="004F52C8">
        <w:rPr>
          <w:noProof/>
        </w:rPr>
        <w:tab/>
        <w:t xml:space="preserve">Gaertner J, Siemens W, Meerpohl JJ, Antes G, Meffert C, Xander C, et al. </w:t>
      </w:r>
      <w:r>
        <w:rPr>
          <w:noProof/>
        </w:rPr>
        <w:t xml:space="preserve">Effect of specialist palliative care services on quality of life in adults with advanced incurable illness in hospital, hospice, or community settings: Systematic review and meta-analysis. </w:t>
      </w:r>
      <w:r w:rsidRPr="00D31295">
        <w:rPr>
          <w:noProof/>
          <w:lang w:val="de-DE"/>
        </w:rPr>
        <w:t xml:space="preserve">BMJ. 2017;357. </w:t>
      </w:r>
    </w:p>
    <w:p w14:paraId="35E5D199" w14:textId="3C886D1B" w:rsidR="000C5646" w:rsidRPr="004F52C8" w:rsidRDefault="000C5646" w:rsidP="000C5646">
      <w:pPr>
        <w:rPr>
          <w:noProof/>
        </w:rPr>
      </w:pPr>
      <w:r w:rsidRPr="00D31295">
        <w:rPr>
          <w:noProof/>
          <w:lang w:val="de-DE"/>
        </w:rPr>
        <w:t>1</w:t>
      </w:r>
      <w:r w:rsidR="00556F91">
        <w:rPr>
          <w:noProof/>
          <w:lang w:val="de-DE"/>
        </w:rPr>
        <w:t>7</w:t>
      </w:r>
      <w:r w:rsidRPr="00D31295">
        <w:rPr>
          <w:noProof/>
          <w:lang w:val="de-DE"/>
        </w:rPr>
        <w:t xml:space="preserve">. </w:t>
      </w:r>
      <w:r w:rsidRPr="00D31295">
        <w:rPr>
          <w:noProof/>
          <w:lang w:val="de-DE"/>
        </w:rPr>
        <w:tab/>
        <w:t xml:space="preserve">Diop MS, Rudolph JL, Zimmerman KM, Richter MA, Skarf LM. </w:t>
      </w:r>
      <w:r>
        <w:rPr>
          <w:noProof/>
        </w:rPr>
        <w:t xml:space="preserve">Palliative Care Interventions for Patients with Heart Failure: A Systematic Review and Meta-Analysis. J Palliat Med. 2017;20(1):84–92. </w:t>
      </w:r>
    </w:p>
    <w:p w14:paraId="505B8B26" w14:textId="03A42614" w:rsidR="00E243F3" w:rsidRDefault="006904A1" w:rsidP="00E243F3">
      <w:r>
        <w:t>1</w:t>
      </w:r>
      <w:r w:rsidR="00556F91">
        <w:t>8</w:t>
      </w:r>
      <w:r w:rsidR="00E243F3">
        <w:t xml:space="preserve">. </w:t>
      </w:r>
      <w:r w:rsidR="00E243F3">
        <w:tab/>
        <w:t>Meldon SW, Mion LC, Palmer RM, Drew BL, Connor JT, Lewicki LJ, et al. A brief riskstratification tool to predict repeat emergency department visits and hospitalizations in older patients discharged from the emergency department. Acad Emerg Med. 2003;10(3):224-32.</w:t>
      </w:r>
    </w:p>
    <w:p w14:paraId="19A7C0C9" w14:textId="287B3EBE" w:rsidR="00E243F3" w:rsidRDefault="006904A1" w:rsidP="00E243F3">
      <w:r>
        <w:t>1</w:t>
      </w:r>
      <w:r w:rsidR="00556F91">
        <w:t>9</w:t>
      </w:r>
      <w:r w:rsidR="00E243F3">
        <w:t xml:space="preserve">. </w:t>
      </w:r>
      <w:r w:rsidR="00E243F3">
        <w:tab/>
        <w:t>Katz S, Downs TD, Cash HR, Grotz RC. Progress in development of the index of ADL. Gerontologist 1970;10(1):20-30</w:t>
      </w:r>
    </w:p>
    <w:p w14:paraId="539B914C" w14:textId="4B4C759F" w:rsidR="00E243F3" w:rsidRDefault="00556F91" w:rsidP="00E243F3">
      <w:r>
        <w:t>20</w:t>
      </w:r>
      <w:r w:rsidR="00E243F3">
        <w:t xml:space="preserve">. </w:t>
      </w:r>
      <w:r w:rsidR="00E243F3">
        <w:tab/>
      </w:r>
      <w:r w:rsidR="00E243F3" w:rsidRPr="00E243F3">
        <w:t>Charlson ME, Pompei P, Ales KL, MacKenzie CR (1987). "A new method of classifying prognostic comorbidity in longitudinal studies: development and validation". Journal of Chronic Diseases. 40 (5): 373–383. doi:10.1016/0021-9681(87)90171-8. PMID 3558716</w:t>
      </w:r>
    </w:p>
    <w:p w14:paraId="3448F030" w14:textId="4530ABE9" w:rsidR="00AE5745" w:rsidRDefault="00556F91" w:rsidP="00AE5745">
      <w:r>
        <w:t>21</w:t>
      </w:r>
      <w:r w:rsidR="00E243F3">
        <w:t xml:space="preserve">. </w:t>
      </w:r>
      <w:r w:rsidR="00E243F3">
        <w:tab/>
        <w:t>Lawton MP, Brody EM. Assessment of older people: self-maintaining and instrumental activities of daily living. Gerontologist 1969;9(3):179-86</w:t>
      </w:r>
      <w:r w:rsidR="00AE5745">
        <w:rPr>
          <w:noProof/>
        </w:rPr>
        <w:t xml:space="preserve"> </w:t>
      </w:r>
    </w:p>
    <w:p w14:paraId="6D33209A" w14:textId="731407D2" w:rsidR="00AE5745" w:rsidRDefault="00556F91" w:rsidP="00AE5745">
      <w:pPr>
        <w:rPr>
          <w:noProof/>
        </w:rPr>
      </w:pPr>
      <w:r>
        <w:rPr>
          <w:noProof/>
        </w:rPr>
        <w:lastRenderedPageBreak/>
        <w:t>22</w:t>
      </w:r>
      <w:r w:rsidR="00AE5745">
        <w:rPr>
          <w:noProof/>
        </w:rPr>
        <w:t xml:space="preserve">. </w:t>
      </w:r>
      <w:r w:rsidR="00AE5745">
        <w:rPr>
          <w:noProof/>
        </w:rPr>
        <w:tab/>
        <w:t xml:space="preserve">Alahdab MT, Mansour IN, Napan S, Stamos TD. Six Minute Walk Test Predicts Long-Term All-Cause Mortality and Heart Failure Rehospitalization in African-American Patients Hospitalized With Acute Decompensated Heart Failure. J Card Fail. 2009;15(2):130–5. </w:t>
      </w:r>
    </w:p>
    <w:p w14:paraId="5D769281" w14:textId="12ECCE8B" w:rsidR="00AE5745" w:rsidRDefault="00556F91" w:rsidP="00AE5745">
      <w:pPr>
        <w:rPr>
          <w:noProof/>
        </w:rPr>
      </w:pPr>
      <w:r>
        <w:rPr>
          <w:noProof/>
        </w:rPr>
        <w:t>23</w:t>
      </w:r>
      <w:r w:rsidR="00AE5745">
        <w:rPr>
          <w:noProof/>
        </w:rPr>
        <w:t xml:space="preserve">. </w:t>
      </w:r>
      <w:r w:rsidR="00AE5745">
        <w:rPr>
          <w:noProof/>
        </w:rPr>
        <w:tab/>
        <w:t xml:space="preserve">Warraich HJ, Kitzman DW, Whellan DJ, Duncan PW, Mentz RJ, Pastva AM, et al. Physical Function, Frailty, Cognition, Depression, and Quality of Life in Hospitalized Adults ≥60 Years With Acute Decompensated Heart Failure With Preserved Versus Reduced Ejection Fraction. Circ Heart Fail. 2018;11(11):e005254. </w:t>
      </w:r>
    </w:p>
    <w:p w14:paraId="28DF418C" w14:textId="4B8D02BC" w:rsidR="00AE5745" w:rsidRPr="009D3AA4" w:rsidRDefault="00556F91" w:rsidP="00AE5745">
      <w:pPr>
        <w:rPr>
          <w:noProof/>
        </w:rPr>
      </w:pPr>
      <w:r>
        <w:rPr>
          <w:noProof/>
        </w:rPr>
        <w:t>24</w:t>
      </w:r>
      <w:r w:rsidR="00AE5745">
        <w:rPr>
          <w:noProof/>
        </w:rPr>
        <w:t xml:space="preserve">. </w:t>
      </w:r>
      <w:r w:rsidR="00AE5745">
        <w:rPr>
          <w:noProof/>
        </w:rPr>
        <w:tab/>
        <w:t xml:space="preserve">Pocock SJ, Wang D, Pfeffer MA, Yusuf S, McMurray JJV, Swedberg KB, et al. Predictors of mortality and morbidity in patients with chronic heart failure. </w:t>
      </w:r>
      <w:r w:rsidR="00AE5745" w:rsidRPr="009D3AA4">
        <w:rPr>
          <w:noProof/>
        </w:rPr>
        <w:t xml:space="preserve">Eur Heart J. 2006;27(1):65–75. </w:t>
      </w:r>
    </w:p>
    <w:p w14:paraId="17E253CE" w14:textId="38390419" w:rsidR="00AE5745" w:rsidRDefault="00556F91" w:rsidP="00AE5745">
      <w:pPr>
        <w:rPr>
          <w:noProof/>
        </w:rPr>
      </w:pPr>
      <w:r w:rsidRPr="009D3AA4">
        <w:rPr>
          <w:noProof/>
        </w:rPr>
        <w:t>25</w:t>
      </w:r>
      <w:r w:rsidR="00AE5745" w:rsidRPr="009D3AA4">
        <w:rPr>
          <w:noProof/>
        </w:rPr>
        <w:t xml:space="preserve">. </w:t>
      </w:r>
      <w:r w:rsidR="00AE5745" w:rsidRPr="009D3AA4">
        <w:rPr>
          <w:noProof/>
        </w:rPr>
        <w:tab/>
        <w:t xml:space="preserve">Siirilä-Waris K, Lassus J, Melin J, Peuhkurinen K, Nieminen MS, Harjola VP. </w:t>
      </w:r>
      <w:r w:rsidR="00AE5745">
        <w:rPr>
          <w:noProof/>
        </w:rPr>
        <w:t xml:space="preserve">Characteristics, outcomes, and predictors of 1-year mortality in patients hospitalized for acute heart failure. Eur Heart J. 2006;27(24):3011–7. </w:t>
      </w:r>
    </w:p>
    <w:p w14:paraId="66C41F5F" w14:textId="119CC821" w:rsidR="00926404" w:rsidRPr="009D3AA4" w:rsidRDefault="00556F91" w:rsidP="00BA50E0">
      <w:pPr>
        <w:rPr>
          <w:noProof/>
        </w:rPr>
      </w:pPr>
      <w:r>
        <w:rPr>
          <w:noProof/>
        </w:rPr>
        <w:t>26</w:t>
      </w:r>
      <w:r w:rsidR="00926404" w:rsidRPr="00B725DD">
        <w:rPr>
          <w:noProof/>
        </w:rPr>
        <w:t xml:space="preserve">. </w:t>
      </w:r>
      <w:r w:rsidR="00926404" w:rsidRPr="00B725DD">
        <w:rPr>
          <w:noProof/>
        </w:rPr>
        <w:tab/>
        <w:t xml:space="preserve">Lorlowhakarn K, Arayakarnkul S, Trongtorsak A, Leesutipornchai T, Kewcharoen J, Sinphurmsukskul S, et al. </w:t>
      </w:r>
      <w:r w:rsidR="00926404" w:rsidRPr="00926404">
        <w:rPr>
          <w:noProof/>
        </w:rPr>
        <w:t xml:space="preserve">Outcomes and predictors of one-year mortality in patients hospitalized with Acute Heart Failure. </w:t>
      </w:r>
      <w:r w:rsidR="00926404" w:rsidRPr="009D3AA4">
        <w:rPr>
          <w:noProof/>
        </w:rPr>
        <w:t xml:space="preserve">IJC Hear Vasc. 2022;43(August):101159. </w:t>
      </w:r>
    </w:p>
    <w:p w14:paraId="4A943C52" w14:textId="279263D5" w:rsidR="005027AB" w:rsidRPr="00CB618E" w:rsidRDefault="00556F91" w:rsidP="00BA50E0">
      <w:pPr>
        <w:rPr>
          <w:noProof/>
        </w:rPr>
      </w:pPr>
      <w:r w:rsidRPr="009D3AA4">
        <w:rPr>
          <w:noProof/>
        </w:rPr>
        <w:t>27</w:t>
      </w:r>
      <w:r w:rsidR="005027AB" w:rsidRPr="009D3AA4">
        <w:rPr>
          <w:noProof/>
        </w:rPr>
        <w:t xml:space="preserve">. </w:t>
      </w:r>
      <w:r w:rsidR="00870CA5" w:rsidRPr="009D3AA4">
        <w:rPr>
          <w:noProof/>
        </w:rPr>
        <w:tab/>
      </w:r>
      <w:r w:rsidR="005027AB" w:rsidRPr="009D3AA4">
        <w:rPr>
          <w:noProof/>
        </w:rPr>
        <w:t xml:space="preserve">Van de Vyver C, Velghe A, Baeyens H, Baeyens JP, Dekoninck J, Van Den Noortgate N, et al. </w:t>
      </w:r>
      <w:r w:rsidR="005027AB" w:rsidRPr="005027AB">
        <w:rPr>
          <w:noProof/>
        </w:rPr>
        <w:t xml:space="preserve">Can usual gait speed be used as a prognostic factor for early palliative care identification in hospitalized older patients? </w:t>
      </w:r>
      <w:r w:rsidR="005027AB" w:rsidRPr="008C7A80">
        <w:rPr>
          <w:noProof/>
        </w:rPr>
        <w:t>A prospective study on two different wards. BMC Geriatr. 2020;20(1):1–10.</w:t>
      </w:r>
    </w:p>
    <w:p w14:paraId="501C4AE0" w14:textId="0C2D52CB" w:rsidR="001C4D0F" w:rsidRPr="001C4D0F" w:rsidRDefault="001C16A5" w:rsidP="00C62AAF">
      <w:pPr>
        <w:pStyle w:val="Kop1"/>
      </w:pPr>
      <w:r>
        <w:fldChar w:fldCharType="end"/>
      </w:r>
    </w:p>
    <w:p w14:paraId="1502CFAA" w14:textId="77777777" w:rsidR="00C62AAF" w:rsidRDefault="00C62AAF">
      <w:pPr>
        <w:spacing w:line="276" w:lineRule="auto"/>
        <w:jc w:val="left"/>
        <w:rPr>
          <w:rFonts w:eastAsiaTheme="majorEastAsia"/>
          <w:b/>
          <w:bCs/>
          <w:sz w:val="28"/>
          <w:szCs w:val="28"/>
        </w:rPr>
      </w:pPr>
      <w:r>
        <w:br w:type="page"/>
      </w:r>
    </w:p>
    <w:p w14:paraId="08FF7C38" w14:textId="41CDF37D" w:rsidR="005F75EE" w:rsidRDefault="009E774F" w:rsidP="00917994">
      <w:pPr>
        <w:pStyle w:val="Kop1"/>
      </w:pPr>
      <w:r>
        <w:lastRenderedPageBreak/>
        <w:t>C</w:t>
      </w:r>
      <w:r w:rsidR="0026653F">
        <w:t>onflicts of interest</w:t>
      </w:r>
    </w:p>
    <w:p w14:paraId="4C4D35CD" w14:textId="0B789F30" w:rsidR="005F75EE" w:rsidRDefault="005F75EE" w:rsidP="00CA146C">
      <w:pPr>
        <w:rPr>
          <w:lang w:val="en-US"/>
        </w:rPr>
      </w:pPr>
      <w:r w:rsidRPr="00045C00">
        <w:rPr>
          <w:lang w:val="en-US"/>
        </w:rPr>
        <w:t xml:space="preserve">The authors declare that there are no conflicts of interest. </w:t>
      </w:r>
    </w:p>
    <w:p w14:paraId="4915E1EC" w14:textId="30479867" w:rsidR="005F75EE" w:rsidRDefault="005F75EE" w:rsidP="00917994">
      <w:pPr>
        <w:pStyle w:val="Kop1"/>
        <w:rPr>
          <w:rFonts w:eastAsiaTheme="minorHAnsi"/>
        </w:rPr>
      </w:pPr>
      <w:r>
        <w:rPr>
          <w:rFonts w:eastAsiaTheme="minorHAnsi"/>
        </w:rPr>
        <w:t>B</w:t>
      </w:r>
      <w:r w:rsidR="0026653F">
        <w:rPr>
          <w:rFonts w:eastAsiaTheme="minorHAnsi"/>
        </w:rPr>
        <w:t>iographical note for each author</w:t>
      </w:r>
    </w:p>
    <w:p w14:paraId="0E7505C1" w14:textId="21D79E3D" w:rsidR="005F75EE" w:rsidRPr="00334588" w:rsidRDefault="005F75EE" w:rsidP="00334588">
      <w:pPr>
        <w:pStyle w:val="Kop3"/>
      </w:pPr>
      <w:r w:rsidRPr="00B25C95">
        <w:t xml:space="preserve">Lore </w:t>
      </w:r>
      <w:proofErr w:type="spellStart"/>
      <w:r w:rsidRPr="00B25C95">
        <w:t>Kestens</w:t>
      </w:r>
      <w:proofErr w:type="spellEnd"/>
      <w:r w:rsidR="0036228F" w:rsidRPr="00B25C95">
        <w:t>, MD</w:t>
      </w:r>
    </w:p>
    <w:p w14:paraId="293FFEBA" w14:textId="18EA20A9" w:rsidR="005F75EE" w:rsidRPr="005F75EE" w:rsidRDefault="005F75EE" w:rsidP="00CA146C">
      <w:r>
        <w:t>Sixth year resident in geriatric medicine (2024). She studies at the department of Geriatric Medicine of the Ghent University Hospital. She</w:t>
      </w:r>
      <w:r w:rsidR="006C52A7">
        <w:t xml:space="preserve"> is</w:t>
      </w:r>
      <w:r>
        <w:t xml:space="preserve"> </w:t>
      </w:r>
      <w:r w:rsidR="006C52A7">
        <w:t xml:space="preserve">one of </w:t>
      </w:r>
      <w:r>
        <w:t>the corresponding author</w:t>
      </w:r>
      <w:r w:rsidR="006C52A7">
        <w:t>s</w:t>
      </w:r>
      <w:r>
        <w:t xml:space="preserve">. She can be contacted at the following email address: </w:t>
      </w:r>
      <w:hyperlink r:id="rId10" w:history="1">
        <w:r w:rsidR="006C52A7" w:rsidRPr="006C52A7">
          <w:rPr>
            <w:rStyle w:val="Hyperlink"/>
          </w:rPr>
          <w:t>lore.kestens@ugent.be</w:t>
        </w:r>
      </w:hyperlink>
      <w:r>
        <w:t>.</w:t>
      </w:r>
    </w:p>
    <w:p w14:paraId="6788FC84" w14:textId="5CABE9BC" w:rsidR="005F75EE" w:rsidRDefault="005F75EE" w:rsidP="00334588">
      <w:pPr>
        <w:pStyle w:val="Kop3"/>
      </w:pPr>
      <w:r w:rsidRPr="00B25C95">
        <w:t>Sarah Billet</w:t>
      </w:r>
      <w:r w:rsidR="0036228F" w:rsidRPr="00B25C95">
        <w:t>, MD</w:t>
      </w:r>
    </w:p>
    <w:p w14:paraId="0D4C2F5E" w14:textId="6158CE91" w:rsidR="005F75EE" w:rsidRDefault="005F75EE" w:rsidP="00CA146C">
      <w:r>
        <w:t xml:space="preserve">Sixth year resident in geriatric medicine (2024). She studies at the department of Geriatric Medicine of the Ghent University Hospital. She is </w:t>
      </w:r>
      <w:r w:rsidR="006C52A7">
        <w:t>one of the</w:t>
      </w:r>
      <w:r>
        <w:t xml:space="preserve"> corresponding author</w:t>
      </w:r>
      <w:r w:rsidR="006C52A7">
        <w:t>s</w:t>
      </w:r>
      <w:r>
        <w:t xml:space="preserve">. She can be contacted at the following email address: </w:t>
      </w:r>
      <w:hyperlink r:id="rId11" w:history="1">
        <w:r>
          <w:rPr>
            <w:rStyle w:val="Hyperlink"/>
          </w:rPr>
          <w:t>sarah.billet@ugent.be</w:t>
        </w:r>
      </w:hyperlink>
      <w:r>
        <w:t>.</w:t>
      </w:r>
    </w:p>
    <w:p w14:paraId="3EC1F3B4" w14:textId="3BF9C1DC" w:rsidR="005F75EE" w:rsidRPr="00B25C95" w:rsidRDefault="001068BE" w:rsidP="00334588">
      <w:pPr>
        <w:pStyle w:val="Kop3"/>
      </w:pPr>
      <w:proofErr w:type="spellStart"/>
      <w:r w:rsidRPr="00B25C95">
        <w:t>Lineke</w:t>
      </w:r>
      <w:proofErr w:type="spellEnd"/>
      <w:r w:rsidRPr="00B25C95">
        <w:t xml:space="preserve"> Hens</w:t>
      </w:r>
      <w:r w:rsidR="0036228F" w:rsidRPr="00B25C95">
        <w:t>, MD</w:t>
      </w:r>
    </w:p>
    <w:p w14:paraId="31AF0FF7" w14:textId="66F406A7" w:rsidR="005F75EE" w:rsidRDefault="005514FA" w:rsidP="00CA146C">
      <w:r w:rsidRPr="00B25C95">
        <w:t xml:space="preserve">Cardiologist with special interest in heart failure. </w:t>
      </w:r>
      <w:proofErr w:type="spellStart"/>
      <w:r w:rsidRPr="00B25C95">
        <w:t>L</w:t>
      </w:r>
      <w:r w:rsidR="00E7020F">
        <w:t>ineke</w:t>
      </w:r>
      <w:proofErr w:type="spellEnd"/>
      <w:r w:rsidR="00E7020F">
        <w:t xml:space="preserve"> Hens</w:t>
      </w:r>
      <w:r w:rsidRPr="00B25C95">
        <w:t xml:space="preserve"> was affiliated with </w:t>
      </w:r>
      <w:r w:rsidR="005F75EE" w:rsidRPr="00B25C95">
        <w:t xml:space="preserve">the </w:t>
      </w:r>
      <w:r w:rsidR="00C26197" w:rsidRPr="00B25C95">
        <w:t>cardiology</w:t>
      </w:r>
      <w:r w:rsidR="005F75EE" w:rsidRPr="00B25C95">
        <w:t xml:space="preserve"> department at</w:t>
      </w:r>
      <w:r w:rsidRPr="00B25C95">
        <w:t xml:space="preserve"> Ghent University Hospital at the time of the trial and is currently affiliated with the cardiology department at</w:t>
      </w:r>
      <w:r w:rsidR="005F75EE" w:rsidRPr="00B25C95">
        <w:t xml:space="preserve"> </w:t>
      </w:r>
      <w:r w:rsidR="005F75EE" w:rsidRPr="00B25C95">
        <w:rPr>
          <w:lang w:val="en-US"/>
        </w:rPr>
        <w:t xml:space="preserve">AZ </w:t>
      </w:r>
      <w:proofErr w:type="spellStart"/>
      <w:r w:rsidR="00C26197" w:rsidRPr="00B25C95">
        <w:rPr>
          <w:lang w:val="en-US"/>
        </w:rPr>
        <w:t>Groenin</w:t>
      </w:r>
      <w:r w:rsidR="004C78F1" w:rsidRPr="00B25C95">
        <w:rPr>
          <w:lang w:val="en-US"/>
        </w:rPr>
        <w:t>g</w:t>
      </w:r>
      <w:r w:rsidR="00C26197" w:rsidRPr="00B25C95">
        <w:rPr>
          <w:lang w:val="en-US"/>
        </w:rPr>
        <w:t>e</w:t>
      </w:r>
      <w:proofErr w:type="spellEnd"/>
      <w:r w:rsidR="00C26197" w:rsidRPr="00B25C95">
        <w:rPr>
          <w:lang w:val="en-US"/>
        </w:rPr>
        <w:t>, Kortrijk</w:t>
      </w:r>
      <w:r w:rsidR="005F75EE" w:rsidRPr="00B25C95">
        <w:t>.</w:t>
      </w:r>
      <w:r w:rsidR="005F75EE">
        <w:t xml:space="preserve"> </w:t>
      </w:r>
    </w:p>
    <w:p w14:paraId="0E0B85E7" w14:textId="1D09C79E" w:rsidR="00C26197" w:rsidRPr="00B25C95" w:rsidRDefault="00C26197" w:rsidP="00334588">
      <w:pPr>
        <w:pStyle w:val="Kop3"/>
      </w:pPr>
      <w:r w:rsidRPr="00B25C95">
        <w:t xml:space="preserve">Anja </w:t>
      </w:r>
      <w:proofErr w:type="spellStart"/>
      <w:r w:rsidRPr="00B25C95">
        <w:t>Velghe</w:t>
      </w:r>
      <w:proofErr w:type="spellEnd"/>
      <w:r w:rsidR="0036228F" w:rsidRPr="00B25C95">
        <w:t>, MD, PhD</w:t>
      </w:r>
    </w:p>
    <w:p w14:paraId="3194B099" w14:textId="41A94A54" w:rsidR="00B25C95" w:rsidRDefault="0036228F" w:rsidP="00ED684E">
      <w:r w:rsidRPr="00B25C95">
        <w:t xml:space="preserve">Geriatrician at </w:t>
      </w:r>
      <w:r w:rsidR="00C52D78" w:rsidRPr="00B25C95">
        <w:t>the geriatric department at the Ghent University Hospital</w:t>
      </w:r>
      <w:r w:rsidRPr="00B25C95">
        <w:t>, with special interest in geriatric assessment.</w:t>
      </w:r>
    </w:p>
    <w:p w14:paraId="0112D965" w14:textId="15EFF4F2" w:rsidR="00C26197" w:rsidRPr="00B25C95" w:rsidRDefault="00C26197" w:rsidP="00334588">
      <w:pPr>
        <w:pStyle w:val="Kop3"/>
      </w:pPr>
      <w:r w:rsidRPr="00B25C95">
        <w:t>Ruth Piers</w:t>
      </w:r>
      <w:r w:rsidR="0036228F" w:rsidRPr="00B25C95">
        <w:t>, MD, PhD</w:t>
      </w:r>
    </w:p>
    <w:p w14:paraId="286719D6" w14:textId="2CA56C82" w:rsidR="00C52D78" w:rsidRDefault="0036228F" w:rsidP="00CA146C">
      <w:r w:rsidRPr="00B25C95">
        <w:t xml:space="preserve">Geriatrician at </w:t>
      </w:r>
      <w:r w:rsidR="00C52D78" w:rsidRPr="00B25C95">
        <w:t>the geriatric department at the Ghent University Hospital</w:t>
      </w:r>
      <w:r w:rsidRPr="00B25C95">
        <w:t>, with special interest in end-of-life care.</w:t>
      </w:r>
    </w:p>
    <w:p w14:paraId="397D61DD" w14:textId="663863CD" w:rsidR="0027062A" w:rsidRPr="008B1A7F" w:rsidRDefault="003057CC" w:rsidP="00917994">
      <w:pPr>
        <w:pStyle w:val="Kop1"/>
        <w:rPr>
          <w:rFonts w:ascii="Arial" w:hAnsi="Arial" w:cs="Arial"/>
          <w:color w:val="000000"/>
          <w:lang w:val="en-US"/>
        </w:rPr>
      </w:pPr>
      <w:r>
        <w:rPr>
          <w:lang w:val="en-US"/>
        </w:rPr>
        <w:lastRenderedPageBreak/>
        <w:t>A</w:t>
      </w:r>
      <w:r w:rsidR="0026653F">
        <w:rPr>
          <w:lang w:val="en-US"/>
        </w:rPr>
        <w:t>ppendix</w:t>
      </w:r>
    </w:p>
    <w:p w14:paraId="05A5FF68" w14:textId="2215C1DC" w:rsidR="003057CC" w:rsidRPr="0029124A" w:rsidRDefault="003057CC" w:rsidP="0029124A">
      <w:pPr>
        <w:spacing w:line="240" w:lineRule="auto"/>
        <w:rPr>
          <w:rStyle w:val="Intensievebenadrukking"/>
        </w:rPr>
      </w:pPr>
      <w:proofErr w:type="spellStart"/>
      <w:r w:rsidRPr="0029124A">
        <w:rPr>
          <w:rStyle w:val="Intensievebenadrukking"/>
        </w:rPr>
        <w:t>eTable</w:t>
      </w:r>
      <w:proofErr w:type="spellEnd"/>
      <w:r w:rsidRPr="0029124A">
        <w:rPr>
          <w:rStyle w:val="Intensievebenadrukking"/>
        </w:rPr>
        <w:t xml:space="preserve"> 1. Characteristics of patients with heart failure with reduced ejection fraction versus heart failure with preserved ejection fraction.</w:t>
      </w:r>
    </w:p>
    <w:tbl>
      <w:tblPr>
        <w:tblStyle w:val="Rastertabel1licht-Accent1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850"/>
        <w:gridCol w:w="1559"/>
        <w:gridCol w:w="1418"/>
        <w:gridCol w:w="958"/>
      </w:tblGrid>
      <w:tr w:rsidR="003057CC" w:rsidRPr="00351ABB" w14:paraId="0E4537E6" w14:textId="77777777" w:rsidTr="0092678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395" w:type="dxa"/>
            <w:tcBorders>
              <w:top w:val="single" w:sz="12" w:space="0" w:color="4F81BD" w:themeColor="accent1"/>
              <w:bottom w:val="single" w:sz="12" w:space="0" w:color="4F81BD" w:themeColor="accent1"/>
            </w:tcBorders>
            <w:noWrap/>
            <w:hideMark/>
          </w:tcPr>
          <w:p w14:paraId="4C43E2D1" w14:textId="77777777" w:rsidR="003057CC" w:rsidRPr="00842485" w:rsidRDefault="003057CC" w:rsidP="00F73F79">
            <w:pPr>
              <w:pStyle w:val="Geenafstand"/>
              <w:rPr>
                <w:b w:val="0"/>
                <w:bCs w:val="0"/>
                <w:lang w:val="en-US"/>
              </w:rPr>
            </w:pPr>
            <w:r w:rsidRPr="00842485">
              <w:rPr>
                <w:lang w:val="en-US"/>
              </w:rPr>
              <w:t> </w:t>
            </w:r>
          </w:p>
        </w:tc>
        <w:tc>
          <w:tcPr>
            <w:tcW w:w="850" w:type="dxa"/>
            <w:tcBorders>
              <w:top w:val="single" w:sz="12" w:space="0" w:color="4F81BD" w:themeColor="accent1"/>
              <w:bottom w:val="single" w:sz="12" w:space="0" w:color="4F81BD" w:themeColor="accent1"/>
            </w:tcBorders>
          </w:tcPr>
          <w:p w14:paraId="636141F1" w14:textId="77777777" w:rsidR="003057CC" w:rsidRPr="00842485" w:rsidRDefault="003057CC" w:rsidP="00F73F79">
            <w:pPr>
              <w:pStyle w:val="Geenafstand"/>
              <w:cnfStyle w:val="100000000000" w:firstRow="1" w:lastRow="0" w:firstColumn="0" w:lastColumn="0" w:oddVBand="0" w:evenVBand="0" w:oddHBand="0" w:evenHBand="0" w:firstRowFirstColumn="0" w:firstRowLastColumn="0" w:lastRowFirstColumn="0" w:lastRowLastColumn="0"/>
            </w:pPr>
            <w:r>
              <w:t>Total</w:t>
            </w:r>
          </w:p>
        </w:tc>
        <w:tc>
          <w:tcPr>
            <w:tcW w:w="1559" w:type="dxa"/>
            <w:tcBorders>
              <w:top w:val="single" w:sz="12" w:space="0" w:color="4F81BD" w:themeColor="accent1"/>
              <w:bottom w:val="single" w:sz="12" w:space="0" w:color="4F81BD" w:themeColor="accent1"/>
            </w:tcBorders>
            <w:noWrap/>
            <w:hideMark/>
          </w:tcPr>
          <w:p w14:paraId="252BA879" w14:textId="77777777" w:rsidR="003057CC" w:rsidRPr="00842485" w:rsidRDefault="003057CC" w:rsidP="00F73F79">
            <w:pPr>
              <w:pStyle w:val="Geenafstand"/>
              <w:cnfStyle w:val="100000000000" w:firstRow="1" w:lastRow="0" w:firstColumn="0" w:lastColumn="0" w:oddVBand="0" w:evenVBand="0" w:oddHBand="0" w:evenHBand="0" w:firstRowFirstColumn="0" w:firstRowLastColumn="0" w:lastRowFirstColumn="0" w:lastRowLastColumn="0"/>
              <w:rPr>
                <w:b w:val="0"/>
                <w:bCs w:val="0"/>
              </w:rPr>
            </w:pPr>
            <w:proofErr w:type="spellStart"/>
            <w:r w:rsidRPr="00842485">
              <w:t>HFrEF</w:t>
            </w:r>
            <w:proofErr w:type="spellEnd"/>
          </w:p>
        </w:tc>
        <w:tc>
          <w:tcPr>
            <w:tcW w:w="1418" w:type="dxa"/>
            <w:tcBorders>
              <w:top w:val="single" w:sz="12" w:space="0" w:color="4F81BD" w:themeColor="accent1"/>
              <w:bottom w:val="single" w:sz="12" w:space="0" w:color="4F81BD" w:themeColor="accent1"/>
            </w:tcBorders>
            <w:noWrap/>
            <w:hideMark/>
          </w:tcPr>
          <w:p w14:paraId="16EAEF58" w14:textId="77777777" w:rsidR="003057CC" w:rsidRPr="00842485" w:rsidRDefault="003057CC" w:rsidP="00F73F79">
            <w:pPr>
              <w:pStyle w:val="Geenafstand"/>
              <w:cnfStyle w:val="100000000000" w:firstRow="1" w:lastRow="0" w:firstColumn="0" w:lastColumn="0" w:oddVBand="0" w:evenVBand="0" w:oddHBand="0" w:evenHBand="0" w:firstRowFirstColumn="0" w:firstRowLastColumn="0" w:lastRowFirstColumn="0" w:lastRowLastColumn="0"/>
              <w:rPr>
                <w:b w:val="0"/>
                <w:bCs w:val="0"/>
              </w:rPr>
            </w:pPr>
            <w:proofErr w:type="spellStart"/>
            <w:r w:rsidRPr="00842485">
              <w:t>HFpEF</w:t>
            </w:r>
            <w:proofErr w:type="spellEnd"/>
          </w:p>
        </w:tc>
        <w:tc>
          <w:tcPr>
            <w:tcW w:w="958" w:type="dxa"/>
            <w:tcBorders>
              <w:top w:val="single" w:sz="12" w:space="0" w:color="4F81BD" w:themeColor="accent1"/>
              <w:bottom w:val="single" w:sz="12" w:space="0" w:color="4F81BD" w:themeColor="accent1"/>
            </w:tcBorders>
            <w:noWrap/>
            <w:hideMark/>
          </w:tcPr>
          <w:p w14:paraId="4DECBE16" w14:textId="77777777" w:rsidR="003057CC" w:rsidRPr="00842485" w:rsidRDefault="003057CC" w:rsidP="00F73F79">
            <w:pPr>
              <w:pStyle w:val="Geenafstand"/>
              <w:cnfStyle w:val="100000000000" w:firstRow="1" w:lastRow="0" w:firstColumn="0" w:lastColumn="0" w:oddVBand="0" w:evenVBand="0" w:oddHBand="0" w:evenHBand="0" w:firstRowFirstColumn="0" w:firstRowLastColumn="0" w:lastRowFirstColumn="0" w:lastRowLastColumn="0"/>
              <w:rPr>
                <w:b w:val="0"/>
                <w:bCs w:val="0"/>
              </w:rPr>
            </w:pPr>
            <w:r w:rsidRPr="00842485">
              <w:t>P-value</w:t>
            </w:r>
          </w:p>
        </w:tc>
      </w:tr>
      <w:tr w:rsidR="003057CC" w:rsidRPr="00351ABB" w14:paraId="2DE738EA" w14:textId="77777777" w:rsidTr="00926780">
        <w:trPr>
          <w:trHeight w:val="226"/>
        </w:trPr>
        <w:tc>
          <w:tcPr>
            <w:cnfStyle w:val="001000000000" w:firstRow="0" w:lastRow="0" w:firstColumn="1" w:lastColumn="0" w:oddVBand="0" w:evenVBand="0" w:oddHBand="0" w:evenHBand="0" w:firstRowFirstColumn="0" w:firstRowLastColumn="0" w:lastRowFirstColumn="0" w:lastRowLastColumn="0"/>
            <w:tcW w:w="4395" w:type="dxa"/>
            <w:tcBorders>
              <w:top w:val="single" w:sz="12" w:space="0" w:color="4F81BD" w:themeColor="accent1"/>
              <w:bottom w:val="single" w:sz="4" w:space="0" w:color="4F81BD" w:themeColor="accent1"/>
            </w:tcBorders>
            <w:noWrap/>
          </w:tcPr>
          <w:p w14:paraId="107E273C" w14:textId="77777777" w:rsidR="003057CC" w:rsidRPr="00F14B98" w:rsidRDefault="003057CC" w:rsidP="00F73F79">
            <w:pPr>
              <w:pStyle w:val="Geenafstand"/>
              <w:rPr>
                <w:lang w:val="en-US"/>
              </w:rPr>
            </w:pPr>
            <w:r w:rsidRPr="00A648B9">
              <w:rPr>
                <w:lang w:val="en-US"/>
              </w:rPr>
              <w:t xml:space="preserve">Total patients for which EF </w:t>
            </w:r>
            <w:r>
              <w:rPr>
                <w:lang w:val="en-US"/>
              </w:rPr>
              <w:t xml:space="preserve">is </w:t>
            </w:r>
            <w:r w:rsidRPr="00A648B9">
              <w:rPr>
                <w:lang w:val="en-US"/>
              </w:rPr>
              <w:t xml:space="preserve">available </w:t>
            </w:r>
          </w:p>
        </w:tc>
        <w:tc>
          <w:tcPr>
            <w:tcW w:w="850" w:type="dxa"/>
            <w:tcBorders>
              <w:top w:val="single" w:sz="12" w:space="0" w:color="4F81BD" w:themeColor="accent1"/>
              <w:bottom w:val="single" w:sz="4" w:space="0" w:color="4F81BD" w:themeColor="accent1"/>
            </w:tcBorders>
          </w:tcPr>
          <w:p w14:paraId="52B3D082"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t>n = 137</w:t>
            </w:r>
          </w:p>
        </w:tc>
        <w:tc>
          <w:tcPr>
            <w:tcW w:w="1559" w:type="dxa"/>
            <w:tcBorders>
              <w:top w:val="single" w:sz="12" w:space="0" w:color="4F81BD" w:themeColor="accent1"/>
              <w:bottom w:val="single" w:sz="4" w:space="0" w:color="4F81BD" w:themeColor="accent1"/>
            </w:tcBorders>
            <w:noWrap/>
          </w:tcPr>
          <w:p w14:paraId="5752EF68"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t>n =</w:t>
            </w:r>
            <w:r w:rsidRPr="00842485">
              <w:t xml:space="preserve">48 </w:t>
            </w:r>
          </w:p>
        </w:tc>
        <w:tc>
          <w:tcPr>
            <w:tcW w:w="1418" w:type="dxa"/>
            <w:tcBorders>
              <w:top w:val="single" w:sz="12" w:space="0" w:color="4F81BD" w:themeColor="accent1"/>
              <w:bottom w:val="single" w:sz="4" w:space="0" w:color="4F81BD" w:themeColor="accent1"/>
            </w:tcBorders>
            <w:noWrap/>
          </w:tcPr>
          <w:p w14:paraId="23B73D01"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t xml:space="preserve">n = </w:t>
            </w:r>
            <w:r w:rsidRPr="00842485">
              <w:t>89</w:t>
            </w:r>
          </w:p>
        </w:tc>
        <w:tc>
          <w:tcPr>
            <w:tcW w:w="958" w:type="dxa"/>
            <w:tcBorders>
              <w:top w:val="single" w:sz="12" w:space="0" w:color="4F81BD" w:themeColor="accent1"/>
              <w:bottom w:val="single" w:sz="4" w:space="0" w:color="4F81BD" w:themeColor="accent1"/>
            </w:tcBorders>
            <w:noWrap/>
          </w:tcPr>
          <w:p w14:paraId="47AC0922"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p>
        </w:tc>
      </w:tr>
      <w:tr w:rsidR="003057CC" w:rsidRPr="00351ABB" w14:paraId="1F0092D6" w14:textId="77777777" w:rsidTr="00926780">
        <w:trPr>
          <w:trHeight w:val="196"/>
        </w:trPr>
        <w:tc>
          <w:tcPr>
            <w:cnfStyle w:val="001000000000" w:firstRow="0" w:lastRow="0" w:firstColumn="1" w:lastColumn="0" w:oddVBand="0" w:evenVBand="0" w:oddHBand="0" w:evenHBand="0" w:firstRowFirstColumn="0" w:firstRowLastColumn="0" w:lastRowFirstColumn="0" w:lastRowLastColumn="0"/>
            <w:tcW w:w="9180" w:type="dxa"/>
            <w:gridSpan w:val="5"/>
            <w:tcBorders>
              <w:top w:val="single" w:sz="4" w:space="0" w:color="4F81BD" w:themeColor="accent1"/>
              <w:bottom w:val="single" w:sz="4" w:space="0" w:color="4F81BD" w:themeColor="accent1"/>
            </w:tcBorders>
          </w:tcPr>
          <w:p w14:paraId="1A7F4180" w14:textId="77777777" w:rsidR="003057CC" w:rsidRPr="00842485" w:rsidRDefault="003057CC" w:rsidP="00F73F79">
            <w:pPr>
              <w:pStyle w:val="Geenafstand"/>
            </w:pPr>
            <w:r w:rsidRPr="00F663FF">
              <w:t>Demographics</w:t>
            </w:r>
            <w:r w:rsidRPr="00842485">
              <w:t> </w:t>
            </w:r>
          </w:p>
        </w:tc>
      </w:tr>
      <w:tr w:rsidR="003057CC" w:rsidRPr="00351ABB" w14:paraId="32677798" w14:textId="77777777" w:rsidTr="00926780">
        <w:trPr>
          <w:trHeight w:val="113"/>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4F81BD" w:themeColor="accent1"/>
            </w:tcBorders>
            <w:noWrap/>
          </w:tcPr>
          <w:p w14:paraId="740DCC38" w14:textId="77777777" w:rsidR="003057CC" w:rsidRPr="00F73F79" w:rsidRDefault="003057CC" w:rsidP="00F73F79">
            <w:pPr>
              <w:pStyle w:val="Geenafstand"/>
              <w:rPr>
                <w:b w:val="0"/>
                <w:bCs w:val="0"/>
                <w:u w:val="single"/>
              </w:rPr>
            </w:pPr>
            <w:r w:rsidRPr="00F73F79">
              <w:rPr>
                <w:b w:val="0"/>
                <w:bCs w:val="0"/>
              </w:rPr>
              <w:t xml:space="preserve">Mean age </w:t>
            </w:r>
          </w:p>
        </w:tc>
        <w:tc>
          <w:tcPr>
            <w:tcW w:w="850" w:type="dxa"/>
            <w:tcBorders>
              <w:top w:val="single" w:sz="4" w:space="0" w:color="4F81BD" w:themeColor="accent1"/>
            </w:tcBorders>
          </w:tcPr>
          <w:p w14:paraId="50606E30"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t>n = 137</w:t>
            </w:r>
          </w:p>
        </w:tc>
        <w:tc>
          <w:tcPr>
            <w:tcW w:w="1559" w:type="dxa"/>
            <w:tcBorders>
              <w:top w:val="single" w:sz="4" w:space="0" w:color="4F81BD" w:themeColor="accent1"/>
            </w:tcBorders>
            <w:noWrap/>
          </w:tcPr>
          <w:p w14:paraId="1E700C38" w14:textId="46085535"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rsidRPr="00842485">
              <w:t>84</w:t>
            </w:r>
            <w:r>
              <w:t>.</w:t>
            </w:r>
            <w:r w:rsidRPr="00842485">
              <w:t>50 (5</w:t>
            </w:r>
            <w:r>
              <w:t>.</w:t>
            </w:r>
            <w:r w:rsidR="004F52C8">
              <w:t>6</w:t>
            </w:r>
            <w:r w:rsidRPr="00842485">
              <w:t>)</w:t>
            </w:r>
          </w:p>
        </w:tc>
        <w:tc>
          <w:tcPr>
            <w:tcW w:w="1418" w:type="dxa"/>
            <w:tcBorders>
              <w:top w:val="single" w:sz="4" w:space="0" w:color="4F81BD" w:themeColor="accent1"/>
            </w:tcBorders>
            <w:noWrap/>
          </w:tcPr>
          <w:p w14:paraId="4B917F95" w14:textId="5BD23949"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rsidRPr="00842485">
              <w:t>84</w:t>
            </w:r>
            <w:r>
              <w:t>.</w:t>
            </w:r>
            <w:r w:rsidRPr="00842485">
              <w:t>40 (5</w:t>
            </w:r>
            <w:r>
              <w:t>.</w:t>
            </w:r>
            <w:r w:rsidR="004F52C8">
              <w:t>2</w:t>
            </w:r>
            <w:r w:rsidRPr="00842485">
              <w:t>)</w:t>
            </w:r>
          </w:p>
        </w:tc>
        <w:tc>
          <w:tcPr>
            <w:tcW w:w="958" w:type="dxa"/>
            <w:tcBorders>
              <w:top w:val="single" w:sz="4" w:space="0" w:color="4F81BD" w:themeColor="accent1"/>
            </w:tcBorders>
            <w:noWrap/>
          </w:tcPr>
          <w:p w14:paraId="27D85CA9"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rsidRPr="00842485">
              <w:t>0.921</w:t>
            </w:r>
          </w:p>
        </w:tc>
      </w:tr>
      <w:tr w:rsidR="003057CC" w:rsidRPr="00351ABB" w14:paraId="3F7F23A5" w14:textId="77777777" w:rsidTr="00926780">
        <w:trPr>
          <w:trHeight w:val="245"/>
        </w:trPr>
        <w:tc>
          <w:tcPr>
            <w:cnfStyle w:val="001000000000" w:firstRow="0" w:lastRow="0" w:firstColumn="1" w:lastColumn="0" w:oddVBand="0" w:evenVBand="0" w:oddHBand="0" w:evenHBand="0" w:firstRowFirstColumn="0" w:firstRowLastColumn="0" w:lastRowFirstColumn="0" w:lastRowLastColumn="0"/>
            <w:tcW w:w="4395" w:type="dxa"/>
            <w:noWrap/>
          </w:tcPr>
          <w:p w14:paraId="4663BE89" w14:textId="77777777" w:rsidR="003057CC" w:rsidRPr="00F73F79" w:rsidRDefault="003057CC" w:rsidP="00F73F79">
            <w:pPr>
              <w:pStyle w:val="Geenafstand"/>
              <w:rPr>
                <w:b w:val="0"/>
                <w:bCs w:val="0"/>
              </w:rPr>
            </w:pPr>
            <w:r w:rsidRPr="00F73F79">
              <w:rPr>
                <w:b w:val="0"/>
                <w:bCs w:val="0"/>
              </w:rPr>
              <w:t xml:space="preserve">Gender </w:t>
            </w:r>
          </w:p>
        </w:tc>
        <w:tc>
          <w:tcPr>
            <w:tcW w:w="850" w:type="dxa"/>
          </w:tcPr>
          <w:p w14:paraId="7B917012"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t>n = 137</w:t>
            </w:r>
          </w:p>
        </w:tc>
        <w:tc>
          <w:tcPr>
            <w:tcW w:w="1559" w:type="dxa"/>
            <w:noWrap/>
          </w:tcPr>
          <w:p w14:paraId="15856EBC"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p>
        </w:tc>
        <w:tc>
          <w:tcPr>
            <w:tcW w:w="1418" w:type="dxa"/>
            <w:noWrap/>
          </w:tcPr>
          <w:p w14:paraId="3AF5D014"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p>
        </w:tc>
        <w:tc>
          <w:tcPr>
            <w:tcW w:w="958" w:type="dxa"/>
            <w:noWrap/>
          </w:tcPr>
          <w:p w14:paraId="033C686F"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rsidRPr="00842485">
              <w:t>0.413</w:t>
            </w:r>
          </w:p>
        </w:tc>
      </w:tr>
      <w:tr w:rsidR="003057CC" w:rsidRPr="00351ABB" w14:paraId="72295397" w14:textId="77777777" w:rsidTr="00926780">
        <w:trPr>
          <w:trHeight w:val="135"/>
        </w:trPr>
        <w:tc>
          <w:tcPr>
            <w:cnfStyle w:val="001000000000" w:firstRow="0" w:lastRow="0" w:firstColumn="1" w:lastColumn="0" w:oddVBand="0" w:evenVBand="0" w:oddHBand="0" w:evenHBand="0" w:firstRowFirstColumn="0" w:firstRowLastColumn="0" w:lastRowFirstColumn="0" w:lastRowLastColumn="0"/>
            <w:tcW w:w="4395" w:type="dxa"/>
            <w:noWrap/>
            <w:hideMark/>
          </w:tcPr>
          <w:p w14:paraId="0B874910" w14:textId="77777777" w:rsidR="003057CC" w:rsidRPr="00F73F79" w:rsidRDefault="003057CC" w:rsidP="00F73F79">
            <w:pPr>
              <w:pStyle w:val="Geenafstand"/>
              <w:rPr>
                <w:b w:val="0"/>
                <w:bCs w:val="0"/>
              </w:rPr>
            </w:pPr>
            <w:r w:rsidRPr="00F73F79">
              <w:rPr>
                <w:b w:val="0"/>
                <w:bCs w:val="0"/>
              </w:rPr>
              <w:t xml:space="preserve">            Male </w:t>
            </w:r>
          </w:p>
        </w:tc>
        <w:tc>
          <w:tcPr>
            <w:tcW w:w="850" w:type="dxa"/>
          </w:tcPr>
          <w:p w14:paraId="600AA64E"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t>n = 62</w:t>
            </w:r>
          </w:p>
        </w:tc>
        <w:tc>
          <w:tcPr>
            <w:tcW w:w="1559" w:type="dxa"/>
            <w:noWrap/>
            <w:hideMark/>
          </w:tcPr>
          <w:p w14:paraId="139AE0B8"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rsidRPr="00842485">
              <w:t>24 (50%)</w:t>
            </w:r>
          </w:p>
        </w:tc>
        <w:tc>
          <w:tcPr>
            <w:tcW w:w="1418" w:type="dxa"/>
            <w:noWrap/>
            <w:hideMark/>
          </w:tcPr>
          <w:p w14:paraId="37ABB947"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rsidRPr="00842485">
              <w:t>38 (42</w:t>
            </w:r>
            <w:r>
              <w:t>.</w:t>
            </w:r>
            <w:r w:rsidRPr="00842485">
              <w:t>7%)</w:t>
            </w:r>
          </w:p>
        </w:tc>
        <w:tc>
          <w:tcPr>
            <w:tcW w:w="958" w:type="dxa"/>
            <w:noWrap/>
            <w:hideMark/>
          </w:tcPr>
          <w:p w14:paraId="51EFA8BE"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rsidRPr="00842485">
              <w:t> </w:t>
            </w:r>
          </w:p>
        </w:tc>
      </w:tr>
      <w:tr w:rsidR="003057CC" w:rsidRPr="00351ABB" w14:paraId="255491E7" w14:textId="77777777" w:rsidTr="00926780">
        <w:trPr>
          <w:trHeight w:val="195"/>
        </w:trPr>
        <w:tc>
          <w:tcPr>
            <w:cnfStyle w:val="001000000000" w:firstRow="0" w:lastRow="0" w:firstColumn="1" w:lastColumn="0" w:oddVBand="0" w:evenVBand="0" w:oddHBand="0" w:evenHBand="0" w:firstRowFirstColumn="0" w:firstRowLastColumn="0" w:lastRowFirstColumn="0" w:lastRowLastColumn="0"/>
            <w:tcW w:w="4395" w:type="dxa"/>
            <w:tcBorders>
              <w:bottom w:val="single" w:sz="4" w:space="0" w:color="4F81BD" w:themeColor="accent1"/>
            </w:tcBorders>
            <w:noWrap/>
            <w:hideMark/>
          </w:tcPr>
          <w:p w14:paraId="3678CE81" w14:textId="77777777" w:rsidR="003057CC" w:rsidRPr="00F73F79" w:rsidRDefault="003057CC" w:rsidP="00F73F79">
            <w:pPr>
              <w:pStyle w:val="Geenafstand"/>
              <w:rPr>
                <w:b w:val="0"/>
                <w:bCs w:val="0"/>
              </w:rPr>
            </w:pPr>
            <w:r w:rsidRPr="00F73F79">
              <w:rPr>
                <w:b w:val="0"/>
                <w:bCs w:val="0"/>
              </w:rPr>
              <w:t xml:space="preserve">            </w:t>
            </w:r>
            <w:r w:rsidRPr="003E4409">
              <w:rPr>
                <w:b w:val="0"/>
                <w:bCs w:val="0"/>
              </w:rPr>
              <w:t xml:space="preserve">Female </w:t>
            </w:r>
          </w:p>
          <w:p w14:paraId="5396EE13" w14:textId="77777777" w:rsidR="003057CC" w:rsidRPr="00F73F79" w:rsidRDefault="003057CC" w:rsidP="00F73F79">
            <w:pPr>
              <w:pStyle w:val="Geenafstand"/>
              <w:rPr>
                <w:b w:val="0"/>
                <w:bCs w:val="0"/>
              </w:rPr>
            </w:pPr>
          </w:p>
        </w:tc>
        <w:tc>
          <w:tcPr>
            <w:tcW w:w="850" w:type="dxa"/>
            <w:tcBorders>
              <w:bottom w:val="single" w:sz="4" w:space="0" w:color="4F81BD" w:themeColor="accent1"/>
            </w:tcBorders>
          </w:tcPr>
          <w:p w14:paraId="6038261E"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t>n = 75</w:t>
            </w:r>
          </w:p>
        </w:tc>
        <w:tc>
          <w:tcPr>
            <w:tcW w:w="1559" w:type="dxa"/>
            <w:tcBorders>
              <w:bottom w:val="single" w:sz="4" w:space="0" w:color="4F81BD" w:themeColor="accent1"/>
            </w:tcBorders>
            <w:noWrap/>
            <w:hideMark/>
          </w:tcPr>
          <w:p w14:paraId="651B3738"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rsidRPr="00842485">
              <w:t>24 (50%)</w:t>
            </w:r>
          </w:p>
        </w:tc>
        <w:tc>
          <w:tcPr>
            <w:tcW w:w="1418" w:type="dxa"/>
            <w:tcBorders>
              <w:bottom w:val="single" w:sz="4" w:space="0" w:color="4F81BD" w:themeColor="accent1"/>
            </w:tcBorders>
            <w:noWrap/>
            <w:hideMark/>
          </w:tcPr>
          <w:p w14:paraId="602255E1"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rsidRPr="00842485">
              <w:t>51 (57</w:t>
            </w:r>
            <w:r>
              <w:t>.</w:t>
            </w:r>
            <w:r w:rsidRPr="00842485">
              <w:t>3%)</w:t>
            </w:r>
          </w:p>
        </w:tc>
        <w:tc>
          <w:tcPr>
            <w:tcW w:w="958" w:type="dxa"/>
            <w:tcBorders>
              <w:bottom w:val="single" w:sz="4" w:space="0" w:color="4F81BD" w:themeColor="accent1"/>
            </w:tcBorders>
            <w:noWrap/>
            <w:hideMark/>
          </w:tcPr>
          <w:p w14:paraId="20458037"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rsidRPr="00842485">
              <w:t> </w:t>
            </w:r>
          </w:p>
        </w:tc>
      </w:tr>
      <w:tr w:rsidR="003057CC" w:rsidRPr="00351ABB" w14:paraId="71491D64" w14:textId="77777777" w:rsidTr="00926780">
        <w:trPr>
          <w:trHeight w:val="137"/>
        </w:trPr>
        <w:tc>
          <w:tcPr>
            <w:cnfStyle w:val="001000000000" w:firstRow="0" w:lastRow="0" w:firstColumn="1" w:lastColumn="0" w:oddVBand="0" w:evenVBand="0" w:oddHBand="0" w:evenHBand="0" w:firstRowFirstColumn="0" w:firstRowLastColumn="0" w:lastRowFirstColumn="0" w:lastRowLastColumn="0"/>
            <w:tcW w:w="9180" w:type="dxa"/>
            <w:gridSpan w:val="5"/>
            <w:tcBorders>
              <w:top w:val="single" w:sz="4" w:space="0" w:color="4F81BD" w:themeColor="accent1"/>
              <w:bottom w:val="single" w:sz="4" w:space="0" w:color="4F81BD" w:themeColor="accent1"/>
            </w:tcBorders>
          </w:tcPr>
          <w:p w14:paraId="386E0F2E" w14:textId="77777777" w:rsidR="003057CC" w:rsidRPr="00842485" w:rsidRDefault="003057CC" w:rsidP="00F73F79">
            <w:pPr>
              <w:pStyle w:val="Geenafstand"/>
              <w:rPr>
                <w:b w:val="0"/>
                <w:bCs w:val="0"/>
              </w:rPr>
            </w:pPr>
            <w:r w:rsidRPr="00842485">
              <w:t>Biochemical factors</w:t>
            </w:r>
          </w:p>
        </w:tc>
      </w:tr>
      <w:tr w:rsidR="003057CC" w:rsidRPr="00351ABB" w14:paraId="004F5CD7" w14:textId="77777777" w:rsidTr="00926780">
        <w:trPr>
          <w:trHeight w:val="203"/>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4F81BD" w:themeColor="accent1"/>
              <w:bottom w:val="single" w:sz="4" w:space="0" w:color="4F81BD" w:themeColor="accent1"/>
            </w:tcBorders>
            <w:noWrap/>
            <w:hideMark/>
          </w:tcPr>
          <w:p w14:paraId="1CF982B0" w14:textId="6132EEA7" w:rsidR="003057CC" w:rsidRPr="00F73F79" w:rsidRDefault="003057CC" w:rsidP="00F73F79">
            <w:pPr>
              <w:pStyle w:val="Geenafstand"/>
              <w:rPr>
                <w:b w:val="0"/>
                <w:bCs w:val="0"/>
              </w:rPr>
            </w:pPr>
            <w:r w:rsidRPr="00F73F79">
              <w:rPr>
                <w:b w:val="0"/>
                <w:bCs w:val="0"/>
              </w:rPr>
              <w:t xml:space="preserve">Sodium level at discharge </w:t>
            </w:r>
            <w:r w:rsidR="003E4409">
              <w:rPr>
                <w:b w:val="0"/>
                <w:bCs w:val="0"/>
              </w:rPr>
              <w:t>(</w:t>
            </w:r>
            <w:r w:rsidRPr="00F73F79">
              <w:rPr>
                <w:b w:val="0"/>
                <w:bCs w:val="0"/>
              </w:rPr>
              <w:t>mean</w:t>
            </w:r>
            <w:r w:rsidR="003E4409">
              <w:rPr>
                <w:b w:val="0"/>
                <w:bCs w:val="0"/>
              </w:rPr>
              <w:t>)</w:t>
            </w:r>
            <w:r w:rsidRPr="00F73F79">
              <w:rPr>
                <w:b w:val="0"/>
                <w:bCs w:val="0"/>
              </w:rPr>
              <w:t xml:space="preserve"> </w:t>
            </w:r>
          </w:p>
        </w:tc>
        <w:tc>
          <w:tcPr>
            <w:tcW w:w="850" w:type="dxa"/>
            <w:tcBorders>
              <w:top w:val="single" w:sz="4" w:space="0" w:color="4F81BD" w:themeColor="accent1"/>
              <w:bottom w:val="single" w:sz="4" w:space="0" w:color="4F81BD" w:themeColor="accent1"/>
            </w:tcBorders>
          </w:tcPr>
          <w:p w14:paraId="2B174912"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t>n = 136</w:t>
            </w:r>
          </w:p>
        </w:tc>
        <w:tc>
          <w:tcPr>
            <w:tcW w:w="1559" w:type="dxa"/>
            <w:tcBorders>
              <w:top w:val="single" w:sz="4" w:space="0" w:color="4F81BD" w:themeColor="accent1"/>
              <w:bottom w:val="single" w:sz="4" w:space="0" w:color="4F81BD" w:themeColor="accent1"/>
            </w:tcBorders>
            <w:noWrap/>
            <w:hideMark/>
          </w:tcPr>
          <w:p w14:paraId="375AF4AE" w14:textId="459475D4" w:rsidR="003057CC" w:rsidRPr="00842485" w:rsidRDefault="003057CC" w:rsidP="004F52C8">
            <w:pPr>
              <w:pStyle w:val="Geenafstand"/>
              <w:cnfStyle w:val="000000000000" w:firstRow="0" w:lastRow="0" w:firstColumn="0" w:lastColumn="0" w:oddVBand="0" w:evenVBand="0" w:oddHBand="0" w:evenHBand="0" w:firstRowFirstColumn="0" w:firstRowLastColumn="0" w:lastRowFirstColumn="0" w:lastRowLastColumn="0"/>
            </w:pPr>
            <w:r w:rsidRPr="00842485">
              <w:t>139</w:t>
            </w:r>
            <w:r>
              <w:t>.</w:t>
            </w:r>
            <w:r w:rsidR="004F52C8">
              <w:t>8</w:t>
            </w:r>
            <w:r w:rsidRPr="00842485">
              <w:t xml:space="preserve"> (4</w:t>
            </w:r>
            <w:r>
              <w:t>.</w:t>
            </w:r>
            <w:r w:rsidR="004F52C8">
              <w:t>3</w:t>
            </w:r>
            <w:r w:rsidRPr="00842485">
              <w:t>)</w:t>
            </w:r>
          </w:p>
        </w:tc>
        <w:tc>
          <w:tcPr>
            <w:tcW w:w="1418" w:type="dxa"/>
            <w:tcBorders>
              <w:top w:val="single" w:sz="4" w:space="0" w:color="4F81BD" w:themeColor="accent1"/>
              <w:bottom w:val="single" w:sz="4" w:space="0" w:color="4F81BD" w:themeColor="accent1"/>
            </w:tcBorders>
            <w:noWrap/>
            <w:hideMark/>
          </w:tcPr>
          <w:p w14:paraId="37699971" w14:textId="528D0658"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rsidRPr="00842485">
              <w:t>140</w:t>
            </w:r>
            <w:r>
              <w:t>.</w:t>
            </w:r>
            <w:r w:rsidR="004F52C8">
              <w:t>7</w:t>
            </w:r>
            <w:r w:rsidRPr="00842485">
              <w:t xml:space="preserve"> (3</w:t>
            </w:r>
            <w:r>
              <w:t>.</w:t>
            </w:r>
            <w:r w:rsidR="004F52C8">
              <w:t>6</w:t>
            </w:r>
            <w:r w:rsidRPr="00842485">
              <w:t>)</w:t>
            </w:r>
          </w:p>
        </w:tc>
        <w:tc>
          <w:tcPr>
            <w:tcW w:w="958" w:type="dxa"/>
            <w:tcBorders>
              <w:top w:val="single" w:sz="4" w:space="0" w:color="4F81BD" w:themeColor="accent1"/>
              <w:bottom w:val="single" w:sz="4" w:space="0" w:color="4F81BD" w:themeColor="accent1"/>
            </w:tcBorders>
            <w:noWrap/>
            <w:hideMark/>
          </w:tcPr>
          <w:p w14:paraId="693062E8"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rsidRPr="00842485">
              <w:t>0.205</w:t>
            </w:r>
          </w:p>
        </w:tc>
      </w:tr>
      <w:tr w:rsidR="003057CC" w:rsidRPr="00351ABB" w14:paraId="1D5E2EA4" w14:textId="77777777" w:rsidTr="00926780">
        <w:trPr>
          <w:trHeight w:val="199"/>
        </w:trPr>
        <w:tc>
          <w:tcPr>
            <w:cnfStyle w:val="001000000000" w:firstRow="0" w:lastRow="0" w:firstColumn="1" w:lastColumn="0" w:oddVBand="0" w:evenVBand="0" w:oddHBand="0" w:evenHBand="0" w:firstRowFirstColumn="0" w:firstRowLastColumn="0" w:lastRowFirstColumn="0" w:lastRowLastColumn="0"/>
            <w:tcW w:w="9180" w:type="dxa"/>
            <w:gridSpan w:val="5"/>
            <w:tcBorders>
              <w:top w:val="single" w:sz="4" w:space="0" w:color="4F81BD" w:themeColor="accent1"/>
              <w:bottom w:val="single" w:sz="4" w:space="0" w:color="4F81BD" w:themeColor="accent1"/>
            </w:tcBorders>
          </w:tcPr>
          <w:p w14:paraId="7FA94F8F" w14:textId="77777777" w:rsidR="003057CC" w:rsidRPr="00842485" w:rsidRDefault="003057CC" w:rsidP="00F73F79">
            <w:pPr>
              <w:pStyle w:val="Geenafstand"/>
            </w:pPr>
            <w:r>
              <w:t xml:space="preserve">Cardiac </w:t>
            </w:r>
            <w:r w:rsidRPr="00842485">
              <w:t>Clinical factors</w:t>
            </w:r>
          </w:p>
        </w:tc>
      </w:tr>
      <w:tr w:rsidR="003057CC" w:rsidRPr="00351ABB" w14:paraId="4F6065E0" w14:textId="77777777" w:rsidTr="00926780">
        <w:trPr>
          <w:trHeight w:val="125"/>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4F81BD" w:themeColor="accent1"/>
            </w:tcBorders>
            <w:noWrap/>
          </w:tcPr>
          <w:p w14:paraId="41301DDF" w14:textId="77777777" w:rsidR="003057CC" w:rsidRPr="00F73F79" w:rsidRDefault="003057CC" w:rsidP="00F73F79">
            <w:pPr>
              <w:pStyle w:val="Geenafstand"/>
              <w:rPr>
                <w:b w:val="0"/>
                <w:bCs w:val="0"/>
              </w:rPr>
            </w:pPr>
            <w:r w:rsidRPr="00F73F79">
              <w:rPr>
                <w:b w:val="0"/>
                <w:bCs w:val="0"/>
              </w:rPr>
              <w:t xml:space="preserve">Blood pressure at discharge mean </w:t>
            </w:r>
          </w:p>
        </w:tc>
        <w:tc>
          <w:tcPr>
            <w:tcW w:w="850" w:type="dxa"/>
            <w:tcBorders>
              <w:top w:val="single" w:sz="4" w:space="0" w:color="4F81BD" w:themeColor="accent1"/>
            </w:tcBorders>
          </w:tcPr>
          <w:p w14:paraId="6DF6DB1C"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t>n = 136</w:t>
            </w:r>
          </w:p>
        </w:tc>
        <w:tc>
          <w:tcPr>
            <w:tcW w:w="1559" w:type="dxa"/>
            <w:tcBorders>
              <w:top w:val="single" w:sz="4" w:space="0" w:color="4F81BD" w:themeColor="accent1"/>
            </w:tcBorders>
            <w:noWrap/>
          </w:tcPr>
          <w:p w14:paraId="3240BEFA" w14:textId="1EB51815"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rsidRPr="00842485">
              <w:t>129</w:t>
            </w:r>
            <w:r>
              <w:t>.</w:t>
            </w:r>
            <w:r w:rsidR="004F52C8">
              <w:t>9</w:t>
            </w:r>
            <w:r w:rsidRPr="00842485">
              <w:t xml:space="preserve"> (20</w:t>
            </w:r>
            <w:r>
              <w:t>.</w:t>
            </w:r>
            <w:r w:rsidR="004F52C8">
              <w:t>8</w:t>
            </w:r>
            <w:r w:rsidRPr="00842485">
              <w:t>)</w:t>
            </w:r>
          </w:p>
        </w:tc>
        <w:tc>
          <w:tcPr>
            <w:tcW w:w="1418" w:type="dxa"/>
            <w:tcBorders>
              <w:top w:val="single" w:sz="4" w:space="0" w:color="4F81BD" w:themeColor="accent1"/>
            </w:tcBorders>
            <w:noWrap/>
          </w:tcPr>
          <w:p w14:paraId="78EB55C2" w14:textId="321537FD"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rsidRPr="00842485">
              <w:t>136</w:t>
            </w:r>
            <w:r>
              <w:t>.</w:t>
            </w:r>
            <w:r w:rsidR="004F52C8">
              <w:t>3</w:t>
            </w:r>
            <w:r w:rsidRPr="00842485">
              <w:t>(20</w:t>
            </w:r>
            <w:r>
              <w:t>.</w:t>
            </w:r>
            <w:r w:rsidRPr="00842485">
              <w:t>877)</w:t>
            </w:r>
          </w:p>
        </w:tc>
        <w:tc>
          <w:tcPr>
            <w:tcW w:w="958" w:type="dxa"/>
            <w:tcBorders>
              <w:top w:val="single" w:sz="4" w:space="0" w:color="4F81BD" w:themeColor="accent1"/>
            </w:tcBorders>
            <w:noWrap/>
          </w:tcPr>
          <w:p w14:paraId="7745E49D"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rsidRPr="00842485">
              <w:t>0.093</w:t>
            </w:r>
          </w:p>
        </w:tc>
      </w:tr>
      <w:tr w:rsidR="003057CC" w:rsidRPr="00351ABB" w14:paraId="46F75A0B" w14:textId="77777777" w:rsidTr="00926780">
        <w:trPr>
          <w:trHeight w:val="253"/>
        </w:trPr>
        <w:tc>
          <w:tcPr>
            <w:cnfStyle w:val="001000000000" w:firstRow="0" w:lastRow="0" w:firstColumn="1" w:lastColumn="0" w:oddVBand="0" w:evenVBand="0" w:oddHBand="0" w:evenHBand="0" w:firstRowFirstColumn="0" w:firstRowLastColumn="0" w:lastRowFirstColumn="0" w:lastRowLastColumn="0"/>
            <w:tcW w:w="4395" w:type="dxa"/>
            <w:noWrap/>
          </w:tcPr>
          <w:p w14:paraId="4031328B" w14:textId="77777777" w:rsidR="003057CC" w:rsidRPr="00F73F79" w:rsidRDefault="003057CC" w:rsidP="00F73F79">
            <w:pPr>
              <w:pStyle w:val="Geenafstand"/>
              <w:rPr>
                <w:b w:val="0"/>
                <w:bCs w:val="0"/>
              </w:rPr>
            </w:pPr>
            <w:r w:rsidRPr="00F73F79">
              <w:rPr>
                <w:b w:val="0"/>
                <w:bCs w:val="0"/>
              </w:rPr>
              <w:t xml:space="preserve">NYHA class </w:t>
            </w:r>
          </w:p>
        </w:tc>
        <w:tc>
          <w:tcPr>
            <w:tcW w:w="850" w:type="dxa"/>
          </w:tcPr>
          <w:p w14:paraId="3A6CD51D"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t>n = 136</w:t>
            </w:r>
          </w:p>
        </w:tc>
        <w:tc>
          <w:tcPr>
            <w:tcW w:w="1559" w:type="dxa"/>
            <w:noWrap/>
          </w:tcPr>
          <w:p w14:paraId="7C389279"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p>
        </w:tc>
        <w:tc>
          <w:tcPr>
            <w:tcW w:w="1418" w:type="dxa"/>
            <w:noWrap/>
          </w:tcPr>
          <w:p w14:paraId="21581D1A"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p>
        </w:tc>
        <w:tc>
          <w:tcPr>
            <w:tcW w:w="958" w:type="dxa"/>
            <w:noWrap/>
          </w:tcPr>
          <w:p w14:paraId="4C612C8F"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rsidRPr="00842485">
              <w:t>0.085</w:t>
            </w:r>
          </w:p>
        </w:tc>
      </w:tr>
      <w:tr w:rsidR="003057CC" w:rsidRPr="00351ABB" w14:paraId="7C11B4D8" w14:textId="77777777" w:rsidTr="00926780">
        <w:trPr>
          <w:trHeight w:val="232"/>
        </w:trPr>
        <w:tc>
          <w:tcPr>
            <w:cnfStyle w:val="001000000000" w:firstRow="0" w:lastRow="0" w:firstColumn="1" w:lastColumn="0" w:oddVBand="0" w:evenVBand="0" w:oddHBand="0" w:evenHBand="0" w:firstRowFirstColumn="0" w:firstRowLastColumn="0" w:lastRowFirstColumn="0" w:lastRowLastColumn="0"/>
            <w:tcW w:w="4395" w:type="dxa"/>
            <w:noWrap/>
          </w:tcPr>
          <w:p w14:paraId="1A4627A6" w14:textId="77777777" w:rsidR="003057CC" w:rsidRPr="00F73F79" w:rsidRDefault="003057CC" w:rsidP="00F73F79">
            <w:pPr>
              <w:pStyle w:val="Geenafstand"/>
              <w:rPr>
                <w:b w:val="0"/>
                <w:bCs w:val="0"/>
              </w:rPr>
            </w:pPr>
            <w:r w:rsidRPr="00F73F79">
              <w:rPr>
                <w:b w:val="0"/>
                <w:bCs w:val="0"/>
              </w:rPr>
              <w:t xml:space="preserve">            NYHA class I  &amp; II </w:t>
            </w:r>
          </w:p>
        </w:tc>
        <w:tc>
          <w:tcPr>
            <w:tcW w:w="850" w:type="dxa"/>
          </w:tcPr>
          <w:p w14:paraId="106BC201"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p>
        </w:tc>
        <w:tc>
          <w:tcPr>
            <w:tcW w:w="1559" w:type="dxa"/>
            <w:noWrap/>
          </w:tcPr>
          <w:p w14:paraId="10FE6AC5"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rsidRPr="00842485">
              <w:t>13 (27</w:t>
            </w:r>
            <w:r>
              <w:t>.</w:t>
            </w:r>
            <w:r w:rsidRPr="00842485">
              <w:t>7%)</w:t>
            </w:r>
          </w:p>
        </w:tc>
        <w:tc>
          <w:tcPr>
            <w:tcW w:w="1418" w:type="dxa"/>
            <w:noWrap/>
          </w:tcPr>
          <w:p w14:paraId="0B52C935"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rsidRPr="00842485">
              <w:t>38 (42</w:t>
            </w:r>
            <w:r>
              <w:t>.</w:t>
            </w:r>
            <w:r w:rsidRPr="00842485">
              <w:t>7%)</w:t>
            </w:r>
          </w:p>
        </w:tc>
        <w:tc>
          <w:tcPr>
            <w:tcW w:w="958" w:type="dxa"/>
            <w:noWrap/>
          </w:tcPr>
          <w:p w14:paraId="01FDAE3B"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p>
        </w:tc>
      </w:tr>
      <w:tr w:rsidR="003057CC" w:rsidRPr="00351ABB" w14:paraId="26317C49" w14:textId="77777777" w:rsidTr="00926780">
        <w:trPr>
          <w:trHeight w:val="135"/>
        </w:trPr>
        <w:tc>
          <w:tcPr>
            <w:cnfStyle w:val="001000000000" w:firstRow="0" w:lastRow="0" w:firstColumn="1" w:lastColumn="0" w:oddVBand="0" w:evenVBand="0" w:oddHBand="0" w:evenHBand="0" w:firstRowFirstColumn="0" w:firstRowLastColumn="0" w:lastRowFirstColumn="0" w:lastRowLastColumn="0"/>
            <w:tcW w:w="4395" w:type="dxa"/>
            <w:tcBorders>
              <w:bottom w:val="single" w:sz="4" w:space="0" w:color="4F81BD" w:themeColor="accent1"/>
            </w:tcBorders>
            <w:noWrap/>
          </w:tcPr>
          <w:p w14:paraId="4E53B124" w14:textId="77777777" w:rsidR="003057CC" w:rsidRPr="00F73F79" w:rsidRDefault="003057CC" w:rsidP="00F73F79">
            <w:pPr>
              <w:pStyle w:val="Geenafstand"/>
              <w:rPr>
                <w:b w:val="0"/>
                <w:bCs w:val="0"/>
              </w:rPr>
            </w:pPr>
            <w:r w:rsidRPr="00F73F79">
              <w:rPr>
                <w:b w:val="0"/>
                <w:bCs w:val="0"/>
              </w:rPr>
              <w:t xml:space="preserve">            NYHA class III  &amp; IV </w:t>
            </w:r>
          </w:p>
        </w:tc>
        <w:tc>
          <w:tcPr>
            <w:tcW w:w="850" w:type="dxa"/>
            <w:tcBorders>
              <w:bottom w:val="single" w:sz="4" w:space="0" w:color="4F81BD" w:themeColor="accent1"/>
            </w:tcBorders>
          </w:tcPr>
          <w:p w14:paraId="7BBF876B"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p>
        </w:tc>
        <w:tc>
          <w:tcPr>
            <w:tcW w:w="1559" w:type="dxa"/>
            <w:tcBorders>
              <w:bottom w:val="single" w:sz="4" w:space="0" w:color="4F81BD" w:themeColor="accent1"/>
            </w:tcBorders>
            <w:noWrap/>
          </w:tcPr>
          <w:p w14:paraId="7DBB0FCD"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rsidRPr="00842485">
              <w:t>34 (72</w:t>
            </w:r>
            <w:r>
              <w:t>.</w:t>
            </w:r>
            <w:r w:rsidRPr="00842485">
              <w:t>3%)</w:t>
            </w:r>
          </w:p>
        </w:tc>
        <w:tc>
          <w:tcPr>
            <w:tcW w:w="1418" w:type="dxa"/>
            <w:tcBorders>
              <w:bottom w:val="single" w:sz="4" w:space="0" w:color="4F81BD" w:themeColor="accent1"/>
            </w:tcBorders>
            <w:noWrap/>
          </w:tcPr>
          <w:p w14:paraId="0C5A15F3"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rsidRPr="00842485">
              <w:t>51 (57</w:t>
            </w:r>
            <w:r>
              <w:t>.</w:t>
            </w:r>
            <w:r w:rsidRPr="00842485">
              <w:t>3%)</w:t>
            </w:r>
          </w:p>
        </w:tc>
        <w:tc>
          <w:tcPr>
            <w:tcW w:w="958" w:type="dxa"/>
            <w:tcBorders>
              <w:bottom w:val="single" w:sz="4" w:space="0" w:color="4F81BD" w:themeColor="accent1"/>
            </w:tcBorders>
            <w:noWrap/>
          </w:tcPr>
          <w:p w14:paraId="7708C319"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p>
        </w:tc>
      </w:tr>
      <w:tr w:rsidR="003057CC" w:rsidRPr="00351ABB" w14:paraId="02BCE922" w14:textId="77777777" w:rsidTr="00926780">
        <w:trPr>
          <w:trHeight w:val="165"/>
        </w:trPr>
        <w:tc>
          <w:tcPr>
            <w:cnfStyle w:val="001000000000" w:firstRow="0" w:lastRow="0" w:firstColumn="1" w:lastColumn="0" w:oddVBand="0" w:evenVBand="0" w:oddHBand="0" w:evenHBand="0" w:firstRowFirstColumn="0" w:firstRowLastColumn="0" w:lastRowFirstColumn="0" w:lastRowLastColumn="0"/>
            <w:tcW w:w="9180" w:type="dxa"/>
            <w:gridSpan w:val="5"/>
            <w:tcBorders>
              <w:top w:val="single" w:sz="4" w:space="0" w:color="4F81BD" w:themeColor="accent1"/>
              <w:bottom w:val="single" w:sz="4" w:space="0" w:color="4F81BD" w:themeColor="accent1"/>
            </w:tcBorders>
            <w:noWrap/>
          </w:tcPr>
          <w:p w14:paraId="5379CD11" w14:textId="77777777" w:rsidR="003057CC" w:rsidRPr="00842485" w:rsidRDefault="003057CC" w:rsidP="00F73F79">
            <w:pPr>
              <w:pStyle w:val="Geenafstand"/>
              <w:rPr>
                <w:b w:val="0"/>
                <w:bCs w:val="0"/>
              </w:rPr>
            </w:pPr>
            <w:r w:rsidRPr="00842485">
              <w:t>Comorbidities</w:t>
            </w:r>
          </w:p>
        </w:tc>
      </w:tr>
      <w:tr w:rsidR="003057CC" w:rsidRPr="00351ABB" w14:paraId="4F0192BD" w14:textId="77777777" w:rsidTr="00926780">
        <w:trPr>
          <w:trHeight w:val="167"/>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4F81BD" w:themeColor="accent1"/>
              <w:bottom w:val="single" w:sz="4" w:space="0" w:color="4F81BD" w:themeColor="accent1"/>
            </w:tcBorders>
            <w:noWrap/>
          </w:tcPr>
          <w:p w14:paraId="24487CAB" w14:textId="77777777" w:rsidR="003057CC" w:rsidRPr="00F73F79" w:rsidRDefault="003057CC" w:rsidP="00F73F79">
            <w:pPr>
              <w:pStyle w:val="Geenafstand"/>
              <w:rPr>
                <w:b w:val="0"/>
                <w:bCs w:val="0"/>
              </w:rPr>
            </w:pPr>
            <w:r w:rsidRPr="00F73F79">
              <w:rPr>
                <w:b w:val="0"/>
                <w:bCs w:val="0"/>
              </w:rPr>
              <w:t xml:space="preserve">Mean score of ACI (The Charlson Age Comorbidity Index) </w:t>
            </w:r>
          </w:p>
        </w:tc>
        <w:tc>
          <w:tcPr>
            <w:tcW w:w="850" w:type="dxa"/>
            <w:tcBorders>
              <w:top w:val="single" w:sz="4" w:space="0" w:color="4F81BD" w:themeColor="accent1"/>
              <w:bottom w:val="single" w:sz="4" w:space="0" w:color="4F81BD" w:themeColor="accent1"/>
            </w:tcBorders>
          </w:tcPr>
          <w:p w14:paraId="0BE37243"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t>n = 137</w:t>
            </w:r>
          </w:p>
        </w:tc>
        <w:tc>
          <w:tcPr>
            <w:tcW w:w="1559" w:type="dxa"/>
            <w:tcBorders>
              <w:top w:val="single" w:sz="4" w:space="0" w:color="4F81BD" w:themeColor="accent1"/>
              <w:bottom w:val="single" w:sz="4" w:space="0" w:color="4F81BD" w:themeColor="accent1"/>
            </w:tcBorders>
            <w:noWrap/>
          </w:tcPr>
          <w:p w14:paraId="2FA3190E" w14:textId="2161BC4C"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rsidRPr="00842485">
              <w:t>8</w:t>
            </w:r>
            <w:r>
              <w:t>.</w:t>
            </w:r>
            <w:r w:rsidR="004F52C8">
              <w:t>1</w:t>
            </w:r>
            <w:r w:rsidRPr="00842485">
              <w:t xml:space="preserve"> (2</w:t>
            </w:r>
            <w:r>
              <w:t>.</w:t>
            </w:r>
            <w:r w:rsidR="004F52C8">
              <w:t>2</w:t>
            </w:r>
            <w:r w:rsidRPr="00842485">
              <w:t>)</w:t>
            </w:r>
          </w:p>
        </w:tc>
        <w:tc>
          <w:tcPr>
            <w:tcW w:w="1418" w:type="dxa"/>
            <w:tcBorders>
              <w:top w:val="single" w:sz="4" w:space="0" w:color="4F81BD" w:themeColor="accent1"/>
              <w:bottom w:val="single" w:sz="4" w:space="0" w:color="4F81BD" w:themeColor="accent1"/>
            </w:tcBorders>
            <w:noWrap/>
          </w:tcPr>
          <w:p w14:paraId="1F050814" w14:textId="3105F96C"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rsidRPr="00842485">
              <w:t>7</w:t>
            </w:r>
            <w:r>
              <w:t>.</w:t>
            </w:r>
            <w:r w:rsidR="004F52C8">
              <w:t>4</w:t>
            </w:r>
            <w:r w:rsidRPr="00842485">
              <w:t xml:space="preserve"> (2</w:t>
            </w:r>
            <w:r>
              <w:t>.</w:t>
            </w:r>
            <w:r w:rsidR="004F52C8">
              <w:t>4</w:t>
            </w:r>
            <w:r w:rsidRPr="00842485">
              <w:t>)</w:t>
            </w:r>
          </w:p>
        </w:tc>
        <w:tc>
          <w:tcPr>
            <w:tcW w:w="958" w:type="dxa"/>
            <w:tcBorders>
              <w:top w:val="single" w:sz="4" w:space="0" w:color="4F81BD" w:themeColor="accent1"/>
              <w:bottom w:val="single" w:sz="4" w:space="0" w:color="4F81BD" w:themeColor="accent1"/>
            </w:tcBorders>
            <w:noWrap/>
          </w:tcPr>
          <w:p w14:paraId="1F13A083"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rsidRPr="00842485">
              <w:t>0.113</w:t>
            </w:r>
          </w:p>
        </w:tc>
      </w:tr>
      <w:tr w:rsidR="003057CC" w:rsidRPr="008802D7" w14:paraId="3301D0ED" w14:textId="77777777" w:rsidTr="00926780">
        <w:trPr>
          <w:trHeight w:val="264"/>
        </w:trPr>
        <w:tc>
          <w:tcPr>
            <w:cnfStyle w:val="001000000000" w:firstRow="0" w:lastRow="0" w:firstColumn="1" w:lastColumn="0" w:oddVBand="0" w:evenVBand="0" w:oddHBand="0" w:evenHBand="0" w:firstRowFirstColumn="0" w:firstRowLastColumn="0" w:lastRowFirstColumn="0" w:lastRowLastColumn="0"/>
            <w:tcW w:w="9180" w:type="dxa"/>
            <w:gridSpan w:val="5"/>
            <w:tcBorders>
              <w:top w:val="single" w:sz="4" w:space="0" w:color="4F81BD" w:themeColor="accent1"/>
              <w:bottom w:val="single" w:sz="4" w:space="0" w:color="4F81BD" w:themeColor="accent1"/>
            </w:tcBorders>
          </w:tcPr>
          <w:p w14:paraId="0A672BA3" w14:textId="77777777" w:rsidR="003057CC" w:rsidRPr="00842485" w:rsidRDefault="003057CC" w:rsidP="00F73F79">
            <w:pPr>
              <w:pStyle w:val="Geenafstand"/>
              <w:rPr>
                <w:b w:val="0"/>
                <w:bCs w:val="0"/>
              </w:rPr>
            </w:pPr>
            <w:r>
              <w:t xml:space="preserve">Premorbid </w:t>
            </w:r>
            <w:r w:rsidRPr="00842485">
              <w:t xml:space="preserve">Functional </w:t>
            </w:r>
            <w:r>
              <w:t>F</w:t>
            </w:r>
            <w:r w:rsidRPr="00842485">
              <w:t>actors</w:t>
            </w:r>
          </w:p>
        </w:tc>
      </w:tr>
      <w:tr w:rsidR="003057CC" w:rsidRPr="008802D7" w14:paraId="4A5B13ED" w14:textId="77777777" w:rsidTr="00926780">
        <w:trPr>
          <w:trHeight w:val="255"/>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4F81BD" w:themeColor="accent1"/>
            </w:tcBorders>
            <w:noWrap/>
            <w:hideMark/>
          </w:tcPr>
          <w:p w14:paraId="67B8DD3A" w14:textId="77777777" w:rsidR="003057CC" w:rsidRPr="00F73F79" w:rsidRDefault="003057CC" w:rsidP="00F73F79">
            <w:pPr>
              <w:pStyle w:val="Geenafstand"/>
              <w:rPr>
                <w:b w:val="0"/>
                <w:bCs w:val="0"/>
              </w:rPr>
            </w:pPr>
            <w:r w:rsidRPr="00F73F79">
              <w:rPr>
                <w:b w:val="0"/>
                <w:bCs w:val="0"/>
              </w:rPr>
              <w:t xml:space="preserve">KATZ scale </w:t>
            </w:r>
          </w:p>
        </w:tc>
        <w:tc>
          <w:tcPr>
            <w:tcW w:w="850" w:type="dxa"/>
            <w:tcBorders>
              <w:top w:val="single" w:sz="4" w:space="0" w:color="4F81BD" w:themeColor="accent1"/>
            </w:tcBorders>
          </w:tcPr>
          <w:p w14:paraId="3A0BDEB3"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t>n = 135</w:t>
            </w:r>
          </w:p>
        </w:tc>
        <w:tc>
          <w:tcPr>
            <w:tcW w:w="1559" w:type="dxa"/>
            <w:tcBorders>
              <w:top w:val="single" w:sz="4" w:space="0" w:color="4F81BD" w:themeColor="accent1"/>
            </w:tcBorders>
            <w:noWrap/>
            <w:hideMark/>
          </w:tcPr>
          <w:p w14:paraId="746B50B1"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p>
        </w:tc>
        <w:tc>
          <w:tcPr>
            <w:tcW w:w="1418" w:type="dxa"/>
            <w:tcBorders>
              <w:top w:val="single" w:sz="4" w:space="0" w:color="4F81BD" w:themeColor="accent1"/>
            </w:tcBorders>
            <w:noWrap/>
            <w:hideMark/>
          </w:tcPr>
          <w:p w14:paraId="54038412"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p>
        </w:tc>
        <w:tc>
          <w:tcPr>
            <w:tcW w:w="958" w:type="dxa"/>
            <w:tcBorders>
              <w:top w:val="single" w:sz="4" w:space="0" w:color="4F81BD" w:themeColor="accent1"/>
            </w:tcBorders>
            <w:noWrap/>
          </w:tcPr>
          <w:p w14:paraId="25EE846D"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rsidRPr="00842485">
              <w:t>0</w:t>
            </w:r>
            <w:r>
              <w:t>.</w:t>
            </w:r>
            <w:r w:rsidRPr="00842485">
              <w:t>201</w:t>
            </w:r>
          </w:p>
        </w:tc>
      </w:tr>
      <w:tr w:rsidR="003057CC" w:rsidRPr="00351ABB" w14:paraId="0D33881B" w14:textId="77777777" w:rsidTr="00926780">
        <w:trPr>
          <w:trHeight w:val="155"/>
        </w:trPr>
        <w:tc>
          <w:tcPr>
            <w:cnfStyle w:val="001000000000" w:firstRow="0" w:lastRow="0" w:firstColumn="1" w:lastColumn="0" w:oddVBand="0" w:evenVBand="0" w:oddHBand="0" w:evenHBand="0" w:firstRowFirstColumn="0" w:firstRowLastColumn="0" w:lastRowFirstColumn="0" w:lastRowLastColumn="0"/>
            <w:tcW w:w="4395" w:type="dxa"/>
            <w:noWrap/>
          </w:tcPr>
          <w:p w14:paraId="23184C22" w14:textId="77777777" w:rsidR="003057CC" w:rsidRPr="00F73F79" w:rsidRDefault="003057CC" w:rsidP="00F73F79">
            <w:pPr>
              <w:pStyle w:val="Geenafstand"/>
              <w:rPr>
                <w:b w:val="0"/>
                <w:bCs w:val="0"/>
              </w:rPr>
            </w:pPr>
            <w:r w:rsidRPr="00F73F79">
              <w:rPr>
                <w:b w:val="0"/>
                <w:bCs w:val="0"/>
              </w:rPr>
              <w:t xml:space="preserve">            Needs assistance for at least 1 ADL</w:t>
            </w:r>
          </w:p>
        </w:tc>
        <w:tc>
          <w:tcPr>
            <w:tcW w:w="850" w:type="dxa"/>
          </w:tcPr>
          <w:p w14:paraId="762D7071"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p>
        </w:tc>
        <w:tc>
          <w:tcPr>
            <w:tcW w:w="1559" w:type="dxa"/>
            <w:noWrap/>
          </w:tcPr>
          <w:p w14:paraId="483F92D1"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rsidRPr="00842485">
              <w:t>34 (72</w:t>
            </w:r>
            <w:r>
              <w:t>.</w:t>
            </w:r>
            <w:r w:rsidRPr="00842485">
              <w:t>3%)</w:t>
            </w:r>
          </w:p>
        </w:tc>
        <w:tc>
          <w:tcPr>
            <w:tcW w:w="1418" w:type="dxa"/>
            <w:noWrap/>
          </w:tcPr>
          <w:p w14:paraId="49F027D4"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rsidRPr="00842485">
              <w:t>72 (81</w:t>
            </w:r>
            <w:r>
              <w:t>.</w:t>
            </w:r>
            <w:r w:rsidRPr="00842485">
              <w:t>8%)</w:t>
            </w:r>
          </w:p>
        </w:tc>
        <w:tc>
          <w:tcPr>
            <w:tcW w:w="958" w:type="dxa"/>
            <w:noWrap/>
          </w:tcPr>
          <w:p w14:paraId="1D34C9EF"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p>
        </w:tc>
      </w:tr>
      <w:tr w:rsidR="003057CC" w:rsidRPr="00351ABB" w14:paraId="5521DE2A" w14:textId="77777777" w:rsidTr="00926780">
        <w:trPr>
          <w:trHeight w:val="215"/>
        </w:trPr>
        <w:tc>
          <w:tcPr>
            <w:cnfStyle w:val="001000000000" w:firstRow="0" w:lastRow="0" w:firstColumn="1" w:lastColumn="0" w:oddVBand="0" w:evenVBand="0" w:oddHBand="0" w:evenHBand="0" w:firstRowFirstColumn="0" w:firstRowLastColumn="0" w:lastRowFirstColumn="0" w:lastRowLastColumn="0"/>
            <w:tcW w:w="4395" w:type="dxa"/>
            <w:noWrap/>
          </w:tcPr>
          <w:p w14:paraId="0CF922B8" w14:textId="77777777" w:rsidR="003057CC" w:rsidRPr="00F73F79" w:rsidRDefault="003057CC" w:rsidP="00F73F79">
            <w:pPr>
              <w:pStyle w:val="Geenafstand"/>
              <w:rPr>
                <w:b w:val="0"/>
                <w:bCs w:val="0"/>
                <w:lang w:val="en-US"/>
              </w:rPr>
            </w:pPr>
            <w:r w:rsidRPr="00F73F79">
              <w:rPr>
                <w:b w:val="0"/>
                <w:bCs w:val="0"/>
                <w:lang w:val="en-US"/>
              </w:rPr>
              <w:t xml:space="preserve">Mean score of </w:t>
            </w:r>
            <w:proofErr w:type="spellStart"/>
            <w:r w:rsidRPr="00F73F79">
              <w:rPr>
                <w:b w:val="0"/>
                <w:bCs w:val="0"/>
                <w:lang w:val="en-US"/>
              </w:rPr>
              <w:t>iADL</w:t>
            </w:r>
            <w:proofErr w:type="spellEnd"/>
            <w:r w:rsidRPr="00F73F79">
              <w:rPr>
                <w:b w:val="0"/>
                <w:bCs w:val="0"/>
                <w:lang w:val="en-US"/>
              </w:rPr>
              <w:t xml:space="preserve"> </w:t>
            </w:r>
          </w:p>
        </w:tc>
        <w:tc>
          <w:tcPr>
            <w:tcW w:w="850" w:type="dxa"/>
          </w:tcPr>
          <w:p w14:paraId="4CB59514" w14:textId="77777777" w:rsidR="003057CC"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t>n = 136</w:t>
            </w:r>
          </w:p>
        </w:tc>
        <w:tc>
          <w:tcPr>
            <w:tcW w:w="1559" w:type="dxa"/>
            <w:noWrap/>
          </w:tcPr>
          <w:p w14:paraId="6D250EDB" w14:textId="594C622E"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rsidRPr="00842485">
              <w:t>3</w:t>
            </w:r>
            <w:r>
              <w:t>.</w:t>
            </w:r>
            <w:r w:rsidR="004F52C8">
              <w:t>4</w:t>
            </w:r>
            <w:r w:rsidRPr="00842485">
              <w:t xml:space="preserve"> (2</w:t>
            </w:r>
            <w:r>
              <w:t>.</w:t>
            </w:r>
            <w:r w:rsidR="004F52C8">
              <w:t>2</w:t>
            </w:r>
            <w:r w:rsidRPr="00842485">
              <w:t>)</w:t>
            </w:r>
          </w:p>
        </w:tc>
        <w:tc>
          <w:tcPr>
            <w:tcW w:w="1418" w:type="dxa"/>
            <w:noWrap/>
          </w:tcPr>
          <w:p w14:paraId="41B7EBA8" w14:textId="7ED7A81F"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rsidRPr="00842485">
              <w:t>3.26 (2</w:t>
            </w:r>
            <w:r>
              <w:t>.</w:t>
            </w:r>
            <w:r w:rsidR="004F52C8">
              <w:t>2</w:t>
            </w:r>
            <w:r w:rsidRPr="00842485">
              <w:t>)</w:t>
            </w:r>
          </w:p>
        </w:tc>
        <w:tc>
          <w:tcPr>
            <w:tcW w:w="958" w:type="dxa"/>
            <w:noWrap/>
          </w:tcPr>
          <w:p w14:paraId="47D86EDD"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rsidRPr="00842485">
              <w:t>0.674</w:t>
            </w:r>
          </w:p>
        </w:tc>
      </w:tr>
      <w:tr w:rsidR="003057CC" w:rsidRPr="00351ABB" w14:paraId="5BF96878" w14:textId="77777777" w:rsidTr="00926780">
        <w:trPr>
          <w:trHeight w:val="293"/>
        </w:trPr>
        <w:tc>
          <w:tcPr>
            <w:cnfStyle w:val="001000000000" w:firstRow="0" w:lastRow="0" w:firstColumn="1" w:lastColumn="0" w:oddVBand="0" w:evenVBand="0" w:oddHBand="0" w:evenHBand="0" w:firstRowFirstColumn="0" w:firstRowLastColumn="0" w:lastRowFirstColumn="0" w:lastRowLastColumn="0"/>
            <w:tcW w:w="4395" w:type="dxa"/>
            <w:noWrap/>
          </w:tcPr>
          <w:p w14:paraId="0F54CED9" w14:textId="77777777" w:rsidR="003057CC" w:rsidRPr="00F73F79" w:rsidRDefault="003057CC" w:rsidP="00F73F79">
            <w:pPr>
              <w:pStyle w:val="Geenafstand"/>
              <w:rPr>
                <w:b w:val="0"/>
                <w:bCs w:val="0"/>
              </w:rPr>
            </w:pPr>
            <w:r w:rsidRPr="00F73F79">
              <w:rPr>
                <w:b w:val="0"/>
                <w:bCs w:val="0"/>
              </w:rPr>
              <w:t xml:space="preserve">GRP positive </w:t>
            </w:r>
          </w:p>
        </w:tc>
        <w:tc>
          <w:tcPr>
            <w:tcW w:w="850" w:type="dxa"/>
          </w:tcPr>
          <w:p w14:paraId="4390094A"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t>n = 120</w:t>
            </w:r>
          </w:p>
        </w:tc>
        <w:tc>
          <w:tcPr>
            <w:tcW w:w="1559" w:type="dxa"/>
            <w:noWrap/>
          </w:tcPr>
          <w:p w14:paraId="07C1270A"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rsidRPr="00842485">
              <w:t>41 (</w:t>
            </w:r>
            <w:r>
              <w:t>85.</w:t>
            </w:r>
            <w:r w:rsidRPr="00842485">
              <w:t>4%)</w:t>
            </w:r>
          </w:p>
        </w:tc>
        <w:tc>
          <w:tcPr>
            <w:tcW w:w="1418" w:type="dxa"/>
            <w:noWrap/>
          </w:tcPr>
          <w:p w14:paraId="1803653B"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rsidRPr="00842485">
              <w:t>79 (88</w:t>
            </w:r>
            <w:r>
              <w:t>.</w:t>
            </w:r>
            <w:r w:rsidRPr="00842485">
              <w:t>8%)</w:t>
            </w:r>
          </w:p>
        </w:tc>
        <w:tc>
          <w:tcPr>
            <w:tcW w:w="958" w:type="dxa"/>
            <w:noWrap/>
          </w:tcPr>
          <w:p w14:paraId="554F3D8F" w14:textId="77777777" w:rsidR="003057CC" w:rsidRPr="00842485" w:rsidRDefault="003057CC" w:rsidP="00F73F79">
            <w:pPr>
              <w:pStyle w:val="Geenafstand"/>
              <w:cnfStyle w:val="000000000000" w:firstRow="0" w:lastRow="0" w:firstColumn="0" w:lastColumn="0" w:oddVBand="0" w:evenVBand="0" w:oddHBand="0" w:evenHBand="0" w:firstRowFirstColumn="0" w:firstRowLastColumn="0" w:lastRowFirstColumn="0" w:lastRowLastColumn="0"/>
            </w:pPr>
            <w:r w:rsidRPr="00842485">
              <w:t>0.571</w:t>
            </w:r>
          </w:p>
        </w:tc>
      </w:tr>
    </w:tbl>
    <w:p w14:paraId="4079B5BA" w14:textId="77777777" w:rsidR="00A13DDD" w:rsidRDefault="00A13DDD" w:rsidP="00A13DDD">
      <w:pPr>
        <w:pStyle w:val="Geenafstand"/>
        <w:rPr>
          <w:u w:val="single"/>
        </w:rPr>
      </w:pPr>
    </w:p>
    <w:p w14:paraId="390D6472" w14:textId="0F60E0F1" w:rsidR="00904296" w:rsidRDefault="00C91965" w:rsidP="00F53880">
      <w:pPr>
        <w:pStyle w:val="Geenafstand"/>
        <w:jc w:val="both"/>
      </w:pPr>
      <w:r w:rsidRPr="00156348">
        <w:rPr>
          <w:u w:val="single"/>
        </w:rPr>
        <w:t>Legend:</w:t>
      </w:r>
      <w:r w:rsidRPr="00156348">
        <w:t xml:space="preserve"> NYHA class: a functional classification that catalogues the extent/severity of heart failure, range I to IV, class I &amp; II = limited restriction secondary to heart failure, class III &amp; IV = moderate to severe limitation secondary to heart failure. CACI: Charlson Age-Comorbidity Index, a combination of age and measure of comorbidity to predict the risk of mortality, high score= higher risk to die. </w:t>
      </w:r>
      <w:r>
        <w:t xml:space="preserve">KATZ scale: a scale used to describe basic activities of daily living such as washing, clothing, eating, mobility for short distances and urinary and faecal continence. Documented as ‘dependent’ for basic activities of daily living in case of need for assistance for at least one of these tasks. </w:t>
      </w:r>
      <w:r w:rsidRPr="00CD240F">
        <w:t>The Lawton Instrumental Activities of D</w:t>
      </w:r>
      <w:r>
        <w:t>aily Living Scale (IADL) is an</w:t>
      </w:r>
      <w:r w:rsidRPr="00CD240F">
        <w:t xml:space="preserve"> instrument to assess independent living skills</w:t>
      </w:r>
      <w:r>
        <w:t xml:space="preserve">. These skills being the ability to use the telephone, </w:t>
      </w:r>
      <w:r w:rsidR="008E17AE">
        <w:t xml:space="preserve">to do </w:t>
      </w:r>
      <w:r>
        <w:t xml:space="preserve">laundry, food preparation, shopping, housekeeping, handle finance matters, responsibility for own medication and the mode of transportation patients use. A </w:t>
      </w:r>
      <w:r w:rsidRPr="007F1527">
        <w:t xml:space="preserve">score ranges from </w:t>
      </w:r>
      <w:r>
        <w:t>0 (low function, dependent) to 6 (high function, independent), differences between men and women were left out in this dataset. GRP: Geriatric Risk</w:t>
      </w:r>
      <w:r w:rsidRPr="00156348">
        <w:t xml:space="preserve"> Profile score, range 0-6, high score= high risk.</w:t>
      </w:r>
      <w:r>
        <w:t xml:space="preserve"> </w:t>
      </w:r>
      <w:r w:rsidR="000273EC">
        <w:t xml:space="preserve">A GRP score ≥ 2 was considered positive. </w:t>
      </w:r>
    </w:p>
    <w:p w14:paraId="684DD270" w14:textId="2AC3E148" w:rsidR="0052653A" w:rsidRPr="009D3AA4" w:rsidRDefault="00C91965" w:rsidP="000273EC">
      <w:pPr>
        <w:pStyle w:val="Geenafstand"/>
        <w:jc w:val="both"/>
      </w:pPr>
      <w:r>
        <w:t>Percentage documented as percentage of people within the total number of pe</w:t>
      </w:r>
      <w:r w:rsidR="00CC2F23">
        <w:t xml:space="preserve">ople diagnosed with </w:t>
      </w:r>
      <w:proofErr w:type="spellStart"/>
      <w:r w:rsidR="00CC2F23">
        <w:t>HFrEF</w:t>
      </w:r>
      <w:proofErr w:type="spellEnd"/>
      <w:r w:rsidR="00CC2F23">
        <w:t>/</w:t>
      </w:r>
      <w:proofErr w:type="spellStart"/>
      <w:r w:rsidR="00CC2F23">
        <w:t>HFpEF</w:t>
      </w:r>
      <w:proofErr w:type="spellEnd"/>
      <w:r w:rsidR="00CC2F23">
        <w:t xml:space="preserve">. </w:t>
      </w:r>
      <w:r w:rsidR="00203145" w:rsidRPr="009D3AA4">
        <w:t>Width of confidence intervals listed for means</w:t>
      </w:r>
      <w:r w:rsidR="000273EC" w:rsidRPr="009D3AA4">
        <w:t>.</w:t>
      </w:r>
    </w:p>
    <w:sectPr w:rsidR="0052653A" w:rsidRPr="009D3AA4" w:rsidSect="00945B49">
      <w:footerReference w:type="default" r:id="rId12"/>
      <w:headerReference w:type="first" r:id="rId13"/>
      <w:footerReference w:type="first" r:id="rId1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2787F" w14:textId="77777777" w:rsidR="00945B49" w:rsidRDefault="00945B49" w:rsidP="00CA146C">
      <w:r>
        <w:separator/>
      </w:r>
    </w:p>
    <w:p w14:paraId="2A7573C2" w14:textId="77777777" w:rsidR="00945B49" w:rsidRDefault="00945B49" w:rsidP="00CA146C"/>
  </w:endnote>
  <w:endnote w:type="continuationSeparator" w:id="0">
    <w:p w14:paraId="09D08F3E" w14:textId="77777777" w:rsidR="00945B49" w:rsidRDefault="00945B49" w:rsidP="00CA146C">
      <w:r>
        <w:continuationSeparator/>
      </w:r>
    </w:p>
    <w:p w14:paraId="2113ECCE" w14:textId="77777777" w:rsidR="00945B49" w:rsidRDefault="00945B49" w:rsidP="00CA14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4397097"/>
      <w:docPartObj>
        <w:docPartGallery w:val="Page Numbers (Bottom of Page)"/>
        <w:docPartUnique/>
      </w:docPartObj>
    </w:sdtPr>
    <w:sdtEndPr/>
    <w:sdtContent>
      <w:p w14:paraId="087C1BB8" w14:textId="01F75CAB" w:rsidR="000247EF" w:rsidRDefault="000247EF">
        <w:pPr>
          <w:pStyle w:val="Voettekst"/>
          <w:jc w:val="right"/>
        </w:pPr>
        <w:r>
          <w:fldChar w:fldCharType="begin"/>
        </w:r>
        <w:r>
          <w:instrText>PAGE   \* MERGEFORMAT</w:instrText>
        </w:r>
        <w:r>
          <w:fldChar w:fldCharType="separate"/>
        </w:r>
        <w:r>
          <w:rPr>
            <w:lang w:val="nl-NL"/>
          </w:rPr>
          <w:t>2</w:t>
        </w:r>
        <w:r>
          <w:fldChar w:fldCharType="end"/>
        </w:r>
      </w:p>
    </w:sdtContent>
  </w:sdt>
  <w:p w14:paraId="7D217B17" w14:textId="77777777" w:rsidR="000247EF" w:rsidRDefault="000247EF">
    <w:pPr>
      <w:pStyle w:val="Voetteks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6692319"/>
      <w:docPartObj>
        <w:docPartGallery w:val="Page Numbers (Bottom of Page)"/>
        <w:docPartUnique/>
      </w:docPartObj>
    </w:sdtPr>
    <w:sdtEndPr/>
    <w:sdtContent>
      <w:p w14:paraId="5C78D495" w14:textId="529448A9" w:rsidR="006D1175" w:rsidRDefault="006D1175">
        <w:pPr>
          <w:pStyle w:val="Voettekst"/>
          <w:jc w:val="right"/>
        </w:pPr>
        <w:r>
          <w:fldChar w:fldCharType="begin"/>
        </w:r>
        <w:r>
          <w:instrText>PAGE   \* MERGEFORMAT</w:instrText>
        </w:r>
        <w:r>
          <w:fldChar w:fldCharType="separate"/>
        </w:r>
        <w:r>
          <w:rPr>
            <w:lang w:val="nl-NL"/>
          </w:rPr>
          <w:t>2</w:t>
        </w:r>
        <w:r>
          <w:fldChar w:fldCharType="end"/>
        </w:r>
      </w:p>
    </w:sdtContent>
  </w:sdt>
  <w:p w14:paraId="28D80BBD" w14:textId="706B390E" w:rsidR="006D1175" w:rsidRDefault="006D11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F9EF7" w14:textId="77777777" w:rsidR="00945B49" w:rsidRDefault="00945B49" w:rsidP="00CA146C">
      <w:r>
        <w:separator/>
      </w:r>
    </w:p>
    <w:p w14:paraId="51E23CE6" w14:textId="77777777" w:rsidR="00945B49" w:rsidRDefault="00945B49" w:rsidP="00CA146C"/>
  </w:footnote>
  <w:footnote w:type="continuationSeparator" w:id="0">
    <w:p w14:paraId="19D1943E" w14:textId="77777777" w:rsidR="00945B49" w:rsidRDefault="00945B49" w:rsidP="00CA146C">
      <w:r>
        <w:continuationSeparator/>
      </w:r>
    </w:p>
    <w:p w14:paraId="1830BB69" w14:textId="77777777" w:rsidR="00945B49" w:rsidRDefault="00945B49" w:rsidP="00CA14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CB450" w14:textId="2DD6573F" w:rsidR="006D1175" w:rsidRDefault="006D1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50447"/>
    <w:multiLevelType w:val="hybridMultilevel"/>
    <w:tmpl w:val="44942F84"/>
    <w:lvl w:ilvl="0" w:tplc="9B98C16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F4D6520"/>
    <w:multiLevelType w:val="hybridMultilevel"/>
    <w:tmpl w:val="7E423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5C50A6"/>
    <w:multiLevelType w:val="hybridMultilevel"/>
    <w:tmpl w:val="7EC01336"/>
    <w:lvl w:ilvl="0" w:tplc="04130015">
      <w:start w:val="1"/>
      <w:numFmt w:val="upperLetter"/>
      <w:lvlText w:val="%1."/>
      <w:lvlJc w:val="left"/>
      <w:pPr>
        <w:ind w:left="1424" w:hanging="360"/>
      </w:pPr>
    </w:lvl>
    <w:lvl w:ilvl="1" w:tplc="04130019" w:tentative="1">
      <w:start w:val="1"/>
      <w:numFmt w:val="lowerLetter"/>
      <w:lvlText w:val="%2."/>
      <w:lvlJc w:val="left"/>
      <w:pPr>
        <w:ind w:left="2144" w:hanging="360"/>
      </w:pPr>
    </w:lvl>
    <w:lvl w:ilvl="2" w:tplc="0413001B" w:tentative="1">
      <w:start w:val="1"/>
      <w:numFmt w:val="lowerRoman"/>
      <w:lvlText w:val="%3."/>
      <w:lvlJc w:val="right"/>
      <w:pPr>
        <w:ind w:left="2864" w:hanging="180"/>
      </w:pPr>
    </w:lvl>
    <w:lvl w:ilvl="3" w:tplc="0413000F" w:tentative="1">
      <w:start w:val="1"/>
      <w:numFmt w:val="decimal"/>
      <w:lvlText w:val="%4."/>
      <w:lvlJc w:val="left"/>
      <w:pPr>
        <w:ind w:left="3584" w:hanging="360"/>
      </w:pPr>
    </w:lvl>
    <w:lvl w:ilvl="4" w:tplc="04130019" w:tentative="1">
      <w:start w:val="1"/>
      <w:numFmt w:val="lowerLetter"/>
      <w:lvlText w:val="%5."/>
      <w:lvlJc w:val="left"/>
      <w:pPr>
        <w:ind w:left="4304" w:hanging="360"/>
      </w:pPr>
    </w:lvl>
    <w:lvl w:ilvl="5" w:tplc="0413001B" w:tentative="1">
      <w:start w:val="1"/>
      <w:numFmt w:val="lowerRoman"/>
      <w:lvlText w:val="%6."/>
      <w:lvlJc w:val="right"/>
      <w:pPr>
        <w:ind w:left="5024" w:hanging="180"/>
      </w:pPr>
    </w:lvl>
    <w:lvl w:ilvl="6" w:tplc="0413000F" w:tentative="1">
      <w:start w:val="1"/>
      <w:numFmt w:val="decimal"/>
      <w:lvlText w:val="%7."/>
      <w:lvlJc w:val="left"/>
      <w:pPr>
        <w:ind w:left="5744" w:hanging="360"/>
      </w:pPr>
    </w:lvl>
    <w:lvl w:ilvl="7" w:tplc="04130019" w:tentative="1">
      <w:start w:val="1"/>
      <w:numFmt w:val="lowerLetter"/>
      <w:lvlText w:val="%8."/>
      <w:lvlJc w:val="left"/>
      <w:pPr>
        <w:ind w:left="6464" w:hanging="360"/>
      </w:pPr>
    </w:lvl>
    <w:lvl w:ilvl="8" w:tplc="0413001B" w:tentative="1">
      <w:start w:val="1"/>
      <w:numFmt w:val="lowerRoman"/>
      <w:lvlText w:val="%9."/>
      <w:lvlJc w:val="right"/>
      <w:pPr>
        <w:ind w:left="7184" w:hanging="180"/>
      </w:pPr>
    </w:lvl>
  </w:abstractNum>
  <w:abstractNum w:abstractNumId="3" w15:restartNumberingAfterBreak="0">
    <w:nsid w:val="38EE52DC"/>
    <w:multiLevelType w:val="hybridMultilevel"/>
    <w:tmpl w:val="F6EC5756"/>
    <w:lvl w:ilvl="0" w:tplc="DF6249A6">
      <w:start w:val="1"/>
      <w:numFmt w:val="decimal"/>
      <w:lvlText w:val="%1."/>
      <w:lvlJc w:val="left"/>
      <w:pPr>
        <w:tabs>
          <w:tab w:val="num" w:pos="720"/>
        </w:tabs>
        <w:ind w:left="720" w:hanging="360"/>
      </w:pPr>
    </w:lvl>
    <w:lvl w:ilvl="1" w:tplc="F572C638" w:tentative="1">
      <w:start w:val="1"/>
      <w:numFmt w:val="decimal"/>
      <w:lvlText w:val="%2."/>
      <w:lvlJc w:val="left"/>
      <w:pPr>
        <w:tabs>
          <w:tab w:val="num" w:pos="1440"/>
        </w:tabs>
        <w:ind w:left="1440" w:hanging="360"/>
      </w:pPr>
    </w:lvl>
    <w:lvl w:ilvl="2" w:tplc="C4349BB8" w:tentative="1">
      <w:start w:val="1"/>
      <w:numFmt w:val="decimal"/>
      <w:lvlText w:val="%3."/>
      <w:lvlJc w:val="left"/>
      <w:pPr>
        <w:tabs>
          <w:tab w:val="num" w:pos="2160"/>
        </w:tabs>
        <w:ind w:left="2160" w:hanging="360"/>
      </w:pPr>
    </w:lvl>
    <w:lvl w:ilvl="3" w:tplc="4ADE8190" w:tentative="1">
      <w:start w:val="1"/>
      <w:numFmt w:val="decimal"/>
      <w:lvlText w:val="%4."/>
      <w:lvlJc w:val="left"/>
      <w:pPr>
        <w:tabs>
          <w:tab w:val="num" w:pos="2880"/>
        </w:tabs>
        <w:ind w:left="2880" w:hanging="360"/>
      </w:pPr>
    </w:lvl>
    <w:lvl w:ilvl="4" w:tplc="F3E8D162" w:tentative="1">
      <w:start w:val="1"/>
      <w:numFmt w:val="decimal"/>
      <w:lvlText w:val="%5."/>
      <w:lvlJc w:val="left"/>
      <w:pPr>
        <w:tabs>
          <w:tab w:val="num" w:pos="3600"/>
        </w:tabs>
        <w:ind w:left="3600" w:hanging="360"/>
      </w:pPr>
    </w:lvl>
    <w:lvl w:ilvl="5" w:tplc="2B2EEFB2" w:tentative="1">
      <w:start w:val="1"/>
      <w:numFmt w:val="decimal"/>
      <w:lvlText w:val="%6."/>
      <w:lvlJc w:val="left"/>
      <w:pPr>
        <w:tabs>
          <w:tab w:val="num" w:pos="4320"/>
        </w:tabs>
        <w:ind w:left="4320" w:hanging="360"/>
      </w:pPr>
    </w:lvl>
    <w:lvl w:ilvl="6" w:tplc="02C48DE6" w:tentative="1">
      <w:start w:val="1"/>
      <w:numFmt w:val="decimal"/>
      <w:lvlText w:val="%7."/>
      <w:lvlJc w:val="left"/>
      <w:pPr>
        <w:tabs>
          <w:tab w:val="num" w:pos="5040"/>
        </w:tabs>
        <w:ind w:left="5040" w:hanging="360"/>
      </w:pPr>
    </w:lvl>
    <w:lvl w:ilvl="7" w:tplc="36D629B6" w:tentative="1">
      <w:start w:val="1"/>
      <w:numFmt w:val="decimal"/>
      <w:lvlText w:val="%8."/>
      <w:lvlJc w:val="left"/>
      <w:pPr>
        <w:tabs>
          <w:tab w:val="num" w:pos="5760"/>
        </w:tabs>
        <w:ind w:left="5760" w:hanging="360"/>
      </w:pPr>
    </w:lvl>
    <w:lvl w:ilvl="8" w:tplc="9078DE06" w:tentative="1">
      <w:start w:val="1"/>
      <w:numFmt w:val="decimal"/>
      <w:lvlText w:val="%9."/>
      <w:lvlJc w:val="left"/>
      <w:pPr>
        <w:tabs>
          <w:tab w:val="num" w:pos="6480"/>
        </w:tabs>
        <w:ind w:left="6480" w:hanging="360"/>
      </w:pPr>
    </w:lvl>
  </w:abstractNum>
  <w:abstractNum w:abstractNumId="4" w15:restartNumberingAfterBreak="0">
    <w:nsid w:val="3B586878"/>
    <w:multiLevelType w:val="hybridMultilevel"/>
    <w:tmpl w:val="1D06F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2F0FAA"/>
    <w:multiLevelType w:val="hybridMultilevel"/>
    <w:tmpl w:val="1256C268"/>
    <w:lvl w:ilvl="0" w:tplc="8CF28B1C">
      <w:start w:val="248"/>
      <w:numFmt w:val="bullet"/>
      <w:lvlText w:val="-"/>
      <w:lvlJc w:val="left"/>
      <w:pPr>
        <w:ind w:left="1285" w:hanging="360"/>
      </w:pPr>
      <w:rPr>
        <w:rFonts w:ascii="Calibri" w:eastAsiaTheme="minorHAnsi" w:hAnsi="Calibri" w:cs="Calibri" w:hint="default"/>
      </w:rPr>
    </w:lvl>
    <w:lvl w:ilvl="1" w:tplc="08130003" w:tentative="1">
      <w:start w:val="1"/>
      <w:numFmt w:val="bullet"/>
      <w:lvlText w:val="o"/>
      <w:lvlJc w:val="left"/>
      <w:pPr>
        <w:ind w:left="2005" w:hanging="360"/>
      </w:pPr>
      <w:rPr>
        <w:rFonts w:ascii="Courier New" w:hAnsi="Courier New" w:cs="Courier New" w:hint="default"/>
      </w:rPr>
    </w:lvl>
    <w:lvl w:ilvl="2" w:tplc="08130005" w:tentative="1">
      <w:start w:val="1"/>
      <w:numFmt w:val="bullet"/>
      <w:lvlText w:val=""/>
      <w:lvlJc w:val="left"/>
      <w:pPr>
        <w:ind w:left="2725" w:hanging="360"/>
      </w:pPr>
      <w:rPr>
        <w:rFonts w:ascii="Wingdings" w:hAnsi="Wingdings" w:hint="default"/>
      </w:rPr>
    </w:lvl>
    <w:lvl w:ilvl="3" w:tplc="08130001" w:tentative="1">
      <w:start w:val="1"/>
      <w:numFmt w:val="bullet"/>
      <w:lvlText w:val=""/>
      <w:lvlJc w:val="left"/>
      <w:pPr>
        <w:ind w:left="3445" w:hanging="360"/>
      </w:pPr>
      <w:rPr>
        <w:rFonts w:ascii="Symbol" w:hAnsi="Symbol" w:hint="default"/>
      </w:rPr>
    </w:lvl>
    <w:lvl w:ilvl="4" w:tplc="08130003" w:tentative="1">
      <w:start w:val="1"/>
      <w:numFmt w:val="bullet"/>
      <w:lvlText w:val="o"/>
      <w:lvlJc w:val="left"/>
      <w:pPr>
        <w:ind w:left="4165" w:hanging="360"/>
      </w:pPr>
      <w:rPr>
        <w:rFonts w:ascii="Courier New" w:hAnsi="Courier New" w:cs="Courier New" w:hint="default"/>
      </w:rPr>
    </w:lvl>
    <w:lvl w:ilvl="5" w:tplc="08130005" w:tentative="1">
      <w:start w:val="1"/>
      <w:numFmt w:val="bullet"/>
      <w:lvlText w:val=""/>
      <w:lvlJc w:val="left"/>
      <w:pPr>
        <w:ind w:left="4885" w:hanging="360"/>
      </w:pPr>
      <w:rPr>
        <w:rFonts w:ascii="Wingdings" w:hAnsi="Wingdings" w:hint="default"/>
      </w:rPr>
    </w:lvl>
    <w:lvl w:ilvl="6" w:tplc="08130001" w:tentative="1">
      <w:start w:val="1"/>
      <w:numFmt w:val="bullet"/>
      <w:lvlText w:val=""/>
      <w:lvlJc w:val="left"/>
      <w:pPr>
        <w:ind w:left="5605" w:hanging="360"/>
      </w:pPr>
      <w:rPr>
        <w:rFonts w:ascii="Symbol" w:hAnsi="Symbol" w:hint="default"/>
      </w:rPr>
    </w:lvl>
    <w:lvl w:ilvl="7" w:tplc="08130003" w:tentative="1">
      <w:start w:val="1"/>
      <w:numFmt w:val="bullet"/>
      <w:lvlText w:val="o"/>
      <w:lvlJc w:val="left"/>
      <w:pPr>
        <w:ind w:left="6325" w:hanging="360"/>
      </w:pPr>
      <w:rPr>
        <w:rFonts w:ascii="Courier New" w:hAnsi="Courier New" w:cs="Courier New" w:hint="default"/>
      </w:rPr>
    </w:lvl>
    <w:lvl w:ilvl="8" w:tplc="08130005" w:tentative="1">
      <w:start w:val="1"/>
      <w:numFmt w:val="bullet"/>
      <w:lvlText w:val=""/>
      <w:lvlJc w:val="left"/>
      <w:pPr>
        <w:ind w:left="7045" w:hanging="360"/>
      </w:pPr>
      <w:rPr>
        <w:rFonts w:ascii="Wingdings" w:hAnsi="Wingdings" w:hint="default"/>
      </w:rPr>
    </w:lvl>
  </w:abstractNum>
  <w:abstractNum w:abstractNumId="6" w15:restartNumberingAfterBreak="0">
    <w:nsid w:val="449B2CAB"/>
    <w:multiLevelType w:val="hybridMultilevel"/>
    <w:tmpl w:val="AF70050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5554960"/>
    <w:multiLevelType w:val="hybridMultilevel"/>
    <w:tmpl w:val="E922714E"/>
    <w:lvl w:ilvl="0" w:tplc="045EC7BA">
      <w:start w:val="248"/>
      <w:numFmt w:val="bullet"/>
      <w:lvlText w:val="-"/>
      <w:lvlJc w:val="left"/>
      <w:pPr>
        <w:ind w:left="1645" w:hanging="360"/>
      </w:pPr>
      <w:rPr>
        <w:rFonts w:ascii="Calibri" w:eastAsiaTheme="minorHAnsi" w:hAnsi="Calibri" w:cs="Calibri" w:hint="default"/>
      </w:rPr>
    </w:lvl>
    <w:lvl w:ilvl="1" w:tplc="08130003" w:tentative="1">
      <w:start w:val="1"/>
      <w:numFmt w:val="bullet"/>
      <w:lvlText w:val="o"/>
      <w:lvlJc w:val="left"/>
      <w:pPr>
        <w:ind w:left="2365" w:hanging="360"/>
      </w:pPr>
      <w:rPr>
        <w:rFonts w:ascii="Courier New" w:hAnsi="Courier New" w:cs="Courier New" w:hint="default"/>
      </w:rPr>
    </w:lvl>
    <w:lvl w:ilvl="2" w:tplc="08130005" w:tentative="1">
      <w:start w:val="1"/>
      <w:numFmt w:val="bullet"/>
      <w:lvlText w:val=""/>
      <w:lvlJc w:val="left"/>
      <w:pPr>
        <w:ind w:left="3085" w:hanging="360"/>
      </w:pPr>
      <w:rPr>
        <w:rFonts w:ascii="Wingdings" w:hAnsi="Wingdings" w:hint="default"/>
      </w:rPr>
    </w:lvl>
    <w:lvl w:ilvl="3" w:tplc="08130001" w:tentative="1">
      <w:start w:val="1"/>
      <w:numFmt w:val="bullet"/>
      <w:lvlText w:val=""/>
      <w:lvlJc w:val="left"/>
      <w:pPr>
        <w:ind w:left="3805" w:hanging="360"/>
      </w:pPr>
      <w:rPr>
        <w:rFonts w:ascii="Symbol" w:hAnsi="Symbol" w:hint="default"/>
      </w:rPr>
    </w:lvl>
    <w:lvl w:ilvl="4" w:tplc="08130003" w:tentative="1">
      <w:start w:val="1"/>
      <w:numFmt w:val="bullet"/>
      <w:lvlText w:val="o"/>
      <w:lvlJc w:val="left"/>
      <w:pPr>
        <w:ind w:left="4525" w:hanging="360"/>
      </w:pPr>
      <w:rPr>
        <w:rFonts w:ascii="Courier New" w:hAnsi="Courier New" w:cs="Courier New" w:hint="default"/>
      </w:rPr>
    </w:lvl>
    <w:lvl w:ilvl="5" w:tplc="08130005" w:tentative="1">
      <w:start w:val="1"/>
      <w:numFmt w:val="bullet"/>
      <w:lvlText w:val=""/>
      <w:lvlJc w:val="left"/>
      <w:pPr>
        <w:ind w:left="5245" w:hanging="360"/>
      </w:pPr>
      <w:rPr>
        <w:rFonts w:ascii="Wingdings" w:hAnsi="Wingdings" w:hint="default"/>
      </w:rPr>
    </w:lvl>
    <w:lvl w:ilvl="6" w:tplc="08130001" w:tentative="1">
      <w:start w:val="1"/>
      <w:numFmt w:val="bullet"/>
      <w:lvlText w:val=""/>
      <w:lvlJc w:val="left"/>
      <w:pPr>
        <w:ind w:left="5965" w:hanging="360"/>
      </w:pPr>
      <w:rPr>
        <w:rFonts w:ascii="Symbol" w:hAnsi="Symbol" w:hint="default"/>
      </w:rPr>
    </w:lvl>
    <w:lvl w:ilvl="7" w:tplc="08130003" w:tentative="1">
      <w:start w:val="1"/>
      <w:numFmt w:val="bullet"/>
      <w:lvlText w:val="o"/>
      <w:lvlJc w:val="left"/>
      <w:pPr>
        <w:ind w:left="6685" w:hanging="360"/>
      </w:pPr>
      <w:rPr>
        <w:rFonts w:ascii="Courier New" w:hAnsi="Courier New" w:cs="Courier New" w:hint="default"/>
      </w:rPr>
    </w:lvl>
    <w:lvl w:ilvl="8" w:tplc="08130005" w:tentative="1">
      <w:start w:val="1"/>
      <w:numFmt w:val="bullet"/>
      <w:lvlText w:val=""/>
      <w:lvlJc w:val="left"/>
      <w:pPr>
        <w:ind w:left="7405" w:hanging="360"/>
      </w:pPr>
      <w:rPr>
        <w:rFonts w:ascii="Wingdings" w:hAnsi="Wingdings" w:hint="default"/>
      </w:rPr>
    </w:lvl>
  </w:abstractNum>
  <w:abstractNum w:abstractNumId="8" w15:restartNumberingAfterBreak="0">
    <w:nsid w:val="68A54FED"/>
    <w:multiLevelType w:val="hybridMultilevel"/>
    <w:tmpl w:val="103C4B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90821FA"/>
    <w:multiLevelType w:val="hybridMultilevel"/>
    <w:tmpl w:val="597440C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0D8655C"/>
    <w:multiLevelType w:val="hybridMultilevel"/>
    <w:tmpl w:val="44FCF314"/>
    <w:lvl w:ilvl="0" w:tplc="B9708956">
      <w:start w:val="24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AD2120A"/>
    <w:multiLevelType w:val="hybridMultilevel"/>
    <w:tmpl w:val="971A50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823132">
    <w:abstractNumId w:val="5"/>
  </w:num>
  <w:num w:numId="2" w16cid:durableId="880364819">
    <w:abstractNumId w:val="7"/>
  </w:num>
  <w:num w:numId="3" w16cid:durableId="1296989967">
    <w:abstractNumId w:val="10"/>
  </w:num>
  <w:num w:numId="4" w16cid:durableId="182600022">
    <w:abstractNumId w:val="2"/>
  </w:num>
  <w:num w:numId="5" w16cid:durableId="169224015">
    <w:abstractNumId w:val="4"/>
  </w:num>
  <w:num w:numId="6" w16cid:durableId="1804694765">
    <w:abstractNumId w:val="11"/>
  </w:num>
  <w:num w:numId="7" w16cid:durableId="1077704103">
    <w:abstractNumId w:val="8"/>
  </w:num>
  <w:num w:numId="8" w16cid:durableId="428741807">
    <w:abstractNumId w:val="1"/>
  </w:num>
  <w:num w:numId="9" w16cid:durableId="1735155896">
    <w:abstractNumId w:val="9"/>
  </w:num>
  <w:num w:numId="10" w16cid:durableId="1726224619">
    <w:abstractNumId w:val="3"/>
  </w:num>
  <w:num w:numId="11" w16cid:durableId="1028916493">
    <w:abstractNumId w:val="6"/>
  </w:num>
  <w:num w:numId="12" w16cid:durableId="2017150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B2D"/>
    <w:rsid w:val="000028D9"/>
    <w:rsid w:val="000031F6"/>
    <w:rsid w:val="00004200"/>
    <w:rsid w:val="00005BDD"/>
    <w:rsid w:val="000069BC"/>
    <w:rsid w:val="00007EBD"/>
    <w:rsid w:val="000107D0"/>
    <w:rsid w:val="00010BE3"/>
    <w:rsid w:val="000122DC"/>
    <w:rsid w:val="0001535E"/>
    <w:rsid w:val="000156F5"/>
    <w:rsid w:val="0001700F"/>
    <w:rsid w:val="00017332"/>
    <w:rsid w:val="0001743F"/>
    <w:rsid w:val="00017633"/>
    <w:rsid w:val="00023AB6"/>
    <w:rsid w:val="00024341"/>
    <w:rsid w:val="000247EF"/>
    <w:rsid w:val="000265A7"/>
    <w:rsid w:val="00026B1A"/>
    <w:rsid w:val="000273EC"/>
    <w:rsid w:val="00027B2F"/>
    <w:rsid w:val="0003203F"/>
    <w:rsid w:val="00034A8D"/>
    <w:rsid w:val="000376C5"/>
    <w:rsid w:val="00040371"/>
    <w:rsid w:val="000421BA"/>
    <w:rsid w:val="000439B0"/>
    <w:rsid w:val="0004491D"/>
    <w:rsid w:val="000450A4"/>
    <w:rsid w:val="0005047C"/>
    <w:rsid w:val="00051A07"/>
    <w:rsid w:val="0005254B"/>
    <w:rsid w:val="00052591"/>
    <w:rsid w:val="00053EC8"/>
    <w:rsid w:val="00055655"/>
    <w:rsid w:val="00056D81"/>
    <w:rsid w:val="00061445"/>
    <w:rsid w:val="000614BA"/>
    <w:rsid w:val="00061953"/>
    <w:rsid w:val="000629F5"/>
    <w:rsid w:val="00063817"/>
    <w:rsid w:val="00063A49"/>
    <w:rsid w:val="00064802"/>
    <w:rsid w:val="00064CF9"/>
    <w:rsid w:val="00066D18"/>
    <w:rsid w:val="00070071"/>
    <w:rsid w:val="00070DAA"/>
    <w:rsid w:val="000717D0"/>
    <w:rsid w:val="00072149"/>
    <w:rsid w:val="00072ADB"/>
    <w:rsid w:val="000756CA"/>
    <w:rsid w:val="00075766"/>
    <w:rsid w:val="00076D0D"/>
    <w:rsid w:val="00076FD1"/>
    <w:rsid w:val="000778DB"/>
    <w:rsid w:val="00080DFA"/>
    <w:rsid w:val="00081181"/>
    <w:rsid w:val="0008194B"/>
    <w:rsid w:val="00081FA8"/>
    <w:rsid w:val="0008330A"/>
    <w:rsid w:val="0008370D"/>
    <w:rsid w:val="0008400D"/>
    <w:rsid w:val="00085F60"/>
    <w:rsid w:val="00087D3E"/>
    <w:rsid w:val="00087DC0"/>
    <w:rsid w:val="00091624"/>
    <w:rsid w:val="00091CAF"/>
    <w:rsid w:val="000921BA"/>
    <w:rsid w:val="0009266C"/>
    <w:rsid w:val="00093C75"/>
    <w:rsid w:val="0009457F"/>
    <w:rsid w:val="0009528D"/>
    <w:rsid w:val="000A0D69"/>
    <w:rsid w:val="000A3089"/>
    <w:rsid w:val="000A3330"/>
    <w:rsid w:val="000A3366"/>
    <w:rsid w:val="000A5FBA"/>
    <w:rsid w:val="000A6441"/>
    <w:rsid w:val="000A772A"/>
    <w:rsid w:val="000A7CAF"/>
    <w:rsid w:val="000B0D72"/>
    <w:rsid w:val="000B10D9"/>
    <w:rsid w:val="000B1A3F"/>
    <w:rsid w:val="000B2C2A"/>
    <w:rsid w:val="000B433B"/>
    <w:rsid w:val="000B698C"/>
    <w:rsid w:val="000B73A6"/>
    <w:rsid w:val="000B7F2B"/>
    <w:rsid w:val="000C05CF"/>
    <w:rsid w:val="000C2FDC"/>
    <w:rsid w:val="000C44FE"/>
    <w:rsid w:val="000C538E"/>
    <w:rsid w:val="000C55CB"/>
    <w:rsid w:val="000C5646"/>
    <w:rsid w:val="000C5B3F"/>
    <w:rsid w:val="000C6415"/>
    <w:rsid w:val="000D0240"/>
    <w:rsid w:val="000D0F9D"/>
    <w:rsid w:val="000D158B"/>
    <w:rsid w:val="000D2233"/>
    <w:rsid w:val="000D41CE"/>
    <w:rsid w:val="000D4CB0"/>
    <w:rsid w:val="000D4FE9"/>
    <w:rsid w:val="000D5CB3"/>
    <w:rsid w:val="000D7452"/>
    <w:rsid w:val="000E05FE"/>
    <w:rsid w:val="000E1123"/>
    <w:rsid w:val="000E144F"/>
    <w:rsid w:val="000E2353"/>
    <w:rsid w:val="000E50EA"/>
    <w:rsid w:val="000E6391"/>
    <w:rsid w:val="000E6BAE"/>
    <w:rsid w:val="000E7C2B"/>
    <w:rsid w:val="000F1D71"/>
    <w:rsid w:val="000F2CAE"/>
    <w:rsid w:val="000F2D7A"/>
    <w:rsid w:val="000F2FC3"/>
    <w:rsid w:val="000F4261"/>
    <w:rsid w:val="000F4FFB"/>
    <w:rsid w:val="000F5CFF"/>
    <w:rsid w:val="000F67DD"/>
    <w:rsid w:val="00101A51"/>
    <w:rsid w:val="001027DE"/>
    <w:rsid w:val="001036F5"/>
    <w:rsid w:val="001059AB"/>
    <w:rsid w:val="00105DF8"/>
    <w:rsid w:val="00106204"/>
    <w:rsid w:val="001068BE"/>
    <w:rsid w:val="0010696F"/>
    <w:rsid w:val="00106D1B"/>
    <w:rsid w:val="0010744B"/>
    <w:rsid w:val="001078BF"/>
    <w:rsid w:val="00110AC3"/>
    <w:rsid w:val="001121C2"/>
    <w:rsid w:val="00114DCA"/>
    <w:rsid w:val="00115967"/>
    <w:rsid w:val="00116200"/>
    <w:rsid w:val="0011639E"/>
    <w:rsid w:val="00116DA0"/>
    <w:rsid w:val="001171A7"/>
    <w:rsid w:val="0011748E"/>
    <w:rsid w:val="001211FF"/>
    <w:rsid w:val="001238EE"/>
    <w:rsid w:val="00123AC3"/>
    <w:rsid w:val="001248D4"/>
    <w:rsid w:val="00124A96"/>
    <w:rsid w:val="0012664F"/>
    <w:rsid w:val="00126798"/>
    <w:rsid w:val="00127400"/>
    <w:rsid w:val="001274E6"/>
    <w:rsid w:val="00130A59"/>
    <w:rsid w:val="00131461"/>
    <w:rsid w:val="00132477"/>
    <w:rsid w:val="00134750"/>
    <w:rsid w:val="00134B6F"/>
    <w:rsid w:val="00136292"/>
    <w:rsid w:val="0013681F"/>
    <w:rsid w:val="00142482"/>
    <w:rsid w:val="00142939"/>
    <w:rsid w:val="0014360A"/>
    <w:rsid w:val="00145211"/>
    <w:rsid w:val="00145514"/>
    <w:rsid w:val="00147F10"/>
    <w:rsid w:val="001501AF"/>
    <w:rsid w:val="001510E6"/>
    <w:rsid w:val="001515D5"/>
    <w:rsid w:val="001518E1"/>
    <w:rsid w:val="00152975"/>
    <w:rsid w:val="001540AD"/>
    <w:rsid w:val="0015533C"/>
    <w:rsid w:val="00156348"/>
    <w:rsid w:val="001574B4"/>
    <w:rsid w:val="00161E46"/>
    <w:rsid w:val="00162F35"/>
    <w:rsid w:val="00164A9D"/>
    <w:rsid w:val="00164E7D"/>
    <w:rsid w:val="00165C6A"/>
    <w:rsid w:val="00166BE1"/>
    <w:rsid w:val="00166E2C"/>
    <w:rsid w:val="0016744D"/>
    <w:rsid w:val="0016783E"/>
    <w:rsid w:val="001705EE"/>
    <w:rsid w:val="001708DB"/>
    <w:rsid w:val="00170BCA"/>
    <w:rsid w:val="0017382D"/>
    <w:rsid w:val="00173D1D"/>
    <w:rsid w:val="00174DB7"/>
    <w:rsid w:val="001752D7"/>
    <w:rsid w:val="001753B2"/>
    <w:rsid w:val="001756C3"/>
    <w:rsid w:val="001757F1"/>
    <w:rsid w:val="00175B74"/>
    <w:rsid w:val="00176160"/>
    <w:rsid w:val="00176684"/>
    <w:rsid w:val="00176C5F"/>
    <w:rsid w:val="00176D7A"/>
    <w:rsid w:val="001803AC"/>
    <w:rsid w:val="001812B9"/>
    <w:rsid w:val="0018189B"/>
    <w:rsid w:val="00182924"/>
    <w:rsid w:val="00184B50"/>
    <w:rsid w:val="001854E1"/>
    <w:rsid w:val="00185F4A"/>
    <w:rsid w:val="001869F0"/>
    <w:rsid w:val="00187D6B"/>
    <w:rsid w:val="00190C52"/>
    <w:rsid w:val="0019167A"/>
    <w:rsid w:val="00192FB5"/>
    <w:rsid w:val="00194C7A"/>
    <w:rsid w:val="00196347"/>
    <w:rsid w:val="001963EA"/>
    <w:rsid w:val="00197280"/>
    <w:rsid w:val="00197604"/>
    <w:rsid w:val="001979A5"/>
    <w:rsid w:val="001A3DA1"/>
    <w:rsid w:val="001A43E4"/>
    <w:rsid w:val="001A528B"/>
    <w:rsid w:val="001A7304"/>
    <w:rsid w:val="001A76ED"/>
    <w:rsid w:val="001B11FF"/>
    <w:rsid w:val="001B1544"/>
    <w:rsid w:val="001B1B9F"/>
    <w:rsid w:val="001B1FCC"/>
    <w:rsid w:val="001B2BDF"/>
    <w:rsid w:val="001B2D67"/>
    <w:rsid w:val="001B2E97"/>
    <w:rsid w:val="001B3A2C"/>
    <w:rsid w:val="001B3E7B"/>
    <w:rsid w:val="001B62D1"/>
    <w:rsid w:val="001B688C"/>
    <w:rsid w:val="001C0DAC"/>
    <w:rsid w:val="001C16A5"/>
    <w:rsid w:val="001C1948"/>
    <w:rsid w:val="001C1FBD"/>
    <w:rsid w:val="001C46C4"/>
    <w:rsid w:val="001C4D0F"/>
    <w:rsid w:val="001C51D9"/>
    <w:rsid w:val="001C5476"/>
    <w:rsid w:val="001C5BEA"/>
    <w:rsid w:val="001C6326"/>
    <w:rsid w:val="001D04F0"/>
    <w:rsid w:val="001D1A20"/>
    <w:rsid w:val="001D2A99"/>
    <w:rsid w:val="001D3131"/>
    <w:rsid w:val="001D4304"/>
    <w:rsid w:val="001D4A44"/>
    <w:rsid w:val="001D5B94"/>
    <w:rsid w:val="001D5DA8"/>
    <w:rsid w:val="001D62CC"/>
    <w:rsid w:val="001D6574"/>
    <w:rsid w:val="001D6DB7"/>
    <w:rsid w:val="001D72BF"/>
    <w:rsid w:val="001E0767"/>
    <w:rsid w:val="001E1C7A"/>
    <w:rsid w:val="001E2183"/>
    <w:rsid w:val="001E2A35"/>
    <w:rsid w:val="001E3222"/>
    <w:rsid w:val="001E3FF8"/>
    <w:rsid w:val="001E4558"/>
    <w:rsid w:val="001E4FBD"/>
    <w:rsid w:val="001E542A"/>
    <w:rsid w:val="001E7563"/>
    <w:rsid w:val="001F00D6"/>
    <w:rsid w:val="001F02FF"/>
    <w:rsid w:val="001F1DF8"/>
    <w:rsid w:val="001F2E06"/>
    <w:rsid w:val="001F4309"/>
    <w:rsid w:val="001F5788"/>
    <w:rsid w:val="001F6930"/>
    <w:rsid w:val="001F7131"/>
    <w:rsid w:val="001F757A"/>
    <w:rsid w:val="001F75AF"/>
    <w:rsid w:val="0020019E"/>
    <w:rsid w:val="00200682"/>
    <w:rsid w:val="002007C1"/>
    <w:rsid w:val="00200B6F"/>
    <w:rsid w:val="00201952"/>
    <w:rsid w:val="00202AB4"/>
    <w:rsid w:val="00203145"/>
    <w:rsid w:val="0020394D"/>
    <w:rsid w:val="00203B75"/>
    <w:rsid w:val="00204EBD"/>
    <w:rsid w:val="002052F7"/>
    <w:rsid w:val="002054F5"/>
    <w:rsid w:val="00207B99"/>
    <w:rsid w:val="00207F49"/>
    <w:rsid w:val="00207FFB"/>
    <w:rsid w:val="00213BC9"/>
    <w:rsid w:val="00213DB1"/>
    <w:rsid w:val="00214756"/>
    <w:rsid w:val="00215612"/>
    <w:rsid w:val="00215674"/>
    <w:rsid w:val="00215753"/>
    <w:rsid w:val="00215FB1"/>
    <w:rsid w:val="002161E0"/>
    <w:rsid w:val="002203C1"/>
    <w:rsid w:val="00220BA1"/>
    <w:rsid w:val="00220CC0"/>
    <w:rsid w:val="00221D6B"/>
    <w:rsid w:val="00221E58"/>
    <w:rsid w:val="00222656"/>
    <w:rsid w:val="0022315F"/>
    <w:rsid w:val="00223162"/>
    <w:rsid w:val="002242C9"/>
    <w:rsid w:val="00224F9D"/>
    <w:rsid w:val="00227539"/>
    <w:rsid w:val="00230AE8"/>
    <w:rsid w:val="00230B05"/>
    <w:rsid w:val="00232B67"/>
    <w:rsid w:val="00234269"/>
    <w:rsid w:val="002358CD"/>
    <w:rsid w:val="00236358"/>
    <w:rsid w:val="00236FBC"/>
    <w:rsid w:val="00242330"/>
    <w:rsid w:val="002441CA"/>
    <w:rsid w:val="00244211"/>
    <w:rsid w:val="00244862"/>
    <w:rsid w:val="00244919"/>
    <w:rsid w:val="0024547D"/>
    <w:rsid w:val="00245ED9"/>
    <w:rsid w:val="00245F2D"/>
    <w:rsid w:val="0025160E"/>
    <w:rsid w:val="00251847"/>
    <w:rsid w:val="002531F2"/>
    <w:rsid w:val="00253EAE"/>
    <w:rsid w:val="00254E65"/>
    <w:rsid w:val="00255B55"/>
    <w:rsid w:val="0025724D"/>
    <w:rsid w:val="00257FA1"/>
    <w:rsid w:val="00260CDB"/>
    <w:rsid w:val="00261D54"/>
    <w:rsid w:val="0026331C"/>
    <w:rsid w:val="00263E97"/>
    <w:rsid w:val="0026653F"/>
    <w:rsid w:val="002677B0"/>
    <w:rsid w:val="0027062A"/>
    <w:rsid w:val="0027125D"/>
    <w:rsid w:val="00273A49"/>
    <w:rsid w:val="00273B4C"/>
    <w:rsid w:val="0027534F"/>
    <w:rsid w:val="00275422"/>
    <w:rsid w:val="00276850"/>
    <w:rsid w:val="002770A1"/>
    <w:rsid w:val="00283878"/>
    <w:rsid w:val="00290788"/>
    <w:rsid w:val="0029124A"/>
    <w:rsid w:val="00294315"/>
    <w:rsid w:val="002975AB"/>
    <w:rsid w:val="002A0D5B"/>
    <w:rsid w:val="002A23F1"/>
    <w:rsid w:val="002A5A7F"/>
    <w:rsid w:val="002A6A3B"/>
    <w:rsid w:val="002B046F"/>
    <w:rsid w:val="002B1D03"/>
    <w:rsid w:val="002B2DDC"/>
    <w:rsid w:val="002B3D2F"/>
    <w:rsid w:val="002B413A"/>
    <w:rsid w:val="002B501B"/>
    <w:rsid w:val="002B52F2"/>
    <w:rsid w:val="002B640A"/>
    <w:rsid w:val="002B7F2B"/>
    <w:rsid w:val="002C45E2"/>
    <w:rsid w:val="002C5056"/>
    <w:rsid w:val="002C7902"/>
    <w:rsid w:val="002C79F1"/>
    <w:rsid w:val="002D2F45"/>
    <w:rsid w:val="002D4565"/>
    <w:rsid w:val="002D5290"/>
    <w:rsid w:val="002D6749"/>
    <w:rsid w:val="002D7CE4"/>
    <w:rsid w:val="002E0237"/>
    <w:rsid w:val="002E03F9"/>
    <w:rsid w:val="002E3F5C"/>
    <w:rsid w:val="002E72EF"/>
    <w:rsid w:val="002E74B8"/>
    <w:rsid w:val="002E7C01"/>
    <w:rsid w:val="002F10AE"/>
    <w:rsid w:val="002F1AD9"/>
    <w:rsid w:val="002F2659"/>
    <w:rsid w:val="002F31F3"/>
    <w:rsid w:val="002F32C7"/>
    <w:rsid w:val="002F363D"/>
    <w:rsid w:val="002F6138"/>
    <w:rsid w:val="002F765D"/>
    <w:rsid w:val="00301672"/>
    <w:rsid w:val="003028A5"/>
    <w:rsid w:val="00302E6F"/>
    <w:rsid w:val="00303B15"/>
    <w:rsid w:val="00304D3B"/>
    <w:rsid w:val="003057CC"/>
    <w:rsid w:val="00307BC3"/>
    <w:rsid w:val="00307D8B"/>
    <w:rsid w:val="00310A01"/>
    <w:rsid w:val="0031124C"/>
    <w:rsid w:val="00311A12"/>
    <w:rsid w:val="00312AB3"/>
    <w:rsid w:val="00312C33"/>
    <w:rsid w:val="0031314C"/>
    <w:rsid w:val="00313508"/>
    <w:rsid w:val="00313971"/>
    <w:rsid w:val="00314F7B"/>
    <w:rsid w:val="00316720"/>
    <w:rsid w:val="00320067"/>
    <w:rsid w:val="00320CA3"/>
    <w:rsid w:val="0032298A"/>
    <w:rsid w:val="00322E1F"/>
    <w:rsid w:val="00323EA1"/>
    <w:rsid w:val="003304A4"/>
    <w:rsid w:val="003322FA"/>
    <w:rsid w:val="0033243E"/>
    <w:rsid w:val="00332D8B"/>
    <w:rsid w:val="00333B1E"/>
    <w:rsid w:val="0033414D"/>
    <w:rsid w:val="00334588"/>
    <w:rsid w:val="003345A1"/>
    <w:rsid w:val="00334DDF"/>
    <w:rsid w:val="0033550B"/>
    <w:rsid w:val="0033686E"/>
    <w:rsid w:val="00336B88"/>
    <w:rsid w:val="003415F6"/>
    <w:rsid w:val="00341A05"/>
    <w:rsid w:val="003420B0"/>
    <w:rsid w:val="00342184"/>
    <w:rsid w:val="00344184"/>
    <w:rsid w:val="0034486B"/>
    <w:rsid w:val="00345277"/>
    <w:rsid w:val="00351300"/>
    <w:rsid w:val="00352623"/>
    <w:rsid w:val="00353731"/>
    <w:rsid w:val="00353C2F"/>
    <w:rsid w:val="00353FB4"/>
    <w:rsid w:val="00354F15"/>
    <w:rsid w:val="003556D9"/>
    <w:rsid w:val="003559A2"/>
    <w:rsid w:val="0035610E"/>
    <w:rsid w:val="00356D27"/>
    <w:rsid w:val="00361F75"/>
    <w:rsid w:val="00362065"/>
    <w:rsid w:val="0036228F"/>
    <w:rsid w:val="00362D02"/>
    <w:rsid w:val="00363BAC"/>
    <w:rsid w:val="00365D7D"/>
    <w:rsid w:val="00365F9A"/>
    <w:rsid w:val="003665DD"/>
    <w:rsid w:val="00373940"/>
    <w:rsid w:val="003753F2"/>
    <w:rsid w:val="003761A2"/>
    <w:rsid w:val="00376B79"/>
    <w:rsid w:val="00377C57"/>
    <w:rsid w:val="00380373"/>
    <w:rsid w:val="00382B38"/>
    <w:rsid w:val="003838C2"/>
    <w:rsid w:val="00383FC3"/>
    <w:rsid w:val="00385BB1"/>
    <w:rsid w:val="00386539"/>
    <w:rsid w:val="00390328"/>
    <w:rsid w:val="00391C6D"/>
    <w:rsid w:val="00392090"/>
    <w:rsid w:val="00395659"/>
    <w:rsid w:val="00395ED8"/>
    <w:rsid w:val="00396853"/>
    <w:rsid w:val="00397941"/>
    <w:rsid w:val="00397948"/>
    <w:rsid w:val="00397ACD"/>
    <w:rsid w:val="003A0330"/>
    <w:rsid w:val="003A07A8"/>
    <w:rsid w:val="003A1073"/>
    <w:rsid w:val="003A2039"/>
    <w:rsid w:val="003A252C"/>
    <w:rsid w:val="003A3DBC"/>
    <w:rsid w:val="003A4037"/>
    <w:rsid w:val="003A73E9"/>
    <w:rsid w:val="003B089B"/>
    <w:rsid w:val="003B2196"/>
    <w:rsid w:val="003B2D82"/>
    <w:rsid w:val="003B46A0"/>
    <w:rsid w:val="003B48BF"/>
    <w:rsid w:val="003B4CE9"/>
    <w:rsid w:val="003B59D1"/>
    <w:rsid w:val="003C0172"/>
    <w:rsid w:val="003C20A6"/>
    <w:rsid w:val="003C3569"/>
    <w:rsid w:val="003D0DAF"/>
    <w:rsid w:val="003D146C"/>
    <w:rsid w:val="003D2272"/>
    <w:rsid w:val="003D2F28"/>
    <w:rsid w:val="003D42BE"/>
    <w:rsid w:val="003D59F7"/>
    <w:rsid w:val="003D7303"/>
    <w:rsid w:val="003D7627"/>
    <w:rsid w:val="003D7DA8"/>
    <w:rsid w:val="003E000B"/>
    <w:rsid w:val="003E08ED"/>
    <w:rsid w:val="003E0C04"/>
    <w:rsid w:val="003E1DF7"/>
    <w:rsid w:val="003E2BC9"/>
    <w:rsid w:val="003E4409"/>
    <w:rsid w:val="003E5045"/>
    <w:rsid w:val="003E5994"/>
    <w:rsid w:val="003E6FA1"/>
    <w:rsid w:val="003F1146"/>
    <w:rsid w:val="003F2544"/>
    <w:rsid w:val="003F3214"/>
    <w:rsid w:val="003F3755"/>
    <w:rsid w:val="003F4C7F"/>
    <w:rsid w:val="003F4DC0"/>
    <w:rsid w:val="003F4F24"/>
    <w:rsid w:val="003F505E"/>
    <w:rsid w:val="003F52D1"/>
    <w:rsid w:val="003F5C3C"/>
    <w:rsid w:val="003F6042"/>
    <w:rsid w:val="003F6E88"/>
    <w:rsid w:val="003F7A2C"/>
    <w:rsid w:val="003F7E55"/>
    <w:rsid w:val="00401B85"/>
    <w:rsid w:val="004022F1"/>
    <w:rsid w:val="00403701"/>
    <w:rsid w:val="004037E0"/>
    <w:rsid w:val="00403C0F"/>
    <w:rsid w:val="00404464"/>
    <w:rsid w:val="00406EA4"/>
    <w:rsid w:val="0040761C"/>
    <w:rsid w:val="00407AB5"/>
    <w:rsid w:val="00407F48"/>
    <w:rsid w:val="00410346"/>
    <w:rsid w:val="004105F1"/>
    <w:rsid w:val="00410EA8"/>
    <w:rsid w:val="00411ACE"/>
    <w:rsid w:val="00412304"/>
    <w:rsid w:val="0041273A"/>
    <w:rsid w:val="0041320D"/>
    <w:rsid w:val="00414499"/>
    <w:rsid w:val="004144E8"/>
    <w:rsid w:val="004152B8"/>
    <w:rsid w:val="00415DF1"/>
    <w:rsid w:val="004175EF"/>
    <w:rsid w:val="004176B9"/>
    <w:rsid w:val="004178CE"/>
    <w:rsid w:val="0042189A"/>
    <w:rsid w:val="004218B6"/>
    <w:rsid w:val="00422BB6"/>
    <w:rsid w:val="00422C9C"/>
    <w:rsid w:val="0042574B"/>
    <w:rsid w:val="00430D43"/>
    <w:rsid w:val="00433C92"/>
    <w:rsid w:val="0043408E"/>
    <w:rsid w:val="004365A8"/>
    <w:rsid w:val="004375BB"/>
    <w:rsid w:val="004415AD"/>
    <w:rsid w:val="00442B65"/>
    <w:rsid w:val="00443EFB"/>
    <w:rsid w:val="0044418A"/>
    <w:rsid w:val="00445632"/>
    <w:rsid w:val="004476E7"/>
    <w:rsid w:val="00450065"/>
    <w:rsid w:val="004513E0"/>
    <w:rsid w:val="004520BF"/>
    <w:rsid w:val="004525D1"/>
    <w:rsid w:val="00453F6E"/>
    <w:rsid w:val="00453FA3"/>
    <w:rsid w:val="00454EAA"/>
    <w:rsid w:val="0045593C"/>
    <w:rsid w:val="004559B0"/>
    <w:rsid w:val="00457EF0"/>
    <w:rsid w:val="0046069F"/>
    <w:rsid w:val="00462DF1"/>
    <w:rsid w:val="00471B7D"/>
    <w:rsid w:val="0047207C"/>
    <w:rsid w:val="004743D6"/>
    <w:rsid w:val="0047450E"/>
    <w:rsid w:val="00474DEB"/>
    <w:rsid w:val="0048036D"/>
    <w:rsid w:val="00480520"/>
    <w:rsid w:val="00481AE0"/>
    <w:rsid w:val="00481C1F"/>
    <w:rsid w:val="00481E2F"/>
    <w:rsid w:val="00483140"/>
    <w:rsid w:val="00483369"/>
    <w:rsid w:val="0048523C"/>
    <w:rsid w:val="00485791"/>
    <w:rsid w:val="004867A8"/>
    <w:rsid w:val="004878A7"/>
    <w:rsid w:val="0049012F"/>
    <w:rsid w:val="00490D8F"/>
    <w:rsid w:val="0049279E"/>
    <w:rsid w:val="00497CAA"/>
    <w:rsid w:val="00497DDE"/>
    <w:rsid w:val="004A0AE6"/>
    <w:rsid w:val="004A18DC"/>
    <w:rsid w:val="004A1A1F"/>
    <w:rsid w:val="004A4B8E"/>
    <w:rsid w:val="004A5157"/>
    <w:rsid w:val="004A5FF0"/>
    <w:rsid w:val="004A69B1"/>
    <w:rsid w:val="004B088A"/>
    <w:rsid w:val="004B1E23"/>
    <w:rsid w:val="004B207D"/>
    <w:rsid w:val="004B2173"/>
    <w:rsid w:val="004B319B"/>
    <w:rsid w:val="004B3BF1"/>
    <w:rsid w:val="004B427F"/>
    <w:rsid w:val="004B6B0A"/>
    <w:rsid w:val="004C1410"/>
    <w:rsid w:val="004C26F1"/>
    <w:rsid w:val="004C2845"/>
    <w:rsid w:val="004C2986"/>
    <w:rsid w:val="004C325A"/>
    <w:rsid w:val="004C3436"/>
    <w:rsid w:val="004C3D2B"/>
    <w:rsid w:val="004C5FB1"/>
    <w:rsid w:val="004C6BAB"/>
    <w:rsid w:val="004C78F1"/>
    <w:rsid w:val="004C7E0A"/>
    <w:rsid w:val="004D1509"/>
    <w:rsid w:val="004D1522"/>
    <w:rsid w:val="004D1E35"/>
    <w:rsid w:val="004D2C32"/>
    <w:rsid w:val="004D4964"/>
    <w:rsid w:val="004D6F70"/>
    <w:rsid w:val="004D7542"/>
    <w:rsid w:val="004E04DE"/>
    <w:rsid w:val="004E07BC"/>
    <w:rsid w:val="004E30AB"/>
    <w:rsid w:val="004E3287"/>
    <w:rsid w:val="004E4035"/>
    <w:rsid w:val="004E5DF5"/>
    <w:rsid w:val="004E6379"/>
    <w:rsid w:val="004F06CE"/>
    <w:rsid w:val="004F17C9"/>
    <w:rsid w:val="004F52C8"/>
    <w:rsid w:val="004F5C4B"/>
    <w:rsid w:val="004F649B"/>
    <w:rsid w:val="004F6A32"/>
    <w:rsid w:val="004F6CAD"/>
    <w:rsid w:val="004F79F8"/>
    <w:rsid w:val="004F7B13"/>
    <w:rsid w:val="00500B66"/>
    <w:rsid w:val="005013C2"/>
    <w:rsid w:val="00501E94"/>
    <w:rsid w:val="005027AB"/>
    <w:rsid w:val="005028F0"/>
    <w:rsid w:val="00504121"/>
    <w:rsid w:val="005060DB"/>
    <w:rsid w:val="005074B9"/>
    <w:rsid w:val="005116DD"/>
    <w:rsid w:val="005122A7"/>
    <w:rsid w:val="0051250D"/>
    <w:rsid w:val="00513128"/>
    <w:rsid w:val="005141EB"/>
    <w:rsid w:val="005157D7"/>
    <w:rsid w:val="0051622C"/>
    <w:rsid w:val="005167AC"/>
    <w:rsid w:val="005205BA"/>
    <w:rsid w:val="00523CD0"/>
    <w:rsid w:val="00524B27"/>
    <w:rsid w:val="0052653A"/>
    <w:rsid w:val="00527D01"/>
    <w:rsid w:val="00530CAE"/>
    <w:rsid w:val="00531315"/>
    <w:rsid w:val="0053184A"/>
    <w:rsid w:val="00533D82"/>
    <w:rsid w:val="00534AFE"/>
    <w:rsid w:val="00534BEA"/>
    <w:rsid w:val="005402DE"/>
    <w:rsid w:val="00540798"/>
    <w:rsid w:val="00542962"/>
    <w:rsid w:val="00542E74"/>
    <w:rsid w:val="0054312F"/>
    <w:rsid w:val="00543AA6"/>
    <w:rsid w:val="00546941"/>
    <w:rsid w:val="005504FE"/>
    <w:rsid w:val="00550B95"/>
    <w:rsid w:val="0055120A"/>
    <w:rsid w:val="005514FA"/>
    <w:rsid w:val="0055446B"/>
    <w:rsid w:val="00556F91"/>
    <w:rsid w:val="00557C7C"/>
    <w:rsid w:val="00557F45"/>
    <w:rsid w:val="005600A8"/>
    <w:rsid w:val="005615BA"/>
    <w:rsid w:val="00562156"/>
    <w:rsid w:val="0056366D"/>
    <w:rsid w:val="005641AC"/>
    <w:rsid w:val="00565C99"/>
    <w:rsid w:val="00570C92"/>
    <w:rsid w:val="00570F57"/>
    <w:rsid w:val="005722D0"/>
    <w:rsid w:val="005726F7"/>
    <w:rsid w:val="00573A80"/>
    <w:rsid w:val="00574576"/>
    <w:rsid w:val="00575006"/>
    <w:rsid w:val="005775D0"/>
    <w:rsid w:val="00581E39"/>
    <w:rsid w:val="00582606"/>
    <w:rsid w:val="00582733"/>
    <w:rsid w:val="00582D1F"/>
    <w:rsid w:val="00583402"/>
    <w:rsid w:val="00583F1F"/>
    <w:rsid w:val="00584E01"/>
    <w:rsid w:val="00587EE5"/>
    <w:rsid w:val="00590562"/>
    <w:rsid w:val="005910A5"/>
    <w:rsid w:val="005930F0"/>
    <w:rsid w:val="00593E98"/>
    <w:rsid w:val="00596036"/>
    <w:rsid w:val="00597741"/>
    <w:rsid w:val="00597770"/>
    <w:rsid w:val="005A0986"/>
    <w:rsid w:val="005A0B5A"/>
    <w:rsid w:val="005A119E"/>
    <w:rsid w:val="005A185E"/>
    <w:rsid w:val="005A1938"/>
    <w:rsid w:val="005A19F9"/>
    <w:rsid w:val="005A1CF4"/>
    <w:rsid w:val="005A3731"/>
    <w:rsid w:val="005A491F"/>
    <w:rsid w:val="005A497C"/>
    <w:rsid w:val="005A5929"/>
    <w:rsid w:val="005A5DDC"/>
    <w:rsid w:val="005A64B8"/>
    <w:rsid w:val="005A6CF2"/>
    <w:rsid w:val="005A7815"/>
    <w:rsid w:val="005B0F2E"/>
    <w:rsid w:val="005B2B48"/>
    <w:rsid w:val="005B7A09"/>
    <w:rsid w:val="005B7EF9"/>
    <w:rsid w:val="005C1DC0"/>
    <w:rsid w:val="005C3A9D"/>
    <w:rsid w:val="005C6461"/>
    <w:rsid w:val="005C6680"/>
    <w:rsid w:val="005C6682"/>
    <w:rsid w:val="005C6813"/>
    <w:rsid w:val="005C6B44"/>
    <w:rsid w:val="005D16CF"/>
    <w:rsid w:val="005D2412"/>
    <w:rsid w:val="005D2B17"/>
    <w:rsid w:val="005D312F"/>
    <w:rsid w:val="005D3A9E"/>
    <w:rsid w:val="005D593D"/>
    <w:rsid w:val="005D5F1D"/>
    <w:rsid w:val="005D74E5"/>
    <w:rsid w:val="005E2B17"/>
    <w:rsid w:val="005E3158"/>
    <w:rsid w:val="005E49EA"/>
    <w:rsid w:val="005E4DBB"/>
    <w:rsid w:val="005E7D7E"/>
    <w:rsid w:val="005F396D"/>
    <w:rsid w:val="005F41D9"/>
    <w:rsid w:val="005F5209"/>
    <w:rsid w:val="005F5A46"/>
    <w:rsid w:val="005F5B58"/>
    <w:rsid w:val="005F75EE"/>
    <w:rsid w:val="00600D7B"/>
    <w:rsid w:val="006033B8"/>
    <w:rsid w:val="00603811"/>
    <w:rsid w:val="00604F1F"/>
    <w:rsid w:val="00604FCC"/>
    <w:rsid w:val="0060673D"/>
    <w:rsid w:val="0061071B"/>
    <w:rsid w:val="00611AFF"/>
    <w:rsid w:val="006125C7"/>
    <w:rsid w:val="006155C0"/>
    <w:rsid w:val="00615B7E"/>
    <w:rsid w:val="00615ECC"/>
    <w:rsid w:val="0061628C"/>
    <w:rsid w:val="00617723"/>
    <w:rsid w:val="00622A39"/>
    <w:rsid w:val="00624B6C"/>
    <w:rsid w:val="006253CD"/>
    <w:rsid w:val="00630139"/>
    <w:rsid w:val="0063247D"/>
    <w:rsid w:val="00634CB4"/>
    <w:rsid w:val="006352C3"/>
    <w:rsid w:val="006361F5"/>
    <w:rsid w:val="00641E9B"/>
    <w:rsid w:val="006431CA"/>
    <w:rsid w:val="00644D5A"/>
    <w:rsid w:val="00645336"/>
    <w:rsid w:val="00646979"/>
    <w:rsid w:val="00650CC5"/>
    <w:rsid w:val="00652683"/>
    <w:rsid w:val="00653975"/>
    <w:rsid w:val="00653BB4"/>
    <w:rsid w:val="006543FB"/>
    <w:rsid w:val="0065516F"/>
    <w:rsid w:val="0065607F"/>
    <w:rsid w:val="00657F1D"/>
    <w:rsid w:val="00660BD3"/>
    <w:rsid w:val="00660C49"/>
    <w:rsid w:val="006611AF"/>
    <w:rsid w:val="006635DB"/>
    <w:rsid w:val="00664024"/>
    <w:rsid w:val="006654AE"/>
    <w:rsid w:val="00665AB2"/>
    <w:rsid w:val="00666244"/>
    <w:rsid w:val="00667108"/>
    <w:rsid w:val="006671BD"/>
    <w:rsid w:val="0066720A"/>
    <w:rsid w:val="0066773D"/>
    <w:rsid w:val="00670673"/>
    <w:rsid w:val="00672153"/>
    <w:rsid w:val="00674D39"/>
    <w:rsid w:val="0067559B"/>
    <w:rsid w:val="006762B2"/>
    <w:rsid w:val="00680A13"/>
    <w:rsid w:val="00680E5C"/>
    <w:rsid w:val="00681EDA"/>
    <w:rsid w:val="00683B8E"/>
    <w:rsid w:val="00684C2D"/>
    <w:rsid w:val="00685CAA"/>
    <w:rsid w:val="006875FE"/>
    <w:rsid w:val="006904A1"/>
    <w:rsid w:val="006907F5"/>
    <w:rsid w:val="006913F3"/>
    <w:rsid w:val="00691D5F"/>
    <w:rsid w:val="00692252"/>
    <w:rsid w:val="0069235B"/>
    <w:rsid w:val="006928B3"/>
    <w:rsid w:val="00692CC6"/>
    <w:rsid w:val="0069444E"/>
    <w:rsid w:val="006968D5"/>
    <w:rsid w:val="006A0311"/>
    <w:rsid w:val="006A0B83"/>
    <w:rsid w:val="006A1119"/>
    <w:rsid w:val="006A190A"/>
    <w:rsid w:val="006A21EA"/>
    <w:rsid w:val="006A2394"/>
    <w:rsid w:val="006A2E44"/>
    <w:rsid w:val="006A3BD8"/>
    <w:rsid w:val="006A4659"/>
    <w:rsid w:val="006A4810"/>
    <w:rsid w:val="006A5410"/>
    <w:rsid w:val="006A67B3"/>
    <w:rsid w:val="006A7A9F"/>
    <w:rsid w:val="006A7B12"/>
    <w:rsid w:val="006B0340"/>
    <w:rsid w:val="006B07D6"/>
    <w:rsid w:val="006B2487"/>
    <w:rsid w:val="006B4F06"/>
    <w:rsid w:val="006B508A"/>
    <w:rsid w:val="006B7612"/>
    <w:rsid w:val="006B76AD"/>
    <w:rsid w:val="006C0D68"/>
    <w:rsid w:val="006C2CF4"/>
    <w:rsid w:val="006C2FE3"/>
    <w:rsid w:val="006C52A7"/>
    <w:rsid w:val="006C52C8"/>
    <w:rsid w:val="006C5881"/>
    <w:rsid w:val="006C60A3"/>
    <w:rsid w:val="006C6B0E"/>
    <w:rsid w:val="006D1175"/>
    <w:rsid w:val="006D1584"/>
    <w:rsid w:val="006D2147"/>
    <w:rsid w:val="006D3A03"/>
    <w:rsid w:val="006D63AA"/>
    <w:rsid w:val="006E0AA1"/>
    <w:rsid w:val="006E17BA"/>
    <w:rsid w:val="006E2D07"/>
    <w:rsid w:val="006E3A31"/>
    <w:rsid w:val="006E4301"/>
    <w:rsid w:val="006E4A0B"/>
    <w:rsid w:val="006E61FE"/>
    <w:rsid w:val="006E6346"/>
    <w:rsid w:val="006E737B"/>
    <w:rsid w:val="006E7DFF"/>
    <w:rsid w:val="006F2477"/>
    <w:rsid w:val="006F2EFC"/>
    <w:rsid w:val="006F3194"/>
    <w:rsid w:val="006F4331"/>
    <w:rsid w:val="006F55AF"/>
    <w:rsid w:val="006F7B62"/>
    <w:rsid w:val="006F7C39"/>
    <w:rsid w:val="00700277"/>
    <w:rsid w:val="007018B7"/>
    <w:rsid w:val="00703541"/>
    <w:rsid w:val="00703882"/>
    <w:rsid w:val="00703D60"/>
    <w:rsid w:val="007044B6"/>
    <w:rsid w:val="00704A46"/>
    <w:rsid w:val="00704BA4"/>
    <w:rsid w:val="0070557D"/>
    <w:rsid w:val="00705A86"/>
    <w:rsid w:val="0070752F"/>
    <w:rsid w:val="007100DE"/>
    <w:rsid w:val="00710D9A"/>
    <w:rsid w:val="0071113F"/>
    <w:rsid w:val="00711619"/>
    <w:rsid w:val="00711C08"/>
    <w:rsid w:val="00712A87"/>
    <w:rsid w:val="00713E8B"/>
    <w:rsid w:val="00714184"/>
    <w:rsid w:val="00715922"/>
    <w:rsid w:val="00715FAD"/>
    <w:rsid w:val="007161FD"/>
    <w:rsid w:val="00716A8F"/>
    <w:rsid w:val="0071712E"/>
    <w:rsid w:val="00717524"/>
    <w:rsid w:val="00720360"/>
    <w:rsid w:val="00720869"/>
    <w:rsid w:val="00724E00"/>
    <w:rsid w:val="00726752"/>
    <w:rsid w:val="00726F7A"/>
    <w:rsid w:val="00727413"/>
    <w:rsid w:val="007278BB"/>
    <w:rsid w:val="0072792D"/>
    <w:rsid w:val="00727C6D"/>
    <w:rsid w:val="0073111F"/>
    <w:rsid w:val="007321A5"/>
    <w:rsid w:val="0073251E"/>
    <w:rsid w:val="00732DA5"/>
    <w:rsid w:val="00733F90"/>
    <w:rsid w:val="00735886"/>
    <w:rsid w:val="00735982"/>
    <w:rsid w:val="00736200"/>
    <w:rsid w:val="00737E01"/>
    <w:rsid w:val="007408E1"/>
    <w:rsid w:val="007414D4"/>
    <w:rsid w:val="00743072"/>
    <w:rsid w:val="00744D4A"/>
    <w:rsid w:val="007507FB"/>
    <w:rsid w:val="00751F59"/>
    <w:rsid w:val="00753FDD"/>
    <w:rsid w:val="0076054C"/>
    <w:rsid w:val="007610F9"/>
    <w:rsid w:val="007611F7"/>
    <w:rsid w:val="00765024"/>
    <w:rsid w:val="00765438"/>
    <w:rsid w:val="00765923"/>
    <w:rsid w:val="00765E50"/>
    <w:rsid w:val="00766ADA"/>
    <w:rsid w:val="00771DCF"/>
    <w:rsid w:val="00772973"/>
    <w:rsid w:val="0077413E"/>
    <w:rsid w:val="007751A3"/>
    <w:rsid w:val="00780B19"/>
    <w:rsid w:val="00782482"/>
    <w:rsid w:val="0078311A"/>
    <w:rsid w:val="007833DE"/>
    <w:rsid w:val="00784107"/>
    <w:rsid w:val="007846C8"/>
    <w:rsid w:val="00784E9C"/>
    <w:rsid w:val="00784F6C"/>
    <w:rsid w:val="00785328"/>
    <w:rsid w:val="007878C7"/>
    <w:rsid w:val="00790D1B"/>
    <w:rsid w:val="00790FEA"/>
    <w:rsid w:val="0079163B"/>
    <w:rsid w:val="007920F6"/>
    <w:rsid w:val="00792720"/>
    <w:rsid w:val="00793645"/>
    <w:rsid w:val="00793A30"/>
    <w:rsid w:val="00795741"/>
    <w:rsid w:val="007962B4"/>
    <w:rsid w:val="007965F1"/>
    <w:rsid w:val="00797CCF"/>
    <w:rsid w:val="007A38D7"/>
    <w:rsid w:val="007A3BAC"/>
    <w:rsid w:val="007A4663"/>
    <w:rsid w:val="007A4819"/>
    <w:rsid w:val="007A5D1B"/>
    <w:rsid w:val="007A691B"/>
    <w:rsid w:val="007B033F"/>
    <w:rsid w:val="007B0C14"/>
    <w:rsid w:val="007B1612"/>
    <w:rsid w:val="007B45C8"/>
    <w:rsid w:val="007B4C0E"/>
    <w:rsid w:val="007B79CD"/>
    <w:rsid w:val="007C06BC"/>
    <w:rsid w:val="007C0F44"/>
    <w:rsid w:val="007C11AD"/>
    <w:rsid w:val="007C161C"/>
    <w:rsid w:val="007C209A"/>
    <w:rsid w:val="007C3209"/>
    <w:rsid w:val="007C3EA9"/>
    <w:rsid w:val="007C3FE9"/>
    <w:rsid w:val="007C6238"/>
    <w:rsid w:val="007C6759"/>
    <w:rsid w:val="007C758F"/>
    <w:rsid w:val="007C7E6E"/>
    <w:rsid w:val="007D0BC8"/>
    <w:rsid w:val="007D0D3E"/>
    <w:rsid w:val="007D22E8"/>
    <w:rsid w:val="007D2F71"/>
    <w:rsid w:val="007D2FEF"/>
    <w:rsid w:val="007D3222"/>
    <w:rsid w:val="007D4775"/>
    <w:rsid w:val="007D4F1A"/>
    <w:rsid w:val="007D4FB2"/>
    <w:rsid w:val="007D5829"/>
    <w:rsid w:val="007D7258"/>
    <w:rsid w:val="007E0391"/>
    <w:rsid w:val="007E0DF1"/>
    <w:rsid w:val="007E2EBB"/>
    <w:rsid w:val="007E4780"/>
    <w:rsid w:val="007E4AAF"/>
    <w:rsid w:val="007E6CAD"/>
    <w:rsid w:val="007F1527"/>
    <w:rsid w:val="007F537A"/>
    <w:rsid w:val="007F6C55"/>
    <w:rsid w:val="007F747D"/>
    <w:rsid w:val="00801AED"/>
    <w:rsid w:val="00802EC6"/>
    <w:rsid w:val="00804211"/>
    <w:rsid w:val="008047A2"/>
    <w:rsid w:val="0081001F"/>
    <w:rsid w:val="0081107A"/>
    <w:rsid w:val="008117EC"/>
    <w:rsid w:val="0081210D"/>
    <w:rsid w:val="0081234D"/>
    <w:rsid w:val="0081317C"/>
    <w:rsid w:val="00813AF1"/>
    <w:rsid w:val="00813B2B"/>
    <w:rsid w:val="00820001"/>
    <w:rsid w:val="00820E40"/>
    <w:rsid w:val="008210B6"/>
    <w:rsid w:val="00821E8C"/>
    <w:rsid w:val="00822588"/>
    <w:rsid w:val="008238DC"/>
    <w:rsid w:val="008248F9"/>
    <w:rsid w:val="00824C00"/>
    <w:rsid w:val="00826D0A"/>
    <w:rsid w:val="00827265"/>
    <w:rsid w:val="00827F36"/>
    <w:rsid w:val="0083162A"/>
    <w:rsid w:val="008318FE"/>
    <w:rsid w:val="0083354C"/>
    <w:rsid w:val="0083399D"/>
    <w:rsid w:val="008342B8"/>
    <w:rsid w:val="0083684D"/>
    <w:rsid w:val="008406DB"/>
    <w:rsid w:val="008411FB"/>
    <w:rsid w:val="00841A6A"/>
    <w:rsid w:val="00842485"/>
    <w:rsid w:val="0084280F"/>
    <w:rsid w:val="00843377"/>
    <w:rsid w:val="00843812"/>
    <w:rsid w:val="00843D0A"/>
    <w:rsid w:val="00844813"/>
    <w:rsid w:val="00844A65"/>
    <w:rsid w:val="0084503F"/>
    <w:rsid w:val="0084539F"/>
    <w:rsid w:val="008475CA"/>
    <w:rsid w:val="00850A79"/>
    <w:rsid w:val="008520A3"/>
    <w:rsid w:val="008525E7"/>
    <w:rsid w:val="0085262D"/>
    <w:rsid w:val="00854EFB"/>
    <w:rsid w:val="0085598F"/>
    <w:rsid w:val="00855DFF"/>
    <w:rsid w:val="008561C9"/>
    <w:rsid w:val="00857DC3"/>
    <w:rsid w:val="00860C63"/>
    <w:rsid w:val="00860F23"/>
    <w:rsid w:val="00862034"/>
    <w:rsid w:val="00862751"/>
    <w:rsid w:val="008627FC"/>
    <w:rsid w:val="00863362"/>
    <w:rsid w:val="00865224"/>
    <w:rsid w:val="00865B78"/>
    <w:rsid w:val="00866782"/>
    <w:rsid w:val="00866FA7"/>
    <w:rsid w:val="0086737F"/>
    <w:rsid w:val="0087009E"/>
    <w:rsid w:val="00870CA5"/>
    <w:rsid w:val="0087260B"/>
    <w:rsid w:val="008732FB"/>
    <w:rsid w:val="00873668"/>
    <w:rsid w:val="008738F0"/>
    <w:rsid w:val="00873A96"/>
    <w:rsid w:val="00873C4C"/>
    <w:rsid w:val="0087479F"/>
    <w:rsid w:val="008751CC"/>
    <w:rsid w:val="008756E0"/>
    <w:rsid w:val="00875E1E"/>
    <w:rsid w:val="00876916"/>
    <w:rsid w:val="00876AF9"/>
    <w:rsid w:val="008775F3"/>
    <w:rsid w:val="00880048"/>
    <w:rsid w:val="008802D7"/>
    <w:rsid w:val="00880475"/>
    <w:rsid w:val="00880857"/>
    <w:rsid w:val="008809F0"/>
    <w:rsid w:val="008814F6"/>
    <w:rsid w:val="00881DA0"/>
    <w:rsid w:val="00882CE8"/>
    <w:rsid w:val="00883D83"/>
    <w:rsid w:val="0088446C"/>
    <w:rsid w:val="00885611"/>
    <w:rsid w:val="008859C7"/>
    <w:rsid w:val="008867F9"/>
    <w:rsid w:val="00886A87"/>
    <w:rsid w:val="00886B43"/>
    <w:rsid w:val="00886C94"/>
    <w:rsid w:val="008876CC"/>
    <w:rsid w:val="008904C7"/>
    <w:rsid w:val="008905C3"/>
    <w:rsid w:val="0089068E"/>
    <w:rsid w:val="00890DDF"/>
    <w:rsid w:val="008917B9"/>
    <w:rsid w:val="008925D4"/>
    <w:rsid w:val="008935A9"/>
    <w:rsid w:val="00893A79"/>
    <w:rsid w:val="00894698"/>
    <w:rsid w:val="00896A76"/>
    <w:rsid w:val="008A048F"/>
    <w:rsid w:val="008A053E"/>
    <w:rsid w:val="008A1F66"/>
    <w:rsid w:val="008A2722"/>
    <w:rsid w:val="008A2783"/>
    <w:rsid w:val="008A306A"/>
    <w:rsid w:val="008A5784"/>
    <w:rsid w:val="008A7DC3"/>
    <w:rsid w:val="008B12A8"/>
    <w:rsid w:val="008B1A7F"/>
    <w:rsid w:val="008B242A"/>
    <w:rsid w:val="008B2C62"/>
    <w:rsid w:val="008B373F"/>
    <w:rsid w:val="008B3E65"/>
    <w:rsid w:val="008B43E5"/>
    <w:rsid w:val="008B5935"/>
    <w:rsid w:val="008B6363"/>
    <w:rsid w:val="008B6496"/>
    <w:rsid w:val="008C1266"/>
    <w:rsid w:val="008C1D7B"/>
    <w:rsid w:val="008C7A80"/>
    <w:rsid w:val="008C7C16"/>
    <w:rsid w:val="008D0EB0"/>
    <w:rsid w:val="008D1529"/>
    <w:rsid w:val="008D225E"/>
    <w:rsid w:val="008D2DC4"/>
    <w:rsid w:val="008D3B92"/>
    <w:rsid w:val="008D554B"/>
    <w:rsid w:val="008D5EFF"/>
    <w:rsid w:val="008D69DE"/>
    <w:rsid w:val="008D6F09"/>
    <w:rsid w:val="008D7891"/>
    <w:rsid w:val="008E07D7"/>
    <w:rsid w:val="008E0E2E"/>
    <w:rsid w:val="008E17AE"/>
    <w:rsid w:val="008E2A59"/>
    <w:rsid w:val="008E3EB2"/>
    <w:rsid w:val="008E6980"/>
    <w:rsid w:val="008E6AAB"/>
    <w:rsid w:val="008E6D95"/>
    <w:rsid w:val="008F04CD"/>
    <w:rsid w:val="008F0750"/>
    <w:rsid w:val="008F1482"/>
    <w:rsid w:val="008F698C"/>
    <w:rsid w:val="008F7B79"/>
    <w:rsid w:val="008F7D66"/>
    <w:rsid w:val="009031FF"/>
    <w:rsid w:val="00904296"/>
    <w:rsid w:val="009047D0"/>
    <w:rsid w:val="00904BB4"/>
    <w:rsid w:val="00906F86"/>
    <w:rsid w:val="00907A7C"/>
    <w:rsid w:val="00907E5A"/>
    <w:rsid w:val="00910F75"/>
    <w:rsid w:val="00911BF2"/>
    <w:rsid w:val="00911E5B"/>
    <w:rsid w:val="009122D7"/>
    <w:rsid w:val="009151D9"/>
    <w:rsid w:val="00916DA9"/>
    <w:rsid w:val="009177AD"/>
    <w:rsid w:val="00917994"/>
    <w:rsid w:val="009217C2"/>
    <w:rsid w:val="00921D31"/>
    <w:rsid w:val="00921E64"/>
    <w:rsid w:val="00923A39"/>
    <w:rsid w:val="00926258"/>
    <w:rsid w:val="00926404"/>
    <w:rsid w:val="00926780"/>
    <w:rsid w:val="009269B7"/>
    <w:rsid w:val="009273B3"/>
    <w:rsid w:val="009304EA"/>
    <w:rsid w:val="009308A4"/>
    <w:rsid w:val="00931979"/>
    <w:rsid w:val="0093296C"/>
    <w:rsid w:val="00933A61"/>
    <w:rsid w:val="0093488F"/>
    <w:rsid w:val="00935015"/>
    <w:rsid w:val="00935EBA"/>
    <w:rsid w:val="00937E3D"/>
    <w:rsid w:val="00937EA9"/>
    <w:rsid w:val="00941412"/>
    <w:rsid w:val="00941DBB"/>
    <w:rsid w:val="0094260A"/>
    <w:rsid w:val="00943CE7"/>
    <w:rsid w:val="00944260"/>
    <w:rsid w:val="00944685"/>
    <w:rsid w:val="00944FCD"/>
    <w:rsid w:val="00945B49"/>
    <w:rsid w:val="00947116"/>
    <w:rsid w:val="00947185"/>
    <w:rsid w:val="0094794E"/>
    <w:rsid w:val="0095113E"/>
    <w:rsid w:val="00951C8A"/>
    <w:rsid w:val="00954279"/>
    <w:rsid w:val="00954B9C"/>
    <w:rsid w:val="00955D1A"/>
    <w:rsid w:val="00955D6E"/>
    <w:rsid w:val="00956E0D"/>
    <w:rsid w:val="0095705D"/>
    <w:rsid w:val="00957B1C"/>
    <w:rsid w:val="00962955"/>
    <w:rsid w:val="009637B3"/>
    <w:rsid w:val="00963A8F"/>
    <w:rsid w:val="00966329"/>
    <w:rsid w:val="00966744"/>
    <w:rsid w:val="00967932"/>
    <w:rsid w:val="00970668"/>
    <w:rsid w:val="00971225"/>
    <w:rsid w:val="00971760"/>
    <w:rsid w:val="00971ABE"/>
    <w:rsid w:val="00972A11"/>
    <w:rsid w:val="00972EE5"/>
    <w:rsid w:val="00972F28"/>
    <w:rsid w:val="00973068"/>
    <w:rsid w:val="00974323"/>
    <w:rsid w:val="00974AB1"/>
    <w:rsid w:val="00974ADB"/>
    <w:rsid w:val="00977DA6"/>
    <w:rsid w:val="009800D6"/>
    <w:rsid w:val="00980E3A"/>
    <w:rsid w:val="009820AA"/>
    <w:rsid w:val="00983A75"/>
    <w:rsid w:val="009841CB"/>
    <w:rsid w:val="00985B98"/>
    <w:rsid w:val="00985EA0"/>
    <w:rsid w:val="00986D24"/>
    <w:rsid w:val="00986DEB"/>
    <w:rsid w:val="009872DC"/>
    <w:rsid w:val="0099040B"/>
    <w:rsid w:val="00993045"/>
    <w:rsid w:val="0099388B"/>
    <w:rsid w:val="009940CE"/>
    <w:rsid w:val="009A2F35"/>
    <w:rsid w:val="009A3BF5"/>
    <w:rsid w:val="009A4C9F"/>
    <w:rsid w:val="009A4FDC"/>
    <w:rsid w:val="009A5061"/>
    <w:rsid w:val="009A52BE"/>
    <w:rsid w:val="009A57C7"/>
    <w:rsid w:val="009A6214"/>
    <w:rsid w:val="009A6525"/>
    <w:rsid w:val="009A7597"/>
    <w:rsid w:val="009A78AB"/>
    <w:rsid w:val="009B0912"/>
    <w:rsid w:val="009B133A"/>
    <w:rsid w:val="009B1E86"/>
    <w:rsid w:val="009B26A3"/>
    <w:rsid w:val="009B2BD7"/>
    <w:rsid w:val="009B39E4"/>
    <w:rsid w:val="009B3BF0"/>
    <w:rsid w:val="009B3F34"/>
    <w:rsid w:val="009B7F3D"/>
    <w:rsid w:val="009C013E"/>
    <w:rsid w:val="009C093C"/>
    <w:rsid w:val="009C176F"/>
    <w:rsid w:val="009C26E5"/>
    <w:rsid w:val="009C38B4"/>
    <w:rsid w:val="009C3BCB"/>
    <w:rsid w:val="009C4177"/>
    <w:rsid w:val="009C425E"/>
    <w:rsid w:val="009C4BA0"/>
    <w:rsid w:val="009C6276"/>
    <w:rsid w:val="009C77DE"/>
    <w:rsid w:val="009C7F08"/>
    <w:rsid w:val="009D139E"/>
    <w:rsid w:val="009D16E0"/>
    <w:rsid w:val="009D3AA4"/>
    <w:rsid w:val="009D5BB5"/>
    <w:rsid w:val="009D79B2"/>
    <w:rsid w:val="009E0173"/>
    <w:rsid w:val="009E0B86"/>
    <w:rsid w:val="009E3B71"/>
    <w:rsid w:val="009E3C19"/>
    <w:rsid w:val="009E5BAD"/>
    <w:rsid w:val="009E5F83"/>
    <w:rsid w:val="009E609D"/>
    <w:rsid w:val="009E774F"/>
    <w:rsid w:val="009F11A3"/>
    <w:rsid w:val="009F3ACD"/>
    <w:rsid w:val="009F64BD"/>
    <w:rsid w:val="009F738F"/>
    <w:rsid w:val="009F77DE"/>
    <w:rsid w:val="00A05432"/>
    <w:rsid w:val="00A06015"/>
    <w:rsid w:val="00A079F9"/>
    <w:rsid w:val="00A07EAA"/>
    <w:rsid w:val="00A12BE9"/>
    <w:rsid w:val="00A12F57"/>
    <w:rsid w:val="00A13DDD"/>
    <w:rsid w:val="00A13EF2"/>
    <w:rsid w:val="00A141F7"/>
    <w:rsid w:val="00A15809"/>
    <w:rsid w:val="00A16186"/>
    <w:rsid w:val="00A1619A"/>
    <w:rsid w:val="00A1669B"/>
    <w:rsid w:val="00A1677A"/>
    <w:rsid w:val="00A16EE9"/>
    <w:rsid w:val="00A2355F"/>
    <w:rsid w:val="00A25342"/>
    <w:rsid w:val="00A256E4"/>
    <w:rsid w:val="00A25852"/>
    <w:rsid w:val="00A2622E"/>
    <w:rsid w:val="00A26D7D"/>
    <w:rsid w:val="00A27FAC"/>
    <w:rsid w:val="00A3265E"/>
    <w:rsid w:val="00A3283C"/>
    <w:rsid w:val="00A33E17"/>
    <w:rsid w:val="00A369EF"/>
    <w:rsid w:val="00A37DB4"/>
    <w:rsid w:val="00A4203E"/>
    <w:rsid w:val="00A424D4"/>
    <w:rsid w:val="00A45953"/>
    <w:rsid w:val="00A47706"/>
    <w:rsid w:val="00A50E7C"/>
    <w:rsid w:val="00A50EF1"/>
    <w:rsid w:val="00A5112D"/>
    <w:rsid w:val="00A52452"/>
    <w:rsid w:val="00A52A50"/>
    <w:rsid w:val="00A5344B"/>
    <w:rsid w:val="00A5356E"/>
    <w:rsid w:val="00A536F9"/>
    <w:rsid w:val="00A5465A"/>
    <w:rsid w:val="00A5575F"/>
    <w:rsid w:val="00A569E2"/>
    <w:rsid w:val="00A56F6F"/>
    <w:rsid w:val="00A60631"/>
    <w:rsid w:val="00A636F8"/>
    <w:rsid w:val="00A63B65"/>
    <w:rsid w:val="00A64436"/>
    <w:rsid w:val="00A648B9"/>
    <w:rsid w:val="00A65C70"/>
    <w:rsid w:val="00A669F8"/>
    <w:rsid w:val="00A66C72"/>
    <w:rsid w:val="00A67CB5"/>
    <w:rsid w:val="00A701FC"/>
    <w:rsid w:val="00A70980"/>
    <w:rsid w:val="00A70AFD"/>
    <w:rsid w:val="00A70E48"/>
    <w:rsid w:val="00A710E3"/>
    <w:rsid w:val="00A7277A"/>
    <w:rsid w:val="00A73D9F"/>
    <w:rsid w:val="00A74491"/>
    <w:rsid w:val="00A77930"/>
    <w:rsid w:val="00A8094C"/>
    <w:rsid w:val="00A80FD0"/>
    <w:rsid w:val="00A82AD6"/>
    <w:rsid w:val="00A8351F"/>
    <w:rsid w:val="00A83547"/>
    <w:rsid w:val="00A83EF3"/>
    <w:rsid w:val="00A84303"/>
    <w:rsid w:val="00A84399"/>
    <w:rsid w:val="00A85707"/>
    <w:rsid w:val="00A87BC2"/>
    <w:rsid w:val="00A90140"/>
    <w:rsid w:val="00A925F5"/>
    <w:rsid w:val="00A92A13"/>
    <w:rsid w:val="00A9364E"/>
    <w:rsid w:val="00A95AA1"/>
    <w:rsid w:val="00A95CF9"/>
    <w:rsid w:val="00A975B3"/>
    <w:rsid w:val="00AA1385"/>
    <w:rsid w:val="00AA13B6"/>
    <w:rsid w:val="00AA14FE"/>
    <w:rsid w:val="00AA47C1"/>
    <w:rsid w:val="00AA493B"/>
    <w:rsid w:val="00AA5589"/>
    <w:rsid w:val="00AA56BA"/>
    <w:rsid w:val="00AA654D"/>
    <w:rsid w:val="00AA69FB"/>
    <w:rsid w:val="00AA7841"/>
    <w:rsid w:val="00AB0A37"/>
    <w:rsid w:val="00AB2622"/>
    <w:rsid w:val="00AB29E3"/>
    <w:rsid w:val="00AB2C3F"/>
    <w:rsid w:val="00AB2D9A"/>
    <w:rsid w:val="00AB4550"/>
    <w:rsid w:val="00AB4743"/>
    <w:rsid w:val="00AB793A"/>
    <w:rsid w:val="00AB7BA6"/>
    <w:rsid w:val="00AC03F6"/>
    <w:rsid w:val="00AC0A07"/>
    <w:rsid w:val="00AC1E6D"/>
    <w:rsid w:val="00AC3FD8"/>
    <w:rsid w:val="00AC4168"/>
    <w:rsid w:val="00AC5504"/>
    <w:rsid w:val="00AC5589"/>
    <w:rsid w:val="00AC5C80"/>
    <w:rsid w:val="00AD0A55"/>
    <w:rsid w:val="00AD0E2C"/>
    <w:rsid w:val="00AD2496"/>
    <w:rsid w:val="00AD325C"/>
    <w:rsid w:val="00AD39A5"/>
    <w:rsid w:val="00AD49BE"/>
    <w:rsid w:val="00AD6DCE"/>
    <w:rsid w:val="00AD6E53"/>
    <w:rsid w:val="00AD7887"/>
    <w:rsid w:val="00AD7B7C"/>
    <w:rsid w:val="00AE4262"/>
    <w:rsid w:val="00AE4EC4"/>
    <w:rsid w:val="00AE5745"/>
    <w:rsid w:val="00AE62EF"/>
    <w:rsid w:val="00AE63C3"/>
    <w:rsid w:val="00AF1675"/>
    <w:rsid w:val="00AF1A5C"/>
    <w:rsid w:val="00AF2146"/>
    <w:rsid w:val="00AF275C"/>
    <w:rsid w:val="00AF3D5E"/>
    <w:rsid w:val="00AF4D30"/>
    <w:rsid w:val="00AF517C"/>
    <w:rsid w:val="00AF6361"/>
    <w:rsid w:val="00AF675D"/>
    <w:rsid w:val="00AF6A53"/>
    <w:rsid w:val="00AF71EE"/>
    <w:rsid w:val="00B00E2C"/>
    <w:rsid w:val="00B023BC"/>
    <w:rsid w:val="00B03770"/>
    <w:rsid w:val="00B03A70"/>
    <w:rsid w:val="00B049B2"/>
    <w:rsid w:val="00B05241"/>
    <w:rsid w:val="00B06002"/>
    <w:rsid w:val="00B06D9A"/>
    <w:rsid w:val="00B108C3"/>
    <w:rsid w:val="00B10A8C"/>
    <w:rsid w:val="00B11B0E"/>
    <w:rsid w:val="00B11D19"/>
    <w:rsid w:val="00B12E12"/>
    <w:rsid w:val="00B14B11"/>
    <w:rsid w:val="00B14BCD"/>
    <w:rsid w:val="00B160FF"/>
    <w:rsid w:val="00B1621B"/>
    <w:rsid w:val="00B22496"/>
    <w:rsid w:val="00B23117"/>
    <w:rsid w:val="00B2354A"/>
    <w:rsid w:val="00B2496A"/>
    <w:rsid w:val="00B25C95"/>
    <w:rsid w:val="00B27C23"/>
    <w:rsid w:val="00B30365"/>
    <w:rsid w:val="00B32554"/>
    <w:rsid w:val="00B33ED5"/>
    <w:rsid w:val="00B340D2"/>
    <w:rsid w:val="00B35F9F"/>
    <w:rsid w:val="00B37688"/>
    <w:rsid w:val="00B40828"/>
    <w:rsid w:val="00B40AC8"/>
    <w:rsid w:val="00B41B2D"/>
    <w:rsid w:val="00B41F42"/>
    <w:rsid w:val="00B421CE"/>
    <w:rsid w:val="00B42B8B"/>
    <w:rsid w:val="00B43E52"/>
    <w:rsid w:val="00B45A91"/>
    <w:rsid w:val="00B45F8F"/>
    <w:rsid w:val="00B518CE"/>
    <w:rsid w:val="00B52441"/>
    <w:rsid w:val="00B527DB"/>
    <w:rsid w:val="00B52854"/>
    <w:rsid w:val="00B537B0"/>
    <w:rsid w:val="00B542E2"/>
    <w:rsid w:val="00B54570"/>
    <w:rsid w:val="00B54B24"/>
    <w:rsid w:val="00B55299"/>
    <w:rsid w:val="00B55715"/>
    <w:rsid w:val="00B56D11"/>
    <w:rsid w:val="00B57856"/>
    <w:rsid w:val="00B60650"/>
    <w:rsid w:val="00B60B66"/>
    <w:rsid w:val="00B61ED6"/>
    <w:rsid w:val="00B622D1"/>
    <w:rsid w:val="00B63061"/>
    <w:rsid w:val="00B636DB"/>
    <w:rsid w:val="00B639F7"/>
    <w:rsid w:val="00B659BC"/>
    <w:rsid w:val="00B6758D"/>
    <w:rsid w:val="00B67BE7"/>
    <w:rsid w:val="00B7022E"/>
    <w:rsid w:val="00B70AF0"/>
    <w:rsid w:val="00B710FB"/>
    <w:rsid w:val="00B71710"/>
    <w:rsid w:val="00B71C35"/>
    <w:rsid w:val="00B71EF4"/>
    <w:rsid w:val="00B725DD"/>
    <w:rsid w:val="00B74E5A"/>
    <w:rsid w:val="00B756B4"/>
    <w:rsid w:val="00B77D69"/>
    <w:rsid w:val="00B80FF4"/>
    <w:rsid w:val="00B829EC"/>
    <w:rsid w:val="00B85CBE"/>
    <w:rsid w:val="00B8707F"/>
    <w:rsid w:val="00B90214"/>
    <w:rsid w:val="00B90608"/>
    <w:rsid w:val="00B93BB4"/>
    <w:rsid w:val="00B94A86"/>
    <w:rsid w:val="00B94BD6"/>
    <w:rsid w:val="00B96400"/>
    <w:rsid w:val="00B973BC"/>
    <w:rsid w:val="00B9757A"/>
    <w:rsid w:val="00BA1D83"/>
    <w:rsid w:val="00BA1E94"/>
    <w:rsid w:val="00BA1F97"/>
    <w:rsid w:val="00BA304D"/>
    <w:rsid w:val="00BA32CD"/>
    <w:rsid w:val="00BA3922"/>
    <w:rsid w:val="00BA50E0"/>
    <w:rsid w:val="00BB0847"/>
    <w:rsid w:val="00BB0C19"/>
    <w:rsid w:val="00BB24A9"/>
    <w:rsid w:val="00BB284F"/>
    <w:rsid w:val="00BB2C88"/>
    <w:rsid w:val="00BB2E47"/>
    <w:rsid w:val="00BB466E"/>
    <w:rsid w:val="00BB7422"/>
    <w:rsid w:val="00BB757E"/>
    <w:rsid w:val="00BC036B"/>
    <w:rsid w:val="00BC2881"/>
    <w:rsid w:val="00BC5332"/>
    <w:rsid w:val="00BC5B24"/>
    <w:rsid w:val="00BC6A71"/>
    <w:rsid w:val="00BD0112"/>
    <w:rsid w:val="00BD0909"/>
    <w:rsid w:val="00BD47E9"/>
    <w:rsid w:val="00BD48F0"/>
    <w:rsid w:val="00BD5D57"/>
    <w:rsid w:val="00BD5D75"/>
    <w:rsid w:val="00BD72F2"/>
    <w:rsid w:val="00BD7454"/>
    <w:rsid w:val="00BD77FB"/>
    <w:rsid w:val="00BD788C"/>
    <w:rsid w:val="00BE0A67"/>
    <w:rsid w:val="00BE3F21"/>
    <w:rsid w:val="00BE6C40"/>
    <w:rsid w:val="00BE7E3A"/>
    <w:rsid w:val="00BF0E13"/>
    <w:rsid w:val="00BF1616"/>
    <w:rsid w:val="00BF29BC"/>
    <w:rsid w:val="00BF531F"/>
    <w:rsid w:val="00BF5566"/>
    <w:rsid w:val="00BF5854"/>
    <w:rsid w:val="00BF5D01"/>
    <w:rsid w:val="00BF673B"/>
    <w:rsid w:val="00BF6BF5"/>
    <w:rsid w:val="00C00CCB"/>
    <w:rsid w:val="00C03070"/>
    <w:rsid w:val="00C07FA6"/>
    <w:rsid w:val="00C10E5E"/>
    <w:rsid w:val="00C11680"/>
    <w:rsid w:val="00C12308"/>
    <w:rsid w:val="00C133DA"/>
    <w:rsid w:val="00C13440"/>
    <w:rsid w:val="00C14D9F"/>
    <w:rsid w:val="00C156DD"/>
    <w:rsid w:val="00C17BB6"/>
    <w:rsid w:val="00C21AAD"/>
    <w:rsid w:val="00C21B9D"/>
    <w:rsid w:val="00C21C53"/>
    <w:rsid w:val="00C22759"/>
    <w:rsid w:val="00C22770"/>
    <w:rsid w:val="00C24909"/>
    <w:rsid w:val="00C25929"/>
    <w:rsid w:val="00C25D37"/>
    <w:rsid w:val="00C26197"/>
    <w:rsid w:val="00C27056"/>
    <w:rsid w:val="00C270C8"/>
    <w:rsid w:val="00C278D9"/>
    <w:rsid w:val="00C31B99"/>
    <w:rsid w:val="00C326B5"/>
    <w:rsid w:val="00C33DD2"/>
    <w:rsid w:val="00C360BD"/>
    <w:rsid w:val="00C364AB"/>
    <w:rsid w:val="00C36867"/>
    <w:rsid w:val="00C36A9F"/>
    <w:rsid w:val="00C40038"/>
    <w:rsid w:val="00C40D37"/>
    <w:rsid w:val="00C4278E"/>
    <w:rsid w:val="00C443A7"/>
    <w:rsid w:val="00C44ACB"/>
    <w:rsid w:val="00C45098"/>
    <w:rsid w:val="00C47E39"/>
    <w:rsid w:val="00C5024E"/>
    <w:rsid w:val="00C507E8"/>
    <w:rsid w:val="00C5143C"/>
    <w:rsid w:val="00C52D78"/>
    <w:rsid w:val="00C5329E"/>
    <w:rsid w:val="00C564CA"/>
    <w:rsid w:val="00C56D35"/>
    <w:rsid w:val="00C56D40"/>
    <w:rsid w:val="00C56F94"/>
    <w:rsid w:val="00C572A5"/>
    <w:rsid w:val="00C607A4"/>
    <w:rsid w:val="00C61CB2"/>
    <w:rsid w:val="00C6206F"/>
    <w:rsid w:val="00C62AAF"/>
    <w:rsid w:val="00C63566"/>
    <w:rsid w:val="00C635AE"/>
    <w:rsid w:val="00C637EC"/>
    <w:rsid w:val="00C64C57"/>
    <w:rsid w:val="00C6503E"/>
    <w:rsid w:val="00C660AC"/>
    <w:rsid w:val="00C6618F"/>
    <w:rsid w:val="00C6628D"/>
    <w:rsid w:val="00C67A7D"/>
    <w:rsid w:val="00C71230"/>
    <w:rsid w:val="00C73C11"/>
    <w:rsid w:val="00C76924"/>
    <w:rsid w:val="00C77220"/>
    <w:rsid w:val="00C812A2"/>
    <w:rsid w:val="00C820CF"/>
    <w:rsid w:val="00C82E5A"/>
    <w:rsid w:val="00C875DF"/>
    <w:rsid w:val="00C90374"/>
    <w:rsid w:val="00C91965"/>
    <w:rsid w:val="00C91BC8"/>
    <w:rsid w:val="00C932EC"/>
    <w:rsid w:val="00C93C8E"/>
    <w:rsid w:val="00C93F23"/>
    <w:rsid w:val="00C94D83"/>
    <w:rsid w:val="00C9534E"/>
    <w:rsid w:val="00C9617B"/>
    <w:rsid w:val="00C96943"/>
    <w:rsid w:val="00CA146C"/>
    <w:rsid w:val="00CA1E2D"/>
    <w:rsid w:val="00CA228B"/>
    <w:rsid w:val="00CA23E0"/>
    <w:rsid w:val="00CA2849"/>
    <w:rsid w:val="00CA3633"/>
    <w:rsid w:val="00CA46FF"/>
    <w:rsid w:val="00CA47A2"/>
    <w:rsid w:val="00CA4B6B"/>
    <w:rsid w:val="00CA54C4"/>
    <w:rsid w:val="00CA647D"/>
    <w:rsid w:val="00CA69A0"/>
    <w:rsid w:val="00CA700C"/>
    <w:rsid w:val="00CA7E92"/>
    <w:rsid w:val="00CB0C7C"/>
    <w:rsid w:val="00CB18FD"/>
    <w:rsid w:val="00CB19E5"/>
    <w:rsid w:val="00CB1A82"/>
    <w:rsid w:val="00CB1CCA"/>
    <w:rsid w:val="00CB2A9B"/>
    <w:rsid w:val="00CB3EC2"/>
    <w:rsid w:val="00CB5D00"/>
    <w:rsid w:val="00CB618E"/>
    <w:rsid w:val="00CB6C85"/>
    <w:rsid w:val="00CB7109"/>
    <w:rsid w:val="00CC0F28"/>
    <w:rsid w:val="00CC2F23"/>
    <w:rsid w:val="00CC3118"/>
    <w:rsid w:val="00CC4145"/>
    <w:rsid w:val="00CC5D91"/>
    <w:rsid w:val="00CC69A7"/>
    <w:rsid w:val="00CC6F5B"/>
    <w:rsid w:val="00CC6F9D"/>
    <w:rsid w:val="00CD06BC"/>
    <w:rsid w:val="00CD1629"/>
    <w:rsid w:val="00CD1C98"/>
    <w:rsid w:val="00CD240F"/>
    <w:rsid w:val="00CD2DBC"/>
    <w:rsid w:val="00CD3112"/>
    <w:rsid w:val="00CD4180"/>
    <w:rsid w:val="00CD5EE0"/>
    <w:rsid w:val="00CD6121"/>
    <w:rsid w:val="00CD6CD8"/>
    <w:rsid w:val="00CE034C"/>
    <w:rsid w:val="00CE0730"/>
    <w:rsid w:val="00CE1971"/>
    <w:rsid w:val="00CE2AD8"/>
    <w:rsid w:val="00CE2DE4"/>
    <w:rsid w:val="00CE30FF"/>
    <w:rsid w:val="00CE3BA2"/>
    <w:rsid w:val="00CE3F35"/>
    <w:rsid w:val="00CE43DE"/>
    <w:rsid w:val="00CE4B8C"/>
    <w:rsid w:val="00CE5314"/>
    <w:rsid w:val="00CF0417"/>
    <w:rsid w:val="00CF4435"/>
    <w:rsid w:val="00CF4F7E"/>
    <w:rsid w:val="00CF5983"/>
    <w:rsid w:val="00CF598B"/>
    <w:rsid w:val="00CF63BE"/>
    <w:rsid w:val="00CF64A9"/>
    <w:rsid w:val="00CF6F0D"/>
    <w:rsid w:val="00CF7449"/>
    <w:rsid w:val="00CF7D87"/>
    <w:rsid w:val="00D0056A"/>
    <w:rsid w:val="00D00654"/>
    <w:rsid w:val="00D00A9C"/>
    <w:rsid w:val="00D024C0"/>
    <w:rsid w:val="00D02F29"/>
    <w:rsid w:val="00D0322F"/>
    <w:rsid w:val="00D03D4D"/>
    <w:rsid w:val="00D04033"/>
    <w:rsid w:val="00D05133"/>
    <w:rsid w:val="00D1131A"/>
    <w:rsid w:val="00D11745"/>
    <w:rsid w:val="00D11EAB"/>
    <w:rsid w:val="00D1403D"/>
    <w:rsid w:val="00D1463F"/>
    <w:rsid w:val="00D15C91"/>
    <w:rsid w:val="00D16A80"/>
    <w:rsid w:val="00D200B3"/>
    <w:rsid w:val="00D221AC"/>
    <w:rsid w:val="00D22AAE"/>
    <w:rsid w:val="00D22CEA"/>
    <w:rsid w:val="00D22ED9"/>
    <w:rsid w:val="00D22F6D"/>
    <w:rsid w:val="00D236F0"/>
    <w:rsid w:val="00D242F7"/>
    <w:rsid w:val="00D2654E"/>
    <w:rsid w:val="00D27E72"/>
    <w:rsid w:val="00D31295"/>
    <w:rsid w:val="00D34423"/>
    <w:rsid w:val="00D347E8"/>
    <w:rsid w:val="00D35AB0"/>
    <w:rsid w:val="00D3639B"/>
    <w:rsid w:val="00D3795F"/>
    <w:rsid w:val="00D40B56"/>
    <w:rsid w:val="00D41487"/>
    <w:rsid w:val="00D47929"/>
    <w:rsid w:val="00D479D8"/>
    <w:rsid w:val="00D50678"/>
    <w:rsid w:val="00D5086C"/>
    <w:rsid w:val="00D5114C"/>
    <w:rsid w:val="00D51FCC"/>
    <w:rsid w:val="00D53FFA"/>
    <w:rsid w:val="00D54C73"/>
    <w:rsid w:val="00D54D04"/>
    <w:rsid w:val="00D550A2"/>
    <w:rsid w:val="00D56059"/>
    <w:rsid w:val="00D57F95"/>
    <w:rsid w:val="00D61434"/>
    <w:rsid w:val="00D61B14"/>
    <w:rsid w:val="00D62BC8"/>
    <w:rsid w:val="00D6315E"/>
    <w:rsid w:val="00D63A6F"/>
    <w:rsid w:val="00D646EA"/>
    <w:rsid w:val="00D64F46"/>
    <w:rsid w:val="00D6654A"/>
    <w:rsid w:val="00D67B47"/>
    <w:rsid w:val="00D7537D"/>
    <w:rsid w:val="00D7583F"/>
    <w:rsid w:val="00D7777F"/>
    <w:rsid w:val="00D82899"/>
    <w:rsid w:val="00D835AB"/>
    <w:rsid w:val="00D835FA"/>
    <w:rsid w:val="00D8466A"/>
    <w:rsid w:val="00D871C6"/>
    <w:rsid w:val="00D876F5"/>
    <w:rsid w:val="00D87812"/>
    <w:rsid w:val="00D87DCC"/>
    <w:rsid w:val="00D91285"/>
    <w:rsid w:val="00D91604"/>
    <w:rsid w:val="00D92397"/>
    <w:rsid w:val="00D92991"/>
    <w:rsid w:val="00D934A6"/>
    <w:rsid w:val="00D93FB9"/>
    <w:rsid w:val="00D95C59"/>
    <w:rsid w:val="00D95E31"/>
    <w:rsid w:val="00D96465"/>
    <w:rsid w:val="00D96D87"/>
    <w:rsid w:val="00DA1108"/>
    <w:rsid w:val="00DA308A"/>
    <w:rsid w:val="00DA5FEA"/>
    <w:rsid w:val="00DA6099"/>
    <w:rsid w:val="00DB0B5C"/>
    <w:rsid w:val="00DB1789"/>
    <w:rsid w:val="00DB1827"/>
    <w:rsid w:val="00DB496A"/>
    <w:rsid w:val="00DB579F"/>
    <w:rsid w:val="00DB5920"/>
    <w:rsid w:val="00DB6469"/>
    <w:rsid w:val="00DB64CD"/>
    <w:rsid w:val="00DB7B13"/>
    <w:rsid w:val="00DC0856"/>
    <w:rsid w:val="00DC3BAF"/>
    <w:rsid w:val="00DC521A"/>
    <w:rsid w:val="00DC6A39"/>
    <w:rsid w:val="00DC7C8E"/>
    <w:rsid w:val="00DD1795"/>
    <w:rsid w:val="00DD2104"/>
    <w:rsid w:val="00DD46D0"/>
    <w:rsid w:val="00DD5DE1"/>
    <w:rsid w:val="00DD730B"/>
    <w:rsid w:val="00DD7B0C"/>
    <w:rsid w:val="00DE0607"/>
    <w:rsid w:val="00DE24A6"/>
    <w:rsid w:val="00DE459D"/>
    <w:rsid w:val="00DE554D"/>
    <w:rsid w:val="00DE55EB"/>
    <w:rsid w:val="00DE5A22"/>
    <w:rsid w:val="00DE6A9B"/>
    <w:rsid w:val="00DF01C9"/>
    <w:rsid w:val="00DF0D5F"/>
    <w:rsid w:val="00DF1104"/>
    <w:rsid w:val="00DF1868"/>
    <w:rsid w:val="00DF18C1"/>
    <w:rsid w:val="00DF28A6"/>
    <w:rsid w:val="00DF2C7C"/>
    <w:rsid w:val="00DF3E79"/>
    <w:rsid w:val="00DF4595"/>
    <w:rsid w:val="00DF4D7C"/>
    <w:rsid w:val="00DF6252"/>
    <w:rsid w:val="00DF62E0"/>
    <w:rsid w:val="00E00880"/>
    <w:rsid w:val="00E00DE1"/>
    <w:rsid w:val="00E024D7"/>
    <w:rsid w:val="00E02A65"/>
    <w:rsid w:val="00E02B95"/>
    <w:rsid w:val="00E0328A"/>
    <w:rsid w:val="00E04D4A"/>
    <w:rsid w:val="00E052E6"/>
    <w:rsid w:val="00E07F2F"/>
    <w:rsid w:val="00E125BA"/>
    <w:rsid w:val="00E139C5"/>
    <w:rsid w:val="00E1627E"/>
    <w:rsid w:val="00E167FE"/>
    <w:rsid w:val="00E172FB"/>
    <w:rsid w:val="00E1780A"/>
    <w:rsid w:val="00E17ABD"/>
    <w:rsid w:val="00E23502"/>
    <w:rsid w:val="00E243F3"/>
    <w:rsid w:val="00E24E0D"/>
    <w:rsid w:val="00E26154"/>
    <w:rsid w:val="00E26EB0"/>
    <w:rsid w:val="00E304C5"/>
    <w:rsid w:val="00E3129D"/>
    <w:rsid w:val="00E31D32"/>
    <w:rsid w:val="00E33992"/>
    <w:rsid w:val="00E342A1"/>
    <w:rsid w:val="00E343B0"/>
    <w:rsid w:val="00E34AF3"/>
    <w:rsid w:val="00E35D28"/>
    <w:rsid w:val="00E36097"/>
    <w:rsid w:val="00E3631F"/>
    <w:rsid w:val="00E40483"/>
    <w:rsid w:val="00E41583"/>
    <w:rsid w:val="00E41C44"/>
    <w:rsid w:val="00E42ADC"/>
    <w:rsid w:val="00E431CC"/>
    <w:rsid w:val="00E44F8F"/>
    <w:rsid w:val="00E51903"/>
    <w:rsid w:val="00E52254"/>
    <w:rsid w:val="00E5560E"/>
    <w:rsid w:val="00E56F11"/>
    <w:rsid w:val="00E56FBB"/>
    <w:rsid w:val="00E5766A"/>
    <w:rsid w:val="00E57980"/>
    <w:rsid w:val="00E60587"/>
    <w:rsid w:val="00E630AC"/>
    <w:rsid w:val="00E638F1"/>
    <w:rsid w:val="00E63960"/>
    <w:rsid w:val="00E64B35"/>
    <w:rsid w:val="00E65540"/>
    <w:rsid w:val="00E66814"/>
    <w:rsid w:val="00E7020F"/>
    <w:rsid w:val="00E708D2"/>
    <w:rsid w:val="00E738B5"/>
    <w:rsid w:val="00E748F0"/>
    <w:rsid w:val="00E75444"/>
    <w:rsid w:val="00E76E6B"/>
    <w:rsid w:val="00E76FE0"/>
    <w:rsid w:val="00E77685"/>
    <w:rsid w:val="00E7769E"/>
    <w:rsid w:val="00E77CAE"/>
    <w:rsid w:val="00E77CCA"/>
    <w:rsid w:val="00E77D0A"/>
    <w:rsid w:val="00E8087C"/>
    <w:rsid w:val="00E80A25"/>
    <w:rsid w:val="00E820EC"/>
    <w:rsid w:val="00E82675"/>
    <w:rsid w:val="00E84446"/>
    <w:rsid w:val="00E8650E"/>
    <w:rsid w:val="00E865E1"/>
    <w:rsid w:val="00E86FB8"/>
    <w:rsid w:val="00E913A4"/>
    <w:rsid w:val="00E91552"/>
    <w:rsid w:val="00E917CA"/>
    <w:rsid w:val="00E928CC"/>
    <w:rsid w:val="00E947E1"/>
    <w:rsid w:val="00E94C0F"/>
    <w:rsid w:val="00E94EE3"/>
    <w:rsid w:val="00E953DB"/>
    <w:rsid w:val="00E96B29"/>
    <w:rsid w:val="00EA112D"/>
    <w:rsid w:val="00EA14D8"/>
    <w:rsid w:val="00EA15DD"/>
    <w:rsid w:val="00EA1956"/>
    <w:rsid w:val="00EA1E9E"/>
    <w:rsid w:val="00EA2C3F"/>
    <w:rsid w:val="00EA305A"/>
    <w:rsid w:val="00EA32B9"/>
    <w:rsid w:val="00EA4831"/>
    <w:rsid w:val="00EA5F00"/>
    <w:rsid w:val="00EB12B3"/>
    <w:rsid w:val="00EB1800"/>
    <w:rsid w:val="00EB29AC"/>
    <w:rsid w:val="00EB3905"/>
    <w:rsid w:val="00EB441A"/>
    <w:rsid w:val="00EB49C7"/>
    <w:rsid w:val="00EB4D70"/>
    <w:rsid w:val="00EB54EB"/>
    <w:rsid w:val="00EB5ACF"/>
    <w:rsid w:val="00EB5EBC"/>
    <w:rsid w:val="00EC0DFE"/>
    <w:rsid w:val="00EC15AC"/>
    <w:rsid w:val="00EC3AA1"/>
    <w:rsid w:val="00EC4333"/>
    <w:rsid w:val="00EC56E0"/>
    <w:rsid w:val="00EC6191"/>
    <w:rsid w:val="00EC6D58"/>
    <w:rsid w:val="00ED0503"/>
    <w:rsid w:val="00ED0BC8"/>
    <w:rsid w:val="00ED11F5"/>
    <w:rsid w:val="00ED20E9"/>
    <w:rsid w:val="00ED5E18"/>
    <w:rsid w:val="00ED684E"/>
    <w:rsid w:val="00ED7443"/>
    <w:rsid w:val="00EE144A"/>
    <w:rsid w:val="00EE3952"/>
    <w:rsid w:val="00EE55BE"/>
    <w:rsid w:val="00EE5AFF"/>
    <w:rsid w:val="00EE6DCE"/>
    <w:rsid w:val="00EE79A6"/>
    <w:rsid w:val="00EF0FAD"/>
    <w:rsid w:val="00EF1184"/>
    <w:rsid w:val="00EF259B"/>
    <w:rsid w:val="00EF4380"/>
    <w:rsid w:val="00EF4576"/>
    <w:rsid w:val="00EF51C6"/>
    <w:rsid w:val="00EF654C"/>
    <w:rsid w:val="00EF7A18"/>
    <w:rsid w:val="00F0044E"/>
    <w:rsid w:val="00F0178D"/>
    <w:rsid w:val="00F018A9"/>
    <w:rsid w:val="00F02D45"/>
    <w:rsid w:val="00F03DBB"/>
    <w:rsid w:val="00F0667E"/>
    <w:rsid w:val="00F076B1"/>
    <w:rsid w:val="00F11572"/>
    <w:rsid w:val="00F11A07"/>
    <w:rsid w:val="00F121BF"/>
    <w:rsid w:val="00F141A7"/>
    <w:rsid w:val="00F14B98"/>
    <w:rsid w:val="00F153E6"/>
    <w:rsid w:val="00F1550C"/>
    <w:rsid w:val="00F168DC"/>
    <w:rsid w:val="00F17396"/>
    <w:rsid w:val="00F17917"/>
    <w:rsid w:val="00F202B9"/>
    <w:rsid w:val="00F2112E"/>
    <w:rsid w:val="00F21DA2"/>
    <w:rsid w:val="00F21E52"/>
    <w:rsid w:val="00F23FA6"/>
    <w:rsid w:val="00F249C4"/>
    <w:rsid w:val="00F2652A"/>
    <w:rsid w:val="00F266CC"/>
    <w:rsid w:val="00F2671A"/>
    <w:rsid w:val="00F26C8A"/>
    <w:rsid w:val="00F27E1F"/>
    <w:rsid w:val="00F31D47"/>
    <w:rsid w:val="00F33017"/>
    <w:rsid w:val="00F33AA5"/>
    <w:rsid w:val="00F367C9"/>
    <w:rsid w:val="00F37920"/>
    <w:rsid w:val="00F37BB2"/>
    <w:rsid w:val="00F405A0"/>
    <w:rsid w:val="00F4089A"/>
    <w:rsid w:val="00F40966"/>
    <w:rsid w:val="00F40D68"/>
    <w:rsid w:val="00F41171"/>
    <w:rsid w:val="00F417D7"/>
    <w:rsid w:val="00F44452"/>
    <w:rsid w:val="00F44B43"/>
    <w:rsid w:val="00F45741"/>
    <w:rsid w:val="00F46092"/>
    <w:rsid w:val="00F4791E"/>
    <w:rsid w:val="00F47B19"/>
    <w:rsid w:val="00F505B3"/>
    <w:rsid w:val="00F527DE"/>
    <w:rsid w:val="00F531E0"/>
    <w:rsid w:val="00F533A2"/>
    <w:rsid w:val="00F53880"/>
    <w:rsid w:val="00F53894"/>
    <w:rsid w:val="00F53E9D"/>
    <w:rsid w:val="00F55375"/>
    <w:rsid w:val="00F55D48"/>
    <w:rsid w:val="00F56839"/>
    <w:rsid w:val="00F56C37"/>
    <w:rsid w:val="00F60375"/>
    <w:rsid w:val="00F6075B"/>
    <w:rsid w:val="00F61017"/>
    <w:rsid w:val="00F62297"/>
    <w:rsid w:val="00F630EE"/>
    <w:rsid w:val="00F6477A"/>
    <w:rsid w:val="00F65260"/>
    <w:rsid w:val="00F663FF"/>
    <w:rsid w:val="00F66A55"/>
    <w:rsid w:val="00F66EDE"/>
    <w:rsid w:val="00F70CE1"/>
    <w:rsid w:val="00F70DB8"/>
    <w:rsid w:val="00F73854"/>
    <w:rsid w:val="00F73F79"/>
    <w:rsid w:val="00F749AE"/>
    <w:rsid w:val="00F754F9"/>
    <w:rsid w:val="00F7624B"/>
    <w:rsid w:val="00F778AF"/>
    <w:rsid w:val="00F80273"/>
    <w:rsid w:val="00F8066B"/>
    <w:rsid w:val="00F80971"/>
    <w:rsid w:val="00F8114E"/>
    <w:rsid w:val="00F83B47"/>
    <w:rsid w:val="00F841D2"/>
    <w:rsid w:val="00F84CA3"/>
    <w:rsid w:val="00F84F89"/>
    <w:rsid w:val="00F8639B"/>
    <w:rsid w:val="00F86832"/>
    <w:rsid w:val="00F86975"/>
    <w:rsid w:val="00F9036D"/>
    <w:rsid w:val="00F91ECB"/>
    <w:rsid w:val="00F930AB"/>
    <w:rsid w:val="00F93761"/>
    <w:rsid w:val="00F937C4"/>
    <w:rsid w:val="00F95201"/>
    <w:rsid w:val="00F953D3"/>
    <w:rsid w:val="00F95B75"/>
    <w:rsid w:val="00F970C3"/>
    <w:rsid w:val="00F97466"/>
    <w:rsid w:val="00F976EF"/>
    <w:rsid w:val="00F97F2B"/>
    <w:rsid w:val="00FA02B4"/>
    <w:rsid w:val="00FA0C64"/>
    <w:rsid w:val="00FA122F"/>
    <w:rsid w:val="00FA2399"/>
    <w:rsid w:val="00FA3DFC"/>
    <w:rsid w:val="00FA5D3C"/>
    <w:rsid w:val="00FA6E86"/>
    <w:rsid w:val="00FA772F"/>
    <w:rsid w:val="00FB17BE"/>
    <w:rsid w:val="00FB2A60"/>
    <w:rsid w:val="00FB31BE"/>
    <w:rsid w:val="00FB32F3"/>
    <w:rsid w:val="00FB4200"/>
    <w:rsid w:val="00FB537A"/>
    <w:rsid w:val="00FB6B4F"/>
    <w:rsid w:val="00FB7D2E"/>
    <w:rsid w:val="00FC1D0B"/>
    <w:rsid w:val="00FC1E87"/>
    <w:rsid w:val="00FC2627"/>
    <w:rsid w:val="00FC3929"/>
    <w:rsid w:val="00FC40ED"/>
    <w:rsid w:val="00FC4136"/>
    <w:rsid w:val="00FC4BCE"/>
    <w:rsid w:val="00FC4EA3"/>
    <w:rsid w:val="00FC71FD"/>
    <w:rsid w:val="00FD0468"/>
    <w:rsid w:val="00FD0D8F"/>
    <w:rsid w:val="00FD108E"/>
    <w:rsid w:val="00FD2C23"/>
    <w:rsid w:val="00FD3ACF"/>
    <w:rsid w:val="00FD4112"/>
    <w:rsid w:val="00FD4BA1"/>
    <w:rsid w:val="00FD540D"/>
    <w:rsid w:val="00FD5AA3"/>
    <w:rsid w:val="00FD5AF2"/>
    <w:rsid w:val="00FE0369"/>
    <w:rsid w:val="00FE166E"/>
    <w:rsid w:val="00FE1BF6"/>
    <w:rsid w:val="00FE2774"/>
    <w:rsid w:val="00FE34B5"/>
    <w:rsid w:val="00FE3821"/>
    <w:rsid w:val="00FE4255"/>
    <w:rsid w:val="00FE47EB"/>
    <w:rsid w:val="00FE531D"/>
    <w:rsid w:val="00FE6647"/>
    <w:rsid w:val="00FF48EF"/>
    <w:rsid w:val="00FF5AF0"/>
    <w:rsid w:val="00FF71CE"/>
    <w:rsid w:val="00FF79E6"/>
    <w:rsid w:val="00FF7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A46AE"/>
  <w15:docId w15:val="{030B6365-D338-4F58-B09D-78CD42A7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146C"/>
    <w:pPr>
      <w:spacing w:line="480" w:lineRule="auto"/>
      <w:jc w:val="both"/>
    </w:pPr>
    <w:rPr>
      <w:rFonts w:ascii="Times New Roman" w:hAnsi="Times New Roman" w:cs="Times New Roman"/>
      <w:sz w:val="24"/>
      <w:szCs w:val="24"/>
    </w:rPr>
  </w:style>
  <w:style w:type="paragraph" w:styleId="Kop1">
    <w:name w:val="heading 1"/>
    <w:basedOn w:val="Standaard"/>
    <w:next w:val="Standaard"/>
    <w:link w:val="Kop1Char"/>
    <w:uiPriority w:val="9"/>
    <w:qFormat/>
    <w:rsid w:val="00917994"/>
    <w:pPr>
      <w:keepNext/>
      <w:keepLines/>
      <w:spacing w:before="480" w:after="0"/>
      <w:outlineLvl w:val="0"/>
    </w:pPr>
    <w:rPr>
      <w:rFonts w:eastAsiaTheme="majorEastAsia"/>
      <w:b/>
      <w:bCs/>
      <w:sz w:val="28"/>
      <w:szCs w:val="28"/>
    </w:rPr>
  </w:style>
  <w:style w:type="paragraph" w:styleId="Kop2">
    <w:name w:val="heading 2"/>
    <w:basedOn w:val="Standaard"/>
    <w:next w:val="Standaard"/>
    <w:link w:val="Kop2Char"/>
    <w:uiPriority w:val="9"/>
    <w:unhideWhenUsed/>
    <w:qFormat/>
    <w:rsid w:val="00311A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334588"/>
    <w:pPr>
      <w:outlineLvl w:val="2"/>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7994"/>
    <w:rPr>
      <w:rFonts w:ascii="Times New Roman" w:eastAsiaTheme="majorEastAsia" w:hAnsi="Times New Roman" w:cs="Times New Roman"/>
      <w:b/>
      <w:bCs/>
      <w:sz w:val="28"/>
      <w:szCs w:val="28"/>
    </w:rPr>
  </w:style>
  <w:style w:type="paragraph" w:styleId="Geenafstand">
    <w:name w:val="No Spacing"/>
    <w:basedOn w:val="Standaard"/>
    <w:uiPriority w:val="1"/>
    <w:qFormat/>
    <w:rsid w:val="000756CA"/>
    <w:pPr>
      <w:spacing w:line="240" w:lineRule="auto"/>
      <w:jc w:val="left"/>
    </w:pPr>
    <w:rPr>
      <w:sz w:val="20"/>
      <w:szCs w:val="20"/>
    </w:rPr>
  </w:style>
  <w:style w:type="paragraph" w:styleId="Ballontekst">
    <w:name w:val="Balloon Text"/>
    <w:basedOn w:val="Standaard"/>
    <w:link w:val="BallontekstChar"/>
    <w:uiPriority w:val="99"/>
    <w:semiHidden/>
    <w:unhideWhenUsed/>
    <w:rsid w:val="007D582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D5829"/>
    <w:rPr>
      <w:rFonts w:ascii="Tahoma" w:hAnsi="Tahoma" w:cs="Tahoma"/>
      <w:sz w:val="16"/>
      <w:szCs w:val="16"/>
    </w:rPr>
  </w:style>
  <w:style w:type="paragraph" w:styleId="Koptekst">
    <w:name w:val="header"/>
    <w:basedOn w:val="Standaard"/>
    <w:link w:val="KoptekstChar"/>
    <w:uiPriority w:val="99"/>
    <w:unhideWhenUsed/>
    <w:rsid w:val="00377C5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77C57"/>
  </w:style>
  <w:style w:type="paragraph" w:styleId="Voettekst">
    <w:name w:val="footer"/>
    <w:basedOn w:val="Standaard"/>
    <w:link w:val="VoettekstChar"/>
    <w:uiPriority w:val="99"/>
    <w:unhideWhenUsed/>
    <w:rsid w:val="00377C5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77C57"/>
  </w:style>
  <w:style w:type="paragraph" w:styleId="Lijstalinea">
    <w:name w:val="List Paragraph"/>
    <w:basedOn w:val="Standaard"/>
    <w:uiPriority w:val="34"/>
    <w:qFormat/>
    <w:rsid w:val="0027125D"/>
    <w:pPr>
      <w:ind w:left="720"/>
      <w:contextualSpacing/>
    </w:pPr>
  </w:style>
  <w:style w:type="character" w:styleId="Hyperlink">
    <w:name w:val="Hyperlink"/>
    <w:basedOn w:val="Standaardalinea-lettertype"/>
    <w:uiPriority w:val="99"/>
    <w:unhideWhenUsed/>
    <w:rsid w:val="00641E9B"/>
    <w:rPr>
      <w:color w:val="0000FF" w:themeColor="hyperlink"/>
      <w:u w:val="single"/>
    </w:rPr>
  </w:style>
  <w:style w:type="paragraph" w:styleId="Revisie">
    <w:name w:val="Revision"/>
    <w:hidden/>
    <w:uiPriority w:val="99"/>
    <w:semiHidden/>
    <w:rsid w:val="003D7DA8"/>
    <w:pPr>
      <w:spacing w:after="0" w:line="240" w:lineRule="auto"/>
    </w:pPr>
  </w:style>
  <w:style w:type="character" w:styleId="Verwijzingopmerking">
    <w:name w:val="annotation reference"/>
    <w:basedOn w:val="Standaardalinea-lettertype"/>
    <w:uiPriority w:val="99"/>
    <w:semiHidden/>
    <w:unhideWhenUsed/>
    <w:rsid w:val="00D6654A"/>
    <w:rPr>
      <w:sz w:val="16"/>
      <w:szCs w:val="16"/>
    </w:rPr>
  </w:style>
  <w:style w:type="paragraph" w:styleId="Tekstopmerking">
    <w:name w:val="annotation text"/>
    <w:basedOn w:val="Standaard"/>
    <w:link w:val="TekstopmerkingChar"/>
    <w:uiPriority w:val="99"/>
    <w:unhideWhenUsed/>
    <w:rsid w:val="00D6654A"/>
    <w:pPr>
      <w:spacing w:line="240" w:lineRule="auto"/>
    </w:pPr>
    <w:rPr>
      <w:sz w:val="20"/>
      <w:szCs w:val="20"/>
    </w:rPr>
  </w:style>
  <w:style w:type="character" w:customStyle="1" w:styleId="TekstopmerkingChar">
    <w:name w:val="Tekst opmerking Char"/>
    <w:basedOn w:val="Standaardalinea-lettertype"/>
    <w:link w:val="Tekstopmerking"/>
    <w:uiPriority w:val="99"/>
    <w:rsid w:val="00D6654A"/>
    <w:rPr>
      <w:sz w:val="20"/>
      <w:szCs w:val="20"/>
    </w:rPr>
  </w:style>
  <w:style w:type="paragraph" w:styleId="Onderwerpvanopmerking">
    <w:name w:val="annotation subject"/>
    <w:basedOn w:val="Tekstopmerking"/>
    <w:next w:val="Tekstopmerking"/>
    <w:link w:val="OnderwerpvanopmerkingChar"/>
    <w:uiPriority w:val="99"/>
    <w:semiHidden/>
    <w:unhideWhenUsed/>
    <w:rsid w:val="00D6654A"/>
    <w:rPr>
      <w:b/>
      <w:bCs/>
    </w:rPr>
  </w:style>
  <w:style w:type="character" w:customStyle="1" w:styleId="OnderwerpvanopmerkingChar">
    <w:name w:val="Onderwerp van opmerking Char"/>
    <w:basedOn w:val="TekstopmerkingChar"/>
    <w:link w:val="Onderwerpvanopmerking"/>
    <w:uiPriority w:val="99"/>
    <w:semiHidden/>
    <w:rsid w:val="00D6654A"/>
    <w:rPr>
      <w:b/>
      <w:bCs/>
      <w:sz w:val="20"/>
      <w:szCs w:val="20"/>
    </w:rPr>
  </w:style>
  <w:style w:type="paragraph" w:styleId="Voetnoottekst">
    <w:name w:val="footnote text"/>
    <w:basedOn w:val="Standaard"/>
    <w:link w:val="VoetnoottekstChar"/>
    <w:uiPriority w:val="99"/>
    <w:semiHidden/>
    <w:unhideWhenUsed/>
    <w:rsid w:val="00CF598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F5983"/>
    <w:rPr>
      <w:sz w:val="20"/>
      <w:szCs w:val="20"/>
    </w:rPr>
  </w:style>
  <w:style w:type="character" w:styleId="Voetnootmarkering">
    <w:name w:val="footnote reference"/>
    <w:basedOn w:val="Standaardalinea-lettertype"/>
    <w:uiPriority w:val="99"/>
    <w:semiHidden/>
    <w:unhideWhenUsed/>
    <w:rsid w:val="00CF5983"/>
    <w:rPr>
      <w:vertAlign w:val="superscript"/>
    </w:rPr>
  </w:style>
  <w:style w:type="table" w:customStyle="1" w:styleId="Rastertabel1licht-Accent11">
    <w:name w:val="Rastertabel 1 licht - Accent 11"/>
    <w:basedOn w:val="Standaardtabel"/>
    <w:uiPriority w:val="46"/>
    <w:rsid w:val="007B161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rasterlicht1">
    <w:name w:val="Tabelraster licht1"/>
    <w:basedOn w:val="Standaardtabel"/>
    <w:uiPriority w:val="40"/>
    <w:rsid w:val="009F738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nopgelostemelding1">
    <w:name w:val="Onopgeloste melding1"/>
    <w:basedOn w:val="Standaardalinea-lettertype"/>
    <w:uiPriority w:val="99"/>
    <w:semiHidden/>
    <w:unhideWhenUsed/>
    <w:rsid w:val="00254E65"/>
    <w:rPr>
      <w:color w:val="605E5C"/>
      <w:shd w:val="clear" w:color="auto" w:fill="E1DFDD"/>
    </w:rPr>
  </w:style>
  <w:style w:type="character" w:customStyle="1" w:styleId="Kop2Char">
    <w:name w:val="Kop 2 Char"/>
    <w:basedOn w:val="Standaardalinea-lettertype"/>
    <w:link w:val="Kop2"/>
    <w:uiPriority w:val="9"/>
    <w:rsid w:val="00311A12"/>
    <w:rPr>
      <w:rFonts w:asciiTheme="majorHAnsi" w:eastAsiaTheme="majorEastAsia" w:hAnsiTheme="majorHAnsi" w:cstheme="majorBidi"/>
      <w:color w:val="365F91" w:themeColor="accent1" w:themeShade="BF"/>
      <w:sz w:val="26"/>
      <w:szCs w:val="26"/>
    </w:rPr>
  </w:style>
  <w:style w:type="paragraph" w:styleId="Normaalweb">
    <w:name w:val="Normal (Web)"/>
    <w:basedOn w:val="Standaard"/>
    <w:uiPriority w:val="99"/>
    <w:semiHidden/>
    <w:unhideWhenUsed/>
    <w:rsid w:val="00373940"/>
    <w:pPr>
      <w:spacing w:before="100" w:beforeAutospacing="1" w:after="100" w:afterAutospacing="1" w:line="240" w:lineRule="auto"/>
    </w:pPr>
    <w:rPr>
      <w:rFonts w:eastAsia="Times New Roman"/>
      <w:lang w:val="nl-BE" w:eastAsia="nl-BE"/>
    </w:rPr>
  </w:style>
  <w:style w:type="character" w:customStyle="1" w:styleId="Onopgelostemelding2">
    <w:name w:val="Onopgeloste melding2"/>
    <w:basedOn w:val="Standaardalinea-lettertype"/>
    <w:uiPriority w:val="99"/>
    <w:semiHidden/>
    <w:unhideWhenUsed/>
    <w:rsid w:val="006C52A7"/>
    <w:rPr>
      <w:color w:val="605E5C"/>
      <w:shd w:val="clear" w:color="auto" w:fill="E1DFDD"/>
    </w:rPr>
  </w:style>
  <w:style w:type="paragraph" w:styleId="Titel">
    <w:name w:val="Title"/>
    <w:basedOn w:val="Standaard"/>
    <w:next w:val="Standaard"/>
    <w:link w:val="TitelChar"/>
    <w:uiPriority w:val="10"/>
    <w:qFormat/>
    <w:rsid w:val="00917994"/>
    <w:pPr>
      <w:spacing w:after="0" w:line="240" w:lineRule="auto"/>
      <w:contextualSpacing/>
    </w:pPr>
    <w:rPr>
      <w:rFonts w:eastAsiaTheme="majorEastAsia"/>
      <w:b/>
      <w:bCs/>
      <w:spacing w:val="-10"/>
      <w:kern w:val="28"/>
      <w:sz w:val="40"/>
      <w:szCs w:val="40"/>
    </w:rPr>
  </w:style>
  <w:style w:type="character" w:customStyle="1" w:styleId="TitelChar">
    <w:name w:val="Titel Char"/>
    <w:basedOn w:val="Standaardalinea-lettertype"/>
    <w:link w:val="Titel"/>
    <w:uiPriority w:val="10"/>
    <w:rsid w:val="00917994"/>
    <w:rPr>
      <w:rFonts w:ascii="Times New Roman" w:eastAsiaTheme="majorEastAsia" w:hAnsi="Times New Roman" w:cs="Times New Roman"/>
      <w:b/>
      <w:bCs/>
      <w:spacing w:val="-10"/>
      <w:kern w:val="28"/>
      <w:sz w:val="40"/>
      <w:szCs w:val="40"/>
    </w:rPr>
  </w:style>
  <w:style w:type="character" w:styleId="Intensievebenadrukking">
    <w:name w:val="Intense Emphasis"/>
    <w:basedOn w:val="Standaardalinea-lettertype"/>
    <w:uiPriority w:val="21"/>
    <w:qFormat/>
    <w:rsid w:val="0029124A"/>
    <w:rPr>
      <w:i/>
      <w:iCs/>
      <w:sz w:val="20"/>
      <w:szCs w:val="20"/>
    </w:rPr>
  </w:style>
  <w:style w:type="character" w:customStyle="1" w:styleId="Kop3Char">
    <w:name w:val="Kop 3 Char"/>
    <w:basedOn w:val="Standaardalinea-lettertype"/>
    <w:link w:val="Kop3"/>
    <w:uiPriority w:val="9"/>
    <w:rsid w:val="00334588"/>
    <w:rPr>
      <w:rFonts w:ascii="Times New Roman" w:hAnsi="Times New Roman" w:cs="Times New Roman"/>
      <w:i/>
      <w:iCs/>
      <w:sz w:val="24"/>
      <w:szCs w:val="24"/>
    </w:rPr>
  </w:style>
  <w:style w:type="character" w:styleId="Subtielebenadrukking">
    <w:name w:val="Subtle Emphasis"/>
    <w:basedOn w:val="Standaardalinea-lettertype"/>
    <w:uiPriority w:val="19"/>
    <w:qFormat/>
    <w:rsid w:val="00220CC0"/>
    <w:rPr>
      <w:i/>
      <w:iCs/>
      <w:color w:val="404040" w:themeColor="text1" w:themeTint="BF"/>
    </w:rPr>
  </w:style>
  <w:style w:type="character" w:customStyle="1" w:styleId="Onopgelostemelding3">
    <w:name w:val="Onopgeloste melding3"/>
    <w:basedOn w:val="Standaardalinea-lettertype"/>
    <w:uiPriority w:val="99"/>
    <w:semiHidden/>
    <w:unhideWhenUsed/>
    <w:rsid w:val="00396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12944">
      <w:bodyDiv w:val="1"/>
      <w:marLeft w:val="0"/>
      <w:marRight w:val="0"/>
      <w:marTop w:val="0"/>
      <w:marBottom w:val="0"/>
      <w:divBdr>
        <w:top w:val="none" w:sz="0" w:space="0" w:color="auto"/>
        <w:left w:val="none" w:sz="0" w:space="0" w:color="auto"/>
        <w:bottom w:val="none" w:sz="0" w:space="0" w:color="auto"/>
        <w:right w:val="none" w:sz="0" w:space="0" w:color="auto"/>
      </w:divBdr>
    </w:div>
    <w:div w:id="1393385272">
      <w:bodyDiv w:val="1"/>
      <w:marLeft w:val="0"/>
      <w:marRight w:val="0"/>
      <w:marTop w:val="0"/>
      <w:marBottom w:val="0"/>
      <w:divBdr>
        <w:top w:val="none" w:sz="0" w:space="0" w:color="auto"/>
        <w:left w:val="none" w:sz="0" w:space="0" w:color="auto"/>
        <w:bottom w:val="none" w:sz="0" w:space="0" w:color="auto"/>
        <w:right w:val="none" w:sz="0" w:space="0" w:color="auto"/>
      </w:divBdr>
      <w:divsChild>
        <w:div w:id="2120097096">
          <w:marLeft w:val="806"/>
          <w:marRight w:val="0"/>
          <w:marTop w:val="0"/>
          <w:marBottom w:val="0"/>
          <w:divBdr>
            <w:top w:val="none" w:sz="0" w:space="0" w:color="auto"/>
            <w:left w:val="none" w:sz="0" w:space="0" w:color="auto"/>
            <w:bottom w:val="none" w:sz="0" w:space="0" w:color="auto"/>
            <w:right w:val="none" w:sz="0" w:space="0" w:color="auto"/>
          </w:divBdr>
        </w:div>
      </w:divsChild>
    </w:div>
    <w:div w:id="17218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h.billet@ugent.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ore.kestens@ugent.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12226-A639-48B5-A039-0701D7934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7299</Words>
  <Characters>40148</Characters>
  <Application>Microsoft Office Word</Application>
  <DocSecurity>0</DocSecurity>
  <Lines>334</Lines>
  <Paragraphs>94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Billet Sarah</dc:creator>
  <cp:lastModifiedBy>Sarah Billet</cp:lastModifiedBy>
  <cp:revision>4</cp:revision>
  <cp:lastPrinted>2024-01-29T08:16:00Z</cp:lastPrinted>
  <dcterms:created xsi:type="dcterms:W3CDTF">2024-04-24T18:54:00Z</dcterms:created>
  <dcterms:modified xsi:type="dcterms:W3CDTF">2024-04-30T17:13:00Z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4aa9e830-aa62-3237-9f62-f0fd8bbcb871</vt:lpwstr>
  </property>
  <property fmtid="{D5CDD505-2E9C-101B-9397-08002B2CF9AE}" pid="24" name="Mendeley Citation Style_1">
    <vt:lpwstr>http://www.zotero.org/styles/vancouver</vt:lpwstr>
  </property>
</Properties>
</file>