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2A9091" w14:textId="258027D3" w:rsidR="00B26A2C" w:rsidRDefault="007F6878" w:rsidP="00FB2697">
      <w:pPr>
        <w:pStyle w:val="Title"/>
        <w:jc w:val="both"/>
      </w:pPr>
      <w:r w:rsidRPr="00DA5AE2">
        <w:t>Tree diversity reduces variability in sapling survival under drought</w:t>
      </w:r>
    </w:p>
    <w:p w14:paraId="5B5F1099" w14:textId="77777777" w:rsidR="000D6E63" w:rsidRDefault="000D6E63" w:rsidP="000D6E63">
      <w:pPr>
        <w:pStyle w:val="Heading1"/>
      </w:pPr>
      <w:r w:rsidRPr="001E7E74">
        <w:t>Authors</w:t>
      </w:r>
    </w:p>
    <w:p w14:paraId="690CB29E" w14:textId="77777777" w:rsidR="000D6E63" w:rsidRDefault="000D6E63" w:rsidP="000D6E63">
      <w:pPr>
        <w:spacing w:line="276" w:lineRule="auto"/>
        <w:rPr>
          <w:vertAlign w:val="superscript"/>
        </w:rPr>
      </w:pPr>
      <w:r w:rsidRPr="00613676">
        <w:t>Haben Blondeel</w:t>
      </w:r>
      <w:r w:rsidRPr="00613676">
        <w:rPr>
          <w:vertAlign w:val="superscript"/>
        </w:rPr>
        <w:t>1</w:t>
      </w:r>
      <w:r w:rsidRPr="00613676">
        <w:t>, Joannès Guillemot</w:t>
      </w:r>
      <w:r w:rsidRPr="00613676">
        <w:rPr>
          <w:vertAlign w:val="superscript"/>
        </w:rPr>
        <w:t>2,3,4</w:t>
      </w:r>
      <w:r w:rsidRPr="00613676">
        <w:t>, Nicolas Martin-StPaul</w:t>
      </w:r>
      <w:r w:rsidRPr="00613676">
        <w:rPr>
          <w:vertAlign w:val="superscript"/>
        </w:rPr>
        <w:t>5</w:t>
      </w:r>
      <w:r w:rsidRPr="00613676">
        <w:t>, Arsène Druel</w:t>
      </w:r>
      <w:r w:rsidRPr="00613676">
        <w:rPr>
          <w:vertAlign w:val="superscript"/>
        </w:rPr>
        <w:t>5</w:t>
      </w:r>
      <w:r w:rsidRPr="00613676">
        <w:t>, Simon Bilodeau-Gauthier</w:t>
      </w:r>
      <w:r w:rsidRPr="0024494C">
        <w:rPr>
          <w:vertAlign w:val="superscript"/>
        </w:rPr>
        <w:t>6</w:t>
      </w:r>
      <w:r w:rsidRPr="00613676">
        <w:t>, Jürgen Bauhus</w:t>
      </w:r>
      <w:r w:rsidRPr="0024494C">
        <w:rPr>
          <w:vertAlign w:val="superscript"/>
        </w:rPr>
        <w:t>7</w:t>
      </w:r>
      <w:r w:rsidRPr="00613676">
        <w:t>, Charlotte Grossiord</w:t>
      </w:r>
      <w:r w:rsidRPr="0024494C">
        <w:rPr>
          <w:vertAlign w:val="superscript"/>
        </w:rPr>
        <w:t>8,9</w:t>
      </w:r>
      <w:r w:rsidRPr="00613676">
        <w:t>, Andrew Hector</w:t>
      </w:r>
      <w:r w:rsidRPr="0024494C">
        <w:rPr>
          <w:vertAlign w:val="superscript"/>
        </w:rPr>
        <w:t>10</w:t>
      </w:r>
      <w:r w:rsidRPr="00613676">
        <w:t>, Hervé Jactel</w:t>
      </w:r>
      <w:r w:rsidRPr="0024494C">
        <w:rPr>
          <w:vertAlign w:val="superscript"/>
        </w:rPr>
        <w:t>11</w:t>
      </w:r>
      <w:r w:rsidRPr="00613676">
        <w:t>, Joel Jensen</w:t>
      </w:r>
      <w:r w:rsidRPr="0024494C">
        <w:rPr>
          <w:vertAlign w:val="superscript"/>
        </w:rPr>
        <w:t>12</w:t>
      </w:r>
      <w:r w:rsidRPr="00613676">
        <w:t>, Christian Messier</w:t>
      </w:r>
      <w:r w:rsidRPr="0024494C">
        <w:rPr>
          <w:vertAlign w:val="superscript"/>
        </w:rPr>
        <w:t>13</w:t>
      </w:r>
      <w:r w:rsidRPr="00613676">
        <w:t>, Bart Muys</w:t>
      </w:r>
      <w:r w:rsidRPr="0024494C">
        <w:rPr>
          <w:vertAlign w:val="superscript"/>
        </w:rPr>
        <w:t>14</w:t>
      </w:r>
      <w:r w:rsidRPr="00613676">
        <w:t>, Hernán Serrano-León</w:t>
      </w:r>
      <w:r w:rsidRPr="0024494C">
        <w:rPr>
          <w:vertAlign w:val="superscript"/>
        </w:rPr>
        <w:t>7</w:t>
      </w:r>
      <w:r w:rsidRPr="00613676">
        <w:t>, Harald Auge</w:t>
      </w:r>
      <w:r w:rsidRPr="0024494C">
        <w:rPr>
          <w:vertAlign w:val="superscript"/>
        </w:rPr>
        <w:t>15,16</w:t>
      </w:r>
      <w:r w:rsidRPr="00613676">
        <w:t>, Nadia Barsoum</w:t>
      </w:r>
      <w:r w:rsidRPr="0024494C">
        <w:rPr>
          <w:vertAlign w:val="superscript"/>
        </w:rPr>
        <w:t>17</w:t>
      </w:r>
      <w:r w:rsidRPr="00613676">
        <w:t>, Emiru Birhane</w:t>
      </w:r>
      <w:r w:rsidRPr="00C8640C">
        <w:rPr>
          <w:vertAlign w:val="superscript"/>
        </w:rPr>
        <w:t>18,19</w:t>
      </w:r>
      <w:r w:rsidRPr="00613676">
        <w:t>, Helge Bruelheide</w:t>
      </w:r>
      <w:r w:rsidRPr="00413BE0">
        <w:rPr>
          <w:vertAlign w:val="superscript"/>
        </w:rPr>
        <w:t>16</w:t>
      </w:r>
      <w:r>
        <w:rPr>
          <w:vertAlign w:val="superscript"/>
        </w:rPr>
        <w:t>,20,</w:t>
      </w:r>
      <w:r w:rsidRPr="00613676">
        <w:t>, Jeannine Cavender-Bares</w:t>
      </w:r>
      <w:r w:rsidRPr="00413BE0">
        <w:rPr>
          <w:vertAlign w:val="superscript"/>
        </w:rPr>
        <w:t>21</w:t>
      </w:r>
      <w:r w:rsidRPr="00613676">
        <w:t>, Chengjin Chu</w:t>
      </w:r>
      <w:r w:rsidRPr="00413BE0">
        <w:rPr>
          <w:vertAlign w:val="superscript"/>
        </w:rPr>
        <w:t>22</w:t>
      </w:r>
      <w:r w:rsidRPr="00613676">
        <w:t>, Jonathan R. Cumming</w:t>
      </w:r>
      <w:r w:rsidRPr="00413BE0">
        <w:rPr>
          <w:vertAlign w:val="superscript"/>
        </w:rPr>
        <w:t>23</w:t>
      </w:r>
      <w:r w:rsidRPr="00613676">
        <w:t>, Abebe Damtew</w:t>
      </w:r>
      <w:r w:rsidRPr="00413BE0">
        <w:rPr>
          <w:vertAlign w:val="superscript"/>
        </w:rPr>
        <w:t>14,18</w:t>
      </w:r>
      <w:r w:rsidRPr="00613676">
        <w:t>, Nico Eisenhauer</w:t>
      </w:r>
      <w:r w:rsidRPr="00413BE0">
        <w:rPr>
          <w:vertAlign w:val="superscript"/>
        </w:rPr>
        <w:t>16</w:t>
      </w:r>
      <w:r w:rsidRPr="00613676">
        <w:t>, Olga Ferlian</w:t>
      </w:r>
      <w:r w:rsidRPr="00413BE0">
        <w:rPr>
          <w:vertAlign w:val="superscript"/>
        </w:rPr>
        <w:t>16</w:t>
      </w:r>
      <w:r w:rsidRPr="00613676">
        <w:t>, Sebastian Fiedler</w:t>
      </w:r>
      <w:r w:rsidRPr="00EC1FA3">
        <w:rPr>
          <w:vertAlign w:val="superscript"/>
        </w:rPr>
        <w:t>24</w:t>
      </w:r>
      <w:r w:rsidRPr="00613676">
        <w:t>, Gislene Ganade</w:t>
      </w:r>
      <w:r w:rsidRPr="00EC1FA3">
        <w:rPr>
          <w:vertAlign w:val="superscript"/>
        </w:rPr>
        <w:t>25</w:t>
      </w:r>
      <w:r w:rsidRPr="00613676">
        <w:t>, Douglas L. Godbold</w:t>
      </w:r>
      <w:r w:rsidRPr="00EC1FA3">
        <w:rPr>
          <w:vertAlign w:val="superscript"/>
        </w:rPr>
        <w:t>26</w:t>
      </w:r>
      <w:r w:rsidRPr="00613676">
        <w:t>, Dominique Grav</w:t>
      </w:r>
      <w:r>
        <w:t>el</w:t>
      </w:r>
      <w:r w:rsidRPr="00EC1FA3">
        <w:rPr>
          <w:vertAlign w:val="superscript"/>
        </w:rPr>
        <w:t>27</w:t>
      </w:r>
      <w:r w:rsidRPr="00613676">
        <w:t>, Jefferson S. Hall</w:t>
      </w:r>
      <w:r w:rsidRPr="00EC1FA3">
        <w:rPr>
          <w:vertAlign w:val="superscript"/>
        </w:rPr>
        <w:t>28</w:t>
      </w:r>
      <w:r w:rsidRPr="00613676">
        <w:t>, Dirk Hölscher</w:t>
      </w:r>
      <w:r w:rsidRPr="00EC1FA3">
        <w:rPr>
          <w:vertAlign w:val="superscript"/>
        </w:rPr>
        <w:t>29</w:t>
      </w:r>
      <w:r w:rsidRPr="00613676">
        <w:t>, Kristin B. Hulvey</w:t>
      </w:r>
      <w:r w:rsidRPr="00EC1FA3">
        <w:rPr>
          <w:vertAlign w:val="superscript"/>
        </w:rPr>
        <w:t>30</w:t>
      </w:r>
      <w:r w:rsidRPr="00613676">
        <w:t>, Julia Koricheva</w:t>
      </w:r>
      <w:r w:rsidRPr="00EC1FA3">
        <w:rPr>
          <w:vertAlign w:val="superscript"/>
        </w:rPr>
        <w:t>31</w:t>
      </w:r>
      <w:r w:rsidRPr="00613676">
        <w:t>, Holger Kreft</w:t>
      </w:r>
      <w:r w:rsidRPr="00EC1FA3">
        <w:rPr>
          <w:vertAlign w:val="superscript"/>
        </w:rPr>
        <w:t>32</w:t>
      </w:r>
      <w:r w:rsidRPr="00613676">
        <w:t>, Cathleen Lapadat</w:t>
      </w:r>
      <w:r w:rsidRPr="00EC1FA3">
        <w:rPr>
          <w:vertAlign w:val="superscript"/>
        </w:rPr>
        <w:t>33</w:t>
      </w:r>
      <w:r w:rsidRPr="00613676">
        <w:t>, Jingjing Liang</w:t>
      </w:r>
      <w:r w:rsidRPr="00EC1FA3">
        <w:rPr>
          <w:vertAlign w:val="superscript"/>
        </w:rPr>
        <w:t>34</w:t>
      </w:r>
      <w:r w:rsidRPr="00613676">
        <w:t>, Xiaojuan Liu</w:t>
      </w:r>
      <w:r w:rsidRPr="00101A63">
        <w:rPr>
          <w:vertAlign w:val="superscript"/>
        </w:rPr>
        <w:t>35</w:t>
      </w:r>
      <w:r w:rsidRPr="00613676">
        <w:t>, Céline Meredieu</w:t>
      </w:r>
      <w:r w:rsidRPr="00101A63">
        <w:rPr>
          <w:vertAlign w:val="superscript"/>
        </w:rPr>
        <w:t>36</w:t>
      </w:r>
      <w:r w:rsidRPr="00613676">
        <w:t>, Simone Mereu</w:t>
      </w:r>
      <w:r w:rsidRPr="00101A63">
        <w:rPr>
          <w:vertAlign w:val="superscript"/>
        </w:rPr>
        <w:t>37</w:t>
      </w:r>
      <w:r w:rsidRPr="00613676">
        <w:t>, Rebecca Montgomery</w:t>
      </w:r>
      <w:r w:rsidRPr="00101A63">
        <w:rPr>
          <w:vertAlign w:val="superscript"/>
        </w:rPr>
        <w:t>38</w:t>
      </w:r>
      <w:r w:rsidRPr="00613676">
        <w:t>, Lourdes Morillas</w:t>
      </w:r>
      <w:r w:rsidRPr="00101A63">
        <w:rPr>
          <w:vertAlign w:val="superscript"/>
        </w:rPr>
        <w:t>39</w:t>
      </w:r>
      <w:r w:rsidRPr="00613676">
        <w:t>, Charles Nock</w:t>
      </w:r>
      <w:r w:rsidRPr="00101A63">
        <w:rPr>
          <w:vertAlign w:val="superscript"/>
        </w:rPr>
        <w:t>40</w:t>
      </w:r>
      <w:r w:rsidRPr="00613676">
        <w:t>, Alain Paquette</w:t>
      </w:r>
      <w:r w:rsidRPr="00101A63">
        <w:rPr>
          <w:vertAlign w:val="superscript"/>
        </w:rPr>
        <w:t>41</w:t>
      </w:r>
      <w:r w:rsidRPr="00613676">
        <w:t>, John D. Parker</w:t>
      </w:r>
      <w:r w:rsidRPr="00101A63">
        <w:rPr>
          <w:vertAlign w:val="superscript"/>
        </w:rPr>
        <w:t>42</w:t>
      </w:r>
      <w:r w:rsidRPr="00613676">
        <w:t>, William C. Parker</w:t>
      </w:r>
      <w:r w:rsidRPr="00101A63">
        <w:rPr>
          <w:vertAlign w:val="superscript"/>
        </w:rPr>
        <w:t>43</w:t>
      </w:r>
      <w:r w:rsidRPr="00613676">
        <w:t>, Gustavo B. Paterno</w:t>
      </w:r>
      <w:r w:rsidRPr="00101A63">
        <w:rPr>
          <w:vertAlign w:val="superscript"/>
        </w:rPr>
        <w:t>32</w:t>
      </w:r>
      <w:r w:rsidRPr="00613676">
        <w:t>, Michael P. Perring</w:t>
      </w:r>
      <w:r w:rsidRPr="00101A63">
        <w:rPr>
          <w:vertAlign w:val="superscript"/>
        </w:rPr>
        <w:t>44</w:t>
      </w:r>
      <w:r w:rsidRPr="00613676">
        <w:t>, Quentin Ponette</w:t>
      </w:r>
      <w:r w:rsidRPr="00101A63">
        <w:rPr>
          <w:vertAlign w:val="superscript"/>
        </w:rPr>
        <w:t>45</w:t>
      </w:r>
      <w:r w:rsidRPr="00613676">
        <w:t>, Catherine Potvin</w:t>
      </w:r>
      <w:r w:rsidRPr="00101A63">
        <w:rPr>
          <w:vertAlign w:val="superscript"/>
        </w:rPr>
        <w:t>46</w:t>
      </w:r>
      <w:r w:rsidRPr="00613676">
        <w:t>, Peter Reich</w:t>
      </w:r>
      <w:r>
        <w:rPr>
          <w:vertAlign w:val="superscript"/>
        </w:rPr>
        <w:t>38,47</w:t>
      </w:r>
      <w:r w:rsidRPr="00613676">
        <w:t>, James Rentch</w:t>
      </w:r>
      <w:r w:rsidRPr="00101A63">
        <w:rPr>
          <w:vertAlign w:val="superscript"/>
        </w:rPr>
        <w:t>48</w:t>
      </w:r>
      <w:r w:rsidRPr="00613676">
        <w:t>, Boris Rewald</w:t>
      </w:r>
      <w:r w:rsidRPr="00101A63">
        <w:rPr>
          <w:vertAlign w:val="superscript"/>
        </w:rPr>
        <w:t>26</w:t>
      </w:r>
      <w:r w:rsidRPr="00613676">
        <w:t>, Hans Sandén</w:t>
      </w:r>
      <w:r w:rsidRPr="00101A63">
        <w:rPr>
          <w:vertAlign w:val="superscript"/>
        </w:rPr>
        <w:t>26</w:t>
      </w:r>
      <w:r w:rsidRPr="00613676">
        <w:t>, Katherine Sinacore</w:t>
      </w:r>
      <w:r w:rsidRPr="00101A63">
        <w:rPr>
          <w:vertAlign w:val="superscript"/>
        </w:rPr>
        <w:t>49</w:t>
      </w:r>
      <w:r w:rsidRPr="00613676">
        <w:t>, Rachel J. Standish</w:t>
      </w:r>
      <w:r w:rsidRPr="00F55477">
        <w:rPr>
          <w:vertAlign w:val="superscript"/>
        </w:rPr>
        <w:t>50</w:t>
      </w:r>
      <w:r w:rsidRPr="00613676">
        <w:t>, Artur Stefanski</w:t>
      </w:r>
      <w:r w:rsidRPr="00F55477">
        <w:rPr>
          <w:vertAlign w:val="superscript"/>
        </w:rPr>
        <w:t>51</w:t>
      </w:r>
      <w:r w:rsidRPr="00613676">
        <w:t>, Patrick C. Tobin</w:t>
      </w:r>
      <w:r w:rsidRPr="00F55477">
        <w:rPr>
          <w:vertAlign w:val="superscript"/>
        </w:rPr>
        <w:t>52</w:t>
      </w:r>
      <w:r w:rsidRPr="00613676">
        <w:t>, Michiel van Breugel</w:t>
      </w:r>
      <w:r w:rsidRPr="00F55477">
        <w:rPr>
          <w:vertAlign w:val="superscript"/>
        </w:rPr>
        <w:t>53</w:t>
      </w:r>
      <w:r w:rsidRPr="00613676">
        <w:t>, Marina Vergara Fagundes</w:t>
      </w:r>
      <w:r w:rsidRPr="00F55477">
        <w:rPr>
          <w:vertAlign w:val="superscript"/>
        </w:rPr>
        <w:t>25</w:t>
      </w:r>
      <w:r w:rsidRPr="00613676">
        <w:t>, Martin Weih</w:t>
      </w:r>
      <w:r w:rsidRPr="00F55477">
        <w:rPr>
          <w:vertAlign w:val="superscript"/>
        </w:rPr>
        <w:t>54</w:t>
      </w:r>
      <w:r w:rsidRPr="00613676">
        <w:t>, Laura J. Williams</w:t>
      </w:r>
      <w:r w:rsidRPr="00F55477">
        <w:rPr>
          <w:vertAlign w:val="superscript"/>
        </w:rPr>
        <w:t>5</w:t>
      </w:r>
      <w:r>
        <w:rPr>
          <w:vertAlign w:val="superscript"/>
        </w:rPr>
        <w:t>1</w:t>
      </w:r>
      <w:r w:rsidRPr="00F55477">
        <w:rPr>
          <w:vertAlign w:val="superscript"/>
        </w:rPr>
        <w:t>,5</w:t>
      </w:r>
      <w:r>
        <w:rPr>
          <w:vertAlign w:val="superscript"/>
        </w:rPr>
        <w:t>5</w:t>
      </w:r>
      <w:r w:rsidRPr="00613676">
        <w:t>, Mo Zhou</w:t>
      </w:r>
      <w:r w:rsidRPr="00060C1C">
        <w:rPr>
          <w:vertAlign w:val="superscript"/>
        </w:rPr>
        <w:t>56</w:t>
      </w:r>
      <w:r w:rsidRPr="00613676">
        <w:t>, Michael Scherer-Lorenzen</w:t>
      </w:r>
      <w:r w:rsidRPr="00060C1C">
        <w:rPr>
          <w:vertAlign w:val="superscript"/>
        </w:rPr>
        <w:t>57</w:t>
      </w:r>
      <w:r w:rsidRPr="00613676">
        <w:t>, Kris Verheyen</w:t>
      </w:r>
      <w:r>
        <w:rPr>
          <w:vertAlign w:val="superscript"/>
        </w:rPr>
        <w:t>1</w:t>
      </w:r>
      <w:r w:rsidRPr="00613676">
        <w:t>, Lander Baeten</w:t>
      </w:r>
      <w:r>
        <w:rPr>
          <w:vertAlign w:val="superscript"/>
        </w:rPr>
        <w:t>1</w:t>
      </w:r>
    </w:p>
    <w:p w14:paraId="272D4CF6" w14:textId="77777777" w:rsidR="000D6E63" w:rsidRPr="0053551D" w:rsidRDefault="000D6E63" w:rsidP="000D6E63">
      <w:pPr>
        <w:pStyle w:val="Heading1"/>
      </w:pPr>
      <w:r w:rsidRPr="001E7E74">
        <w:t>A</w:t>
      </w:r>
      <w:r>
        <w:t>ddresses</w:t>
      </w:r>
    </w:p>
    <w:p w14:paraId="0FEE52FC" w14:textId="77777777" w:rsidR="000D6E63" w:rsidRPr="00EA5D7D" w:rsidRDefault="000D6E63" w:rsidP="000D6E63">
      <w:pPr>
        <w:spacing w:after="100" w:afterAutospacing="1" w:line="240" w:lineRule="auto"/>
        <w:jc w:val="both"/>
        <w:rPr>
          <w:sz w:val="18"/>
          <w:szCs w:val="18"/>
        </w:rPr>
      </w:pPr>
      <w:r w:rsidRPr="00EA5D7D">
        <w:rPr>
          <w:sz w:val="18"/>
          <w:szCs w:val="18"/>
          <w:vertAlign w:val="superscript"/>
        </w:rPr>
        <w:t>1</w:t>
      </w:r>
      <w:r w:rsidRPr="00EA5D7D">
        <w:rPr>
          <w:sz w:val="18"/>
          <w:szCs w:val="18"/>
        </w:rPr>
        <w:t xml:space="preserve">Ghent University, Department Environment, Forest &amp; Nature Lab , Campus Gontrode, Geraardsbergsesteenweg 267, B-9090 Melle-Gontrode, Belgium; </w:t>
      </w:r>
      <w:r w:rsidRPr="00EA5D7D">
        <w:rPr>
          <w:sz w:val="18"/>
          <w:szCs w:val="18"/>
          <w:vertAlign w:val="superscript"/>
        </w:rPr>
        <w:t>2</w:t>
      </w:r>
      <w:r w:rsidRPr="00EA5D7D">
        <w:rPr>
          <w:sz w:val="18"/>
          <w:szCs w:val="18"/>
        </w:rPr>
        <w:t xml:space="preserve">CIRAD, UMR Eco&amp;Sols, Montpellier, France; </w:t>
      </w:r>
      <w:r w:rsidRPr="00EA5D7D">
        <w:rPr>
          <w:sz w:val="18"/>
          <w:szCs w:val="18"/>
          <w:vertAlign w:val="superscript"/>
        </w:rPr>
        <w:t>3</w:t>
      </w:r>
      <w:r w:rsidRPr="00EA5D7D">
        <w:rPr>
          <w:sz w:val="18"/>
          <w:szCs w:val="18"/>
        </w:rPr>
        <w:t xml:space="preserve">Eco&amp;Sols, Univ Montpellier, CIRAD, INRAE, Institut Agro, IRD, Montpellier, France; </w:t>
      </w:r>
      <w:r w:rsidRPr="00EA5D7D">
        <w:rPr>
          <w:sz w:val="18"/>
          <w:szCs w:val="18"/>
          <w:vertAlign w:val="superscript"/>
        </w:rPr>
        <w:t>4</w:t>
      </w:r>
      <w:r w:rsidRPr="00EA5D7D">
        <w:rPr>
          <w:sz w:val="18"/>
          <w:szCs w:val="18"/>
        </w:rPr>
        <w:t xml:space="preserve">University of São Paulo/ESALQ, Forest Science Department, Piracicaba, Brazil; </w:t>
      </w:r>
      <w:r w:rsidRPr="00EA5D7D">
        <w:rPr>
          <w:sz w:val="18"/>
          <w:szCs w:val="18"/>
          <w:vertAlign w:val="superscript"/>
        </w:rPr>
        <w:t>5</w:t>
      </w:r>
      <w:r w:rsidRPr="00EA5D7D">
        <w:rPr>
          <w:sz w:val="18"/>
          <w:szCs w:val="18"/>
        </w:rPr>
        <w:t xml:space="preserve">Ecologie des Forêts Méditerranéennes (URFM), INRAe, Avignon 84914, France; </w:t>
      </w:r>
      <w:r w:rsidRPr="00EA5D7D">
        <w:rPr>
          <w:sz w:val="18"/>
          <w:szCs w:val="18"/>
          <w:vertAlign w:val="superscript"/>
        </w:rPr>
        <w:t>6</w:t>
      </w:r>
      <w:r w:rsidRPr="00EA5D7D">
        <w:rPr>
          <w:sz w:val="18"/>
          <w:szCs w:val="18"/>
        </w:rPr>
        <w:t xml:space="preserve">Direction de la recherche forestière, Ministère des Ressources naturelles et des Forêts, 2700 rue Einstein, G1P 3W8, Québec, QC, Canada; </w:t>
      </w:r>
      <w:r w:rsidRPr="00EA5D7D">
        <w:rPr>
          <w:sz w:val="18"/>
          <w:szCs w:val="18"/>
          <w:vertAlign w:val="superscript"/>
        </w:rPr>
        <w:t>7</w:t>
      </w:r>
      <w:r w:rsidRPr="00EA5D7D">
        <w:rPr>
          <w:sz w:val="18"/>
          <w:szCs w:val="18"/>
        </w:rPr>
        <w:t xml:space="preserve">Chair of Silviculture, Faculty of Environment and Natural Resources, University of Freiburg, Tennenbacherstrasse 4, 79106, Freiburg, Germany; </w:t>
      </w:r>
      <w:r w:rsidRPr="00EA5D7D">
        <w:rPr>
          <w:sz w:val="18"/>
          <w:szCs w:val="18"/>
          <w:vertAlign w:val="superscript"/>
        </w:rPr>
        <w:t>8</w:t>
      </w:r>
      <w:r w:rsidRPr="00EA5D7D">
        <w:rPr>
          <w:sz w:val="18"/>
          <w:szCs w:val="18"/>
        </w:rPr>
        <w:t>Plant Ecology Research Laboratory - PERL, Ecole polytechnique fédérale de Lausanne (EPFL)</w:t>
      </w:r>
      <w:r>
        <w:rPr>
          <w:sz w:val="18"/>
          <w:szCs w:val="18"/>
        </w:rPr>
        <w:t xml:space="preserve">; </w:t>
      </w:r>
      <w:r w:rsidRPr="00EA5D7D">
        <w:rPr>
          <w:sz w:val="18"/>
          <w:szCs w:val="18"/>
          <w:vertAlign w:val="superscript"/>
        </w:rPr>
        <w:t>9</w:t>
      </w:r>
      <w:r w:rsidRPr="00EA5D7D">
        <w:rPr>
          <w:sz w:val="18"/>
          <w:szCs w:val="18"/>
        </w:rPr>
        <w:t xml:space="preserve">Institut fédéral de recherches WSL, Site Lausanne, Station 2, CH - 1015 Lausanne (Switzerland); </w:t>
      </w:r>
      <w:r w:rsidRPr="00EA5D7D">
        <w:rPr>
          <w:sz w:val="18"/>
          <w:szCs w:val="18"/>
          <w:vertAlign w:val="superscript"/>
        </w:rPr>
        <w:t>10</w:t>
      </w:r>
      <w:r w:rsidRPr="00EA5D7D">
        <w:rPr>
          <w:sz w:val="18"/>
          <w:szCs w:val="18"/>
        </w:rPr>
        <w:t xml:space="preserve">Dept. of Biology, University of Oxford, OX1 3RB, UK; </w:t>
      </w:r>
      <w:r w:rsidRPr="00EA5D7D">
        <w:rPr>
          <w:sz w:val="18"/>
          <w:szCs w:val="18"/>
          <w:vertAlign w:val="superscript"/>
        </w:rPr>
        <w:t>11</w:t>
      </w:r>
      <w:r w:rsidRPr="00EA5D7D">
        <w:rPr>
          <w:sz w:val="18"/>
          <w:szCs w:val="18"/>
        </w:rPr>
        <w:t xml:space="preserve">INRAE, University of Bordeaux, umr BIOGECO, 33612, Cestas, France; </w:t>
      </w:r>
      <w:r w:rsidRPr="00EA5D7D">
        <w:rPr>
          <w:sz w:val="18"/>
          <w:szCs w:val="18"/>
          <w:vertAlign w:val="superscript"/>
        </w:rPr>
        <w:t>12</w:t>
      </w:r>
      <w:r w:rsidRPr="00EA5D7D">
        <w:rPr>
          <w:sz w:val="18"/>
          <w:szCs w:val="18"/>
        </w:rPr>
        <w:t xml:space="preserve">Department of Crop Production Ecology, Swedish University of Agricultural Sciences, Ulls väg 16, 756 51, Uppsala, Sweden; </w:t>
      </w:r>
      <w:r w:rsidRPr="00EA5D7D">
        <w:rPr>
          <w:sz w:val="18"/>
          <w:szCs w:val="18"/>
          <w:vertAlign w:val="superscript"/>
        </w:rPr>
        <w:t>13</w:t>
      </w:r>
      <w:r w:rsidRPr="00EA5D7D">
        <w:rPr>
          <w:sz w:val="18"/>
          <w:szCs w:val="18"/>
        </w:rPr>
        <w:t xml:space="preserve">Département des sciences biologiques, 141 Avenue du Président-Kennedy, 52X 1Y4, Montréal, Canada; </w:t>
      </w:r>
      <w:r w:rsidRPr="00C55466">
        <w:rPr>
          <w:sz w:val="18"/>
          <w:szCs w:val="18"/>
          <w:vertAlign w:val="superscript"/>
        </w:rPr>
        <w:t>14</w:t>
      </w:r>
      <w:r w:rsidRPr="00EA5D7D">
        <w:rPr>
          <w:sz w:val="18"/>
          <w:szCs w:val="18"/>
        </w:rPr>
        <w:t xml:space="preserve">KU Leuven, Department Forest, Nature and Landscape, Celestijnenlaan 200e - box2411, 3001 Leuven, Belgium; </w:t>
      </w:r>
      <w:r w:rsidRPr="00C55466">
        <w:rPr>
          <w:sz w:val="18"/>
          <w:szCs w:val="18"/>
          <w:vertAlign w:val="superscript"/>
        </w:rPr>
        <w:t>15</w:t>
      </w:r>
      <w:r w:rsidRPr="00EA5D7D">
        <w:rPr>
          <w:sz w:val="18"/>
          <w:szCs w:val="18"/>
        </w:rPr>
        <w:t>Helmholtz Centre for Environmental Research - UFZ,  Department of Community Ecology, Theodor-Lieser-Straße 4, 06120 Halle, Germany</w:t>
      </w:r>
      <w:r>
        <w:rPr>
          <w:sz w:val="18"/>
          <w:szCs w:val="18"/>
        </w:rPr>
        <w:t xml:space="preserve">; </w:t>
      </w:r>
      <w:r w:rsidRPr="00C55466">
        <w:rPr>
          <w:sz w:val="18"/>
          <w:szCs w:val="18"/>
          <w:vertAlign w:val="superscript"/>
        </w:rPr>
        <w:t>16</w:t>
      </w:r>
      <w:r w:rsidRPr="00EA5D7D">
        <w:rPr>
          <w:sz w:val="18"/>
          <w:szCs w:val="18"/>
        </w:rPr>
        <w:t xml:space="preserve">German Centre for Integrative Biodiversity Research (iDiv) Halle-Jena-Leipzig, Puschstraße 4, 04103 Leipzig, Germany; </w:t>
      </w:r>
      <w:r w:rsidRPr="00C55466">
        <w:rPr>
          <w:sz w:val="18"/>
          <w:szCs w:val="18"/>
          <w:vertAlign w:val="superscript"/>
        </w:rPr>
        <w:t>17</w:t>
      </w:r>
      <w:r w:rsidRPr="00EA5D7D">
        <w:rPr>
          <w:sz w:val="18"/>
          <w:szCs w:val="18"/>
        </w:rPr>
        <w:t xml:space="preserve">Centre for Ecosystems, Society and Biosecurity, Forest Research Alice Holt Lodge Farnham, Surrey GU10 4LH, UK; </w:t>
      </w:r>
      <w:r w:rsidRPr="00C55466">
        <w:rPr>
          <w:sz w:val="18"/>
          <w:szCs w:val="18"/>
          <w:vertAlign w:val="superscript"/>
        </w:rPr>
        <w:t>18</w:t>
      </w:r>
      <w:r w:rsidRPr="00EA5D7D">
        <w:rPr>
          <w:sz w:val="18"/>
          <w:szCs w:val="18"/>
        </w:rPr>
        <w:t>Department of Land Resource Management and Environmental Protection, Mekelle University, P.O.Box 231, Mekelle, Ethiopia</w:t>
      </w:r>
      <w:r>
        <w:rPr>
          <w:sz w:val="18"/>
          <w:szCs w:val="18"/>
        </w:rPr>
        <w:t>;</w:t>
      </w:r>
      <w:r w:rsidRPr="00C55466">
        <w:rPr>
          <w:sz w:val="18"/>
          <w:szCs w:val="18"/>
          <w:vertAlign w:val="superscript"/>
        </w:rPr>
        <w:t xml:space="preserve"> 19</w:t>
      </w:r>
      <w:r w:rsidRPr="00EA5D7D">
        <w:rPr>
          <w:sz w:val="18"/>
          <w:szCs w:val="18"/>
        </w:rPr>
        <w:t xml:space="preserve">Faculty of Environmental Sciences and Natural Resource Management, Norwegian University of Life Sciences (NMBU), Ås, Norway; </w:t>
      </w:r>
      <w:r w:rsidRPr="00C55466">
        <w:rPr>
          <w:sz w:val="18"/>
          <w:szCs w:val="18"/>
          <w:vertAlign w:val="superscript"/>
        </w:rPr>
        <w:t>20</w:t>
      </w:r>
      <w:r w:rsidRPr="00EA5D7D">
        <w:rPr>
          <w:sz w:val="18"/>
          <w:szCs w:val="18"/>
        </w:rPr>
        <w:t>Institute of Biology/Geobotany and Botanical Garden, Martin Luther University Halle-Wittenberg, Am Kirchtor 1, 06108 Halle</w:t>
      </w:r>
      <w:r>
        <w:rPr>
          <w:sz w:val="18"/>
          <w:szCs w:val="18"/>
        </w:rPr>
        <w:t>, Germany;</w:t>
      </w:r>
      <w:r w:rsidRPr="00EA5D7D">
        <w:rPr>
          <w:sz w:val="18"/>
          <w:szCs w:val="18"/>
        </w:rPr>
        <w:t xml:space="preserve"> </w:t>
      </w:r>
      <w:r w:rsidRPr="00106269">
        <w:rPr>
          <w:sz w:val="18"/>
          <w:szCs w:val="18"/>
          <w:vertAlign w:val="superscript"/>
        </w:rPr>
        <w:t>21</w:t>
      </w:r>
      <w:r w:rsidRPr="00EA5D7D">
        <w:rPr>
          <w:sz w:val="18"/>
          <w:szCs w:val="18"/>
        </w:rPr>
        <w:t>Department of Ecology, Evolution and Behavior, University of Minnesota</w:t>
      </w:r>
      <w:r>
        <w:rPr>
          <w:sz w:val="18"/>
          <w:szCs w:val="18"/>
        </w:rPr>
        <w:t>, USA</w:t>
      </w:r>
      <w:r w:rsidRPr="00EA5D7D">
        <w:rPr>
          <w:sz w:val="18"/>
          <w:szCs w:val="18"/>
        </w:rPr>
        <w:t xml:space="preserve">; </w:t>
      </w:r>
      <w:r w:rsidRPr="00106269">
        <w:rPr>
          <w:sz w:val="18"/>
          <w:szCs w:val="18"/>
          <w:vertAlign w:val="superscript"/>
        </w:rPr>
        <w:t>22</w:t>
      </w:r>
      <w:r w:rsidRPr="00EA5D7D">
        <w:rPr>
          <w:sz w:val="18"/>
          <w:szCs w:val="18"/>
        </w:rPr>
        <w:t xml:space="preserve">State Key Laboratory of Biocontrol, School of Ecology, Sun Yat-sen University, 510275 Guangzhou, China; </w:t>
      </w:r>
      <w:r w:rsidRPr="00765174">
        <w:rPr>
          <w:sz w:val="18"/>
          <w:szCs w:val="18"/>
          <w:vertAlign w:val="superscript"/>
        </w:rPr>
        <w:t>23</w:t>
      </w:r>
      <w:r w:rsidRPr="00EA5D7D">
        <w:rPr>
          <w:sz w:val="18"/>
          <w:szCs w:val="18"/>
        </w:rPr>
        <w:t>Department of Natural Sciences, University of Maryland Eastern Shore, Princess Anne, MD 21853</w:t>
      </w:r>
      <w:r>
        <w:rPr>
          <w:sz w:val="18"/>
          <w:szCs w:val="18"/>
        </w:rPr>
        <w:t>, USA</w:t>
      </w:r>
      <w:r w:rsidRPr="00EA5D7D">
        <w:rPr>
          <w:sz w:val="18"/>
          <w:szCs w:val="18"/>
        </w:rPr>
        <w:t xml:space="preserve">; </w:t>
      </w:r>
      <w:r w:rsidRPr="004C5293">
        <w:rPr>
          <w:sz w:val="18"/>
          <w:szCs w:val="18"/>
          <w:vertAlign w:val="superscript"/>
        </w:rPr>
        <w:t>24</w:t>
      </w:r>
      <w:r w:rsidRPr="00EA5D7D">
        <w:rPr>
          <w:sz w:val="18"/>
          <w:szCs w:val="18"/>
        </w:rPr>
        <w:t xml:space="preserve">Department of Ecosystem Modeling, University of Göttingen, Büsgenweg 4, 37077 Göttingen, Germany; </w:t>
      </w:r>
      <w:r w:rsidRPr="004C5293">
        <w:rPr>
          <w:sz w:val="18"/>
          <w:szCs w:val="18"/>
          <w:vertAlign w:val="superscript"/>
        </w:rPr>
        <w:t>25</w:t>
      </w:r>
      <w:r w:rsidRPr="00EA5D7D">
        <w:rPr>
          <w:sz w:val="18"/>
          <w:szCs w:val="18"/>
        </w:rPr>
        <w:t xml:space="preserve">DECOL, Centro de Biociências, Universidade Federal do Rio Grande do Norte (UFRN), Lagoa Nova, Natal, RN, CEP: 59072970, Brazil; </w:t>
      </w:r>
      <w:r w:rsidRPr="00D201FD">
        <w:rPr>
          <w:sz w:val="18"/>
          <w:szCs w:val="18"/>
          <w:vertAlign w:val="superscript"/>
        </w:rPr>
        <w:t>26</w:t>
      </w:r>
      <w:r w:rsidRPr="00EA5D7D">
        <w:rPr>
          <w:sz w:val="18"/>
          <w:szCs w:val="18"/>
        </w:rPr>
        <w:t xml:space="preserve">Institute of Forest Ecology, Department of Forest and Soil Sciences, University of Natural Resources and Life Sciences (BOKU), Peter-Jordan-Straße 82, 1190 Vienna, Austria; </w:t>
      </w:r>
      <w:r w:rsidRPr="00D201FD">
        <w:rPr>
          <w:sz w:val="18"/>
          <w:szCs w:val="18"/>
          <w:vertAlign w:val="superscript"/>
        </w:rPr>
        <w:t>27</w:t>
      </w:r>
      <w:r w:rsidRPr="00EA5D7D">
        <w:rPr>
          <w:sz w:val="18"/>
          <w:szCs w:val="18"/>
        </w:rPr>
        <w:t xml:space="preserve">Département de biologie, Faculté des sciences, Université de Sherbrooke, 2500 Boulevard Université, Sherbrooke, Qc., J1K 2R1, Canada; </w:t>
      </w:r>
      <w:r w:rsidRPr="00D201FD">
        <w:rPr>
          <w:sz w:val="18"/>
          <w:szCs w:val="18"/>
          <w:vertAlign w:val="superscript"/>
        </w:rPr>
        <w:t>28</w:t>
      </w:r>
      <w:r w:rsidRPr="00EA5D7D">
        <w:rPr>
          <w:sz w:val="18"/>
          <w:szCs w:val="18"/>
        </w:rPr>
        <w:t xml:space="preserve">Forest GEO, Smithsonian Tropical Research Institute, Av. Roosevelt 401, Balboa, Ancón, Panama City 0843-03092, Panama; </w:t>
      </w:r>
      <w:r w:rsidRPr="00D201FD">
        <w:rPr>
          <w:sz w:val="18"/>
          <w:szCs w:val="18"/>
          <w:vertAlign w:val="superscript"/>
        </w:rPr>
        <w:t>29</w:t>
      </w:r>
      <w:r w:rsidRPr="00EA5D7D">
        <w:rPr>
          <w:sz w:val="18"/>
          <w:szCs w:val="18"/>
        </w:rPr>
        <w:t xml:space="preserve">Tropical Silviculture and Forest Ecology, University of Göttingen, Büsgenweg 1, 37077 Göttingen, Germany; </w:t>
      </w:r>
      <w:r w:rsidRPr="00941D06">
        <w:rPr>
          <w:sz w:val="18"/>
          <w:szCs w:val="18"/>
          <w:vertAlign w:val="superscript"/>
        </w:rPr>
        <w:t>30</w:t>
      </w:r>
      <w:r w:rsidRPr="00EA5D7D">
        <w:rPr>
          <w:sz w:val="18"/>
          <w:szCs w:val="18"/>
        </w:rPr>
        <w:t xml:space="preserve">Working Lands Conservation, 1460 E 1220 N, Logan, Utah, 84341, USA; </w:t>
      </w:r>
      <w:r w:rsidRPr="00941D06">
        <w:rPr>
          <w:sz w:val="18"/>
          <w:szCs w:val="18"/>
          <w:vertAlign w:val="superscript"/>
        </w:rPr>
        <w:t>31</w:t>
      </w:r>
      <w:r w:rsidRPr="00EA5D7D">
        <w:rPr>
          <w:sz w:val="18"/>
          <w:szCs w:val="18"/>
        </w:rPr>
        <w:t xml:space="preserve">Department of Biological Sciences, Royal Holloway University of London, Egham, Surrey TW20 0EX, UK; </w:t>
      </w:r>
      <w:r w:rsidRPr="00941D06">
        <w:rPr>
          <w:sz w:val="18"/>
          <w:szCs w:val="18"/>
          <w:vertAlign w:val="superscript"/>
        </w:rPr>
        <w:t>32</w:t>
      </w:r>
      <w:r w:rsidRPr="00EA5D7D">
        <w:rPr>
          <w:sz w:val="18"/>
          <w:szCs w:val="18"/>
        </w:rPr>
        <w:t xml:space="preserve">Biodiversity, Macroecology &amp; Biogeography, Georg-August-University of Göttingen, Büsgenweg 1, 37077 Göttingen, Germany; </w:t>
      </w:r>
      <w:r w:rsidRPr="00941D06">
        <w:rPr>
          <w:sz w:val="18"/>
          <w:szCs w:val="18"/>
          <w:vertAlign w:val="superscript"/>
        </w:rPr>
        <w:t>33</w:t>
      </w:r>
      <w:r w:rsidRPr="00EA5D7D">
        <w:rPr>
          <w:sz w:val="18"/>
          <w:szCs w:val="18"/>
        </w:rPr>
        <w:t xml:space="preserve">Department of Ecology, Evolution and Behavior, University of Minnesota, 1987 Upper Buford Cir, St. Paul, MN, 55108, USA; </w:t>
      </w:r>
      <w:r w:rsidRPr="009A05BA">
        <w:rPr>
          <w:sz w:val="18"/>
          <w:szCs w:val="18"/>
          <w:vertAlign w:val="superscript"/>
        </w:rPr>
        <w:t>34</w:t>
      </w:r>
      <w:r w:rsidRPr="00EA5D7D">
        <w:rPr>
          <w:sz w:val="18"/>
          <w:szCs w:val="18"/>
        </w:rPr>
        <w:t xml:space="preserve">Department of Forestry and Natural Resources, Purdue University, West Lafayette, IN 47906. USA; </w:t>
      </w:r>
      <w:r w:rsidRPr="009A05BA">
        <w:rPr>
          <w:sz w:val="18"/>
          <w:szCs w:val="18"/>
          <w:vertAlign w:val="superscript"/>
        </w:rPr>
        <w:t>35</w:t>
      </w:r>
      <w:r w:rsidRPr="00EA5D7D">
        <w:rPr>
          <w:sz w:val="18"/>
          <w:szCs w:val="18"/>
        </w:rPr>
        <w:t xml:space="preserve">Institute </w:t>
      </w:r>
      <w:r w:rsidRPr="00EA5D7D">
        <w:rPr>
          <w:sz w:val="18"/>
          <w:szCs w:val="18"/>
        </w:rPr>
        <w:lastRenderedPageBreak/>
        <w:t xml:space="preserve">of Botany, CAS, 20 Nanxincun, Xiangshan, Beijing, 100093, China; </w:t>
      </w:r>
      <w:r w:rsidRPr="009A05BA">
        <w:rPr>
          <w:sz w:val="18"/>
          <w:szCs w:val="18"/>
          <w:vertAlign w:val="superscript"/>
        </w:rPr>
        <w:t>36</w:t>
      </w:r>
      <w:r w:rsidRPr="00EA5D7D">
        <w:rPr>
          <w:sz w:val="18"/>
          <w:szCs w:val="18"/>
        </w:rPr>
        <w:t xml:space="preserve">INRAE, Biogeco, 33610 Cestas, France; </w:t>
      </w:r>
      <w:r w:rsidRPr="009A05BA">
        <w:rPr>
          <w:sz w:val="18"/>
          <w:szCs w:val="18"/>
          <w:vertAlign w:val="superscript"/>
        </w:rPr>
        <w:t>37</w:t>
      </w:r>
      <w:r w:rsidRPr="00EA5D7D">
        <w:rPr>
          <w:sz w:val="18"/>
          <w:szCs w:val="18"/>
        </w:rPr>
        <w:t xml:space="preserve">National Research Council-Insititute of Bioeconomy (CNR-IBE), Traversa la Crucca 3, 07100, Sassari, Italy; </w:t>
      </w:r>
      <w:r w:rsidRPr="009A05BA">
        <w:rPr>
          <w:sz w:val="18"/>
          <w:szCs w:val="18"/>
          <w:vertAlign w:val="superscript"/>
        </w:rPr>
        <w:t>38</w:t>
      </w:r>
      <w:r w:rsidRPr="00EA5D7D">
        <w:rPr>
          <w:sz w:val="18"/>
          <w:szCs w:val="18"/>
        </w:rPr>
        <w:t xml:space="preserve">Department of Forest Resources, University of Minnesota, 1530 Cleveland Ave., St. Paul, MN 55108, USA; </w:t>
      </w:r>
      <w:r w:rsidRPr="009A05BA">
        <w:rPr>
          <w:sz w:val="18"/>
          <w:szCs w:val="18"/>
          <w:vertAlign w:val="superscript"/>
        </w:rPr>
        <w:t>39</w:t>
      </w:r>
      <w:r w:rsidRPr="00EA5D7D">
        <w:rPr>
          <w:sz w:val="18"/>
          <w:szCs w:val="18"/>
        </w:rPr>
        <w:t xml:space="preserve">Department of Plant Biology and Ecology, University of Seville, 6 Reina Mercedes Avenue, Seville, 41012, Spain; </w:t>
      </w:r>
      <w:r w:rsidRPr="009A05BA">
        <w:rPr>
          <w:sz w:val="18"/>
          <w:szCs w:val="18"/>
          <w:vertAlign w:val="superscript"/>
        </w:rPr>
        <w:t>40</w:t>
      </w:r>
      <w:r w:rsidRPr="00EA5D7D">
        <w:rPr>
          <w:sz w:val="18"/>
          <w:szCs w:val="18"/>
        </w:rPr>
        <w:t xml:space="preserve">Department of Renewable Resources, Faculty of Agricultural, Life and Environmental Sciences, Earth Sciences Building, Room 430-A, University of Alberta, Edmonton, Alberta, Canada; </w:t>
      </w:r>
      <w:r w:rsidRPr="009A05BA">
        <w:rPr>
          <w:sz w:val="18"/>
          <w:szCs w:val="18"/>
          <w:vertAlign w:val="superscript"/>
        </w:rPr>
        <w:t>41</w:t>
      </w:r>
      <w:r w:rsidRPr="00EA5D7D">
        <w:rPr>
          <w:sz w:val="18"/>
          <w:szCs w:val="18"/>
        </w:rPr>
        <w:t xml:space="preserve">Centre for Forest Research and Département des sciences biologiques, Université du Québec à Montréal, CP 8888, Succursale Centre-ville, H3C 3P8, Montréal, Qc, Canada; </w:t>
      </w:r>
      <w:r w:rsidRPr="00A933A3">
        <w:rPr>
          <w:sz w:val="18"/>
          <w:szCs w:val="18"/>
          <w:vertAlign w:val="superscript"/>
        </w:rPr>
        <w:t>42</w:t>
      </w:r>
      <w:r w:rsidRPr="00EA5D7D">
        <w:rPr>
          <w:sz w:val="18"/>
          <w:szCs w:val="18"/>
        </w:rPr>
        <w:t xml:space="preserve">Smithsonian Environmental Research Center, 647 Contees Wharf Road, Edgewater,MD 21037, USA; </w:t>
      </w:r>
      <w:r w:rsidRPr="00A933A3">
        <w:rPr>
          <w:sz w:val="18"/>
          <w:szCs w:val="18"/>
          <w:vertAlign w:val="superscript"/>
        </w:rPr>
        <w:t>43</w:t>
      </w:r>
      <w:r w:rsidRPr="00EA5D7D">
        <w:rPr>
          <w:sz w:val="18"/>
          <w:szCs w:val="18"/>
        </w:rPr>
        <w:t xml:space="preserve">Ontario Forest Research Institute, 1235 Queen St. E, Sault Ste. Marie, ON, P6A 2E5, Canada; </w:t>
      </w:r>
      <w:r w:rsidRPr="00A933A3">
        <w:rPr>
          <w:sz w:val="18"/>
          <w:szCs w:val="18"/>
          <w:vertAlign w:val="superscript"/>
        </w:rPr>
        <w:t>44</w:t>
      </w:r>
      <w:r w:rsidRPr="00EA5D7D">
        <w:rPr>
          <w:sz w:val="18"/>
          <w:szCs w:val="18"/>
        </w:rPr>
        <w:t xml:space="preserve">UK Centre for Ecology &amp; Hydrology, Environment Centre Wales, Deiniol Road, Bangor, Gwynedd, LL57 2UW, UK; </w:t>
      </w:r>
      <w:r w:rsidRPr="00A933A3">
        <w:rPr>
          <w:sz w:val="18"/>
          <w:szCs w:val="18"/>
          <w:vertAlign w:val="superscript"/>
        </w:rPr>
        <w:t>45</w:t>
      </w:r>
      <w:r w:rsidRPr="00EA5D7D">
        <w:rPr>
          <w:sz w:val="18"/>
          <w:szCs w:val="18"/>
        </w:rPr>
        <w:t xml:space="preserve">Environmental Sciences, Earth and Life Institute, Université catholique de Louvain, Croix du Sud 2 box L7.05.24, 1348 Louvain-la-Neuve, Belgium; </w:t>
      </w:r>
      <w:r w:rsidRPr="00A933A3">
        <w:rPr>
          <w:sz w:val="18"/>
          <w:szCs w:val="18"/>
          <w:vertAlign w:val="superscript"/>
        </w:rPr>
        <w:t>46</w:t>
      </w:r>
      <w:r w:rsidRPr="00EA5D7D">
        <w:rPr>
          <w:sz w:val="18"/>
          <w:szCs w:val="18"/>
        </w:rPr>
        <w:t xml:space="preserve">Stewart Biology Building, 1205 Docteur Penfield, Montreal, Quebec, H3A 1B1, Canada; </w:t>
      </w:r>
      <w:r w:rsidRPr="00A933A3">
        <w:rPr>
          <w:sz w:val="18"/>
          <w:szCs w:val="18"/>
          <w:vertAlign w:val="superscript"/>
        </w:rPr>
        <w:t>47</w:t>
      </w:r>
      <w:r w:rsidRPr="00EA5D7D">
        <w:rPr>
          <w:sz w:val="18"/>
          <w:szCs w:val="18"/>
        </w:rPr>
        <w:t xml:space="preserve">Institute for Global Change Biology, University of Michigan, 440 Church St., Ann Arbor, MI 48109, USA, </w:t>
      </w:r>
      <w:r w:rsidRPr="002B5E6D">
        <w:rPr>
          <w:sz w:val="18"/>
          <w:szCs w:val="18"/>
          <w:vertAlign w:val="superscript"/>
        </w:rPr>
        <w:t>48</w:t>
      </w:r>
      <w:r w:rsidRPr="00EA5D7D">
        <w:rPr>
          <w:sz w:val="18"/>
          <w:szCs w:val="18"/>
        </w:rPr>
        <w:t xml:space="preserve">105 Richmond Ave, Morgantown, WV  26501, Australia; </w:t>
      </w:r>
      <w:r w:rsidRPr="002B5E6D">
        <w:rPr>
          <w:sz w:val="18"/>
          <w:szCs w:val="18"/>
          <w:vertAlign w:val="superscript"/>
        </w:rPr>
        <w:t>49</w:t>
      </w:r>
      <w:r w:rsidRPr="00EA5D7D">
        <w:rPr>
          <w:sz w:val="18"/>
          <w:szCs w:val="18"/>
        </w:rPr>
        <w:t xml:space="preserve">ForestGEO, Agua Salud Project, Smithsonian Tropical Research Institute, Balboa, Ancón, Panamá, Panama; </w:t>
      </w:r>
      <w:r w:rsidRPr="002B5E6D">
        <w:rPr>
          <w:sz w:val="18"/>
          <w:szCs w:val="18"/>
          <w:vertAlign w:val="superscript"/>
        </w:rPr>
        <w:t>50</w:t>
      </w:r>
      <w:r w:rsidRPr="00EA5D7D">
        <w:rPr>
          <w:sz w:val="18"/>
          <w:szCs w:val="18"/>
        </w:rPr>
        <w:t xml:space="preserve">Murdoch University, 90 South Street Murdoch , Western Australia 6150, Australia; </w:t>
      </w:r>
      <w:r w:rsidRPr="002B5E6D">
        <w:rPr>
          <w:sz w:val="18"/>
          <w:szCs w:val="18"/>
          <w:vertAlign w:val="superscript"/>
        </w:rPr>
        <w:t>51</w:t>
      </w:r>
      <w:r w:rsidRPr="00EA5D7D">
        <w:rPr>
          <w:sz w:val="18"/>
          <w:szCs w:val="18"/>
        </w:rPr>
        <w:t xml:space="preserve">Department of Forest Resources, University of Minnesota,1530 Cleveland Ave N, St Paul, MN 55108, USA; </w:t>
      </w:r>
      <w:r w:rsidRPr="002B5E6D">
        <w:rPr>
          <w:sz w:val="18"/>
          <w:szCs w:val="18"/>
          <w:vertAlign w:val="superscript"/>
        </w:rPr>
        <w:t>52</w:t>
      </w:r>
      <w:r w:rsidRPr="00EA5D7D">
        <w:rPr>
          <w:sz w:val="18"/>
          <w:szCs w:val="18"/>
        </w:rPr>
        <w:t xml:space="preserve">University of Washington, School of Environmental and Forest Sciences, 123 Anderson Hall, 3715 W. Stevens Way NE, Seattle, WA 98195-2100, USA; </w:t>
      </w:r>
      <w:r w:rsidRPr="002B5E6D">
        <w:rPr>
          <w:sz w:val="18"/>
          <w:szCs w:val="18"/>
          <w:vertAlign w:val="superscript"/>
        </w:rPr>
        <w:t>53</w:t>
      </w:r>
      <w:r w:rsidRPr="00EA5D7D">
        <w:rPr>
          <w:sz w:val="18"/>
          <w:szCs w:val="18"/>
        </w:rPr>
        <w:t xml:space="preserve">Department of Geography and Yale-NUS College, National University of Singapore, 12 College Avenue West, 138610, Singapore, Singapore; </w:t>
      </w:r>
      <w:r w:rsidRPr="00402496">
        <w:rPr>
          <w:sz w:val="18"/>
          <w:szCs w:val="18"/>
          <w:vertAlign w:val="superscript"/>
        </w:rPr>
        <w:t>54</w:t>
      </w:r>
      <w:r w:rsidRPr="00EA5D7D">
        <w:rPr>
          <w:sz w:val="18"/>
          <w:szCs w:val="18"/>
        </w:rPr>
        <w:t xml:space="preserve">Swedish University of Agricultural Sciences, Department of Crop Production Ecology, Box 7043, SE-75007 Uppsala, Sweden; </w:t>
      </w:r>
      <w:r w:rsidRPr="00864C6E">
        <w:rPr>
          <w:sz w:val="18"/>
          <w:szCs w:val="18"/>
          <w:vertAlign w:val="superscript"/>
        </w:rPr>
        <w:t>55</w:t>
      </w:r>
      <w:r w:rsidRPr="00EA5D7D">
        <w:rPr>
          <w:sz w:val="18"/>
          <w:szCs w:val="18"/>
        </w:rPr>
        <w:t xml:space="preserve">Hawkesbury Institute for the Environment, Western Sydney University, Locked Bag 1797, Penrith NSW 2751, Australia, </w:t>
      </w:r>
      <w:r w:rsidRPr="00864C6E">
        <w:rPr>
          <w:sz w:val="18"/>
          <w:szCs w:val="18"/>
          <w:vertAlign w:val="superscript"/>
        </w:rPr>
        <w:t>56</w:t>
      </w:r>
      <w:r w:rsidRPr="00EA5D7D">
        <w:rPr>
          <w:sz w:val="18"/>
          <w:szCs w:val="18"/>
        </w:rPr>
        <w:t xml:space="preserve">Department of Forestry and Natural Resources, Purdue University , 715 W. State Street, West Lafayette, IN 47907, USA; </w:t>
      </w:r>
      <w:r w:rsidRPr="00BC3251">
        <w:rPr>
          <w:sz w:val="18"/>
          <w:szCs w:val="18"/>
          <w:vertAlign w:val="superscript"/>
        </w:rPr>
        <w:t>57</w:t>
      </w:r>
      <w:r w:rsidRPr="00EA5D7D">
        <w:rPr>
          <w:sz w:val="18"/>
          <w:szCs w:val="18"/>
        </w:rPr>
        <w:t>University of Freiburg, Faculty of Biology, Geobotany, Schänzlestr. 1, 79104 Freiburg, Germany</w:t>
      </w:r>
    </w:p>
    <w:p w14:paraId="44F24A50" w14:textId="77777777" w:rsidR="000D6E63" w:rsidRDefault="000D6E63" w:rsidP="000D6E63">
      <w:pPr>
        <w:spacing w:after="0" w:line="240" w:lineRule="auto"/>
        <w:jc w:val="both"/>
        <w:rPr>
          <w:rFonts w:eastAsia="Times New Roman" w:cs="Calibri"/>
          <w:color w:val="000000"/>
        </w:rPr>
      </w:pPr>
    </w:p>
    <w:p w14:paraId="1E19C4D1" w14:textId="77777777" w:rsidR="000D6E63" w:rsidRDefault="000D6E63" w:rsidP="000D6E63">
      <w:pPr>
        <w:spacing w:after="0" w:line="240" w:lineRule="auto"/>
        <w:jc w:val="both"/>
        <w:rPr>
          <w:rFonts w:ascii="Calibri" w:eastAsia="Times New Roman" w:hAnsi="Calibri" w:cs="Calibri"/>
          <w:color w:val="000000"/>
          <w:u w:val="single"/>
        </w:rPr>
      </w:pPr>
      <w:r>
        <w:rPr>
          <w:rFonts w:eastAsia="Times New Roman" w:cs="Calibri"/>
          <w:color w:val="000000"/>
          <w:u w:val="single"/>
        </w:rPr>
        <w:t>Corresponding author:</w:t>
      </w:r>
    </w:p>
    <w:p w14:paraId="5DA05307" w14:textId="77777777" w:rsidR="000D6E63" w:rsidRDefault="000D6E63" w:rsidP="000D6E63">
      <w:pPr>
        <w:spacing w:after="0" w:line="240" w:lineRule="auto"/>
        <w:jc w:val="both"/>
        <w:rPr>
          <w:rFonts w:ascii="Calibri" w:eastAsia="Times New Roman" w:hAnsi="Calibri" w:cs="Calibri"/>
          <w:color w:val="000000"/>
        </w:rPr>
      </w:pPr>
      <w:r>
        <w:rPr>
          <w:rFonts w:eastAsia="Times New Roman" w:cs="Calibri"/>
          <w:color w:val="000000"/>
        </w:rPr>
        <w:t>Haben Blondeel</w:t>
      </w:r>
    </w:p>
    <w:p w14:paraId="6A9E09DC" w14:textId="77777777" w:rsidR="000D6E63" w:rsidRDefault="000D6E63" w:rsidP="000D6E63">
      <w:pPr>
        <w:spacing w:after="0" w:line="240" w:lineRule="auto"/>
        <w:jc w:val="both"/>
        <w:rPr>
          <w:rFonts w:ascii="Calibri" w:eastAsia="Times New Roman" w:hAnsi="Calibri" w:cs="Calibri"/>
          <w:color w:val="000000"/>
        </w:rPr>
      </w:pPr>
      <w:r>
        <w:rPr>
          <w:rFonts w:eastAsia="Times New Roman" w:cs="Calibri"/>
          <w:color w:val="000000"/>
        </w:rPr>
        <w:t xml:space="preserve">Ghent University </w:t>
      </w:r>
    </w:p>
    <w:p w14:paraId="4BED205A" w14:textId="77777777" w:rsidR="000D6E63" w:rsidRDefault="000D6E63" w:rsidP="000D6E63">
      <w:pPr>
        <w:spacing w:after="0" w:line="240" w:lineRule="auto"/>
        <w:jc w:val="both"/>
        <w:rPr>
          <w:rFonts w:eastAsia="Times New Roman" w:cs="Calibri"/>
          <w:color w:val="000000"/>
        </w:rPr>
      </w:pPr>
      <w:r>
        <w:rPr>
          <w:rFonts w:eastAsia="Times New Roman" w:cs="Calibri"/>
          <w:color w:val="000000"/>
        </w:rPr>
        <w:t>Department of Environment</w:t>
      </w:r>
    </w:p>
    <w:p w14:paraId="62FEF7F5" w14:textId="77777777" w:rsidR="000D6E63" w:rsidRDefault="000D6E63" w:rsidP="000D6E63">
      <w:pPr>
        <w:spacing w:after="0" w:line="240" w:lineRule="auto"/>
        <w:jc w:val="both"/>
        <w:rPr>
          <w:rFonts w:ascii="Calibri" w:eastAsia="Times New Roman" w:hAnsi="Calibri" w:cs="Calibri"/>
          <w:color w:val="000000"/>
        </w:rPr>
      </w:pPr>
      <w:r>
        <w:rPr>
          <w:rFonts w:eastAsia="Times New Roman" w:cs="Calibri"/>
          <w:color w:val="000000"/>
        </w:rPr>
        <w:t>Forest &amp; Nature Lab</w:t>
      </w:r>
    </w:p>
    <w:p w14:paraId="6A7B54FB" w14:textId="77777777" w:rsidR="000D6E63" w:rsidRDefault="000D6E63" w:rsidP="000D6E63">
      <w:pPr>
        <w:spacing w:after="0" w:line="240" w:lineRule="auto"/>
        <w:jc w:val="both"/>
        <w:rPr>
          <w:rFonts w:ascii="Calibri" w:eastAsia="Times New Roman" w:hAnsi="Calibri" w:cs="Calibri"/>
          <w:color w:val="000000"/>
          <w:lang w:val="en-GB"/>
        </w:rPr>
      </w:pPr>
      <w:r>
        <w:rPr>
          <w:rFonts w:eastAsia="Times New Roman" w:cs="Calibri"/>
          <w:color w:val="000000"/>
          <w:lang w:val="en-GB"/>
        </w:rPr>
        <w:t>9090 Melle-Gontrode, Belgium</w:t>
      </w:r>
    </w:p>
    <w:p w14:paraId="18781F5E" w14:textId="77777777" w:rsidR="000D6E63" w:rsidRDefault="0098667C" w:rsidP="000D6E63">
      <w:pPr>
        <w:spacing w:after="0" w:line="240" w:lineRule="auto"/>
        <w:jc w:val="both"/>
      </w:pPr>
      <w:hyperlink r:id="rId11">
        <w:r w:rsidR="000D6E63">
          <w:rPr>
            <w:rStyle w:val="InternetLink"/>
            <w:rFonts w:eastAsia="Times New Roman" w:cs="Calibri"/>
            <w:lang w:val="en-GB"/>
          </w:rPr>
          <w:t>haben.blondeel@ugent.be</w:t>
        </w:r>
      </w:hyperlink>
    </w:p>
    <w:p w14:paraId="53580821" w14:textId="77777777" w:rsidR="000D6E63" w:rsidRDefault="000D6E63" w:rsidP="000D6E63">
      <w:pPr>
        <w:spacing w:after="0" w:line="240" w:lineRule="auto"/>
        <w:jc w:val="both"/>
        <w:rPr>
          <w:rFonts w:ascii="Calibri" w:eastAsia="Times New Roman" w:hAnsi="Calibri" w:cs="Calibri"/>
          <w:color w:val="000000"/>
          <w:lang w:val="en-GB"/>
        </w:rPr>
      </w:pPr>
      <w:r>
        <w:rPr>
          <w:rFonts w:eastAsia="Times New Roman" w:cs="Calibri"/>
          <w:color w:val="000000"/>
          <w:lang w:val="en-GB"/>
        </w:rPr>
        <w:t>+32(0)9 264 90 37</w:t>
      </w:r>
    </w:p>
    <w:p w14:paraId="733CAF8E" w14:textId="77777777" w:rsidR="000D6E63" w:rsidRDefault="000D6E63" w:rsidP="000D6E63">
      <w:pPr>
        <w:spacing w:after="0" w:line="240" w:lineRule="auto"/>
        <w:jc w:val="both"/>
        <w:rPr>
          <w:rFonts w:ascii="Calibri" w:eastAsia="Times New Roman" w:hAnsi="Calibri" w:cs="Calibri"/>
          <w:color w:val="000000"/>
          <w:lang w:val="en-GB"/>
        </w:rPr>
      </w:pPr>
    </w:p>
    <w:p w14:paraId="7A27C50E" w14:textId="77777777" w:rsidR="000D6E63" w:rsidRDefault="000D6E63" w:rsidP="000D6E63">
      <w:pPr>
        <w:spacing w:after="0" w:line="240" w:lineRule="auto"/>
        <w:jc w:val="both"/>
        <w:rPr>
          <w:rFonts w:eastAsia="Times New Roman" w:cs="Calibri"/>
          <w:color w:val="000000"/>
          <w:u w:val="single"/>
        </w:rPr>
      </w:pPr>
      <w:r>
        <w:rPr>
          <w:rFonts w:eastAsia="Times New Roman" w:cs="Calibri"/>
          <w:color w:val="000000"/>
          <w:u w:val="single"/>
        </w:rPr>
        <w:t>Statement of authorship:</w:t>
      </w:r>
    </w:p>
    <w:p w14:paraId="62BFAEA2" w14:textId="77777777" w:rsidR="000D6E63" w:rsidRDefault="000D6E63" w:rsidP="000D6E63">
      <w:pPr>
        <w:spacing w:after="0" w:line="240" w:lineRule="auto"/>
        <w:jc w:val="both"/>
        <w:rPr>
          <w:rFonts w:eastAsia="Times New Roman" w:cs="Calibri"/>
          <w:color w:val="000000"/>
          <w:u w:val="single"/>
        </w:rPr>
      </w:pPr>
    </w:p>
    <w:p w14:paraId="6E9B6320" w14:textId="77777777" w:rsidR="000D6E63" w:rsidRPr="00043CE8" w:rsidRDefault="000D6E63" w:rsidP="000D6E63">
      <w:pPr>
        <w:spacing w:after="0" w:line="240" w:lineRule="auto"/>
        <w:rPr>
          <w:rFonts w:ascii="Calibri" w:eastAsia="Times New Roman" w:hAnsi="Calibri" w:cs="Calibri"/>
          <w:color w:val="000000"/>
        </w:rPr>
      </w:pPr>
      <w:r>
        <w:rPr>
          <w:rFonts w:ascii="Calibri" w:eastAsia="Times New Roman" w:hAnsi="Calibri" w:cs="Calibri"/>
          <w:color w:val="000000"/>
        </w:rPr>
        <w:t>HB conceived ideas for the manuscript, p</w:t>
      </w:r>
      <w:r w:rsidRPr="00043CE8">
        <w:rPr>
          <w:rFonts w:ascii="Calibri" w:eastAsia="Times New Roman" w:hAnsi="Calibri" w:cs="Calibri"/>
          <w:color w:val="000000"/>
        </w:rPr>
        <w:t xml:space="preserve">erformed data analysis and lead </w:t>
      </w:r>
      <w:r>
        <w:rPr>
          <w:rFonts w:ascii="Calibri" w:eastAsia="Times New Roman" w:hAnsi="Calibri" w:cs="Calibri"/>
          <w:color w:val="000000"/>
        </w:rPr>
        <w:t xml:space="preserve">the </w:t>
      </w:r>
      <w:r w:rsidRPr="00043CE8">
        <w:rPr>
          <w:rFonts w:ascii="Calibri" w:eastAsia="Times New Roman" w:hAnsi="Calibri" w:cs="Calibri"/>
          <w:color w:val="000000"/>
        </w:rPr>
        <w:t>manuscript writing.</w:t>
      </w:r>
      <w:r>
        <w:rPr>
          <w:rFonts w:ascii="Calibri" w:eastAsia="Times New Roman" w:hAnsi="Calibri" w:cs="Calibri"/>
          <w:color w:val="000000"/>
        </w:rPr>
        <w:t xml:space="preserve"> </w:t>
      </w:r>
      <w:r w:rsidRPr="00682F14">
        <w:rPr>
          <w:rFonts w:ascii="Calibri" w:eastAsia="Times New Roman" w:hAnsi="Calibri" w:cs="Calibri"/>
          <w:color w:val="000000"/>
        </w:rPr>
        <w:t>JG,</w:t>
      </w:r>
      <w:r>
        <w:rPr>
          <w:rFonts w:ascii="Calibri" w:eastAsia="Times New Roman" w:hAnsi="Calibri" w:cs="Calibri"/>
          <w:color w:val="000000"/>
        </w:rPr>
        <w:t xml:space="preserve"> </w:t>
      </w:r>
      <w:r w:rsidRPr="00682F14">
        <w:rPr>
          <w:rFonts w:ascii="Calibri" w:eastAsia="Times New Roman" w:hAnsi="Calibri" w:cs="Calibri"/>
          <w:color w:val="000000"/>
        </w:rPr>
        <w:t>NMS</w:t>
      </w:r>
      <w:r>
        <w:rPr>
          <w:rFonts w:ascii="Calibri" w:eastAsia="Times New Roman" w:hAnsi="Calibri" w:cs="Calibri"/>
          <w:color w:val="000000"/>
        </w:rPr>
        <w:t xml:space="preserve"> and </w:t>
      </w:r>
      <w:r w:rsidRPr="00682F14">
        <w:rPr>
          <w:rFonts w:ascii="Calibri" w:eastAsia="Times New Roman" w:hAnsi="Calibri" w:cs="Calibri"/>
          <w:color w:val="000000"/>
        </w:rPr>
        <w:t>AD</w:t>
      </w:r>
      <w:r>
        <w:rPr>
          <w:rFonts w:ascii="Calibri" w:eastAsia="Times New Roman" w:hAnsi="Calibri" w:cs="Calibri"/>
          <w:color w:val="000000"/>
        </w:rPr>
        <w:t xml:space="preserve"> helped with data analysis and writing. </w:t>
      </w:r>
      <w:r w:rsidRPr="00427FA3">
        <w:rPr>
          <w:rFonts w:ascii="Calibri" w:eastAsia="Times New Roman" w:hAnsi="Calibri" w:cs="Calibri"/>
          <w:color w:val="000000"/>
        </w:rPr>
        <w:t>SBG, AH,</w:t>
      </w:r>
      <w:r>
        <w:rPr>
          <w:rFonts w:ascii="Calibri" w:eastAsia="Times New Roman" w:hAnsi="Calibri" w:cs="Calibri"/>
          <w:color w:val="000000"/>
        </w:rPr>
        <w:t xml:space="preserve"> </w:t>
      </w:r>
      <w:r w:rsidRPr="00427FA3">
        <w:rPr>
          <w:rFonts w:ascii="Calibri" w:eastAsia="Times New Roman" w:hAnsi="Calibri" w:cs="Calibri"/>
          <w:color w:val="000000"/>
        </w:rPr>
        <w:t>CM</w:t>
      </w:r>
      <w:r>
        <w:rPr>
          <w:rFonts w:ascii="Calibri" w:eastAsia="Times New Roman" w:hAnsi="Calibri" w:cs="Calibri"/>
          <w:color w:val="000000"/>
        </w:rPr>
        <w:t xml:space="preserve"> and </w:t>
      </w:r>
      <w:r w:rsidRPr="00427FA3">
        <w:rPr>
          <w:rFonts w:ascii="Calibri" w:eastAsia="Times New Roman" w:hAnsi="Calibri" w:cs="Calibri"/>
          <w:color w:val="000000"/>
        </w:rPr>
        <w:t>BM</w:t>
      </w:r>
      <w:r>
        <w:rPr>
          <w:rFonts w:ascii="Calibri" w:eastAsia="Times New Roman" w:hAnsi="Calibri" w:cs="Calibri"/>
          <w:color w:val="000000"/>
        </w:rPr>
        <w:t xml:space="preserve"> c</w:t>
      </w:r>
      <w:r w:rsidRPr="00427FA3">
        <w:rPr>
          <w:rFonts w:ascii="Calibri" w:eastAsia="Times New Roman" w:hAnsi="Calibri" w:cs="Calibri"/>
          <w:color w:val="000000"/>
        </w:rPr>
        <w:t>onceived an initial version of the manuscrip</w:t>
      </w:r>
      <w:r>
        <w:rPr>
          <w:rFonts w:ascii="Calibri" w:eastAsia="Times New Roman" w:hAnsi="Calibri" w:cs="Calibri"/>
          <w:color w:val="000000"/>
        </w:rPr>
        <w:t xml:space="preserve">t while </w:t>
      </w:r>
      <w:r w:rsidRPr="00DC6374">
        <w:rPr>
          <w:rFonts w:ascii="Calibri" w:eastAsia="Times New Roman" w:hAnsi="Calibri" w:cs="Calibri"/>
          <w:color w:val="000000"/>
        </w:rPr>
        <w:t>JB,</w:t>
      </w:r>
      <w:r>
        <w:rPr>
          <w:rFonts w:ascii="Calibri" w:eastAsia="Times New Roman" w:hAnsi="Calibri" w:cs="Calibri"/>
          <w:color w:val="000000"/>
        </w:rPr>
        <w:t xml:space="preserve"> </w:t>
      </w:r>
      <w:r w:rsidRPr="00DC6374">
        <w:rPr>
          <w:rFonts w:ascii="Calibri" w:eastAsia="Times New Roman" w:hAnsi="Calibri" w:cs="Calibri"/>
          <w:color w:val="000000"/>
        </w:rPr>
        <w:t>CG</w:t>
      </w:r>
      <w:r>
        <w:rPr>
          <w:rFonts w:ascii="Calibri" w:eastAsia="Times New Roman" w:hAnsi="Calibri" w:cs="Calibri"/>
          <w:color w:val="000000"/>
        </w:rPr>
        <w:t xml:space="preserve"> and HJ helped with conceiving the second version of this study</w:t>
      </w:r>
      <w:r w:rsidRPr="00427FA3">
        <w:rPr>
          <w:rFonts w:ascii="Calibri" w:eastAsia="Times New Roman" w:hAnsi="Calibri" w:cs="Calibri"/>
          <w:color w:val="000000"/>
        </w:rPr>
        <w:t>.</w:t>
      </w:r>
      <w:r>
        <w:rPr>
          <w:rFonts w:ascii="Calibri" w:eastAsia="Times New Roman" w:hAnsi="Calibri" w:cs="Calibri"/>
          <w:color w:val="000000"/>
        </w:rPr>
        <w:t xml:space="preserve"> </w:t>
      </w:r>
      <w:r w:rsidRPr="00C93CB1">
        <w:rPr>
          <w:rFonts w:ascii="Calibri" w:eastAsia="Times New Roman" w:hAnsi="Calibri" w:cs="Calibri"/>
          <w:color w:val="000000"/>
        </w:rPr>
        <w:t>JJ</w:t>
      </w:r>
      <w:r>
        <w:rPr>
          <w:rFonts w:ascii="Calibri" w:eastAsia="Times New Roman" w:hAnsi="Calibri" w:cs="Calibri"/>
          <w:color w:val="000000"/>
        </w:rPr>
        <w:t xml:space="preserve"> and </w:t>
      </w:r>
      <w:r w:rsidRPr="00C93CB1">
        <w:rPr>
          <w:rFonts w:ascii="Calibri" w:eastAsia="Times New Roman" w:hAnsi="Calibri" w:cs="Calibri"/>
          <w:color w:val="000000"/>
        </w:rPr>
        <w:t>HSL</w:t>
      </w:r>
      <w:r>
        <w:rPr>
          <w:rFonts w:ascii="Calibri" w:eastAsia="Times New Roman" w:hAnsi="Calibri" w:cs="Calibri"/>
          <w:color w:val="000000"/>
        </w:rPr>
        <w:t xml:space="preserve"> helped with data synthesis and the collection of datasets. </w:t>
      </w:r>
      <w:r w:rsidRPr="00C67922">
        <w:rPr>
          <w:rFonts w:ascii="Calibri" w:eastAsia="Times New Roman" w:hAnsi="Calibri" w:cs="Calibri"/>
          <w:color w:val="000000"/>
        </w:rPr>
        <w:t>HA,</w:t>
      </w:r>
      <w:r>
        <w:rPr>
          <w:rFonts w:ascii="Calibri" w:eastAsia="Times New Roman" w:hAnsi="Calibri" w:cs="Calibri"/>
          <w:color w:val="000000"/>
        </w:rPr>
        <w:t xml:space="preserve"> </w:t>
      </w:r>
      <w:r w:rsidRPr="00C67922">
        <w:rPr>
          <w:rFonts w:ascii="Calibri" w:eastAsia="Times New Roman" w:hAnsi="Calibri" w:cs="Calibri"/>
          <w:color w:val="000000"/>
        </w:rPr>
        <w:t>NB,</w:t>
      </w:r>
      <w:r>
        <w:rPr>
          <w:rFonts w:ascii="Calibri" w:eastAsia="Times New Roman" w:hAnsi="Calibri" w:cs="Calibri"/>
          <w:color w:val="000000"/>
        </w:rPr>
        <w:t xml:space="preserve"> </w:t>
      </w:r>
      <w:r w:rsidRPr="00C67922">
        <w:rPr>
          <w:rFonts w:ascii="Calibri" w:eastAsia="Times New Roman" w:hAnsi="Calibri" w:cs="Calibri"/>
          <w:color w:val="000000"/>
        </w:rPr>
        <w:t>EB,</w:t>
      </w:r>
      <w:r>
        <w:rPr>
          <w:rFonts w:ascii="Calibri" w:eastAsia="Times New Roman" w:hAnsi="Calibri" w:cs="Calibri"/>
          <w:color w:val="000000"/>
        </w:rPr>
        <w:t xml:space="preserve"> </w:t>
      </w:r>
      <w:r w:rsidRPr="00C67922">
        <w:rPr>
          <w:rFonts w:ascii="Calibri" w:eastAsia="Times New Roman" w:hAnsi="Calibri" w:cs="Calibri"/>
          <w:color w:val="000000"/>
        </w:rPr>
        <w:t>HBr,</w:t>
      </w:r>
      <w:r>
        <w:rPr>
          <w:rFonts w:ascii="Calibri" w:eastAsia="Times New Roman" w:hAnsi="Calibri" w:cs="Calibri"/>
          <w:color w:val="000000"/>
        </w:rPr>
        <w:t xml:space="preserve"> </w:t>
      </w:r>
      <w:r w:rsidRPr="00C67922">
        <w:rPr>
          <w:rFonts w:ascii="Calibri" w:eastAsia="Times New Roman" w:hAnsi="Calibri" w:cs="Calibri"/>
          <w:color w:val="000000"/>
        </w:rPr>
        <w:t>JCB,</w:t>
      </w:r>
      <w:r>
        <w:rPr>
          <w:rFonts w:ascii="Calibri" w:eastAsia="Times New Roman" w:hAnsi="Calibri" w:cs="Calibri"/>
          <w:color w:val="000000"/>
        </w:rPr>
        <w:t xml:space="preserve"> </w:t>
      </w:r>
      <w:r w:rsidRPr="00C67922">
        <w:rPr>
          <w:rFonts w:ascii="Calibri" w:eastAsia="Times New Roman" w:hAnsi="Calibri" w:cs="Calibri"/>
          <w:color w:val="000000"/>
        </w:rPr>
        <w:t>CC,</w:t>
      </w:r>
      <w:r>
        <w:rPr>
          <w:rFonts w:ascii="Calibri" w:eastAsia="Times New Roman" w:hAnsi="Calibri" w:cs="Calibri"/>
          <w:color w:val="000000"/>
        </w:rPr>
        <w:t xml:space="preserve"> </w:t>
      </w:r>
      <w:r w:rsidRPr="00C67922">
        <w:rPr>
          <w:rFonts w:ascii="Calibri" w:eastAsia="Times New Roman" w:hAnsi="Calibri" w:cs="Calibri"/>
          <w:color w:val="000000"/>
        </w:rPr>
        <w:t>JRC,</w:t>
      </w:r>
      <w:r>
        <w:rPr>
          <w:rFonts w:ascii="Calibri" w:eastAsia="Times New Roman" w:hAnsi="Calibri" w:cs="Calibri"/>
          <w:color w:val="000000"/>
        </w:rPr>
        <w:t xml:space="preserve"> </w:t>
      </w:r>
      <w:r w:rsidRPr="00C67922">
        <w:rPr>
          <w:rFonts w:ascii="Calibri" w:eastAsia="Times New Roman" w:hAnsi="Calibri" w:cs="Calibri"/>
          <w:color w:val="000000"/>
        </w:rPr>
        <w:t>ADa,</w:t>
      </w:r>
      <w:r>
        <w:rPr>
          <w:rFonts w:ascii="Calibri" w:eastAsia="Times New Roman" w:hAnsi="Calibri" w:cs="Calibri"/>
          <w:color w:val="000000"/>
        </w:rPr>
        <w:t xml:space="preserve"> </w:t>
      </w:r>
      <w:r w:rsidRPr="00C67922">
        <w:rPr>
          <w:rFonts w:ascii="Calibri" w:eastAsia="Times New Roman" w:hAnsi="Calibri" w:cs="Calibri"/>
          <w:color w:val="000000"/>
        </w:rPr>
        <w:t>NE,</w:t>
      </w:r>
      <w:r>
        <w:rPr>
          <w:rFonts w:ascii="Calibri" w:eastAsia="Times New Roman" w:hAnsi="Calibri" w:cs="Calibri"/>
          <w:color w:val="000000"/>
        </w:rPr>
        <w:t xml:space="preserve"> </w:t>
      </w:r>
      <w:r w:rsidRPr="00C67922">
        <w:rPr>
          <w:rFonts w:ascii="Calibri" w:eastAsia="Times New Roman" w:hAnsi="Calibri" w:cs="Calibri"/>
          <w:color w:val="000000"/>
        </w:rPr>
        <w:t>OF,</w:t>
      </w:r>
      <w:r>
        <w:rPr>
          <w:rFonts w:ascii="Calibri" w:eastAsia="Times New Roman" w:hAnsi="Calibri" w:cs="Calibri"/>
          <w:color w:val="000000"/>
        </w:rPr>
        <w:t xml:space="preserve"> </w:t>
      </w:r>
      <w:r w:rsidRPr="00C67922">
        <w:rPr>
          <w:rFonts w:ascii="Calibri" w:eastAsia="Times New Roman" w:hAnsi="Calibri" w:cs="Calibri"/>
          <w:color w:val="000000"/>
        </w:rPr>
        <w:t>SF,</w:t>
      </w:r>
      <w:r>
        <w:rPr>
          <w:rFonts w:ascii="Calibri" w:eastAsia="Times New Roman" w:hAnsi="Calibri" w:cs="Calibri"/>
          <w:color w:val="000000"/>
        </w:rPr>
        <w:t xml:space="preserve"> </w:t>
      </w:r>
      <w:r w:rsidRPr="00C67922">
        <w:rPr>
          <w:rFonts w:ascii="Calibri" w:eastAsia="Times New Roman" w:hAnsi="Calibri" w:cs="Calibri"/>
          <w:color w:val="000000"/>
        </w:rPr>
        <w:t>GG,</w:t>
      </w:r>
      <w:r>
        <w:rPr>
          <w:rFonts w:ascii="Calibri" w:eastAsia="Times New Roman" w:hAnsi="Calibri" w:cs="Calibri"/>
          <w:color w:val="000000"/>
        </w:rPr>
        <w:t xml:space="preserve"> </w:t>
      </w:r>
      <w:r w:rsidRPr="00C67922">
        <w:rPr>
          <w:rFonts w:ascii="Calibri" w:eastAsia="Times New Roman" w:hAnsi="Calibri" w:cs="Calibri"/>
          <w:color w:val="000000"/>
        </w:rPr>
        <w:t>DLG,</w:t>
      </w:r>
      <w:r>
        <w:rPr>
          <w:rFonts w:ascii="Calibri" w:eastAsia="Times New Roman" w:hAnsi="Calibri" w:cs="Calibri"/>
          <w:color w:val="000000"/>
        </w:rPr>
        <w:t xml:space="preserve"> </w:t>
      </w:r>
      <w:r w:rsidRPr="00C67922">
        <w:rPr>
          <w:rFonts w:ascii="Calibri" w:eastAsia="Times New Roman" w:hAnsi="Calibri" w:cs="Calibri"/>
          <w:color w:val="000000"/>
        </w:rPr>
        <w:t>DG,</w:t>
      </w:r>
      <w:r>
        <w:rPr>
          <w:rFonts w:ascii="Calibri" w:eastAsia="Times New Roman" w:hAnsi="Calibri" w:cs="Calibri"/>
          <w:color w:val="000000"/>
        </w:rPr>
        <w:t xml:space="preserve"> </w:t>
      </w:r>
      <w:r w:rsidRPr="00C67922">
        <w:rPr>
          <w:rFonts w:ascii="Calibri" w:eastAsia="Times New Roman" w:hAnsi="Calibri" w:cs="Calibri"/>
          <w:color w:val="000000"/>
        </w:rPr>
        <w:t>JSH,</w:t>
      </w:r>
      <w:r>
        <w:rPr>
          <w:rFonts w:ascii="Calibri" w:eastAsia="Times New Roman" w:hAnsi="Calibri" w:cs="Calibri"/>
          <w:color w:val="000000"/>
        </w:rPr>
        <w:t xml:space="preserve"> </w:t>
      </w:r>
      <w:r w:rsidRPr="00C67922">
        <w:rPr>
          <w:rFonts w:ascii="Calibri" w:eastAsia="Times New Roman" w:hAnsi="Calibri" w:cs="Calibri"/>
          <w:color w:val="000000"/>
        </w:rPr>
        <w:t>DH,</w:t>
      </w:r>
      <w:r>
        <w:rPr>
          <w:rFonts w:ascii="Calibri" w:eastAsia="Times New Roman" w:hAnsi="Calibri" w:cs="Calibri"/>
          <w:color w:val="000000"/>
        </w:rPr>
        <w:t xml:space="preserve"> </w:t>
      </w:r>
      <w:r w:rsidRPr="00C67922">
        <w:rPr>
          <w:rFonts w:ascii="Calibri" w:eastAsia="Times New Roman" w:hAnsi="Calibri" w:cs="Calibri"/>
          <w:color w:val="000000"/>
        </w:rPr>
        <w:t>KBH,</w:t>
      </w:r>
      <w:r>
        <w:rPr>
          <w:rFonts w:ascii="Calibri" w:eastAsia="Times New Roman" w:hAnsi="Calibri" w:cs="Calibri"/>
          <w:color w:val="000000"/>
        </w:rPr>
        <w:t xml:space="preserve"> </w:t>
      </w:r>
      <w:r w:rsidRPr="00C67922">
        <w:rPr>
          <w:rFonts w:ascii="Calibri" w:eastAsia="Times New Roman" w:hAnsi="Calibri" w:cs="Calibri"/>
          <w:color w:val="000000"/>
        </w:rPr>
        <w:t>JK,</w:t>
      </w:r>
      <w:r>
        <w:rPr>
          <w:rFonts w:ascii="Calibri" w:eastAsia="Times New Roman" w:hAnsi="Calibri" w:cs="Calibri"/>
          <w:color w:val="000000"/>
        </w:rPr>
        <w:t xml:space="preserve"> </w:t>
      </w:r>
      <w:r w:rsidRPr="00C67922">
        <w:rPr>
          <w:rFonts w:ascii="Calibri" w:eastAsia="Times New Roman" w:hAnsi="Calibri" w:cs="Calibri"/>
          <w:color w:val="000000"/>
        </w:rPr>
        <w:t>HK,</w:t>
      </w:r>
      <w:r>
        <w:rPr>
          <w:rFonts w:ascii="Calibri" w:eastAsia="Times New Roman" w:hAnsi="Calibri" w:cs="Calibri"/>
          <w:color w:val="000000"/>
        </w:rPr>
        <w:t xml:space="preserve"> </w:t>
      </w:r>
      <w:r w:rsidRPr="00C67922">
        <w:rPr>
          <w:rFonts w:ascii="Calibri" w:eastAsia="Times New Roman" w:hAnsi="Calibri" w:cs="Calibri"/>
          <w:color w:val="000000"/>
        </w:rPr>
        <w:t>CL,</w:t>
      </w:r>
      <w:r>
        <w:rPr>
          <w:rFonts w:ascii="Calibri" w:eastAsia="Times New Roman" w:hAnsi="Calibri" w:cs="Calibri"/>
          <w:color w:val="000000"/>
        </w:rPr>
        <w:t xml:space="preserve"> </w:t>
      </w:r>
      <w:r w:rsidRPr="00C67922">
        <w:rPr>
          <w:rFonts w:ascii="Calibri" w:eastAsia="Times New Roman" w:hAnsi="Calibri" w:cs="Calibri"/>
          <w:color w:val="000000"/>
        </w:rPr>
        <w:t>JL,</w:t>
      </w:r>
      <w:r>
        <w:rPr>
          <w:rFonts w:ascii="Calibri" w:eastAsia="Times New Roman" w:hAnsi="Calibri" w:cs="Calibri"/>
          <w:color w:val="000000"/>
        </w:rPr>
        <w:t xml:space="preserve"> </w:t>
      </w:r>
      <w:r w:rsidRPr="00C67922">
        <w:rPr>
          <w:rFonts w:ascii="Calibri" w:eastAsia="Times New Roman" w:hAnsi="Calibri" w:cs="Calibri"/>
          <w:color w:val="000000"/>
        </w:rPr>
        <w:t>XL,</w:t>
      </w:r>
      <w:r>
        <w:rPr>
          <w:rFonts w:ascii="Calibri" w:eastAsia="Times New Roman" w:hAnsi="Calibri" w:cs="Calibri"/>
          <w:color w:val="000000"/>
        </w:rPr>
        <w:t xml:space="preserve"> </w:t>
      </w:r>
      <w:r w:rsidRPr="00C67922">
        <w:rPr>
          <w:rFonts w:ascii="Calibri" w:eastAsia="Times New Roman" w:hAnsi="Calibri" w:cs="Calibri"/>
          <w:color w:val="000000"/>
        </w:rPr>
        <w:t>CéM,</w:t>
      </w:r>
      <w:r>
        <w:rPr>
          <w:rFonts w:ascii="Calibri" w:eastAsia="Times New Roman" w:hAnsi="Calibri" w:cs="Calibri"/>
          <w:color w:val="000000"/>
        </w:rPr>
        <w:t xml:space="preserve"> </w:t>
      </w:r>
      <w:r w:rsidRPr="00C67922">
        <w:rPr>
          <w:rFonts w:ascii="Calibri" w:eastAsia="Times New Roman" w:hAnsi="Calibri" w:cs="Calibri"/>
          <w:color w:val="000000"/>
        </w:rPr>
        <w:t>SM,</w:t>
      </w:r>
      <w:r>
        <w:rPr>
          <w:rFonts w:ascii="Calibri" w:eastAsia="Times New Roman" w:hAnsi="Calibri" w:cs="Calibri"/>
          <w:color w:val="000000"/>
        </w:rPr>
        <w:t xml:space="preserve"> </w:t>
      </w:r>
      <w:r w:rsidRPr="00C67922">
        <w:rPr>
          <w:rFonts w:ascii="Calibri" w:eastAsia="Times New Roman" w:hAnsi="Calibri" w:cs="Calibri"/>
          <w:color w:val="000000"/>
        </w:rPr>
        <w:t>RM,</w:t>
      </w:r>
      <w:r>
        <w:rPr>
          <w:rFonts w:ascii="Calibri" w:eastAsia="Times New Roman" w:hAnsi="Calibri" w:cs="Calibri"/>
          <w:color w:val="000000"/>
        </w:rPr>
        <w:t xml:space="preserve"> </w:t>
      </w:r>
      <w:r w:rsidRPr="00C67922">
        <w:rPr>
          <w:rFonts w:ascii="Calibri" w:eastAsia="Times New Roman" w:hAnsi="Calibri" w:cs="Calibri"/>
          <w:color w:val="000000"/>
        </w:rPr>
        <w:t>LM,</w:t>
      </w:r>
      <w:r>
        <w:rPr>
          <w:rFonts w:ascii="Calibri" w:eastAsia="Times New Roman" w:hAnsi="Calibri" w:cs="Calibri"/>
          <w:color w:val="000000"/>
        </w:rPr>
        <w:t xml:space="preserve"> </w:t>
      </w:r>
      <w:r w:rsidRPr="00C67922">
        <w:rPr>
          <w:rFonts w:ascii="Calibri" w:eastAsia="Times New Roman" w:hAnsi="Calibri" w:cs="Calibri"/>
          <w:color w:val="000000"/>
        </w:rPr>
        <w:t>CN,</w:t>
      </w:r>
      <w:r>
        <w:rPr>
          <w:rFonts w:ascii="Calibri" w:eastAsia="Times New Roman" w:hAnsi="Calibri" w:cs="Calibri"/>
          <w:color w:val="000000"/>
        </w:rPr>
        <w:t xml:space="preserve"> </w:t>
      </w:r>
      <w:r w:rsidRPr="00C67922">
        <w:rPr>
          <w:rFonts w:ascii="Calibri" w:eastAsia="Times New Roman" w:hAnsi="Calibri" w:cs="Calibri"/>
          <w:color w:val="000000"/>
        </w:rPr>
        <w:t>AP,</w:t>
      </w:r>
      <w:r>
        <w:rPr>
          <w:rFonts w:ascii="Calibri" w:eastAsia="Times New Roman" w:hAnsi="Calibri" w:cs="Calibri"/>
          <w:color w:val="000000"/>
        </w:rPr>
        <w:t xml:space="preserve"> </w:t>
      </w:r>
      <w:r w:rsidRPr="00C67922">
        <w:rPr>
          <w:rFonts w:ascii="Calibri" w:eastAsia="Times New Roman" w:hAnsi="Calibri" w:cs="Calibri"/>
          <w:color w:val="000000"/>
        </w:rPr>
        <w:t>JDP,</w:t>
      </w:r>
      <w:r>
        <w:rPr>
          <w:rFonts w:ascii="Calibri" w:eastAsia="Times New Roman" w:hAnsi="Calibri" w:cs="Calibri"/>
          <w:color w:val="000000"/>
        </w:rPr>
        <w:t xml:space="preserve"> </w:t>
      </w:r>
      <w:r w:rsidRPr="00C67922">
        <w:rPr>
          <w:rFonts w:ascii="Calibri" w:eastAsia="Times New Roman" w:hAnsi="Calibri" w:cs="Calibri"/>
          <w:color w:val="000000"/>
        </w:rPr>
        <w:t>WCP,</w:t>
      </w:r>
      <w:r>
        <w:rPr>
          <w:rFonts w:ascii="Calibri" w:eastAsia="Times New Roman" w:hAnsi="Calibri" w:cs="Calibri"/>
          <w:color w:val="000000"/>
        </w:rPr>
        <w:t xml:space="preserve"> </w:t>
      </w:r>
      <w:r w:rsidRPr="00C67922">
        <w:rPr>
          <w:rFonts w:ascii="Calibri" w:eastAsia="Times New Roman" w:hAnsi="Calibri" w:cs="Calibri"/>
          <w:color w:val="000000"/>
        </w:rPr>
        <w:t>GBP,</w:t>
      </w:r>
      <w:r>
        <w:rPr>
          <w:rFonts w:ascii="Calibri" w:eastAsia="Times New Roman" w:hAnsi="Calibri" w:cs="Calibri"/>
          <w:color w:val="000000"/>
        </w:rPr>
        <w:t xml:space="preserve"> </w:t>
      </w:r>
      <w:r w:rsidRPr="00C67922">
        <w:rPr>
          <w:rFonts w:ascii="Calibri" w:eastAsia="Times New Roman" w:hAnsi="Calibri" w:cs="Calibri"/>
          <w:color w:val="000000"/>
        </w:rPr>
        <w:t>MPP,</w:t>
      </w:r>
      <w:r>
        <w:rPr>
          <w:rFonts w:ascii="Calibri" w:eastAsia="Times New Roman" w:hAnsi="Calibri" w:cs="Calibri"/>
          <w:color w:val="000000"/>
        </w:rPr>
        <w:t xml:space="preserve"> </w:t>
      </w:r>
      <w:r w:rsidRPr="00C67922">
        <w:rPr>
          <w:rFonts w:ascii="Calibri" w:eastAsia="Times New Roman" w:hAnsi="Calibri" w:cs="Calibri"/>
          <w:color w:val="000000"/>
        </w:rPr>
        <w:t>QP,</w:t>
      </w:r>
      <w:r>
        <w:rPr>
          <w:rFonts w:ascii="Calibri" w:eastAsia="Times New Roman" w:hAnsi="Calibri" w:cs="Calibri"/>
          <w:color w:val="000000"/>
        </w:rPr>
        <w:t xml:space="preserve"> </w:t>
      </w:r>
      <w:r w:rsidRPr="00C67922">
        <w:rPr>
          <w:rFonts w:ascii="Calibri" w:eastAsia="Times New Roman" w:hAnsi="Calibri" w:cs="Calibri"/>
          <w:color w:val="000000"/>
        </w:rPr>
        <w:t>CP,</w:t>
      </w:r>
      <w:r>
        <w:rPr>
          <w:rFonts w:ascii="Calibri" w:eastAsia="Times New Roman" w:hAnsi="Calibri" w:cs="Calibri"/>
          <w:color w:val="000000"/>
        </w:rPr>
        <w:t xml:space="preserve"> </w:t>
      </w:r>
      <w:r w:rsidRPr="00C67922">
        <w:rPr>
          <w:rFonts w:ascii="Calibri" w:eastAsia="Times New Roman" w:hAnsi="Calibri" w:cs="Calibri"/>
          <w:color w:val="000000"/>
        </w:rPr>
        <w:t>PR,</w:t>
      </w:r>
      <w:r>
        <w:rPr>
          <w:rFonts w:ascii="Calibri" w:eastAsia="Times New Roman" w:hAnsi="Calibri" w:cs="Calibri"/>
          <w:color w:val="000000"/>
        </w:rPr>
        <w:t xml:space="preserve"> </w:t>
      </w:r>
      <w:r w:rsidRPr="00C67922">
        <w:rPr>
          <w:rFonts w:ascii="Calibri" w:eastAsia="Times New Roman" w:hAnsi="Calibri" w:cs="Calibri"/>
          <w:color w:val="000000"/>
        </w:rPr>
        <w:t>JR,</w:t>
      </w:r>
      <w:r>
        <w:rPr>
          <w:rFonts w:ascii="Calibri" w:eastAsia="Times New Roman" w:hAnsi="Calibri" w:cs="Calibri"/>
          <w:color w:val="000000"/>
        </w:rPr>
        <w:t xml:space="preserve"> </w:t>
      </w:r>
      <w:r w:rsidRPr="00C67922">
        <w:rPr>
          <w:rFonts w:ascii="Calibri" w:eastAsia="Times New Roman" w:hAnsi="Calibri" w:cs="Calibri"/>
          <w:color w:val="000000"/>
        </w:rPr>
        <w:t>BR,</w:t>
      </w:r>
      <w:r>
        <w:rPr>
          <w:rFonts w:ascii="Calibri" w:eastAsia="Times New Roman" w:hAnsi="Calibri" w:cs="Calibri"/>
          <w:color w:val="000000"/>
        </w:rPr>
        <w:t xml:space="preserve"> </w:t>
      </w:r>
      <w:r w:rsidRPr="00C67922">
        <w:rPr>
          <w:rFonts w:ascii="Calibri" w:eastAsia="Times New Roman" w:hAnsi="Calibri" w:cs="Calibri"/>
          <w:color w:val="000000"/>
        </w:rPr>
        <w:t>HS,</w:t>
      </w:r>
      <w:r>
        <w:rPr>
          <w:rFonts w:ascii="Calibri" w:eastAsia="Times New Roman" w:hAnsi="Calibri" w:cs="Calibri"/>
          <w:color w:val="000000"/>
        </w:rPr>
        <w:t xml:space="preserve"> </w:t>
      </w:r>
      <w:r w:rsidRPr="00C67922">
        <w:rPr>
          <w:rFonts w:ascii="Calibri" w:eastAsia="Times New Roman" w:hAnsi="Calibri" w:cs="Calibri"/>
          <w:color w:val="000000"/>
        </w:rPr>
        <w:t>KS,</w:t>
      </w:r>
      <w:r>
        <w:rPr>
          <w:rFonts w:ascii="Calibri" w:eastAsia="Times New Roman" w:hAnsi="Calibri" w:cs="Calibri"/>
          <w:color w:val="000000"/>
        </w:rPr>
        <w:t xml:space="preserve"> </w:t>
      </w:r>
      <w:r w:rsidRPr="00C67922">
        <w:rPr>
          <w:rFonts w:ascii="Calibri" w:eastAsia="Times New Roman" w:hAnsi="Calibri" w:cs="Calibri"/>
          <w:color w:val="000000"/>
        </w:rPr>
        <w:t>RJS,</w:t>
      </w:r>
      <w:r>
        <w:rPr>
          <w:rFonts w:ascii="Calibri" w:eastAsia="Times New Roman" w:hAnsi="Calibri" w:cs="Calibri"/>
          <w:color w:val="000000"/>
        </w:rPr>
        <w:t xml:space="preserve"> </w:t>
      </w:r>
      <w:r w:rsidRPr="00C67922">
        <w:rPr>
          <w:rFonts w:ascii="Calibri" w:eastAsia="Times New Roman" w:hAnsi="Calibri" w:cs="Calibri"/>
          <w:color w:val="000000"/>
        </w:rPr>
        <w:t>AS,</w:t>
      </w:r>
      <w:r>
        <w:rPr>
          <w:rFonts w:ascii="Calibri" w:eastAsia="Times New Roman" w:hAnsi="Calibri" w:cs="Calibri"/>
          <w:color w:val="000000"/>
        </w:rPr>
        <w:t xml:space="preserve"> </w:t>
      </w:r>
      <w:r w:rsidRPr="00C67922">
        <w:rPr>
          <w:rFonts w:ascii="Calibri" w:eastAsia="Times New Roman" w:hAnsi="Calibri" w:cs="Calibri"/>
          <w:color w:val="000000"/>
        </w:rPr>
        <w:t>PCT,</w:t>
      </w:r>
      <w:r>
        <w:rPr>
          <w:rFonts w:ascii="Calibri" w:eastAsia="Times New Roman" w:hAnsi="Calibri" w:cs="Calibri"/>
          <w:color w:val="000000"/>
        </w:rPr>
        <w:t xml:space="preserve"> </w:t>
      </w:r>
      <w:r w:rsidRPr="00C67922">
        <w:rPr>
          <w:rFonts w:ascii="Calibri" w:eastAsia="Times New Roman" w:hAnsi="Calibri" w:cs="Calibri"/>
          <w:color w:val="000000"/>
        </w:rPr>
        <w:t>MvB,</w:t>
      </w:r>
      <w:r>
        <w:rPr>
          <w:rFonts w:ascii="Calibri" w:eastAsia="Times New Roman" w:hAnsi="Calibri" w:cs="Calibri"/>
          <w:color w:val="000000"/>
        </w:rPr>
        <w:t xml:space="preserve"> </w:t>
      </w:r>
      <w:r w:rsidRPr="00C67922">
        <w:rPr>
          <w:rFonts w:ascii="Calibri" w:eastAsia="Times New Roman" w:hAnsi="Calibri" w:cs="Calibri"/>
          <w:color w:val="000000"/>
        </w:rPr>
        <w:t>MVF,</w:t>
      </w:r>
      <w:r>
        <w:rPr>
          <w:rFonts w:ascii="Calibri" w:eastAsia="Times New Roman" w:hAnsi="Calibri" w:cs="Calibri"/>
          <w:color w:val="000000"/>
        </w:rPr>
        <w:t xml:space="preserve"> </w:t>
      </w:r>
      <w:r w:rsidRPr="00C67922">
        <w:rPr>
          <w:rFonts w:ascii="Calibri" w:eastAsia="Times New Roman" w:hAnsi="Calibri" w:cs="Calibri"/>
          <w:color w:val="000000"/>
        </w:rPr>
        <w:t>MW,</w:t>
      </w:r>
      <w:r>
        <w:rPr>
          <w:rFonts w:ascii="Calibri" w:eastAsia="Times New Roman" w:hAnsi="Calibri" w:cs="Calibri"/>
          <w:color w:val="000000"/>
        </w:rPr>
        <w:t xml:space="preserve"> </w:t>
      </w:r>
      <w:r w:rsidRPr="00C67922">
        <w:rPr>
          <w:rFonts w:ascii="Calibri" w:eastAsia="Times New Roman" w:hAnsi="Calibri" w:cs="Calibri"/>
          <w:color w:val="000000"/>
        </w:rPr>
        <w:t>LJW</w:t>
      </w:r>
      <w:r>
        <w:rPr>
          <w:rFonts w:ascii="Calibri" w:eastAsia="Times New Roman" w:hAnsi="Calibri" w:cs="Calibri"/>
          <w:color w:val="000000"/>
        </w:rPr>
        <w:t xml:space="preserve"> and </w:t>
      </w:r>
      <w:r w:rsidRPr="00C67922">
        <w:rPr>
          <w:rFonts w:ascii="Calibri" w:eastAsia="Times New Roman" w:hAnsi="Calibri" w:cs="Calibri"/>
          <w:color w:val="000000"/>
        </w:rPr>
        <w:t>MZ</w:t>
      </w:r>
      <w:r>
        <w:rPr>
          <w:rFonts w:ascii="Calibri" w:eastAsia="Times New Roman" w:hAnsi="Calibri" w:cs="Calibri"/>
          <w:color w:val="000000"/>
        </w:rPr>
        <w:t xml:space="preserve"> c</w:t>
      </w:r>
      <w:r w:rsidRPr="002825AF">
        <w:rPr>
          <w:rFonts w:ascii="Calibri" w:eastAsia="Times New Roman" w:hAnsi="Calibri" w:cs="Calibri"/>
          <w:color w:val="000000"/>
        </w:rPr>
        <w:t>ontributed with data from</w:t>
      </w:r>
      <w:r>
        <w:rPr>
          <w:rFonts w:ascii="Calibri" w:eastAsia="Times New Roman" w:hAnsi="Calibri" w:cs="Calibri"/>
          <w:color w:val="000000"/>
        </w:rPr>
        <w:t xml:space="preserve"> a </w:t>
      </w:r>
      <w:r w:rsidRPr="002825AF">
        <w:rPr>
          <w:rFonts w:ascii="Calibri" w:eastAsia="Times New Roman" w:hAnsi="Calibri" w:cs="Calibri"/>
          <w:color w:val="000000"/>
        </w:rPr>
        <w:t xml:space="preserve">unique experiment. </w:t>
      </w:r>
      <w:r>
        <w:rPr>
          <w:rFonts w:ascii="Calibri" w:eastAsia="Times New Roman" w:hAnsi="Calibri" w:cs="Calibri"/>
          <w:color w:val="000000"/>
        </w:rPr>
        <w:t>MSL and KV c</w:t>
      </w:r>
      <w:r w:rsidRPr="002825AF">
        <w:rPr>
          <w:rFonts w:ascii="Calibri" w:eastAsia="Times New Roman" w:hAnsi="Calibri" w:cs="Calibri"/>
          <w:color w:val="000000"/>
        </w:rPr>
        <w:t>oordinate</w:t>
      </w:r>
      <w:r>
        <w:rPr>
          <w:rFonts w:ascii="Calibri" w:eastAsia="Times New Roman" w:hAnsi="Calibri" w:cs="Calibri"/>
          <w:color w:val="000000"/>
        </w:rPr>
        <w:t xml:space="preserve"> </w:t>
      </w:r>
      <w:r w:rsidRPr="002825AF">
        <w:rPr>
          <w:rFonts w:ascii="Calibri" w:eastAsia="Times New Roman" w:hAnsi="Calibri" w:cs="Calibri"/>
          <w:color w:val="000000"/>
        </w:rPr>
        <w:t>TreeDivNet</w:t>
      </w:r>
      <w:r>
        <w:rPr>
          <w:rFonts w:ascii="Calibri" w:eastAsia="Times New Roman" w:hAnsi="Calibri" w:cs="Calibri"/>
          <w:color w:val="000000"/>
        </w:rPr>
        <w:t xml:space="preserve"> and c</w:t>
      </w:r>
      <w:r w:rsidRPr="002825AF">
        <w:rPr>
          <w:rFonts w:ascii="Calibri" w:eastAsia="Times New Roman" w:hAnsi="Calibri" w:cs="Calibri"/>
          <w:color w:val="000000"/>
        </w:rPr>
        <w:t xml:space="preserve">ontributed with data from </w:t>
      </w:r>
      <w:r>
        <w:rPr>
          <w:rFonts w:ascii="Calibri" w:eastAsia="Times New Roman" w:hAnsi="Calibri" w:cs="Calibri"/>
          <w:color w:val="000000"/>
        </w:rPr>
        <w:t xml:space="preserve">a </w:t>
      </w:r>
      <w:r w:rsidRPr="002825AF">
        <w:rPr>
          <w:rFonts w:ascii="Calibri" w:eastAsia="Times New Roman" w:hAnsi="Calibri" w:cs="Calibri"/>
          <w:color w:val="000000"/>
        </w:rPr>
        <w:t xml:space="preserve">unique experiment. </w:t>
      </w:r>
      <w:r>
        <w:rPr>
          <w:rFonts w:ascii="Calibri" w:eastAsia="Times New Roman" w:hAnsi="Calibri" w:cs="Calibri"/>
          <w:color w:val="000000"/>
        </w:rPr>
        <w:t>LB c</w:t>
      </w:r>
      <w:r w:rsidRPr="00D71222">
        <w:rPr>
          <w:rFonts w:ascii="Calibri" w:eastAsia="Times New Roman" w:hAnsi="Calibri" w:cs="Calibri"/>
          <w:color w:val="000000"/>
        </w:rPr>
        <w:t>onceived ideas for</w:t>
      </w:r>
      <w:r>
        <w:rPr>
          <w:rFonts w:ascii="Calibri" w:eastAsia="Times New Roman" w:hAnsi="Calibri" w:cs="Calibri"/>
          <w:color w:val="000000"/>
        </w:rPr>
        <w:t xml:space="preserve"> the</w:t>
      </w:r>
      <w:r w:rsidRPr="00D71222">
        <w:rPr>
          <w:rFonts w:ascii="Calibri" w:eastAsia="Times New Roman" w:hAnsi="Calibri" w:cs="Calibri"/>
          <w:color w:val="000000"/>
        </w:rPr>
        <w:t xml:space="preserve"> manuscript, aided in data anal</w:t>
      </w:r>
      <w:r>
        <w:rPr>
          <w:rFonts w:ascii="Calibri" w:eastAsia="Times New Roman" w:hAnsi="Calibri" w:cs="Calibri"/>
          <w:color w:val="000000"/>
        </w:rPr>
        <w:t>ysi</w:t>
      </w:r>
      <w:r w:rsidRPr="00D71222">
        <w:rPr>
          <w:rFonts w:ascii="Calibri" w:eastAsia="Times New Roman" w:hAnsi="Calibri" w:cs="Calibri"/>
          <w:color w:val="000000"/>
        </w:rPr>
        <w:t>s, and</w:t>
      </w:r>
      <w:r>
        <w:rPr>
          <w:rFonts w:ascii="Calibri" w:eastAsia="Times New Roman" w:hAnsi="Calibri" w:cs="Calibri"/>
          <w:color w:val="000000"/>
        </w:rPr>
        <w:t xml:space="preserve"> is</w:t>
      </w:r>
      <w:r w:rsidRPr="00D71222">
        <w:rPr>
          <w:rFonts w:ascii="Calibri" w:eastAsia="Times New Roman" w:hAnsi="Calibri" w:cs="Calibri"/>
          <w:color w:val="000000"/>
        </w:rPr>
        <w:t xml:space="preserve"> lead </w:t>
      </w:r>
      <w:r>
        <w:rPr>
          <w:rFonts w:ascii="Calibri" w:eastAsia="Times New Roman" w:hAnsi="Calibri" w:cs="Calibri"/>
          <w:color w:val="000000"/>
        </w:rPr>
        <w:t>principal</w:t>
      </w:r>
      <w:r w:rsidRPr="00D71222">
        <w:rPr>
          <w:rFonts w:ascii="Calibri" w:eastAsia="Times New Roman" w:hAnsi="Calibri" w:cs="Calibri"/>
          <w:color w:val="000000"/>
        </w:rPr>
        <w:t xml:space="preserve"> </w:t>
      </w:r>
      <w:r>
        <w:rPr>
          <w:rFonts w:ascii="Calibri" w:eastAsia="Times New Roman" w:hAnsi="Calibri" w:cs="Calibri"/>
          <w:color w:val="000000"/>
        </w:rPr>
        <w:t>inv</w:t>
      </w:r>
      <w:r w:rsidRPr="00D71222">
        <w:rPr>
          <w:rFonts w:ascii="Calibri" w:eastAsia="Times New Roman" w:hAnsi="Calibri" w:cs="Calibri"/>
          <w:color w:val="000000"/>
        </w:rPr>
        <w:t xml:space="preserve">estigator for </w:t>
      </w:r>
      <w:r>
        <w:rPr>
          <w:rFonts w:ascii="Calibri" w:eastAsia="Times New Roman" w:hAnsi="Calibri" w:cs="Calibri"/>
          <w:color w:val="000000"/>
        </w:rPr>
        <w:t xml:space="preserve">this </w:t>
      </w:r>
      <w:r w:rsidRPr="00D71222">
        <w:rPr>
          <w:rFonts w:ascii="Calibri" w:eastAsia="Times New Roman" w:hAnsi="Calibri" w:cs="Calibri"/>
          <w:color w:val="000000"/>
        </w:rPr>
        <w:t>study.</w:t>
      </w:r>
      <w:r>
        <w:rPr>
          <w:rFonts w:ascii="Calibri" w:eastAsia="Times New Roman" w:hAnsi="Calibri" w:cs="Calibri"/>
          <w:color w:val="000000"/>
        </w:rPr>
        <w:t xml:space="preserve"> All authors commented on multiple versions of the manuscript. </w:t>
      </w:r>
    </w:p>
    <w:p w14:paraId="5A36C081" w14:textId="77777777" w:rsidR="000D6E63" w:rsidRDefault="000D6E63" w:rsidP="000D6E63">
      <w:pPr>
        <w:spacing w:after="0" w:line="240" w:lineRule="auto"/>
        <w:jc w:val="both"/>
        <w:rPr>
          <w:rFonts w:ascii="Calibri" w:eastAsia="Times New Roman" w:hAnsi="Calibri" w:cs="Calibri"/>
          <w:color w:val="000000"/>
        </w:rPr>
      </w:pPr>
    </w:p>
    <w:p w14:paraId="0183F4B3" w14:textId="77777777" w:rsidR="000D6E63" w:rsidRDefault="000D6E63" w:rsidP="000D6E63">
      <w:pPr>
        <w:spacing w:after="0" w:line="240" w:lineRule="auto"/>
        <w:jc w:val="both"/>
        <w:rPr>
          <w:rFonts w:ascii="Calibri" w:eastAsia="Times New Roman" w:hAnsi="Calibri" w:cs="Calibri"/>
          <w:color w:val="000000"/>
        </w:rPr>
      </w:pPr>
    </w:p>
    <w:p w14:paraId="3E4F36B8" w14:textId="77777777" w:rsidR="000D6E63" w:rsidRDefault="000D6E63" w:rsidP="000D6E63">
      <w:pPr>
        <w:spacing w:after="0" w:line="240" w:lineRule="auto"/>
        <w:jc w:val="both"/>
        <w:rPr>
          <w:rFonts w:ascii="Calibri" w:eastAsia="Times New Roman" w:hAnsi="Calibri" w:cs="Calibri"/>
          <w:color w:val="000000"/>
        </w:rPr>
      </w:pPr>
      <w:r>
        <w:rPr>
          <w:rFonts w:eastAsia="Times New Roman" w:cs="Calibri"/>
          <w:color w:val="000000"/>
          <w:u w:val="single"/>
        </w:rPr>
        <w:t xml:space="preserve">Running title: </w:t>
      </w:r>
      <w:r>
        <w:rPr>
          <w:rFonts w:eastAsia="Times New Roman" w:cs="Calibri"/>
          <w:color w:val="000000"/>
        </w:rPr>
        <w:t>Tree diversity reduces survival variability</w:t>
      </w:r>
    </w:p>
    <w:p w14:paraId="7FF2F374" w14:textId="77777777" w:rsidR="000D6E63" w:rsidRDefault="000D6E63" w:rsidP="000D6E63">
      <w:pPr>
        <w:spacing w:after="0" w:line="240" w:lineRule="auto"/>
        <w:jc w:val="both"/>
        <w:rPr>
          <w:rFonts w:ascii="Calibri" w:eastAsia="Times New Roman" w:hAnsi="Calibri" w:cs="Calibri"/>
          <w:color w:val="000000"/>
        </w:rPr>
      </w:pPr>
    </w:p>
    <w:p w14:paraId="2672A0CE" w14:textId="77777777" w:rsidR="000D6E63" w:rsidRDefault="000D6E63" w:rsidP="000D6E63">
      <w:pPr>
        <w:spacing w:after="0" w:line="240" w:lineRule="auto"/>
        <w:jc w:val="both"/>
      </w:pPr>
      <w:r>
        <w:rPr>
          <w:rFonts w:eastAsia="Times New Roman" w:cs="Calibri"/>
          <w:color w:val="000000"/>
          <w:u w:val="single"/>
        </w:rPr>
        <w:t xml:space="preserve">Keywords: </w:t>
      </w:r>
      <w:r>
        <w:rPr>
          <w:rFonts w:eastAsia="Times New Roman" w:cs="Calibri"/>
          <w:color w:val="000000"/>
        </w:rPr>
        <w:t>TreeDivNet, climate change adaptation, standardized precipitation evapotranspiration index (SPEI), relative extractable water (REW), tree mortality, functional traits, IDENT</w:t>
      </w:r>
    </w:p>
    <w:p w14:paraId="168FB576" w14:textId="77777777" w:rsidR="000D6E63" w:rsidRDefault="000D6E63" w:rsidP="000D6E63">
      <w:pPr>
        <w:spacing w:after="0" w:line="240" w:lineRule="auto"/>
        <w:jc w:val="both"/>
        <w:rPr>
          <w:rFonts w:ascii="Calibri" w:eastAsia="Times New Roman" w:hAnsi="Calibri" w:cs="Calibri"/>
          <w:color w:val="000000"/>
          <w:u w:val="single"/>
        </w:rPr>
      </w:pPr>
    </w:p>
    <w:p w14:paraId="2231334E" w14:textId="77777777" w:rsidR="000D6E63" w:rsidRDefault="000D6E63" w:rsidP="000D6E63">
      <w:pPr>
        <w:spacing w:after="0" w:line="240" w:lineRule="auto"/>
        <w:jc w:val="both"/>
        <w:rPr>
          <w:rFonts w:ascii="Calibri" w:eastAsia="Times New Roman" w:hAnsi="Calibri" w:cs="Calibri"/>
          <w:color w:val="000000"/>
        </w:rPr>
      </w:pPr>
    </w:p>
    <w:p w14:paraId="5489FD18" w14:textId="77777777" w:rsidR="000D6E63" w:rsidRPr="00E007B4" w:rsidRDefault="000D6E63" w:rsidP="000D6E63">
      <w:pPr>
        <w:spacing w:after="0" w:line="240" w:lineRule="auto"/>
        <w:jc w:val="both"/>
        <w:rPr>
          <w:rFonts w:ascii="Calibri" w:eastAsia="Times New Roman" w:hAnsi="Calibri" w:cs="Calibri"/>
          <w:color w:val="000000"/>
        </w:rPr>
      </w:pPr>
      <w:r>
        <w:rPr>
          <w:rFonts w:eastAsia="Times New Roman" w:cs="Calibri"/>
          <w:color w:val="000000"/>
          <w:u w:val="single"/>
        </w:rPr>
        <w:t xml:space="preserve">Data accessibility statement: </w:t>
      </w:r>
      <w:r>
        <w:rPr>
          <w:rFonts w:eastAsia="Times New Roman" w:cs="Calibri"/>
          <w:color w:val="000000"/>
        </w:rPr>
        <w:t xml:space="preserve">Data will be made accessible after publication on figshare via the link </w:t>
      </w:r>
      <w:r w:rsidRPr="001B28D2">
        <w:rPr>
          <w:rFonts w:eastAsia="Times New Roman" w:cs="Calibri"/>
          <w:color w:val="000000"/>
        </w:rPr>
        <w:t>https://doi.org/10.6084/m9.figshare.25359751</w:t>
      </w:r>
    </w:p>
    <w:p w14:paraId="63CA1A47" w14:textId="77777777" w:rsidR="000D6E63" w:rsidRPr="000D6E63" w:rsidRDefault="000D6E63" w:rsidP="000D6E63"/>
    <w:p w14:paraId="73FCF17E" w14:textId="77777777" w:rsidR="00B26A2C" w:rsidRPr="00DA5AE2" w:rsidRDefault="007F6878">
      <w:pPr>
        <w:pStyle w:val="Heading1"/>
        <w:jc w:val="both"/>
      </w:pPr>
      <w:r w:rsidRPr="00DA5AE2">
        <w:lastRenderedPageBreak/>
        <w:t>Abstract</w:t>
      </w:r>
    </w:p>
    <w:p w14:paraId="57134DDD" w14:textId="60A17F8E" w:rsidR="006D60B3" w:rsidRPr="00DA5AE2" w:rsidRDefault="006D60B3" w:rsidP="006D60B3">
      <w:pPr>
        <w:pStyle w:val="ListParagraph"/>
        <w:numPr>
          <w:ilvl w:val="0"/>
          <w:numId w:val="2"/>
        </w:numPr>
        <w:jc w:val="both"/>
      </w:pPr>
      <w:r w:rsidRPr="00DA5AE2">
        <w:t xml:space="preserve">Enhancing tree diversity </w:t>
      </w:r>
      <w:r w:rsidR="000F1F63" w:rsidRPr="00DA5AE2">
        <w:t xml:space="preserve">may </w:t>
      </w:r>
      <w:r w:rsidRPr="00DA5AE2">
        <w:t xml:space="preserve">be important to fostering resilience to drought-related climate extremes. So far, little attention has been given to whether tree diversity can </w:t>
      </w:r>
      <w:r w:rsidR="00872539" w:rsidRPr="00DA5AE2">
        <w:t>increase</w:t>
      </w:r>
      <w:r w:rsidRPr="00DA5AE2">
        <w:t xml:space="preserve"> the </w:t>
      </w:r>
      <w:r w:rsidR="00872539" w:rsidRPr="00DA5AE2">
        <w:t>survival</w:t>
      </w:r>
      <w:r w:rsidRPr="00DA5AE2">
        <w:t xml:space="preserve"> </w:t>
      </w:r>
      <w:r w:rsidR="00872539" w:rsidRPr="00DA5AE2">
        <w:t xml:space="preserve">of trees </w:t>
      </w:r>
      <w:r w:rsidRPr="00DA5AE2">
        <w:t>and</w:t>
      </w:r>
      <w:r w:rsidR="00872539" w:rsidRPr="00DA5AE2">
        <w:t xml:space="preserve"> reduce its variability in </w:t>
      </w:r>
      <w:r w:rsidRPr="00DA5AE2">
        <w:t xml:space="preserve">young forest plantations. </w:t>
      </w:r>
    </w:p>
    <w:p w14:paraId="4EC7892C" w14:textId="20D01E0D" w:rsidR="00B26A2C" w:rsidRPr="00DA5AE2" w:rsidRDefault="007F6878">
      <w:pPr>
        <w:pStyle w:val="ListParagraph"/>
        <w:numPr>
          <w:ilvl w:val="0"/>
          <w:numId w:val="2"/>
        </w:numPr>
        <w:jc w:val="both"/>
      </w:pPr>
      <w:r w:rsidRPr="00DA5AE2">
        <w:t xml:space="preserve">We conducted an analysis </w:t>
      </w:r>
      <w:r w:rsidR="004860D8" w:rsidRPr="00DA5AE2">
        <w:t>of</w:t>
      </w:r>
      <w:r w:rsidR="00396C56" w:rsidRPr="00DA5AE2">
        <w:t xml:space="preserve"> seedling and</w:t>
      </w:r>
      <w:r w:rsidR="004860D8" w:rsidRPr="00DA5AE2">
        <w:t xml:space="preserve"> </w:t>
      </w:r>
      <w:r w:rsidRPr="00DA5AE2">
        <w:t xml:space="preserve">sapling survival from 34 globally distributed tree diversity experiments (363 167 trees, 168 species, 3744 plots, 7 biomes) to answer two questions: 1) Do drought and tree diversity alter the mean and variability in plot-level tree survival, with </w:t>
      </w:r>
      <w:r w:rsidR="00142278" w:rsidRPr="00DA5AE2">
        <w:t xml:space="preserve">higher and </w:t>
      </w:r>
      <w:r w:rsidRPr="00DA5AE2">
        <w:t>less variab</w:t>
      </w:r>
      <w:r w:rsidR="00142278" w:rsidRPr="00DA5AE2">
        <w:t xml:space="preserve">le </w:t>
      </w:r>
      <w:r w:rsidRPr="00DA5AE2">
        <w:t xml:space="preserve">survival as diversity increases? and </w:t>
      </w:r>
      <w:bookmarkStart w:id="0" w:name="_Hlk144808630"/>
      <w:r w:rsidRPr="00DA5AE2">
        <w:t>2)</w:t>
      </w:r>
      <w:r w:rsidR="001E3495" w:rsidRPr="00DA5AE2">
        <w:t xml:space="preserve"> </w:t>
      </w:r>
      <w:bookmarkEnd w:id="0"/>
      <w:r w:rsidR="00EB31F2" w:rsidRPr="00DA5AE2">
        <w:t xml:space="preserve">Do species that survive </w:t>
      </w:r>
      <w:r w:rsidR="005D334E" w:rsidRPr="00DA5AE2">
        <w:t xml:space="preserve">poorly in </w:t>
      </w:r>
      <w:r w:rsidR="00B872E3" w:rsidRPr="00DA5AE2">
        <w:t>monocultures survive</w:t>
      </w:r>
      <w:r w:rsidR="007A3DFF" w:rsidRPr="00DA5AE2">
        <w:t xml:space="preserve"> </w:t>
      </w:r>
      <w:r w:rsidR="00EB31F2" w:rsidRPr="00DA5AE2">
        <w:t>better in mixtures</w:t>
      </w:r>
      <w:r w:rsidR="00B872E3" w:rsidRPr="00DA5AE2">
        <w:t xml:space="preserve"> and do</w:t>
      </w:r>
      <w:r w:rsidR="00EB31F2" w:rsidRPr="00DA5AE2">
        <w:t xml:space="preserve"> specific functional traits </w:t>
      </w:r>
      <w:r w:rsidR="00150C01" w:rsidRPr="00DA5AE2">
        <w:t>explain monoculture survival</w:t>
      </w:r>
      <w:r w:rsidR="007B7A75" w:rsidRPr="00DA5AE2">
        <w:t>?</w:t>
      </w:r>
    </w:p>
    <w:p w14:paraId="57E63600" w14:textId="12E7426F" w:rsidR="00B26A2C" w:rsidRPr="00DA5AE2" w:rsidRDefault="007F6878">
      <w:pPr>
        <w:pStyle w:val="ListParagraph"/>
        <w:numPr>
          <w:ilvl w:val="0"/>
          <w:numId w:val="2"/>
        </w:numPr>
        <w:jc w:val="both"/>
      </w:pPr>
      <w:r w:rsidRPr="00DA5AE2">
        <w:t xml:space="preserve">Tree species richness reduced variability in </w:t>
      </w:r>
      <w:r w:rsidR="003F41E5" w:rsidRPr="00DA5AE2">
        <w:t>plot</w:t>
      </w:r>
      <w:r w:rsidRPr="00DA5AE2">
        <w:t xml:space="preserve">-level survival, while functional diversity (Rao’s Q entropy) increased survival and also reduced its variability. Importantly, the reduction in survival variability became stronger as drought severity increased. We found that species with low survival in monocultures survived comparatively better in mixtures when under drought. </w:t>
      </w:r>
      <w:bookmarkStart w:id="1" w:name="_Hlk144715562"/>
      <w:r w:rsidRPr="00DA5AE2">
        <w:t>Species survival in monoculture was positively associated with drought resistance (indicated by hydraulic traits</w:t>
      </w:r>
      <w:r w:rsidR="00415072" w:rsidRPr="00DA5AE2">
        <w:t xml:space="preserve"> such as turgor loss point</w:t>
      </w:r>
      <w:r w:rsidRPr="00DA5AE2">
        <w:t xml:space="preserve">), plant height and </w:t>
      </w:r>
      <w:r w:rsidR="00CD446B" w:rsidRPr="00DA5AE2">
        <w:t xml:space="preserve">conservative resource-acquisition traits </w:t>
      </w:r>
      <w:r w:rsidRPr="00DA5AE2">
        <w:t>(</w:t>
      </w:r>
      <w:proofErr w:type="gramStart"/>
      <w:r w:rsidRPr="00DA5AE2">
        <w:t>e.g.</w:t>
      </w:r>
      <w:proofErr w:type="gramEnd"/>
      <w:r w:rsidRPr="00DA5AE2">
        <w:t xml:space="preserve"> low leaf </w:t>
      </w:r>
      <w:r w:rsidR="000933A5" w:rsidRPr="00DA5AE2">
        <w:t>nitrogen</w:t>
      </w:r>
      <w:r w:rsidR="00CD446B" w:rsidRPr="00DA5AE2">
        <w:t xml:space="preserve"> </w:t>
      </w:r>
      <w:r w:rsidRPr="00DA5AE2">
        <w:t xml:space="preserve">concentration </w:t>
      </w:r>
      <w:r w:rsidR="0072208D" w:rsidRPr="00DA5AE2">
        <w:t>and small</w:t>
      </w:r>
      <w:r w:rsidRPr="00DA5AE2">
        <w:t xml:space="preserve"> leaf size). </w:t>
      </w:r>
      <w:bookmarkEnd w:id="1"/>
    </w:p>
    <w:p w14:paraId="35B26FBF" w14:textId="59EA6E52" w:rsidR="00B26A2C" w:rsidRPr="00DA5AE2" w:rsidRDefault="007F6878" w:rsidP="009E49C7">
      <w:pPr>
        <w:pStyle w:val="ListParagraph"/>
        <w:numPr>
          <w:ilvl w:val="0"/>
          <w:numId w:val="2"/>
        </w:numPr>
        <w:jc w:val="both"/>
      </w:pPr>
      <w:r w:rsidRPr="00DA5AE2">
        <w:t xml:space="preserve">Synthesis. The findings highlight: 1) The effectiveness of tree diversity for decreasing the variability in </w:t>
      </w:r>
      <w:r w:rsidR="006A013A" w:rsidRPr="00DA5AE2">
        <w:t xml:space="preserve">seedling and </w:t>
      </w:r>
      <w:r w:rsidRPr="00DA5AE2">
        <w:t>sapling survival under drought, and 2) The importance of drought resistance and associated traits to explain altered tree species survival in response to tree diversity and</w:t>
      </w:r>
      <w:r w:rsidR="009E49C7" w:rsidRPr="00DA5AE2">
        <w:t xml:space="preserve"> </w:t>
      </w:r>
      <w:r w:rsidRPr="00DA5AE2">
        <w:t xml:space="preserve">drought. From an ecological perspective, we </w:t>
      </w:r>
      <w:r w:rsidR="00E5026B" w:rsidRPr="00DA5AE2">
        <w:t xml:space="preserve">recommend mixing be considered </w:t>
      </w:r>
      <w:r w:rsidR="004D01E6" w:rsidRPr="00DA5AE2">
        <w:t xml:space="preserve">to </w:t>
      </w:r>
      <w:r w:rsidRPr="00DA5AE2">
        <w:t>stabilize tree survival,</w:t>
      </w:r>
      <w:r w:rsidR="00D714C2" w:rsidRPr="00DA5AE2">
        <w:t xml:space="preserve"> particularly when functionally diverse </w:t>
      </w:r>
      <w:r w:rsidRPr="00DA5AE2">
        <w:t>forests</w:t>
      </w:r>
      <w:r w:rsidR="00D714C2" w:rsidRPr="00DA5AE2">
        <w:t xml:space="preserve"> w</w:t>
      </w:r>
      <w:r w:rsidR="004D01E6" w:rsidRPr="00DA5AE2">
        <w:t xml:space="preserve">ith drought-resistant species also promote high survival of </w:t>
      </w:r>
      <w:r w:rsidRPr="00DA5AE2">
        <w:t xml:space="preserve">drought sensitive species. </w:t>
      </w:r>
      <w:r w:rsidRPr="00DA5AE2">
        <w:br w:type="page"/>
      </w:r>
    </w:p>
    <w:p w14:paraId="1975D2BF" w14:textId="77777777" w:rsidR="00B26A2C" w:rsidRPr="00DA5AE2" w:rsidRDefault="007F6878">
      <w:pPr>
        <w:pStyle w:val="Heading1"/>
        <w:jc w:val="both"/>
      </w:pPr>
      <w:r w:rsidRPr="00DA5AE2">
        <w:lastRenderedPageBreak/>
        <w:t>Introduction</w:t>
      </w:r>
    </w:p>
    <w:p w14:paraId="5822B37D" w14:textId="2629C97E" w:rsidR="00B26A2C" w:rsidRPr="00DA5AE2" w:rsidRDefault="00A34286">
      <w:pPr>
        <w:jc w:val="both"/>
        <w:rPr>
          <w:lang w:val="nl-BE"/>
        </w:rPr>
      </w:pPr>
      <w:r w:rsidRPr="00DA5AE2">
        <w:rPr>
          <w:lang w:val="en-GB"/>
        </w:rPr>
        <w:t>Many publi</w:t>
      </w:r>
      <w:r w:rsidR="00AE645C" w:rsidRPr="00DA5AE2">
        <w:rPr>
          <w:lang w:val="en-GB"/>
        </w:rPr>
        <w:t>c actors such as p</w:t>
      </w:r>
      <w:r w:rsidR="007F6878" w:rsidRPr="00DA5AE2">
        <w:rPr>
          <w:lang w:val="en-GB"/>
        </w:rPr>
        <w:t>olicy makers</w:t>
      </w:r>
      <w:r w:rsidR="009410F1" w:rsidRPr="00DA5AE2">
        <w:rPr>
          <w:lang w:val="en-GB"/>
        </w:rPr>
        <w:t xml:space="preserve"> </w:t>
      </w:r>
      <w:r w:rsidR="007F6878" w:rsidRPr="00DA5AE2">
        <w:rPr>
          <w:lang w:val="en-GB"/>
        </w:rPr>
        <w:t xml:space="preserve">view tree planting as a pathway to offsetting anthropogenic </w:t>
      </w:r>
      <w:r w:rsidR="007F6878" w:rsidRPr="00DA5AE2">
        <w:rPr>
          <w:rStyle w:val="normaltextrun"/>
          <w:rFonts w:cs="Calibri"/>
          <w:color w:val="000000"/>
          <w:shd w:val="clear" w:color="auto" w:fill="FFFFFF"/>
          <w:lang w:val="en-GB"/>
        </w:rPr>
        <w:t>CO</w:t>
      </w:r>
      <w:r w:rsidR="007F6878" w:rsidRPr="00DA5AE2">
        <w:rPr>
          <w:rStyle w:val="normaltextrun"/>
          <w:rFonts w:cs="Calibri"/>
          <w:color w:val="000000"/>
          <w:sz w:val="17"/>
          <w:szCs w:val="17"/>
          <w:shd w:val="clear" w:color="auto" w:fill="FFFFFF"/>
          <w:vertAlign w:val="subscript"/>
          <w:lang w:val="en-GB"/>
        </w:rPr>
        <w:t>2</w:t>
      </w:r>
      <w:r w:rsidR="007F6878" w:rsidRPr="00DA5AE2">
        <w:rPr>
          <w:lang w:val="en-GB"/>
        </w:rPr>
        <w:t xml:space="preserve"> </w:t>
      </w:r>
      <w:r w:rsidR="007F6878" w:rsidRPr="00DA5AE2">
        <w:rPr>
          <w:rStyle w:val="normaltextrun"/>
          <w:rFonts w:cs="Calibri"/>
          <w:color w:val="000000"/>
          <w:lang w:val="en-GB"/>
        </w:rPr>
        <w:t xml:space="preserve">emissions </w:t>
      </w:r>
      <w:r w:rsidR="007F6878" w:rsidRPr="00DA5AE2">
        <w:fldChar w:fldCharType="begin" w:fldLock="1"/>
      </w:r>
      <w:r w:rsidR="00F14052">
        <w:instrText>ADDIN CSL_CITATION {"citationItems":[{"id":"ITEM-1","itemData":{"DOI":"10.1111/rec.12512","ISSN":"1526100X","abstract":"© 2017 Society for Ecological Restoration The Bonn Challenge, a global effort to begin restoring 350 million hectares of degraded forest landscapes by 2030, was launched in 2011. To date countries have committed to restore more than 60 million hectares as part of the Bonn Challenge. As global decision-makers, governments, and communities join the effort to restore degraded land, new questions about the economics of restoration have emerged. Critics argue that restoration takes too long, costs too much, and produces too few benefits to justify public or private expenditures. This paper addresses these concerns by presenting a methodology for valuing the net benefits of large-scale ecosystem restoration initiatives by estimating the net benefit of achieving the Bonn Challenge. This paper also estimates the net benefit of achieving the Bonn Challenge restoration target under different social discounting regimes, different valuations of public goods, and different time horizons to see how they affect the argument for investing society's scarce resources in restoration. The results suggest that achieving the Bonn Challenge would generate a net benefit of between U.S.$0.7 and U.S.$9 trillion. The results show that restoration can create benefits that exceed its costs and that the value of these benefits might differ depending on the discount rate. The results show that lower social discount rates correspond to higher restoration rates. This suggests that the Bonn Challenge target is more likely to be met when a low social discount rate is used to discount the benefits and costs of restoration.","author":[{"dropping-particle":"","family":"Verdone","given":"Michael","non-dropping-particle":"","parse-names":false,"suffix":""},{"dropping-particle":"","family":"Seidl","given":"Andrew","non-dropping-particle":"","parse-names":false,"suffix":""}],"container-title":"Restoration Ecology","id":"ITEM-1","issue":"6","issued":{"date-parts":[["2017"]]},"page":"903-911","title":"Time, space, place, and the Bonn Challenge global forest restoration target","type":"article-journal","volume":"25"},"uris":["http://www.mendeley.com/documents/?uuid=2c8e5683-a257-4dc7-a1c6-dd3ad6dd5f91"]},{"id":"ITEM-2","itemData":{"DOI":"10.1007/s10113-019-01481-z","ISSN":"1436378X","abstract":"Over the past 50 years, a large number of development initiatives have addressed the diverse social and ecological challenges in the Sahel, often focusing on a single entry point or action, resulting in only a limited degree of success. Within the last decade, the international development discourse has evolved to incorporate resilience thinking as a way to address more complex challenges. However, concrete examples as to how to operationalize resilience thinking are lacking. The Great Green Wall for the Sahara and the Sahel Initiative (GGW), a pan-African program with a strong reforestation focus, is the latest and most ambitious of these development programs to date. The GGW represents an ideal opportunity to apply resilience thinking at a large scale, but in order to do so, it must intelligently gather and centralize pre-existing interdisciplinary knowledge, generate new knowledge, and integrate knowledge systems to appropriately navigate future uncertainties of the diverse social-ecological systems along its path. Herein, after a brief description of large-scale reforestation history in the Sahara and Sahel and the conceptual evolution of the GGW, we propose a transdisciplinary research framework with resilience thinking at its core. It includes analysis of complex social-ecological systems, their temporal and spatial cross-scale interactions, and outcomes focused on the supply of abundant, diverse, equitable, and durable ecosystem services to support livelihoods in the region. If the research areas that comprise the framework were to be properly addressed, they could conceivably guide GGW actions in a way that would contribute to desirable future pathways.","author":[{"dropping-particle":"","family":"Goffner","given":"Deborah","non-dropping-particle":"","parse-names":false,"suffix":""},{"dropping-particle":"","family":"Sinare","given":"Hanna","non-dropping-particle":"","parse-names":false,"suffix":""},{"dropping-particle":"","family":"Gordon","given":"Line J.","non-dropping-particle":"","parse-names":false,"suffix":""}],"container-title":"Regional Environmental Change","id":"ITEM-2","issue":"5","issued":{"date-parts":[["2019"]]},"page":"1417-1428","publisher":"Regional Environmental Change","title":"The Great Green Wall for the Sahara and the Sahel Initiative as an opportunity to enhance resilience in Sahelian landscapes and livelihoods","type":"article-journal","volume":"19"},"uris":["http://www.mendeley.com/documents/?uuid=b5e650ee-fbcd-44d3-b473-c2e0583afb83"]},{"id":"ITEM-3","itemData":{"DOI":"10.1111/gcb.15513","ISSN":"1354-1013","author":[{"dropping-particle":"","family":"Seddon","given":"Nathalie","non-dropping-particle":"","parse-names":false,"suffix":""},{"dropping-particle":"","family":"Smith","given":"Alison","non-dropping-particle":"","parse-names":false,"suffix":""},{"dropping-particle":"","family":"Smith","given":"Pete","non-dropping-particle":"","parse-names":false,"suffix":""},{"dropping-particle":"","family":"Key","given":"Isabel","non-dropping-particle":"","parse-names":false,"suffix":""},{"dropping-particle":"","family":"Chausson","given":"Alexandre","non-dropping-particle":"","parse-names":false,"suffix":""},{"dropping-particle":"","family":"Girardin","given":"Cécile","non-dropping-particle":"","parse-names":false,"suffix":""},{"dropping-particle":"","family":"House","given":"Jo","non-dropping-particle":"","parse-names":false,"suffix":""},{"dropping-particle":"","family":"Srivastava","given":"Shilpi","non-dropping-particle":"","parse-names":false,"suffix":""},{"dropping-particle":"","family":"Turner","given":"Beth","non-dropping-particle":"","parse-names":false,"suffix":""}],"container-title":"Global Change Biology",</w:instrText>
      </w:r>
      <w:r w:rsidR="00F14052">
        <w:rPr>
          <w:rFonts w:hint="eastAsia"/>
        </w:rPr>
        <w:instrText>"id":"ITEM-3","issue":"8","issued":{"date-parts":[["2021","4"]]},"page":"1518-1546","title":"Getting the message right on nature</w:instrText>
      </w:r>
      <w:r w:rsidR="00F14052">
        <w:rPr>
          <w:rFonts w:hint="eastAsia"/>
        </w:rPr>
        <w:instrText>‐</w:instrText>
      </w:r>
      <w:r w:rsidR="00F14052">
        <w:rPr>
          <w:rFonts w:hint="eastAsia"/>
        </w:rPr>
        <w:instrText>based solutions to climate change","type":"article-journal","volume":"27"},"uris":["http://www.mendeley.com/documents/?uuid=f9</w:instrText>
      </w:r>
      <w:r w:rsidR="00F14052">
        <w:instrText>0fd9a0-e307-47a4-a36a-50decfe37822"]}],"mendeley":{"formattedCitation":"(Goffner, Sinare, &amp; Gordon, 2019; Seddon et al., 2021; Verdone &amp; Seidl, 2017)","plainTextFormattedCitation":"(Goffner, Sinare, &amp; Gordon, 2019; Seddon et al., 2021; Verdone &amp; Seidl, 2017)","previouslyFormattedCitation":"(Verdone &amp; Seidl, 2017; Goffner, Sinare, &amp; Gordon, 2019; Seddon et al., 2021)"},"properties":{"noteIndex":0},"schema":"https://github.com/citation-style-language/schema/raw/master/csl-citation.json"}</w:instrText>
      </w:r>
      <w:r w:rsidR="007F6878" w:rsidRPr="00DA5AE2">
        <w:fldChar w:fldCharType="separate"/>
      </w:r>
      <w:bookmarkStart w:id="2" w:name="Bookmark"/>
      <w:r w:rsidR="00F14052" w:rsidRPr="00F14052">
        <w:rPr>
          <w:noProof/>
          <w:color w:val="000000"/>
        </w:rPr>
        <w:t>(Goffner, Sinare, &amp; Gordon, 2019; Seddon et al., 2021; Verdone &amp; Seidl, 2017)</w:t>
      </w:r>
      <w:r w:rsidR="007F6878" w:rsidRPr="00DA5AE2">
        <w:fldChar w:fldCharType="end"/>
      </w:r>
      <w:bookmarkEnd w:id="2"/>
      <w:r w:rsidR="007F6878" w:rsidRPr="00DA5AE2">
        <w:rPr>
          <w:lang w:val="en-GB"/>
        </w:rPr>
        <w:t>.</w:t>
      </w:r>
      <w:r w:rsidR="007F6878" w:rsidRPr="00DA5AE2">
        <w:t xml:space="preserve"> Large</w:t>
      </w:r>
      <w:r w:rsidR="007F6878" w:rsidRPr="00DA5AE2">
        <w:rPr>
          <w:lang w:val="en-GB"/>
        </w:rPr>
        <w:t xml:space="preserve">-scale monoculture plantations with fast-growing species are often favoured to quickly increase </w:t>
      </w:r>
      <w:r w:rsidR="00177544" w:rsidRPr="00DA5AE2">
        <w:rPr>
          <w:lang w:val="en-GB"/>
        </w:rPr>
        <w:t>both</w:t>
      </w:r>
      <w:r w:rsidR="007F6878" w:rsidRPr="00DA5AE2">
        <w:rPr>
          <w:lang w:val="en-GB"/>
        </w:rPr>
        <w:t xml:space="preserve"> forested </w:t>
      </w:r>
      <w:r w:rsidR="00177544" w:rsidRPr="00DA5AE2">
        <w:rPr>
          <w:lang w:val="en-GB"/>
        </w:rPr>
        <w:t>cover</w:t>
      </w:r>
      <w:r w:rsidR="007F6878" w:rsidRPr="00DA5AE2">
        <w:rPr>
          <w:lang w:val="en-GB"/>
        </w:rPr>
        <w:t xml:space="preserve"> and carbon sequestration </w:t>
      </w:r>
      <w:r w:rsidR="007F6878" w:rsidRPr="00DA5AE2">
        <w:fldChar w:fldCharType="begin" w:fldLock="1"/>
      </w:r>
      <w:r w:rsidR="007F6878" w:rsidRPr="00DA5AE2">
        <w:instrText>ADDIN CSL_CITATION {"citationItems":[{"id":"ITEM-1","itemData":{"abstract":"Plans to triple the area of plantations will not meet 1.5 °C climate goals. New natural forests can, argue Simon L. Lewis, Charlotte E. Wheeler and colleagues","author":[{"dropping-particle":"","family":"Lewis","given":"Simon L.","non-dropping-particle":"","parse-names":false,"suffix":""},{"dropping-particle":"","family":"Wheeler","given":"Charlotte E.","non-dropping-particle":"","parse-names":false,"suffix":""},{"dropping-particle":"","family":"Mitchard","given":"Edward T.A.","non-dropping-particle":"","parse-names":false,"suffix":""},{"dropping-particle":"","family":"Koch","given":"Alexander","non-dropping-particle":"","parse-names":false,"suffix":""}],"container-title":"Nature","id":"ITEM-1","issued":{"date-parts":[["2019"]]},"page":"25-28","title":"Regenerate natural forests to store carbon","type":"article-journal","volume":"568"},"uris":["http://www.mendeley.com/documents/?uuid=7e60f10d-406d-40e4-83d9-b9470aebf885"]},{"id":"ITEM-2","itemData":{"DOI":"10.1038/s41558-019-0405-0","ISSN":"1758-678X","abstract":"Carbon mitigation efforts often focus on the world’s poorest people, dealing with topics such as food and energy security, and increased emissions potential from projected population, income and consumption growth. However, more policies are needed that target people at the opposite end of the social ladder — the super-rich.","author":[{"dropping-particle":"","family":"Seddon","given":"Nathalie","non-dropping-particle":"","parse-names":false,"suffix":""},{"dropping-particle":"","family":"Turner","given":"Beth","non-dropping-particle":"","parse-names":false,"suffix":""},{"dropping-particle":"","family":"Berry","given":"Pam","non-dropping-particle":"","parse-names":false,"suffix":""},{"dropping-particle":"","family":"Chausson","given":"Alexandre","non-dropping-particle":"","parse-names":false,"suffix":""},{"dropping-particle":"","family":"Girardin","given":"Cécile A. J.","non-dropping-particle":"","parse-names":false,"suffix":""}],"container-title":"Nature Climate Change","id":"ITEM-2","issue":"2","issued":{"date-parts":[["2019","2","28"]]},"page":"84-87","title":"Grounding nature-based climate solutions in sound biodiversity science","type":"article-journal","volume":"9"},"uris":["http://www.mendeley.com/documents/?uuid=9f7f3b9d-09a9-4d08-b9f5-771c57cd7c97"]}],"mendeley":{"formattedCitation":"(Lewis, Wheeler, Mitchard, &amp; Koch, 2019; Seddon, Turner, Berry, Chausson, &amp; Girardin, 2019)","plainTextFormattedCitation":"(Lewis, Wheeler, Mitchard, &amp; Koch, 2019; Seddon, Turner, Berry, Chausson, &amp; Girardin, 2019)","previouslyFormattedCitation":"(Lewis, Wheeler, Mitchard, &amp; Koch, 2019; Seddon, Turner, Berry, Chausson, &amp; Girardin, 2019)"},"properties":{"noteIndex":0},"schema":"https://github.com/citation-style-language/schema/raw/master/csl-citation.json"}</w:instrText>
      </w:r>
      <w:r w:rsidR="007F6878" w:rsidRPr="00DA5AE2">
        <w:fldChar w:fldCharType="separate"/>
      </w:r>
      <w:bookmarkStart w:id="3" w:name="Bookmark1"/>
      <w:r w:rsidR="007F6878" w:rsidRPr="00DA5AE2">
        <w:rPr>
          <w:noProof/>
          <w:lang w:val="en-GB"/>
        </w:rPr>
        <w:t>(Lewis, Wheeler, Mitchard, &amp; Koch, 2019; Seddon, Turner, Berry, Chausson, &amp; Girardin, 2019)</w:t>
      </w:r>
      <w:r w:rsidR="007F6878" w:rsidRPr="00DA5AE2">
        <w:fldChar w:fldCharType="end"/>
      </w:r>
      <w:bookmarkEnd w:id="3"/>
      <w:r w:rsidR="007F6878" w:rsidRPr="00DA5AE2">
        <w:rPr>
          <w:lang w:val="en-GB"/>
        </w:rPr>
        <w:t xml:space="preserve">. Yet, such monocultures may trade off short-term productivity against other ecosystem functions </w:t>
      </w:r>
      <w:r w:rsidR="007F6878" w:rsidRPr="00DA5AE2">
        <w:fldChar w:fldCharType="begin" w:fldLock="1"/>
      </w:r>
      <w:r w:rsidR="00F14052">
        <w:instrText>ADDIN CSL_CITATION {"citationItems":[{"id":"ITEM-1","itemData":{"DOI":"10.1038/ncomms11109","ISSN":"2041-1723","author":[{"dropping-particle":"","family":"Plas","given":"Fons","non-dropping-particle":"van der","parse-names":false,"suffix":""},{"dropping-particle":"","family":"Manning","given":"Peter","non-dropping-particle":"","parse-names":false,"suffix":""},{"dropping-particle":"","family":"Allan","given":"Eric","non-dropping-particle":"","parse-names":false,"suffix":""},{"dropping-particle":"","family":"Scherer-Lorenzen","given":"Michael","non-dropping-particle":"","parse-names":false,"suffix":""},{"dropping-particle":"","family":"Verheyen","given":"Kris","non-dropping-particle":"","parse-names":false,"suffix":""},{"dropping-particle":"","family":"Wirth","given":"Christian","non-dropping-particle":"","parse-names":false,"suffix":""},{"dropping-particle":"","family":"Zavala","given":"Miguel A","non-dropping-particle":"","parse-names":false,"suffix":""},{"dropping-particle":"","family":"Hector","given":"Andy","non-dropping-particle":"","parse-names":false,"suffix":""},{"dropping-particle":"","family":"Ampoorter","given":"Evy","non-dropping-particle":"","parse-names":false,"suffix":""},{"dropping-particle":"","family":"Baeten","given":"Lander","non-dropping-particle":"","parse-names":false,"suffix":""},{"dropping-particle":"","family":"Barbaro","given":"Luc","non-dropping-particle":"","parse-names":false,"suffix":""},{"dropping-particle":"","family":"Bauhus","given":"Jürgen","non-dropping-particle":"","parse-names":false,"suffix":""},{"dropping-particle":"","family":"Benavides","given":"Raquel","non-dropping-particle":"","parse-names":false,"suffix":""},{"dropping-particle":"","family":"Benneter","given":"Adam","non-dropping-particle":"","parse-names":false,"suffix":""},{"dropping-particle":"","family":"Berthold","given":"Felix","non-dropping-particle":"","parse-names":false,"suffix":""},{"dropping-particle":"","family":"Bonal","given":"Damien","non-dropping-particle":"","parse-names":false,"suffix":""},{"dropping-particle":"","family":"Bouriaud","given":"Olivier","non-dropping-particle":"","parse-names":false,"suffix":""},{"dropping-particle":"","family":"Bruelheide","given":"Helge","non-dropping-particle":"","parse-names":false,"suffix":""},{"dropping-particle":"","family":"Bussotti","given":"Filippo","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oomes","given":"David","non-dropping-particle":"","parse-names":false,"suffix":""},{"dropping-particle":"","family":"Coppi","given":"Andrea","non-dropping-particle":"","parse-names":false,"suffix":""},{"dropping-particle":"","family":"Bastias","given":"Cristina C.","non-dropping-particle":"","parse-names":false,"suffix":""},{"dropping-particle":"","family":"Muhie Dawud","given":"Seid","non-dropping-particle":"","parse-names":false,"suffix":""},{"dropping-particle":"","family":"Wandeler","given":"Hans","non-dropping-particle":"De","parse-names":false,"suffix":""},{"dropping-particle":"","family":"Domisch","given":"Timo","non-dropping-particle":"","parse-names":false,"suffix":""},{"dropping-particle":"","family":"Finér","given":"Leena","non-dropping-particle":"","parse-names":false,"suffix":""},{"dropping-particle":"","family":"Gessler","given":"Arthur","non-dropping-particle":"","parse-names":false,"suffix":""},{"dropping-particle":"","family":"Granier","given":"André","non-dropping-particle":"","parse-names":false,"suffix":""},{"dropping-particle":"","family":"Grossiord","given":"Charlotte","non-dropping-particle":"","parse-names":false,"suffix":""},{"dropping-particle":"","family":"Guyot","given":"Virginie","non-dropping-particle":"","parse-names":false,"suffix":""},{"dropping-particle":"","family":"Hättenschwiler","given":"Stephan","non-dropping-particle":"","parse-names":false,"suffix":""},{"dropping-particle":"","family":"Jactel","given":"Hervé","non-dropping-particle":"","parse-names":false,"suffix":""},{"dropping-particle":"","family":"Jaroszewicz","given":"Bogdan","non-dropping-particle":"","parse-names":false,"suffix":""},{"dropping-particle":"","family":"Joly","given":"François-Xavier","non-dropping-particle":"","parse-names":false,"suffix":""},{"dropping-particle":"","family":"Jucker","given":"Tommaso","non-dropping-particle":"","parse-names":false,"suffix":""},{"dropping-particle":"","family":"Koricheva","given":"Julia","non-dropping-particle":"","parse-names":false,"suffix":""},{"dropping-particle":"","family":"Milligan","given":"Harriet","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Pollastrini","given":"Martina","non-dropping-particle":"","parse-names":false,"suffix":""},{"dropping-particle":"","family":"Raulund-Rasmussen","given":"Karsten","non-dropping-particle":"","parse-names":false,"suffix":""},{"dropping-particle":"","family":"Selvi","given":"Federico","non-dropping-particle":"","parse-names":false,"suffix":""},{"dropping-particle":"","family":"Stenlid","given":"Jan","non-dropping-particle":"","parse-names":false,"suffix":""},{"dropping-particle":"","family":"Valladares","given":"Fernando","non-dropping-particle":"","parse-names":false,"suffix":""},{"dropping-particle":"","family":"Vesterdal","given":"Lars","non-dropping-particle":"","parse-names":false,"suffix":""},{"dropping-particle":"","family":"Zielínski","given":"Dawid","non-dropping-particle":"","parse-names":false,"suffix":""},{"dropping-particle":"","family":"Fischer","given":"Markus","non-dropping-particle":"","parse-names":false,"suffix":""}],"container-title":"Nature Communications","id":"ITEM-1","issue":"1","issued":{"date-parts":[["2016","9","24"]]},"page":"11109","title":"Jack-of-all-trades effects drive biodiversity–ecosystem multifunctionality relationships in European forests","type":"article-journal","volume":"7"},"uris":["http://www.mendeley.com/documents/?uuid=005b7b95-62bc-48aa-b72e-3c2f12862cc6"]},{"id":"ITEM-2","itemData":{"DOI":"10.1111/1365-2664.13308","ISSN":"13652664","abstract":"© 2018 The Authors. Journal of Applied Ecology © 2018 British Ecological Society Forest ecosystem functioning generally benefits from higher tree species richness, but variation within richness levels is typically large. This is mostly due to the contrasting performances of communities with different compositions. Evidence-based understanding of composition effects on forest productivity, as well as on multiple other functions will enable forest managers to focus on the selection of species that maximize functioning, rather than on diversity per se. We used a dataset of 30 ecosystem functions measured in stands with different species richness and composition in six European forest types. First, we quantified whether the compositions that maximize annual above-ground wood production (productivity) generally also fulfil the multiple other ecosystem functions (multifunctionality). Then, we quantified the species identity effects and strength of interspecific interactions to identify the “best” and “worst” species composition for multifunctionality. Finally, we evaluated the real-world frequency of occurrence of best and worst mixtures, using harmonized data from multiple national forest inventories. The most productive tree species combinations also tended to express relatively high multifunctionality, although we found a relatively wide range of compositions with high- or low-average multifunctionality for the same level of productivity. Monocultures were distributed among the highest as well as the lowest performing compositions. The variation in functioning between compositions was generally driven by differences in the performance of the component species and, to a lesser extent, by particular interspecific interactions. Finally, we found that the most frequent species compositions in inventory data were monospecific stands and that the most common compositions showed below-average multifunctionality and productivity. Synthesis and applications. Species identity and composition effects are essential to the development of high-performing production systems, for instance in forestry and agriculture. They therefore deserve great attention in the analysis and design of functional biodiversity studies if the aim is to inform ecosystem management. A management focus on tree productivity does not necessarily trade-off against other ecosystem functions; high productivity and multifunctionality can be combined with an informed selection of tree species and spec…","author":[{"dropping-particle":"","family":"Baeten","given":"Lander","non-dropping-particle":"","parse-names":false,"suffix":""},{"dropping-particle":"","family":"Bruelheide","given":"Helge","non-dropping-particle":"","parse-names":false,"suffix":""},{"dropping-particle":"","family":"Plas","given":"Fons","non-dropping-particle":"van der","parse-names":false,"suffix":""},{"dropping-particle":"","family":"Kambach","given":"Stephan","non-dropping-particle":"","parse-names":false,"suffix":""},{"dropping-particle":"","family":"Ratcliffe","given":"Sophia","non-dropping-particle":"","parse-names":false,"suffix":""},{"dropping-particle":"","family":"Jucker","given":"Tommaso","non-dropping-particle":"","parse-names":false,"suffix":""},{"dropping-particle":"","family":"Allan","given":"Eric","non-dropping-particle":"","parse-names":false,"suffix":""},{"dropping-particle":"","family":"Ampoorter","given":"Evy","non-dropping-particle":"","parse-names":false,"suffix":""},{"dropping-particle":"","family":"Barbaro","given":"Luc","non-dropping-particle":"","parse-names":false,"suffix":""},{"dropping-particle":"","family":"Bastias","given":"Cristina C.","non-dropping-particle":"","parse-names":false,"suffix":""},{"dropping-particle":"","family":"Bauhus","given":"Jürgen","non-dropping-particle":"","parse-names":false,"suffix":""},{"dropping-particle":"","family":"Benavides","given":"Raquel","non-dropping-particle":"","parse-names":false,"suffix":""},{"dropping-particle":"","family":"Bonal","given":"Damien","non-dropping-particle":"","parse-names":false,"suffix":""},{"dropping-particle":"","family":"Bouriaud","given":"Olivier","non-dropping-particle":"","parse-names":false,"suffix":""},{"dropping-particle":"","family":"Bussotti","given":"Filippo","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hećko","given":"Ewa","non-dropping-particle":"","parse-names":false,"suffix":""},{"dropping-particle":"","family":"Coomes","given":"David A.","non-dropping-particle":"","parse-names":false,"suffix":""},{"dropping-particle":"","family":"Dahlgren","given":"Jonas","non-dropping-particle":"","parse-names":false,"suffix":""},{"dropping-particle":"","family":"Dawud","given":"Seid Muhie","non-dropping-particle":"","parse-names":false,"suffix":""},{"dropping-particle":"","family":"Wandeler","given":"Hans","non-dropping-particle":"De","parse-names":false,"suffix":""},{"dropping-particle":"","family":"Domisch","given":"Timo","non-dropping-particle":"","parse-names":false,"suffix":""},{"dropping-particle":"","family":"Finér","given":"Leena","non-dropping-particle":"","parse-names":false,"suffix":""},{"dropping-particle":"","family":"Fischer","given":"Markus","non-dropping-particle":"","parse-names":false,"suffix":""},{"dropping-particle":"","family":"Fotelli","given":"Mariangela","non-dropping-particle":"","parse-names":false,"suffix":""},{"dropping-particle":"","family":"Gessler","given":"Arthur","non-dropping-particle":"","parse-names":false,"suffix":""},{"dropping-particle":"","family":"Grossiord","given":"Charlotte","non-dropping-particle":"","parse-names":false,"suffix":""},{"dropping-particle":"","family":"Guyot","given":"Virginie","non-dropping-particle":"","parse-names":false,"suffix":""},{"dropping-particle":"","family":"Hättenschwiler","given":"Stephan","non-dropping-particle":"","parse-names":false,"suffix":""},{"dropping-particle":"","family":"Jactel","given":"Hervé","non-dropping-particle":"","parse-names":false,"suffix":""},{"dropping-particle":"","family":"Jaroszewicz","given":"Bogdan","non-dropping-particle":"","parse-names":false,"suffix":""},{"dropping-particle":"","family":"Joly","given":"François Xavier","non-dropping-particle":"","parse-names":false,"suffix":""},{"dropping-particle":"","family":"Koricheva","given":"Julia","non-dropping-particle":"","parse-names":false,"suffix":""},{"dropping-particle":"","family":"Lehtonen","given":"Aleksi","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Pollastrini","given":"Martina","non-dropping-particle":"","parse-names":false,"suffix":""},{"dropping-particle":"","family":"Radoglou","given":"Kalliopi","non-dropping-particle":"","parse-names":false,"suffix":""},{"dropping-particle":"","family":"Raulund-Rasmussen","given":"Karsten","non-dropping-particle":"","parse-names":false,"suffix":""},{"dropping-particle":"","family":"Ruiz-Benito","given":"Paloma","non-dropping-particle":"","parse-names":false,"suffix":""},{"dropping-particle":"","family":"Selvi","given":"Federico","non-dropping-particle":"","parse-names":false,"suffix":""},{"dropping-particle":"","family":"Stenlid","given":"Jan","non-dropping-particle":"","parse-names":false,"suffix":""},{"dropping-particle":"","family":"Valladares","given":"Fernando","non-dropping-particle":"","parse-names":false,"suffix":""},{"dropping-particle":"","family":"Vesterdal","given":"Lars","non-dropping-particle":"","parse-names":false,"suffix":""},{"dropping-particle":"","family":"Verheyen","given":"Kris","non-dropping-particle":"","parse-names":false,"suffix":""},{"dropping-particle":"","family":"Wirth","given":"Christian","non-dropping-particle":"","parse-names":false,"suffix":""},{"dropping-particle":"","family":"Zavala","given":"Miguel A.","non-dropping-particle":"","parse-names":false,"suffix":""},{"dropping-particle":"","family":"Scherer-Lorenzen","given":"Michael","non-dropping-particle":"","parse-names":false,"suffix":""}],"container-title":"Journal of Applied Ecology","id":"ITEM-2","issue":"3","issued":{"date-parts":[["2019"]]},"page":"733-744","title":"Identifying the tree species compositions that maximize ecosystem functioning in European forests","type":"article-journal","volume":"56"},"uris":["http://www.mendeley.com/documents/?uuid=027fd797-ddc8-4bbd-9c97-68795ece6015"]},{"id":"ITEM-3","itemData":{"DOI":"10.1038/s41467-022-31380-7","ISSN":"20411723","PMID":"35902561","abstract":"Restoring forest cover is a key action for mitigating climate change. Although monoculture plantations dominate existing commitments to restore forest cover, we lack a synthetic view of how carbon accumulates in these systems. Here, we assemble a global database of 4756 field-plot measurements from monoculture plantations across all forested continents. With these data, we model carbon accumulation in aboveground live tree biomass and examine the biological, environmental, and human drivers that influence this growth. Our results identify four-fold variation in carbon accumulation rates across tree genera, plant functional types, and biomes, as well as the key mediators (e.g., genus of tree, endemism of species, prior land use) of variation in these rates. Our nonlinear growth models advance our understanding of carbon accumulation in forests relative to mean annual rates, particularly during the next few decades that are critical for mitigating climate change.","author":[{"dropping-particle":"","family":"Bukoski","given":"Jacob J.","non-dropping-particle":"","parse-names":false,"suffix":""},{"dropping-particle":"","family":"Cook-Patton","given":"Susan C.","non-dropping-particle":"","parse-names":false,"suffix":""},{"dropping-particle":"","family":"Melikov","given":"Cyril","non-dropping-particle":"","parse-names":false,"suffix":""},{"dropping-particle":"","family":"Ban","given":"Hongyi","non-dropping-particle":"","parse-names":false,"suffix":""},{"dropping-particle":"","family":"Chen","given":"Jessica L.","non-dropping-particle":"","parse-names":false,"suffix":""},{"dropping-particle":"","family":"Goldman","given":"Elizabeth D.","non-dropping-particle":"","parse-names":false,"suffix":""},{"dropping-particle":"","family":"Harris","given":"Nancy L.","non-dropping-particle":"","parse-names":false,"suffix":""},{"dropping-particle":"","family":"Potts","given":"Matthew D.","non-dropping-particle":"","parse-names":false,"suffix":""}],"container-title":"Nature Communications","id":"ITEM-3","issue":"1","issued":{"date-parts":[["2022"]]},"page":"1-13","publisher":"Springer US","title":"Rates and drivers of aboveground carbon accumulation in global monoculture plantation forests","type":"article-journal","volume":"13"},"uris":["http://www.mendeley.com/documents/?uuid=6220952f-bd3f-436a-939a-7ce04c7c3237"]}],"mendeley":{"formattedCitation":"(Baeten et al., 2019; Bukoski et al., 2022; van der Plas et al., 2016)","plainTextFormattedCitation":"(Baeten et al., 2019; Bukoski et al., 2022; van der Plas et al., 2016)","previouslyFormattedCitation":"(van der Plas et al., 2016; Baeten et al., 2019; Bukoski et al., 2022)"},"properties":{"noteIndex":0},"schema":"https://github.com/citation-style-language/schema/raw/master/csl-citation.json"}</w:instrText>
      </w:r>
      <w:r w:rsidR="007F6878" w:rsidRPr="00DA5AE2">
        <w:fldChar w:fldCharType="separate"/>
      </w:r>
      <w:bookmarkStart w:id="4" w:name="Bookmark2"/>
      <w:r w:rsidR="00F14052" w:rsidRPr="00F14052">
        <w:rPr>
          <w:noProof/>
          <w:lang w:val="en-GB"/>
        </w:rPr>
        <w:t>(Baeten et al., 2019; Bukoski et al., 2022; van der Plas et al., 2016)</w:t>
      </w:r>
      <w:r w:rsidR="007F6878" w:rsidRPr="00DA5AE2">
        <w:fldChar w:fldCharType="end"/>
      </w:r>
      <w:bookmarkEnd w:id="4"/>
      <w:r w:rsidR="007F6878" w:rsidRPr="00DA5AE2">
        <w:t xml:space="preserve">, </w:t>
      </w:r>
      <w:r w:rsidR="007F6878" w:rsidRPr="00DA5AE2">
        <w:rPr>
          <w:lang w:val="en-GB"/>
        </w:rPr>
        <w:t>potentially</w:t>
      </w:r>
      <w:r w:rsidR="007F6878" w:rsidRPr="00DA5AE2">
        <w:t xml:space="preserve"> at the cost of </w:t>
      </w:r>
      <w:r w:rsidR="007F6878" w:rsidRPr="00DA5AE2">
        <w:rPr>
          <w:lang w:val="en-GB"/>
        </w:rPr>
        <w:t xml:space="preserve">long-term productivity and </w:t>
      </w:r>
      <w:r w:rsidR="00D80814" w:rsidRPr="00DA5AE2">
        <w:rPr>
          <w:lang w:val="en-GB"/>
        </w:rPr>
        <w:t>resistance</w:t>
      </w:r>
      <w:r w:rsidR="007F6878" w:rsidRPr="00DA5AE2">
        <w:rPr>
          <w:lang w:val="en-GB"/>
        </w:rPr>
        <w:t xml:space="preserve"> to </w:t>
      </w:r>
      <w:r w:rsidR="00D80814" w:rsidRPr="00DA5AE2">
        <w:t xml:space="preserve">disturbance factors </w:t>
      </w:r>
      <w:r w:rsidR="007F6878" w:rsidRPr="00DA5AE2">
        <w:fldChar w:fldCharType="begin" w:fldLock="1"/>
      </w:r>
      <w:r w:rsidR="00F14052">
        <w:instrText>ADDIN CSL_CITATION {"citationItems":[{"id":"ITEM-1","itemData":{"DOI":"10.1007/s13280-015-0749-2","ISSN":"16547209","PMID":"26744048","abstract":"Whereas there is evidence that mixed-species approaches to production forestry in general can provide positive outcomes relative to monocultures, it is less clear to what extent multiple benefits can be derived from specific mixed-species alternatives. To provide such insights requires evaluations of an encompassing suite of ecosystem services, biodiversity, and forest management considerations provided by specific mixtures and monocultures within a region. Here, we conduct such an assessment in Sweden by contrasting even-aged Norway spruce (Piceaabies)-dominated stands, with mixed-species stands of spruce and birch (Betula pendula or B. pubescens), or spruce and Scots pine (Pinussylvestris). By synthesizing the available evidence, we identify positive outcomes from mixtures including increased biodiversity, water quality, esthetic and recreational values, as well as reduced stand vulnerability to pest and pathogen damage. However, some uncertainties and risks were projected to increase, highlighting the importance of conducting comprehensive interdisciplinary evaluations when assessing the pros and cons of mixtures.","author":[{"dropping-particle":"","family":"Felton","given":"Adam","non-dropping-particle":"","parse-names":false,"suffix":""},{"dropping-particle":"","family":"Nilsson","given":"Urban","non-dropping-particle":"","parse-names":false,"suffix":""},{"dropping-particle":"","family":"Sonesson","given":"Johan","non-dropping-particle":"","parse-names":false,"suffix":""},{"dropping-particle":"","family":"Felton","given":"Annika M.","non-dropping-particle":"","parse-names":false,"suffix":""},{"dropping-particle":"","family":"Roberge","given":"Jean Michel","non-dropping-particle":"","parse-names":false,"suffix":""},{"dropping-particle":"","family":"Ranius","given":"Thomas","non-dropping-particle":"","parse-names":false,"suffix":""},{"dropping-particle":"","family":"Ahlström","given":"Martin","non-dropping-particle":"","parse-names":false,"suffix":""},{"dropping-particle":"","family":"Bergh","given":"Johan","non-dropping-particle":"","parse-names":false,"suffix":""},{"dropping-particle":"","family":"Björkman","given":"Christer","non-dropping-particle":"","parse-names":false,"suffix":""},{"dropping-particle":"","family":"Boberg","given":"Johanna","non-dropping-particle":"","parse-names":false,"suffix":""},{"dropping-particle":"","family":"Drössler","given":"Lars","non-dropping-particle":"","parse-names":false,"suffix":""},{"dropping-particle":"","family":"Fahlvik","given":"Nils","non-dropping-particle":"","parse-names":false,"suffix":""},{"dropping-particle":"","family":"Gong","given":"Peichen","non-dropping-particle":"","parse-names":false,"suffix":""},{"dropping-particle":"","family":"Holmström","given":"Emma","non-dropping-particle":"","parse-names":false,"suffix":""},{"dropping-particle":"","family":"Keskitalo","given":"E. Carina H.","non-dropping-particle":"","parse-names":false,"suffix":""},{"dropping-particle":"","family":"Klapwijk","given":"Maartje J.","non-dropping-particle":"","parse-names":false,"suffix":""},{"dropping-particle":"","family":"Laudon","given":"Hjalmar","non-dropping-particle":"","parse-names":false,"suffix":""},{"dropping-particle":"","family":"Lundmark","given":"Tomas","non-dropping-particle":"","parse-names":false,"suffix":""},{"dropping-particle":"","family":"Niklasson","given":"Mats","non-dropping-particle":"","parse-names":false,"suffix":""},{"dropping-particle":"","family":"Nordin","given":"Annika","non-dropping-particle":"","parse-names":false,"suffix":""},{"dropping-particle":"","family":"Pettersson","given":"Maria","non-dropping-particle":"","parse-names":false,"suffix":""},{"dropping-particle":"","family":"Stenlid","given":"Jan","non-dropping-particle":"","parse-names":false,"suffix":""},{"dropping-particle":"","family":"Sténs","given":"Anna","non-dropping-particle":"","parse-names":false,"suffix":""},{"dropping-particle":"","family":"Wallertz","given":"Kristina","non-dropping-particle":"","parse-names":false,"suffix":""}],"container-title":"Ambio","id":"ITEM-1","issued":{"date-parts":[["2016"]]},"page":"124-139","title":"Replacing monocultures with mixed-species stands: Ecosystem service implications of two production forest alternatives in Sweden","type":"article-journal","volume":"45"},"uris":["http://www.mendeley.com/documents/?uuid=f7c9b47f-e606-416a-8320-0562a91cbf6f"]},{"id":"ITEM-2","itemData":{"DOI":"10.1007/978-3-662-54553-9_7","ISBN":"978-3-662-54553-9","abstract":"In many parts of the world, forests are likely to face novel disturbance regimes as a result of global change processes, and there is concern that the capacity of forest ecosystems to withstand, recover from, or adapt to these novel disturbance regimes may decline. Creation and maintenance of species-diverse forests is seen as an important option to adapt forests to uncertain future disturbances. However, it is not known whether benefits of mixed-species forests consist mainly of risk spreading among tree species that have different susceptibility to various stressors and disturbance agents or whether they also have emergent properties resulting from interactions among species, which increase the resistance and resilience of participating species or the entire ecosystem. Here we review the evidence for the effects of tree diversity on the resistance and resilience of forests in relation to a number of abiotic (drought, wind, fire) and biotic (insect herbivores, pathogens) stress and disturbance factors. For the abiotic disturbances, damage or reduction in ecosystem function can be reduced, compared with monocultures of susceptible or less resilient species, when more resistant or resilient species are mixed with less susceptible and less resilient species. However, storm, fire, or drought damage to individual species may not be reduced in mixtures when compared to monocultures. The stress or disturbance impacts may even be aggravated for one or more species in some mixtures, as is shown for drought. There is more evidence for beneficial diversity effects in relation to biotic disturbance agents. Mixing tree species reduces the impact of insect herbivores on individual susceptible tree species in the majority of cases, where the community is dominated by specialist herbivores. However, the opposite effect may occur with generalist herbivores, which can be promoted by tree diversity. Similarly, tree diversity can reduce the impact of specialist pathogens on host tree species, whereas there is little evidence for positive influences in the case of generalist pathogens. In most cases, tree species diversity dilutes the impact of disturbance agents and, owing to different susceptibility of species to specific disturbances, insures against a complete damage or loss. In addition, mixing tree species can reduce temporal variation in growth and stabilise productivity. However, there is little evidence for true, positive diversity effects, where diversity leads t…","author":[{"dropping-particle":"","family":"Bauhus","given":"Jürgen","non-dropping-particle":"","parse-names":false,"suffix":""},{"dropping-particle":"","family":"Forrester","given":"David I","non-dropping-particle":"","parse-names":false,"suffix":""},{"dropping-particle":"","family":"Gardiner","given":"Barry","non-dropping-particle":"","parse-names":false,"suffix":""},{"dropping-particle":"","family":"Jactel","given":"Hervé","non-dropping-particle":"","parse-names":false,"suffix":""},{"dropping-particle":"","family":"Vallejo","given":"Ramon","non-dropping-particle":"","parse-names":false,"suffix":""},{"dropping-particle":"","family":"Pretzsch","given":"Hans","non-dropping-particle":"","parse-names":false,"suffix":""}],"container-title":"Mixed-Species Forests: Ecology and Management","editor":[{"dropping-particle":"","family":"Pretzsch","given":"Hans","non-dropping-particle":"","parse-names":false,"suffix":""},{"dropping-particle":"","family":"Forrester","given":"David I","non-dropping-particle":"","parse-names":false,"suffix":""},{"dropping-particle":"","family":"Bauhus","given":"Jürgen","non-dropping-particle":"","parse-names":false,"suffix":""}],"id":"ITEM-2","issued":{"date-parts":[["2017"]]},"page":"337-382","publisher":"Springer Berlin Heidelberg","publisher-place":"Berlin, Heidelberg","title":"Ecological Stability of Mixed-Species Forests","type":"chapter"},"uris":["http://www.mendeley.com/documents/?uuid=222c5d20-fd6c-4eae-b904-cdc3a476ed3a"]}],"mendeley":{"formattedCitation":"(Bauhus et al., 2017; Felton et al., 2016)","plainTextFormattedCitation":"(Bauhus et al., 2017; Felton et al., 2016)","previouslyFormattedCitation":"(Felton et al., 2016; Bauhus et al., 2017)"},"properties":{"noteIndex":0},"schema":"https://github.com/citation-style-language/schema/raw/master/csl-citation.json"}</w:instrText>
      </w:r>
      <w:r w:rsidR="007F6878" w:rsidRPr="00DA5AE2">
        <w:fldChar w:fldCharType="separate"/>
      </w:r>
      <w:bookmarkStart w:id="5" w:name="Bookmark3"/>
      <w:r w:rsidR="00F14052" w:rsidRPr="00F14052">
        <w:rPr>
          <w:noProof/>
        </w:rPr>
        <w:t>(Bauhus et al., 2017; Felton et al., 2016)</w:t>
      </w:r>
      <w:r w:rsidR="007F6878" w:rsidRPr="00DA5AE2">
        <w:fldChar w:fldCharType="end"/>
      </w:r>
      <w:bookmarkEnd w:id="5"/>
      <w:r w:rsidR="007F6878" w:rsidRPr="00DA5AE2">
        <w:t xml:space="preserve">. Climate change is expected to intensify </w:t>
      </w:r>
      <w:r w:rsidR="00EB31F2" w:rsidRPr="00DA5AE2">
        <w:t xml:space="preserve">regional </w:t>
      </w:r>
      <w:r w:rsidR="007F6878" w:rsidRPr="00DA5AE2">
        <w:t xml:space="preserve">droughts </w:t>
      </w:r>
      <w:r w:rsidR="007F6878" w:rsidRPr="00DA5AE2">
        <w:fldChar w:fldCharType="begin" w:fldLock="1"/>
      </w:r>
      <w:r w:rsidR="00F14052">
        <w:instrText>ADDIN CSL_CITATION {"citationItems":[{"id":"ITEM-1","itemData":{"DOI":"10.1002/joc.5958","ISSN":"0899-8418","abstract":"Global drought extremes are projected to increase under future warming scenarios. However, global drought risk and pattern remain to be revealed below 1.5 and 2 °C warming levels. Here we used multi-model simulations to estimate global drought trend based on multiple drought indicators. The frequency and duration of meteorological drought may increase much faster than surface soil moisture drought and root zone soil moisture drought under anthropogenic warming, with a probable ~36% (62%) increase in frequency and a ~15% (20%) increase in duration at 1.5 °C (2 °C) level relative to the reference period over the globe. A 5% (14%) increase of drought frequency is expected at 1.5 °C (2 °C) warming in the surface soil moisture, and a 5% (2%) increase of duration is also likely in the 0–10 cm soil layer. Unprecedented increased drought risk is anticipated at 2 °C level, with potential drought hot spots in North America, South America, southern Africa, Australia and Europe. Drought condition under future warming may be much worse in local areas. The drought frequency in the drylands is much less (&gt;34%) than the humid areas, but the duration is much higher (&gt;40%). The 2 °C relative to 1.5 °C warming is expected to bring higher drought risk than the 1.5 °C relative to 1 °C period with regard to the frequency.","author":[{"dropping-particle":"","family":"Xu","given":"Lei","non-dropping-particle":"","parse-names":false,"suffix":""},{"dropping-particle":"","family":"Chen","given":"Nengcheng","non-dropping-particle":"","parse-names":false,"suffix":""},{"dropping-particle":"","family":"Zhang","given":"Xiang","non-dropping-particle":"","parse-names":false,"suffix":""}],"container-title":"International Journal of Climatology","id":"ITEM-1","issue":"4","issued":{"date-parts":[["2019","3","30"]]},"page":"2375-2385","title":"Global drought trends under 1.5 and 2 °C warming","type":"article-journal","volume":"39"},"uris":["http://www.mendeley.com/documents/?uuid=0adb64c5-507d-4889-bbe2-6c439952bf08"]},{"id":"ITEM-2","itemData":{"DOI":"10.1016/j.ejrh.2019.100593","ISSN":"22145818","abstract":"Study region: This study has three spatial scales: global (0.5°), macro-regional, and country scale. The database of drought events has specific entries for each macro-region and country. Study focus: We constructed a database of meteorological drought events from 1951 to 2016, now hosted by the Global Drought Observatory of the European Commission's Joint Research Centre. Events were detected at macro-regional and country scale based on the separate analysis of the Standardized Precipitation-Evapotranspiration Index (SPEI) and the Standardized Precipitation Index (SPI) at different accumulation scales (from 3 to 72 months), using as input the Global Precipitation Climatology Centre (GPCC) and Climatic Research Unit (CRU) Time Series datasets. The database includes approximately 4800 events based on SPEI-3 and 4500 based on SPI-3. Each event is described by its start and end date, duration, intensity, severity, peak, average and maximum area in drought, and a special score to classify 52 mega-droughts. New hydrological insights for the region under study: We derived trends in drought frequency and severity, separately for SPI and SPEI at a 12-month accumulation scale, which is usually related to hydrological droughts. Results show several drought hotspots in the last decades: Amazonia, southern South America, the Mediterranean region, most of Africa, north-eastern China and, to a lesser extent, central Asia and southern Australia. Over North America, central Europe, central Asia, and Australia, the recent progressive temperature increase outbalanced the increase in precipitation causing more frequent and severe droughts.","author":[{"dropping-particle":"","family":"Spinoni","given":"Jonathan","non-dropping-particle":"","parse-names":false,"suffix":""},{"dropping-particle":"","family":"Barbosa","given":"Paulo","non-dropping-particle":"","parse-names":false,"suffix":""},{"dropping-particle":"","family":"Jager","given":"Alfred","non-dropping-particle":"De","parse-names":false,"suffix":""},{"dropping-particle":"","family":"McCormick","given":"Niall","non-dropping-particle":"","parse-names":false,"suffix":""},{"dropping-particle":"","family":"Naumann","given":"Gustavo","non-dropping-particle":"","parse-names":false,"suffix":""},{"dropping-particle":"V.","family":"Vogt","given":"Jürgen","non-dropping-particle":"","parse-names":false,"suffix":""},{"dropping-particle":"","family":"Magni","given":"Diego","non-dropping-particle":"","parse-names":false,"suffix":""},{"dropping-particle":"","family":"Masante","given":"Dario","non-dropping-particle":"","parse-names":false,"suffix":""},{"dropping-particle":"","family":"Mazzeschi","given":"Marco","non-dropping-particle":"","parse-names":false,"suffix":""}],"container-title":"Journal of Hydrology: Regional Studies","id":"ITEM-2","issue":"February","issued":{"date-parts":[["2019","4"]]},"page":"100593","publisher":"Elsevier","title":"A new global database of meteorological drought events from 1951 to 2016","type":"article-journal","volume":"22"},"uris":["http://www.mendeley.com/documents/?uuid=e286a5bd-f5d2-48fb-acee-6888c9956b39"]},{"id":"ITEM-3","itemData":{"DOI":"10.1038/s41467-021-22314-w","ISSN":"20411723","PMID":"33980822","abstract":"Most climate change detection and attribution studies have focused on mean or extreme temperature or precipitation, neglecting to explore long-term changes in drought characteristics. Here we provide evidence that anthropogenic forcing has impacted interrelated meteorological drought characteristics. Using SPI and SPEI indices generated from an ensemble of 9 CMIP6 models (using 3 realizations per model), we show that the presence of anthropogenic forcing has increased the drought frequency, maximum drought duration, and maximum drought intensity experienced in large parts of the Americas, Africa, and Asia. Using individual greenhouse gas and anthropogenic aerosol forcings, we also highlight that regional balances between the two major forcings have contributed to the drying patterns detected in our results. Overall, we provide a comprehensive characterization of the influence of anthropogenic forcing on drought characteristics, providing important perspectives on the role of forcings in driving changes in drought events.","author":[{"dropping-particle":"","family":"Chiang","given":"Felicia","non-dropping-particle":"","parse-names":false,"suffix":""},{"dropping-particle":"","family":"Mazdiyasni","given":"Omid","non-dropping-particle":"","parse-names":false,"suffix":""},{"dropping-particle":"","family":"AghaKouchak","given":"Amir","non-dropping-particle":"","parse-names":false,"suffix":""}],"container-title":"Nature Communications","id":"ITEM-3","issue":"1","issued":{"date-parts":[["2021"]]},"page":"1-10","publisher":"Springer US","title":"Evidence of anthropogenic impacts on global drought frequency, duration, and intensity","type":"article-journal","volume":"12"},"uris":["http://www.mendeley.com/documents/?uuid=e4d7cdd5-19b8-4427-8db1-44b2ebea7c78"]}],"mendeley":{"formattedCitation":"(Chiang, Mazdiyasni, &amp; AghaKouchak, 2021; Spinoni et al., 2019; Xu, Chen, &amp; Zhang, 2019)","plainTextFormattedCitation":"(Chiang, Mazdiyasni, &amp; AghaKouchak, 2021; Spinoni et al., 2019; Xu, Chen, &amp; Zhang, 2019)","previouslyFormattedCitation":"(Spinoni et al., 2019; Xu, Chen, &amp; Zhang, 2019; Chiang, Mazdiyasni, &amp; AghaKouchak, 2021)"},"properties":{"noteIndex":0},"schema":"https://github.com/citation-style-language/schema/raw/master/csl-citation.json"}</w:instrText>
      </w:r>
      <w:r w:rsidR="007F6878" w:rsidRPr="00DA5AE2">
        <w:fldChar w:fldCharType="separate"/>
      </w:r>
      <w:bookmarkStart w:id="6" w:name="Bookmark4"/>
      <w:r w:rsidR="00F14052" w:rsidRPr="00F14052">
        <w:rPr>
          <w:noProof/>
        </w:rPr>
        <w:t>(Chiang, Mazdiyasni, &amp; AghaKouchak, 2021; Spinoni et al., 2019; Xu, Chen, &amp; Zhang, 2019)</w:t>
      </w:r>
      <w:r w:rsidR="007F6878" w:rsidRPr="00DA5AE2">
        <w:fldChar w:fldCharType="end"/>
      </w:r>
      <w:bookmarkEnd w:id="6"/>
      <w:r w:rsidR="007F6878" w:rsidRPr="00DA5AE2">
        <w:t xml:space="preserve">, </w:t>
      </w:r>
      <w:r w:rsidR="007F6878" w:rsidRPr="00DA5AE2">
        <w:rPr>
          <w:lang w:val="en-GB"/>
        </w:rPr>
        <w:t xml:space="preserve">which should increase tree mortality risk globally </w:t>
      </w:r>
      <w:r w:rsidR="007F6878" w:rsidRPr="00DA5AE2">
        <w:rPr>
          <w:color w:val="000000"/>
          <w:vertAlign w:val="superscript"/>
        </w:rPr>
        <w:t xml:space="preserve"> </w:t>
      </w:r>
      <w:r w:rsidR="007F6878" w:rsidRPr="00DA5AE2">
        <w:fldChar w:fldCharType="begin" w:fldLock="1"/>
      </w:r>
      <w:r w:rsidR="00F14052">
        <w:instrText>ADDIN CSL_CITATION {"citationItems":[{"id":"ITEM-1","itemData":{"DOI":"10.1038/s41558-020-00919-1","ISSN":"17586798","abstract":"Climate change-driven increases in drought frequency and severity could compromise forest ecosystems and the terrestrial carbon sink1–3. While the impacts of single droughts on forests have been widely studied4–6, understanding whether forests acclimate to or become more vulnerable to sequential droughts remains largely unknown and is crucial for predicting future forest health. We combine cross-biome datasets of tree growth, tree mortality and ecosystem water content to quantify the effects of multiple droughts at a range of scales from individual trees to the globe from 1900 to 2018. We find that subsequent droughts generally have a more deleterious impact than initial droughts, but this effect differs enormously by clade and ecosystem, with gymnosperms and conifer-dominated ecosystems more often exhibiting increased vulnerability to multiple droughts. The differential impacts of multiple droughts across clades and biomes indicate that drought frequency changes may have fundamentally different ecological and carbon-cycle consequences across ecosystems.","author":[{"dropping-particle":"","family":"Anderegg","given":"William R.L.","non-dropping-particle":"","parse-names":false,"suffix":""},{"dropping-particle":"","family":"Trugman","given":"Anna T.","non-dropping-particle":"","parse-names":false,"suffix":""},{"dropping-particle":"","family":"Badgley","given":"Grayson","non-dropping-particle":"","parse-names":false,"suffix":""},{"dropping-particle":"","family":"Konings","given":"Alexandra G.","non-dropping-particle":"","parse-names":false,"suffix":""},{"dropping-particle":"","family":"Shaw","given":"John","non-dropping-particle":"","parse-names":false,"suffix":""}],"container-title":"Nature Climate Change","id":"ITEM-1","issue":"12","issued":{"date-parts":[["2020"]]},"page":"1091-1095","publisher":"Springer US","title":"Divergent forest sensitivity to repeated extreme droughts","type":"article-journal","volume":"10"},"uris":["http://www.mendeley.com/documents/?uuid=cd4688c3-f459-4162-9745-affe5fbc5edf"]},{"id":"ITEM-2","itemData":{"DOI":"10.1038/s41467-020-19924-1","ISSN":"20411723","PMID":"33273460","abstract":"Pulses of tree mortality caused by drought have been reported recently in forests around the globe, but large-scale quantitative evidence is lacking for Europe. Analyzing high-resolution annual satellite-based canopy mortality maps from 1987 to 2016 we here show that excess forest mortality (i.e., canopy mortality exceeding the long-term mortality trend) is significantly related to drought across continental Europe. The relationship between water availability and mortality showed threshold behavior, with excess mortality increasing steeply when the integrated climatic water balance from March to July fell below −1.6 standard deviations of its long-term average. For −3.0 standard deviations the probability of excess canopy mortality was 91.6% (83.8–97.5%). Overall, drought caused approximately 500,000 ha of excess forest mortality between 1987 and 2016 in Europe. We here provide evidence that drought is an important driver of tree mortality at the continental scale, and suggest that a future increase in drought could trigger widespread tree mortality in Europe.","author":[{"dropping-particle":"","family":"Senf","given":"Cornelius","non-dropping-particle":"","parse-names":false,"suffix":""},{"dropping-particle":"","family":"Buras","given":"Allan","non-dropping-particle":"","parse-names":false,"suffix":""},{"dropping-particle":"","family":"Zang","given":"Christian S.","non-dropping-particle":"","parse-names":false,"suffix":""},{"dropping-particle":"","family":"Rammig","given":"Anja","non-dropping-particle":"","parse-names":false,"suffix":""},{"dropping-particle":"","family":"Seidl","given":"Rupert","non-dropping-particle":"","parse-names":false,"suffix":""}],"container-title":"Nature Communications","id":"ITEM-2","issue":"1","issued":{"date-parts":[["2020"]]},"page":"1-8","publisher":"Springer US","title":"Excess forest mortality is consistently linked to drought across Europe","type":"article-journal","volume":"11"},"uris":["http://www.mendeley.com/documents/?uuid=2cfaa6b1-1d92-48db-a15a-2d1c32b67013"]},{"id":"ITEM-3","itemData":{"DOI":"10.1038/s41467-021-21399-7","ISSN":"20411723","PMID":"33623030","abstract":"Forest disturbance regimes are expected to intensify as Earth’s climate changes. Quantifying forest vulnerability to disturbances and understanding the underlying mechanisms is crucial to develop mitigation and adaptation strategies. However, observational evidence is largely missing at regional to continental scales. Here, we quantify the vulnerability of European forests to fires, windthrows and insect outbreaks during the period 1979–2018 by integrating machine learning with disturbance data and satellite products. We show that about 33.4 billion tonnes of forest biomass could be seriously affected by these disturbances, with higher relative losses when exposed to windthrows (40%) and fires (34%) compared to insect outbreaks (26%). The spatial pattern in vulnerability is strongly controlled by the interplay between forest characteristics and background climate. Hotspot regions for vulnerability are located at the borders of the climate envelope, in both southern and northern Europe. There is a clear trend in overall forest vulnerability that is driven by a warming-induced reduction in plant defence mechanisms to insect outbreaks, especially at high latitudes.","author":[{"dropping-particle":"","family":"Forzieri","given":"Giovanni","non-dropping-particle":"","parse-names":false,"suffix":""},{"dropping-particle":"","family":"Girardello","given":"Marco","non-dropping-particle":"","parse-names":false,"suffix":""},{"dropping-particle":"","family":"Ceccherini","given":"Guido","non-dropping-particle":"","parse-names":false,"suffix":""},{"dropping-particle":"","family":"Spinoni","given":"Jonathan","non-dropping-particle":"","parse-names":false,"suffix":""},{"dropping-particle":"","family":"Feyen","given":"Luc","non-dropping-particle":"","parse-names":false,"suffix":""},{"dropping-particle":"","family":"Hartmann","given":"Henrik","non-dropping-particle":"","parse-names":false,"suffix":""},{"dropping-particle":"","family":"Beck","given":"Pieter S.A.","non-dropping-particle":"","parse-names":false,"suffix":""},{"dropping-particle":"","family":"Camps-Valls","given":"Gustau","non-dropping-particle":"","parse-names":false,"suffix":""},{"dropping-particle":"","family":"Chirici","given":"Gherado","non-dropping-particle":"","parse-names":false,"suffix":""},{"dropping-particle":"","family":"Mauri","given":"Achille","non-dropping-particle":"","parse-names":false,"suffix":""},{"dropping-particle":"","family":"Cescatti","given":"Alessandro","non-dropping-particle":"","parse-names":false,"suffix":""}],"container-title":"Nature Communications","id":"ITEM-3","issue":"1","issued":{"date-parts":[["2021"]]},"page":"1-12","publisher":"Springer US","title":"Emergent vulnerability to climate-driven disturbances in European forests","type":"article-journal","volume":"12"},"uris":["http://www.mendeley.com/documents/?uuid=5c6f8623-da49-4b81-bfb6-79e5c4a10202"]},{"id":"ITEM-4","itemData":{"DOI":"10.1038/s41467-022-29289-2","ISSN":"20411723","PMID":"35383157","abstract":"Earth’s forests face grave challenges in the Anthropocene, including hotter droughts increasingly associated with widespread forest die-off events. But despite the vital importance of forests to global ecosystem services, their fates in a warming world remain highly uncertain. Lacking is quantitative determination of commonality in climate anomalies associated with pulses of tree mortality—from published, field-documented mortality events—required for understanding the role of extreme climate events in overall global tree die-off patterns. Here we established a geo-referenced global database documenting climate-induced mortality events spanning all tree-supporting biomes and continents, from 154 peer-reviewed studies since 1970. Our analysis quantifies a global “hotter-drought fingerprint” from these tree-mortality sites—effectively a hotter and drier climate signal for tree mortality—across 675 locations encompassing 1,303 plots. Frequency of these observed mortality-year climate conditions strongly increases nonlinearly under projected warming. Our database also provides initial footing for further community-developed, quantitative, ground-based monitoring of global tree mortality.","author":[{"dropping-particle":"","family":"Hammond","given":"William M.","non-dropping-particle":"","parse-names":false,"suffix":""},{"dropping-particle":"","family":"Williams","given":"A. Park","non-dropping-particle":"","parse-names":false,"suffix":""},{"dropping-particle":"","family":"Abatzoglou","given":"John T.","non-dropping-particle":"","parse-names":false,"suffix":""},{"dropping-particle":"","family":"Adams","given":"Henry D.","non-dropping-particle":"","parse-names":false,"suffix":""},{"dropping-particle":"","family":"Klein","given":"Tamir","non-dropping-particle":"","parse-names":false,"suffix":""},{"dropping-particle":"","family":"López","given":"Rosana","non-dropping-particle":"","p</w:instrText>
      </w:r>
      <w:r w:rsidR="00F14052" w:rsidRPr="00F14052">
        <w:rPr>
          <w:lang w:val="nl-BE"/>
        </w:rPr>
        <w:instrText>arse-names":false,"suffix":""},{"dropping-particle":"","family":"Sáenz-Romero","given":"Cuauhtémoc","non-dropping-particle":"","parse-names":false,"suffix":""},{"dropping-particle":"","family":"Hartmann","given":"Henrik","non-dropping-particle":"","parse-names":false,"suffix":""},{"dropping-particle":"","family":"Breshears","given":"David D.","non-dropping-particle":"","parse-names":false,"suffix":""},{"dropping-particle":"","family":"Allen","given":"Craig D.","non-dropping-particle":"","parse-names":false,"suffix":""}],"container-title":"Nature Communications","id":"ITEM-4","issue":"1","issued":{"date-parts":[["2022"]]},"title":"Global field observations of tree die-off reveal hotter-drought fingerprint for Earth’s forests","type":"article-journal","volume":"13"},"uris":["http://www.mendeley.com/documents/?uuid=b529bd8a-1515-433e-afb8-6d12a84f4ddd"]}],"mendeley":{"formattedCitation":"(Anderegg, Trugman, Badgley, Konings, &amp; Shaw, 2020; Forzieri et al., 2021; Hammond et al., 2022; Senf, Buras, Zang, Rammig, &amp; Seidl, 2020)","plainTextFormattedCitation":"(Anderegg, Trugman, Badgley, Konings, &amp; Shaw, 2020; Forzieri et al., 2021; Hammond et al., 2022; Senf, Buras, Zang, Rammig, &amp; Seidl, 2020)","previouslyFormattedCitation":"(Anderegg, Trugman, Badgley, Konings, &amp; Shaw, 2020; Senf, Buras, Zang, Rammig, &amp; Seidl, 2020; Forzieri et al., 2021; Hammond et al., 2022)"},"properties":{"noteIndex":0},"schema":"https://github.com/citation-style-language/schema/raw/master/csl-citation.json"}</w:instrText>
      </w:r>
      <w:r w:rsidR="007F6878" w:rsidRPr="00DA5AE2">
        <w:fldChar w:fldCharType="separate"/>
      </w:r>
      <w:bookmarkStart w:id="7" w:name="Bookmark5"/>
      <w:r w:rsidR="00F14052" w:rsidRPr="00F14052">
        <w:rPr>
          <w:noProof/>
          <w:color w:val="000000"/>
          <w:lang w:val="nl-BE"/>
        </w:rPr>
        <w:t>(Anderegg, Trugman, Badgley, Konings, &amp; Shaw, 2020; Forzieri et al., 2021; Hammond et al., 2022; Senf, Buras, Zang, Rammig, &amp; Seidl, 2020)</w:t>
      </w:r>
      <w:r w:rsidR="007F6878" w:rsidRPr="00DA5AE2">
        <w:fldChar w:fldCharType="end"/>
      </w:r>
      <w:bookmarkEnd w:id="7"/>
      <w:r w:rsidR="007F6878" w:rsidRPr="00DA5AE2">
        <w:rPr>
          <w:lang w:val="nl-BE"/>
        </w:rPr>
        <w:t xml:space="preserve">. </w:t>
      </w:r>
      <w:r w:rsidR="007F6878" w:rsidRPr="00DA5AE2">
        <w:rPr>
          <w:lang w:val="en-GB"/>
        </w:rPr>
        <w:t>Building on two decades of experimental work, the scientific community and the Tree Diversity Network (TreeDivNet) in particular, have therefore emphasized the need for diversifying planted forests to foster resilience to drought</w:t>
      </w:r>
      <w:r w:rsidR="004860D8" w:rsidRPr="00DA5AE2">
        <w:rPr>
          <w:lang w:val="en-GB"/>
        </w:rPr>
        <w:t xml:space="preserve"> and other disturbances</w:t>
      </w:r>
      <w:r w:rsidR="007F6878" w:rsidRPr="00DA5AE2">
        <w:rPr>
          <w:lang w:val="en-GB"/>
        </w:rPr>
        <w:t xml:space="preserve"> </w:t>
      </w:r>
      <w:r w:rsidR="007F6878" w:rsidRPr="00DA5AE2">
        <w:fldChar w:fldCharType="begin" w:fldLock="1"/>
      </w:r>
      <w:r w:rsidR="00F14052">
        <w:instrText>ADDIN CSL_CITATION {"citationItems":[{"id":"ITEM-1","itemData":{"DOI":"10.1007/s40725-017-0064-1","ISBN":"4072501700","ISSN":"21986436","abstract":"Purpose of review: Forests are frequently exposed to natural disturbances, which are likely to increase with global change, and may jeopardize the delivery of ecosystem services. Mixed-species forests have often been shown to be more productive than monocultures, but it is unclear whether this results from mixed stands being in part more resistant to various biotic and abiotic disturbance factors. This review investigates the relationships between tree diversity and stand resistance to natural disturbances and explores the ecological mechanisms behind the observed relationships. Recent findings: Mixed forests appear to be more resistant than monocultures to small mammalian herbivores, soil-borne fungal diseases and specialized insect herbivores. Admixing broadleaves to conifers also increases the resistance to fire and windstorms when compared to pure conifer stands. However, mixed forests may be more affected by drought depending on the species in the mixture. Summary: Overall, our findings suggest that mixed forests are more resistant to natural disturbances that are relatively small-scale and selective in their effect. However, benefits provided by mixtures are less evident for larger-scale disturbances. Higher tree diversity translates into increased resistance to disturbances as a result of ecological trait complementarity among species, reduction of fuel and food resources for herbivores, enhancement of diversion or disruption processes, and multi-trophic interactions such as predation or symbiosis. To promote resistance, the selection of tree species with different functional characteristics appears more important than increasing only the number of species in the stand. Trees with different levels of susceptibility to different hazards should be intermixed in order to reduce the amount of exposed resources and to generate barriers against contagion. However, more research is needed to further improve associational resistance in mixed forests, through a better understanding of the most relevant spatial and temporal scales of species interactions and to optimize the overall provision of ecosystem services.","author":[{"dropping-particle":"","family":"Jactel","given":"Hervé","non-dropping-particle":"","parse-names":false,"suffix":""},{"dropping-particle":"","family":"Bauhus","given":"Jürgen","non-dropping-particle":"","parse-names":false,"suffix":""},{"dropping-particle":"","family":"Boberg","given":"Johanna","non-dropping-particle":"","parse-names":false,"suffix":""},{"dropping-particle":"","family":"Bonal","given":"Damien","non-dropping-particle":"","parse-names":false,"suffix":""},{"dropping-particle":"","family":"Castagneyrol","given":"Bastien","non-dropping-particle":"","parse-names":false,"suffix":""},{"dropping-particle":"","family":"Gardiner","given":"Barry","non-dropping-particle":"","parse-names":false,"suffix":""},{"dropping-particle":"","family":"Gonzalez-Olabarria","given":"Jose Ramon","non-dropping-particle":"","parse-names":false,"suffix":""},{"dropping-particle":"","family":"Koricheva","given":"Julia","non-dropping-particle":"","parse-names":false,"suffix":""},{"dropping-particle":"","family":"Meurisse","given":"Nicolas","non-dropping-particle":"","parse-names":false,"suffix":""},{"dropping-particle":"","family":"Brockerhoff","given":"Eckehard G.","non-dropping-particle":"","parse-names":false,"suffix":""}],"container-title":"Current Forestry Reports","id":"ITEM-1","issue":"3","issued":{"date-parts":[["2017"]]},"page":"223-243","publisher":"Current Forestry Reports","title":"Tree Diversity Drives Forest Stand Resistance to Natural Disturbances","type":"article-journal","volume":"3"},"uris":["http://www.mendeley.com/documents/?uuid=dc989c2c-b4d0-4e62-ad85-4b3d111b24cf"]},{"id":"ITEM-2","itemData":{"DOI":"10.1016/j.envexpbot.2017.12.015","ISSN":"00988472","abstract":"Despite considerable research demonstrating that biodiversity increases productivity in forests and regulates herbivory and pathogen damage, there remain gaps in our understanding of the shape, magnitude, and generality of these biodiversity-ecosystem functioning (BEF) relationships. Here, we review findings from TreeDivNet, a global network of 25 tree diversity experiments, on relationships between levels of biodiversity and (a) tree growth and survival and (b) damage to trees from pests and pathogens. Tree diversity often improved the survival and above- and belowground growth of young trees. The mechanistic bases of the diversity effects on tree growth and survival include both selection effects (i.e., an increasing impact of particular species in more species-rich communities) and complementary effects (e.g. related to resource differentiation and facilitation). Plant traits and abiotic stressors may mediate these relationships. Studies of the responses of invertebrate and vertebrate herbivory and pathogen damage have demonstrated that trees in more diverse experimental plots may experience more, less, or similar damage compared to conspecific trees in less diverse plots. Documented mechanisms producing these patterns include changes in concentration, frequency, and apparency of hosts; herbivore and pathogen diet breadth; the spatial scale of interactions; and herbivore and pathogen regulation by natural enemies. Our review of findings from TreeDivNet indicates that tree diversity experiments are extending BEF research across systems and scales, complementing previous BEF work in grasslands by providing opportunities to use remote sensing and spectral approaches to study BEF dynamics, integrate belowground and aboveground approaches, and trace the consequences of tree physiology for ecosystem functioning. This extension of BEF research into tree-dominated systems is improving ecologists’ capacity to understand the mechanistic bases behind BEF relationships. Tree diversity experiments also present opportunities for novel research. Since experimental tree diversity plantations enable measurements at tree, neighbourhood and plot level, they allow for explicit consideration of temporal and spatial scales in BEF dynamics. Presently, most TreeDivNet experiments have run for less than ten years. Given the longevity of trees, exciting results on BEF relationships are expected in the future.","author":[{"dropping-particle":"","family":"Grossman","given":"Jake J.","non-dropping-particle":"","parse-names":false,"suffix":""},{"dropping-particle":"","family":"Vanhellemont","given":"Margot","non-dropping-particle":"","parse-names":false,"suffix":""},{"dropping-particle":"","family":"Barsoum","given":"Nadia","non-dropping-particle":"","parse-names":false,"suffix":""},{"dropping-particle":"","family":"Bauhus","given":"Jürgen","non-dropping-particle":"","parse-names":false,"suffix":""},{"dropping-particle":"","family":"Bruelheide","given":"Helge","non-dropping-particle":"","parse-names":false,"suffix":""},{"dropping-particle":"","family":"Castagneyrol","given":"Bastien","non-dropping-particle":"","parse-names":false,"suffix":""},{"dropping-particle":"","family":"Cavender-Bares","given":"Jeannine","non-dropping-particle":"","parse-names":false,"suffix":""},{"dropping-particle":"","family":"Eisenhauer","given":"Nico","non-dropping-particle":"","parse-names":false,"suffix":""},{"dropping-particle":"","family":"Ferlian","given":"Olga","non-dropping-particle":"","parse-names":false,"suffix":""},{"dropping-particle":"","family":"Gravel","given":"Dominique","non-dropping-particle":"","parse-names":false,"suffix":""},{"dropping-particle":"","family":"Hector","given":"Andy","non-dropping-particle":"","parse-names":false,"suffix":""},{"dropping-particle":"","family":"Jactel","given":"Hervé","non-dropping-particle":"","parse-names":false,"suffix":""},{"dropping-particle":"","family":"Kreft","given":"Holger","non-dropping-particle":"","parse-names":false,"suffix":""},{"dropping-particle":"","family":"Mereu","given":"Simone","non-dropping-particle":"","parse-names":false,"suffix":""},{"dropping-particle":"","family":"Messier","given":"Christian","non-dropping-particle":"","parse-names":false,"suffix":""},{"dropping-particle":"","family":"Muys","given":"Bart","non-dropping-particle":"","parse-names":false,"suffix":""},{"dropping-particle":"","family":"Nock","given":"Charles","non-dropping-particle":"","parse-names":false,"suffix":""},{"dropping-particle":"","family":"Paquette","given":"Alain","non-dropping-particle":"","parse-names":false,"suffix":""},{"dropping-particle":"","family":"Parker","given":"John","non-dropping-particle":"","parse-names":false,"suffix":""},{"dropping-particle":"","family":"Perring","given":"Michael P.","non-dropping-particle":"","parse-names":false,"suffix":""},{"dropping-particle":"","family":"Ponette","given":"Quentin","non-dropping-particle":"","parse-names":false,"suffix":""},{"dropping-particle":"","family":"Reich","given":"Peter B.","non-dropping-particle":"","parse-names":false,"suffix":""},{"dropping-particle":"","family":"Schuldt","given":"Andreas","non-dropping-particle":"","parse-names":false,"suffix":""},{"dropping-particle":"","family":"Staab","given":"Michael","non-dropping-particle":"","parse-names":false,"suffix":""},{"dropping-particle":"","family":"Weih","given":"Martin","non-dropping-particle":"","parse-names":false,"suffix":""},{"dropping-particle":"","family":"Zemp","given":"Delphine Clara","non-dropping-particle":"","parse-names":false,"suffix":""},{"dropping-particle":"","family":"Scherer-Lorenzen","given":"Michael","non-dropping-particle":"","parse-names":false,"suffix":""},{"dropping-particle":"","family":"Verheyen","given":"Kris","non-dropping-particle":"","parse-names":false,"suffix":""}],"container-title":"Environmental and Experimental Botany","id":"ITEM-2","issue":"December 2017","issued":{"date-parts":[["2018"]]},"page":"68-89","publisher":"Elsevier","title":"Synthesis and future research directions linking tree diversity to growth, survival, and damage in a global network of tree diversity experiments","type":"article-journal","volume":"152"},"uris":["http://www.mendeley.com/documents/?uuid=b70ce357-5239-4394-b74c-6046baea741c"]},{"id":"ITEM-3","itemData":{"DOI":"10.1038/s41559-018-0544-0","ISSN":"2397334X","PMID":"29662226","abstract":"TreeDivNet is the largest network of biodiversity experiments worldwide, but needs to expand. We encourage colleagues to establish new experiments on the relation between tree species diversity and forest ecosystem functioning, and to make use of the platform for collaborative research.","author":[{"dropping-particle":"","family":"Paquette","given":"Alain","non-dropping-particle":"","parse-names":false,"suffix":""},{"dropping-particle":"","family":"Hector","given":"Andy","non-dropping-particle":"","parse-names":false,"suffix":""},{"dropping-particle":"","family":"Vanhellemont","given":"Margot","non-dropping-particle":"","parse-names":false,"suffix":""},{"dropping-particle":"","family":"Koricheva","given":"Julia","non-dropping-particle":"","parse-names":false,"suffix":""},{"dropping-particle":"","family":"Scherer-Lorenzen","given":"Michael","non-dropping-particle":"","parse-names":false,"suffix":""},{"dropping-particle":"","family":"Verheyen","given":"Kris","non-dropping-particle":"","parse-names":false,"suffix":""},{"dropping-particle":"","family":"Abdala-Roberts","given":"Luis","non-dropping-particle":"","parse-names":false,"suffix":""},{"dropping-particle":"","family":"Auge","given":"Harald","non-dropping-particle":"","parse-names":false,"suffix":""},{"dropping-particle":"","family":"Barsoum","given":"Nadia","non-dropping-particle":"","parse-names":false,"suffix":""},{"dropping-particle":"","family":"Bauhus","given":"Jürgen","non-dropping-particle":"","parse-names":false,"suffix":""},{"dropping-particle":"","family":"Baum","given":"Christel","non-dropping-particle":"","parse-names":false,"suffix":""},{"dropping-particle":"","family":"Bruelheide","given":"Helge","non-dropping-particle":"","parse-names":false,"suffix":""},{"dropping-particle":"","family":"Castagneyrol","given":"Bastien","non-dropping-particle":"","parse-names":false,"suffix":""},{"dropping-particle":"","family":"Cavender-Bares","given":"Jeannine","non-dropping-particle":"","parse-names":false,"suffix":""},{"dropping-particle":"","family":"Eisenhauer","given":"Nico","non-dropping-particle":"","parse-names":false,"suffix":""},{"dropping-particle":"","family":"Ferlian","given":"Olga","non-dropping-particle":"","parse-names":false,"suffix":""},{"dropping-particle":"","family":"Ganade","given":"Gislene","non-dropping-particle":"","parse-names":false,"suffix":""},{"dropping-particle":"","family":"Godbold","given":"Douglas","non-dropping-particle":"","parse-names":false,"suffix":""},{"dropping-particle":"","family":"Gravel","given":"Dominique","non-dropping-particle":"","parse-names":false,"suffix":""},{"dropping-particle":"","family":"Hall","given":"Jefferson","non-dropping-particle":"","parse-names":false,"suffix":""},{"dropping-particle":"","family":"Hobbs","given":"Richard","non-dropping-particle":"","parse-names":false,"suffix":""},{"dropping-particle":"","family":"Hoelscher","given":"Dirk","non-dropping-particle":"","parse-names":false,"suffix":""},{"dropping-particle":"","family":"Hulvey","given":"Kristin B.","non-dropping-particle":"","parse-names":false,"suffix":""},{"dropping-particle":"","family":"Huxham","given":"Mark","non-dropping-particle":"","parse-names":false,"suffix":""},{"dropping-particle":"","family":"Jactel","given":"Hervé","non-dropping-particle":"","parse-names":false,"suffix":""},{"dropping-particle":"","family":"Kreft","given":"Holger","non-dropping-particle":"","parse-names":false,"suffix":""},{"dropping-particle":"","family":"Liang","given":"Jingjing","non-dropping-particle":"","parse-names":false,"suffix":""},{"dropping-particle":"","family":"Mereu","given":"Simone","non-dropping-particle":"","parse-names":false,"suffix":""},{"dropping-particle":"","family":"Messier","given":"Christian","non-dropping-particle":"","parse-names":false,"suffix":""},{"dropping-particle":"","family":"Montgomery","given":"Rebecca","non-dropping-particle":"","parse-names":false,"suffix":""},{"dropping-particle":"","family":"Muys","given":"Bart","non-dropping-particle":"","parse-names":false,"suffix":""},{"dropping-particle":"","family":"Nock","given":"Charles","non-dropping-particle":"","parse-names":false,"suffix":""},{"dropping-particle":"","family":"Parker","given":"John","non-dropping-particle":"","parse-names":false,"suffix":""},{"dropping-particle":"","family":"Parker","given":"William","non-dropping-particle":"","parse-names":false,"suffix":""},{"dropping-particle":"","family":"Parra-Tabla","given":"Victor","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Rewald","given":"Boris","non-dropping-particle":"","parse-names":false,"suffix":""},{"dropping-particle":"","family":"Sandén","given":"Hans","non-dropping-particle":"","parse-names":false,"suffix":""},{"dropping-particle":"","family":"Smith","given":"Andy","non-dropping-particle":"","parse-names":false,"suffix":""},{"dropping-particle":"","family":"Standish","given":"Rachel","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Clara","non-dropping-particle":"","parse-names":false,"suffix":""}],"container-title":"Nature Ecology and Evolution","id":"ITEM-3","issue":"5","issued":{"date-parts":[["2018"]]},"page":"763-766","title":"A million and more trees for science","type":"article-journal","volume":"2"},"uris":["http://www.mendeley.com/documents/?uuid=63cbad0f-066c-4011-8f5c-47ccdf27911a"]},{"id":"ITEM-4","itemData":{"DOI":"10.1111/conl.12829","ISSN":"1755263X","abstract":"As of 2020, the world has an estimated 290 million ha of planted forests and this number is continuously increasing. Of these, 131 million ha are monospecific planted forests under intensive management. Although monospecific planted forests are important in providing timber, they harbor less biodiversity and are potentially more susceptible to disturbances than natural or diverse planted forests. Here, we point out the increasing scientific evidence for increased resilience and ecosystem service provision of functionally and species diverse planted forests (hereafter referred to as diverse planted forests) compared to monospecific ones. Furthermore, we propose five concrete steps to foster the adoption of diverse planted forests: (1) improve awareness of benefits and practical options of diverse planted forests among land-owners, managers, and investors; (2) incentivize tree species diversity in public funding of afforestation and programs to diversify current maladapted planted forests of low diversity; (3) develop new wood-based products that can be derived from many different tree species not yet in use; (4) invest in research to assess landscape benefits of diverse planted forests for functional connectivity and resilience to global-change threats; and (5) improve the evidence base on diverse planted forests, in particular in currently under-represented regions, where new options could be tested.","author":[{"dropping-particle":"","family":"Messier","given":"Christian","non-dropping-particle":"","parse-names":false,"suffix":""},{"dropping-particle":"","family":"Bauhus","given":"Jürgen","non-dropping-particle":"","parse-names":false,"suffix":""},{"dropping-particle":"","family":"Sousa-Silva","given":"Rita","non-dropping-particle":"","parse-names":false,"suffix":""},{"dropping-particle":"","family":"Auge","given":"Harald","non-dropping-particle":"","parse-names":false,"suffix":""},{"dropping-particle":"","family":"Baeten","given":"Lander","non-dropping-particle":"","parse-names":false,"suffix":""},{"dropping-particle":"","family":"Barsoum","given":"Nadia","non-dropping-particle":"","parse-names":false,"suffix":""},{"dropping-particle":"","family":"Bruelheide","given":"Helge","non-dropping-particle":"","parse-names":false,"suffix":""},{"dropping-particle":"","family":"Caldwell","given":"Benjamin","non-dropping-particle":"","parse-names":false,"suffix":""},{"dropping-particle":"","family":"Cavender-Bares","given":"Jeannine","non-dropping-particle":"","parse-names":false,"suffix":""},{"dropping-particle":"","family":"Dhiedt","given":"Els","non-dropping-particle":"","parse-names":false,"suffix":""},{"dropping-particle":"","family":"Eisenhauer","given":"Nico","non-dropping-particle":"","parse-names":false,"suffix":""},{"dropping-particle":"","family":"Ganade","given":"Gislene","non-dropping-particle":"","parse-names":false,"suffix":""},{"dropping-particle":"","family":"Gravel","given":"Dominique","non-dropping-particle":"","parse-names":false,"suffix":""},{"dropping-particle":"","family":"Guillemot","given":"Joannès","non-dropping-particle":"","parse-names":false,"suffix":""},{"dropping-particle":"","family":"Hall","given":"Jefferson S.","non-dropping-particle":"","parse-names":false,"suffix":""},{"dropping-particle":"","family":"Hector","given":"Andrew","non-dropping-particle":"","parse-names":false,"suffix":""},{"dropping-particle":"","family":"Hérault","given":"Bruno","non-dropping-particle":"","parse-names":false,"suffix":""},{"dropping-particle":"","family":"Jactel","given":"Hervé","non-dropping-particle":"","parse-names":false,"suffix":""},{"dropping-particle":"","family":"Koricheva","given":"Julia","non-dropping-particle":"","parse-names":false,"suffix":""},{"dropping-particle":"","family":"Kreft","given":"Holger","non-dropping-particle":"","parse-names":false,"suffix":""},{"dropping-particle":"","family":"Mereu","given":"Simone","non-dropping-particle":"","parse-names":false,"suffix":""},{"dropping-particle":"","family":"Muys","given":"Bart","non-dropping-particle":"","parse-names":false,"suffix":""},{"dropping-particle":"","family":"Nock","given":"Charles A.","non-dropping-particle":"","parse-names":false,"suffix":""},{"dropping-particle":"","family":"Paquette","given":"Alain","non-dropping-particle":"","parse-names":false,"suffix":""},{"dropping-particle":"","family":"Parker","given":"John D.","non-dropping-particle":"","parse-names":false,"suffix":""},{"dropping-particle":"","family":"Perring","given":"Michael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B.","non-dropping-particle":"","parse-names":false,"suffix":""},{"dropping-particle":"","family":"Scherer-Lorenzen"</w:instrText>
      </w:r>
      <w:r w:rsidR="00F14052" w:rsidRPr="00F14052">
        <w:rPr>
          <w:lang w:val="nl-BE"/>
        </w:rPr>
        <w:instrText>,"given":"Michael","non-dropping-particle":"","parse-names":false,"suffix":""},{"dropping-particle":"","family":"Schnabel","given":"Florian","non-dropping-particle":"","parse-names":false,"suffix":""},{"dropping-particle":"","family":"Verheyen","given":"Kris","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Clara","non-dropping-particle":"","parse-names":false,"suffix":""}],"container-title":"Conservation Letters","id":"ITEM-4","issue":"January","issued":{"date-parts":[["2021"]]},"page":"1-8","title":"For the sake of resilience and multifunctionality, let's diversify planted forests!","type":"article-journal"},"uris":["http://www.mendeley.com/documents/?uuid=286048ff-6b1d-40e9-8dd4-a605e4432135"]}],"mendeley":{"formattedCitation":"(Grossman et al., 2018; Jactel et al., 2017; Messier et al., 2021; Paquette et al., 2018)","plainTextFormattedCitation":"(Grossman et al., 2018; Jactel et al., 2017; Messier et al., 2021; Paquette et al., 2018)","previouslyFormattedCitation":"(Jactel et al., 2017; Grossman et al., 2018; Paquette et al., 2018; Messier et al., 2021)"},"properties":{"noteIndex":0},"schema":"https://github.com/citation-style-language/schema/raw/master/csl-citation.json"}</w:instrText>
      </w:r>
      <w:r w:rsidR="007F6878" w:rsidRPr="00DA5AE2">
        <w:fldChar w:fldCharType="separate"/>
      </w:r>
      <w:bookmarkStart w:id="8" w:name="Bookmark6"/>
      <w:r w:rsidR="00F14052" w:rsidRPr="00F14052">
        <w:rPr>
          <w:noProof/>
          <w:lang w:val="nl-BE"/>
        </w:rPr>
        <w:t>(Grossman et al., 2018; Jactel et al., 2017; Messier et al., 2021; Paquette et al., 2018)</w:t>
      </w:r>
      <w:r w:rsidR="007F6878" w:rsidRPr="00DA5AE2">
        <w:fldChar w:fldCharType="end"/>
      </w:r>
      <w:bookmarkEnd w:id="8"/>
      <w:r w:rsidR="007F6878" w:rsidRPr="00DA5AE2">
        <w:rPr>
          <w:lang w:val="nl-BE"/>
        </w:rPr>
        <w:t>.</w:t>
      </w:r>
    </w:p>
    <w:p w14:paraId="586CB9CC" w14:textId="4E60FEEE" w:rsidR="00A473ED" w:rsidRPr="00DA5AE2" w:rsidRDefault="00AA205B">
      <w:pPr>
        <w:jc w:val="both"/>
      </w:pPr>
      <w:r w:rsidRPr="00DA5AE2">
        <w:t xml:space="preserve">Higher tree diversity could increase early survival of planted trees </w:t>
      </w:r>
      <w:r w:rsidR="008A57B1" w:rsidRPr="00DA5AE2">
        <w:t xml:space="preserve">and reduce its variability </w:t>
      </w:r>
      <w:r w:rsidRPr="00DA5AE2">
        <w:t xml:space="preserve">by increasing drought resistance </w:t>
      </w:r>
      <w:r w:rsidRPr="00DA5AE2">
        <w:fldChar w:fldCharType="begin" w:fldLock="1"/>
      </w:r>
      <w:r w:rsidR="00F14052">
        <w:instrText>ADDIN CSL_CITATION {"citationItems":[{"id":"ITEM-1","itemData":{"DOI":"10.1007/s11056-015-9489-1","ISSN":"15735095","abstract":"Although the concept of resilience is increasingly being incorporated into environmental policy and linked to ecological restoration goals, there is considerable uncertainty regarding how resilience should be defined and measured in practice. Here we briefly review some of the definitions of resilience that have been proposed, including those referred to as “ecological” and “engineering” resilience. We also examine evidence for the existence of multiple stable states in forest ecosystems, on which concepts of ecological resilience are based. As evidence for multiple stable states is limited, we suggest that ecological resilience may often have limited value as a goal for forest restoration. We illustrate how engineering resilience can potentially be measured by estimating the rate of forest recovery following disturbance, through analysis of recovery trajectories using meta-analysis and ecological modelling approaches. We also highlight the potential value of resistance as a restoration goal, which can similarly be estimated using such approaches. Based on application of these concepts, we suggest how guidance for restoration practitioners could potentially be developed, to support the practical achievement of both resilience and resistance during forest restoration. © 2015, Springer Science+Business Media Dordrecht.","author":[{"dropping-particle":"","family":"Newton","given":"Adrian C.","non-dropping-particle":"","parse-names":false,"suffix":""},{"dropping-particle":"","family":"Cantarello","given":"Elena","non-dropping-particle":"","parse-names":false,"suffix":""}],"container-title":"New Forests","id":"ITEM-1","issue":"5-6","issued":{"date-parts":[["2015"]]},"page":"645-668","publisher":"Springer Netherlands","title":"Restoration of forest resilience: An achievable goal?","type":"article-journal","volume":"46"},"uris":["http://www.mendeley.com/documents/?uuid=0b8ca006-8f02-408e-a1b7-1415c09dac4a"]},{"id":"ITEM-2","itemData":{"DOI":"10.1016/j.tree.2018.01.013","ISSN":"01695347","abstract":"Resilience is a key concept in ecology and describes the capacity of an ecosystem to maintain its state and recover from disturbances. Numerous metrics have been applied to quantify resilience over a range of ecosystems. However, the way resilience is quantified affects the degree to which different trajectories of ecosystem recovery from disturbance are represented as ‘resilient’ precluding a comparison of disturbance responses across ecosystems and their properties and functions. To approach a broadly comparable assessment of resilience we suggest using a bivariate framework that jointly considers the disturbance impact and the recovery rate, both normalized to the undisturbed state of a system. We demonstrate the potential of the framework for attribution and integration across the various components underlying resilience.","author":[{"dropping-particle":"","family":"Ingrisch","given":"Johannes","non-dropping-particle":"","parse-names":false,"suffix":""},{"dropping-particle":"","family":"Bahn","given":"Michael","non-dropping-particle":"","parse-names":false,"suffix":""}],"container-title":"Trends in Ecology and Evolution","id":"ITEM-2","issue":"4","issued":{"date-parts":[["2018"]]},"page":"251-259","title":"Towards a Comparable Quantification of Resilience","type":"article-journal","volume":"33"},"uris":["http://www.mendeley.com/documents/?uuid=83f61776-96dc-443c-8d81-1a782c93f6d1"]},{"id":"ITEM-3","itemData":{"DOI":"10.1002/eap.2095","ISSN":"19395582","PMID":"32080941","abstract":"Ecosystem functions provided by forests are threatened by direct and indirect effects of global change drivers such as climate warming land-use change, biological invasions, and shifting natural disturbance regimes. To develop resilience-based forest management, new tools and methods are needed to quantitatively estimate forest resilience to management and future natural disturbances. We propose a multidimensional evaluation of ecological resilience based on species functional response traits (e.g., functional response diversity and functional redundancy) and network properties of forested patches (e.g., connectivity, modularity, and centrality). Using a fragmented rural landscape in temperate south-eastern Canada as a reference landscape, we apply our multidimensional approach to evaluate two alternative management strategies at three levels of intensity: (1) functional enrichment of current forest patches and (2) multi-species plantations in previously non-forested patches. Within each management strategy, planted species are selected to maximize functional diversity, drought tolerance, or pest resistance. We further compare how ecological resilience under these alternative management strategies responds to three simulated disturbances: drought, pest outbreak, and timber harvesting. We found that both management strategies enhance resilience at the landscape scale by increasing functional response diversity and connectivity. Specifically, when the less functionally diverse patches are prioritized for management, functional enrichment is more effective than the establishment of new multi-species plantations in increasing resilience. In addition, randomly allocated multi-species plantations increased connectivity more than those allocated in riparian areas. Our results show that across various management strategies, planting species to enhance biodiversity led to the highest increase in functional response diversity while planting pest-resistant species led to the highest increase in landscape connectivity. Planting biodiversity-enhancing species (i.e., species that maximize functional diversity) mitigated drought effects equally well as planting with drought-tolerant species. Our multidimensional approach facilitates the characterization at the landscape scale of forest resilience to disturbances using both functional diversity and network properties while accounting for the importance of response traits to future disturbances. The simulation approach …","author":[{"dropping-particle":"","family":"Aquilué","given":"Núria","non-dropping-particle":"","parse-names":false,"suffix":""},{"dropping-particle":"","family":"Filotas","given":"Élise","non-dropping-particle":"","parse-names":false,"suffix":""},{"dropping-particle":"","family":"Craven","given":"Dylan","non-dropping-particle":"","parse-names":false,"suffix":""},{"dropping-particle":"","family":"Fortin","given":"Marie Josée","non-dropping-particle":"","parse-names":false,"suffix":""},{"dropping-particle":"","family":"Brotons","given":"Lluís","non-dropping-particle":"","parse-names":false,"suffix":""},{"dropping-particle":"","family":"Messier","given":"Christian","non-dropping-particle":"","parse-names":false,"suffix":""}],"container-title":"Ecological Applications","id":"ITEM-3","issue":"5","issued":{"date-parts":[["2020"]]},"page":"1-14","title":"Evaluating forest resilience to global threats using functional response traits and network properties","type":"article-journal","volume":"30"},"uris":["http://www.mendeley.com/documents/?uuid=909a65ba-d25d-4b58-a152-d04a4b65400e"]},{"id":"ITEM-4","itemData":{"DOI":"10.1111/conl.12829","ISSN":"1755263X","abstract":"As of 2020, the world has an estimated 290 million ha of planted forests and this number is continuously increasing. Of these, 131 million ha are monospecific planted forests under intensive management. Although monospecific planted forests are important in providing timber, they harbor less biodiversity and are potentially more susceptible to disturbances than natural or diverse planted forests. Here, we point out the increasing scientific evidence for increased resilience and ecosystem service provision of functionally and species diverse planted forests (hereafter referred to as diverse planted forests) compared to monospecific ones. Furthermore, we propose five concrete steps to foster the adoption of diverse planted forests: (1) improve awareness of benefits and practical options of diverse planted forests among land-owners, managers, and investors; (2) incentivize tree species diversity in public funding of afforestation and programs to diversify current maladapted planted forests of low diversity; (3) develop new wood-based products that can be derived from many different tree species not yet in use; (4) invest in research to assess landscape benefits of diverse planted forests for functional connectivity and resilience to global-change threats; and (5) improve the evidence base on diverse planted forests, in particular in currently under-represented regions, where new options could be tested.","author":[{"dropping-particle":"","family":"Messier","given":"Christian","non-dropping-particle":"","parse-names":false,"suffix":""},{"dropping-particle":"","family":"Bauhus","given":"Jürgen","non-dropping-particle":"","parse-names":false,"suffix":""},{"dropping-particle":"","family":"Sousa-Silva","given":"Rita","non-dropping-particle":"","parse-names":false,"suffix":""},{"dropping-particle":"","family":"Auge","given":"Harald","non-dropping-particle":"","parse-names":false,"suffix":""},{"dropping-particle":"","family":"Baeten","given":"Lander","non-dropping-particle":"","parse-names":false,"suffix":""},{"dropping-particle":"","family":"Barsoum","given":"Nadia","non-dropping-particle":"","parse-names":false,"suffix":""},{"dropping-particle":"","family":"Bruelheide","given":"Helge","non-dropping-particle":"","parse-names":false,"suffix":""},{"dropping-particle":"","family":"Caldwell","given":"Benjamin","non-dropping-particle":"","parse-names":false,"suffix":""},{"dropping-particle":"","family":"Cavender-Bares","given":"Jeannine","non-dropping-particle":"","parse-names":false,"suffix":""},{"dropping-particle":"","family":"Dhiedt","given":"Els","non-dropping-particle":"","parse-names":false,"suffix":""},{"dropping-particle":"","family":"Eisenhauer","given":"Nico","non-dropping-particle":"","parse-names":false,"suffix":""},{"dropping-particle":"","family":"Ganade","given":"Gislene","non-dropping-particle":"","parse-names":false,"suffix":""},{"dropping-particle":"","family":"Gravel","given":"Dominique","non-dropping-particle":"","parse-names":false,"suffix":""},{"dropping-particle":"","family":"Guillemot","given":"Joannès","non-dropping-particle":"","parse-names":false,"suffix":""},{"dropping-particle":"","family":"Hall","given":"Jefferson S.","non-dropping-particle":"","parse-names":false,"suffix":""},{"dropping-particle":"","family":"Hector","given":"Andrew","non-dropping-particle":"","parse-names":false,"suffix":""},{"dropping-particle":"","family":"Hérault","given":"Bruno","non-dropping-particle":"","parse-names":false,"suffix":""},{"dropping-particle":"","family":"Jactel","given":"Hervé","non-dropping-particle":"","parse-names":false,"suffix":""},{"dropping-particle":"","family":"Koricheva","given":"Julia","non-dropping-particle":"","parse-names":false,"suffix":""},{"dropping-particle":"","family":"Kreft","given":"Holger","non-dropping-particle":"","parse-names":false,"suffix":""},{"dropping-particle":"","family":"Mereu","given":"Simone","non-dropping-particle":"","parse-names":false,"suffix":""},{"dropping-particle":"","family":"Muys","given":"Bart","non-dropping-particle":"","parse-names":false,"suffix":""},{"dropping-particle":"","family":"Nock","given":"Charles A.","non-dropping-particle":"","parse-names":false,"suffix":""},{"dropping-particle":"","family":"Paquette","given":"Alain","non-dropping-particle":"","parse-names":false,"suffix":""},{"dropping-particle":"","family":"Parker","given":"John D.","non-dropping-particle":"","parse-names":false,"suffix":""},{"dropping-particle":"","family":"Perring","given":"Michael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B.","non-dropping-particle":"","parse-names":false,"suffix":""},{"dropping-particle":"","family":"Scherer-Lorenzen","given":"Micha</w:instrText>
      </w:r>
      <w:r w:rsidR="00F14052" w:rsidRPr="00F14052">
        <w:rPr>
          <w:lang w:val="nl-BE"/>
        </w:rPr>
        <w:instrText>el","non-dropping-particle":"","parse-names":false,"suffix":""},{"dropping-particle":"","family":"Schnabel","given":"Florian","non-dropping-particle":"","parse-names":false,"suffix":""},{"dropping-particle":"","family":"Verheyen","given":"Kris","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Clara","non-dropping-particle":"","parse-names":false,"suffix":""}],"container-title":"Conservation Letters","id":"ITEM-4","issue":"January","issued":{"date-parts":[["2021"]]},"page":"1-8","title":"For the sake of resilience and multifunctionality, let's diversify planted forests!","type":"article-journal"},"uris":["http://www.mendeley.com/documents/?uuid=286048ff-6b1d-40e9-8dd4-a605e4432135"]}],"mendeley":{"formattedCitation":"(Aquilué et al., 2020; Ingrisch &amp; Bahn, 2018; Messier et al., 2021; Newton &amp; Cantarello, 2015)","plainTextFormattedCitation":"(Aquilué et al., 2020; Ingrisch &amp; Bahn, 2018; Messier et al., 2021; Newton &amp; Cantarello, 2015)","previouslyFormattedCitation":"(Newton &amp; Cantarello, 2015; Ingrisch &amp; Bahn, 2018; Aquilué et al., 2020; Messier et al., 2021)"},"properties":{"noteIndex":0},"schema":"https://github.com/citation-style-language/schema/raw/master/csl-citation.json"}</w:instrText>
      </w:r>
      <w:r w:rsidRPr="00DA5AE2">
        <w:fldChar w:fldCharType="separate"/>
      </w:r>
      <w:bookmarkStart w:id="9" w:name="Bookmark7"/>
      <w:r w:rsidR="00F14052" w:rsidRPr="00F14052">
        <w:rPr>
          <w:noProof/>
          <w:color w:val="000000"/>
          <w:lang w:val="nl-BE"/>
        </w:rPr>
        <w:t>(Aquilué et al., 2020; Ingrisch &amp; Bahn, 2018; Messier et al., 2021; Newton &amp; Cantarello, 2015)</w:t>
      </w:r>
      <w:r w:rsidRPr="00DA5AE2">
        <w:fldChar w:fldCharType="end"/>
      </w:r>
      <w:bookmarkEnd w:id="9"/>
      <w:r w:rsidRPr="00DA5AE2">
        <w:rPr>
          <w:color w:val="000000"/>
          <w:lang w:val="nl-BE"/>
        </w:rPr>
        <w:t>.</w:t>
      </w:r>
      <w:r w:rsidRPr="00DA5AE2">
        <w:rPr>
          <w:color w:val="000000"/>
          <w:vertAlign w:val="superscript"/>
          <w:lang w:val="nl-BE"/>
        </w:rPr>
        <w:t xml:space="preserve"> </w:t>
      </w:r>
      <w:r w:rsidRPr="00DA5AE2">
        <w:t xml:space="preserve">In this early stage, planting species mixtures rather than monocultures could reduce survival uncertainty (i.e. variability) </w:t>
      </w:r>
      <w:r w:rsidR="001311FE" w:rsidRPr="00DA5AE2">
        <w:t xml:space="preserve">as </w:t>
      </w:r>
      <w:r w:rsidRPr="00DA5AE2">
        <w:t xml:space="preserve">a form of biodiversity insurance to reduce risk of plantation failure in an uncertain future </w:t>
      </w:r>
      <w:r w:rsidRPr="00DA5AE2">
        <w:fldChar w:fldCharType="begin" w:fldLock="1"/>
      </w:r>
      <w:r w:rsidR="00F14052">
        <w:instrText>ADDIN CSL_CITATION {"citationItems":[{"id":"ITEM-1","itemData":{"DOI":"10.1073/pnas.96.4.1463","ISSN":"00278424","PMID":"9990046","abstract":"Although the effect of biodiversity on ecosystem functioning has become a major focus in ecology, its significance in a fluctuating environment is still poorly understood. According to the insurance hypothesis, biodiversity insures ecosystems against declines in their functioning because many species provide greater guarantees that some will maintain functioning even if others fail. Here we examine this hypothesis theoretically. We develop a general stochastic dynamic model to assess the effects of species richness on the expected temporal mean and variance of ecosystem processes such as productivity, based on individual species' productivity responses to environmental fluctuations. Our model shows two major insurance effects of species richness on ecosystem productivity: (i) a buffering effect, i.e., a reduction in the temporal variance of productivity, and (ii) a performance- enhancing effect, i.e., an increase in the temporal mean of productivity. The strength of these insurance effects is determined by three factors: (i) the way ecosystem productivity is determined by individual species responses to environmental fluctuations, (ii) the degree of asynchronicity of these responses, and (iii) the detailed form of these responses. In particular, the greater the variance of the species responses, the lower the species richness at which the temporal mean of the ecosystem process saturates and the ecosystem becomes redundant. These results provide a strong theoretical foundation for the insurance hypothesis, which proves to be a fundamental principle for understanding the long-term effects of biodiversity on ecosystem processes.","author":[{"dropping-particle":"","family":"Yachi","given":"Shigeo","non-dropping-particle":"","parse-names":false,"suffix":""},{"dropping-particle":"","family":"Loreau","given":"Michel","non-dropping-particle":"","parse-names":false,"suffix":""}],"container-title":"Proceedings of the National Academy of Sciences of the United States of America","id":"ITEM-1","issue":"4","issued":{"date-parts":[["1999"]]},"page":"1463-1468","title":"Biodiversity and ecosystem productivity in a fluctuating environment: The insurance hypothesis","type":"article-journal","volume":"96"},"uris":["http://www.mendeley.com/documents/?uuid=1718610d-fe2d-4eef-850a-bb8b571a0abd"]},{"id":"ITEM-2","itemData":{"DOI":"10.1111/1365-2664.12721","ISSN":"13652664","abstract":"Biodiversity can insure ecosystems against declines in their functioning by increasing the mean level of ecosystem processes and decreasing the spatial or temporal variance of these processes. On this basis, mixing tree species is expected to be an effective management strategy to reduce the risk of planting failure in young plantations. We examined the effects of biodiversity insurance on sapling survival in three tree diversity experiments across Belgium. Based on the survival scoring of 89 254 saplings, planted in 126 plots with up to four-species mixtures, we tested two hypotheses: (i) variability in plot-level survival is lower for mixtures compared to monocultures due to compensation among the species (i.e. buffering effect) and (ii) mean survival is higher due to facilitation (i.e. performance-enhancing effect). Variation in plot-level survival decreased strongly with diversity, indicating a buffering effect. The risk of severe planting failure was reduced in mixtures because species exhibit different survival rates; therefore, mixing ensures that not all trees in the plantation are equally susceptible to environmental stressors. In contrast, the mean plot-level survival did not increase with diversity, and thus, an overall performance-enhancing effect was lacking. However, species-level analyses did show performance-enhancing effects, where some species profited from mixing while others did not. Synthesis and applications. We conclude that biodiversity through mixing tree species insures young experimental plantations against planting failure and is therefore highly recommended as a planting management strategy. The risk of large mortality gaps is reduced if tree plantation saplings are mixed at the scale of individual trees or small cells of trees.","author":[{"dropping-particle":"","family":"Peer","given":"Thomas","non-dropping-particle":"Van de","parse-names":false,"suffix":""},{"dropping-particle":"","family":"Verheyen","given":"Kris","non-dropping-particle":"","parse-names":false,"suffix":""},{"dropping-particle":"","family":"Baeten","given":"Lander","non-dropping-particle":"","parse-names":false,"suffix":""},{"dropping-particle":"","family":"Ponette","given":"Quentin","non-dropping-particle":"","parse-names":false,"suffix":""},{"dropping-particle":"","family":"Muys","given":"Bart","non-dropping-particle":"","parse-names":false,"suffix":""}],"container-title":"Journal of Applied Ecology","id":"ITEM-2","issue":"6","issued":{"date-parts":[["2016"]]},"page":"1777-1786","title":"Biodiversity as insurance for sapling survival in experimental tree plantations","type":"article-journal","volume":"53"},"uris":["http://www.mendeley.com/documents/?uuid=45ba8dea-c9cb-4f9b-82ee-1f8566062156"]},{"id":"ITEM-3","itemData":{"DOI":"10.1111/brv.12756","ISSN":"1469185X","abstract":"Biological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author":[{"dropping-particle":"","family":"Loreau","given":"Michel","non-dropping-particle":"","parse-names":false,"suffix":""},{"dropping-particle":"","family":"Barbier","given":"Matthieu","non-dropping-particle":"","parse-names":false,"suffix":""},{"dropping-particle":"","family":"Filotas","given":"Elise","non-dropping-particle":"","parse-names":false,"suffix":""},{"dropping-particle":"","family":"Gravel","given":"Dominique","non-dropping-particle":"","parse-names":false,"suffix":""},{"dropping-particle":"","family":"Isbell","given":"Forest","non-dropping-particle":"","parse-names":false,"suffix":""},{"dropping-particle":"","family":"Miller","given":"Steve J.","non-dropping-particle":"","parse-names":false,"suffix":""},{"dropping-particle":"","family":"Montoya","given":"Jose M.","non-dropping-particle":"","parse-names":false,"suffix":""},{"dropping-particle":"","family":"Wang","given":"Shaopeng","non-drop</w:instrText>
      </w:r>
      <w:r w:rsidR="00F14052" w:rsidRPr="00F14052">
        <w:rPr>
          <w:lang w:val="nl-BE"/>
        </w:rPr>
        <w:instrText>ping-particle":"","parse-names":false,"suffix":""},{"dropping-particle":"","family":"Aussenac","given":"Raphaël","non-dropping-particle":"","parse-names":false,"suffix":""},{"dropping-particle":"","family":"Germain","given":"Rachel","non-dropping-particle":"","parse-names":false,"suffix":""},{"dropping-particle":"","family":"Thompson","given":"Patrick L.","non-dropping-particle":"","parse-names":false,"suffix":""},{"dropping-particle":"","family":"Gonzalez","given":"Andrew","non-dropping-particle":"","parse-names":false,"suffix":""},{"dropping-particle":"","family":"Dee","given":"Laura E.","non-dropping-particle":"","parse-names":false,"suffix":""}],"container-title":"Biological Reviews","id":"ITEM-3","issue":"5","issued":{"date-parts":[["2021"]]},"page":"2333-2354","title":"Biodiversity as insurance: from concept to measurement and application","type":"article-journal","volume":"96"},"uris":["http://www.mendeley.com/documents/?uuid=aa77e2d0-dc15-44eb-9516-2f9c04e2c48f"]}],"mendeley":{"formattedCitation":"(Loreau et al., 2021; Van de Peer, Verheyen, Baeten, Ponette, &amp; Muys, 2016; Yachi &amp; Loreau, 1999)","plainTextFormattedCitation":"(Loreau et al., 2021; Van de Peer, Verheyen, Baeten, Ponette, &amp; Muys, 2016; Yachi &amp; Loreau, 1999)","previouslyFormattedCitation":"(Yachi &amp; Loreau, 1999; Van de Peer, Verheyen, Baeten, Ponette, &amp; Muys, 2016; Loreau et al., 2021)"},"properties":{"noteIndex":0},"schema":"https://github.com/citation-style-language/schema/raw/master/csl-citation.json"}</w:instrText>
      </w:r>
      <w:r w:rsidRPr="00DA5AE2">
        <w:fldChar w:fldCharType="separate"/>
      </w:r>
      <w:bookmarkStart w:id="10" w:name="Bookmark8"/>
      <w:r w:rsidR="00F14052" w:rsidRPr="00F14052">
        <w:rPr>
          <w:noProof/>
          <w:lang w:val="nl-BE"/>
        </w:rPr>
        <w:t>(Loreau et al., 2021; Van de Peer, Verheyen, Baeten, Ponette, &amp; Muys, 2016; Yachi &amp; Loreau, 1999)</w:t>
      </w:r>
      <w:r w:rsidRPr="00DA5AE2">
        <w:fldChar w:fldCharType="end"/>
      </w:r>
      <w:bookmarkEnd w:id="10"/>
      <w:r w:rsidRPr="00DA5AE2">
        <w:rPr>
          <w:lang w:val="nl-BE"/>
        </w:rPr>
        <w:t xml:space="preserve">. </w:t>
      </w:r>
      <w:r w:rsidRPr="00DA5AE2">
        <w:t xml:space="preserve">This approach is based on common economic principles, where diversity in investments is promoted as a risk management strategy to not “put all one’s eggs in one basket” </w:t>
      </w:r>
      <w:r w:rsidRPr="00DA5AE2">
        <w:fldChar w:fldCharType="begin" w:fldLock="1"/>
      </w:r>
      <w:r w:rsidR="00F14052">
        <w:instrText>ADDIN CSL_CITATION {"citationItems":[{"id":"ITEM-1","itemData":{"author":[{"dropping-particle":"","family":"Figge","given":"Frank","non-dropping-particle":"","parse-names":false,"suffix":""}],"container-title":"Biodiversity and Conservation","id":"ITEM-1","issued":{"date-parts":[["2004"]]},"page":"827-849","title":"Bio-folio: applying portfolio theory to biodiversity","type":"article-journal","volume":"13"},"uris":["http://www.mendeley.com/documents/?uuid=6c7c94ff-5d6b-45b0-8c67-980945ef2d88"]},{"id":"ITEM-2","itemData":{"DOI":"10.1038/nature09060","ISSN":"00280836","PMID":"20520713","abstract":"One of the most pervasive themes in ecology is that biological diversity stabilizes ecosystem processes and the services they provide to society, a concept that has become a common argument for biodiversity conservation. Species-rich communities are thought to produce more temporally stable ecosystem services because of the complementary or independent dynamics among species that perform similar ecosystem functions. Such variance dampening within communities is referred to as a portfolio effect and is analogous to the effects of asset diversity on the stability of financial portfolios. In ecology, these arguments have focused on the effects of species diversity on ecosystem stability but have not considered the importance of biologically relevant diversity within individual species. Current rates of population extirpation are probably at least three orders of magnitude higher than species extinction rates, so there is a pressing need to clarify how population and life history diversity affect the performance of individual species in providing important ecosystem services. Here we use five decades of data from Oncorhynchus nerka (sockeye salmon) in Bristol Bay, Alaska, to provide the first quantification of portfolio effects that derive from population and life history diversity in an important and heavily exploited species. Variability in annual Bristol Bay salmon returns is 2.2 times lower than it would be if the system consisted of a single homogenous population rather than the several hundred discrete populations it currently consists of. Furthermore, if it were a single homogeneous population, such increased variability would lead to ten times more frequent fisheries closures. Portfolio effects are also evident in watershed food webs, where they stabilize and extend predator access to salmon resources. Our results demonstrate the critical importance of maintaining population diversity for stabilizing ecosystem services and securing the economies and livelihoods that depend on them. The reliability of ecosystem services will erode faster than indicated by species loss alone. © 2010 Macmillan Publishers Limited. All rights reserved.","author":[{"dropping-particle":"","family":"Schindler","given":"Daniel E.","non-dropping-particle":"","parse-names":false,"suffix":""},{"dropping-particle":"","family":"Hilborn","given":"Ray","non-dropping-particle":"","parse-names":false,"suffix":""},{"dropping-particle":"","family":"Chasco","given":"Brandon","non-dropping-particle":"","parse-names":false,"suffix":""},{"dropping-particle":"","family":"Boatright","given":"Christopher P.","non-dropping-particle":"","parse-names":false,"suffix":""},{"dropping-particle":"","family":"Quinn","given":"Thomas P.","non-dropping-particle":"","parse-names":false,"suffix":""},{"dropping-particle":"","family":"Rogers","given":"Lauren A.","non-dropping-particle":"","parse-names":false,"suffix":""},{"dropping-particle":"","family":"Webster","given":"Michael S.","non-dropping-particle":"","parse-names":false,"suffix":""}],"container-title":"Nature","id":"ITEM-2","issue":"7298","issued":{"date-parts":[["2010"]]},"page":"609-612","publisher":"Nature Publishing Group","title":"Population diversity and the portfolio effect in an exploited species","type":"article-journal","volume":"465"},"uris":["http://www.mendeley.com/documents/?uuid=784ed27d-3a7a-432e-8e69-15840262078a"]},{"id":"ITEM-3","itemData":{"DOI":"10.1890/140275","ISSN":"1540-9295","abstract":"Biological systems have similarities to efficient financial portfolios; the emergent properties of aggregate systems are often less volatile than their components. These portfolio effects derive from statistical averaging across the dynamics of system components, which often correlate weakly or negatively with each other through time and space. The \"portfolio\" concept when applied to ecological research provides important insights into how ecosystems are organized, how species interact, and how evolutionary strategies develop. It also helps identify appropriate scales for developing robust management and conservation schemes, and offers an approach that does not rely on prescriptive predictions about threats in an uncertain future. Rather, it presents a framework for managing risk from inevitable perturbations, many of which we will not be able to understand or anticipate.","author":[{"dropping-particle":"","family":"Schindler","given":"Daniel E","non-dropping-particle":"","parse-names":false,"suffix":""},{"dropping-particle":"","family":"Armstrong","given":"Jonathan B","non-dropping-particle":"","parse-names":false,"suffix":""},{"dropping-particle":"","family":"Reed","given":"Thomas E","non-dropping-particle":"","parse-names":false,"suffix":""}],"container-title":"Frontiers in Ecology and the Environment","id":"ITEM-3","issue":"5","issued":{"date-parts":[["2015","6"]]},"page":"257-263","title":"The portfolio concept in ecology and evolution","type":"article-journal","volume":"13"},"uris":["http://www.mendeley.com/documents/?uuid=2ad60eb8-2d23-4ee6-9233-069fb4f9ac12"]}],"mendeley":{"formattedCitation":"(Figge, 2004; Schindler, Armstrong, &amp; Reed, 2015; Schindler et al., 2010)","plainTextFormattedCitation":"(Figge, 2004; Schindler, Armstrong, &amp; Reed, 2015; Schindler et al., 2010)","previouslyFormattedCitation":"(Figge, 2004; Schindler et al., 2010; Schindler, Armstrong, &amp; Reed, 2015)"},"properties":{"noteIndex":0},"schema":"https://github.com/citation-style-language/schema/raw/master/csl-citation.json"}</w:instrText>
      </w:r>
      <w:r w:rsidRPr="00DA5AE2">
        <w:fldChar w:fldCharType="separate"/>
      </w:r>
      <w:bookmarkStart w:id="11" w:name="Bookmark9"/>
      <w:r w:rsidR="00F14052" w:rsidRPr="00F14052">
        <w:rPr>
          <w:noProof/>
        </w:rPr>
        <w:t>(Figge, 2004; Schindler, Armstrong, &amp; Reed, 2015; Schindler et al., 2010)</w:t>
      </w:r>
      <w:r w:rsidRPr="00DA5AE2">
        <w:fldChar w:fldCharType="end"/>
      </w:r>
      <w:bookmarkEnd w:id="11"/>
      <w:r w:rsidRPr="00DA5AE2">
        <w:t xml:space="preserve">. </w:t>
      </w:r>
      <w:r w:rsidR="003569E2" w:rsidRPr="00DA5AE2">
        <w:t xml:space="preserve">In the context of </w:t>
      </w:r>
      <w:r w:rsidR="00161DF9" w:rsidRPr="00DA5AE2">
        <w:t>biodiversity – ecosystem function experiments</w:t>
      </w:r>
      <w:r w:rsidR="003569E2" w:rsidRPr="00DA5AE2">
        <w:t xml:space="preserve">, </w:t>
      </w:r>
      <w:r w:rsidR="00C108A9" w:rsidRPr="00DA5AE2">
        <w:t xml:space="preserve">a better </w:t>
      </w:r>
      <w:r w:rsidR="00705329" w:rsidRPr="00DA5AE2">
        <w:t>understand</w:t>
      </w:r>
      <w:r w:rsidR="00C108A9" w:rsidRPr="00DA5AE2">
        <w:t>ing</w:t>
      </w:r>
      <w:r w:rsidR="00705329" w:rsidRPr="00DA5AE2">
        <w:t xml:space="preserve"> of survival variability </w:t>
      </w:r>
      <w:r w:rsidR="00161DF9" w:rsidRPr="00DA5AE2">
        <w:t>under drought can contribute to an improved notion of ecological stability</w:t>
      </w:r>
      <w:r w:rsidR="0091106D" w:rsidRPr="00DA5AE2">
        <w:t xml:space="preserve">. </w:t>
      </w:r>
      <w:r w:rsidR="000F01BF" w:rsidRPr="00DA5AE2">
        <w:t>I</w:t>
      </w:r>
      <w:r w:rsidR="004B5812" w:rsidRPr="00DA5AE2">
        <w:t xml:space="preserve">f variability in survival remains lower at high tree diversity under drought, then this shows that the drought impact is dampened and the ecosystem shows more resistance to the disturbance than low-diversity communities such as monocultures </w:t>
      </w:r>
      <w:r w:rsidR="000F01BF" w:rsidRPr="00DA5AE2">
        <w:fldChar w:fldCharType="begin" w:fldLock="1"/>
      </w:r>
      <w:r w:rsidR="000F01BF" w:rsidRPr="00DA5AE2">
        <w:instrText>ADDIN CSL_CITATION {"citationItems":[{"id":"ITEM-1","itemData":{"DOI":"10.1007/978-3-662-54553-9_7","ISBN":"978-3-662-54553-9","abstract":"In many parts of the world, forests are likely to face novel disturbance regimes as a result of global change processes, and there is concern that the capacity of forest ecosystems to withstand, recover from, or adapt to these novel disturbance regimes may decline. Creation and maintenance of species-diverse forests is seen as an important option to adapt forests to uncertain future disturbances. However, it is not known whether benefits of mixed-species forests consist mainly of risk spreading among tree species that have different susceptibility to various stressors and disturbance agents or whether they also have emergent properties resulting from interactions among species, which increase the resistance and resilience of participating species or the entire ecosystem. Here we review the evidence for the effects of tree diversity on the resistance and resilience of forests in relation to a number of abiotic (drought, wind, fire) and biotic (insect herbivores, pathogens) stress and disturbance factors. For the abiotic disturbances, damage or reduction in ecosystem function can be reduced, compared with monocultures of susceptible or less resilient species, when more resistant or resilient species are mixed with less susceptible and less resilient species. However, storm, fire, or drought damage to individual species may not be reduced in mixtures when compared to monocultures. The stress or disturbance impacts may even be aggravated for one or more species in some mixtures, as is shown for drought. There is more evidence for beneficial diversity effects in relation to biotic disturbance agents. Mixing tree species reduces the impact of insect herbivores on individual susceptible tree species in the majority of cases, where the community is dominated by specialist herbivores. However, the opposite effect may occur with generalist herbivores, which can be promoted by tree diversity. Similarly, tree diversity can reduce the impact of specialist pathogens on host tree species, whereas there is little evidence for positive influences in the case of generalist pathogens. In most cases, tree species diversity dilutes the impact of disturbance agents and, owing to different susceptibility of species to specific disturbances, insures against a complete damage or loss. In addition, mixing tree species can reduce temporal variation in growth and stabilise productivity. However, there is little evidence for true, positive diversity effects, where diversity leads t…","author":[{"dropping-particle":"","family":"Bauhus","given":"Jürgen","non-dropping-particle":"","parse-names":false,"suffix":""},{"dropping-particle":"","family":"Forrester","given":"David I","non-dropping-particle":"","parse-names":false,"suffix":""},{"dropping-particle":"","family":"Gardiner","given":"Barry","non-dropping-particle":"","parse-names":false,"suffix":""},{"dropping-particle":"","family":"Jactel","given":"Hervé","non-dropping-particle":"","parse-names":false,"suffix":""},{"dropping-particle":"","family":"Vallejo","given":"Ramon","non-dropping-particle":"","parse-names":false,"suffix":""},{"dropping-particle":"","family":"Pretzsch","given":"Hans","non-dropping-particle":"","parse-names":false,"suffix":""}],"container-title":"Mixed-Species Forests: Ecology and Management","editor":[{"dropping-particle":"","family":"Pretzsch","given":"Hans","non-dropping-particle":"","parse-names":false,"suffix":""},{"dropping-particle":"","family":"Forrester","given":"David I","non-dropping-particle":"","parse-names":false,"suffix":""},{"dropping-particle":"","family":"Bauhus","given":"Jürgen","non-dropping-particle":"","parse-names":false,"suffix":""}],"id":"ITEM-1","issued":{"date-parts":[["2017"]]},"page":"337-382","publisher":"Springer Berlin Heidelberg","publisher-place":"Berlin, Heidelberg","title":"Ecological Stability of Mixed-Species Forests","type":"chapter"},"uris":["http://www.mendeley.com/documents/?uuid=0c164963-0294-417b-b050-8c767bd1cbe0"]}],"mendeley":{"formattedCitation":"(Bauhus et al., 2017)","plainTextFormattedCitation":"(Bauhus et al., 2017)","previouslyFormattedCitation":"(Bauhus et al., 2017)"},"properties":{"noteIndex":0},"schema":"https://github.com/citation-style-language/schema/raw/master/csl-citation.json"}</w:instrText>
      </w:r>
      <w:r w:rsidR="000F01BF" w:rsidRPr="00DA5AE2">
        <w:fldChar w:fldCharType="separate"/>
      </w:r>
      <w:r w:rsidR="000F01BF" w:rsidRPr="00DA5AE2">
        <w:rPr>
          <w:noProof/>
        </w:rPr>
        <w:t>(Bauhus et al., 2017)</w:t>
      </w:r>
      <w:r w:rsidR="000F01BF" w:rsidRPr="00DA5AE2">
        <w:fldChar w:fldCharType="end"/>
      </w:r>
      <w:r w:rsidR="00D3676C" w:rsidRPr="00DA5AE2">
        <w:t xml:space="preserve">. </w:t>
      </w:r>
      <w:r w:rsidR="004B5812" w:rsidRPr="00DA5AE2">
        <w:t xml:space="preserve">Over time, this ability of the ecosystem to resist disturbance impacts from drought may contribute to stability in other ecosystem functions such as biomass production </w:t>
      </w:r>
      <w:r w:rsidR="000F01BF" w:rsidRPr="00DA5AE2">
        <w:fldChar w:fldCharType="begin" w:fldLock="1"/>
      </w:r>
      <w:r w:rsidR="0028678F" w:rsidRPr="00DA5AE2">
        <w:instrText>ADDIN CSL_CITATION {"citationItems":[{"id":"ITEM-1","itemData":{"DOI":"10.1111/1365-2745.13651","ISSN":"13652745","abstract":"Characterizing how ecosystems are responding to rapid environmental change has become a major focus of ecological research. The empirical study of ecological stability, which aims to quantify these ecosystem responses, is therefore more relevant than ever. Based on a historical review and bibliometric mapping of the field of ecological stability, we show that the two main schools relating to the study of stability—one focusing on systems close to their equilibrium and the other on non-equilibrium behaviour—have developed in parallel leading to divergence in both concepts and definitions. We synthesize and expand previous frameworks and capitalize on the latest developments in the field to build towards an integrated framework by elaborating the overarching concept of ecological stability and its properties. Finally, the broad applicability of our work is demonstrated in two empirical cases. Synthesis. With rapidly changing environmental conditions, the stability of ecosystems has become a major focus of ecological research. Still, the concept of stability remains a major source of confusion and disagreement among ecologists. The conceptual framework presented here provides a basis to integrate currently diverging views on the study of ecological stability.","author":[{"dropping-particle":"","family":"Meerbeek","given":"Koenraad","non-dropping-particle":"Van","parse-names":false,"suffix":""},{"dropping-particle":"","family":"Jucker","given":"Tommaso","non-dropping-particle":"","parse-names":false,"suffix":""},{"dropping-particle":"","family":"Svenning","given":"Jens Christian","non-dropping-particle":"","parse-names":false,"suffix":""}],"container-title":"Journal of Ecology","id":"ITEM-1","issue":"9","issued":{"date-parts":[["2021"]]},"page":"3114-3132","title":"Unifying the concepts of stability and resilience in ecology","type":"article-journal","volume":"109"},"uris":["http://www.mendeley.com/documents/?uuid=312c07de-96d5-4963-8953-4593da6f09e5"]}],"mendeley":{"formattedCitation":"(Van Meerbeek, Jucker, &amp; Svenning, 2021)","plainTextFormattedCitation":"(Van Meerbeek, Jucker, &amp; Svenning, 2021)","previouslyFormattedCitation":"(Van Meerbeek, Jucker, &amp; Svenning, 2021)"},"properties":{"noteIndex":0},"schema":"https://github.com/citation-style-language/schema/raw/master/csl-citation.json"}</w:instrText>
      </w:r>
      <w:r w:rsidR="000F01BF" w:rsidRPr="00DA5AE2">
        <w:fldChar w:fldCharType="separate"/>
      </w:r>
      <w:r w:rsidR="000F01BF" w:rsidRPr="00DA5AE2">
        <w:rPr>
          <w:noProof/>
        </w:rPr>
        <w:t>(Van Meerbeek, Jucker, &amp; Svenning, 2021)</w:t>
      </w:r>
      <w:r w:rsidR="000F01BF" w:rsidRPr="00DA5AE2">
        <w:fldChar w:fldCharType="end"/>
      </w:r>
      <w:r w:rsidR="00D3676C" w:rsidRPr="00DA5AE2">
        <w:t>.</w:t>
      </w:r>
      <w:r w:rsidR="00775AD5" w:rsidRPr="00DA5AE2">
        <w:t xml:space="preserve"> Despite this importance of understanding variability in community properties, ecologists have generally shown more interest in how mean values of community properties change in response to abioti</w:t>
      </w:r>
      <w:r w:rsidR="00CD5508" w:rsidRPr="00DA5AE2">
        <w:t>c</w:t>
      </w:r>
      <w:r w:rsidR="00775AD5" w:rsidRPr="00DA5AE2">
        <w:t xml:space="preserve"> and biotic drivers compared to the properties’ variability </w:t>
      </w:r>
      <w:r w:rsidR="00775AD5" w:rsidRPr="00DA5AE2">
        <w:fldChar w:fldCharType="begin" w:fldLock="1"/>
      </w:r>
      <w:r w:rsidR="00775AD5" w:rsidRPr="00DA5AE2">
        <w:instrText>ADDIN CSL_CITATION {"citationItems":[{"id":"ITEM-1","itemData":{"DOI":"10.1515/9780691195322-005","abstract":"Variability or heterogeneity is everywhere in ecology and evolution. For instance, Levins (1968) introduces his classic work \"Evolution in Changing Environments: Some Theoretical Explorations\" as \"a series of explorations … around the common theme of the consequences of environmental heterogeneity.\" We have many reasons for studying variability at different levels, including within-individual variation through time or in modular organisms (e.g., tree branches); among or across individual variation in genetics or traits (including behaviors) within a population, guild, community, or ecosystem; or as environmental (e.g., meteorological, hydrological, limnological, oceanographic) drivers of processes of interest. Yet, ecologists most frequently manipulate the mean value of a driving variable of interest and look at its ecological effects and ignore variation in that driving variable or process of interest. For instance, we might rear an insect or plant at three average temperatures and then use analysis of variance to compare individual growth rates at these temperatures but overlook variation in temperature through time and its effects on growth rate{Note that \"variations\" as a plural does not work with \"its\" later in the sentence. We prefer keeping the focus on overall variation rather than individual variations}. Most frequently, patterns of spatial or temporal variation in either biotic or abiotic factors are used to make inferences about underlying mechanisms (e.g., using geostatistical techniques, Rossi et al. 1992 or using power law plots, Taylor 1961). Variation may even be treated as an","author":[{"dropping-particle":"","family":"Holyoak","given":"Marcel","non-dropping-particle":"","parse-names":false,"suffix":""},{"dropping-particle":"","family":"Wetzel","given":"William C","non-dropping-particle":"","parse-names":false,"suffix":""}],"container-title":"Unsolved Problems in Ecology","id":"ITEM-1","issued":{"date-parts":[["2020"]]},"page":"25-42","title":"Variance-Explicit Ecology: A Call for Holistic Study of the Consequences of Variability at Multiple Scales","type":"chapter"},"uris":["http://www.mendeley.com/documents/?uuid=e1310c08-277e-4f3e-b2d7-95f85e474869"]}],"mendeley":{"formattedCitation":"(Holyoak &amp; Wetzel, 2020)","plainTextFormattedCitation":"(Holyoak &amp; Wetzel, 2020)","previouslyFormattedCitation":"(Holyoak &amp; Wetzel, 2020)"},"properties":{"noteIndex":0},"schema":"https://github.com/citation-style-language/schema/raw/master/csl-citation.json"}</w:instrText>
      </w:r>
      <w:r w:rsidR="00775AD5" w:rsidRPr="00DA5AE2">
        <w:fldChar w:fldCharType="separate"/>
      </w:r>
      <w:r w:rsidR="00775AD5" w:rsidRPr="00DA5AE2">
        <w:rPr>
          <w:noProof/>
        </w:rPr>
        <w:t>(Holyoak &amp; Wetzel, 2020)</w:t>
      </w:r>
      <w:r w:rsidR="00775AD5" w:rsidRPr="00DA5AE2">
        <w:fldChar w:fldCharType="end"/>
      </w:r>
      <w:r w:rsidR="00775AD5" w:rsidRPr="00DA5AE2">
        <w:t>.</w:t>
      </w:r>
    </w:p>
    <w:p w14:paraId="464CB4E7" w14:textId="714C4679" w:rsidR="00B26A2C" w:rsidRPr="00DA5AE2" w:rsidRDefault="00BF401C">
      <w:pPr>
        <w:jc w:val="both"/>
      </w:pPr>
      <w:r w:rsidRPr="00DA5AE2">
        <w:lastRenderedPageBreak/>
        <w:t xml:space="preserve">Two main mechanisms </w:t>
      </w:r>
      <w:r w:rsidR="009D04F2" w:rsidRPr="00DA5AE2">
        <w:t>could</w:t>
      </w:r>
      <w:r w:rsidRPr="00DA5AE2">
        <w:t xml:space="preserve"> cause </w:t>
      </w:r>
      <w:r w:rsidR="00CB70B6" w:rsidRPr="00DA5AE2">
        <w:t>a reduced variability in survival</w:t>
      </w:r>
      <w:r w:rsidR="00895CC2" w:rsidRPr="00DA5AE2">
        <w:t xml:space="preserve"> of young trees</w:t>
      </w:r>
      <w:r w:rsidR="00CB70B6" w:rsidRPr="00DA5AE2">
        <w:t xml:space="preserve"> under drought. First, </w:t>
      </w:r>
      <w:r w:rsidR="00AA205B" w:rsidRPr="00DA5AE2">
        <w:t>diversification can lower variability in stand survival by way of a sampling</w:t>
      </w:r>
      <w:r w:rsidR="00B259A5">
        <w:t xml:space="preserve"> </w:t>
      </w:r>
      <w:r w:rsidR="00AA205B" w:rsidRPr="00DA5AE2">
        <w:t xml:space="preserve">effect </w:t>
      </w:r>
      <w:r w:rsidR="00AA205B" w:rsidRPr="00DA5AE2">
        <w:fldChar w:fldCharType="begin" w:fldLock="1"/>
      </w:r>
      <w:r w:rsidR="00F14052">
        <w:instrText>ADDIN CSL_CITATION {"citationItems":[{"id":"ITEM-1","itemData":{"DOI":"10.1111/j.2007.0030-1299.15382.x","ISSN":"0030-1299","abstract":"It has been proposed that biodiversity can be important for ecosystem functioning and act as an insurance against perturbations and environmental fluctuations. To date, theoretical work supports this idea but direct experimental evidence is still to some extent ambiguous and debated. The main reason for this debate - and the lack of strong empirical support - is due to unavoidable experimentally and statistically inherent variance reduction effects. Here we present the results of an experimental study that circumvents earlier hidden treatments. By random draw without replacement, we collected 180 full-sibling batches of an amphipod from a large pool of possible parents. Assembled amphipod populations with diversity levels ranging from one to ten were exposed to either a single perturbation (nutrient enrichment) or two combined perturbations (nutrient enrichment and desiccation). The results show that the variance in the number of surviving individuals decreased with increasing diversity in the combined perturbations treatment. Predictability in population survival thus seemed to be higher in more diverse assemblages. Our results, together with a simple model suggest that variance-decreasing effects can be due to actual real world statistical sampling effects of increasing diversity.","author":[{"dropping-particle":"","family":"Gamfeldt","given":"Lars","non-dropping-particle":"","parse-names":false,"suffix":""},{"dropping-particle":"","family":"Källström","given":"Björn","non-dropping-particle":"","parse-names":false,"suffix":""}],"container-title":"Oikos","id":"ITEM-1","issue":"4","issued":{"date-parts":[["2007"]]},"page":"700-705","title":"Increasing intraspecific diversity increases predictability in population survival in the face of perturbations","type":"article-journal","volume":"116"},"uris":["http://www.mendeley.com/documents/?uuid=531fa6f1-7971-4053-8280-1f7298b29c4b"]},{"id":"ITEM-2","itemData":{"DOI":"10.1016/j.ppees.2013.07.002","ISSN":"14338319","abstract":"One of the current advances in functional biodiversity research is the move away from short-lived test systems towards the exploration of diversity-ecosystem functioning relationships in structurally more complex ecosystems. In forests, assumptions about the functional significance of tree species diversity have only recently produced a new generation of research on ecosystem processes and services. Novel experimental designs have now replaced traditional forestry trials, but these comparatively young experimental plots suffer from specific difficulties that are mainly related to the tree size and longevity. Tree species diversity experiments therefore need to be complemented with comparative observational studies in existing forests. Here we present the design and implementation of a new network of forest plots along tree species diversity gradients in six major European forest types: the FunDivEUROPE Exploratory Platform. Based on a review of the deficiencies of existing observational approaches and of unresolved research questions and hypotheses, we discuss the fundamental criteria that shaped the design of our platform. Key features include the extent of the species diversity gradient with mixtures up to five species, strict avoidance of a dilution gradient, special attention to community evenness and minimal covariation with other environmental factors. The new European research platform permits the most comprehensive assessment of tree species diversity effects on forest ecosystem functioning to date since it offers a common set of research plots to groups of researchers from very different disciplines and uses the same methodological approach in contrasting forest types along an extensive environmental gradient. © 2013 Perspectives in Plant Ecology, Evolution and Systematics.","author":[{"dropping-particle":"","family":"Baeten","given":"Lander","non-dropping-particle":"","parse-names":false,"suffix":""},{"dropping-particle":"","family":"Verheyen","given":"Kris","non-dropping-particle":"","parse-names":false,"suffix":""},{"dropping-particle":"","family":"Wirth","given":"Christian","non-dropping-particle":"","parse-names":false,"suffix":""},{"dropping-particle":"","family":"Bruelheide","given":"Helge","non-dropping-particle":"","parse-names":false,"suffix":""},{"dropping-particle":"","family":"Bussotti","given":"Filippo","non-dropping-particle":"","parse-names":false,"suffix":""},{"dropping-particle":"","family":"Finér","given":"Leena","non-dropping-particle":"","parse-names":false,"suffix":""},{"dropping-particle":"","family":"Jaroszewicz","given":"Bogdan","non-dropping-particle":"","parse-names":false,"suffix":""},{"dropping-particle":"","family":"Selvi","given":"Federico","non-dropping-particle":"","parse-names":false,"suffix":""},{"dropping-particle":"","family":"Valladares","given":"Fernando","non-dropping-particle":"","parse-names":false,"suffix":""},{"dropping-particle":"","family":"Allan","given":"Eric","non-dropping-particle":"","parse-names":false,"suffix":""},{"dropping-particle":"","family":"Ampoorter","given":"Evy","non-dropping-particle":"","parse-names":false,"suffix":""},{"dropping-particle":"","family":"Auge","given":"Harald","non-dro</w:instrText>
      </w:r>
      <w:r w:rsidR="00F14052">
        <w:rPr>
          <w:rFonts w:hint="eastAsia"/>
        </w:rPr>
        <w:instrText>pping-particle":"","parse-names":false,"suffix":""},{"dropping-particle":"","family":"Av</w:instrText>
      </w:r>
      <w:r w:rsidR="00F14052">
        <w:rPr>
          <w:rFonts w:hint="eastAsia"/>
        </w:rPr>
        <w:instrText>ǎ</w:instrText>
      </w:r>
      <w:r w:rsidR="00F14052">
        <w:rPr>
          <w:rFonts w:hint="eastAsia"/>
        </w:rPr>
        <w:instrText>c</w:instrText>
      </w:r>
      <w:r w:rsidR="00F14052">
        <w:rPr>
          <w:rFonts w:hint="eastAsia"/>
        </w:rPr>
        <w:instrText>ǎ</w:instrText>
      </w:r>
      <w:r w:rsidR="00F14052">
        <w:rPr>
          <w:rFonts w:hint="eastAsia"/>
        </w:rPr>
        <w:instrText>riei","given":"Daniel","non-dropping-particle":"","parse-names":false,"suffix":""},{"dropping-particle":"","family":"Barbaro","given":"Luc","non-dropping-particle":"","parse-names":false,"suffix":""},{"dropping-particle":"","family":"B</w:instrText>
      </w:r>
      <w:r w:rsidR="00F14052">
        <w:rPr>
          <w:rFonts w:hint="eastAsia"/>
        </w:rPr>
        <w:instrText>ǎ</w:instrText>
      </w:r>
      <w:r w:rsidR="00F14052">
        <w:rPr>
          <w:rFonts w:hint="eastAsia"/>
        </w:rPr>
        <w:instrText>rnoaiea","given":"Ionu","non-dropping-particle":"","parse-names":false,"suffix":""},{"dropping-particle":"","family":"Bastias","given":"Cristina C.","non-dropping-particle":"","parse-</w:instrText>
      </w:r>
      <w:r w:rsidR="00F14052">
        <w:instrText>names":false,"suffix":""},{"dropping-particle":"","family":"Bauhus","given":"Jürgen","non-dropping-particle":"","parse-names":false,"suffix":""},{"dropping-particle":"","family":"Beinhoff","given":"Carsten","non-dropping-particle":"","parse-names":false,"suffix":""},{"dropping-particle":"","family":"Benavides","given":"Raquel","non-dropping-particle":"","parse-names":false,"suffix":""},{"dropping-particle":"","family":"Benneter","given":"Adam","non-dropping-particle":"","parse-names":false,"suffix":""},{"dropping-particle":"","family":"Berger","given":"Sigrid","non-dropping-particle":"","parse-names":false,"suffix":""},{"dropping-particle":"","family":"Berthold","given":"Felix","non-dropping-particle":"","parse-names":false,"suffix":""},{"dropping-particle":"","family":"Boberg","given":"Johanna","non-dropping-particle":"","parse-names":false,"suffix":""},{"dropping-particle":"","family":"Bonal","given":"Damien","non-dropping-particle":"","parse-names":false,"suffix":""},{"dropping-particle":"","family":"Brüggemann","given":"Wolfgang","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hećko","given":"Ewa","non-dropping-particle":"","parse-names":false,"suffix":""},{"dropping-particle":"","family":"Coomes","given":"David","non-dropping-particle":"","parse-names":false,"suffix":""},{"dropping-particle":"","family":"Coppi","given":"Andrea","non-dropping-</w:instrText>
      </w:r>
      <w:r w:rsidR="00F14052">
        <w:rPr>
          <w:rFonts w:hint="eastAsia"/>
        </w:rPr>
        <w:instrText>particle":"","parse-names":false,"suffix":""},{"dropping-particle":"","family":"Dalmaris","given":"Eleftheria","non-dropping-particle":"","parse-names":false,"suffix":""},{"dropping-particle":"","family":"D</w:instrText>
      </w:r>
      <w:r w:rsidR="00F14052">
        <w:rPr>
          <w:rFonts w:hint="eastAsia"/>
        </w:rPr>
        <w:instrText>ǎ</w:instrText>
      </w:r>
      <w:r w:rsidR="00F14052">
        <w:rPr>
          <w:rFonts w:hint="eastAsia"/>
        </w:rPr>
        <w:instrText>nil</w:instrText>
      </w:r>
      <w:r w:rsidR="00F14052">
        <w:rPr>
          <w:rFonts w:hint="eastAsia"/>
        </w:rPr>
        <w:instrText>ǎ</w:instrText>
      </w:r>
      <w:r w:rsidR="00F14052">
        <w:rPr>
          <w:rFonts w:hint="eastAsia"/>
        </w:rPr>
        <w:instrText>","given":"Gabriel","non-dropping-particle":</w:instrText>
      </w:r>
      <w:r w:rsidR="00F14052">
        <w:instrText>"","parse-names":false,"suffix":""},{"dropping-particle":"","family":"Dawud","given":"Seid M.","non-dropping-particle":"","parse-names":false,"suffix":""},{"dropping-particle":"","family":"Vries","given":"Wim","non-dropping-particle":"de","parse-names":false,"suffix":""},{"dropping-particle":"","family":"Wandeler","given":"Hans","non-dropping-particle":"De","parse-names":false,"suffix":""},{"dropping-particle":"","family":"Deconchat","given":"Marc","non-dropping-particle":"","parse-names":false,"suffix":""},{"dropping-particle":"","family":"Domisch","given":"Timo","non-dropping-particle":"","parse-names":false,"suffix":""},{"dropping-particle":"","family":"Duduman","given":"Gabriel","non-dropping-particle":"","parse-names":false,"suffix":""},{"dropping-particle":"","family":"Fischer","given":"Markus","non-dropping-particle":"","parse-names":false,"suffix":""},{"dropping-particle":"","family":"Fotelli","given":"Mariangela","non-dropping-particle":"","parse-names":false,"suffix":""},{"dropping-particle":"","family":"Gessler","given":"Arthur","non-dropping-particle":"","parse-names":false,"suffix":""},{"dropping-particle":"","family":"Gimeno","given":"Teresa E.","non-dropping-particle":"","parse-names":false,"suffix":""},{"dropping-particle":"","family":"Granier","given":"André","non-dropping-particle":"","parse-names":false,"suffix":""},{"dropping-particle":"","family":"Grossiord","given":"Charlotte","non-dropping-particle":"","parse-names":false,"suffix":""},{"dropping-particle":"","family":"Guyot","given":"Virginie","non-dropping-particle":"","parse-names":false,"suffix":""},{"dropping-particle":"","family":"Hantsch","given":"Lydia","non-dropping-particle":"","parse-names":false,"suffix":""},{"dropping-particle":"","family":"Hättenschwiler","given":"Stephan","non-dropping-particle":"","parse-names":false,"suffix":""},{"dropping-particle":"","family":"Hector","given":"Andy","non-dropping-particle":"","parse-names":false,"suffix":""},{"dropping-particle":"","family":"Hermy","given":"Martin","non-dropping-particle":"","parse-names":false,"suffix":""},{"dropping-particle":"","family":"Holland","given":"Vera","non-dropping-particle":"","parse-names":false,"suffix":""},{"dropping-particle":"","family":"Jactel","given":"Hervé","non-dropping-particle":"","parse-names":false,"suffix":""},{"dropping-particle":"","family":"Joly","given":"François Xavier","non-dropping-particle":"","parse-names":false,"suffix":""},{"dropping-particle":"","family":"Jucker","given":"Tommaso","non-dropping-particle":"","parse-names":false,"suffix":""},{"dropping-particle":"","family":"Kolb","given":"Simon","non-dropping-particle":"","parse-names":false,"suffix":""},{"dropping-particle":"","family":"Koricheva","given":"Julia","non-dropping-particle":"","parse-names":false,"suffix":""},{"dropping-particle":"","family":"Lexer","given":"Manfred J.","non-dropping-particle":"","parse-names":false,"suffix":""},{"dropping-particle":"","family":"Liebergesell","given":"Mario","non-dropping-particle":"","parse-names":false,"suffix":""},{"dropping-particle":"","family":"Milligan","given":"Harriet","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Nichiforel","given":"Liviu","non-dropping-particle":"","parse-names":false,"suffix":""},{"dropping-particle":"","family":"Pollastrini","given":"Martina","non-dropping-particle":"","parse-names":false,"suffix":""},{"dropping-particle":"","family":"Proulx","given":"Raphael","non-dropping-particle":"","parse-names":false,"suffix":""},{"dropping-particle":"","family":"Rabasa","given":"Sonia","non-dropping-particle":"","parse-names":false,"suffix":""},{"dropping-particle":"","family":"Radoglou","given":"Kalliopi","non-dropping-particle":"","parse-names":false,"suffix":""},{"dropping-particle":"","family":"Ratcliffe","given":"Sophia","non-dropping-particle":"","parse-names":false,"suffix":""},{"dropping-particle":"","family":"Raulund-Rasmussen","given":"Karsten","non-dropping-particle":"","parse-names":false,"suffix":""},{"dropping-particle":"","family":"Seiferling","given":"Ian","non-dropping-particle":"","parse-names":false,"suffix":""},{"dropping-particle":"","family":"Stenlid","given":"Jan","non-dropping-particle":"","parse-names":false,"suffix":""},{"dropping-particle":"","family":"Vesterdal","given":"Lars","non-dropping-particle":"","parse-names":false,"suffix":""},{"dropping-particle":"","family":"Wilpert","given":"Klaus","non-dropping-particle":"von","parse-names":false,"suffix":""},{"dropping-particle":"","family":"Zavala","given":"Miguel A.","non-dropping-particle":"","parse-names":false,"suffix":""},{"dropping-particle":"","family":"Zielinski","given":"Dawid","non-dropping-particle":"","parse-names":false,"suffix":""},{"dropping-particle":"","family":"Scherer-Lorenzen","given":"Michael","non-dropping-particle":"","parse-names":false,"suffix":""}],"container-title":"Perspectives in Plant Ecology, Evolution and Systematics","id":"ITEM-2","issue":"5","issued":{"date-parts":[["2013"]]},"page":"281-291","title":"A novel comparative research platform designed to determine the functional significance of tree species diversity in European forests","type":"article-journal","volume":"15"},"uris":["http://www.mendeley.com/documents/?uuid=315b44d1-019a-4805-a6fd-3e3d35e1a7b6"]}],"mendeley":{"formattedCitation":"(Baeten et al., 2013; Gamfeldt &amp; Källström, 2007)","plainTextFormattedCitation":"(Baeten et al., 2013; Gamfeldt &amp; Källström, 2007)","previouslyFormattedCitation":"(Gamfeldt &amp; Källström, 2007; Baeten et al., 2013)"},"properties":{"noteIndex":0},"schema":"https://github.com/citation-style-language/schema/raw/master/csl-citation.json"}</w:instrText>
      </w:r>
      <w:r w:rsidR="00AA205B" w:rsidRPr="00DA5AE2">
        <w:fldChar w:fldCharType="separate"/>
      </w:r>
      <w:bookmarkStart w:id="12" w:name="Bookmark10"/>
      <w:r w:rsidR="00F14052" w:rsidRPr="00F14052">
        <w:rPr>
          <w:noProof/>
        </w:rPr>
        <w:t>(Baeten et al., 2013; Gamfeldt &amp; Källström, 2007)</w:t>
      </w:r>
      <w:r w:rsidR="00AA205B" w:rsidRPr="00DA5AE2">
        <w:fldChar w:fldCharType="end"/>
      </w:r>
      <w:bookmarkEnd w:id="12"/>
      <w:r w:rsidR="00AA205B" w:rsidRPr="00DA5AE2">
        <w:t xml:space="preserve">, as it is more likely that mixtures will contain a drought resistant species </w:t>
      </w:r>
      <w:r w:rsidR="00A62F42" w:rsidRPr="00DA5AE2">
        <w:t xml:space="preserve">compared to a </w:t>
      </w:r>
      <w:r w:rsidR="00AA205B" w:rsidRPr="00DA5AE2">
        <w:t>given monoculture.</w:t>
      </w:r>
      <w:r w:rsidR="00B277EF" w:rsidRPr="00DA5AE2">
        <w:t xml:space="preserve"> Over time, </w:t>
      </w:r>
      <w:r w:rsidR="008A7B50" w:rsidRPr="00DA5AE2">
        <w:t xml:space="preserve">such species </w:t>
      </w:r>
      <w:r w:rsidR="001D3C4E" w:rsidRPr="00DA5AE2">
        <w:t xml:space="preserve">with high survival </w:t>
      </w:r>
      <w:r w:rsidR="001749E5" w:rsidRPr="00DA5AE2">
        <w:t>c</w:t>
      </w:r>
      <w:r w:rsidR="008A7B50" w:rsidRPr="00DA5AE2">
        <w:t xml:space="preserve">ould also become more dominant </w:t>
      </w:r>
      <w:r w:rsidR="00586156" w:rsidRPr="00DA5AE2">
        <w:t>in</w:t>
      </w:r>
      <w:r w:rsidR="008A7B50" w:rsidRPr="00DA5AE2">
        <w:t xml:space="preserve"> the community which would constitute a selection effect</w:t>
      </w:r>
      <w:r w:rsidR="001749E5" w:rsidRPr="00DA5AE2">
        <w:t xml:space="preserve"> </w:t>
      </w:r>
      <w:r w:rsidR="001749E5" w:rsidRPr="00DA5AE2">
        <w:fldChar w:fldCharType="begin" w:fldLock="1"/>
      </w:r>
      <w:r w:rsidR="00CE3A39">
        <w:instrText>ADDIN CSL_CITATION {"citationItems":[{"id":"ITEM-1","itemData":{"abstract":"The impact of biodiversity loss on the functioning of ecosystems and their ability to provide ecological services has become a central issue in ecology. Several experiments have provided evidence that reduced species diversity may impair ecosystem processes such as plant biomass production1±5. The interpretation of these experiments, however, has been controversial6±12 because two types of mechanism may operate in combination6,13±15. In the `selection effect', dominance by species with particular traits affects ecosystem processes. In the `complementarity effect', resource partitioning or positive interactions lead to increased total resource use. Here we present a new approach to separate the two effects on the basis of an additive partitioning analogous to the Price equation in evolutionary genetics16±19. Applying this method to data from the pan-European BIODEPTH experiment4 reveals that the selection effect is zero on average and varies from negative to positive in different localities, depending on whether species with lower- or higher-than-average biomass dominate communities. In contrast, the complementarity effect is positive overall, supporting the hypothesis that plant diversity inØuences primary production in European grasslands through niche differentiation or facilitation.","author":[{"dropping-particle":"","family":"Loreau","given":"Michel","non-dropping-particle":"","parse-names":false,"suffix":""},{"dropping-particle":"","family":"Hector","given":"Andy","non-dropping-particle":"","parse-names":false,"suffix":""}],"container-title":"Nature","id":"ITEM-1","issue":"6842","issued":{"date-parts":[["2001"]]},"page":"72-76","title":"Partitioning selection and complementarity in biodiversity experiments","type":"article-journal","volume":"412"},"uris":["http://www.mendeley.com/documents/?uuid=1fe45cc8-bc4b-453a-b4da-25a1d1ee5b67"]}],"mendeley":{"formattedCitation":"(Loreau &amp; Hector, 2001)","plainTextFormattedCitation":"(Loreau &amp; Hector, 2001)","previouslyFormattedCitation":"(Loreau &amp; Hector, 2001)"},"properties":{"noteIndex":0},"schema":"https://github.com/citation-style-language/schema/raw/master/csl-citation.json"}</w:instrText>
      </w:r>
      <w:r w:rsidR="001749E5" w:rsidRPr="00DA5AE2">
        <w:fldChar w:fldCharType="separate"/>
      </w:r>
      <w:r w:rsidR="001749E5" w:rsidRPr="00DA5AE2">
        <w:rPr>
          <w:noProof/>
        </w:rPr>
        <w:t>(Loreau &amp; Hector, 2001)</w:t>
      </w:r>
      <w:r w:rsidR="001749E5" w:rsidRPr="00DA5AE2">
        <w:fldChar w:fldCharType="end"/>
      </w:r>
      <w:r w:rsidR="001749E5" w:rsidRPr="00DA5AE2">
        <w:t>.</w:t>
      </w:r>
      <w:r w:rsidR="00AA205B" w:rsidRPr="00DA5AE2">
        <w:t xml:space="preserve"> </w:t>
      </w:r>
      <w:r w:rsidR="002A42ED" w:rsidRPr="00DA5AE2">
        <w:t>Second, complementary use of resources</w:t>
      </w:r>
      <w:r w:rsidR="00E22D7B" w:rsidRPr="00DA5AE2">
        <w:t xml:space="preserve"> in </w:t>
      </w:r>
      <w:r w:rsidR="002A42ED" w:rsidRPr="00DA5AE2">
        <w:t xml:space="preserve">functionally diverse communities </w:t>
      </w:r>
      <w:r w:rsidR="0078730E" w:rsidRPr="00DA5AE2">
        <w:t>can</w:t>
      </w:r>
      <w:r w:rsidR="00E22D7B" w:rsidRPr="00DA5AE2">
        <w:t xml:space="preserve"> reduce survival variability as</w:t>
      </w:r>
      <w:r w:rsidR="00F10E25" w:rsidRPr="00DA5AE2">
        <w:t xml:space="preserve"> the</w:t>
      </w:r>
      <w:r w:rsidR="00476F46" w:rsidRPr="00DA5AE2">
        <w:t xml:space="preserve"> intensity of </w:t>
      </w:r>
      <w:r w:rsidR="00AA205B" w:rsidRPr="00DA5AE2">
        <w:t xml:space="preserve">intraspecific competition for water </w:t>
      </w:r>
      <w:r w:rsidR="00476F46" w:rsidRPr="00DA5AE2">
        <w:t xml:space="preserve">in monocultures </w:t>
      </w:r>
      <w:r w:rsidR="00AA205B" w:rsidRPr="00DA5AE2">
        <w:t xml:space="preserve">may be stronger </w:t>
      </w:r>
      <w:r w:rsidR="00476F46" w:rsidRPr="00DA5AE2">
        <w:t xml:space="preserve">than overall </w:t>
      </w:r>
      <w:r w:rsidR="00AA205B" w:rsidRPr="00DA5AE2">
        <w:t xml:space="preserve">competition between functionally different species in mixtures </w:t>
      </w:r>
      <w:r w:rsidR="00AA205B" w:rsidRPr="00DA5AE2">
        <w:fldChar w:fldCharType="begin" w:fldLock="1"/>
      </w:r>
      <w:r w:rsidR="00AA205B" w:rsidRPr="00DA5AE2">
        <w:instrText>ADDIN CSL_CITATION {"citationItems":[{"id":"ITEM-1","itemData":{"DOI":"10.1111/gcb.16146","ISSN":"1354-1013","author":[{"dropping-particle":"","family":"Hajek","given":"Peter","non-dropping-particle":"","parse-names":false,"suffix":""},{"dropping-particle":"","family":"Link","given":"Roman M.","non-dropping-particle":"","parse-names":false,"suffix":""},{"dropping-particle":"","family":"Nock","given":"Charles A.","non-dropping-particle":"","parse-names":false,"suffix":""},{"dropping-particle":"","family":"Bauhus","given":"Jürgen","non-dropping-particle":"","parse-names":false,"suffix":""},{"dropping-particle":"","family":"Gebauer","given":"Tobias","non-dropping-particle":"","parse-names":false,"suffix":""},{"dropping-particle":"","family":"Gessler","given":"Arthur","non-dropping-particle":"","parse-names":false,"suffix":""},{"dropping-particle":"","family":"Kovach","given":"Kyle","non-dropping-particle":"","parse-names":false,"suffix":""},{"dropping-particle":"","family":"Messier","given":"Christian","non-dropping-particle":"","parse-names":false,"suffix":""},{"dropping-particle":"","family":"Paquette","given":"Alain","non-dropping-particle":"","parse-names":false,"suffix":""},{"dropping-particle":"","family":"Saurer","given":"Matthias","non-dropping-particle":"","parse-names":false,"suffix":""},{"dropping-particle":"","family":"Scherer‐Lorenzen","given":"Michael","non-dropping-particle":"","parse-names":false,"suffix":""},{"dropping-particle":"","family":"Rose","given":"Laura","non-dropping-particle":"","parse-names":false,"suffix":""},{"dropping-particle":"","family":"Schuldt","given":"Bernhard","non-dropping-particle":"","parse-names":false,"suffix":""}],"container-title":"Global Change Biology","id":"ITEM-1","issue":"10","issued":{"date-parts":[["2022","5","17"]]},"page":"3365-3378","title":"Mutually inclusive mechanisms of drought‐induced tree mortality","type":"article-journal","volume":"28"},"uris":["http://www.mendeley.com/documents/?uuid=470cac5c-29a3-46b0-a65a-1b415f597597"]},{"id":"ITEM-2","itemData":{"DOI":"10.1111/ele.12786","ISSN":"14610248","PMID":"28616871","abstract":"Studies on tree communities have demonstrated that species diversity can enhance forest productivity, but the driving mechanisms at the local neighbourhood level remain poorly understood. Here, we use data from a large-scale biodiversity experiment with 24 subtropical tree species to show that neighbourhood tree species richness generally promotes individual tree productivity. We found that the underlying mechanisms depend on a focal tree's functional traits: For species with a conservative resource-use strategy diversity effects were brought about by facilitation, and for species with acquisitive traits by competitive reduction. Moreover, positive diversity effects were strongest under low competition intensity (quantified as the total basal area of neighbours) for acquisitive species, and under high competition intensity for conservative species. Our findings demonstrate that net biodiversity effects in tree communities can vary over small spatial scales, emphasising the need to consider variation in local neighbourhood interactions to better understand effects at the community level.","author":[{"dropping-particle":"","family":"Fichtner","given":"Andreas","non-dropping-particle":"","parse-names":false,"suffix":""},{"dropping-particle":"","family":"Härdtle","given":"Werner","non-dropping-particle":"","parse-names":false,"suffix":""},{"dropping-particle":"","family":"Li","given":"Ying","non-dropping-particle":"","parse-names":false,"suffix":""},{"dropping-particle":"","family":"Bruelheide","given":"Helge","non-dropping-particle":"","parse-names":false,"suffix":""},{"dropping-particle":"","family":"Kunz","given":"Matthias","non-dropping-particle":"","parse-names":false,"suffix":""},{"dropping-particle":"","family":"Oheimb","given":"Goddert","non-dropping-particle":"von","parse-names":false,"suffix":""}],"container-title":"Ecology Letters","id":"ITEM-2","issue":"7","issued":{"date-parts":[["2017"]]},"page":"892-900","title":"From competition to facilitation: how tree species respond to neighbourhood diversity","type":"article-journal","volume":"20"},"uris":["http://www.mendeley.com/documents/?uuid=d34fb417-e806-40d4-9a5f-4d62f0521965"]}],"mendeley":{"formattedCitation":"(Fichtner et al., 2017; Hajek et al., 2022)","plainTextFormattedCitation":"(Fichtner et al., 2017; Hajek et al., 2022)","previouslyFormattedCitation":"(Fichtner et al., 2017; Hajek et al., 2022)"},"properties":{"noteIndex":0},"schema":"https://github.com/citation-style-language/schema/raw/master/csl-citation.json"}</w:instrText>
      </w:r>
      <w:r w:rsidR="00AA205B" w:rsidRPr="00DA5AE2">
        <w:fldChar w:fldCharType="separate"/>
      </w:r>
      <w:bookmarkStart w:id="13" w:name="Bookmark11"/>
      <w:r w:rsidR="00AA205B" w:rsidRPr="00DA5AE2">
        <w:rPr>
          <w:noProof/>
        </w:rPr>
        <w:t>(Fichtner et al., 2017; Hajek et al., 2022)</w:t>
      </w:r>
      <w:r w:rsidR="00AA205B" w:rsidRPr="00DA5AE2">
        <w:fldChar w:fldCharType="end"/>
      </w:r>
      <w:bookmarkEnd w:id="13"/>
      <w:r w:rsidR="00AA205B" w:rsidRPr="00DA5AE2">
        <w:t>.</w:t>
      </w:r>
      <w:r w:rsidR="00AE0864" w:rsidRPr="00DA5AE2">
        <w:t xml:space="preserve"> Alternatively, </w:t>
      </w:r>
      <w:r w:rsidR="003A067A" w:rsidRPr="00DA5AE2">
        <w:t xml:space="preserve">shade-tolerant </w:t>
      </w:r>
      <w:r w:rsidR="00AE0864" w:rsidRPr="00DA5AE2">
        <w:t>species</w:t>
      </w:r>
      <w:r w:rsidR="007C3535" w:rsidRPr="00DA5AE2">
        <w:t xml:space="preserve"> that are</w:t>
      </w:r>
      <w:r w:rsidR="00AE0864" w:rsidRPr="00DA5AE2">
        <w:t xml:space="preserve"> vulnerable </w:t>
      </w:r>
      <w:r w:rsidR="003A067A" w:rsidRPr="00DA5AE2">
        <w:t>to</w:t>
      </w:r>
      <w:r w:rsidR="00AE0864" w:rsidRPr="00DA5AE2">
        <w:t xml:space="preserve"> drought may benefit from shade of diverse neighbors</w:t>
      </w:r>
      <w:r w:rsidR="00282697" w:rsidRPr="00DA5AE2">
        <w:t xml:space="preserve"> </w:t>
      </w:r>
      <w:r w:rsidR="00282697" w:rsidRPr="00DA5AE2">
        <w:fldChar w:fldCharType="begin" w:fldLock="1"/>
      </w:r>
      <w:r w:rsidR="00D9651C" w:rsidRPr="00DA5AE2">
        <w:instrText>ADDIN CSL_CITATION {"citationItems":[{"id":"ITEM-1","itemData":{"DOI":"10.1111/1365-2745.13637","ISSN":"13652745","abstract":"Ecologists often invoke interspecific facilitation to help explain positive biodiversity–ecosystem function relationships in plant communities, but seldom test how it occurs. One mechanism through which one species may facilitate another is by ameliorating abiotic stress. Physiological experiments show that a chronic excess of light can cause stress that depresses carbon assimilation. If shading by a plant's neighbours reduces light stress enough, it may facilitate that plant's growth. If light is instead most often a limiting factor for photosynthesis, shading may have an adverse, competitive effect. In a temperate tree diversity experiment, we measured stem growth rates and photosynthetic physiology in broadleaf trees across a gradient of light availability imposed by their neighbours. At the extremes, trees experienced nearly full sun (monoculture), or were shaded by nearby fast-growing conifers (shaded biculture). Most species had slower growth rates with larger neighbours, implying a net competitive effect. On the other hand, the two most shade-tolerant species (Tilia americana and Acer negundo) and the most shade-intolerant one (Betula papyrifera) had faster stem growth rates with larger neighbours. The two shade-tolerant species had the greatest increases in photoinhibition (reduced dark-acclimated Fv/Fm) across the gradient of increasing light availability, which suggests they are more vulnerable to chronic light stress. While most species had lower carbon assimilation rates in the shaded biculture treatment, T. americana had rates up to 25% higher. T. americana also dropped its leaves 3–4 weeks earlier in monocultures, curtailing its growing season. We conclude that although large neighbours can cause light limitation in shade-intolerant species, they can also increase growth through abiotic stress amelioration in shade-tolerant species. Finally, in shade-intolerant B. papyrifera, we find a pattern of stem elongation in trees with larger neighbours, which suggests that a shade avoidance response may account for the apparent positive trend in stem volume. Synthesis. Both positive and negative species interactions in our experiment can be explained in large part by the photosynthetic responses of trees to the light environment created by their neighbours. We show that photosynthetic physiology can help explain the species interactions that underlie biodiversity–ecosystem function relationships. The insights that ecologists gain by searching for s…","author":[{"dropping-particle":"","family":"Kothari","given":"Shan","non-dropping-particle":"","parse-names":false,"suffix":""},{"dropping-particle":"","family":"Montgomery","given":"Rebecca A.","non-dropping-particle":"","parse-names":false,"suffix":""},{"dropping-particle":"","family":"Cavender-Bares","given":"Jeannine","non-dropping-particle":"","parse-names":false,"suffix":""}],"container-title":"Journal of Ecology","id":"ITEM-1","issue":"5","issued":{"date-parts":[["2021"]]},"page":"2000-2018","title":"Physiological responses to light explain competition and facilitation in a tree diversity experiment","type":"article-journal","volume":"109"},"uris":["http://www.mendeley.com/documents/?uuid=4146da41-bbf8-4d65-ae0a-a5f86657e1a2"]}],"mendeley":{"formattedCitation":"(Kothari, Montgomery, &amp; Cavender-Bares, 2021)","plainTextFormattedCitation":"(Kothari, Montgomery, &amp; Cavender-Bares, 2021)","previouslyFormattedCitation":"(Kothari, Montgomery, &amp; Cavender-Bares, 2021)"},"properties":{"noteIndex":0},"schema":"https://github.com/citation-style-language/schema/raw/master/csl-citation.json"}</w:instrText>
      </w:r>
      <w:r w:rsidR="00282697" w:rsidRPr="00DA5AE2">
        <w:fldChar w:fldCharType="separate"/>
      </w:r>
      <w:r w:rsidR="00282697" w:rsidRPr="00DA5AE2">
        <w:rPr>
          <w:noProof/>
        </w:rPr>
        <w:t>(Kothari, Montgomery, &amp; Cavender-Bares, 2021)</w:t>
      </w:r>
      <w:r w:rsidR="00282697" w:rsidRPr="00DA5AE2">
        <w:fldChar w:fldCharType="end"/>
      </w:r>
      <w:r w:rsidR="00282697" w:rsidRPr="00DA5AE2">
        <w:t xml:space="preserve">. </w:t>
      </w:r>
      <w:r w:rsidR="00AA205B" w:rsidRPr="00DA5AE2">
        <w:t xml:space="preserve">Species could thus </w:t>
      </w:r>
      <w:r w:rsidR="009544EE" w:rsidRPr="00DA5AE2">
        <w:t xml:space="preserve">grow and survive </w:t>
      </w:r>
      <w:r w:rsidR="00AA205B" w:rsidRPr="00DA5AE2">
        <w:t xml:space="preserve">comparatively better in mixture than in monoculture under drought due to complementarity </w:t>
      </w:r>
      <w:r w:rsidR="004933D8" w:rsidRPr="00DA5AE2">
        <w:t xml:space="preserve">resource use </w:t>
      </w:r>
      <w:r w:rsidR="00AA205B" w:rsidRPr="00DA5AE2">
        <w:t xml:space="preserve">and/or facilitation effects </w:t>
      </w:r>
      <w:r w:rsidR="0014540B" w:rsidRPr="00DA5AE2">
        <w:fldChar w:fldCharType="begin" w:fldLock="1"/>
      </w:r>
      <w:r w:rsidR="00282697" w:rsidRPr="00DA5AE2">
        <w:instrText>ADDIN CSL_CITATION {"citationItems":[{"id":"ITEM-1","itemData":{"DOI":"10.1111/nph.15667","ISSN":"14698137","PMID":"30585635","abstract":"Droughts are a rising concern for terrestrial ecosystems, particularly for forests where drought-induced reductions in tree growth and survival are reported. Biodiversity has long been acknowledged as an important component modulating ecosystem functions, including mitigating their vulnerability to climate-related stresses. Yet the impact of tree diversity on forest vulnerability to drought is unclear. In this review, consistent mechanisms are identified by which tree diversity could reduce vulnerability to drought and emerging evidence is revealed that tree diversity is not systematically positively related to drought resistance in forests. A path is suggested to further increase our knowledge on this subject in the face of climate change, proposing standardization of methods to quantitatively establish diversity impacts on the drought resistance of forests.","author":[{"dropping-particle":"","family":"Grossiord","given":"Charlotte","non-dropping-particle":"","parse-names":false,"suffix":""}],"container-title":"New Phytologist","id":"ITEM-1","issue":"1","issued":{"date-parts":[["2020"]]},"page":"42-49","title":"Having the right neighbors: how tree species diversity modulates drought impacts on forests","type":"article-journal","volume":"228"},"uris":["http://www.mendeley.com/documents/?uuid=efdd7a9c-d23e-43e7-85fc-07691c829be2"]}],"mendeley":{"formattedCitation":"(Grossiord, 2020)","plainTextFormattedCitation":"(Grossiord, 2020)","previouslyFormattedCitation":"(Grossiord, 2020)"},"properties":{"noteIndex":0},"schema":"https://github.com/citation-style-language/schema/raw/master/csl-citation.json"}</w:instrText>
      </w:r>
      <w:r w:rsidR="0014540B" w:rsidRPr="00DA5AE2">
        <w:fldChar w:fldCharType="separate"/>
      </w:r>
      <w:r w:rsidR="0014540B" w:rsidRPr="00DA5AE2">
        <w:rPr>
          <w:noProof/>
        </w:rPr>
        <w:t>(Grossiord, 2020)</w:t>
      </w:r>
      <w:r w:rsidR="0014540B" w:rsidRPr="00DA5AE2">
        <w:fldChar w:fldCharType="end"/>
      </w:r>
      <w:r w:rsidR="0014540B" w:rsidRPr="00DA5AE2">
        <w:t xml:space="preserve">. </w:t>
      </w:r>
      <w:r w:rsidR="00AA205B" w:rsidRPr="00DA5AE2">
        <w:t xml:space="preserve">Tree diversity </w:t>
      </w:r>
      <w:r w:rsidR="005949F3" w:rsidRPr="00DA5AE2">
        <w:t xml:space="preserve">could </w:t>
      </w:r>
      <w:r w:rsidR="00AA205B" w:rsidRPr="00DA5AE2">
        <w:t xml:space="preserve">hence </w:t>
      </w:r>
      <w:r w:rsidR="009544EE" w:rsidRPr="00DA5AE2">
        <w:t xml:space="preserve">reduce the variability in </w:t>
      </w:r>
      <w:r w:rsidR="00AA205B" w:rsidRPr="00DA5AE2">
        <w:t xml:space="preserve">survival in mixtures compared to monocultures of </w:t>
      </w:r>
      <w:r w:rsidR="009544EE" w:rsidRPr="00DA5AE2">
        <w:t xml:space="preserve">different </w:t>
      </w:r>
      <w:r w:rsidR="00AA205B" w:rsidRPr="00DA5AE2">
        <w:t xml:space="preserve">species </w:t>
      </w:r>
      <w:r w:rsidR="00AA205B" w:rsidRPr="00DA5AE2">
        <w:fldChar w:fldCharType="begin" w:fldLock="1"/>
      </w:r>
      <w:r w:rsidR="00AA205B" w:rsidRPr="00DA5AE2">
        <w:instrText>ADDIN CSL_CITATION {"citationItems":[{"id":"ITEM-1","itemData":{"DOI":"10.1111/1365-2664.12721","ISSN":"13652664","abstract":"Biodiversity can insure ecosystems against declines in their functioning by increasing the mean level of ecosystem processes and decreasing the spatial or temporal variance of these processes. On this basis, mixing tree species is expected to be an effective management strategy to reduce the risk of planting failure in young plantations. We examined the effects of biodiversity insurance on sapling survival in three tree diversity experiments across Belgium. Based on the survival scoring of 89 254 saplings, planted in 126 plots with up to four-species mixtures, we tested two hypotheses: (i) variability in plot-level survival is lower for mixtures compared to monocultures due to compensation among the species (i.e. buffering effect) and (ii) mean survival is higher due to facilitation (i.e. performance-enhancing effect). Variation in plot-level survival decreased strongly with diversity, indicating a buffering effect. The risk of severe planting failure was reduced in mixtures because species exhibit different survival rates; therefore, mixing ensures that not all trees in the plantation are equally susceptible to environmental stressors. In contrast, the mean plot-level survival did not increase with diversity, and thus, an overall performance-enhancing effect was lacking. However, species-level analyses did show performance-enhancing effects, where some species profited from mixing while others did not. Synthesis and applications. We conclude that biodiversity through mixing tree species insures young experimental plantations against planting failure and is therefore highly recommended as a planting management strategy. The risk of large mortality gaps is reduced if tree plantation saplings are mixed at the scale of individual trees or small cells of trees.","author":[{"dropping-particle":"","family":"Peer","given":"Thomas","non-dropping-particle":"Van de","parse-names":false,"suffix":""},{"dropping-particle":"","family":"Verheyen","given":"Kris","non-dropping-particle":"","parse-names":false,"suffix":""},{"dropping-particle":"","family":"Baeten","given":"Lander","non-dropping-particle":"","parse-names":false,"suffix":""},{"dropping-particle":"","family":"Ponette","given":"Quentin","non-dropping-particle":"","parse-names":false,"suffix":""},{"dropping-particle":"","family":"Muys","given":"Bart","non-dropping-particle":"","parse-names":false,"suffix":""}],"container-title":"Journal of Applied Ecology","id":"ITEM-1","issue":"6","issued":{"date-parts":[["2016"]]},"page":"1777-1786","title":"Biodiversity as insurance for sapling survival in experimental tree plantations","type":"article-journal","volume":"53"},"uris":["http://www.mendeley.com/documents/?uuid=45ba8dea-c9cb-4f9b-82ee-1f8566062156"]}],"mendeley":{"formattedCitation":"(Van de Peer et al., 2016)","plainTextFormattedCitation":"(Van de Peer et al., 2016)","previouslyFormattedCitation":"(Van de Peer et al., 2016)"},"properties":{"noteIndex":0},"schema":"https://github.com/citation-style-language/schema/raw/master/csl-citation.json"}</w:instrText>
      </w:r>
      <w:r w:rsidR="00AA205B" w:rsidRPr="00DA5AE2">
        <w:fldChar w:fldCharType="separate"/>
      </w:r>
      <w:bookmarkStart w:id="14" w:name="Bookmark12"/>
      <w:r w:rsidR="00AA205B" w:rsidRPr="00DA5AE2">
        <w:rPr>
          <w:noProof/>
        </w:rPr>
        <w:t>(Van de Peer et al., 2016)</w:t>
      </w:r>
      <w:r w:rsidR="00AA205B" w:rsidRPr="00DA5AE2">
        <w:fldChar w:fldCharType="end"/>
      </w:r>
      <w:bookmarkEnd w:id="14"/>
      <w:r w:rsidR="00AA205B" w:rsidRPr="00DA5AE2">
        <w:t>.</w:t>
      </w:r>
    </w:p>
    <w:p w14:paraId="62AE7167" w14:textId="35D73FEA" w:rsidR="009E7AC3" w:rsidRDefault="007F6878" w:rsidP="009E7AC3">
      <w:pPr>
        <w:jc w:val="both"/>
      </w:pPr>
      <w:r w:rsidRPr="00DA5AE2">
        <w:t xml:space="preserve">Uncertainties behind the mechanisms </w:t>
      </w:r>
      <w:r w:rsidR="009544EE" w:rsidRPr="00DA5AE2">
        <w:t>driving</w:t>
      </w:r>
      <w:r w:rsidRPr="00DA5AE2">
        <w:t xml:space="preserve"> biodiversity insurance currently limit its application for enhancing resilience in </w:t>
      </w:r>
      <w:r w:rsidR="009544EE" w:rsidRPr="00DA5AE2">
        <w:t xml:space="preserve">managed forests and </w:t>
      </w:r>
      <w:r w:rsidRPr="00DA5AE2">
        <w:t xml:space="preserve">ecological restoration projects </w:t>
      </w:r>
      <w:r w:rsidRPr="00DA5AE2">
        <w:fldChar w:fldCharType="begin" w:fldLock="1"/>
      </w:r>
      <w:r w:rsidRPr="00DA5AE2">
        <w:instrText>ADDIN CSL_CITATION {"citationItems":[{"id":"ITEM-1","itemData":{"DOI":"10.1111/brv.12756","ISSN":"1469185X","abstract":"Biological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author":[{"dropping-particle":"","family":"Loreau","given":"Michel","non-dropping-particle":"","parse-names":false,"suffix":""},{"dropping-particle":"","family":"Barbier","given":"Matthieu","non-dropping-particle":"","parse-names":false,"suffix":""},{"dropping-particle":"","family":"Filotas","given":"Elise","non-dropping-particle":"","parse-names":false,"suffix":""},{"dropping-particle":"","family":"Gravel","given":"Dominique","non-dropping-particle":"","parse-names":false,"suffix":""},{"dropping-particle":"","family":"Isbell","given":"Forest","non-dropping-particle":"","parse-names":false,"suffix":""},{"dropping-particle":"","family":"Miller","given":"Steve J.","non-dropping-particle":"","parse-names":false,"suffix":""},{"dropping-particle":"","family":"Montoya","given":"Jose M.","non-dropping-particle":"","parse-names":false,"suffix":""},{"dropping-particle":"","family":"Wang","given":"Shaopeng","non-dropping-particle":"","parse-names":false,"suffix":""},{"dropping-particle":"","family":"Aussenac","given":"Raphaël","non-dropping-particle":"","parse-names":false,"suffix":""},{"dropping-particle":"","family":"Germain","given":"Rachel","non-dropping-particle":"","parse-names":false,"suffix":""},{"dropping-particle":"","family":"Thompson","given":"Patrick L.","non-dropping-particle":"","parse-names":false,"suffix":""},{"dropping-particle":"","family":"Gonzalez","given":"Andrew","non-dropping-particle":"","parse-names":false,"suffix":""},{"dropping-particle":"","family":"Dee","given":"Laura E.","non-dropping-particle":"","parse-names":false,"suffix":""}],"container-title":"Biological Reviews","id":"ITEM-1","issue":"5","issued":{"date-parts":[["2021"]]},"page":"2333-2354","title":"Biodiversity as insurance: from concept to measurement and application","type":"article-journal","volume":"96"},"uris":["http://www.mendeley.com/documents/?uuid=aa77e2d0-dc15-44eb-9516-2f9c04e2c48f"]},{"id":"ITEM-2","itemData":{"DOI":"10.1002/fee.2471","ISSN":"15409309","abstract":"Extreme climatic events (ECEs) are increasing in frequency and magnitude as part of global climate change, with severe consequences for both nature and human societies. While many restoration projects account for gradual climate change, ECEs are rarely considered. Through a literature search and the use of expert opinion, we reviewed the impacts of ECEs on habitat restoration projects, and the degree to which they were resilient. ECEs had overwhelmingly negative impacts on habitat restoration, although some projects also reported positive outcomes. The severity of impact varied among and within projects. Nearly all projects that included more than one focal species, life stage or genotype, restoration method, site, habitat type, or microhabitat reported better outcomes for at least one of these project aspects. We suggest that practitioners may be able to reduce risk from future ECEs through a portfolio approach, incorporating heterogeneity into project design, including in site selection and propagule choices.","author":[{"dropping-particle":"","family":"Zabin","given":"Chela J.","non-dropping-particle":"","parse-names":false,"suffix":""},{"dropping-particle":"","family":"Jurgens","given":"Laura J.","non-dropping-particle":"","parse-names":false,"suffix":""},{"dropping-particle":"","family":"Bible","given":"Jillian M.","non-dropping-particle":"","parse-names":false,"suffix":""},{"dropping-particle":"V.","family":"Patten","given":"Melissa","non-dropping-particle":"","parse-names":false,"suffix":""},{"dropping-particle":"","family":"Chang","given":"Andrew L.","non-dropping-particle":"","parse-names":false,"suffix":""},{"dropping-particle":"","family":"Grosholz","given":"Edwin D.","non-dropping-particle":"","parse-names":false,"suffix":""},{"dropping-particle":"","family":"Boyer","given":"Katharyn E.","non-dropping-particle":"","parse-names":false,"suffix":""}],"container-title":"Frontiers in Ecology and the Environment","id":"ITEM-2","issued":{"date-parts":[["2022"]]},"page":"310-318","title":"Increasing the resilience of ecological restoration to extreme climatic events","type":"article-journal"},"uris":["http://www.mendeley.com/documents/?uuid=b6d7d2ec-e96b-4671-b2d9-b9ae1307e53b"]}],"mendeley":{"formattedCitation":"(Loreau et al., 2021; Zabin et al., 2022)","plainTextFormattedCitation":"(Loreau et al., 2021; Zabin et al., 2022)","previouslyFormattedCitation":"(Loreau et al., 2021; Zabin et al., 2022)"},"properties":{"noteIndex":0},"schema":"https://github.com/citation-style-language/schema/raw/master/csl-citation.json"}</w:instrText>
      </w:r>
      <w:r w:rsidRPr="00DA5AE2">
        <w:fldChar w:fldCharType="separate"/>
      </w:r>
      <w:bookmarkStart w:id="15" w:name="Bookmark13"/>
      <w:r w:rsidRPr="00DA5AE2">
        <w:rPr>
          <w:noProof/>
        </w:rPr>
        <w:t>(Loreau et al., 2021; Zabin et al., 2022)</w:t>
      </w:r>
      <w:r w:rsidRPr="00DA5AE2">
        <w:fldChar w:fldCharType="end"/>
      </w:r>
      <w:bookmarkEnd w:id="15"/>
      <w:r w:rsidRPr="00DA5AE2">
        <w:t xml:space="preserve">. The magnitude </w:t>
      </w:r>
      <w:r w:rsidR="005571AF" w:rsidRPr="00DA5AE2">
        <w:t>by</w:t>
      </w:r>
      <w:r w:rsidR="00953C28" w:rsidRPr="00DA5AE2">
        <w:t xml:space="preserve"> which tree diversity can reduce survival variability </w:t>
      </w:r>
      <w:r w:rsidRPr="00DA5AE2">
        <w:t xml:space="preserve">may vary with </w:t>
      </w:r>
      <w:r w:rsidR="00306B4A" w:rsidRPr="00DA5AE2">
        <w:t xml:space="preserve">the functional traits of the species used for the mixtures and </w:t>
      </w:r>
      <w:r w:rsidRPr="00DA5AE2">
        <w:t xml:space="preserve">environmental conditions </w:t>
      </w:r>
      <w:r w:rsidRPr="00DA5AE2">
        <w:fldChar w:fldCharType="begin" w:fldLock="1"/>
      </w:r>
      <w:r w:rsidRPr="00DA5AE2">
        <w:instrText>ADDIN CSL_CITATION {"citationItems":[{"id":"ITEM-1","itemData":{"DOI":"10.1006/tpbi.2002.1612","ISSN":"00405809","PMID":"12408946","abstract":"In plant communities, the portfolio effect, also called \"statistical averaging effect\", expresses the fact that stability in aggregate community properties such as biomass productivity generally rises with species diversity, simply because of the statistical averaging of the fluctuations in species' properties. This paper essentially upgrades the previous formulations of the portfolio effect, first developed by Doak and collaborators and then by Tilman. It uses a theoretical approach based on simple statistical relationships and some simplifying assumptions proposed by these authors. The new formulation presented extends and improves the previous relationships in the sense that it takes into account simultaneously a varying scaling power of the variance, the interaction effect between species, the heterogeneity in species productivity and interspecies correlated responses to the environment. It appears that the simple statistical averaging, as inferred from this formulation, does not necessarily lead to a positive correlation between species diversity and community stability. © 2002 Elsevier Science (USA).","author":[{"dropping-particle":"","family":"Lhomme","given":"Jean Paul","non-dropping-particle":"","parse-names":false,"suffix":""},{"dropping-particle":"","family":"Winkel","given":"Thierry","non-dropping-particle":"","parse-names":false,"suffix":""}],"container-title":"Theoretical Population Biology","id":"ITEM-1","issue":"3","issued":{"date-parts":[["2002"]]},"page":"271-279","title":"Diversity-Stability Relationships in Community Ecology: Re-Examination of the Portfolio Effect","type":"article-journal","volume":"62"},"uris":["http://www.mendeley.com/documents/?uuid=1db61664-82c3-4b0c-a47e-5e9bedce31e6"]},{"id":"ITEM-2","itemData":{"DOI":"10.1111/brv.12756","ISSN":"1469185X","abstract":"Biological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author":[{"dropping-particle":"","family":"Loreau","given":"Michel","non-dropping-particle":"","parse-names":false,"suffix":""},{"dropping-particle":"","family":"Barbier","given":"Matthieu","non-dropping-particle":"","parse-names":false,"suffix":""},{"dropping-particle":"","family":"Filotas","given":"Elise","non-dropping-particle":"","parse-names":false,"suffix":""},{"dropping-particle":"","family":"Gravel","given":"Dominique","non-dropping-particle":"","parse-names":false,"suffix":""},{"dropping-particle":"","family":"Isbell","given":"Forest","non-dropping-particle":"","parse-names":false,"suffix":""},{"dropping-particle":"","family":"Miller","given":"Steve J.","non-dropping-particle":"","parse-names":false,"suffix":""},{"dropping-particle":"","family":"Montoya","given":"Jose M.","non-dropping-particle":"","parse-names":false,"suffix":""},{"dropping-particle":"","family":"Wang","given":"Shaopeng","non-dropping-particle":"","parse-names":false,"suffix":""},{"dropping-particle":"","family":"Aussenac","given":"Raphaël","non-dropping-particle":"","parse-names":false,"suffix":""},{"dropping-particle":"","family":"Germain","given":"Rachel","non-dropping-particle":"","parse-names":false,"suffix":""},{"dropping-particle":"","family":"Thompson","given":"Patrick L.","non-dropping-particle":"","parse-names":false,"suffix":""},{"dropping-particle":"","family":"Gonzalez","given":"Andrew","non-dropping-particle":"","parse-names":false,"suffix":""},{"dropping-particle":"","family":"Dee","given":"Laura E.","non-dropping-particle":"","parse-names":false,"suffix":""}],"container-title":"Biological Reviews","id":"ITEM-2","issue":"5","issued":{"date-parts":[["2021"]]},"page":"2333-2354","title":"Biodiversity as insurance: from concept to measurement and application","type":"article-journal","volume":"96"},"uris":["http://www.mendeley.com/documents/?uuid=aa77e2d0-dc15-44eb-9516-2f9c04e2c48f"]}],"mendeley":{"formattedCitation":"(Lhomme &amp; Winkel, 2002; Loreau et al., 2021)","plainTextFormattedCitation":"(Lhomme &amp; Winkel, 2002; Loreau et al., 2021)","previouslyFormattedCitation":"(Lhomme &amp; Winkel, 2002; Loreau et al., 2021)"},"properties":{"noteIndex":0},"schema":"https://github.com/citation-style-language/schema/raw/master/csl-citation.json"}</w:instrText>
      </w:r>
      <w:r w:rsidRPr="00DA5AE2">
        <w:fldChar w:fldCharType="separate"/>
      </w:r>
      <w:bookmarkStart w:id="16" w:name="Bookmark14"/>
      <w:r w:rsidRPr="00DA5AE2">
        <w:rPr>
          <w:noProof/>
        </w:rPr>
        <w:t>(Lhomme &amp; Winkel, 2002; Loreau et al., 2021)</w:t>
      </w:r>
      <w:r w:rsidRPr="00DA5AE2">
        <w:fldChar w:fldCharType="end"/>
      </w:r>
      <w:bookmarkEnd w:id="16"/>
      <w:r w:rsidRPr="00DA5AE2">
        <w:t xml:space="preserve">. </w:t>
      </w:r>
      <w:r w:rsidR="00D96528" w:rsidRPr="00DA5AE2">
        <w:t xml:space="preserve">Hydraulic traits on their own can be predictive of tree mortality during or after drought </w:t>
      </w:r>
      <w:r w:rsidR="00D96528" w:rsidRPr="00DA5AE2">
        <w:fldChar w:fldCharType="begin" w:fldLock="1"/>
      </w:r>
      <w:r w:rsidR="00F14052">
        <w:instrText>ADDIN CSL_CITATION {"citationItems":[{"id":"ITEM-1","itemData":{"DOI":"10.1038/s41586-018-0240-x","ISSN":"14764687","PMID":"29950621","abstract":"Severe droughts have caused widespread tree mortality across many forest biomes with profound effects on the function of ecosystems and carbon balance. Climate change is expected to intensify regional-scale droughts, focusing attention on the physiological basis of drought-induced tree mortality. Recent work has shown that catastrophic failure of the plant hydraulic system is a principal mechanism involved in extensive crown death and tree mortality during drought, but the multi-dimensional response of trees to desiccation is complex. Here we focus on the current understanding of tree hydraulic performance under drought, the identification of physiological thresholds that precipitate mortality and the mechanisms of recovery after drought. Building on this, we discuss the potential application of hydraulic thresholds to process-based models that predict mortality.","author":[{"dropping-particle":"","family":"Choat","given":"Brendan","non-dropping-particle":"","parse-names":false,"suffix":""},{"dropping-particle":"","family":"Brodribb","given":"Timothy J.","non-dropping-particle":"","parse-names":false,"suffix":""},{"dropping-particle":"","family":"Brodersen","given":"Craig R.","non-dropping-particle":"","parse-names":false,"suffix":""},{"dropping-particle":"","family":"Duursma","given":"Remko A.","non-dropping-particle":"","parse-names":false,"suffix":""},{"dropping-particle":"","family":"López","given":"Rosana","non-dropping-particle":"","parse-names":false,"suffix":""},{"dropping-particle":"","family":"Medlyn","given":"Belinda E.","non-dropping-particle":"","parse-names":false,"suffix":""}],"container-title":"Nature","id":"ITEM-1","issue":"7711","issued":{"date-parts":[["2018"]]},"page":"531-539","title":"Triggers of tree mortality under drought","type":"article-journal","volume":"558"},"uris":["http://www.mendeley.com/documents/?uuid=241a8ebc-75a7-480c-9008-e2673adc1f31"]},{"id":"ITEM-2","itemData":{"DOI":"10.1016/j.foreco.2017.09.016","ISSN":"03781127","abstract":"Low soil water availability in the dry season substantially influences the survival of native tree species planted in subtropical degraded hilly lands in South China. In this study, we investigated the survival and hydraulic-related traits of 16 native tree species from a six-year-old mixed plantation, to investigate whether the survival ratios of species are associated with their drought tolerance and hydraulic efficiency. Our results showed that the six-year survival ratios ranged from 1% to 96% among the 16 species, with less 25% survival for four species. Across species, the survival ratio was significantly correlated with xylem vulnerability to cavitation, hydraulic safety margin, and leaf turgor loss point. It was not correlated with sapwood density and hydraulic conductivity. These results indicated that drought tolerance was the determinant of species survival in the mixed plantation. Additionally, we found that a large proportion of high survival species were non-pioneers, indicating that mixed plantations consisted of pioneers and non-pioneers are effective and would decrease the time required for the succession from plantation to mature forest. Considering that drought is one of the most important stress factors that affect the success of forest restoration, and increases in frequency and severity in the subtropical region, we suggest drought-tolerance traits are valuable for identification of native tree species suitable for restoration projects.","author":[{"dropping-particle":"","family":"Zhu","given":"Shi Dan","non-dropping-particle":"","parse-names":false,"suffix":""},{"dropping-particle":"","family":"He","given":"Peng Cheng","non-dropping-particle":"","parse-names":false,"suffix":""},{"dropping-particle":"","family":"Li","given":"Rong Hua","non-dropping-particle":"","parse-names":false,"suffix":""},{"dropping-particle":"","family":"Fu","given":"Sheng Lei","non-dropping-particle":"","parse-names":false,"suffix":""},{"dropping-particle":"","family":"Lin","given":"Yong Biao","non-dropping-particle":"","parse-names":false,"suffix":""},{"dropping-particle":"","family":"Zhou","given":"Li Xia","non-dropping-particle":"","parse-names":false,"suffix":""},{"dropping-particle":"","family":"Cao","given":"Kun Fang","non-dropping-particle":"","parse-names":false,"suffix":""},{"dropping-particle":"","family":"Ye","given":"Qing","non-dropping-particle":"","parse-names":false,"suffix":""}],"container-title":"Forest Ecology and Management","id":"ITEM-2","issue":"October 2017","issued":{"date-parts":[["2018"]]},"page":"41-46","publisher":"Elsevier","title":"Drought tolerance traits predict survival ratio of native tree species planted in a subtropical degraded hilly area in South China","type":"article-journal","volume":"418"},"uris":["http://www.mendeley.com/documents/?uuid=7e171d85-597b-4fef-a32e-0da1ba102277"]},{"id":"ITEM-3","itemData":{"DOI":"10.1126/science.aat7631","ISSN":"10959203","PMID":"32299945","abstract":"Trees are the living foundations on which most terrestrial biodiversity is built. Central to the success of trees are their woody bodies, which connect their elevated photosynthetic canopies with the essential belowground activities of water and nutrient acquisition. The slow construction of these carbon-dense, woody skeletons leads to a slow generation time, leaving trees and forests highly susceptible to rapid changes in climate. Other long-lived, sessile organisms such as corals appear to be poorly equipped to survive rapid changes, which raises questions about the vulnerability of contemporary forests to future climate change. The emerging view that, similar to corals, tree species have rather inflexible damage thresholds, particularly in terms of water stress, is especially concerning. This Review examines recent progress in our understanding of how the future looks for forests growing in a hotter and drier atmosphere.","author":[{"dropping-particle":"","family":"Brodribb","given":"Timothy J.","non-dropping-particle":"","parse-names":false,"suffix":""},{"dropping-particle":"","family":"Powers","given":"Jennifer","non-dropping-particle":"","parse-names":false,"suffix":""},{"dropping-particle":"","family":"Cochard","given":"Hervé","non-dropping-particle":"","parse-names":false,"suffix":""},{"dropping-particle":"","family":"Choat","given":"Brendan","non-dropping-particle":"","parse-names":false,"suffix":""}],"container-title":"Science","id":"ITEM-3","issue":"6488","issued":{"date-parts":[["2020","4","17"]]},"page":"261-266","publisher":"American Association for the Advancement of Science","title":"Hanging by a thread? Forests and drought","type":"article","volume":"368"},"uris":["http://www.mendeley.com/documents/?uuid=af899cb8-6eb5-32d2-b74b-661500adfdcb"]},{"id":"ITEM-4","itemData":{"DOI":"10.1038/s43017-022-00272-1","ISSN":"2662-138X","abstract":"Drought-associated woody-plant mortality has been increasing in most regions with multi-decadal records and is projected to increase in the future, impacting terrestrial climate forcing, biodiversity and resource availability. The mechanisms underlying such mortality, however, are debated, owing to complex interactions between the drivers and the processes. In this Review, we synthesize knowledge of drought-related tree mortality under a warming and drying atmosphere with rising atmospheric CO2. Drought-associated mortality results from water and carbon depletion and declines in their fluxes relative to demand by living tissues. These pools and fluxes are interdependent and underlay plant defences against biotic agents. Death via failure to maintain a positive water balance is particularly dependent on soil-to-root conductance, capacitance, vulnerability to hydraulic failure, cuticular water losses and dehydration tolerance, all of which could be exacerbated by reduced carbon supply rates to support cellular survival or the carbon starvation process. The depletion of plant water and carbon pools is accelerated under rising vapour pressure deficit, but increasing CO2 can mitigate these impacts. Advancing knowledge and reducing predictive uncertainties requires the integration of carbon, water and defensive processes, and the use of a range of experimental and modelling approaches.","author":[{"dropping-particle":"","family":"McDowell","given":"Nate G","non-dropping-particle":"","parse-names":false,"suffix":""},{"dropping-particle":"","family":"Sapes","given":"Gerard","non-dropping-particle":"","parse-names":false,"suffix":""},{"dropping-particle":"","family":"Pivovaroff","given":"Alexandria","non-dropping-particle":"","parse-names":false,"suffix":""},{"dropping-particle":"","family":"Adams","given":"Henry D","non-dropping-particle":"","parse-names":false,"suffix":""},{"dropping-particle":"","family":"Allen","given":"Craig D","non-dropping-particle":"","parse-names":false,"suffix":""},{"dropping-particle":"","family":"Anderegg","given":"William R L","non-dropping-particle":"","parse-names":false,"suffix":""},{"dropping-particle":"","family":"Arend","given":"Matthias","non-dropping-particle":"","parse-names":false,"suffix":""},{"dropping-particle":"","family":"Breshears","given":"David D","non-dropping-particle":"","parse-names":false,"suffix":""},{"dropping-particle":"","family":"Brodribb","given":"Tim","non-dropping-particle":"","parse-names":false,"suffix":""},{"dropping-particle":"","family":"Choat","given":"Brendan","non-dropping-particle":"","parse-names":false,"suffix":""},{"dropping-particle":"","family":"Cochard","given":"Hervé","non-dropping-particle":"","parse-names":false,"suffix":""},{"dropping-particle":"","family":"Cáceres","given":"Miquel","non-dropping-particle":"De","parse-names":false,"suffix":""},{"dropping-particle":"","family":"Kauwe","given":"Martin G","non-dropping-particle":"De","parse-names":false,"suffix":""},{"dropping-particle":"","family":"Grossiord","given":"Charlotte","non-dropping-particle":"","parse-names":false,"suffix":""},{"dropping-particle":"","family":"Hammond","given":"William M","non-dropping-particle":"","parse-names":false,"suffix":""},{"dropping-particle":"","family":"Hartmann","given":"Henrik","non-dropping-particle":"","parse-names":false,"suffix":""},{"dropping-particle":"","family":"Hoch","given":"Günter","non-dropping-particle":"","parse-names":false,"suffix":""},{"dropping-particle":"","family":"Kahmen","given":"Ansgar","non-dropping-particle":"","parse-names":false,"suffix":""},{"dropping-particle":"","family":"Klein","given":"Tamir","non-dropping-particle":"","parse-names":false,"suffix":""},{"dropping-particle":"","family":"Mackay","given":"D Scott","non-dropping-particle":"","parse-names":false,"suffix":""},{"dropping-particle":"","family":"Mantova","given":"Marylou","non-dropping-particle":"","parse-names":false,"suffix":""},{"dropping-particle":"","family":"Martínez-Vilalta","given":"Jordi","non-dropping-particle":"","parse-names":false,"suffix":""},{"dropping-particle":"","family":"Medlyn","given":"Belinda E","non-dropping-particle":"","parse-names":false,"suffix":""},{"dropping-particle":"","family":"Mencuccini","given":"Maurizio","non-dropping-particle":"","parse-names":false,"suffix":""},{"dropping-particle":"","family":"Nardini","given":"Andrea","non-dropping-particle":"","parse-names":false,"suffix":""},{"dropping-particle":"","family":"Oliveira","given":"Rafael S","non-dropping-particle":"","parse-names":false,"suffix":""},{"dropping-particle":"","family":"Sala","given":"Anna","non-dropping-particle":"","parse-names":false,"suffix":""},{"dropping-particle":"","family":"Tissue","given":"David T","non-dropping-particle":"","parse-names":false,"suffix":""},{"dropping-particle":"","family":"Torres-Ruiz","given":"José M","non-dropping-particle":"","parse-names":false,"suffix":""},{"dropping-particle":"","family":"Trowbridge","given":"Amy M","non-dropping-particle":"","parse-names":false,"suffix":""},{"dropping-particle":"","family":"Trugman","given":"Anna T","non-dropping-particle":"","parse-names":false,"suffix":""},{"dropping-particle":"","family":"Wiley","given":"Erin","non-dropping-particle":"","parse-names":false,"suffix":""},{"dropping-particle":"","family":"Xu","given":"Chonggang","non-dropping-particle":"","parse-names":false,"suffix":""}],"container-title":"Nature Reviews Earth &amp; Environment","id":"ITEM-4","issue":"5","issued":{"date-parts":[["2022"]]},"page":"294-308","title":"Mechanisms of woody-plant mortality under rising drought, CO2 and vapour pressure deficit","type":"article-journal","volume":"3"},"uris":["http://www.mendeley.com/documents/?uuid=6da38f36-7a49-4ee1-85f1-ac5e83a003c0"]}],"mendeley":{"formattedCitation":"(Brodribb, Powers, Cochard, &amp; Choat, 2020; Choat et al., 2018; McDowell et al., 2022; Zhu et al., 2018)","plainTextFormattedCitation":"(Brodribb, Powers, Cochard, &amp; Choat, 2020; Choat et al., 2018; McDowell et al., 2022; Zhu et al., 2018)","previouslyFormattedCitation":"(Choat et al., 2018; Zhu et al., 2018; Brodribb, Powers, Cochard, &amp; Choat, 2020; McDowell et al., 2022)"},"properties":{"noteIndex":0},"schema":"https://github.com/citation-style-language/schema/raw/master/csl-citation.json"}</w:instrText>
      </w:r>
      <w:r w:rsidR="00D96528" w:rsidRPr="00DA5AE2">
        <w:fldChar w:fldCharType="separate"/>
      </w:r>
      <w:r w:rsidR="00F14052" w:rsidRPr="00F14052">
        <w:rPr>
          <w:noProof/>
        </w:rPr>
        <w:t>(Brodribb, Powers, Cochard, &amp; Choat, 2020; Choat et al., 2018; McDowell et al., 2022; Zhu et al., 2018)</w:t>
      </w:r>
      <w:r w:rsidR="00D96528" w:rsidRPr="00DA5AE2">
        <w:fldChar w:fldCharType="end"/>
      </w:r>
      <w:r w:rsidR="00D96528" w:rsidRPr="00DA5AE2">
        <w:t xml:space="preserve">, but </w:t>
      </w:r>
      <w:r w:rsidR="007D7006" w:rsidRPr="00DA5AE2">
        <w:t>they</w:t>
      </w:r>
      <w:r w:rsidR="006F5C16" w:rsidRPr="00DA5AE2">
        <w:t xml:space="preserve"> </w:t>
      </w:r>
      <w:r w:rsidR="00D96528" w:rsidRPr="00DA5AE2">
        <w:t xml:space="preserve">may vary depending on leaf and whole plant economic traits </w:t>
      </w:r>
      <w:r w:rsidR="00D96528" w:rsidRPr="00DA5AE2">
        <w:fldChar w:fldCharType="begin" w:fldLock="1"/>
      </w:r>
      <w:r w:rsidR="00F14052">
        <w:instrText>ADDIN CSL_CITATION {"citationItems":[{"id":"ITEM-1","itemData":{"DOI":"10.1111/ele.12748","ISSN":"14610248","PMID":"28220612","abstract":"Drought events are increasing globally, and reports of consequent forest mortality are widespread. However, due to a lack of a quantitative global synthesis, it is still not clear whether drought-induced mortality rates differ among global biomes and whether functional traits influence the risk of drought-induced mortality. To address these uncertainties, we performed a global meta-analysis of 58 studies of drought-induced forest mortality. Mortality rates were modelled as a function of drought, temperature, biomes, phylogenetic and functional groups and functional traits. We identified a consistent global-scale response, where mortality increased with drought severity [log mortality (trees trees−1 year−1) increased 0.46 (95% CI = 0.2–0.7) with one SPEI unit drought intensity]. We found no significant differences in the magnitude of the response depending on forest biomes or between angiosperms and gymnosperms or evergreen and deciduous tree species. Functional traits explained some of the variation in drought responses between species (i.e. increased from 30 to 37% when wood density and specific leaf area were included). Tree species with denser wood and lower specific leaf area showed lower mortality responses. Our results illustrate the value of functional traits for understanding patterns of drought-induced tree mortality and suggest that mortality could become increasingly widespread in the future.","author":[{"dropping-particle":"","family":"Greenwood","given":"Sarah","non-dropping-particle":"","parse-names":false,"suffix":""},{"dropping-particle":"","family":"Ruiz-Benito","given":"Paloma","non-dropping-particle":"","parse-names":false,"suffix":""},{"dropping-particle":"","family":"Martínez-Vilalta","given":"Jordi","non-dropping-particle":"","parse-names":false,"suffix":""},{"dropping-particle":"","family":"Lloret","given":"Francisco","non-dropping-particle":"","parse-names":false,"suffix":""},{"dropping-particle":"","family":"Kitzberger","given":"Thomas","non-dropping-particle":"","parse-names":false,"suffix":""},{"dropping-particle":"","family":"Allen","given":"Craig D.","non-dropping-particle":"","parse-names":false,"suffix":""},{"dropping-particle":"","family":"Fensham","given":"Rod","non-dropping-particle":"","parse-names":false,"suffix":""},{"dropping-particle":"","family":"Laughlin","given":"Daniel C.","non-dropping-particle":"","parse-names":false,"suffix":""},{"dropping-particle":"","family":"Kattge","given":"Jens","non-dropping-particle":"","parse-names":false,"suffix":""},{"dropping-particle":"","family":"Bönisch","given":"Gerhard","non-dropping-particle":"","parse-names":false,"suffix":""},{"dropping-particle":"","family":"Kraft","given":"Nathan J.B.","non-dropping-particle":"","parse-names":false,"suffix":""},{"dropping-particle":"","family":"Jump","given":"Alistair S.","non-dropping-particle":"","parse-names":false,"suffix":""}],"container-title":"Ecology Letters","id":"ITEM-1","issue":"4","issued":{"date-parts":[["2017"]]},"page":"539-553","title":"Tree mortality across biomes is promoted by drought intensity, lower wood density and higher specific leaf area","type":"article-journal","volume":"20"},"uris":["http://www.mendeley.com/documents/?uuid=aef4773a-3cfb-4408-81be-6545142ec0cb"]},{"id":"ITEM-2","itemData":{"DOI":"10.1126/sciadv.aav1332","ISSN":"2375-2548","PMID":"30788435","abstract":"Water must be transported long distances in tall plants, resulting in increasing hydraulic resistance, which may place limitations on the maximum plant height ( H max ) in a given habitat. However, the coordination of hydraulic traits with H max and habitat aridity remains poorly understood. To explore whether H max modifies the trade-off between hydraulic efficiency and safety or how water availability might influence the relationship between H max and other hydraulic traits, we compiled a dataset including H max and 11 hydraulic traits for 1281 woody species from 369 sites worldwide. We found that taller species from wet habitats exhibited greater xylem efficiency and lower hydraulic safety, wider conduits, lower conduit density, and lower sapwood density, which were all associated with habitat water availability. Plant height and hydraulic functioning appear to represent a single, coordinated axis of variation, aligned primarily with water availability, thus suggesting an important role for this axis in species sorting processes.","author":[{"dropping-particle":"","family":"Liu","given":"Hui","non-dropping-particle":"","parse-names":false,"suffix":""},{"dropping-particle":"","family":"Gleason","given":"Sean M.","non-dropping-particle":"","parse-names":false,"suffix":""},{"dropping-particle":"","family":"Hao","given":"Guangyou","non-dropping-particle":"","parse-names":false,"suffix":""},{"dropping-particle":"","family":"Hua","given":"Lei","non-dropping-particle":"","parse-names":false,"suffix":""},{"dropping-particle":"","family":"He","given":"Pengcheng","non-dropping-particle":"","parse-names":false,"suffix":""},{"dropping-particle":"","family":"Goldstein","given":"Guillermo","non-dropping-particle":"","parse-names":false,"suffix":""},{"dropping-particle":"","family":"Ye","given":"Qing","non-dropping-particle":"","parse-names":false,"suffix":""}],"container-title":"Science Advances","id":"ITEM-2","issue":"2","issued":{"date-parts":[["2019","2","13"]]},"page":"eaav1332","title":"Hydraulic traits are coordinated with maximum plant height at the global scale","type":"article-journal","volume":"5"},"uris":["http://www.mendeley.com/documents/?uuid=c0dd4a87-7e8b-47f7-b0c4-474adc0ccf3d"]},{"id":"ITEM-3","itemData":{"DOI":"10.1111/ele.13584","ISSN":"14610248","PMID":"32808458","abstract":"Hydraulic properties control plant responses to climate and are likely to be under strong selective pressure, but their macro-evolutionary history remains poorly characterised. To fill this gap, we compiled a global dataset of hydraulic traits describing xylem conductivity (Ks), xylem resistance to embolism (P50), sapwood allocation relative to leaf area (Hv) and drought exposure (ψmin), and matched it with global seed plant phylogenies. Individually, these traits present medium to high levels of phylogenetic signal, partly related to environmental selective pressures shaping lineage evolution. Most of these traits evolved independently of each other, being co-selected by the same environmental pressures. However, the evolutionary correlations between P50 and ψmin and between Ks and Hv show signs of deeper evolutionary integration because of functional, developmental or genetic constraints, conforming to evolutionary modules. We do not detect evolutionary integration between conductivity and resistance to embolism, rejecting a hardwired trade-off for this pair of traits.","author":[{"dropping-particle":"","family":"Sanchez-Martinez","given":"Pablo","non-dropping-particle":"","parse-names":false,"suffix":""},{"dropping-particle":"","family":"Martínez-Vilalta","given":"Jordi","non-dropping-particle":"","parse-names":false,"suffix":""},{"dropping-particle":"","family":"Dexter","given":"Kyle G.","non-dropping-particle":"","parse-names":false,"suffix":""},{"dropping-particle":"","family":"Segovia","given":"Ricardo A.","non-dropping-particle":"","parse-names":false,"suffix":""},{"dropping-particle":"","family":"Mencuccini","given":"Maurizio","non-dropping-particle":"","parse-names":false,"suffix":""}],"container-title":"Ecology Letters","id":"ITEM-3","issue":"11","issued":{"date-parts":[["2020"]]},"page":"1599-1610","title":"Adaptation and coordinated evolution of plant hydraulic traits","type":"article-journal","volume":"23"},"uris":["http://www.mendeley.com/documents/?uuid=5bbf7d14-8fee-49d5-827a-d60de360d68a"]},{"id":"ITEM-4","itemData":{"DOI":"10.1111/gcb.16082","ISSN":"1354-1013","abstract":"Featuring the art of covalent chemistry on 2D and 3D with molecular precision, covalent organic frameworks (COFs) have attracted immense interests from inorganic, organic, polymer, materials and energy chemistry. However, due to the synthetic challenge of “crystallization problem”, structural determination of COFs has been the bottle-neck in speeding up their discovery and design, as well as building up their structure-property relation. Electron diffraction tomography (EDT) have been developed to determine crystal structures of COFs with only sub-micrometer sized single crystals, which enabled the ab initio determination of crystal structure, molecular connectivity, pore metrics, and host-guest interaction at the atomic level. In this review, we summarized the recent developments of EDT for addressing challenges in structure determinations of such e-beam sensitive, organic porous crystals, covering comprehensively automatic data collection, low dose, cryogenic protocols, structural solution method, powder X-ray diffraction refinement, and high-resolution transmission electron microscopy (HRTEM) imaging techniques. We do believe the EDT will propel this field into the new era of COF chemistry with atomic precision, and we envision the wide application of artificial intelligence will promote the structural determination and particle analysis of COFs and related materials. Tu","author":[{"dropping-particle":"","family":"Guillemot","given":"Joannès",</w:instrText>
      </w:r>
      <w:r w:rsidR="00F14052">
        <w:rPr>
          <w:rFonts w:hint="eastAsia"/>
        </w:rPr>
        <w:instrText>"non-dropping-particle":"","parse-names":false,"suffix":""},{"dropping-particle":"","family":"Martin</w:instrText>
      </w:r>
      <w:r w:rsidR="00F14052">
        <w:rPr>
          <w:rFonts w:hint="eastAsia"/>
        </w:rPr>
        <w:instrText>‐</w:instrText>
      </w:r>
      <w:r w:rsidR="00F14052">
        <w:rPr>
          <w:rFonts w:hint="eastAsia"/>
        </w:rPr>
        <w:instrText>StPaul","given":"Nicolas K.","non-dropping-particle":"","parse-names":false,"suffix":""},{"dropping-particle":"","family":"Bulascoschi","given":"Leticia",</w:instrText>
      </w:r>
      <w:r w:rsidR="00F14052">
        <w:instrText>"non-dropping-particle":"","parse-names":false,"suffix":""},{"dropping-particle":"","family":"Poorter","given":"Lourens","non-dropping-particle":"","parse-names":false,"suffix":""},{"dropping-particle":"","family":"Morin","given":"Xavier","non-dropping-particle":"","parse-names":false,"suffix":""},{"dropping-particle":"","family":"Pinho","given":"Bruno X.","non-dropping-particle":"","parse-names":false,"suffix":""},{"dropping-particle":"","family":"Maire","given":"Guerric","non-dropping-particle":"","parse-names":false,"suffix":""},{"dropping-particle":"","family":"Bittencourt","given":"Paulo","non-dropping-particle":"","parse-names":false,"suffix":""},{"dropping-particle":"","family":"Oliveira","given":"Rafael S.","non-dropping-particle":"","parse-names":false,"suffix":""},{"dropping-particle":"","family":"Bongers","given":"Frans","non-dropping-particle":"","parse-names":false,"suffix":""},{"dropping-particle":"","family":"Brouwer","given":"Rens","non-dropping-particle":"","parse-names":false,"suffix":""},{"dropping-particle":"","family":"Pereira","given":"Luciano","non-dropping-particle":"","parse-names":false,"suffix":""},{"dropping-particle":"","family":"Melo","given":"German Andrés Gonzalez","non-dropping-particle":"","parse-names":false,"suffix":""},{"dropping-particle":"","family":"Boonman","given":"Coline C. F.","non-dropping-particle":"","parse-names":false,"suffix":""},{"dropping-particle":"","family":"Brown","given":"Kerry A.","non-dropping-particle":"","parse-names":false,"suffix":""},{"dropping-particle":"","family":"Cerabolini","given":"Bruno E.L.","non-dropping-particle":"","parse-names":false,"suffix":""},{"dropping-particle":"","family":"Niinemets","given":"Ülo","non-dropping-particle":"","parse-names":false,"suffix":""},{"dropping-particle":"","family":"Onoda","given":"Yusuke","non-dropping-particle":"","parse-names":false,"suffix":""},{"dropping-particle":"V.","family":"Schneider","given":"Julio","non-dropping-particle":"","parse-names":false,"suffix":""},{"dropping-particle":"","family":"Sheremetiev","given":"Serge","non-dropping-particle":"","parse-names":false,"suffix":""},{"dropping-particle":"","family":"Brancalion","given":"Pedro H.S.","non-dropping-particle":"","parse-names":false,"suffix":""}],"container-title":"Global Change Biology","id":"ITEM-4","issue":"3","issued":{"date-parts":[["2022","1","10"]]},"page":"287-288","title":"Small and slow is safe: on the drought tolerance of tropical tree species","type":"article-journal","volume":"13"},"uris":["http://www.mendeley.com/documents/?uuid=8a201c99-a70f-4c35-9404-af6785f5f0d7"]}],"mendeley":{"formattedCitation":"(Greenwood et al., 2017; Guillemot et al., 2022; H. Liu et al., 2019; Sanchez-Martinez, Martínez-Vilalta, Dexter, Segovia, &amp; Mencuccini, 2020)","plainTextFormattedCitation":"(Greenwood et al., 2017; Guillemot et al., 2022; H. Liu et al., 2019; Sanchez-Martinez, Martínez-Vilalta, Dexter, Segovia, &amp; Mencuccini, 2020)","previouslyFormattedCitation":"(Greenwood et al., 2017; H. Liu et al., 2019; Sanchez-Martinez, Martínez-Vilalta, Dexter, Segovia, &amp; Mencuccini, 2020; Guillemot et al., 2022)"},"properties":{"noteIndex":0},"schema":"https://github.com/citation-style-language/schema/raw/master/csl-citation.json"}</w:instrText>
      </w:r>
      <w:r w:rsidR="00D96528" w:rsidRPr="00DA5AE2">
        <w:fldChar w:fldCharType="separate"/>
      </w:r>
      <w:r w:rsidR="00F14052" w:rsidRPr="00F14052">
        <w:rPr>
          <w:noProof/>
        </w:rPr>
        <w:t>(Greenwood et al., 2017; Guillemot et al., 2022; H. Liu et al., 2019; Sanchez-Martinez, Martínez-Vilalta, Dexter, Segovia, &amp; Mencuccini, 2020)</w:t>
      </w:r>
      <w:r w:rsidR="00D96528" w:rsidRPr="00DA5AE2">
        <w:fldChar w:fldCharType="end"/>
      </w:r>
      <w:r w:rsidR="00D96528" w:rsidRPr="00DA5AE2">
        <w:t xml:space="preserve">. </w:t>
      </w:r>
      <w:r w:rsidR="009544EE" w:rsidRPr="00DA5AE2">
        <w:t>Under</w:t>
      </w:r>
      <w:r w:rsidRPr="00DA5AE2">
        <w:t xml:space="preserve"> non-drought conditions, water availability</w:t>
      </w:r>
      <w:r w:rsidR="00494BFB" w:rsidRPr="00DA5AE2">
        <w:t xml:space="preserve"> may have a low impact</w:t>
      </w:r>
      <w:r w:rsidRPr="00DA5AE2">
        <w:t xml:space="preserve"> on tree performance and survival, resulting in overall high survival with low variability in</w:t>
      </w:r>
      <w:r w:rsidR="009544EE" w:rsidRPr="00DA5AE2">
        <w:t xml:space="preserve"> both</w:t>
      </w:r>
      <w:r w:rsidRPr="00DA5AE2">
        <w:t xml:space="preserve"> monocultures and mixtures. However, under severe drought, monocultures of drought sensitive species </w:t>
      </w:r>
      <w:r w:rsidR="009544EE" w:rsidRPr="00DA5AE2">
        <w:t xml:space="preserve">may </w:t>
      </w:r>
      <w:r w:rsidRPr="00DA5AE2">
        <w:t xml:space="preserve">experience </w:t>
      </w:r>
      <w:r w:rsidR="009544EE" w:rsidRPr="00DA5AE2">
        <w:t xml:space="preserve">higher </w:t>
      </w:r>
      <w:r w:rsidRPr="00DA5AE2">
        <w:t xml:space="preserve">mortality </w:t>
      </w:r>
      <w:r w:rsidR="009544EE" w:rsidRPr="00DA5AE2">
        <w:t>compared to</w:t>
      </w:r>
      <w:r w:rsidRPr="00DA5AE2">
        <w:t xml:space="preserve"> monocultures of drought resistant species, thus increasing variability in survival </w:t>
      </w:r>
      <w:r w:rsidR="009544EE" w:rsidRPr="00DA5AE2">
        <w:t xml:space="preserve">among </w:t>
      </w:r>
      <w:r w:rsidRPr="00DA5AE2">
        <w:t xml:space="preserve">stands. In mixtures, higher diversity </w:t>
      </w:r>
      <w:r w:rsidR="007D7006" w:rsidRPr="00DA5AE2">
        <w:t xml:space="preserve">could </w:t>
      </w:r>
      <w:r w:rsidR="00E22D6E" w:rsidRPr="00DA5AE2">
        <w:t>provide</w:t>
      </w:r>
      <w:r w:rsidR="009544EE" w:rsidRPr="00DA5AE2">
        <w:t xml:space="preserve"> higher </w:t>
      </w:r>
      <w:r w:rsidRPr="00DA5AE2">
        <w:t xml:space="preserve">drought </w:t>
      </w:r>
      <w:r w:rsidR="009544EE" w:rsidRPr="00DA5AE2">
        <w:t>resistance</w:t>
      </w:r>
      <w:r w:rsidRPr="00DA5AE2">
        <w:t xml:space="preserve">, which should reduce survival variability at the stand level </w:t>
      </w:r>
      <w:r w:rsidRPr="00DA5AE2">
        <w:fldChar w:fldCharType="begin" w:fldLock="1"/>
      </w:r>
      <w:r w:rsidRPr="00DA5AE2">
        <w:instrText>ADDIN CSL_CITATION {"citationItems":[{"id":"ITEM-1","itemData":{"DOI":"10.1111/brv.12756","ISSN":"1469185X","abstract":"Biological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author":[{"dropping-particle":"","family":"Loreau","given":"Michel","non-dropping-particle":"","parse-names":false,"suffix":""},{"dropping-particle":"","family":"Barbier","given":"Matthieu","non-dropping-particle":"","parse-names":false,"suffix":""},{"dropping-particle":"","family":"Filotas","given":"Elise","non-dropping-particle":"","parse-names":false,"suffix":""},{"dropping-particle":"","family":"Gravel","given":"Dominique","non-dropping-particle":"","parse-names":false,"suffix":""},{"dropping-particle":"","family":"Isbell","given":"Forest","non-dropping-particle":"","parse-names":false,"suffix":""},{"dropping-particle":"","family":"Miller","given":"Steve J.","non-dropping-particle":"","parse-names":false,"suffix":""},{"dropping-particle":"","family":"Montoya","given":"Jose M.","non-dropping-particle":"","parse-names":false,"suffix":""},{"dropping-particle":"","family":"Wang","given":"Shaopeng","non-dropping-particle":"","parse-names":false,"suffix":""},{"dropping-particle":"","family":"Aussenac","given":"Raphaël","non-dropping-particle":"","parse-names":false,"suffix":""},{"dropping-particle":"","family":"Germain","given":"Rachel","non-dropping-particle":"","parse-names":false,"suffix":""},{"dropping-particle":"","family":"Thompson","given":"Patrick L.","non-dropping-particle":"","parse-names":false,"suffix":""},{"dropping-particle":"","family":"Gonzalez","given":"Andrew","non-dropping-particle":"","parse-names":false,"suffix":""},{"dropping-particle":"","family":"Dee","given":"Laura E.","non-dropping-particle":"","parse-names":false,"suffix":""}],"container-title":"Biological Reviews","id":"ITEM-1","issue":"5","issued":{"date-parts":[["2021"]]},"page":"2333-2354","title":"Biodiversity as insurance: from concept to measurement and application","type":"article-journal","volume":"96"},"uris":["http://www.mendeley.com/documents/?uuid=aa77e2d0-dc15-44eb-9516-2f9c04e2c48f"]}],"mendeley":{"formattedCitation":"(Loreau et al., 2021)","plainTextFormattedCitation":"(Loreau et al., 2021)","previouslyFormattedCitation":"(Loreau et al., 2021)"},"properties":{"noteIndex":0},"schema":"https://github.com/citation-style-language/schema/raw/master/csl-citation.json"}</w:instrText>
      </w:r>
      <w:r w:rsidRPr="00DA5AE2">
        <w:fldChar w:fldCharType="separate"/>
      </w:r>
      <w:bookmarkStart w:id="17" w:name="Bookmark15"/>
      <w:r w:rsidRPr="00DA5AE2">
        <w:rPr>
          <w:noProof/>
        </w:rPr>
        <w:t>(Loreau et al., 2021)</w:t>
      </w:r>
      <w:r w:rsidRPr="00DA5AE2">
        <w:fldChar w:fldCharType="end"/>
      </w:r>
      <w:bookmarkEnd w:id="17"/>
      <w:r w:rsidRPr="00DA5AE2">
        <w:t xml:space="preserve"> while also safeguarding</w:t>
      </w:r>
      <w:r w:rsidR="00FE79A5" w:rsidRPr="00DA5AE2">
        <w:t xml:space="preserve"> forest</w:t>
      </w:r>
      <w:r w:rsidRPr="00DA5AE2">
        <w:t xml:space="preserve"> multi-functionality </w:t>
      </w:r>
      <w:r w:rsidRPr="00DA5AE2">
        <w:fldChar w:fldCharType="begin" w:fldLock="1"/>
      </w:r>
      <w:r w:rsidRPr="00DA5AE2">
        <w:instrText>ADDIN CSL_CITATION {"citationItems":[{"id":"ITEM-1","itemData":{"DOI":"10.1038/ncomms11109","ISSN":"2041-1723","author":[{"dropping-particle":"","family":"Plas","given":"Fons","non-dropping-particle":"van der","parse-names":false,"suffix":""},{"dropping-particle":"","family":"Manning","given":"Peter","non-dropping-particle":"","parse-names":false,"suffix":""},{"dropping-particle":"","family":"Allan","given":"Eric","non-dropping-particle":"","parse-names":false,"suffix":""},{"dropping-particle":"","family":"Scherer-Lorenzen","given":"Michael","non-dropping-particle":"","parse-names":false,"suffix":""},{"dropping-particle":"","family":"Verheyen","given":"Kris","non-dropping-particle":"","parse-names":false,"suffix":""},{"dropping-particle":"","family":"Wirth","given":"Christian","non-dropping-particle":"","parse-names":false,"suffix":""},{"dropping-particle":"","family":"Zavala","given":"Miguel A","non-dropping-particle":"","parse-names":false,"suffix":""},{"dropping-particle":"","family":"Hector","given":"Andy","non-dropping-particle":"","parse-names":false,"suffix":""},{"dropping-particle":"","family":"Ampoorter","given":"Evy","non-dropping-particle":"","parse-names":false,"suffix":""},{"dropping-particle":"","family":"Baeten","given":"Lander","non-dropping-particle":"","parse-names":false,"suffix":""},{"dropping-particle":"","family":"Barbaro","given":"Luc","non-dropping-particle":"","parse-names":false,"suffix":""},{"dropping-particle":"","family":"Bauhus","given":"Jürgen","non-dropping-particle":"","parse-names":false,"suffix":""},{"dropping-particle":"","family":"Benavides","given":"Raquel","non-dropping-particle":"","parse-names":false,"suffix":""},{"dropping-particle":"","family":"Benneter","given":"Adam","non-dropping-particle":"","parse-names":false,"suffix":""},{"dropping-particle":"","family":"Berthold","given":"Felix","non-dropping-particle":"","parse-names":false,"suffix":""},{"dropping-particle":"","family":"Bonal","given":"Damien","non-dropping-particle":"","parse-names":false,"suffix":""},{"dropping-particle":"","family":"Bouriaud","given":"Olivier","non-dropping-particle":"","parse-names":false,"suffix":""},{"dropping-particle":"","family":"Bruelheide","given":"Helge","non-dropping-particle":"","parse-names":false,"suffix":""},{"dropping-particle":"","family":"Bussotti","given":"Filippo","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oomes","given":"David","non-dropping-particle":"","parse-names":false,"suffix":""},{"dropping-particle":"","family":"Coppi","given":"Andrea","non-dropping-particle":"","parse-names":false,"suffix":""},{"dropping-particle":"","family":"Bastias","given":"Cristina C.","non-dropping-particle":"","parse-names":false,"suffix":""},{"dropping-particle":"","family":"Muhie Dawud","given":"Seid","non-dropping-particle":"","parse-names":false,"suffix":""},{"dropping-particle":"","family":"Wandeler","given":"Hans","non-dropping-particle":"De","parse-names":false,"suffix":""},{"dropping-particle":"","family":"Domisch","given":"Timo","non-dropping-particle":"","parse-names":false,"suffix":""},{"dropping-particle":"","family":"Finér","given":"Leena","non-dropping-particle":"","parse-names":false,"suffix":""},{"dropping-particle":"","family":"Gessler","given":"Arthur","non-dropping-particle":"","parse-names":false,"suffix":""},{"dropping-particle":"","family":"Granier","given":"André","non-dropping-particle":"","parse-names":false,"suffix":""},{"dropping-particle":"","family":"Grossiord","given":"Charlotte","non-dropping-particle":"","parse-names":false,"suffix":""},{"dropping-particle":"","family":"Guyot","given":"Virginie","non-dropping-particle":"","parse-names":false,"suffix":""},{"dropping-particle":"","family":"Hättenschwiler","given":"Stephan","non-dropping-particle":"","parse-names":false,"suffix":""},{"dropping-particle":"","family":"Jactel","given":"Hervé","non-dropping-particle":"","parse-names":false,"suffix":""},{"dropping-particle":"","family":"Jaroszewicz","given":"Bogdan","non-dropping-particle":"","parse-names":false,"suffix":""},{"dropping-particle":"","family":"Joly","given":"François-Xavier","non-dropping-particle":"","parse-names":false,"suffix":""},{"dropping-particle":"","family":"Jucker","given":"Tommaso","non-dropping-particle":"","parse-names":false,"suffix":""},{"dropping-particle":"","family":"Koricheva","given":"Julia","non-dropping-particle":"","parse-names":false,"suffix":""},{"dropping-particle":"","family":"Milligan","given":"Harriet","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Pollastrini","given":"Martina","non-dropping-particle":"","parse-names":false,"suffix":""},{"dropping-particle":"","family":"Raulund-Rasmussen","given":"Karsten","non-dropping-particle":"","parse-names":false,"suffix":""},{"dropping-particle":"","family":"Selvi","given":"Federico","non-dropping-particle":"","parse-names":false,"suffix":""},{"dropping-particle":"","family":"Stenlid","given":"Jan","non-dropping-particle":"","parse-names":false,"suffix":""},{"dropping-particle":"","family":"Valladares","given":"Fernando","non-dropping-particle":"","parse-names":false,"suffix":""},{"dropping-particle":"","family":"Vesterdal","given":"Lars","non-dropping-particle":"","parse-names":false,"suffix":""},{"dropping-particle":"","family":"Zielínski","given":"Dawid","non-dropping-particle":"","parse-names":false,"suffix":""},{"dropping-particle":"","family":"Fischer","given":"Markus","non-dropping-particle":"","parse-names":false,"suffix":""}],"container-title":"Nature Communications","id":"ITEM-1","issue":"1","issued":{"date-parts":[["2016","9","24"]]},"page":"11109","title":"Jack-of-all-trades effects drive biodiversity–ecosystem multifunctionality relationships in European forests","type":"article-journal","volume":"7"},"uris":["http://www.mendeley.com/documents/?uuid=005b7b95-62bc-48aa-b72e-3c2f12862cc6"]}],"mendeley":{"formattedCitation":"(van der Plas et al., 2016)","plainTextFormattedCitation":"(van der Plas et al., 2016)","previouslyFormattedCitation":"(van der Plas et al., 2016)"},"properties":{"noteIndex":0},"schema":"https://github.com/citation-style-language/schema/raw/master/csl-citation.json"}</w:instrText>
      </w:r>
      <w:r w:rsidRPr="00DA5AE2">
        <w:fldChar w:fldCharType="separate"/>
      </w:r>
      <w:bookmarkStart w:id="18" w:name="Bookmark16"/>
      <w:r w:rsidRPr="00DA5AE2">
        <w:rPr>
          <w:noProof/>
        </w:rPr>
        <w:t>(van der Plas et al., 2016)</w:t>
      </w:r>
      <w:r w:rsidRPr="00DA5AE2">
        <w:fldChar w:fldCharType="end"/>
      </w:r>
      <w:bookmarkEnd w:id="18"/>
      <w:r w:rsidR="00AE1BEC" w:rsidRPr="00DA5AE2">
        <w:t xml:space="preserve"> and </w:t>
      </w:r>
      <w:r w:rsidR="00FE79A5" w:rsidRPr="00DA5AE2">
        <w:t xml:space="preserve">resilience to </w:t>
      </w:r>
      <w:r w:rsidR="00AE1BEC" w:rsidRPr="00DA5AE2">
        <w:t>other dis</w:t>
      </w:r>
      <w:r w:rsidR="00FE79A5" w:rsidRPr="00DA5AE2">
        <w:t>turbances</w:t>
      </w:r>
      <w:r w:rsidR="00AE1BEC" w:rsidRPr="00DA5AE2">
        <w:t xml:space="preserve"> </w:t>
      </w:r>
      <w:r w:rsidR="00AE1BEC" w:rsidRPr="00DA5AE2">
        <w:fldChar w:fldCharType="begin" w:fldLock="1"/>
      </w:r>
      <w:r w:rsidR="00AE1BEC" w:rsidRPr="00DA5AE2">
        <w:instrText>ADDIN CSL_CITATION {"citationItems":[{"id":"ITEM-1","itemData":{"DOI":"10.1111/conl.12829","ISSN":"1755263X","abstract":"As of 2020, the world has an estimated 290 million ha of planted forests and this number is continuously increasing. Of these, 131 million ha are monospecific planted forests under intensive management. Although monospecific planted forests are important in providing timber, they harbor less biodiversity and are potentially more susceptible to disturbances than natural or diverse planted forests. Here, we point out the increasing scientific evidence for increased resilience and ecosystem service provision of functionally and species diverse planted forests (hereafter referred to as diverse planted forests) compared to monospecific ones. Furthermore, we propose five concrete steps to foster the adoption of diverse planted forests: (1) improve awareness of benefits and practical options of diverse planted forests among land-owners, managers, and investors; (2) incentivize tree species diversity in public funding of afforestation and programs to diversify current maladapted planted forests of low diversity; (3) develop new wood-based products that can be derived from many different tree species not yet in use; (4) invest in research to assess landscape benefits of diverse planted forests for functional connectivity and resilience to global-change threats; and (5) improve the evidence base on diverse planted forests, in particular in currently under-represented regions, where new options could be tested.","author":[{"dropping-particle":"","family":"Messier","given":"Christian","non-dropping-particle":"","parse-names":false,"suffix":""},{"dropping-particle":"","family":"Bauhus","given":"Jürgen","non-dropping-particle":"","parse-names":false,"suffix":""},{"dropping-particle":"","family":"Sousa-Silva","given":"Rita","non-dropping-particle":"","parse-names":false,"suffix":""},{"dropping-particle":"","family":"Auge","given":"Harald","non-dropping-particle":"","parse-names":false,"suffix":""},{"dropping-particle":"","family":"Baeten","given":"Lander","non-dropping-particle":"","parse-names":false,"suffix":""},{"dropping-particle":"","family":"Barsoum","given":"Nadia","non-dropping-particle":"","parse-names":false,"suffix":""},{"dropping-particle":"","family":"Bruelheide","given":"Helge","non-dropping-particle":"","parse-names":false,"suffix":""},{"dropping-particle":"","family":"Caldwell","given":"Benjamin","non-dropping-particle":"","parse-names":false,"suffix":""},{"dropping-particle":"","family":"Cavender-Bares","given":"Jeannine","non-dropping-particle":"","parse-names":false,"suffix":""},{"dropping-particle":"","family":"Dhiedt","given":"Els","non-dropping-particle":"","parse-names":false,"suffix":""},{"dropping-particle":"","family":"Eisenhauer","given":"Nico","non-dropping-particle":"","parse-names":false,"suffix":""},{"dropping-particle":"","family":"Ganade","given":"Gislene","non-dropping-particle":"","parse-names":false,"suffix":""},{"dropping-particle":"","family":"Gravel","given":"Dominique","non-dropping-particle":"","parse-names":false,"suffix":""},{"dropping-particle":"","family":"Guillemot","given":"Joannès","non-dropping-particle":"","parse-names":false,"suffix":""},{"dropping-particle":"","family":"Hall","given":"Jefferson S.","non-dropping-particle":"","parse-names":false,"suffix":""},{"dropping-particle":"","family":"Hector","given":"Andrew","non-dropping-particle":"","parse-names":false,"suffix":""},{"dropping-particle":"","family":"Hérault","given":"Bruno","non-dropping-particle":"","parse-names":false,"suffix":""},{"dropping-particle":"","family":"Jactel","given":"Hervé","non-dropping-particle":"","parse-names":false,"suffix":""},{"dropping-particle":"","family":"Koricheva","given":"Julia","non-dropping-particle":"","parse-names":false,"suffix":""},{"dropping-particle":"","family":"Kreft","given":"Holger","non-dropping-particle":"","parse-names":false,"suffix":""},{"dropping-particle":"","family":"Mereu","given":"Simone","non-dropping-particle":"","parse-names":false,"suffix":""},{"dropping-particle":"","family":"Muys","given":"Bart","non-dropping-particle":"","parse-names":false,"suffix":""},{"dropping-particle":"","family":"Nock","given":"Charles A.","non-dropping-particle":"","parse-names":false,"suffix":""},{"dropping-particle":"","family":"Paquette","given":"Alain","non-dropping-particle":"","parse-names":false,"suffix":""},{"dropping-particle":"","family":"Parker","given":"John D.","non-dropping-particle":"","parse-names":false,"suffix":""},{"dropping-particle":"","family":"Perring","given":"Michael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Scherer-Lorenzen","given":"Michael","non-dropping-particle":"","parse-names":false,"suffix":""},{"dropping-particle":"","family":"Schnabel","given":"Florian","non-dropping-particle":"","parse-names":false,"suffix":""},{"dropping-particle":"","family":"Verheyen","given":"Kris","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Clara","non-dropping-particle":"","parse-names":false,"suffix":""}],"container-title":"Conservation Letters","id":"ITEM-1","issue":"January","issued":{"date-parts":[["2021"]]},"page":"1-8","title":"For the sake of resilience and multifunctionality, let's diversify planted forests!","type":"article-journal"},"uris":["http://www.mendeley.com/documents/?uuid=286048ff-6b1d-40e9-8dd4-a605e4432135"]}],"mendeley":{"formattedCitation":"(Messier et al., 2021)","plainTextFormattedCitation":"(Messier et al., 2021)","previouslyFormattedCitation":"(Messier et al., 2021)"},"properties":{"noteIndex":0},"schema":"https://github.com/citation-style-language/schema/raw/master/csl-citation.json"}</w:instrText>
      </w:r>
      <w:r w:rsidR="00AE1BEC" w:rsidRPr="00DA5AE2">
        <w:fldChar w:fldCharType="separate"/>
      </w:r>
      <w:bookmarkStart w:id="19" w:name="Bookmark17"/>
      <w:r w:rsidR="00AE1BEC" w:rsidRPr="00DA5AE2">
        <w:rPr>
          <w:noProof/>
        </w:rPr>
        <w:t>(Messier et al., 2021)</w:t>
      </w:r>
      <w:r w:rsidR="00AE1BEC" w:rsidRPr="00DA5AE2">
        <w:fldChar w:fldCharType="end"/>
      </w:r>
      <w:bookmarkEnd w:id="19"/>
      <w:r w:rsidR="00AE1BEC" w:rsidRPr="00DA5AE2">
        <w:t xml:space="preserve">. </w:t>
      </w:r>
      <w:r w:rsidRPr="00DA5AE2">
        <w:t xml:space="preserve">Understanding which functional traits drive the drought survival </w:t>
      </w:r>
      <w:r w:rsidR="00146375" w:rsidRPr="00DA5AE2">
        <w:t xml:space="preserve">of trees </w:t>
      </w:r>
      <w:r w:rsidRPr="00DA5AE2">
        <w:t xml:space="preserve">is </w:t>
      </w:r>
      <w:r w:rsidR="00915328" w:rsidRPr="00DA5AE2">
        <w:t>essential</w:t>
      </w:r>
      <w:r w:rsidRPr="00DA5AE2">
        <w:t xml:space="preserve"> to </w:t>
      </w:r>
      <w:r w:rsidR="00915328" w:rsidRPr="00DA5AE2">
        <w:t xml:space="preserve">decide which species mixtures could </w:t>
      </w:r>
      <w:r w:rsidR="00146375" w:rsidRPr="00DA5AE2">
        <w:t xml:space="preserve">promote </w:t>
      </w:r>
      <w:r w:rsidRPr="00DA5AE2">
        <w:t>survival and hence foster drought resilience</w:t>
      </w:r>
      <w:r w:rsidR="00146375" w:rsidRPr="00DA5AE2">
        <w:t>.</w:t>
      </w:r>
    </w:p>
    <w:p w14:paraId="706617AF" w14:textId="58056988" w:rsidR="000540A4" w:rsidRPr="009E7AC3" w:rsidRDefault="007F6878" w:rsidP="009E7AC3">
      <w:pPr>
        <w:jc w:val="both"/>
        <w:rPr>
          <w:bCs/>
        </w:rPr>
      </w:pPr>
      <w:r w:rsidRPr="009E7AC3">
        <w:rPr>
          <w:bCs/>
        </w:rPr>
        <w:t>To test how tree diversity and functional traits affect plot-level mean and variability in survival under varying environmental conditions, we use</w:t>
      </w:r>
      <w:r w:rsidR="007D7006" w:rsidRPr="009E7AC3">
        <w:rPr>
          <w:bCs/>
        </w:rPr>
        <w:t>d</w:t>
      </w:r>
      <w:r w:rsidRPr="009E7AC3">
        <w:rPr>
          <w:bCs/>
        </w:rPr>
        <w:t xml:space="preserve"> data collected within the Tree Diversity Network </w:t>
      </w:r>
      <w:r w:rsidRPr="009E7AC3">
        <w:rPr>
          <w:bCs/>
        </w:rPr>
        <w:lastRenderedPageBreak/>
        <w:t>(TreeDivNet; Fig. 1).</w:t>
      </w:r>
      <w:r w:rsidR="004A1F48" w:rsidRPr="009E7AC3">
        <w:rPr>
          <w:bCs/>
        </w:rPr>
        <w:t xml:space="preserve"> </w:t>
      </w:r>
      <w:r w:rsidR="005E69B1" w:rsidRPr="009E7AC3">
        <w:rPr>
          <w:bCs/>
        </w:rPr>
        <w:t xml:space="preserve">We first tested the hypothesis that </w:t>
      </w:r>
      <w:r w:rsidR="005E69B1" w:rsidRPr="009E7AC3">
        <w:rPr>
          <w:bCs/>
          <w:i/>
          <w:iCs/>
        </w:rPr>
        <w:t>tree diversity reduces mortality under drought</w:t>
      </w:r>
      <w:r w:rsidR="005E69B1" w:rsidRPr="009E7AC3">
        <w:rPr>
          <w:bCs/>
        </w:rPr>
        <w:t>, with less variability in survival as tree diversity increases. In addition to using species richness as a predictor for surviva</w:t>
      </w:r>
      <w:r w:rsidR="00D40191" w:rsidRPr="009E7AC3">
        <w:rPr>
          <w:bCs/>
        </w:rPr>
        <w:t>l</w:t>
      </w:r>
      <w:r w:rsidR="005E69B1" w:rsidRPr="009E7AC3">
        <w:rPr>
          <w:bCs/>
        </w:rPr>
        <w:t>, we also looked at the role of functional diversity. Expectations suggest that communities characterized by higher functional dissimilarity in key traits, which define distinct ecological strategies, will demonstrate enhanced survival and diminished variability. This stands in contrast to communities possessing an equivalent species count (i.e., independent of a sampling effect) but exhibiting a lower degree of functional dissimilarity. Next</w:t>
      </w:r>
      <w:r w:rsidR="002836FA" w:rsidRPr="009E7AC3">
        <w:rPr>
          <w:bCs/>
        </w:rPr>
        <w:t>,</w:t>
      </w:r>
      <w:r w:rsidR="005E69B1" w:rsidRPr="009E7AC3">
        <w:rPr>
          <w:bCs/>
        </w:rPr>
        <w:t xml:space="preserve"> we tested the hypothesis that </w:t>
      </w:r>
      <w:r w:rsidR="005E69B1" w:rsidRPr="009E7AC3">
        <w:rPr>
          <w:bCs/>
          <w:i/>
          <w:iCs/>
        </w:rPr>
        <w:t>species that survive poorly in monocultures survive better in mixtures</w:t>
      </w:r>
      <w:r w:rsidR="005E69B1" w:rsidRPr="009E7AC3">
        <w:rPr>
          <w:bCs/>
        </w:rPr>
        <w:t>. Species with poor survival in monocultures have identifiable functional traits related to strategies in drought tolerance, resource acquisition, reproduction</w:t>
      </w:r>
      <w:r w:rsidR="00E33F95" w:rsidRPr="009E7AC3">
        <w:rPr>
          <w:bCs/>
        </w:rPr>
        <w:t>,</w:t>
      </w:r>
      <w:r w:rsidR="005E69B1" w:rsidRPr="009E7AC3">
        <w:rPr>
          <w:bCs/>
        </w:rPr>
        <w:t xml:space="preserve"> and whole plant economics that explain their vulnerability to drought.</w:t>
      </w:r>
      <w:r w:rsidR="000331F6" w:rsidRPr="009E7AC3">
        <w:rPr>
          <w:bCs/>
        </w:rPr>
        <w:t xml:space="preserve"> </w:t>
      </w:r>
    </w:p>
    <w:p w14:paraId="33F3987A" w14:textId="0BA2676A" w:rsidR="00B26A2C" w:rsidRPr="00DA5AE2" w:rsidRDefault="00AE6739">
      <w:pPr>
        <w:pStyle w:val="Heading1"/>
        <w:jc w:val="both"/>
      </w:pPr>
      <w:r w:rsidRPr="00DA5AE2">
        <w:t xml:space="preserve">Materials and </w:t>
      </w:r>
      <w:r w:rsidR="007F6878" w:rsidRPr="00DA5AE2">
        <w:t>Methods</w:t>
      </w:r>
    </w:p>
    <w:p w14:paraId="232D3D50" w14:textId="77777777" w:rsidR="00B26A2C" w:rsidRPr="00DA5AE2" w:rsidRDefault="007F6878">
      <w:pPr>
        <w:pStyle w:val="Heading3"/>
        <w:jc w:val="both"/>
      </w:pPr>
      <w:r w:rsidRPr="00DA5AE2">
        <w:t xml:space="preserve">TreeDivNet </w:t>
      </w:r>
    </w:p>
    <w:p w14:paraId="1995FA5C" w14:textId="3559059F" w:rsidR="00B26A2C" w:rsidRPr="00DA5AE2" w:rsidRDefault="00006EFA">
      <w:pPr>
        <w:jc w:val="both"/>
      </w:pPr>
      <w:r w:rsidRPr="00DA5AE2">
        <w:t xml:space="preserve">TreeDivNet is a global network of tree diversity experiments </w:t>
      </w:r>
      <w:r w:rsidR="00F23D30" w:rsidRPr="00DA5AE2">
        <w:t>that collectively covers 857 ha and over a million trees (</w:t>
      </w:r>
      <w:hyperlink r:id="rId12">
        <w:r w:rsidR="00F23D30" w:rsidRPr="00DA5AE2">
          <w:rPr>
            <w:rStyle w:val="InternetLink"/>
          </w:rPr>
          <w:t>www.treedivnet.ugent.be</w:t>
        </w:r>
      </w:hyperlink>
      <w:r w:rsidR="00F23D30" w:rsidRPr="00DA5AE2">
        <w:t>)</w:t>
      </w:r>
      <w:r w:rsidRPr="00DA5AE2">
        <w:fldChar w:fldCharType="begin" w:fldLock="1"/>
      </w:r>
      <w:r w:rsidR="00F14052">
        <w:instrText>ADDIN CSL_CITATION {"citationItems":[{"id":"ITEM-1","itemData":{"DOI":"10.1007/s13280-015-0685-1","ISSN":"16547209","PMID":"26264716","abstract":"The area of forest plantations is increasing worldwide helping to meet timber demand and protect natural forests. However, with global change, monospecific plantations are increasingly vulnerable to abiotic and biotic disturbances. As an adaption measure we need to move to plantations that are more diverse in genotypes, species, and structure, with a design underpinned by science. TreeDivNet, a global network of tree diversity experiments, responds to this need by assessing the advantages and disadvantages of mixed species plantations. The network currently consists of 18 experiments, distributed over 36 sites and five ecoregions. With plantations 1–15 years old, TreeDivNet can already provide relevant data for forest policy and management. In this paper, we highlight some early results on the carbon sequestration and pest resistance potential of more diverse plantations. Finally, suggestions are made for new, innovative experiments in understudied regions to complement the existing network.","author":[{"dropping-particle":"","family":"Verheyen","given":"Kris","non-dropping-particle":"","parse-names":false,"suffix":""},{"dropping-particle":"","family":"Vanhellemont","given":"Margot","non-dropping-particle":"","parse-names":false,"suffix":""},{"dropping-particle":"","family":"Auge","given":"Harald","non-dropping-particle":"","parse-names":false,"suffix":""},{"dropping-particle":"","family":"Baeten","given":"Lander","non-dropping-particle":"","parse-names":false,"suffix":""},{"dropping-particle":"","family":"Baraloto","given":"Christopher","non-dropping-particle":"","parse-names":false,"suffix":""},{"dropping-particle":"","family":"Barsoum","given":"Nadia","non-dropping-particle":"","parse-names":false,"suffix":""},{"dropping-particle":"","family":"Bilodeau-Gauthier","given":"Simon","non-dropping-particle":"","parse-names":false,"suffix":""},{"dropping-particle":"","family":"Bruelheide","given":"Helge","non-dropping-particle":"","parse-names":false,"suffix":""},{"dropping-particle":"","family":"Castagneyrol","given":"Bastien","non-dropping-particle":"","parse-names":false,"suffix":""},{"dropping-particle":"","family":"Godbold","given":"Douglas","non-dropping-particle":"","parse-names":false,"suffix":""},{"dropping-particle":"","family":"Haase","given":"Josephine","non-dropping-particle":"","parse-names":false,"suffix":""},{"dropping-particle":"","family":"Hector","given":"Andy","non-dropping-particle":"","parse-names":false,"suffix":""},{"dropping-particle":"","family":"Jactel","given":"Hervé","non-dropping-particle":"","parse-names":false,"suffix":""},{"dropping-particle":"","family":"Koricheva","given":"Julia","non-dropping-particle":"","parse-names":false,"suffix":""},{"dropping-particle":"","family":"Loreau","given":"Michel","non-dropping-particle":"","parse-names":false,"suffix":""},{"dropping-particle":"","family":"Mereu","given":"Simone","non-dropping-particle":"","parse-names":false,"suffix":""},{"dropping-particle":"","family":"Messier","given":"Christian","non-dropping-particle":"","parse-names":false,"suffix":""},{"dropping-particle":"","family":"Muys","given":"Bart","non-dropping-particle":"","parse-names":false,"suffix":""},{"dropping-particle":"","family":"Nolet","given":"Philippe","non-dropping-particle":"","parse-names":false,"suffix":""},{"dropping-particle":"","family":"Paquette","given":"Alain","non-dropping-particle":"","parse-names":false,"suffix":""},{"dropping-particle":"","family":"Parker","given":"John","non-dropping-particle":"","parse-names":false,"suffix":""},{"dropping-particle":"","family":"Perring","given":"Mike","non-dropping-particle":"","parse-names":false,"suffix":""},{"dropping-particle":"","family":"Ponette","given":"Quentin","non-dropping-particle":"","parse-names":false,"suffix":""},{"dropping-particle":"","family":"Potvin","given":"Catherine","non-dropping-particle":"","parse-names":false,"suffix":""},{"dropping-particle":"","family":"Reich","given":"Peter","non-dropping-particle":"","parse-names":false,"suffix":""},{"dropping-particle":"","family":"Smith","given":"Andy","non-dropping-particle":"","parse-names":false,"suffix":""},{"dropping-particle":"","family":"Weih","given":"Martin","non-dropping-particle":"","parse-names":false,"suffix":""},{"dropping-particle":"","family":"Scherer-Lorenzen","given":"Michael","non-dropping-particle":"","parse-names":false,"suffix":""}],"container-title":"Ambio","id":"ITEM-1","issue":"1","issued":{"date-parts":[["2016"]]},"page":"29-41","title":"Contributions of a global network of tree diversity experiments to sustainable forest plantations","type":"article-journal","volume":"45"},"uris":["http://www.mendeley.com/documents/?uuid=c35c1394-2ae3-458a-8384-cdfddf4c4f9c"]},{"id":"ITEM-2","itemData":{"DOI":"10.1038/s41559-018-0544-0","ISSN":"2397334X","PMID":"29662226","abstract":"TreeDivNet is the largest network of biodiversity experiments worldwide, but needs to expand. We encourage colleagues to establish new experiments on the relation between tree species diversity and forest ecosystem functioning, and to make use of the platform for collaborative research.","author":[{"dropping-particle":"","family":"Paquette","given":"Alain","non-dropping-particle":"","parse-names":false,"suffix":""},{"dropping-particle":"","family":"Hector","given":"Andy","non-dropping-particle":"","parse-names":false,"suffix":""},{"dropping-particle":"","family":"Vanhellemont","given":"Margot","non-dropping-particle":"","parse-names":false,"suffix":""},{"dropping-particle":"","family":"Koricheva","given":"Julia","non-dropping-particle":"","parse-names":false,"suffix":""},{"dropping-particle":"","family":"Scherer-Lorenzen","given":"Michael","non-dropping-particle":"","parse-names":false,"suffix":""},{"dropping-particle":"","family":"Verheyen","given":"Kris","non-dropping-particle":"","parse-names":false,"suffix":""},{"dropping-particle":"","family":"Abdala-Roberts","given":"Luis","non-dropping-particle":"","parse-names":false,"suffix":""},{"dropping-particle":"","family":"Auge","given":"Harald","non-dropping-particle":"","parse-names":false,"suffix":""},{"dropping-particle":"","family":"Barsoum","given":"Nadia","non-dropping-particle":"","parse-names":false,"suffix":""},{"dropping-particle":"","family":"Bauhus","given":"Jürgen","non-dropping-particle":"","parse-names":false,"suffix":""},{"dropping-particle":"","family":"Baum","given":"Christel","non-dropping-particle":"","parse-names":false,"suffix":""},{"dropping-particle":"","family":"Bruelheide","given":"Helge","non-dropping-particle":"","parse-names":false,"suffix":""},{"dropping-particle":"","family":"Castagneyrol","given":"Bastien","non-dropping-particle":"","parse-names":false,"suffix":""},{"dropping-particle":"","family":"Cavender-Bares","given":"Jeannine","non-dropping-particle":"","parse-names":false,"suffix":""},{"dropping-particle":"","family":"Eisenhauer","given":"Nico","non-dropping-particle":"","parse-names":false,"suffix":""},{"dropping-particle":"","family":"Ferlian","given":"Olga","non-dropping-particle":"","parse-names":false,"suffix":""},{"dropping-particle":"","family":"Ganade","given":"Gislene","non-dropping-particle":"","parse-names":false,"suffix":""},{"dropping-particle":"","family":"Godbold","given":"Douglas","non-dropping-particle":"","parse-names":false,"suffix":""},{"dropping-particle":"","family":"Gravel","given":"Dominique","non-dropping-particle":"","parse-names":false,"suffix":""},{"dropping-particle":"","family":"Hall","given":"Jefferson","non-dropping-particle":"","parse-names":false,"suffix":""},{"dropping-particle":"","family":"Hobbs","given":"Richard","non-dropping-particle":"","parse-names":false,"suffix":""},{"dropping-particle":"","family":"Hoelscher","given":"Dirk","non-dropping-particle":"","parse-names":false,"suffix":""},{"dropping-particle":"","family":"Hulvey","given":"Kristin B.","non-dropping-particle":"","parse-names":false,"suffix":""},{"dropping-particle":"","family":"Huxham","given":"Mark","non-dropping-particle":"","parse-names":false,"suffix":""},{"dropping-particle":"","family":"Jactel","given":"Hervé","non-dropping-particle":"","parse-names":false,"suffix":""},{"dropping-particle":"","family":"Kreft","given":"Holger","non-dropping-particle":"","parse-names":false,"suffix":""},{"dropping-particle":"","family":"Liang","given":"Jingjing","non-dropping-particle":"","parse-names":false,"suffix":""},{"dropping-particle":"","family":"Mereu","given":"Simone","non-dropping-particle":"","parse-names":false,"suffix":""},{"dropping-particle":"","family":"Messier","given":"Christian","non-dropping-particle":"","parse-names":false,"suffix":""},{"dropping-particle":"","family":"Montgomery","given":"Rebecca","non-dropping-particle":"","parse-names":false,"suffix":""},{"dropping-particle":"","family":"Muys","given":"Bart","non-dropping-particle":"","parse-names":false,"suffix":""},{"dropping-particle":"","family":"Nock","given":"Charles","non-dropping-particle":"","parse-names":false,"suffix":""},{"dropping-particle":"","family":"Parker","given":"John","non-dropping-particle":"","parse-names":false,"suffix":""},{"dropping-particle":"","family":"Parker","given":"William","non-dropping-particle":"","parse-names":false,"suffix":""},{"dropping-particle":"","family":"Parra-Tabla","given":"Victor","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Rewald","given":"Boris","non-dropping-particle":"","parse-names":false,"suffix":""},{"dropping-particle":"","family":"Sandén","given":"Hans","non-dropping-particle":"","parse-names":false,"suffix":""},{"dropping-particle":"","family":"Smith","given":"Andy","non-dropping-particle":"","parse-names":false,"suffix":""},{"dropping-particle":"","family":"Standish","given":"Rachel","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Clara","non-dropping-particle":"","parse-names":false,"suffix":""}],"container-title":"Nature Ecology and Evolution","id":"ITEM-2","issue":"5","issued":{"date-parts":[["2018"]]},"page":"763-766","title":"A million and more trees for science","type":"article-journal","volume":"2"},"uris":["http://www.mendeley.com/documents/?uuid=63cbad0f-066c-4011-8f5c-47ccdf27911a"]}],"mendeley":{"formattedCitation":"(Paquette et al., 2018; Verheyen et al., 2016)","plainTextFormattedCitation":"(Paquette et al., 2018; Verheyen et al., 2016)","previouslyFormattedCitation":"(Verheyen et al., 2016; Paquette et al., 2018)"},"properties":{"noteIndex":0},"schema":"https://github.com/citation-style-language/schema/raw/master/csl-citation.json"}</w:instrText>
      </w:r>
      <w:r w:rsidRPr="00DA5AE2">
        <w:fldChar w:fldCharType="separate"/>
      </w:r>
      <w:r w:rsidR="00F14052" w:rsidRPr="00F14052">
        <w:rPr>
          <w:noProof/>
        </w:rPr>
        <w:t>(Paquette et al., 2018; Verheyen et al., 2016)</w:t>
      </w:r>
      <w:r w:rsidRPr="00DA5AE2">
        <w:fldChar w:fldCharType="end"/>
      </w:r>
      <w:r w:rsidR="00F23D30" w:rsidRPr="00DA5AE2">
        <w:t xml:space="preserve">. </w:t>
      </w:r>
      <w:r w:rsidRPr="00DA5AE2">
        <w:t>We gathered data on sapling survival from TreeDivNet</w:t>
      </w:r>
      <w:r w:rsidR="001E2C29" w:rsidRPr="00DA5AE2">
        <w:t xml:space="preserve"> for</w:t>
      </w:r>
      <w:r w:rsidRPr="00DA5AE2">
        <w:t xml:space="preserve"> over 350 000 trees</w:t>
      </w:r>
      <w:r w:rsidR="00D847A1" w:rsidRPr="00DA5AE2">
        <w:t xml:space="preserve"> from</w:t>
      </w:r>
      <w:r w:rsidRPr="00DA5AE2">
        <w:t xml:space="preserve"> 34 sites </w:t>
      </w:r>
      <w:r w:rsidR="00D847A1" w:rsidRPr="00DA5AE2">
        <w:t xml:space="preserve">located </w:t>
      </w:r>
      <w:r w:rsidRPr="00DA5AE2">
        <w:t>in boreal, temperate, Mediterranean and tropical biomes. In these experiments, trees were planted in various plot-based designs, but always includ</w:t>
      </w:r>
      <w:r w:rsidR="00AD0B04" w:rsidRPr="00DA5AE2">
        <w:t>ed</w:t>
      </w:r>
      <w:r w:rsidRPr="00DA5AE2">
        <w:t xml:space="preserve"> monocultures and mixtures of two or more species. Species pools for each experiment varied and generally consisted of native species adapted to local growing conditions (Supplementary Metadata M1). For this analysis, we compiled survival data from all diversity levels within experiments at an early stage of development and </w:t>
      </w:r>
      <w:r w:rsidR="00F802D6" w:rsidRPr="00DA5AE2">
        <w:t xml:space="preserve">excluded </w:t>
      </w:r>
      <w:r w:rsidRPr="00DA5AE2">
        <w:t>plots with treatments other than diversity (</w:t>
      </w:r>
      <w:r w:rsidR="001B16B2" w:rsidRPr="00DA5AE2">
        <w:t>e.g.,</w:t>
      </w:r>
      <w:r w:rsidRPr="00DA5AE2">
        <w:t xml:space="preserve"> water addition, fertilization, …)</w:t>
      </w:r>
      <w:r w:rsidR="007A63AF" w:rsidRPr="00DA5AE2">
        <w:t xml:space="preserve"> to avoid</w:t>
      </w:r>
      <w:r w:rsidR="005E102A" w:rsidRPr="00DA5AE2">
        <w:t xml:space="preserve"> confounding between experiments</w:t>
      </w:r>
      <w:r w:rsidRPr="00DA5AE2">
        <w:t>.</w:t>
      </w:r>
    </w:p>
    <w:p w14:paraId="29B25C29" w14:textId="77777777" w:rsidR="00B26A2C" w:rsidRPr="00DA5AE2" w:rsidRDefault="007F6878">
      <w:pPr>
        <w:pStyle w:val="Caption"/>
        <w:jc w:val="both"/>
      </w:pPr>
      <w:r w:rsidRPr="00DA5AE2">
        <w:rPr>
          <w:noProof/>
        </w:rPr>
        <w:lastRenderedPageBreak/>
        <w:drawing>
          <wp:inline distT="0" distB="5715" distL="0" distR="2540" wp14:anchorId="316E06D4" wp14:editId="6508C2BD">
            <wp:extent cx="5731510" cy="311848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3"/>
                    <a:stretch>
                      <a:fillRect/>
                    </a:stretch>
                  </pic:blipFill>
                  <pic:spPr bwMode="auto">
                    <a:xfrm>
                      <a:off x="0" y="0"/>
                      <a:ext cx="5731510" cy="3118485"/>
                    </a:xfrm>
                    <a:prstGeom prst="rect">
                      <a:avLst/>
                    </a:prstGeom>
                  </pic:spPr>
                </pic:pic>
              </a:graphicData>
            </a:graphic>
          </wp:inline>
        </w:drawing>
      </w:r>
    </w:p>
    <w:p w14:paraId="3A866856" w14:textId="126386F8" w:rsidR="00B26A2C" w:rsidRPr="00DA5AE2" w:rsidRDefault="007F6878">
      <w:pPr>
        <w:pStyle w:val="Caption"/>
      </w:pPr>
      <w:bookmarkStart w:id="20" w:name="_Ref106823484"/>
      <w:r w:rsidRPr="00DA5AE2">
        <w:t xml:space="preserve">Fig. </w:t>
      </w:r>
      <w:r w:rsidRPr="00DA5AE2">
        <w:fldChar w:fldCharType="begin"/>
      </w:r>
      <w:r w:rsidRPr="00DA5AE2">
        <w:instrText>SEQ Figure \* ARABIC</w:instrText>
      </w:r>
      <w:r w:rsidRPr="00DA5AE2">
        <w:fldChar w:fldCharType="separate"/>
      </w:r>
      <w:r w:rsidR="00B31598" w:rsidRPr="00DA5AE2">
        <w:rPr>
          <w:noProof/>
        </w:rPr>
        <w:t>1</w:t>
      </w:r>
      <w:r w:rsidRPr="00DA5AE2">
        <w:fldChar w:fldCharType="end"/>
      </w:r>
      <w:bookmarkEnd w:id="20"/>
      <w:r w:rsidRPr="00DA5AE2">
        <w:t xml:space="preserve">| </w:t>
      </w:r>
      <w:r w:rsidR="00D961EF" w:rsidRPr="00DA5AE2">
        <w:t>Experiment l</w:t>
      </w:r>
      <w:r w:rsidRPr="00DA5AE2">
        <w:t xml:space="preserve">ocation and comparative drought severity of 34 sites in TreeDivNet. </w:t>
      </w:r>
      <w:r w:rsidR="00D961EF" w:rsidRPr="00DA5AE2">
        <w:t>The d</w:t>
      </w:r>
      <w:r w:rsidRPr="00DA5AE2">
        <w:t xml:space="preserve">rought severity of the driest growing season between planting and survival sampling is shown here using the </w:t>
      </w:r>
      <w:r w:rsidR="009702C6" w:rsidRPr="00DA5AE2">
        <w:t xml:space="preserve">standardized </w:t>
      </w:r>
      <w:r w:rsidR="00900705" w:rsidRPr="00DA5AE2">
        <w:t>precipitation</w:t>
      </w:r>
      <w:r w:rsidRPr="00DA5AE2">
        <w:t>-</w:t>
      </w:r>
      <w:r w:rsidR="00900705" w:rsidRPr="00DA5AE2">
        <w:t xml:space="preserve">evapotranspiration </w:t>
      </w:r>
      <w:r w:rsidRPr="00DA5AE2">
        <w:t xml:space="preserve">index. </w:t>
      </w:r>
    </w:p>
    <w:p w14:paraId="515D841B" w14:textId="77777777" w:rsidR="00B26A2C" w:rsidRPr="00DA5AE2" w:rsidRDefault="007F6878">
      <w:pPr>
        <w:pStyle w:val="Heading3"/>
      </w:pPr>
      <w:r w:rsidRPr="00DA5AE2">
        <w:t>Tree survival data</w:t>
      </w:r>
    </w:p>
    <w:p w14:paraId="0BA1E9FC" w14:textId="3E0C1F65" w:rsidR="00B26A2C" w:rsidRPr="00DA5AE2" w:rsidRDefault="007F6878">
      <w:pPr>
        <w:jc w:val="both"/>
      </w:pPr>
      <w:r w:rsidRPr="00DA5AE2">
        <w:t xml:space="preserve">We </w:t>
      </w:r>
      <w:r w:rsidR="0020547F" w:rsidRPr="00DA5AE2">
        <w:t xml:space="preserve">attempted </w:t>
      </w:r>
      <w:r w:rsidRPr="00DA5AE2">
        <w:t xml:space="preserve">to include </w:t>
      </w:r>
      <w:r w:rsidR="0020547F" w:rsidRPr="00DA5AE2">
        <w:t>survival data</w:t>
      </w:r>
      <w:r w:rsidR="00C16DAC" w:rsidRPr="00DA5AE2">
        <w:t xml:space="preserve"> from</w:t>
      </w:r>
      <w:r w:rsidRPr="00DA5AE2">
        <w:t xml:space="preserve"> each site around year three after planting</w:t>
      </w:r>
      <w:r w:rsidR="00135AD2" w:rsidRPr="00DA5AE2">
        <w:t>,</w:t>
      </w:r>
      <w:r w:rsidR="00F8722D" w:rsidRPr="00DA5AE2">
        <w:t xml:space="preserve"> to</w:t>
      </w:r>
      <w:r w:rsidRPr="00DA5AE2">
        <w:t xml:space="preserve"> provide a balance between data availability and comparability among sites. As not all sites provided </w:t>
      </w:r>
      <w:r w:rsidR="005F7E21" w:rsidRPr="00DA5AE2">
        <w:t>data</w:t>
      </w:r>
      <w:r w:rsidRPr="00DA5AE2">
        <w:t xml:space="preserve"> </w:t>
      </w:r>
      <w:r w:rsidR="005F7E21" w:rsidRPr="00DA5AE2">
        <w:t xml:space="preserve">for </w:t>
      </w:r>
      <w:r w:rsidRPr="00DA5AE2">
        <w:t xml:space="preserve">year three, we </w:t>
      </w:r>
      <w:r w:rsidR="005F7E21" w:rsidRPr="00DA5AE2">
        <w:t>used</w:t>
      </w:r>
      <w:r w:rsidRPr="00DA5AE2">
        <w:t xml:space="preserve"> survival </w:t>
      </w:r>
      <w:r w:rsidR="00B3492D" w:rsidRPr="00DA5AE2">
        <w:t xml:space="preserve">data </w:t>
      </w:r>
      <w:r w:rsidR="00675BA0" w:rsidRPr="00DA5AE2">
        <w:t xml:space="preserve">of saplings and seedlings </w:t>
      </w:r>
      <w:r w:rsidR="00B3492D" w:rsidRPr="00DA5AE2">
        <w:t xml:space="preserve">for </w:t>
      </w:r>
      <w:r w:rsidRPr="00DA5AE2">
        <w:t>between two (</w:t>
      </w:r>
      <w:proofErr w:type="gramStart"/>
      <w:r w:rsidRPr="00DA5AE2">
        <w:t>i.e.</w:t>
      </w:r>
      <w:proofErr w:type="gramEnd"/>
      <w:r w:rsidRPr="00DA5AE2">
        <w:t xml:space="preserve"> after two entire growing seasons) and five years after planting (Supplementary Metadata M2). This allowed</w:t>
      </w:r>
      <w:r w:rsidR="00336E2F" w:rsidRPr="00DA5AE2">
        <w:t xml:space="preserve"> us to capture the effects of</w:t>
      </w:r>
      <w:r w:rsidRPr="00DA5AE2">
        <w:t xml:space="preserve"> site-specific drought events within multiple growing seasons. The first growing season was not included in </w:t>
      </w:r>
      <w:r w:rsidR="009414A5" w:rsidRPr="00DA5AE2">
        <w:t xml:space="preserve">the </w:t>
      </w:r>
      <w:r w:rsidRPr="00DA5AE2">
        <w:t xml:space="preserve">analysis </w:t>
      </w:r>
      <w:r w:rsidR="00BF3AC3" w:rsidRPr="00DA5AE2">
        <w:t xml:space="preserve">to </w:t>
      </w:r>
      <w:r w:rsidR="00995D4D" w:rsidRPr="00DA5AE2">
        <w:t>minimize</w:t>
      </w:r>
      <w:r w:rsidR="00AB32ED" w:rsidRPr="00DA5AE2">
        <w:t xml:space="preserve"> </w:t>
      </w:r>
      <w:r w:rsidR="00995D4D" w:rsidRPr="00DA5AE2">
        <w:t xml:space="preserve">any </w:t>
      </w:r>
      <w:r w:rsidR="00AB32ED" w:rsidRPr="00DA5AE2">
        <w:t>nursery and management effects on</w:t>
      </w:r>
      <w:r w:rsidRPr="00DA5AE2">
        <w:t xml:space="preserve"> </w:t>
      </w:r>
      <w:r w:rsidR="00995D4D" w:rsidRPr="00DA5AE2">
        <w:t xml:space="preserve">initial </w:t>
      </w:r>
      <w:r w:rsidRPr="00DA5AE2">
        <w:t xml:space="preserve">establishment. The upper end of the </w:t>
      </w:r>
      <w:r w:rsidR="00AF39AB" w:rsidRPr="00DA5AE2">
        <w:t>sampling period</w:t>
      </w:r>
      <w:r w:rsidRPr="00DA5AE2">
        <w:t xml:space="preserve"> was set at five years after planting to avoid the </w:t>
      </w:r>
      <w:r w:rsidR="00CA474E" w:rsidRPr="00DA5AE2">
        <w:t xml:space="preserve">potential </w:t>
      </w:r>
      <w:r w:rsidR="00AF39AB" w:rsidRPr="00DA5AE2">
        <w:t>effects of</w:t>
      </w:r>
      <w:r w:rsidRPr="00DA5AE2">
        <w:t xml:space="preserve"> crown closure </w:t>
      </w:r>
      <w:r w:rsidR="00F869E3" w:rsidRPr="00DA5AE2">
        <w:t>and light</w:t>
      </w:r>
      <w:r w:rsidR="00E005D5" w:rsidRPr="00DA5AE2">
        <w:t xml:space="preserve"> </w:t>
      </w:r>
      <w:r w:rsidRPr="00DA5AE2">
        <w:t>limit</w:t>
      </w:r>
      <w:r w:rsidR="00F869E3" w:rsidRPr="00DA5AE2">
        <w:t>at</w:t>
      </w:r>
      <w:r w:rsidRPr="00DA5AE2">
        <w:t>i</w:t>
      </w:r>
      <w:r w:rsidR="00F869E3" w:rsidRPr="00DA5AE2">
        <w:t>on</w:t>
      </w:r>
      <w:r w:rsidR="00E005D5" w:rsidRPr="00DA5AE2">
        <w:t xml:space="preserve"> </w:t>
      </w:r>
      <w:r w:rsidR="00CA474E" w:rsidRPr="00DA5AE2">
        <w:t>on</w:t>
      </w:r>
      <w:r w:rsidRPr="00DA5AE2">
        <w:t xml:space="preserve"> tree performance and survival</w:t>
      </w:r>
      <w:r w:rsidR="00C66F58" w:rsidRPr="00DA5AE2">
        <w:t xml:space="preserve">. </w:t>
      </w:r>
      <w:r w:rsidRPr="00DA5AE2">
        <w:t>While crown interactions may generally be limited</w:t>
      </w:r>
      <w:r w:rsidR="004B54B5" w:rsidRPr="00DA5AE2">
        <w:t xml:space="preserve"> (given the age of the saplings), whether </w:t>
      </w:r>
      <w:r w:rsidR="00F80C4B" w:rsidRPr="00DA5AE2">
        <w:t>significant</w:t>
      </w:r>
      <w:r w:rsidR="004B54B5" w:rsidRPr="00DA5AE2">
        <w:t xml:space="preserve"> root interactions are present will depend on the planting density </w:t>
      </w:r>
      <w:r w:rsidRPr="00DA5AE2">
        <w:t xml:space="preserve">in the site, growth rates of the included species and the climate system </w:t>
      </w:r>
      <w:r w:rsidRPr="00DA5AE2">
        <w:fldChar w:fldCharType="begin" w:fldLock="1"/>
      </w:r>
      <w:r w:rsidRPr="00DA5AE2">
        <w:instrText>ADDIN CSL_CITATION {"citationItems":[{"id":"ITEM-1","itemData":{"DOI":"10.1371/journal.pone.0185934","ISBN":"1111111111","ISSN":"19326203","PMID":"29023553","abstract":"The potential benefits of planting trees have generated significant interest with respect to sequestering carbon and restoring other forest based ecosystem services. Reliable estimates of carbon stocks are pivotal for understanding the global carbon balance and for promoting initiatives to mitigate CO2 emissions through forest management. There are numerous studies employing allometric regression models that convert inventory into aboveground biomass (AGB) and carbon (C). Yet the majority of allometric regression models do not consider the root system nor do these equations provide detail on the architecture and shape of different species. The root system is a vital piece toward understanding the hidden form and function roots play in carbon accumulation, nutrient and plant water uptake, and groundwater infiltration. Work that estimates C in forests as well as models that are used to better understand the hydrologic function of trees need better characterization of tree roots. We harvested 40 trees of six different species, including their roots down to 2 mm in diameter and created species-specific and multi-species models to calculate aboveground (AGB), coarse root belowground biomass (BGB), and total biomass (TB). We also explore the relationship between crown structure and root structure. We found that BGB contributes ~27.6% of a tree’s TB, lateral roots extend over 1.25 times the distance of crown extent, root allocation patterns varied among species, and that AGB is a strong predictor of TB. These findings highlight the potential importance of including the root system in C estimates and lend important insights into the function roots play in water cycling.","author":[{"dropping-particle":"","family":"Sinacore","given":"Katherine","non-dropping-particle":"","parse-names":false,"suffix":""},{"dropping-particle":"","family":"Hall","given":"Jefferson Scott","non-dropping-particle":"","parse-names":false,"suffix":""},{"dropping-particle":"","family":"Potvin","given":"Catherine","non-dropping-particle":"","parse-names":false,"suffix":""},{"dropping-particle":"","family":"Royo","given":"Alejandro A.","non-dropping-particle":"","parse-names":false,"suffix":""},{"dropping-particle":"","family":"Ducey","given":"Mark J.","non-dropping-particle":"","parse-names":false,"suffix":""},{"dropping-particle":"","family":"Ashton","given":"Mark S.","non-dropping-particle":"","parse-names":false,"suffix":""}],"container-title":"PLoS ONE","id":"ITEM-1","issue":"10","issued":{"date-parts":[["2017"]]},"page":"1-22","title":"Unearthing the hidden world of roots: Root biomass and architecture differ among species within the same guild","type":"article-journal","volume":"12"},"uris":["http://www.mendeley.com/documents/?uuid=82b94454-9311-4421-b4dd-73b716d74669"]},{"id":"ITEM-2","itemData":{"DOI":"10.1016/j.foreco.2017.12.001","ISSN":"03781127","abstract":"Reforestation with multiple tree species is a promoted strategy to mitigate global change and to improve forest resistance against natural hazards. Dryland reforestation often fails because seedlings suffer from harsh conditions in degraded areas. Positive species interactions can overcome recruitment drawbacks by ameliorating environmental stress, but there is a strong need to advance functional insights from well-designed experiments. We studied the vitality of 19,712 tree seedlings from 12 species in a Mediterranean common garden experiment (Sardinia). Vitality was assessed as an integrated index of foliage discoloration and defoliation measures, which are in dry areas potential indicators of early plant performance. The experimental design properly replicated all monocultures and a selection of mixed communities with different levels of species richness (SR) and functional diversity (FD). From the second year onwards, a water availability treatment (irrigated versus non-irrigated) was added to the design. In the second year, seedling vitality was strongly determined by species identity and irrigation, but ecological interactions between trees were not relevant. In the third year, however, broad-leaved species were significantly more vigorous in mixed assemblages. Importantly, FD was identified as a seven times stronger predictor compared to SR. This suggests that a certain degree of trait diversification is essential to benefit from facilitative interactions. The positive FD effects were principally mediated by the presence of pines (P. pinea, P. pinaster and P. halepensis) in the neighborhood of broad-leaved trees. The latter had, on average, a 23% greater likelihood to have the highest vitality score in mixture with pines. The creation of a favorable physical and biotic neighborhood by pines is likely caused by their fast juvenile growth and adequate crown light transmission. FD effects on seedling vitality were positive, but contrary to the stress-gradient hypothesis, they were of similar magnitude in both irrigated and non-irrigated blocks. We conclude that local neighborhood facilitation provides essential assistance for broad-leaved trees passing a critical seedling stage in semi-arid regions. This knowledge can contribute to increased success rates in forest rehabilitation in these regions.","author":[{"dropping-particle":"","family":"Peer","given":"Thomas","non-dropping-particle":"Van de","parse-names":false,"suffix":""},{"dropping-particle":"","family":"Mereu","given":"Simone","non-dropping-particle":"","parse-names":false,"suffix":""},{"dropping-particle":"","family":"Verheyen","given":"Kris","non-dropping-particle":"","parse-names":false,"suffix":""},{"dropping-particle":"","family":"María Costa Saura","given":"José","non-dropping-particle":"","parse-names":false,"suffix":""},{"dropping-particle":"","family":"Morillas","given":"Lourdes","non-dropping-particle":"","parse-names":false,"suffix":""},{"dropping-particle":"","family":"Roales","given":"Javier","non-dropping-particle":"","parse-names":false,"suffix":""},{"dropping-particle":"","family":"Cascio","given":"Mauro","non-dropping-particle":"Lo","parse-names":false,"suffix":""},{"dropping-particle":"","family":"Spano","given":"Donatella","non-dropping-particle":"","parse-names":false,"suffix":""},{"dropping-particle":"","family":"Paquette","given":"Alain","non-dropping-particle":"","parse-names":false,"suffix":""},{"dropping-particle":"","family":"Muys","given":"Bart","non-dropping-particle":"","parse-names":false,"suffix":""}],"container-title":"Forest Ecology and Management","id":"ITEM-2","issue":"November 2017","issued":{"date-parts":[["2018"]]},"page":"614-633","publisher":"Elsevier","title":"Tree seedling vitality improves with functional diversity in a Mediterranean common garden experiment","type":"article-journal","volume":"409"},"uris":["http://www.mendeley.com/documents/?uuid=85edda83-54ec-48dd-98f3-9e4468f385b4"]}],"mendeley":{"formattedCitation":"(Sinacore et al., 2017; Van de Peer et al., 2018)","plainTextFormattedCitation":"(Sinacore et al., 2017; Van de Peer et al., 2018)","previouslyFormattedCitation":"(Sinacore et al., 2017; Van de Peer et al., 2018)"},"properties":{"noteIndex":0},"schema":"https://github.com/citation-style-language/schema/raw/master/csl-citation.json"}</w:instrText>
      </w:r>
      <w:r w:rsidRPr="00DA5AE2">
        <w:fldChar w:fldCharType="separate"/>
      </w:r>
      <w:bookmarkStart w:id="21" w:name="Bookmark19"/>
      <w:r w:rsidRPr="00DA5AE2">
        <w:rPr>
          <w:noProof/>
        </w:rPr>
        <w:t>(Sinacore et al., 2017; Van de Peer et al., 2018)</w:t>
      </w:r>
      <w:r w:rsidRPr="00DA5AE2">
        <w:fldChar w:fldCharType="end"/>
      </w:r>
      <w:bookmarkEnd w:id="21"/>
      <w:r w:rsidRPr="00DA5AE2">
        <w:t xml:space="preserve">. Each experimental site provided survival data for a single year (median: year three), </w:t>
      </w:r>
      <w:r w:rsidR="00B7662E" w:rsidRPr="00DA5AE2">
        <w:t>yieldin</w:t>
      </w:r>
      <w:r w:rsidR="009F2CAC" w:rsidRPr="00DA5AE2">
        <w:t>g</w:t>
      </w:r>
      <w:r w:rsidR="00B7662E" w:rsidRPr="00DA5AE2">
        <w:t xml:space="preserve"> </w:t>
      </w:r>
      <w:r w:rsidRPr="00DA5AE2">
        <w:t xml:space="preserve">data from 363 167 saplings representing 167 tree species collected </w:t>
      </w:r>
      <w:r w:rsidR="009F2CAC" w:rsidRPr="00DA5AE2">
        <w:t xml:space="preserve">from </w:t>
      </w:r>
      <w:r w:rsidRPr="00DA5AE2">
        <w:t>3744 plots, 34 sites</w:t>
      </w:r>
      <w:r w:rsidR="00E005D5" w:rsidRPr="00DA5AE2">
        <w:t>,</w:t>
      </w:r>
      <w:r w:rsidRPr="00DA5AE2">
        <w:t xml:space="preserve"> and seven biomes (</w:t>
      </w:r>
      <w:r w:rsidRPr="00DA5AE2">
        <w:fldChar w:fldCharType="begin"/>
      </w:r>
      <w:r w:rsidRPr="00DA5AE2">
        <w:instrText>REF _Ref106823484 \h</w:instrText>
      </w:r>
      <w:r w:rsidR="00220BF3" w:rsidRPr="00DA5AE2">
        <w:instrText xml:space="preserve"> \* MERGEFORMAT </w:instrText>
      </w:r>
      <w:r w:rsidRPr="00DA5AE2">
        <w:fldChar w:fldCharType="separate"/>
      </w:r>
      <w:r w:rsidR="00B31598" w:rsidRPr="00DA5AE2">
        <w:t xml:space="preserve">Fig. </w:t>
      </w:r>
      <w:r w:rsidR="00B31598" w:rsidRPr="00DA5AE2">
        <w:rPr>
          <w:noProof/>
        </w:rPr>
        <w:t>1</w:t>
      </w:r>
      <w:r w:rsidRPr="00DA5AE2">
        <w:fldChar w:fldCharType="end"/>
      </w:r>
      <w:r w:rsidRPr="00DA5AE2">
        <w:t>, Supplementary Metadata M1).</w:t>
      </w:r>
    </w:p>
    <w:p w14:paraId="5D9A2AC8" w14:textId="77777777" w:rsidR="00B26A2C" w:rsidRPr="00DA5AE2" w:rsidRDefault="007F6878">
      <w:pPr>
        <w:pStyle w:val="Heading3"/>
        <w:jc w:val="both"/>
      </w:pPr>
      <w:r w:rsidRPr="00DA5AE2">
        <w:t>Climate and drought indices</w:t>
      </w:r>
    </w:p>
    <w:p w14:paraId="7E682A5F" w14:textId="4672C065" w:rsidR="00B26A2C" w:rsidRPr="00DA5AE2" w:rsidRDefault="00915DD6">
      <w:pPr>
        <w:jc w:val="both"/>
      </w:pPr>
      <w:r w:rsidRPr="00DA5AE2">
        <w:t>A meteorological d</w:t>
      </w:r>
      <w:r w:rsidR="007F6878" w:rsidRPr="00DA5AE2">
        <w:t xml:space="preserve">rought is commonly defined as any prolonged period with a meteorological water deficit, relative to the long-term local climatic conditions </w:t>
      </w:r>
      <w:r w:rsidR="007F6878" w:rsidRPr="00DA5AE2">
        <w:fldChar w:fldCharType="begin" w:fldLock="1"/>
      </w:r>
      <w:r w:rsidR="007F6878" w:rsidRPr="00DA5AE2">
        <w:instrText>ADDIN CSL_CITATION {"citationItems":[{"id":"ITEM-1","itemData":{"DOI":"10.1111/gcb.14747","ISSN":"13652486","abstract":"Drought, widely studied as an important driver of ecosystem dynamics, is predicted to increase in frequency and severity globally. To study drought, ecologists must define or at least operationalize what constitutes a drought. How this is accomplished in practice is unclear, particularly given that climatologists have long struggled to agree on definitions of drought, beyond general variants of “an abnormal deficiency of water.” We conducted a literature review of ecological drought studies (564 papers) to assess how ecologists describe and study drought. We found that ecologists characterize drought in a wide variety of ways (reduced precipitation, low soil moisture, reduced streamflow, etc.), but relatively few publications (~32%) explicitly define what are, and are not, drought conditions. More troubling, a surprising number of papers (~30%) simply equated “dry conditions” with “drought” and provided little characterization of the drought conditions studied. For a subset of these, we calculated Standardized Precipitation Evapotranspiration Index values for the reported drought periods. We found that while almost 90% of the studies were conducted under conditions quantifiable as slightly to extremely drier than average, ~50% were within the range of normal climatic variability. We conclude that the current state of the ecological drought literature hinders synthesis and our ability to draw broad ecological inferences because drought is often declared but is not explicitly defined or well characterized. We suggest that future drought publications provide at least one of the following: (a) the climatic context of the drought period based on long-term records; (b) standardized climatic index values; (c) published metrics from drought-monitoring organizations; (d) a quantitative definition of what the authors consider to be drought conditions for their system. With more detailed and consistent quantification of drought conditions, comparisons among studies can be more rigorous, increasing our understanding of the ecological effects of drought.","author":[{"dropping-particle":"","family":"Slette","given":"Ingrid J.","non-dropping-particle":"","parse-names":false,"suffix":""},{"dropping-particle":"","family":"Post","given":"Alison K.","non-dropping-particle":"","parse-names":false,"suffix":""},{"dropping-particle":"","family":"Awad","given":"Mai","non-dropping-particle":"","parse-names":false,"suffix":""},{"dropping-particle":"","family":"Even","given":"Trevor","non-dropping-particle":"","parse-names":false,"suffix":""},{"dropping-particle":"","family":"Punzalan","given":"Arianna","non-dropping-particle":"","parse-names":false,"suffix":""},{"dropping-particle":"","family":"Williams","given":"Sere","non-dropping-particle":"","parse-names":false,"suffix":""},{"dropping-particle":"","family":"Smith","given":"Melinda D.","non-dropping-particle":"","parse-names":false,"suffix":""},{"dropping-particle":"","family":"Knapp","given":"Alan K.","non-dropping-particle":"","parse-names":false,"suffix":""}],"container-title":"Global Change Biology","id":"ITEM-1","issue":"10","issued":{"date-parts":[["2019"]]},"page":"3193-3200","title":"How ecologists define drought, and why we should do better","type":"article-journal","volume":"25"},"uris":["http://www.mendeley.com/documents/?uuid=a1ee1f1d-cd68-4731-9c2e-06c9562456fa"]}],"mendeley":{"formattedCitation":"(Slette et al., 2019)","plainTextFormattedCitation":"(Slette et al., 2019)","previouslyFormattedCitation":"(Slette et al., 2019)"},"properties":{"noteIndex":0},"schema":"https://github.com/citation-style-language/schema/raw/master/csl-citation.json"}</w:instrText>
      </w:r>
      <w:r w:rsidR="007F6878" w:rsidRPr="00DA5AE2">
        <w:fldChar w:fldCharType="separate"/>
      </w:r>
      <w:bookmarkStart w:id="22" w:name="Bookmark20"/>
      <w:r w:rsidR="007F6878" w:rsidRPr="00DA5AE2">
        <w:rPr>
          <w:noProof/>
        </w:rPr>
        <w:t>(Slette et al., 2019)</w:t>
      </w:r>
      <w:r w:rsidR="007F6878" w:rsidRPr="00DA5AE2">
        <w:fldChar w:fldCharType="end"/>
      </w:r>
      <w:bookmarkEnd w:id="22"/>
      <w:r w:rsidR="007F6878" w:rsidRPr="00DA5AE2">
        <w:t xml:space="preserve">. Drought periods can be identified in this way via the </w:t>
      </w:r>
      <w:r w:rsidR="006C1D00" w:rsidRPr="00DA5AE2">
        <w:t xml:space="preserve">standardized precipitation evapotranspiration index </w:t>
      </w:r>
      <w:r w:rsidR="007F6878" w:rsidRPr="00DA5AE2">
        <w:t xml:space="preserve">(SPEI). SPEI is </w:t>
      </w:r>
      <w:r w:rsidR="007F6878" w:rsidRPr="00DA5AE2">
        <w:lastRenderedPageBreak/>
        <w:t xml:space="preserve">calculated from the local monthly climatic water balance (precipitation minus potential evapotranspiration) over a selected time window of interest, with its deviation from the long-term mean expressed as a standardized Gaussian variable with a mean of zero and a standard deviation of one </w:t>
      </w:r>
      <w:r w:rsidR="007F6878" w:rsidRPr="00DA5AE2">
        <w:fldChar w:fldCharType="begin" w:fldLock="1"/>
      </w:r>
      <w:r w:rsidR="00F14052">
        <w:instrText>ADDIN CSL_CITATION {"citationItems":[{"id":"ITEM-1","itemData":{"DOI":"10.1002/joc.3887","ISSN":"10970088","abstract":"The standardized precipitation evapotranspiration index (SPEI) was developed in 2010 and has been used in an increasing number of climatology and hydrology studies. The objective of this article is to describe computing options that provide flexible and robust use of the SPEI. In particular, we present methods for estimating the parameters of the log-logistic distribution for obtaining standardized values, methods for computing reference evapotranspiration (ET0), and weighting kernels used for calculation of the SPEI at different time scales. We discuss the use of alternative ET0 and actual evapotranspiration (ETa) methods and different options on the resulting SPEI series by use of observational and global gridded data. The results indicate that the equation used to calculate ET0 can have a significant effect on the SPEI in some regions of the world. Although the original formulation of the SPEI was based on plotting-positions Probability Weighted Moment (PWM), we now recommend use of unbiased PWM for model fitting. Finally, we present new software tools for computation and analysis of SPEI series, an updated global gridded database, and a real-time drought-monitoring system. © 2013 Royal Meteorological Society.","author":[{"dropping-particle":"","family":"Beguería","given":"Santiago","non-dropping-particle":"","parse-names":false,"suffix":""},{"dropping-particle":"","family":"Vicente-Serrano","given":"Sergio M.","non-dropping-particle":"","parse-names":false,"suffix":""},{"dropping-particle":"","family":"Reig","given":"Fergus","non-dropping-particle":"","parse-names":false,"suffix":""},{"dropping-particle":"","family":"Latorre","given":"Borja","non-dropping-particle":"","parse-names":false,"suffix":""}],"container-title":"International Journal of Climatology","id":"ITEM-1","issue":"10","issued":{"date-parts":[["2014"]]},"page":"3001-3023","title":"Standardized precipitation evapotranspiration index (SPEI) revisited: Parameter fitting, evapotranspiration models, tools, datasets and drought monitoring","type":"article-journal","volume":"34"},"uris":["http://www.mendeley.com/documents/?uuid=04b92348-6ea3-4e97-87cd-b70c11f9c19c"]},{"id":"ITEM-2","itemData":{"DOI":"10.1175/2009JCLI2909.1","ISSN":"08948755","abstract":"The authors propose a new climatic drought index: the standardized precipitation evapotranspiration index (SPEI). The SPEI is based on precipitation and temperature data, and it has the advantage of combining multiscalar character with the capacity to include the effects of temperature variability on drought assessment. The procedure to calculate the index is detailed and involves a climatic water balance, the accumulation of deficit/surplus at different time scales, and adjustment to a log-logistic probability distribution. Mathematically, the SPEI is similar to the standardized precipitation index (SPI), but it includes the role of temperature. Because the SPEI is based on a water balance, it can be compared to the self-calibrated Palmer drought severity index (sc-PDSI). Time series of the three indices were compared for a set of observatories with different climate characteristics, located in different parts of the world. Under global warming conditions, only the sc-PDSI and SPEI identified an increase in drought severity associated with higher water demand as a result of evapotranspiration. Relative to the sc-PDSI, the SPEI has the advantage of being multiscalar, which is crucial for drought analysis and monitoring. © 2010 American Meteorological Society.","author":[{"dropping-particle":"","family":"Vicente-Serrano","given":"Sergio M.","non-dropping-particle":"","parse-names":false,"suffix":""},{"dropping-particle":"","family":"Beguería","given":"Santiago","non-dropping-particle":"","parse-names":false,"suffix":""},{"dropping-particle":"","family":"López-Moreno","given":"Juan I.","non-dropping-particle":"","parse-names":false,"suffix":""}],"container-title":"Journal of Climate","id":"ITEM-2","issue":"7","issued":{"date-parts":[["2010"]]},"page":"1696-1718","title":"A multiscalar drought index sensitive to global warming: The standardized precipitation evapotranspiration index","type":"article-journal","volume":"23"},"uris":["http://www.mendeley.com/documents/?uuid=d8260d7a-66bc-4fc5-9546-58739ed5ff73"]}],"mendeley":{"formattedCitation":"(Beguería, Vicente-Serrano, Reig, &amp; Latorre, 2014; Vicente-Serrano, Beguería, &amp; López-Moreno, 2010)","plainTextFormattedCitation":"(Beguería, Vicente-Serrano, Reig, &amp; Latorre, 2014; Vicente-Serrano, Beguería, &amp; López-Moreno, 2010)","previouslyFormattedCitation":"(Vicente-Serrano, Beguería, &amp; López-Moreno, 2010; Beguería, Vicente-Serrano, Reig, &amp; Latorre, 2014)"},"properties":{"noteIndex":0},"schema":"https://github.com/citation-style-language/schema/raw/master/csl-citation.json"}</w:instrText>
      </w:r>
      <w:r w:rsidR="007F6878" w:rsidRPr="00DA5AE2">
        <w:fldChar w:fldCharType="separate"/>
      </w:r>
      <w:bookmarkStart w:id="23" w:name="Bookmark21"/>
      <w:r w:rsidR="00F14052" w:rsidRPr="00F14052">
        <w:rPr>
          <w:noProof/>
        </w:rPr>
        <w:t>(Beguería, Vicente-Serrano, Reig, &amp; Latorre, 2014; Vicente-Serrano, Beguería, &amp; López-Moreno, 2010)</w:t>
      </w:r>
      <w:r w:rsidR="007F6878" w:rsidRPr="00DA5AE2">
        <w:fldChar w:fldCharType="end"/>
      </w:r>
      <w:bookmarkEnd w:id="23"/>
      <w:r w:rsidR="007F6878" w:rsidRPr="00DA5AE2">
        <w:t xml:space="preserve">. As such, drought </w:t>
      </w:r>
      <w:r w:rsidR="00D828B9" w:rsidRPr="00DA5AE2">
        <w:t xml:space="preserve">severity </w:t>
      </w:r>
      <w:r w:rsidR="007F6878" w:rsidRPr="00DA5AE2">
        <w:t xml:space="preserve">quantified via SPEI disregards soil moisture or inherent climatic aridity. Instead, SPEI can identify dry periods with abnormal climatic </w:t>
      </w:r>
      <w:r w:rsidR="00330DA5" w:rsidRPr="00DA5AE2">
        <w:t xml:space="preserve">precipitation </w:t>
      </w:r>
      <w:r w:rsidR="007F6878" w:rsidRPr="00DA5AE2">
        <w:t xml:space="preserve">deficit for a given location and climate system </w:t>
      </w:r>
      <w:r w:rsidR="007F6878" w:rsidRPr="00DA5AE2">
        <w:fldChar w:fldCharType="begin" w:fldLock="1"/>
      </w:r>
      <w:r w:rsidR="007F6878" w:rsidRPr="00DA5AE2">
        <w:instrText>ADDIN CSL_CITATION {"citationItems":[{"id":"ITEM-1","itemData":{"DOI":"10.1111/gcb.14747","ISSN":"13652486","abstract":"Drought, widely studied as an important driver of ecosystem dynamics, is predicted to increase in frequency and severity globally. To study drought, ecologists must define or at least operationalize what constitutes a drought. How this is accomplished in practice is unclear, particularly given that climatologists have long struggled to agree on definitions of drought, beyond general variants of “an abnormal deficiency of water.” We conducted a literature review of ecological drought studies (564 papers) to assess how ecologists describe and study drought. We found that ecologists characterize drought in a wide variety of ways (reduced precipitation, low soil moisture, reduced streamflow, etc.), but relatively few publications (~32%) explicitly define what are, and are not, drought conditions. More troubling, a surprising number of papers (~30%) simply equated “dry conditions” with “drought” and provided little characterization of the drought conditions studied. For a subset of these, we calculated Standardized Precipitation Evapotranspiration Index values for the reported drought periods. We found that while almost 90% of the studies were conducted under conditions quantifiable as slightly to extremely drier than average, ~50% were within the range of normal climatic variability. We conclude that the current state of the ecological drought literature hinders synthesis and our ability to draw broad ecological inferences because drought is often declared but is not explicitly defined or well characterized. We suggest that future drought publications provide at least one of the following: (a) the climatic context of the drought period based on long-term records; (b) standardized climatic index values; (c) published metrics from drought-monitoring organizations; (d) a quantitative definition of what the authors consider to be drought conditions for their system. With more detailed and consistent quantification of drought conditions, comparisons among studies can be more rigorous, increasing our understanding of the ecological effects of drought.","author":[{"dropping-particle":"","family":"Slette","given":"Ingrid J.","non-dropping-particle":"","parse-names":false,"suffix":""},{"dropping-particle":"","family":"Post","given":"Alison K.","non-dropping-particle":"","parse-names":false,"suffix":""},{"dropping-particle":"","family":"Awad","given":"Mai","non-dropping-particle":"","parse-names":false,"suffix":""},{"dropping-particle":"","family":"Even","given":"Trevor","non-dropping-particle":"","parse-names":false,"suffix":""},{"dropping-particle":"","family":"Punzalan","given":"Arianna","non-dropping-particle":"","parse-names":false,"suffix":""},{"dropping-particle":"","family":"Williams","given":"Sere","non-dropping-particle":"","parse-names":false,"suffix":""},{"dropping-particle":"","family":"Smith","given":"Melinda D.","non-dropping-particle":"","parse-names":false,"suffix":""},{"dropping-particle":"","family":"Knapp","given":"Alan K.","non-dropping-particle":"","parse-names":false,"suffix":""}],"container-title":"Global Change Biology","id":"ITEM-1","issue":"10","issued":{"date-parts":[["2019"]]},"page":"3193-3200","title":"How ecologists define drought, and why we should do better","type":"article-journal","volume":"25"},"uris":["http://www.mendeley.com/documents/?uuid=a1ee1f1d-cd68-4731-9c2e-06c9562456fa"]}],"mendeley":{"formattedCitation":"(Slette et al., 2019)","plainTextFormattedCitation":"(Slette et al., 2019)","previouslyFormattedCitation":"(Slette et al., 2019)"},"properties":{"noteIndex":0},"schema":"https://github.com/citation-style-language/schema/raw/master/csl-citation.json"}</w:instrText>
      </w:r>
      <w:r w:rsidR="007F6878" w:rsidRPr="00DA5AE2">
        <w:fldChar w:fldCharType="separate"/>
      </w:r>
      <w:bookmarkStart w:id="24" w:name="Bookmark22"/>
      <w:r w:rsidR="007F6878" w:rsidRPr="00DA5AE2">
        <w:rPr>
          <w:noProof/>
        </w:rPr>
        <w:t>(Slette et al., 2019)</w:t>
      </w:r>
      <w:r w:rsidR="007F6878" w:rsidRPr="00DA5AE2">
        <w:fldChar w:fldCharType="end"/>
      </w:r>
      <w:bookmarkEnd w:id="24"/>
      <w:r w:rsidR="007F6878" w:rsidRPr="00DA5AE2">
        <w:t xml:space="preserve"> </w:t>
      </w:r>
      <w:r w:rsidR="00D828B9" w:rsidRPr="00DA5AE2">
        <w:t xml:space="preserve">that </w:t>
      </w:r>
      <w:r w:rsidR="007F6878" w:rsidRPr="00DA5AE2">
        <w:t xml:space="preserve">can be discretely categorized into four drought classes related to drought severity </w:t>
      </w:r>
      <w:r w:rsidR="007F6878" w:rsidRPr="00DA5AE2">
        <w:fldChar w:fldCharType="begin" w:fldLock="1"/>
      </w:r>
      <w:r w:rsidR="007F6878" w:rsidRPr="00DA5AE2">
        <w:instrText>ADDIN CSL_CITATION {"citationItems":[{"id":"ITEM-1","itemData":{"author":[{"dropping-particle":"","family":"Agnew","given":"C. T.","non-dropping-particle":"","parse-names":false,"suffix":""}],"container-title":"Drought Network News (1994 - 2001)","id":"ITEM-1","issue":"May 2000","issued":{"date-parts":[["2000"]]},"page":"5-12","title":"Using the SPI to Identify Drought","type":"article-journal"},"uris":["http://www.mendeley.com/documents/?uuid=51bad286-6f52-4cb9-91fc-34de09d92b6b"]}],"mendeley":{"formattedCitation":"(Agnew, 2000)","plainTextFormattedCitation":"(Agnew, 2000)","previouslyFormattedCitation":"(Agnew, 2000)"},"properties":{"noteIndex":0},"schema":"https://github.com/citation-style-language/schema/raw/master/csl-citation.json"}</w:instrText>
      </w:r>
      <w:r w:rsidR="007F6878" w:rsidRPr="00DA5AE2">
        <w:fldChar w:fldCharType="separate"/>
      </w:r>
      <w:bookmarkStart w:id="25" w:name="Bookmark23"/>
      <w:r w:rsidR="007F6878" w:rsidRPr="00DA5AE2">
        <w:rPr>
          <w:noProof/>
        </w:rPr>
        <w:t>(Agnew, 2000)</w:t>
      </w:r>
      <w:r w:rsidR="007F6878" w:rsidRPr="00DA5AE2">
        <w:fldChar w:fldCharType="end"/>
      </w:r>
      <w:bookmarkEnd w:id="25"/>
      <w:r w:rsidR="007F6878" w:rsidRPr="00DA5AE2">
        <w:rPr>
          <w:color w:val="000000"/>
          <w:vertAlign w:val="superscript"/>
        </w:rPr>
        <w:t xml:space="preserve"> </w:t>
      </w:r>
      <w:r w:rsidR="007F6878" w:rsidRPr="00DA5AE2">
        <w:fldChar w:fldCharType="begin" w:fldLock="1"/>
      </w:r>
      <w:r w:rsidR="007F6878" w:rsidRPr="00DA5AE2">
        <w:instrText>ADDIN CSL_CITATION {"citationItems":[{"id":"ITEM-1","itemData":{"author":[{"dropping-particle":"","family":"Agnew","given":"C. T.","non-dropping-particle":"","parse-names":false,"suffix":""}],"container-title":"Drought Network News (1994 - 2001)","id":"ITEM-1","issue":"May 2000","issued":{"date-parts":[["2000"]]},"page":"5-12","title":"Using the SPI to Identify Drought","type":"article-journal"},"uris":["http://www.mendeley.com/documents/?uuid=51bad286-6f52-4cb9-91fc-34de09d92b6b","http://www.mendeley.com/documents/?uuid=ad286c5a-7943-4fa5-8763-bccf80e94a52"]},{"id":"ITEM-2","itemData":{"URL":"https://spei.csic.es/map/","author":[{"dropping-particle":"","family":"Beguería","given":"Santiago","non-dropping-particle":"","parse-names":false,"suffix":""},{"dropping-particle":"","family":"Latorre","given":"Borja","non-dropping-particle":"","parse-names":false,"suffix":""},{"dropping-particle":"","family":"Reig","given":"Fergus","non-dropping-particle":"","parse-names":false,"suffix":""},{"dropping-particle":"","family":"Vicente-Serrano","given":"Sergio M.","non-dropping-particle":"","parse-names":false,"suffix":""}],"id":"ITEM-2","issued":{"date-parts":[["2022"]]},"title":"SPEI Global Drought Monitor","type":"webpage"},"uris":["http://www.mendeley.com/documents/?uuid=47a04c63-e8e3-4c73-8ca2-6de7bb19460a","http://www.mendeley.com/documents/?uuid=fafd2086-1e64-4c68-a702-b66899bccf35"]}],"mendeley":{"formattedCitation":"(Agnew, 2000; Beguería, Latorre, Reig, &amp; Vicente-Serrano, 2022)","manualFormatting":"(Fig. 1)","plainTextFormattedCitation":"(Agnew, 2000; Beguería, Latorre, Reig, &amp; Vicente-Serrano, 2022)","previouslyFormattedCitation":"(Agnew, 2000; Beguería, Latorre, Reig, &amp; Vicente-Serrano, 2022)"},"properties":{"noteIndex":0},"schema":"https://github.com/citation-style-language/schema/raw/master/csl-citation.json"}</w:instrText>
      </w:r>
      <w:r w:rsidR="007F6878" w:rsidRPr="00DA5AE2">
        <w:fldChar w:fldCharType="separate"/>
      </w:r>
      <w:bookmarkStart w:id="26" w:name="Bookmark24"/>
      <w:r w:rsidR="007F6878" w:rsidRPr="00DA5AE2">
        <w:rPr>
          <w:noProof/>
        </w:rPr>
        <w:t>(</w:t>
      </w:r>
      <w:r w:rsidR="007F6878" w:rsidRPr="00DA5AE2">
        <w:rPr>
          <w:noProof/>
        </w:rPr>
        <w:fldChar w:fldCharType="begin" w:fldLock="1"/>
      </w:r>
      <w:r w:rsidR="007F6878" w:rsidRPr="00DA5AE2">
        <w:rPr>
          <w:noProof/>
        </w:rPr>
        <w:instrText>REF _Ref106823484 \h</w:instrText>
      </w:r>
      <w:r w:rsidR="00220BF3" w:rsidRPr="00DA5AE2">
        <w:rPr>
          <w:noProof/>
        </w:rPr>
        <w:instrText xml:space="preserve"> \* MERGEFORMAT </w:instrText>
      </w:r>
      <w:r w:rsidR="007F6878" w:rsidRPr="00DA5AE2">
        <w:rPr>
          <w:noProof/>
        </w:rPr>
      </w:r>
      <w:r w:rsidR="007F6878" w:rsidRPr="00DA5AE2">
        <w:rPr>
          <w:noProof/>
        </w:rPr>
        <w:fldChar w:fldCharType="separate"/>
      </w:r>
      <w:r w:rsidR="007F6878" w:rsidRPr="00DA5AE2">
        <w:rPr>
          <w:noProof/>
        </w:rPr>
        <w:t>Fig. 1</w:t>
      </w:r>
      <w:r w:rsidR="007F6878" w:rsidRPr="00DA5AE2">
        <w:rPr>
          <w:noProof/>
        </w:rPr>
        <w:fldChar w:fldCharType="end"/>
      </w:r>
      <w:r w:rsidR="007F6878" w:rsidRPr="00DA5AE2">
        <w:rPr>
          <w:noProof/>
        </w:rPr>
        <w:t>)</w:t>
      </w:r>
      <w:r w:rsidR="007F6878" w:rsidRPr="00DA5AE2">
        <w:fldChar w:fldCharType="end"/>
      </w:r>
      <w:bookmarkEnd w:id="26"/>
      <w:r w:rsidR="007F6878" w:rsidRPr="00DA5AE2">
        <w:t>.</w:t>
      </w:r>
    </w:p>
    <w:p w14:paraId="7D2E780B" w14:textId="35332B23" w:rsidR="00B26A2C" w:rsidRPr="00DA5AE2" w:rsidRDefault="007F6878">
      <w:pPr>
        <w:jc w:val="both"/>
      </w:pPr>
      <w:r w:rsidRPr="00DA5AE2">
        <w:t xml:space="preserve">We calculated SPEI over a 30-year climate period </w:t>
      </w:r>
      <w:r w:rsidR="00F64E50" w:rsidRPr="00DA5AE2">
        <w:t xml:space="preserve">(1991-2021) </w:t>
      </w:r>
      <w:r w:rsidRPr="00DA5AE2">
        <w:t>for each study site to ascertain whether any dry growing seasons occurred within the year of planting and the year of the survival survey. We downloaded the ERA5</w:t>
      </w:r>
      <w:r w:rsidR="00FE0B76" w:rsidRPr="00DA5AE2">
        <w:t>-</w:t>
      </w:r>
      <w:r w:rsidRPr="00DA5AE2">
        <w:t>Land monthly averaged data (1990</w:t>
      </w:r>
      <w:r w:rsidR="00266315" w:rsidRPr="00DA5AE2">
        <w:t>-</w:t>
      </w:r>
      <w:r w:rsidRPr="00DA5AE2">
        <w:t>2021) for total precipitation and potential evaporation at 0.1° x 0.1° or 9 km horizontal resolution for each grid cell that contain</w:t>
      </w:r>
      <w:r w:rsidR="00266315" w:rsidRPr="00DA5AE2">
        <w:t>ed</w:t>
      </w:r>
      <w:r w:rsidRPr="00DA5AE2">
        <w:t xml:space="preserve"> a focal site, as well as air temperature measured at 2m height. To estimate the site-specific length of the growing season, we obtained data on total leaf area index (LAI) from ERA5Land (Fig. S1). We calculated the start and end of the growing season as the first and last month, respectively, with total LAI greater than the annual mean (Supplementary Metadata M1 and Supplementary Information 1.1). For tropical systems with year-round biomass production, this </w:t>
      </w:r>
      <w:r w:rsidR="006D04C2" w:rsidRPr="00DA5AE2">
        <w:t xml:space="preserve">growing season </w:t>
      </w:r>
      <w:r w:rsidRPr="00DA5AE2">
        <w:t xml:space="preserve">period can be interpreted as the period of peak biomass production. SPEI of each site was calculated with the </w:t>
      </w:r>
      <w:r w:rsidRPr="00DA5AE2">
        <w:rPr>
          <w:i/>
          <w:iCs/>
        </w:rPr>
        <w:t>spi</w:t>
      </w:r>
      <w:r w:rsidRPr="00DA5AE2">
        <w:t xml:space="preserve"> function in R </w:t>
      </w:r>
      <w:r w:rsidRPr="00DA5AE2">
        <w:fldChar w:fldCharType="begin" w:fldLock="1"/>
      </w:r>
      <w:r w:rsidRPr="00DA5AE2">
        <w:instrText>ADDIN CSL_CITATION {"citationItems":[{"id":"ITEM-1","itemData":{"author":[{"dropping-particle":"","family":"Beguería","given":"Santiago","non-dropping-particle":"","parse-names":false,"suffix":""},{"dropping-particle":"","family":"Vicente-Serrano","given":"Sergio M.","non-dropping-particle":"","parse-names":false,"suffix":""}],"id":"ITEM-1","issued":{"date-parts":[["2017"]]},"number":"R package version 1.7","title":"SPEI: Calculation of the Standardised Precipitation-Evapotranspiration Index","type":"article"},"uris":["http://www.mendeley.com/documents/?uuid=8e586881-c18f-4d7b-8ed9-8a725b4d8b35"]}],"mendeley":{"formattedCitation":"(Beguería &amp; Vicente-Serrano, 2017)","plainTextFormattedCitation":"(Beguería &amp; Vicente-Serrano, 2017)","previouslyFormattedCitation":"(Beguería &amp; Vicente-Serrano, 2017)"},"properties":{"noteIndex":0},"schema":"https://github.com/citation-style-language/schema/raw/master/csl-citation.json"}</w:instrText>
      </w:r>
      <w:r w:rsidRPr="00DA5AE2">
        <w:fldChar w:fldCharType="separate"/>
      </w:r>
      <w:bookmarkStart w:id="27" w:name="Bookmark25"/>
      <w:r w:rsidRPr="00DA5AE2">
        <w:rPr>
          <w:noProof/>
        </w:rPr>
        <w:t>(Beguería &amp; Vicente-Serrano, 2017)</w:t>
      </w:r>
      <w:r w:rsidRPr="00DA5AE2">
        <w:fldChar w:fldCharType="end"/>
      </w:r>
      <w:bookmarkEnd w:id="27"/>
      <w:r w:rsidRPr="00DA5AE2">
        <w:t xml:space="preserve"> over </w:t>
      </w:r>
      <w:r w:rsidR="00477E31" w:rsidRPr="00DA5AE2">
        <w:t xml:space="preserve">the </w:t>
      </w:r>
      <w:r w:rsidRPr="00DA5AE2">
        <w:t xml:space="preserve">site-specific growing season, i.e. accounting only for drought in the growing season. To estimate drought intensity at each site, we </w:t>
      </w:r>
      <w:r w:rsidR="00477E31" w:rsidRPr="00DA5AE2">
        <w:t xml:space="preserve">used </w:t>
      </w:r>
      <w:r w:rsidRPr="00DA5AE2">
        <w:t xml:space="preserve">the minimum SPEI </w:t>
      </w:r>
      <w:r w:rsidR="0086194A" w:rsidRPr="00DA5AE2">
        <w:t>obser</w:t>
      </w:r>
      <w:r w:rsidR="009349FF" w:rsidRPr="00DA5AE2">
        <w:t xml:space="preserve">ved </w:t>
      </w:r>
      <w:r w:rsidRPr="00DA5AE2">
        <w:t xml:space="preserve">between </w:t>
      </w:r>
      <w:r w:rsidR="009349FF" w:rsidRPr="00DA5AE2">
        <w:t xml:space="preserve">the year of </w:t>
      </w:r>
      <w:r w:rsidRPr="00DA5AE2">
        <w:t xml:space="preserve">planting and the survival survey. </w:t>
      </w:r>
      <w:r w:rsidRPr="00DA5AE2">
        <w:rPr>
          <w:rFonts w:cstheme="minorHAnsi"/>
        </w:rPr>
        <w:t xml:space="preserve">We used the Ecoregions2017 dataset </w:t>
      </w:r>
      <w:r w:rsidR="00467E2D" w:rsidRPr="00DA5AE2">
        <w:rPr>
          <w:rFonts w:cstheme="minorHAnsi"/>
        </w:rPr>
        <w:t xml:space="preserve">of </w:t>
      </w:r>
      <w:r w:rsidRPr="00DA5AE2">
        <w:rPr>
          <w:rFonts w:cstheme="minorHAnsi"/>
        </w:rPr>
        <w:t xml:space="preserve">Dinerstein et al. </w:t>
      </w:r>
      <w:r w:rsidRPr="00DA5AE2">
        <w:fldChar w:fldCharType="begin" w:fldLock="1"/>
      </w:r>
      <w:r w:rsidRPr="00DA5AE2">
        <w:instrText>ADDIN CSL_CITATION {"citationItems":[{"id":"ITEM-1","itemData":{"DOI":"10.1093/biosci/bix014","ISSN":"15253244","abstract":"We assess progress toward the protection of 50% of the terrestrial biosphere to address the species-extinction crisis and conserve a global ecological heritage for future generations. Using a map of Earth's 846 terrestrial ecoregions, we show that 98 ecoregions (12%) exceed Half Protected; 313 ecoregions (37%) fall short of Half Protected but have sufficient unaltered habitat remaining to reach the target; and 207 ecoregions (24%) are in peril, where an average of only 4% of natural habitat remains. We propose a Global Deal for Nature-a companion to the Paris Climate Deal-to promote increased habitat protection and restoration, national- and ecoregion-scale conservation strategies, and the empowerment of indigenous peoples to protect their sovereign lands. The goal of such an accord would be to protect half the terrestrial realm by 2050 to halt the extinction crisis while sustaining human livelihoods.","author":[{"dropping-particle":"","family":"Dinerstein","given":"Eric","non-dropping-particle":"","parse-names":false,"suffix":""},{"dropping-particle":"","family":"Olson","given":"David","non-dropping-particle":"","parse-names":false,"suffix":""},{"dropping-particle":"","family":"Joshi","given":"Anup","non-dropping-particle":"","parse-names":false,"suffix":""},{"dropping-particle":"","family":"Vynne","given":"Carly","non-dropping-particle":"","parse-names":false,"suffix":""},{"dropping-particle":"","family":"Burgess","given":"Neil D.","non-dropping-particle":"","parse-names":false,"suffix":""},{"dropping-particle":"","family":"Wikramanayake","given":"Eric","non-dropping-particle":"","parse-names":false,"suffix":""},{"dropping-particle":"","family":"Hahn","given":"Nathan","non-dropping-particle":"","parse-names":false,"suffix":""},{"dropping-particle":"","family":"Palminteri","given":"Suzanne","non-dropping-particle":"","parse-names":false,"suffix":""},{"dropping-particle":"","family":"Hedao","given":"Prashant","non-dropping-particle":"","parse-names":false,"suffix":""},{"dropping-particle":"","family":"Noss","given":"Reed","non-dropping-particle":"","parse-names":false,"suffix":""},{"dropping-particle":"","family":"Hansen","given":"Matt","non-dropping-particle":"","parse-names":false,"suffix":""},{"dropping-particle":"","family":"Locke","given":"Harvey","non-dropping-particle":"","parse-names":false,"suffix":""},{"dropping-particle":"","family":"Ellis","given":"Erle C.","non-dropping-particle":"","parse-names":false,"suffix":""},{"dropping-particle":"","family":"Jones","given":"Benjamin","non-dropping-particle":"","parse-names":false,"suffix":""},{"dropping-particle":"","family":"Barber","given":"Charles Victor","non-dropping-particle":"","parse-names":false,"suffix":""},{"dropping-particle":"","family":"Hayes","given":"Randy","non-dropping-particle":"","parse-names":false,"suffix":""},{"dropping-particle":"","family":"Kormos","given":"Cyril","non-dropping-particle":"","parse-names":false,"suffix":""},{"dropping-particle":"","family":"Martin","given":"Vance","non-dropping-particle":"","parse-names":false,"suffix":""},{"dropping-particle":"","family":"Crist","given":"Eileen","non-dropping-particle":"","parse-names":false,"suffix":""},{"dropping-particle":"","family":"Sechrest","given":"Wes","non-dropping-particle":"","parse-names":false,"suffix":""},{"dropping-particle":"","family":"Price","given":"Lori","non-dropping-particle":"","parse-names":false,"suffix":""},{"dropping-particle":"","family":"Baillie","given":"Jonathan E.M.","non-dropping-particle":"","parse-names":false,"suffix":""},{"dropping-particle":"","family":"Weeden","given":"Don","non-dropping-particle":"","parse-names":false,"suffix":""},{"dropping-particle":"","family":"Suckling","given":"Kierán","non-dropping-particle":"","parse-names":false,"suffix":""},{"dropping-particle":"","family":"Davis","given":"Crystal","non-dropping-particle":"","parse-names":false,"suffix":""},{"dropping-particle":"","family":"Sizer","given":"Nigel","non-dropping-particle":"","parse-names":false,"suffix":""},{"dropping-particle":"","family":"Moore","given":"Rebecca","non-dropping-particle":"","parse-names":false,"suffix":""},{"dropping-particle":"","family":"Thau","given":"David","non-dropping-particle":"","parse-names":false,"suffix":""},{"dropping-particle":"","family":"Birch","given":"Tanya","non-dropping-particle":"","parse-names":false,"suffix":""},{"dropping-particle":"","family":"Potapov","given":"Peter","non-dropping-particle":"","parse-names":false,"suffix":""},{"dropping-particle":"","family":"Turubanova","given":"Svetlana","non-dropping-particle":"","parse-names":false,"suffix":""},{"dropping-particle":"","family":"Tyukavina","given":"Alexandra","non-dropping-particle":"","parse-names":false,"suffix":""},{"dropping-particle":"","family":"Souza","given":"Nadia","non-dropping-particle":"De","parse-names":false,"suffix":""},{"dropping-particle":"","family":"Pintea","given":"Lilian","non-dropping-particle":"","parse-names":false,"suffix":""},{"dropping-particle":"","family":"Brito","given":"Joscrossed C.","non-dropping-particle":"","parse-names":false,"suffix":""},{"dropping-particle":"","family":"Llewellyn","given":"Othman A.","non-dropping-particle":"","parse-names":false,"suffix":""},{"dropping-particle":"","family":"Miller","given":"Anthony G.","non-dropping-particle":"","parse-names":false,"suffix":""},{"dropping-particle":"","family":"Patzelt","given":"Annette","non-dropping-particle":"","parse-names":false,"suffix":""},{"dropping-particle":"","family":"Ghazanfar","given":"Shahina A.","non-dropping-particle":"","parse-names":false,"suffix":""},{"dropping-particle":"","family":"Timberlake","given":"Jonathan","non-dropping-particle":"","parse-names":false,"suffix":""},{"dropping-particle":"","family":"Klöser","given":"Heinz","non-dropping-particle":"","parse-names":false,"suffix":""},{"dropping-particle":"","family":"Shennan-Farpón","given":"Yara","non-dropping-particle":"","parse-names":false,"suffix":""},{"dropping-particle":"","family":"Kindt","given":"Roeland","non-dropping-particle":"","parse-names":false,"suffix":""},{"dropping-particle":"","family":"Lillesø","given":"Jens Peter Barnekow","non-dropping-particle":"","parse-names":false,"suffix":""},{"dropping-particle":"","family":"Breugel","given":"Paulo","non-dropping-particle":"Van","parse-names":false,"suffix":""},{"dropping-particle":"","family":"Graudal","given":"Lars","non-dropping-particle":"","parse-names":false,"suffix":""},{"dropping-particle":"","family":"Voge","given":"Maianna","non-dropping-particle":"","parse-names":false,"suffix":""},{"dropping-particle":"","family":"Al-Shammari","given":"Khalaf F.","non-dropping-particle":"","parse-names":false,"suffix":""},{"dropping-particle":"","family":"Saleem","given":"Muhammad","non-dropping-particle":"","parse-names":false,"suffix":""}],"container-title":"BioScience","id":"ITEM-1","issue":"6","issued":{"date-parts":[["2017"]]},"page":"534-545","title":"An Ecoregion-Based Approach to Protecting Half the Terrestrial Realm","type":"article-journal","volume":"67"},"uris":["http://www.mendeley.com/documents/?uuid=e46aabfd-7eb9-410f-8450-fd64e5a226a2"]}],"mendeley":{"formattedCitation":"(Dinerstein et al., 2017)","manualFormatting":"(2017)","plainTextFormattedCitation":"(Dinerstein et al., 2017)","previouslyFormattedCitation":"(Dinerstein et al., 2017)"},"properties":{"noteIndex":0},"schema":"https://github.com/citation-style-language/schema/raw/master/csl-citation.json"}</w:instrText>
      </w:r>
      <w:r w:rsidRPr="00DA5AE2">
        <w:fldChar w:fldCharType="separate"/>
      </w:r>
      <w:bookmarkStart w:id="28" w:name="Bookmark26"/>
      <w:r w:rsidRPr="00DA5AE2">
        <w:rPr>
          <w:rFonts w:cstheme="minorHAnsi"/>
          <w:noProof/>
        </w:rPr>
        <w:t>(2017)</w:t>
      </w:r>
      <w:r w:rsidRPr="00DA5AE2">
        <w:fldChar w:fldCharType="end"/>
      </w:r>
      <w:bookmarkEnd w:id="28"/>
      <w:r w:rsidRPr="00DA5AE2">
        <w:rPr>
          <w:rFonts w:cstheme="minorHAnsi"/>
        </w:rPr>
        <w:t xml:space="preserve"> to classify each site into one of 846 global ecoregions and one of 14 terrestrial biomes (see Supplementary Metadata M1) based on its point coordinate. </w:t>
      </w:r>
    </w:p>
    <w:p w14:paraId="7AC02FCF" w14:textId="53B71917" w:rsidR="00B26A2C" w:rsidRPr="00DA5AE2" w:rsidRDefault="0099451A">
      <w:pPr>
        <w:jc w:val="both"/>
      </w:pPr>
      <w:r w:rsidRPr="00DA5AE2">
        <w:t>T</w:t>
      </w:r>
      <w:r w:rsidR="007F6878" w:rsidRPr="00DA5AE2">
        <w:t xml:space="preserve">o characterize the drought intensity in terms of </w:t>
      </w:r>
      <w:r w:rsidR="00AA3E4E" w:rsidRPr="00DA5AE2">
        <w:t>drought</w:t>
      </w:r>
      <w:r w:rsidR="007F6878" w:rsidRPr="00DA5AE2">
        <w:t xml:space="preserve"> stress </w:t>
      </w:r>
      <w:r w:rsidR="00543BC7" w:rsidRPr="00DA5AE2">
        <w:t>experienced by the trees</w:t>
      </w:r>
      <w:r w:rsidR="007F6878" w:rsidRPr="00DA5AE2">
        <w:t xml:space="preserve">, we also calculated the relative extractable water (REW) in the soil of each site for the </w:t>
      </w:r>
      <w:r w:rsidR="006F3626" w:rsidRPr="00DA5AE2">
        <w:t xml:space="preserve">period </w:t>
      </w:r>
      <w:r w:rsidR="007F6878" w:rsidRPr="00DA5AE2">
        <w:t xml:space="preserve">January 1990 to December 2022 </w:t>
      </w:r>
      <w:r w:rsidR="006F3626" w:rsidRPr="00DA5AE2">
        <w:t>(</w:t>
      </w:r>
      <w:r w:rsidR="007F6878" w:rsidRPr="00DA5AE2">
        <w:t xml:space="preserve">see Supplementary Information section 1.1.2). To calculate REW, we used the </w:t>
      </w:r>
      <w:r w:rsidR="00DD09F1" w:rsidRPr="00DA5AE2">
        <w:t xml:space="preserve">process-based </w:t>
      </w:r>
      <w:r w:rsidR="007F6878" w:rsidRPr="00DA5AE2">
        <w:t xml:space="preserve">model SurEau </w:t>
      </w:r>
      <w:r w:rsidR="007F6878" w:rsidRPr="00DA5AE2">
        <w:fldChar w:fldCharType="begin" w:fldLock="1"/>
      </w:r>
      <w:r w:rsidR="007F6878" w:rsidRPr="00DA5AE2">
        <w:instrText>ADDIN CSL_CITATION {"citationItems":[{"id":"ITEM-1","itemData":{"DOI":"10.5194/gmd-15-5593-2022","ISSN":"19919603","abstract":"A widespread increase in tree mortality has been observed around the globe, and this trend is likely to continue because of ongoing climate-induced increases in drought frequency and intensity. This raises the need to identify regions and ecosystems that are likely to experience the most frequent and significant damage. We present SurEau-Ecos, a trait-based, plant hydraulic model designed to predict tree desiccation and mortality at scales from stand to region. SurEau-Ecos draws on the general principles of the SurEau model but introduces a simplified representation of plant architecture and alternative numerical schemes. Both additions were made to facilitate model parameterization and large-scale applications. In SurEau-Ecos, the water fluxes from the soil to the atmosphere are represented through two plant organs (a leaf and a stem, which includes the volume of the trunk, roots and branches) as the product of an interface conductance and the difference between water potentials. Each organ is described by its symplasmic and apoplasmic compartments. The dynamics of a plant's water status beyond the point of stomatal closure are explicitly represented via residual transpiration flow, plant cavitation and solicitation of plants' water reservoirs. In addition to the \"explicit\"numerical scheme of SurEau, we implemented a \"semi-implicit\"and \"implicit\"scheme. Both schemes led to a substantial gain in computing time compared to the explicit scheme (&gt;10000 times), and the implicit scheme was the most accurate. We also observed similar plant water dynamics between SurEau-Ecos and SurEau but slight disparities in infra-daily variations of plant water potentials, which we attributed to the differences in the representation of plant architecture between models. A global model's sensitivity analysis revealed that factors controlling plant desiccation rates differ depending on whether leaf water potential is below or above the point of stomatal closure. Total available water for the plant, leaf area index and the leaf water potential at 50% stomatal closure mostly drove the time needed to reach stomatal closure. Once stomata are closed, resistance to cavitation, residual cuticular transpiration and plant water stocks mostly determined the time to hydraulic failure. Finally, we illustrated the potential of SurEau-Ecos to simulate regional drought-induced mortality over France. SurEau-Ecos is a promising tool to perform regional-scale predictions of drought-induced hy…","author":[{"dropping-particle":"","family":"Ruffault","given":"Julien","non-dropping-particle":"","parse-names":false,"suffix":""},{"dropping-particle":"","family":"Pimont","given":"François","non-dropping-particle":"","parse-names":false,"suffix":""},{"dropping-particle":"","family":"Cochard","given":"Hervé","non-dropping-particle":"","parse-names":false,"suffix":""},{"dropping-particle":"","family":"Dupuy","given":"Jean Luc","non-dropping-particle":"","parse-names":false,"suffix":""},{"dropping-particle":"","family":"Martin-Stpaul","given":"Nicolas","non-dropping-particle":"","parse-names":false,"suffix":""}],"container-title":"Geoscientific Model Development","id":"ITEM-1","issue":"14","issued":{"date-parts":[["2022"]]},"page":"5593-5626","title":"SurEau-Ecos v2.0: a trait-based plant hydraulics model for simulations of plant water status and drought-induced mortality at the ecosystem level","type":"article-journal","volume":"15"},"uris":["http://www.mendeley.com/documents/?uuid=f078cf57-f57a-4627-9e60-e7cb1844750a"]}],"mendeley":{"formattedCitation":"(Ruffault, Pimont, Cochard, Dupuy, &amp; Martin-Stpaul, 2022)","plainTextFormattedCitation":"(Ruffault, Pimont, Cochard, Dupuy, &amp; Martin-Stpaul, 2022)","previouslyFormattedCitation":"(Ruffault, Pimont, Cochard, Dupuy, &amp; Martin-Stpaul, 2022)"},"properties":{"noteIndex":0},"schema":"https://github.com/citation-style-language/schema/raw/master/csl-citation.json"}</w:instrText>
      </w:r>
      <w:r w:rsidR="007F6878" w:rsidRPr="00DA5AE2">
        <w:fldChar w:fldCharType="separate"/>
      </w:r>
      <w:bookmarkStart w:id="29" w:name="Bookmark27"/>
      <w:r w:rsidR="007F6878" w:rsidRPr="00DA5AE2">
        <w:rPr>
          <w:noProof/>
        </w:rPr>
        <w:t>(Ruffault, Pimont, Cochard, Dupuy, &amp; Martin-Stpaul, 2022)</w:t>
      </w:r>
      <w:r w:rsidR="007F6878" w:rsidRPr="00DA5AE2">
        <w:fldChar w:fldCharType="end"/>
      </w:r>
      <w:bookmarkEnd w:id="29"/>
      <w:r w:rsidR="007F6878" w:rsidRPr="00DA5AE2">
        <w:t xml:space="preserve">. SurEau is dedicated to the computation of extreme </w:t>
      </w:r>
      <w:r w:rsidR="00AA3E4E" w:rsidRPr="00DA5AE2">
        <w:t>drought</w:t>
      </w:r>
      <w:r w:rsidR="007F6878" w:rsidRPr="00DA5AE2">
        <w:t xml:space="preserve"> stress </w:t>
      </w:r>
      <w:r w:rsidR="008F5756" w:rsidRPr="00DA5AE2">
        <w:t xml:space="preserve">impacts on vegetation </w:t>
      </w:r>
      <w:r w:rsidR="007F6878" w:rsidRPr="00DA5AE2">
        <w:t>using plant hydraulic theory, but includes all the functions to compute</w:t>
      </w:r>
      <w:r w:rsidR="00604874" w:rsidRPr="00DA5AE2">
        <w:t xml:space="preserve"> forest</w:t>
      </w:r>
      <w:r w:rsidR="007F6878" w:rsidRPr="00DA5AE2">
        <w:t xml:space="preserve"> </w:t>
      </w:r>
      <w:r w:rsidR="002E1F77" w:rsidRPr="00DA5AE2">
        <w:t>stand</w:t>
      </w:r>
      <w:r w:rsidR="007F6878" w:rsidRPr="00DA5AE2">
        <w:t xml:space="preserve"> water balance </w:t>
      </w:r>
      <w:r w:rsidR="007F6878" w:rsidRPr="00DA5AE2">
        <w:fldChar w:fldCharType="begin" w:fldLock="1"/>
      </w:r>
      <w:r w:rsidR="007F6878" w:rsidRPr="00DA5AE2">
        <w:instrText>ADDIN CSL_CITATION {"citationItems":[{"id":"ITEM-1","itemData":{"DOI":"10.1016/S0304-3800(98)00205-1","ISBN":"3338339402","ISSN":"03043800","abstract":"This paper presents a daily water balance model where the main aim is to quantify drought intensity and duration in forest stands. This model requires daily potential evapotranspiration and rainfall as input climatic data. Required site and stand parameters are only maximum extractable soil water and leaf area index, the latter controlling (i) stand transpiration; (ii) forest floor evapotranspiration; and (iii) rainfall interception. Other informations, like root distribution and soil porosity, can be used if available, improving the simulation of short term soil water recharge. Water stress is assumed to occur when relative extractable soil water (REW) drops below a threshold of 0.4 under which transpiration is gradually reduced due to stomatal closure. The model was calibrated using sap flow measurements of stand transpiration in oak and spruce stands during several successive dehydration-rehydration cycles. Validation of the model was performed by comparing predicted soil water content to weekly neutron probe measurements in various forest stands and climatic conditions. The model simulated accurately the dynamics of soil water depletion and recharge, and predicted the main components of forest water balance. Day-to-day estimates of soil water content during the growing season allows to quantify duration and intensity of drought events, and to compute stress indexes. A dendroecological application is presented: a retrospective analysis of the effects of drought on radial tree growth, based on long term climatic time series, is shown. Some limitations and potential applications of the model are discussed.","author":[{"dropping-particle":"","family":"Granier","given":"A.","non-dropping-particle":"","parse-names":false,"suffix":""},{"dropping-particle":"","family":"Bréda","given":"N.","non-dropping-particle":"","parse-names":false,"suffix":""},{"dropping-particle":"","family":"Biron","given":"P.","non-dropping-particle":"","parse-names":false,"suffix":""},{"dropping-particle":"","family":"Villette","given":"S.","non-dropping-particle":"","parse-names":false,"suffix":""}],"container-title":"Ecological Modelling","id":"ITEM-1","issue":"2-3","issued":{"date-parts":[["1999"]]},"page":"269-283","title":"A lumped water balance model to evaluate duration and intensity of drought constraints in forest stands","type":"article-journal","volume":"116"},"uris":["http://www.mendeley.com/documents/?uuid=783c7548-783e-48d7-bf9f-38809aced6ad"]},{"id":"ITEM-2","itemData":{"DOI":"10.1007/s10584-012-0559-5","ISSN":"01650009","abstract":"The Mediterranean area is one of the regions of the world where GCMs agree the most on precipitation changes due to climate change. In this study we aim to assess the impact of recent climate change on drought features of Mediterranean ecosystems in Southern France. Regional climatic trends for the 1971-2006 period are compared to drought trends based on a water balance model accounting for soil properties, vegetation structure and functioning. Drought, defined here as periods when soil water potentials drop below - 0. 5 MPa, is described in terms of intensity, duration and timing, which are integrative of both climate variability and site conditions. Temporal trends in precipitation, temperature and solar radiation lead altogether to drier and warmer conditions over the region but with a high spatial heterogeneity; for similar climatic trends, a significant increase in drought intensity was detected in the wettest areas of the region, whereas drought intensity in the driest areas did not change. Indeed, in the wettest areas, we observed an earlier onset of drought by about 1 month, but a constant end of drought. In the driest areas of the region, we observed the same earlier onset of drought but combined with an earlier end of drought, thus leading to a shift of the dry season without increasing its duration. The definition of drought features both in terms of intensity but also of seasonal timing appears relevant to capture historical or forecasted changes in ecosystem functioning. Studies concerning climate change impacts on forested ecosystems should be interpreted with caution when using climate proxies alone. © 2012 Springer Science+Business Media B.V.","author":[{"dropping-particle":"","family":"Ruffault","given":"Julien","non-dropping-particle":"","parse-names":false,"suffix":""},{"dropping-particle":"","family":"Martin-StPaul","given":"Nicolas K.","non-dropping-particle":"","parse-names":false,"suffix":""},{"dropping-particle":"","family":"Rambal","given":"Serge","non-dropping-particle":"","parse-names":false,"suffix":""},{"dropping-particle":"","family":"Mouillot","given":"Florent","non-dropping-particle":"","parse-names":false,"suffix":""}],"container-title":"Climatic Change","id":"ITEM-2","issue":"1-2","issued":{"date-parts":[["2013"]]},"page":"103-117","title":"Differential regional responses in drought length, intensity and timing to recent climate changes in a Mediterranean forested ecosystem","type":"article-journal","volume":"117"},"uris":["http://www.mendeley.com/documents/?uuid=4b0bc393-17af-4d3f-a190-2e1ab5dbdcae"]}],"mendeley":{"formattedCitation":"(Granier, Bréda, Biron, &amp; Villette, 1999; Ruffault, Martin-StPaul, Rambal, &amp; Mouillot, 2013)","plainTextFormattedCitation":"(Granier, Bréda, Biron, &amp; Villette, 1999; Ruffault, Martin-StPaul, Rambal, &amp; Mouillot, 2013)","previouslyFormattedCitation":"(Granier, Bréda, Biron, &amp; Villette, 1999; Ruffault, Martin-StPaul, Rambal, &amp; Mouillot, 2013)"},"properties":{"noteIndex":0},"schema":"https://github.com/citation-style-language/schema/raw/master/csl-citation.json"}</w:instrText>
      </w:r>
      <w:r w:rsidR="007F6878" w:rsidRPr="00DA5AE2">
        <w:fldChar w:fldCharType="separate"/>
      </w:r>
      <w:bookmarkStart w:id="30" w:name="Bookmark28"/>
      <w:r w:rsidR="007F6878" w:rsidRPr="00DA5AE2">
        <w:rPr>
          <w:noProof/>
        </w:rPr>
        <w:t>(Granier, Bréda, Biron, &amp; Villette, 1999; Ruffault, Martin-StPaul, Rambal, &amp; Mouillot, 2013)</w:t>
      </w:r>
      <w:r w:rsidR="007F6878" w:rsidRPr="00DA5AE2">
        <w:fldChar w:fldCharType="end"/>
      </w:r>
      <w:bookmarkEnd w:id="30"/>
      <w:r w:rsidR="007F6878" w:rsidRPr="00DA5AE2">
        <w:t xml:space="preserve">. The model is driven by </w:t>
      </w:r>
      <w:r w:rsidR="00983C00" w:rsidRPr="00DA5AE2">
        <w:t xml:space="preserve">hourly </w:t>
      </w:r>
      <w:r w:rsidR="007F6878" w:rsidRPr="00DA5AE2">
        <w:t>climatic data</w:t>
      </w:r>
      <w:r w:rsidR="003849F4" w:rsidRPr="00DA5AE2">
        <w:t xml:space="preserve"> aggregated per day</w:t>
      </w:r>
      <w:r w:rsidR="007F6878" w:rsidRPr="00DA5AE2">
        <w:t>, soil parameters (</w:t>
      </w:r>
      <w:r w:rsidR="001C5DAD" w:rsidRPr="00DA5AE2">
        <w:t xml:space="preserve">e.g., </w:t>
      </w:r>
      <w:r w:rsidR="007F6878" w:rsidRPr="00DA5AE2">
        <w:t xml:space="preserve">soil </w:t>
      </w:r>
      <w:r w:rsidR="009B7468" w:rsidRPr="00DA5AE2">
        <w:t xml:space="preserve">water </w:t>
      </w:r>
      <w:r w:rsidR="007F6878" w:rsidRPr="00DA5AE2">
        <w:t>retention curves</w:t>
      </w:r>
      <w:r w:rsidR="001C5DAD" w:rsidRPr="00DA5AE2">
        <w:t>,</w:t>
      </w:r>
      <w:r w:rsidR="007F6878" w:rsidRPr="00DA5AE2">
        <w:t xml:space="preserve"> soil depth), plant parameters describing stomatal regulation and resistance to drought induced cavitation as well as </w:t>
      </w:r>
      <w:r w:rsidR="00647A71" w:rsidRPr="00DA5AE2">
        <w:t>LAI</w:t>
      </w:r>
      <w:r w:rsidR="007F6878" w:rsidRPr="00DA5AE2">
        <w:t xml:space="preserve">. The model </w:t>
      </w:r>
      <w:r w:rsidR="00647A71" w:rsidRPr="00DA5AE2">
        <w:t>estimates</w:t>
      </w:r>
      <w:r w:rsidR="007F6878" w:rsidRPr="00DA5AE2">
        <w:t xml:space="preserve"> the </w:t>
      </w:r>
      <w:r w:rsidR="00647A71" w:rsidRPr="00DA5AE2">
        <w:t xml:space="preserve">stand </w:t>
      </w:r>
      <w:r w:rsidR="007F6878" w:rsidRPr="00DA5AE2">
        <w:t>water balance and the water potential of the tree</w:t>
      </w:r>
      <w:r w:rsidR="00B41B55" w:rsidRPr="00DA5AE2">
        <w:t>s</w:t>
      </w:r>
      <w:r w:rsidR="00647A71" w:rsidRPr="00DA5AE2">
        <w:t xml:space="preserve"> at an hourly time step</w:t>
      </w:r>
      <w:r w:rsidR="007F6878" w:rsidRPr="00DA5AE2">
        <w:t>. The REW is computed from soil water content as follows:</w:t>
      </w:r>
    </w:p>
    <w:p w14:paraId="39F7151B" w14:textId="77777777" w:rsidR="00B26A2C" w:rsidRPr="00DA5AE2" w:rsidRDefault="007F6878">
      <w:pPr>
        <w:jc w:val="both"/>
      </w:pPr>
      <m:oMathPara>
        <m:oMath>
          <m:r>
            <w:rPr>
              <w:rFonts w:ascii="Cambria Math" w:hAnsi="Cambria Math"/>
            </w:rPr>
            <w:lastRenderedPageBreak/>
            <m:t>REW=</m:t>
          </m:r>
          <m:f>
            <m:fPr>
              <m:ctrlPr>
                <w:rPr>
                  <w:rFonts w:ascii="Cambria Math" w:hAnsi="Cambria Math"/>
                </w:rPr>
              </m:ctrlPr>
            </m:fPr>
            <m:num>
              <m:r>
                <w:rPr>
                  <w:rFonts w:ascii="Cambria Math" w:hAnsi="Cambria Math"/>
                </w:rPr>
                <m:t>θ-</m:t>
              </m:r>
              <m:sSub>
                <m:sSubPr>
                  <m:ctrlPr>
                    <w:rPr>
                      <w:rFonts w:ascii="Cambria Math" w:hAnsi="Cambria Math"/>
                    </w:rPr>
                  </m:ctrlPr>
                </m:sSubPr>
                <m:e>
                  <m:r>
                    <w:rPr>
                      <w:rFonts w:ascii="Cambria Math" w:hAnsi="Cambria Math"/>
                    </w:rPr>
                    <m:t>θ</m:t>
                  </m:r>
                </m:e>
                <m:sub>
                  <m:r>
                    <w:rPr>
                      <w:rFonts w:ascii="Cambria Math" w:hAnsi="Cambria Math"/>
                    </w:rPr>
                    <m:t>℘</m:t>
                  </m:r>
                </m:sub>
              </m:sSub>
            </m:num>
            <m:den>
              <m:sSub>
                <m:sSubPr>
                  <m:ctrlPr>
                    <w:rPr>
                      <w:rFonts w:ascii="Cambria Math" w:hAnsi="Cambria Math"/>
                    </w:rPr>
                  </m:ctrlPr>
                </m:sSubPr>
                <m:e>
                  <m:r>
                    <w:rPr>
                      <w:rFonts w:ascii="Cambria Math" w:hAnsi="Cambria Math"/>
                    </w:rPr>
                    <m:t>θ</m:t>
                  </m:r>
                </m:e>
                <m:sub>
                  <m:r>
                    <w:rPr>
                      <w:rFonts w:ascii="Cambria Math" w:hAnsi="Cambria Math"/>
                    </w:rPr>
                    <m:t>fc</m:t>
                  </m:r>
                </m:sub>
              </m:sSub>
              <m: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m:t>
                  </m:r>
                </m:sub>
              </m:sSub>
            </m:den>
          </m:f>
        </m:oMath>
      </m:oMathPara>
    </w:p>
    <w:p w14:paraId="56F17EDB" w14:textId="324A6B03" w:rsidR="00B26A2C" w:rsidRPr="00DA5AE2" w:rsidRDefault="00B41B55">
      <w:pPr>
        <w:jc w:val="both"/>
      </w:pPr>
      <w:r w:rsidRPr="00DA5AE2">
        <w:rPr>
          <w:rFonts w:eastAsiaTheme="minorEastAsia"/>
        </w:rPr>
        <w:t xml:space="preserve">where </w:t>
      </w:r>
      <m:oMath>
        <m:r>
          <w:rPr>
            <w:rFonts w:ascii="Cambria Math" w:hAnsi="Cambria Math"/>
          </w:rPr>
          <m:t>θ</m:t>
        </m:r>
      </m:oMath>
      <w:r w:rsidRPr="00DA5AE2">
        <w:t xml:space="preserve"> </w:t>
      </w:r>
      <w:r w:rsidR="00033A20" w:rsidRPr="00DA5AE2">
        <w:t xml:space="preserve">is </w:t>
      </w:r>
      <w:r w:rsidRPr="00DA5AE2">
        <w:t xml:space="preserve">the actual soil water content, </w:t>
      </w:r>
      <m:oMath>
        <m:sSub>
          <m:sSubPr>
            <m:ctrlPr>
              <w:rPr>
                <w:rFonts w:ascii="Cambria Math" w:hAnsi="Cambria Math"/>
              </w:rPr>
            </m:ctrlPr>
          </m:sSubPr>
          <m:e>
            <m:r>
              <w:rPr>
                <w:rFonts w:ascii="Cambria Math" w:hAnsi="Cambria Math"/>
              </w:rPr>
              <m:t>θ</m:t>
            </m:r>
          </m:e>
          <m:sub>
            <m:r>
              <w:rPr>
                <w:rFonts w:ascii="Cambria Math" w:hAnsi="Cambria Math"/>
              </w:rPr>
              <m:t>fc</m:t>
            </m:r>
          </m:sub>
        </m:sSub>
      </m:oMath>
      <w:r w:rsidRPr="00DA5AE2">
        <w:rPr>
          <w:rFonts w:eastAsiaTheme="minorEastAsia"/>
        </w:rPr>
        <w:t xml:space="preserve"> </w:t>
      </w:r>
      <w:r w:rsidR="00033A20" w:rsidRPr="00DA5AE2">
        <w:rPr>
          <w:rFonts w:eastAsiaTheme="minorEastAsia"/>
        </w:rPr>
        <w:t xml:space="preserve">is </w:t>
      </w:r>
      <w:r w:rsidRPr="00DA5AE2">
        <w:rPr>
          <w:rFonts w:eastAsiaTheme="minorEastAsia"/>
        </w:rPr>
        <w:t>the soil water content at field capacity</w:t>
      </w:r>
      <w:r w:rsidRPr="00DA5AE2">
        <w:t>,</w:t>
      </w:r>
      <w:r w:rsidR="007D133D" w:rsidRPr="00DA5AE2">
        <w:t xml:space="preserve"> and</w:t>
      </w:r>
      <w:r w:rsidRPr="00DA5AE2">
        <w:t xml:space="preserve"> </w:t>
      </w:r>
      <m:oMath>
        <m:sSub>
          <m:sSubPr>
            <m:ctrlPr>
              <w:rPr>
                <w:rFonts w:ascii="Cambria Math" w:hAnsi="Cambria Math"/>
              </w:rPr>
            </m:ctrlPr>
          </m:sSubPr>
          <m:e>
            <m:r>
              <w:rPr>
                <w:rFonts w:ascii="Cambria Math" w:hAnsi="Cambria Math"/>
              </w:rPr>
              <m:t>θ</m:t>
            </m:r>
          </m:e>
          <m:sub>
            <m:r>
              <w:rPr>
                <w:rFonts w:ascii="Cambria Math" w:hAnsi="Cambria Math"/>
              </w:rPr>
              <m:t>℘</m:t>
            </m:r>
          </m:sub>
        </m:sSub>
      </m:oMath>
      <w:r w:rsidRPr="00DA5AE2">
        <w:rPr>
          <w:rFonts w:eastAsiaTheme="minorEastAsia"/>
        </w:rPr>
        <w:t xml:space="preserve"> </w:t>
      </w:r>
      <w:r w:rsidR="00033A20" w:rsidRPr="00DA5AE2">
        <w:rPr>
          <w:rFonts w:eastAsiaTheme="minorEastAsia"/>
        </w:rPr>
        <w:t xml:space="preserve">is </w:t>
      </w:r>
      <w:r w:rsidRPr="00DA5AE2">
        <w:rPr>
          <w:rFonts w:eastAsiaTheme="minorEastAsia"/>
        </w:rPr>
        <w:t>the soil water content at the wilting point (</w:t>
      </w:r>
      <w:proofErr w:type="gramStart"/>
      <w:r w:rsidRPr="00DA5AE2">
        <w:rPr>
          <w:rFonts w:eastAsiaTheme="minorEastAsia"/>
        </w:rPr>
        <w:t>i.e</w:t>
      </w:r>
      <w:r w:rsidRPr="00DA5AE2">
        <w:rPr>
          <w:rFonts w:eastAsiaTheme="minorEastAsia"/>
          <w:i/>
          <w:iCs/>
        </w:rPr>
        <w:t>.</w:t>
      </w:r>
      <w:proofErr w:type="gramEnd"/>
      <w:r w:rsidRPr="00DA5AE2">
        <w:rPr>
          <w:rFonts w:eastAsiaTheme="minorEastAsia"/>
        </w:rPr>
        <w:t xml:space="preserve"> at -1.5MPa). The REW equals 1 when soil water is at field capacity, 0 when </w:t>
      </w:r>
      <w:r w:rsidR="00C80D14" w:rsidRPr="00DA5AE2">
        <w:rPr>
          <w:rFonts w:eastAsiaTheme="minorEastAsia"/>
        </w:rPr>
        <w:t>soil water content reaches</w:t>
      </w:r>
      <w:r w:rsidRPr="00DA5AE2">
        <w:rPr>
          <w:rFonts w:eastAsiaTheme="minorEastAsia"/>
        </w:rPr>
        <w:t xml:space="preserve"> the wilting point, and can </w:t>
      </w:r>
      <w:r w:rsidR="00924C7C" w:rsidRPr="00DA5AE2">
        <w:rPr>
          <w:rFonts w:eastAsiaTheme="minorEastAsia"/>
        </w:rPr>
        <w:t>have</w:t>
      </w:r>
      <w:r w:rsidRPr="00DA5AE2">
        <w:rPr>
          <w:rFonts w:eastAsiaTheme="minorEastAsia"/>
        </w:rPr>
        <w:t xml:space="preserve"> negative values </w:t>
      </w:r>
      <w:r w:rsidR="00261631" w:rsidRPr="00DA5AE2">
        <w:rPr>
          <w:rFonts w:eastAsiaTheme="minorEastAsia"/>
        </w:rPr>
        <w:t>in Sur</w:t>
      </w:r>
      <w:r w:rsidR="00307B52" w:rsidRPr="00DA5AE2">
        <w:rPr>
          <w:rFonts w:eastAsiaTheme="minorEastAsia"/>
        </w:rPr>
        <w:t>E</w:t>
      </w:r>
      <w:r w:rsidR="00261631" w:rsidRPr="00DA5AE2">
        <w:rPr>
          <w:rFonts w:eastAsiaTheme="minorEastAsia"/>
        </w:rPr>
        <w:t xml:space="preserve">au </w:t>
      </w:r>
      <w:r w:rsidR="00924C7C" w:rsidRPr="00DA5AE2">
        <w:rPr>
          <w:rFonts w:eastAsiaTheme="minorEastAsia"/>
        </w:rPr>
        <w:t>at</w:t>
      </w:r>
      <w:r w:rsidRPr="00DA5AE2">
        <w:rPr>
          <w:rFonts w:eastAsiaTheme="minorEastAsia"/>
        </w:rPr>
        <w:t xml:space="preserve"> soil water content below the permanent wilting point. The latter can occur </w:t>
      </w:r>
      <w:r w:rsidR="001735F8" w:rsidRPr="00DA5AE2">
        <w:rPr>
          <w:rFonts w:eastAsiaTheme="minorEastAsia"/>
        </w:rPr>
        <w:t xml:space="preserve">due to delayed </w:t>
      </w:r>
      <w:r w:rsidRPr="00DA5AE2">
        <w:rPr>
          <w:rFonts w:eastAsiaTheme="minorEastAsia"/>
        </w:rPr>
        <w:t xml:space="preserve">stomatal closure or residual transpiration. </w:t>
      </w:r>
      <w:r w:rsidRPr="00DA5AE2">
        <w:t xml:space="preserve">The model was applied at each site using vegetation parameters specific </w:t>
      </w:r>
      <w:r w:rsidR="00985539" w:rsidRPr="00DA5AE2">
        <w:t xml:space="preserve">to </w:t>
      </w:r>
      <w:r w:rsidRPr="00DA5AE2">
        <w:t xml:space="preserve">one species representative of the biome and </w:t>
      </w:r>
      <w:r w:rsidR="002A3D09" w:rsidRPr="00DA5AE2">
        <w:t xml:space="preserve">the </w:t>
      </w:r>
      <w:r w:rsidRPr="00DA5AE2">
        <w:t xml:space="preserve">local species pool </w:t>
      </w:r>
      <w:r w:rsidR="00E478AA" w:rsidRPr="00DA5AE2">
        <w:t xml:space="preserve">of each experiment </w:t>
      </w:r>
      <w:r w:rsidRPr="00DA5AE2">
        <w:t>(see Supplementary Metadata M3). The trait</w:t>
      </w:r>
      <w:r w:rsidR="00985539" w:rsidRPr="00DA5AE2">
        <w:t xml:space="preserve"> </w:t>
      </w:r>
      <w:r w:rsidRPr="00DA5AE2">
        <w:t xml:space="preserve">data were </w:t>
      </w:r>
      <w:r w:rsidR="00E32150" w:rsidRPr="00DA5AE2">
        <w:t xml:space="preserve">gathered </w:t>
      </w:r>
      <w:r w:rsidRPr="00DA5AE2">
        <w:t>from global databases (see Functional traits</w:t>
      </w:r>
      <w:r w:rsidR="003907A4" w:rsidRPr="00DA5AE2">
        <w:t xml:space="preserve"> section</w:t>
      </w:r>
      <w:r w:rsidRPr="00DA5AE2">
        <w:t xml:space="preserve">). The soil parameters were extracted from the SoilGrids database </w:t>
      </w:r>
      <w:r w:rsidRPr="00DA5AE2">
        <w:fldChar w:fldCharType="begin" w:fldLock="1"/>
      </w:r>
      <w:r w:rsidRPr="00DA5AE2">
        <w:instrText>ADDIN CSL_CITATION {"citationItems":[{"id":"ITEM-1","itemData":{"DOI":"10.5194/soil-7-217-2021","ISSN":"2199398X","abstract":"SoilGrids produces maps of soil properties for the entire globe at medium spatial resolution (250 m cell size) using state-of-the-art machine learning methods to generate the necessary models. It takes as inputs soil observations from about 240 000 locations worldwide and over 400 global environmental covariates describing vegetation, terrain morphology, climate, geology and hydrology. The aim of this work was the production of global maps of soil properties, with cross-validation, hyper-parameter selection and quantification of spatially explicit uncertainty, as implemented in the SoilGrids version 2.0 product incorporating state-of-the-art practices and adapting them for global digital soil mapping with legacy data. The paper presents the evaluation of the global predictions produced for soil organic carbon content, total nitrogen, coarse fragments, pH (water), cation exchange capacity, bulk density and texture fractions at six standard depths (up to 200 cm). The quantitative evaluation showed metrics in line with previous global, continental and large-region studies. The qualitative evaluation showed that coarse-scale patterns are well reproduced. The spatial uncertainty at global scale highlighted the need for more soil observations, especially in high-latitude regions.","author":[{"dropping-particle":"","family":"Poggio","given":"Laura","non-dropping-particle":"","parse-names":false,"suffix":""},{"dropping-particle":"","family":"Sousa","given":"Luis M.","non-dropping-particle":"De","parse-names":false,"suffix":""},{"dropping-particle":"","family":"Batjes","given":"Niels H.","non-dropping-particle":"","parse-names":false,"suffix":""},{"dropping-particle":"","family":"Heuvelink","given":"Gerard B.M.","non-dropping-particle":"","parse-names":false,"suffix":""},{"dropping-particle":"","family":"Kempen","given":"Bas","non-dropping-particle":"","parse-names":false,"suffix":""},{"dropping-particle":"","family":"Ribeiro","given":"Eloi","non-dropping-particle":"","parse-names":false,"suffix":""},{"dropping-particle":"","family":"Rossiter","given":"David","non-dropping-particle":"","parse-names":false,"suffix":""}],"container-title":"Soil","id":"ITEM-1","issue":"1","issued":{"date-parts":[["2021"]]},"page":"217-240","title":"SoilGrids 2.0: Producing soil information for the globe with quantified spatial uncertainty","type":"article-journal","volume":"7"},"uris":["http://www.mendeley.com/documents/?uuid=8d288155-d2f7-4b0b-a95d-66578bddab9a"]}],"mendeley":{"formattedCitation":"(Poggio et al., 2021)","plainTextFormattedCitation":"(Poggio et al., 2021)","previouslyFormattedCitation":"(Poggio et al., 2021)"},"properties":{"noteIndex":0},"schema":"https://github.com/citation-style-language/schema/raw/master/csl-citation.json"}</w:instrText>
      </w:r>
      <w:r w:rsidRPr="00DA5AE2">
        <w:fldChar w:fldCharType="separate"/>
      </w:r>
      <w:bookmarkStart w:id="31" w:name="Bookmark29"/>
      <w:r w:rsidRPr="00DA5AE2">
        <w:rPr>
          <w:noProof/>
        </w:rPr>
        <w:t>(Poggio et al., 2021)</w:t>
      </w:r>
      <w:r w:rsidRPr="00DA5AE2">
        <w:fldChar w:fldCharType="end"/>
      </w:r>
      <w:bookmarkEnd w:id="31"/>
      <w:r w:rsidRPr="00DA5AE2">
        <w:t>. The</w:t>
      </w:r>
      <w:r w:rsidR="00E27047" w:rsidRPr="00DA5AE2">
        <w:t xml:space="preserve"> input</w:t>
      </w:r>
      <w:r w:rsidRPr="00DA5AE2">
        <w:t xml:space="preserve"> LAI data </w:t>
      </w:r>
      <w:r w:rsidR="007E79B5" w:rsidRPr="00DA5AE2">
        <w:t>for the</w:t>
      </w:r>
      <w:r w:rsidR="00A50AE9" w:rsidRPr="00DA5AE2">
        <w:t xml:space="preserve"> Sur</w:t>
      </w:r>
      <w:r w:rsidR="00AE4C0C" w:rsidRPr="00DA5AE2">
        <w:t>E</w:t>
      </w:r>
      <w:r w:rsidR="00A50AE9" w:rsidRPr="00DA5AE2">
        <w:t xml:space="preserve">au </w:t>
      </w:r>
      <w:r w:rsidR="00AE4C0C" w:rsidRPr="00DA5AE2">
        <w:t xml:space="preserve">model </w:t>
      </w:r>
      <w:r w:rsidRPr="00DA5AE2">
        <w:t xml:space="preserve">were </w:t>
      </w:r>
      <w:r w:rsidR="00CE16B7" w:rsidRPr="00DA5AE2">
        <w:t xml:space="preserve">obtained </w:t>
      </w:r>
      <w:r w:rsidRPr="00DA5AE2">
        <w:t>from the</w:t>
      </w:r>
      <w:r w:rsidR="00EC4062" w:rsidRPr="00DA5AE2">
        <w:t xml:space="preserve"> high resolution (333m)</w:t>
      </w:r>
      <w:r w:rsidRPr="00DA5AE2">
        <w:t xml:space="preserve"> Copernicus database </w:t>
      </w:r>
      <w:r w:rsidRPr="00DA5AE2">
        <w:fldChar w:fldCharType="begin" w:fldLock="1"/>
      </w:r>
      <w:r w:rsidRPr="00DA5AE2">
        <w:instrText>ADDIN CSL_CITATION {"citationItems":[{"id":"ITEM-1","itemData":{"DOI":"10.5194/isprsarchives-XL-7-W3-53-2015","ISBN":"9780000000002","ISSN":"16821750","abstract":"The Copernicus Global Land service provides continuously a set of bio-geophysical variables describing, over the whole globe, the vegetation dynamic, the energy budget at the continental surface and some components of the water cycle. These generic products serve numerous applications including agriculture and food security monitoring. The portfolio of the Copernicus Global Land service contains Essential Climate Variables like the Leaf Area Index (LAI), the Fraction of PAR absorbed by the vegetation (FAPAR), the surface albedo, the Land Surface Temperature, the soil moisture, the burnt areas, the areas of water bodies, and additional vegetation indices. They are generated every hour, every day or every 10 days on a reliable automatic basis from Earth Observation satellite data. Beside this timely production, the available historical archives have been processed, using the same innovative algorithms, to get consistent time series as long as possible. All products are accessible, free of charge after registration through FTP/HTTP (http://land.copernicus.eu/global/) and through the GEONETCast satellite distribution system. The evolution of the service towards the operations at 333m resolution is partly supported by the FP7/ImagineS project which focuses on the retrieval of LAI, FAPAR, fraction of vegetation cover and surface albedo from PROBA-V sensor data. The paper presents the innovations of the 333m biophysical products, make an overview of their current status, and introduce the next steps of the evolution of the Copernicus Global Land service.","author":[{"dropping-particle":"","family":"Lacaze","given":"R.","non-dropping-particle":"","parse-names":false,"suffix":""},{"dropping-particle":"","family":"Smets","given":"Bruno","non-dropping-particle":"","parse-names":false,"suffix":""},{"dropping-particle":"","family":"Baret","given":"F.","non-dropping-particle":"","parse-names":false,"suffix":""},{"dropping-particle":"","family":"Weiss","given":"M.","non-dropping-particle":"","parse-names":false,"suffix":""},{"dropping-particle":"","family":"Ramon","given":"D.","non-dropping-particle":"","parse-names":false,"suffix":""},{"dropping-particle":"","family":"Montersleet","given":"B.","non-dropping-particle":"","parse-names":false,"suffix":""},{"dropping-particle":"","family":"Wandrebeck","given":"L.","non-dropping-particle":"","parse-names":false,"suffix":""},{"dropping-particle":"","family":"Calvet","given":"J. C.","non-dropping-particle":"","parse-names":false,"suffix":""},{"dropping-particle":"","family":"Roujean","given":"J. L.","non-dropping-particle":"","parse-names":false,"suffix":""},{"dropping-particle":"","family":"Camacho","given":"F.","non-dropping-particle":"","parse-names":false,"suffix":""}],"container-title":"International Archives of the Photogrammetry, Remote Sensing and Spatial Information Sciences - ISPRS Archives","id":"ITEM-1","issue":"7W3","issued":{"date-parts":[["2015"]]},"page":"53-56","title":"Operational 333m biophysical products of the copernicus global land service for agriculture monitoring","type":"article-journal","volume":"40"},"uris":["http://www.mendeley.com/documents/?uuid=256d978f-f78b-4f77-9725-b4593c8a7fe9"]},{"id":"ITEM-2","itemData":{"DOI":"10.1016/j.rse.2012.12.027","ISSN":"00344257","abstract":"Essential climate variables such as LAI or FAPAR are required for the monitoring, understanding and modeling of land surfaces at the global scale. While several products were already developed from the current medium resolution sensors, the few validation exercises currently achieved highlighted significant discrepancies and inconsistencies. The objective of this study is to develop improved global estimates of LAI, FAPAR and FCOVER variables by capitalizing on the development and validation of already existing products. In a first step, the performances of the MODIS, CYCLOPES, GLOBCARBON and JRC-FAPAR products were reviewed. The MODIS and CYCLOPES products were then selected since they provide higher level of consistency. These products were fused to generate the improved LAI, FAPAR and FCOVER values that were later scaled to closely match their expected range of variation. Finally, neural networks were trained to estimate these fused and scaled products from SPOT-VEGETATION top of canopy directionally normalized reflectance values. The resulting GEOV1 products are associated to quality control flags as well as quantitative estimates of uncertainties. Performances of the GEOV1 products are finally evaluated in a companion paper. The GEOV1 products are freely available to the community at www.geoland2.eu from 1999 up to present, globally at 1/112° spatial sampling grid at the dekadal time step. © 2013 Elsevier Inc.","author":[{"dropping-particle":"","family":"Baret","given":"F.","non-dropping-particle":"","parse-names":false,"suffix":""},{"dropping-particle":"","family":"Weiss","given":"M.","non-dropping-particle":"","parse-names":false,"suffix":""},{"dropping-particle":"","family":"Lacaze","given":"R.","non-dropping-particle":"","parse-names":false,"suffix":""},{"dropping-particle":"","family":"Camacho","given":"F.","non-dropping-particle":"","parse-names":false,"suffix":""},{"dropping-particle":"","family":"Makhmara","given":"H.","non-dropping-particle":"","parse-names":false,"suffix":""},{"dropping-particle":"","family":"Pacholcyzk","given":"P.","non-dropping-particle":"","parse-names":false,"suffix":""},{"dropping-particle":"","family":"Smets","given":"B.","non-dropping-particle":"","parse-names":false,"suffix":""}],"container-title":"Remote Sensing of Environment","id":"ITEM-2","issued":{"date-parts":[["2013"]]},"page":"299-309","publisher":"Elsevier Inc.","title":"GEOV1: LAI and FAPAR essential climate variables and FCOVER global time series capitalizing over existing products. Part1: Principles of development and production","type":"article-journal","volume":"137"},"uris":["http://www.mendeley.com/documents/?uuid=69c9ec40-d5d7-49df-b2a2-34a7f53204f0"]}],"mendeley":{"formattedCitation":"(Baret et al., 2013; Lacaze et al., 2015)","plainTextFormattedCitation":"(Baret et al., 2013; Lacaze et al., 2015)","previouslyFormattedCitation":"(Baret et al., 2013; Lacaze et al., 2015)"},"properties":{"noteIndex":0},"schema":"https://github.com/citation-style-language/schema/raw/master/csl-citation.json"}</w:instrText>
      </w:r>
      <w:r w:rsidRPr="00DA5AE2">
        <w:fldChar w:fldCharType="separate"/>
      </w:r>
      <w:bookmarkStart w:id="32" w:name="Bookmark30"/>
      <w:r w:rsidRPr="00DA5AE2">
        <w:rPr>
          <w:noProof/>
        </w:rPr>
        <w:t>(Baret et al., 2013; Lacaze et al., 2015)</w:t>
      </w:r>
      <w:r w:rsidRPr="00DA5AE2">
        <w:fldChar w:fldCharType="end"/>
      </w:r>
      <w:bookmarkEnd w:id="32"/>
      <w:r w:rsidRPr="00DA5AE2">
        <w:t xml:space="preserve">. The climate </w:t>
      </w:r>
      <w:r w:rsidR="0058119F" w:rsidRPr="00DA5AE2">
        <w:t xml:space="preserve">data </w:t>
      </w:r>
      <w:r w:rsidR="009E6AB2" w:rsidRPr="00DA5AE2">
        <w:t xml:space="preserve">for each study </w:t>
      </w:r>
      <w:r w:rsidR="00CE16B7" w:rsidRPr="00DA5AE2">
        <w:t>was obtained</w:t>
      </w:r>
      <w:r w:rsidRPr="00DA5AE2">
        <w:t xml:space="preserve"> from ERA5-Land hourly data </w:t>
      </w:r>
      <w:r w:rsidRPr="00DA5AE2">
        <w:fldChar w:fldCharType="begin" w:fldLock="1"/>
      </w:r>
      <w:r w:rsidRPr="00DA5AE2">
        <w:instrText>ADDIN CSL_CITATION {"citationItems":[{"id":"ITEM-1","itemData":{"DOI":"10.5194/essd-13-4349-2021","ISSN":"18663516","abstract":"Framed within the Copernicus Climate Change Service (C3S) of the European Commission, the European Centre for Medium-Range Weather Forecasts (ECMWF) is producing an enhanced global dataset for the land component of the fifth generation of European ReAnalysis (ERA5), hereafter referred to as ERA5-Land. Once completed, the period covered will span from 1950 to the present, with continuous updates to support land monitoring applications. ERA5-Land describes the evolution of the water and energy cycles over land in a consistent manner over the production period, which, among others, could be used to analyse trends and anomalies. This is achieved through global high-resolution numerical integrations of the ECMWF land surface model driven by the downscaled meteorological forcing from the ERA5 climate reanalysis, including an elevation correction for the thermodynamic near-surface state. ERA5-Land shares with ERA5 most of the parameterizations that guarantees the use of the state-of-the-art land surface modelling applied to numerical weather prediction (NWP) models. A main advantage of ERA5-Land compared to ERA5 and the older ERA-Interim is the horizontal resolution, which is enhanced globally to 9ĝ€¯km compared to 31ĝ€¯km (ERA5) or 80ĝ€¯km (ERA-Interim), whereas the temporal resolution is hourly as in ERA5. Evaluation against independent in situ observations and global model or satellite-based reference datasets shows the added value of ERA5-Land in the description of the hydrological cycle, in particular with enhanced soil moisture and lake description, and an overall better agreement of river discharge estimations with available observations. However, ERA5-Land snow depth fields present a mixed performance when compared to those of ERA5, depending on geographical location and altitude. The description of the energy cycle shows comparable results with ERA5. Nevertheless, ERA5-Land reduces the global averaged root mean square error of the skin temperature, taking as reference MODIS data, mainly due to the contribution of coastal points where spatial resolution is important. Since January 2020, the ERA5-Land period available has extended from January 1981 to the near present, with a 2- to 3-month delay with respect to real time. The segment prior to 1981 is in production, aiming for a release of the whole dataset in summer/autumn 2021. The high spatial and temporal resolution of ERA5-Land, its extended period, and the consistency of the fields produced makes i…","author":[{"dropping-particle":"","family":"Muñoz-Sabater","given":"Joaquín","non-dropping-particle":"","parse-names":false,"suffix":""},{"dropping-particle":"","family":"Dutra","given":"Emanuel","non-dropping-particle":"","parse-names":false,"suffix":""},{"dropping-particle":"","family":"Agustí-Panareda","given":"Anna","non-dropping-particle":"","parse-names":false,"suffix":""},{"dropping-particle":"","family":"Albergel","given":"Clément","non-dropping-particle":"","parse-names":false,"suffix":""},{"dropping-particle":"","family":"Arduini","given":"Gabriele","non-dropping-particle":"","parse-names":false,"suffix":""},{"dropping-particle":"","family":"Balsamo","given":"Gianpaolo","non-dropping-particle":"","parse-names":false,"suffix":""},{"dropping-particle":"","family":"Boussetta","given":"Souhail","non-dropping-particle":"","parse-names":false,"suffix":""},{"dropping-particle":"","family":"Choulga","given":"Margarita","non-dropping-particle":"","parse-names":false,"suffix":""},{"dropping-particle":"","family":"Harrigan","given":"Shaun","non-dropping-particle":"","parse-names":false,"suffix":""},{"dropping-particle":"","family":"Hersbach","given":"Hans","non-dropping-particle":"","parse-names":false,"suffix":""},{"dropping-particle":"","family":"Martens","given":"Brecht","non-dropping-particle":"","parse-names":false,"suffix":""},{"dropping-particle":"","family":"Miralles","given":"Diego G.","non-dropping-particle":"","parse-names":false,"suffix":""},{"dropping-particle":"","family":"Piles","given":"Mariá","non-dropping-particle":"","parse-names":false,"suffix":""},{"dropping-particle":"","family":"Rodríguez-Fernández","given":"Nemesio J.","non-dropping-particle":"","parse-names":false,"suffix":""},{"dropping-particle":"","family":"Zsoter","given":"Ervin","non-dropping-particle":"","parse-names":false,"suffix":""},{"dropping-particle":"","family":"Buontempo","given":"Carlo","non-dropping-particle":"","parse-names":false,"suffix":""},{"dropping-particle":"","family":"Thépaut","given":"Jean Noël","non-dropping-particle":"","parse-names":false,"suffix":""}],"container-title":"Earth System Science Data","id":"ITEM-1","issue":"9","issued":{"date-parts":[["2021"]]},"page":"4349-4383","title":"ERA5-Land: A state-of-the-art global reanalysis dataset for land applications","type":"article-journal","volume":"13"},"uris":["http://www.mendeley.com/documents/?uuid=8a761a1f-82ba-4c57-b0f9-b211e91267ce"]}],"mendeley":{"formattedCitation":"(Muñoz-Sabater et al., 2021)","plainTextFormattedCitation":"(Muñoz-Sabater et al., 2021)","previouslyFormattedCitation":"(Muñoz-Sabater et al., 2021)"},"properties":{"noteIndex":0},"schema":"https://github.com/citation-style-language/schema/raw/master/csl-citation.json"}</w:instrText>
      </w:r>
      <w:r w:rsidRPr="00DA5AE2">
        <w:fldChar w:fldCharType="separate"/>
      </w:r>
      <w:bookmarkStart w:id="33" w:name="Bookmark31"/>
      <w:r w:rsidRPr="00DA5AE2">
        <w:rPr>
          <w:noProof/>
        </w:rPr>
        <w:t>(Muñoz-Sabater et al., 2021)</w:t>
      </w:r>
      <w:r w:rsidRPr="00DA5AE2">
        <w:fldChar w:fldCharType="end"/>
      </w:r>
      <w:bookmarkEnd w:id="33"/>
      <w:r w:rsidRPr="00DA5AE2">
        <w:t xml:space="preserve">. The minimum monthly REW during the growing season was calculated as </w:t>
      </w:r>
      <w:r w:rsidR="0058119F" w:rsidRPr="00DA5AE2">
        <w:t xml:space="preserve">a measure of </w:t>
      </w:r>
      <w:r w:rsidRPr="00DA5AE2">
        <w:t xml:space="preserve">drought intensity. The </w:t>
      </w:r>
      <w:r w:rsidR="00AA3E4E" w:rsidRPr="00DA5AE2">
        <w:t>drought</w:t>
      </w:r>
      <w:r w:rsidRPr="00DA5AE2">
        <w:t xml:space="preserve"> stress threshold is considered </w:t>
      </w:r>
      <w:r w:rsidR="00791537" w:rsidRPr="00DA5AE2">
        <w:t xml:space="preserve">as being </w:t>
      </w:r>
      <w:r w:rsidRPr="00DA5AE2">
        <w:t xml:space="preserve">at </w:t>
      </w:r>
      <w:r w:rsidR="00B333DD" w:rsidRPr="00DA5AE2">
        <w:t xml:space="preserve">a REW value </w:t>
      </w:r>
      <w:r w:rsidRPr="00DA5AE2">
        <w:t xml:space="preserve">below 0.4 </w:t>
      </w:r>
      <w:r w:rsidR="00B333DD" w:rsidRPr="00DA5AE2">
        <w:t>(</w:t>
      </w:r>
      <w:r w:rsidRPr="00DA5AE2">
        <w:fldChar w:fldCharType="begin" w:fldLock="1"/>
      </w:r>
      <w:r w:rsidR="0014540B" w:rsidRPr="00DA5AE2">
        <w:instrText>ADDIN CSL_CITATION {"citationItems":[{"id":"ITEM-1","itemData":{"DOI":"10.1016/S0304-3800(98)00205-1","ISBN":"3338339402","ISSN":"03043800","abstract":"This paper presents a daily water balance model where the main aim is to quantify drought intensity and duration in forest stands. This model requires daily potential evapotranspiration and rainfall as input climatic data. Required site and stand parameters are only maximum extractable soil water and leaf area index, the latter controlling (i) stand transpiration; (ii) forest floor evapotranspiration; and (iii) rainfall interception. Other informations, like root distribution and soil porosity, can be used if available, improving the simulation of short term soil water recharge. Water stress is assumed to occur when relative extractable soil water (REW) drops below a threshold of 0.4 under which transpiration is gradually reduced due to stomatal closure. The model was calibrated using sap flow measurements of stand transpiration in oak and spruce stands during several successive dehydration-rehydration cycles. Validation of the model was performed by comparing predicted soil water content to weekly neutron probe measurements in various forest stands and climatic conditions. The model simulated accurately the dynamics of soil water depletion and recharge, and predicted the main components of forest water balance. Day-to-day estimates of soil water content during the growing season allows to quantify duration and intensity of drought events, and to compute stress indexes. A dendroecological application is presented: a retrospective analysis of the effects of drought on radial tree growth, based on long term climatic time series, is shown. Some limitations and potential applications of the model are discussed.","author":[{"dropping-particle":"","family":"Granier","given":"A.","non-dropping-particle":"","parse-names":false,"suffix":""},{"dropping-particle":"","family":"Bréda","given":"N.","non-dropping-particle":"","parse-names":false,"suffix":""},{"dropping-particle":"","family":"Biron","given":"P.","non-dropping-particle":"","parse-names":false,"suffix":""},{"dropping-particle":"","family":"Villette","given":"S.","non-dropping-particle":"","parse-names":false,"suffix":""}],"container-title":"Ecological Modelling","id":"ITEM-1","issue":"2-3","issued":{"date-parts":[["1999"]]},"page":"269-283","title":"A lumped water balance model to evaluate duration and intensity of drought constraints in forest stands","type":"article-journal","volume":"116"},"uris":["http://www.mendeley.com/documents/?uuid=783c7548-783e-48d7-bf9f-38809aced6ad"]}],"mendeley":{"formattedCitation":"(Granier et al., 1999)","manualFormatting":"Granier et al. 1999)","plainTextFormattedCitation":"(Granier et al., 1999)","previouslyFormattedCitation":"(Granier et al., 1999)"},"properties":{"noteIndex":0},"schema":"https://github.com/citation-style-language/schema/raw/master/csl-citation.json"}</w:instrText>
      </w:r>
      <w:r w:rsidRPr="00DA5AE2">
        <w:fldChar w:fldCharType="separate"/>
      </w:r>
      <w:bookmarkStart w:id="34" w:name="Bookmark32"/>
      <w:r w:rsidRPr="00DA5AE2">
        <w:rPr>
          <w:noProof/>
        </w:rPr>
        <w:t>Granier et al. 1999)</w:t>
      </w:r>
      <w:r w:rsidRPr="00DA5AE2">
        <w:fldChar w:fldCharType="end"/>
      </w:r>
      <w:bookmarkEnd w:id="34"/>
      <w:r w:rsidRPr="00DA5AE2">
        <w:t xml:space="preserve">. </w:t>
      </w:r>
    </w:p>
    <w:p w14:paraId="099C6D6E" w14:textId="77777777" w:rsidR="00B26A2C" w:rsidRPr="00DA5AE2" w:rsidRDefault="007F6878">
      <w:pPr>
        <w:pStyle w:val="Heading3"/>
        <w:jc w:val="both"/>
      </w:pPr>
      <w:r w:rsidRPr="00DA5AE2">
        <w:t>Functional traits</w:t>
      </w:r>
    </w:p>
    <w:p w14:paraId="511ECE95" w14:textId="3D180F63" w:rsidR="00B26A2C" w:rsidRPr="00DA5AE2" w:rsidRDefault="007F6878">
      <w:pPr>
        <w:jc w:val="both"/>
      </w:pPr>
      <w:r w:rsidRPr="00DA5AE2">
        <w:t xml:space="preserve">We collected species-level hydraulic, leaf and whole plant economic traits from </w:t>
      </w:r>
      <w:r w:rsidR="00B333DD" w:rsidRPr="00DA5AE2">
        <w:t>various sources</w:t>
      </w:r>
      <w:r w:rsidRPr="00DA5AE2">
        <w:t xml:space="preserve"> to test </w:t>
      </w:r>
      <w:r w:rsidR="005110CA" w:rsidRPr="00DA5AE2">
        <w:t xml:space="preserve">the relationship of traits with </w:t>
      </w:r>
      <w:r w:rsidRPr="00DA5AE2">
        <w:t xml:space="preserve">species survival. </w:t>
      </w:r>
      <w:r w:rsidR="00735AFE" w:rsidRPr="00DA5AE2">
        <w:t>Not only did we include hydraulic traits that may indicate a plant's drought strategy, we also considered traits related to reproductive strategy, resource acquisition strategy and whole plant economics to provide a holistic understanding of which traits can influence species' responses to drought in this multi-site study (</w:t>
      </w:r>
      <w:r w:rsidR="00E43EF2" w:rsidRPr="00DA5AE2">
        <w:t xml:space="preserve">see Supplementary Metadata M4 for overview of </w:t>
      </w:r>
      <w:r w:rsidR="00FA414C" w:rsidRPr="00DA5AE2">
        <w:t xml:space="preserve">the </w:t>
      </w:r>
      <w:r w:rsidR="00E43EF2" w:rsidRPr="00DA5AE2">
        <w:t>traits</w:t>
      </w:r>
      <w:r w:rsidR="00A62212" w:rsidRPr="00DA5AE2">
        <w:t xml:space="preserve"> </w:t>
      </w:r>
      <w:r w:rsidR="00C245A9" w:rsidRPr="00DA5AE2">
        <w:t xml:space="preserve">and </w:t>
      </w:r>
      <w:r w:rsidR="00A62212" w:rsidRPr="00DA5AE2">
        <w:t>the strategies they represent).</w:t>
      </w:r>
      <w:r w:rsidR="001440DA" w:rsidRPr="00DA5AE2">
        <w:t xml:space="preserve"> </w:t>
      </w:r>
      <w:r w:rsidRPr="00DA5AE2">
        <w:t xml:space="preserve">The hydraulic traits were water potential at which 50% of xylem cavitates (P50, unit: MPa), minimum water potential (Ψmin, unit: MPa) and turgor loss point (TLP, unit: MPa), all collected from multiple sources </w:t>
      </w:r>
      <w:r w:rsidRPr="00DA5AE2">
        <w:fldChar w:fldCharType="begin" w:fldLock="1"/>
      </w:r>
      <w:r w:rsidR="00F14052">
        <w:instrText>ADDIN CSL_CITATION {"citationItems":[{"id":"ITEM-1","itemData":{"DOI":"10.1111/j.1461-0248.2012.01751.x","ISSN":"1461023X","PMID":"22435987","abstract":"Increasing drought is one of the most critical challenges facing species and ecosystems worldwide, and improved theory and practices are needed for quantification of species tolerances. Leaf water potential at turgor loss, or wilting (π tlp), is classically recognised as a major physiological determinant of plant water stress response. However, the cellular basis of π tlp and its importance for predicting ecological drought tolerance have been controversial. A meta-analysis of 317 species from 72 studies showed that π tlp was strongly correlated with water availability within and across biomes, indicating power for anticipating drought responses. We derived new equations giving both π tlp and relative water content at turgor loss point (RWC tlp) as explicit functions of osmotic potential at full turgor (π o) and bulk modulus of elasticity (ε). Sensitivity analyses and meta-analyses showed that π o is the major driver of π tlp. In contrast, ε plays no direct role in driving drought tolerance within or across species, but sclerophylly and elastic adjustments act to maintain RWC tlp, preventing cell dehydration, and additionally protect against nutrient, mechanical and herbivory stresses independent of drought tolerance. These findings clarify biogeographic trends and the underlying basis of drought tolerance parameters with applications in comparative assessments of species and ecosystems worldwide. © 2012 Blackwell Publishing Ltd/CNRS.","author":[{"dropping-particle":"","family":"Bartlett","given":"Megan K.","non-dropping-particle":"","parse-names":false,"suffix":""},{"dropping-particle":"","family":"Scoffoni","given":"Christine","non-dropping-particle":"","parse-names":false,"suffix":""},{"dropping-particle":"","family":"Sack","given":"Lawren","non-dropping-particle":"","parse-names":false,"suffix":""}],"container-title":"Ecology Letters","id":"ITEM-1","issue":"5","issued":{"date-parts":[["2012"]]},"page":"393-405","title":"The determinants of leaf turgor loss point and prediction of drought tolerance of species and biomes: A global meta-analysis","type":"article-journal","volume":"15"},"uris":["http://www.mendeley.com/documents/?uuid=c2c44df7-4f07-40e9-a5ec-ff066aafd951"]},{"id":"ITEM-2","itemData":{"DOI":"10.1016/j.ufug.2015.08.004","ISSN":"16108167","abstract":"It is widely recognized that trees contribute a range of ecosystem services in urban environments. However, the magnitude of their contribution is closely related to their physiological condition and capacity to persist within our towns and cities. Root loss during transplanting, limited soil volume, disruption to soil hydrological processes and impermeable surfaces result in water deficits being major physiological stress limiting the performance of urban trees. The leaf water potential at turgor loss (ΨP0) provides a robust measure of drought tolerance since a more negative ΨP0 allows the leaf to maintain physiological function over a wider range of leaf water potentials and, by implication, soil matric potentials (Ψsoil). In this study, ΨP0 was calculated for 27 maple (Acer) genotypes based on a known linear relationship between the osmotic potential at full turgor (Ψπ100) and ΨP0. In spring, ΨP0 varied between -1.4MPa in Acer carpinifolium and -2.7 in both Acer rubrum 'Northwood' and Acer x freemanii 'Autumn Blaze'. During summer, Acer spicatum had the highest ΨP0 at -1.6MPa and Acer monspessulanum had the lowest ΨP0 at -4.3MPa. Significant differences in ΨP0 were found between cultivars of A. rubrum and Acer saccharum. A highly significant relationship was found between seasonal osmotic adjustment and summer ΨP0 suggesting that osmotic adjustment is a driving force for summer ΨP0 in Acer leaves. These data confirm the wide range of tolerance to water deficits in Acer and give important insight into the potential of species to tolerate periods of low water availability by providing quantitative data not previously available. The technique shows great promise as a screening tool for the drought tolerance of new and traditional plant material. This data will be highly relevant for those selecting trees for urban sites as well as for nurseries seeking to evaluate genotypes for production purposes.","author":[{"dropping-particle":"","family":"Sjöman","given":"Henrik","non-dropping-particle":"","parse-names":false,"suffix":""},{"dropping-particle":"","family":"Hirons","given":"Andrew D.","non-dropping-particle":"","parse-names":false,"suffix":""},{"dropping-particle":"","family":"Bassuk","given":"Nina L.","non-dropping-particle":"","parse-names":false,"suffix":""}],"container-title":"Urban Forestry and Urban Greening","id":"ITEM-2","issue":"4","issued":{"date-parts":[["2015"]]},"page":"858-865","publisher":"Elsevier GmbH.","title":"Urban forest resilience through tree selection-Variation in drought tolerance in Acer","type":"article-journal","volume":"14"},"uris":["http://www.mendeley.com/documents/?uuid=dc55936e-f730-4bf2-b56a-7c5a76d246eb"]},{"id":"ITEM-3","itemData":{"DOI":"10.1104/pp.16.00829","ISSN":"15322548","PMID":"27268961","abstract":"The water transport pipeline in herbs is assumed to be more vulnerable to drought than in trees due to the formation of frequent embolisms (gas bubbles), which could be removed by the occurrence of root pressure, especially in grasses. Here, we studied hydraulic failure in herbaceous angiosperms by measuring the pressure inducing 50% loss of hydraulic conductance (P50) in stems of 26 species, mainly European grasses (Poaceae). Our measurements show a large range in P50 from 20.5 to 27.5 MPa, which overlaps with 94% of the woody angiosperm species in a worldwide, published data set and which strongly correlates with an aridity index. Moreover, the P50 values obtained were substantially more negative than the midday water potentials for five grass species monitored throughout the entire growing season, suggesting that embolism formation and repair are not routine and mainly occur under water deficits. These results show that both herbs and trees share the ability to withstand very negative water potentials without considerable embolism formation in their xylem conduits during drought stress. In addition, structure-function trade-offs in grass stems reveal that more resistant species are more lignified, which was confirmed for herbaceous and closely related woody species of the daisy group (Asteraceae). Our findings could imply that herbs with more lignified stems will become more abundant in future grasslands under more frequent and severe droughts, potentially resulting in lower forage digestibility.","author":[{"dropping-particle":"","family":"Lens","given":"Frederic","non-dropping-particle":"","parse-names":false,"suffix":""},{"dropping-particle":"","family":"Picon-Cochard","given":"Catherine","non-dropping-particle":"","parse-names":false,"suffix":""},{"dropping-particle":"","family":"Delmas","given":"Chloé E.L.","non-dropping-particle":"","parse-names":false,"suffix":""},{"dropping-particle":"","family":"Signarbieux","given":"Constant","non-dropping-particle":"","parse-names":false,"suffix":""},{"dropping-particle":"","family":"Buttler","given":"Alexandre","non-dropping-particle":"","parse-names":false,"suffix":""},{"dropping-particle":"","family":"Cochard","given":"Hervé","non-dropping-particle":"","parse-names":false,"suffix":""},{"dropping-particle":"","family":"Jansen","given":"Steven","non-dropping-particle":"","parse-names":false,"suffix":""},{"dropping-particle":"","family":"Chauvin","given":"Thibaud","non-dropping-particle":"","parse-names":false,"suffix":""},{"dropping-particle":"","family":"Doria","given":"Larissa Chacon","non-dropping-particle":"","parse-names":false,"suffix":""},{"dropping-particle":"","family":"Arco","given":"Marcelino","non-dropping-particle":"Del","parse-names":false,"suffix":""},{"dropping-particle":"","family":"Delzon","given":"Sylvain","non-dropping-particle":"","parse-names":false,"suffix":""}],"container-title":"Plant Physiology","id":"ITEM-3","issue":"2","issued":{"date-parts":[["2016"]]},"page":"661-667","title":"Herbaceous angiosperms are not more vulnerable to drought-induced embolism than angiosperm trees","type":"article-journal","volume":"172"},"uris":["http://www.mendeley.com/documents/?uuid=37ca8d7b-a4e3-4a50-b1a8-2354d7369fab"]},{"id":"ITEM-4","itemData":{"DOI":"10.1111/nph.14545","ISSN":"14698137","PMID":"28378882","abstract":"Xylem vulnerability to embolism is emerging as a major factor in drought-induced tree mortality events across the globe. However, we lack understanding of how and to what extent climate has shaped vascular properties or functions. We investigated the evolution of xylem hydraulic function and diversification patterns in Australia's most successful gymnosperm clade, Callitris, the world's most drought-resistant conifers. For all 23 species in this group, we measured embolism resistance (P50), xylem specific hydraulic conductivity (Ks), wood density, and tracheary element size from natural populations. We investigated whether hydraulic traits variation linked with climate and the diversification of this clade using a time-calibrated phylogeny. Embolism resistance varied widely across the Callitris clade (P50: −3.8 to −18.8 MPa), and was significantly related to water scarcity, as was tracheid diameter. We found no evidence of a safety-efficiency tradeoff; Ks and wood density were not related to rainfall. Callitris diversification coincides with the onset of aridity in Australia since the early Oligocene. Our results highlight the evolutionary lability of xylem traits with climate, and the leading role of aridity in the diversification of conifers. The uncoupling of safety from other xylem functions allowed Callitris to evolve extreme embolism resistance and diversify into xeric environments.","author":[{"dropping-particle":"","family":"Larter","given":"Maximilian","non-dropping-particle":"","parse-names":false,"suffix":""},{"dropping-particle":"","family":"Pfautsch","given":"Sebastian","non-dropping-particle":"","parse-names":false,"suffix":""},{"dropping-particle":"","family":"Domec","given":"Jean Christophe","non-dropping-particle":"","parse-names":false,"suffix":""},{"dropping-particle":"","family":"Trueba","given":"Santiago","non-dropping-particle":"","parse-names":false,"suffix":""},{"dropping-particle":"","family":"Nagalingum","given":"Nathalie","non-dropping-particle":"","parse-names":false,"suffix":""},{"dropping-particle":"","family":"Delzon","given":"Sylvain","non-dropping-particle":"","parse-names":false,"suffix":""}],"container-title":"New Phytologist","id":"ITEM-4","issue":"1","issued":{"date-parts":[["2017"]]},"page":"97-112","title":"Aridity drove the evolution of extreme embolism resistance and the radiation of conifer genus Callitris","type":"article-journal","volume":"215"},"uris":["http://www.mendeley.com/documents/?uuid=a91dbeb0-63c6-4d26-9d0e-a367bc2f75f2"]},{"id":"ITEM-5","itemData":{"DOI":"10.1111/ele.12851","ISSN":"1461023X","author":[{"dropping-particle":"","family":"Martin-StPaul","given":"Nicolas","non-dropping-particle":"","parse-names":false,"suffix":""},{"dropping-particle":"","family":"Delzon","given":"Sylvain","non-dropping-particle":"","parse-names":false,"suffix":""},{"dropping-particle":"","family":"Cochard","given":"Hervé","non-dropping-particle":"","parse-names":false,"suffix":""}],"container-title":"Ecology Letters","editor":[{"dropping-particle":"","family":"Maherali","given":"Hafiz","non-dropping-particle":"","parse-names":false,"suffix":""}],"id":"ITEM-5","issue":"11","issued":{"date-parts":[["2017","11"]]},"page":"1437-1447","title":"Plant resistance to drought depends on timely stomatal closure","type":"article-journal","volume":"20"},"uris":["http://www.mendeley.com/documents/?uuid=6c08f356-29ec-44fb-9492-33e35d4286b8"]},{"id":"ITEM-6","itemData":{"DOI":"10.1038/s41586-018-0240-x","ISSN":"14764687","PMID":"29950621","abstract":"Severe droughts have caused widespread tree mortality across many forest biomes with profound effects on the function of ecosystems and carbon balance. Climate change is expected to intensify regional-scale droughts, focusing attention on the physiological basis of drought-induced tree mortality. Recent work has shown that catastrophic failure of the plant hydraulic system is a principal mechanism involved in extensive crown death and tree mortality during drought, but the multi-dimensional response of trees to desiccation is complex. Here we focus on the current understanding of tree hydraulic performance under drought, the identification of physiological thresholds that precipitate mortality and the mechanisms of recovery after drought. Building on this, we discuss the potential application of hydraulic thresholds to process-based models that predict mortality.","author":[{"dropping-particle":"","family":"Choat","given":"Brendan","non-dropping-particle":"","parse-names":false,"suffix":""},{"dropping-particle":"","family":"Brodribb","given":"Timothy J.","non-dropping-particle":"","parse-names":false,"suffix":""},{"dropping-particle":"","family":"Brodersen","given":"Craig R.","non-dropping-particle":"","parse-names":false,"suffix":""},{"dropping-particle":"","family":"Duursma","given":"Remko A.","non-dropping-particle":"","parse-names":false,"suffix":""},{"dropping-particle":"","family":"López","given":"Rosana","non-dropping-particle":"","parse-names":false,"suffix":""},{"dropping-particle":"","family":"Medlyn","given":"Belinda E.","non-dropping-particle":"","parse-names":false,"suffix":""}],"container-title":"Nature","id":"ITEM-6","issue":"7711","issued":{"date-parts":[["2018"]]},"page":"531-539","title":"Triggers of tree mortality under drought","type":"article-journal","volume":"558"},"uris":["http://www.mendeley.com/documents/?uuid=241a8ebc-75a7-480c-9008-e2673adc1f31"]},{"id":"ITEM-7","itemData":{"DOI":"10.1016/j.foreco.2018.04.031","ISSN":"03781127","abstract":"The genus Quercus comprises important species in forestry not only for their productive value but also for their ability to withstand drought. Hence an evaluation of inter- and intraspecific variation in drought tolerance is important for selecting the best adapted species and provenances for future afforestation. However, the presence of long vessels makes it difficult to assess xylem vulnerability to embolism in these species. Thanks to the development of a flow centrifuge equipped with a large rotor, we quantified (i) the between species variability of embolism resistance in four native and two exotic species of oaks in Europe and (ii) the within species variability in Quercus petraea. Embolism resistance varied significantly between species, with the pressure inducing 50% loss of hydraulic conductivity (P50) ranging between −7.0 and −4.2 MPa. Species native to the Mediterranean region were more resistant than pan-European species. In contrast, intraspecific variability in embolism resistance in Q. petraea was low within provenances and null between provenances. A positive correlation between P50 and vessel diameter among the six oak species indicates that the more embolism resistant species had narrower xylem vessels and a higher amount of hydraulic bridges between vessels. However, this tradeoff between hydraulic efficiency and safety was not observed between Q. petraea provenances.","author":[{"dropping-particle":"","family":"Lobo","given":"Albin","non-dropping-particle":"","parse-names":false,"suffix":""},{"dropping-particle":"","family":"Torres-Ruiz","given":"José M.","non-dropping-particle":"","parse-names":false,"suffix":""},{"dropping-particle":"","family":"Burlett","given":"Regis","non-dropping-particle":"","parse-names":false,"suffix":""},{"dropping-particle":"","family":"Lemaire","given":"Cedric","non-dropping-particle":"","parse-names":false,"suffix":""},{"dropping-particle":"","family":"Parise","given":"Camille","non-dropping-particle":"","parse-names":false,"suffix":""},{"dropping-particle":"","family":"Francioni","given":"Claire","non-dropping-particle":"","parse-names":false,"suffix":""},{"dropping-particle":"","family":"Truffaut","given":"Laura","non-dropping-particle":"","parse-names":false,"suffix":""},{"dropping-particle":"","family":"Tomášková","given":"Ivana","non-dropping-particle":"","parse-names":false,"suffix":""},{"dropping-particle":"","family":"Hansen","given":"Jon Kehlet","non-dropping-particle":"","parse-names":false,"suffix":""},{"dropping-particle":"","family":"Kjær","given":"Erik Dahl","non-dropping-particle":"","parse-names":false,"suffix":""},{"dropping-particle":"","family":"Kremer","given":"Antoine","non-dropping-particle":"","parse-names":false,"suffix":""},{"dropping-particle":"","family":"Delzon","given":"Sylvain","non-dropping-particle":"","parse-names":false,"suffix":""}],"container-title":"Forest Ecology and Management","id":"ITEM-7","issued":{"date-parts":[["2018"]]},"page":"53-61","title":"Assessing inter- and intraspecific variability of xylem vulnerability to embolism in oaks","type":"article-journal","volume":"424"},"uris":["http://www.mendeley.com/documents/?uuid=7b93f1eb-c9d3-4bd4-99e5-36206676c57a"]},{"id":"ITEM-8","itemData":{"DOI":"10.1007/s13595-019-0905-0","ISSN":"1297966X","abstract":"Key message: Abundant Neotropical canopy-tree species are more resistant to drought-induced branch embolism than what is currently admitted. Large hydraulic safety margins protect them from hydraulic failure under actual drought conditions. Context: Xylem vulnerability to embolism, which is associated to survival under extreme drought conditions, is being increasingly studied in the tropics, but data on the risk of hydraulic failure for lowland Neotropical rainforest canopy-tree species, thought to be highly vulnerable, are lacking. Aims: The purpose of this study was to gain more knowledge on species drought-resistance characteristics in branches and leaves and the risk of hydraulic failure of abundant rainforest canopy-tree species during the dry season. Methods: We first assessed the range of branch xylem vulnerability to embolism using the flow-centrifuge technique on 1-m-long sun-exposed branches and evaluated hydraulic safety margins with leaf turgor loss point and midday water potential during normal- and severe-intensity dry seasons for a large set of Amazonian rainforest canopy-tree species. Results: Tree species exhibited a broad range of embolism resistance, with the pressure threshold inducing 50% loss of branch hydraulic conductivity varying from − 1.86 to − 7.63 MPa. Conversely, we found low variability in leaf turgor loss point and dry season midday leaf water potential, and mostly large, positive hydraulic safety margins. Conclusions: Rainforest canopy-tree species growing under elevated mean annual precipitation can have high resistance to embolism and are more resistant than what was previously thought. Thanks to early leaf turgor loss and high embolism resistance, most species have a low risk of hydraulic failure and are well able to withstand normal and even severe dry seasons.","author":[{"dropping-particle":"","family":"Ziegler","given":"Camille","non-dropping-particle":"","parse-names":false,"suffix":""},{"dropping-particle":"","family":"Coste","given":"Sabrina","non-dropping-particle":"","parse-names":false,"suffix":""},{"dropping-particle":"","family":"Stahl","given":"Clément","non-dropping-particle":"","parse-names":false,"suffix":""},{"dropping-particle":"","family":"Delzon","given":"Sylvain","non-dropping-particle":"","parse-names":false,"suffix":""},{"dropping-particle":"","family":"Levionnois","given":"Sébastien","non-dropping-particle":"","parse-names":false,"suffix":""},{"dropping-particle":"","family":"Cazal","given":"Jocelyn","non-dropping-particle":"","parse-names":false,"suffix":""},{"dropping-particle":"","family":"Cochard","given":"Hervé","non-dropping-particle":"","parse-names":false,"suffix":""},{"dropping-particle":"","family":"Esquivel-Muelbert","given":"Adriane","non-dropping-particle":"","parse-names":false,"suffix":""},{"dropping-particle":"","family":"Goret","given":"Jean Yves","non-dropping-particle":"","parse-names":false,"suffix":""},{"dropping-particle":"","family":"Heuret","given":"Patrick","non-dropping-particle":"","parse-names":false,"suffix":""},{"dropping-particle":"","family":"Jaouen","given":"Gaëlle","non-dropping-particle":"","parse-names":false,"suffix":""},{"dropping-particle":"","family":"Santiago","given":"Louis S.","non-dropping-particle":"","parse-names":false,"suffix":""},{"dropping-particle":"","family":"Bonal","given":"Damien","non-dropping-particle":"","parse-names":false,"suffix":""}],"container-title":"Annals of Forest Science","id":"ITEM-8","issue":"4","issued":{"date-parts":[["2019"]]},"publisher":"Annals of Forest Science","title":"Large hydraulic safety margins protect Neotropical canopy rainforest tree species against hydraulic failure during drought","type":"article-journal","volume":"76"},"uris":["http://www.mendeley.com/documents/?uuid=82b74f71-4175-4bf2-9ad4-7491deaec4d8"]},{"id":"ITEM-9","itemData":{"DOI":"10.1126/sciadv.aav1332","ISSN":"2375-2548","PMID":"30788435","abstract":"Water must be transported long distances in tall plants, resulting in increasing hydraulic resistance, which may place limitations on the maximum plant height ( H max ) in a given habitat. However, the coordination of hydraulic traits with H max and habitat aridity remains poorly understood. To explore whether H max modifies the trade-off between hydraulic efficiency and safety or how water availability might influence the relationship between H max and other hydraulic traits, we compiled a dataset including H max and 11 hydraulic traits for 1281 woody species from 369 sites worldwide. We found that taller species from wet habitats exhibited greater xylem efficiency and lower hydraulic safety, wider conduits, lower conduit density, and lower sapwood density, which were all associated with habitat water availability. Plant height and hydraulic functioning appear to represent a single, coordinated axis of variation, aligned primarily with water availability, thus suggesting an important role for this axis in species sorting processes.","author":[{"dropping-particle":"","family":"Liu","given":"Hui","non-dropping-particle":"","parse-names":false,"suffix":""},{"dropping-particle":"","family":"Gleason","given":"Sean M.","non-dropping-particle":"","parse-names":false,"suffix":""},{"dropping-particle":"","family":"Hao","given":"Guangyou","non-dropping-particle":"","parse-names":false,"suffix":""},{"dropping-particle":"","family":"Hua","given":"Lei","non-dropping-particle":"","parse-names":false,"suffix":""},{"dropping-particle":"","family":"He","given":"Pengcheng","non-dropping-particle":"","parse-names":false,"suffix":""},{"dropping-particle":"","family":"Goldstein","given":"Guillermo","non-dropping-particle":"","parse-names":false,"suffix":""},{"dropping-particle":"","family":"Ye","given":"Qing","non-dropping-particle":"","parse-names":false,"suffix":""}],"container-title":"Science Advances","id":"ITEM-9","issue":"2","issued":{"date-parts":[["2019","2","13"]]},"page":"eaav1332","title":"Hydraulic traits are coordinated with maximum plant height at the global scale","type":"article-journal","volume":"5"},"uris":["http://www.mendeley.com/documents/?uuid=c0dd4a87-7e8b-47f7-b0c4-474adc0ccf3d"]},{"id":"ITEM-10","itemData":{"DOI":"10.1093/jpe/rtaa059","ISSN":"1752993X","abstract":"The last years, Central European forests have suffered from drought as a direct consequence of climate change. All these forests have a long management history and it lies in the landowner's responsibility to replant damaged forests. Hence, landowners and the government are searching currently for species suitable to replant in areas affected by tree die-offs. It is a matter of fact that good knowledge of drought resistance of species is a critical measure for the current replanting efforts. We determined a widely recognized trait for leaf drought tolerance (leaf water potential at turgor loss point at full hydration, πtlp) in 41 woody species native or introduced in Central Europe. The osmometric rapid assessment method was used to measure the leaf osmotic potential at full hydration (πosm) of sun-exposed leaves and converted to πtlp. Mean πtlp of the native species was-2.33 ± 0.33 MPa. The less negative πtlp was found in the introduced species Aesculus hypocastania and was at-1.70 ± 0.11 MPa. The most negative πtlp, and thus the potentially highest drought tolerance, were found in the introduced species Pseudotsuga menzesii and was at-3.02 ± 0.14 MPa. High or less negative πtlp is associated with lower drought tolerance, whereas low or more negative πtlp stands for higher resistance to drought stress. For example, the two native species Illex aquifolium and Alnus glustinosa are species naturally associated with moist habitats and are characterized by the least negative πtlp of-1.75 ± 0.02 and-1.76 ± 0.03 MPa, respectively.","author":[{"dropping-particle":"","family":"Kunert","given":"Norbert","non-dropping-particle":"","parse-names":false,"suffix":""},{"dropping-particle":"","family":"Tomaskova","given":"Ivana","non-dropping-particle":"","parse-names":false,"suffix":""}],"container-title":"Journal of Plant Ecology","id":"ITEM-10","issue":"6","issued":{"date-parts":[["2020"]]},"page":"754-756","title":"Leaf turgor loss point at full hydration for 41 native and introduced tree and shrub species from Central Europe","type":"article-journal","volume":"13"},"uris":["http://www.mendeley.com/documents/?uuid=4845353d-83b1-430c-b4b4-2a9767a2eb7c"]},{"id":"ITEM-11","itemData":{"DOI":"10.1073/pnas.2008987118","ISSN":"10916490","PMID":"33649205","abstract":"Quantitative knowledge of xylem physical tolerance limits to dehydration is essential to understanding plant drought tolerance but is lacking in many long-vessel angiosperms. We examine the hypothesis that a fundamental association between sustained xylem water transport and downstream tissue function should select for xylem that avoids embolism in long-vessel trees by quantifying xylem capacity to withstand air entry of western North American oaks (Quercus spp.). Optical visualization showed that 50% of embolism occurs at water potentials below -2.7 MPa in all 19 species, and -6.6 MPa in the most resistant species. By mapping the evolution of xylem vulnerability to embolism onto a fossil-dated phylogeny of the western North American oaks, we found large differences between clades (sections) while closely related species within each clade vary little in their capacity to withstand air entry. Phylogenetic conservatism in xylem physical tolerance, together with a significant correlation between species distributions along rainfall gradients and their dehydration tolerance, suggests that closely related species occupy similar climatic niches and that species’ geographic ranges may have shifted along aridity gradients in accordance with their physical tolerance. Such trends, coupled with evolutionary associations between capacity to withstand xylem embolism and other hydraulic-related traits, yield wide margins of safety against embolism in oaks from diverse habitats. Evolved responses of the vascular system to aridity support the embolism avoidance hypothesis and reveal the importance of quantifying plant capacity to withstand xylem embolism for understanding function and biogeography of some of the Northern Hemisphere’s most ecologically and economically important plants.","author":[{"dropping-particle":"","family":"Skelton","given":"Robert P.","non-dropping-particle":"","parse-names":false,"suffix":""},{"dropping-particle":"","family":"Anderegg","given":"Leander D.L.","non-dropping-particle":"","parse-names":false,"suffix":""},{"dropping-particle":"","family":"Diaz","given":"Jessica","non-dropping-particle":"","parse-names":false,"suffix":""},{"dropping-particle":"","family":"Kling","given":"Matthew M.","non-dropping-particle":"","parse-names":false,"suffix":""},{"dropping-particle":"","family":"Papper","given":"Prahlad","non-dropping-particle":"","parse-names":false,"suffix":""},{"dropping-particle":"","family":"Lamarque","given":"Laurent J.","non-dropping-particle":"","parse-names":false,"suffix":""},{"dropping-particle":"","family":"Delzon","given":"Sylvain","non-dropping-particle":"","parse-names":false,"suffix":""},{"dropping-particle":"","family":"Dawson","given":"Todd E.","non-dropping-particle":"","parse-names":false,"suffix":""},{"dropping-particle":"","family":"Ackerly","given":"David D.","non-dropping-particle":"","parse-names":false,"suffix":""}],"container-title":"Proceedings of the National Academy of Sciences of the United States of America","id":"ITEM-11","issue":"10","issued":{"date-parts":[["2021"]]},"title":"Evolutionary relationships between drought-related traits and climate shape large hydraulic safety margins in western North American oaks","type":"article-journal","volume":"118"},"uris":["http://www.mendeley.com/documents/?uuid=1eec42db-a3d6-469d-b895-942b0df59201"]},{"id":"ITEM-12","itemData":{"DOI":"10.1093/jxb/erab449","ISSN":"14602431","abstract":"Conifers face increased drought mortality risks because of drought-induced embolism in their vascular system. Variation in embolism resistance may result from species differences in pit structure and function, as pits control the air seeding between water-transporting conduits. This study quantifies variation in embolism resistance and hydraulic conductivity for 28 conifer species grown in a 50-year-old common garden experiment and assesses the underlying mechanisms. Conifer species with a small pit aperture, high pit aperture resistance, and large valve effect were more resistant to embolism, as they all may reduce air seeding. Surprisingly, hydraulic conductivity was only negatively correlated with tracheid cell wall thickness. Embolism resistance and its underlying pit traits related to pit size and sealing were more strongly phylogenetically controlled than hydraulic conductivity and anatomical tracheid traits. Conifers differed in hydraulic safety and hydraulic efficiency, but there was no trade-off between safety and efficiency because they are driven by different xylem anatomical traits that are under different phylogenetic control.","author":[{"dropping-particle":"","family":"Song","given":"Yanjun","non-dropping-particle":"","parse-names":false,"suffix":""},{"dropping-particle":"","family":"Poorter","given":"Lourens","non-dropping-particle":"","parse-names":false,"suffix":""},{"dropping-particle":"","family":"Horsting","given":"Angelina","non-dropping-particle":"","parse-names":false,"suffix":""},{"dropping-particle":"","family":"Delzon","given":"Sylvain","non-dropping-particle":"","parse-names":false,"suffix":""},{"dropping-particle":"","family":"Sterck","given":"Frank","non-dropping-particle":"","parse-names":false,"suffix":""}],"container-title":"Journal of Experimental Botany","id":"ITEM-12","issue":"3","issued":{"date-parts":[["2022"]]},"page":"1033-1048","title":"Pit and tracheid anatomy explain hydraulic safety but not hydraulic efficiency of 28 conifer species","type":"article-journal","volume":"73"},"uris":["http://www.mendeley.com/documents/?uuid=9835180b-c22d-4e21-9052-88aea9de082b"]},{"id":"ITEM-13","itemData":{"DOI":"10.1111/gcb.16082","ISSN":"1354-1013","abstract":"Featuring the art of covalent chemistry on 2D and 3D with molecular precision, covalent organic frameworks (COFs) have attracted immense interests from inorganic, organic, polymer, materials and energy chemistry. However, due to the synthetic challenge of “crystallization problem”, structural determination of COFs has been the bottle-neck in speeding up their discovery and design, as well as building up their structure-property relation. Electron diffraction tomography (EDT) have been developed to determine crystal structures of COFs with only sub-micrometer sized single crystals, which enabled the ab initio determination of crystal structure, molecular connectivity, pore metrics, and host-guest interaction at the atomic level. In this review, we summarized the recent developments of EDT for addressing challenges in structure determinations of such e-beam sensitive, organic porous crystals, covering comprehensively automatic data collection, low dose, cryogenic protocols, structural solution method, powder X-ray diffraction refinement, and high-resolution transmission electron microscopy (HRTEM) imaging techniques. We do believe the EDT will propel this field into the new era of COF chemistry with atomic precision, and we envision the wide application of artificial intelligence will promote the structural determination and particle analysis of COFs and related materials. Tu","author":[{"dropping-particle":"","family":"Guillemot","given":"Joannès","non-dropping-particle":"","parse-names":false,"suffix":""}</w:instrText>
      </w:r>
      <w:r w:rsidR="00F14052">
        <w:rPr>
          <w:rFonts w:hint="eastAsia"/>
        </w:rPr>
        <w:instrText>,{"dropping-particle":"","family":"Martin</w:instrText>
      </w:r>
      <w:r w:rsidR="00F14052">
        <w:rPr>
          <w:rFonts w:hint="eastAsia"/>
        </w:rPr>
        <w:instrText>‐</w:instrText>
      </w:r>
      <w:r w:rsidR="00F14052">
        <w:rPr>
          <w:rFonts w:hint="eastAsia"/>
        </w:rPr>
        <w:instrText>StPaul","given":"Nicolas K.","non-dropping-particle":"","parse-names":false,"suffix":""},{"dropping-particle":"","family":"Bulascoschi","given":"Leticia","non-dropping-particle":"","parse-names":false,"suffix":""}</w:instrText>
      </w:r>
      <w:r w:rsidR="00F14052">
        <w:instrText>,{"dropping-particle":"","family":"Poorter","given":"Lourens","non-dropping-particle":"","parse-names":false,"suffix":""},{"dropping-particle":"","family":"Morin","given":"Xavier","non-dropping-particle":"","parse-names":false,"suffix":""},{"dropping-particle":"","family":"Pinho","given":"Bruno X.","non-dropping-particle":"","parse-names":false,"suffix":""},{"dropping-particle":"","family":"Maire","given":"Guerric","non-dropping-particle":"","parse-names":false,"suffix":""},{"dropping-particle":"","family":"Bittencourt","given":"Paulo","non-dropping-particle":"","parse-names":false,"suffix":""},{"dropping-particle":"","family":"Oliveira","given":"Rafael S.","non-dropping-particle":"","parse-names":false,"suffix":""},{"dropping-particle":"","family":"Bongers","given":"Frans","non-dropping-particle":"","parse-names":false,"suffix":""},{"dropping-particle":"","family":"Brouwer","given":"Rens","non-dropping-particle":"","parse-names":false,"suffix":""},{"dropping-particle":"","family":"Pereira","given":"Luciano","non-dropping-particle":"","parse-names":false,"suffix":""},{"dropping-particle":"","family":"Melo","given":"German Andrés Gonzalez","non-dropping-particle":"","parse-names":false,"suffix":""},{"dropping-particle":"","family":"Boonman","given":"Coline C. F.","non-dropping-particle":"","parse-names":false,"suffix":""},{"dropping-particle":"","family":"Brown","given":"Kerry A.","non-dropping-particle":"","parse-names":false,"suffix":""},{"dropping-particle":"","family":"Cerabolini","given":"Bruno E.L.","non-dropping-particle":"","parse-names":false,"suffix":""},{"dropping-particle":"","family":"Niinemets","given":"Ülo","non-dropping-particle":"","parse-names":false,"suffix":""},{"dropping-particle":"","family":"Onoda","given":"Yusuke","non-dropping-particle":"","parse-names":false,"suffix":""},{"dropping-particle":"V.","family":"Schneider","given":"Julio","non-dropping-particle":"","parse-names":false,"suffix":""},{"dropping-particle":"","family":"Sheremetiev","given":"Serge","non-dropping-particle":"","parse-names":false,"suffix":""},{"dropping-particle":"","family":"Brancalion","given":"Pedro H.S.","non-dropping-particle":"","parse-names":false,"suffix":""}],"container-title":"Global Change Biology","id":"ITEM-13","issue":"3","issued":{"date-parts":[["2022","1","10"]]},"page":"287-288","title":"Small and slow is safe: on the drought tolerance of tropical tree species","type":"article-journal","volume":"13"},"uris":["http://www.mendeley.com/documents/?uuid=8a201c99-a70f-4c35-9404-af6785f5f0d7"]},{"id":"ITEM-14","itemData":{"author":[{"dropping-particle":"","family":"Maitner","given":"Brian","non-dropping-particle":"","parse-names":false,"suffix":""}],"id":"ITEM-14","issued":{"date-parts":[["2022"]]},"number":"R package version 1.2.5","title":"BIE</w:instrText>
      </w:r>
      <w:r w:rsidR="00F14052" w:rsidRPr="00F14052">
        <w:rPr>
          <w:lang w:val="nl-BE"/>
        </w:rPr>
        <w:instrText>N: Tools for Accessing the Botanical Information and Ecology Network Database","type":"article"},"uris":["http://www.mendeley.com/documents/?uuid=969d328b-b7e1-4093-a6e8-37be71025cee"]}],"mendeley":{"formattedCitation":"(Bartlett, Scoffoni, &amp; Sack, 2012; Choat et al., 2018; Guillemot et al., 2022; Kunert &amp; Tomaskova, 2020; Larter et al., 2017; Lens et al., 2016; H. Liu et al., 2019; Lobo et al., 2018; Maitner, 2022; Martin-StPaul, Delzon, &amp; Cochard, 2017; Sjöman, Hirons, &amp; Bassuk, 2015; Skelton et al., 2021; Song, Poorter, Horsting, Delzon, &amp; Sterck, 2022; Ziegler et al., 2019)","plainTextFormattedCitation":"(Bartlett, Scoffoni, &amp; Sack, 2012; Choat et al., 2018; Guillemot et al., 2022; Kunert &amp; Tomaskova, 2020; Larter et al., 2017; Lens et al., 2016; H. Liu et al., 2019; Lobo et al., 2018; Maitner, 2022; Martin-StPaul, Delzon, &amp; Cochard, 2017; Sjöman, Hirons, &amp; Bassuk, 2015; Skelton et al., 2021; Song, Poorter, Horsting, Delzon, &amp; Sterck, 2022; Ziegler et al., 2019)","previouslyFormattedCitation":"(Bartlett, Scoffoni, &amp; Sack, 2012; Sjöman, Hirons, &amp; Bassuk, 2015; Lens et al., 2016; Larter et al., 2017; Martin-StPaul, Delzon, &amp; Cochard, 2017; Choat et al., 2018; Lobo et al., 2018; Ziegler et al., 2019; H. Liu et al., 2019; Kunert &amp; Tomaskova, 2020; Skelton et al., 2021; Song, Poorter, Horsting, Delzon, &amp; Sterck, 2022; Guillemot et al., 2022; Maitner, 2022)"},"properties":{"noteIndex":0},"schema":"https://github.com/citation-style-language/schema/raw/master/csl-citation.json"}</w:instrText>
      </w:r>
      <w:r w:rsidRPr="00DA5AE2">
        <w:fldChar w:fldCharType="separate"/>
      </w:r>
      <w:bookmarkStart w:id="35" w:name="Bookmark33"/>
      <w:r w:rsidR="00F14052" w:rsidRPr="00F14052">
        <w:rPr>
          <w:noProof/>
          <w:lang w:val="nl-BE"/>
        </w:rPr>
        <w:t>(Bartlett, Scoffoni, &amp; Sack, 2012; Choat et al., 2018; Guillemot et al., 2022; Kunert &amp; Tomaskova, 2020; Larter et al., 2017; Lens et al., 2016; H. Liu et al., 2019; Lobo et al., 2018; Maitner, 2022; Martin-StPaul, Delzon, &amp; Cochard, 2017; Sjöman, Hirons, &amp; Bassuk, 2015; Skelton et al., 2021; Song, Poorter, Horsting, Delzon, &amp; Sterck, 2022; Ziegler et al., 2019)</w:t>
      </w:r>
      <w:r w:rsidRPr="00DA5AE2">
        <w:fldChar w:fldCharType="end"/>
      </w:r>
      <w:bookmarkEnd w:id="35"/>
      <w:r w:rsidRPr="00DA5AE2">
        <w:rPr>
          <w:lang w:val="nl-BE"/>
        </w:rPr>
        <w:t xml:space="preserve">. </w:t>
      </w:r>
      <w:r w:rsidRPr="00DA5AE2">
        <w:t xml:space="preserve">Leaf traits and whole plant economic traits were collected from the TRY database </w:t>
      </w:r>
      <w:r w:rsidRPr="00DA5AE2">
        <w:fldChar w:fldCharType="begin" w:fldLock="1"/>
      </w:r>
      <w:r w:rsidRPr="00DA5AE2">
        <w:instrText>ADDIN CSL_CITATION {"citationItems":[{"id":"ITEM-1","itemData":{"ISSN":"1354-1013","author":[{"dropping-particle":"","family":"Kattge","given":"Jens","non-dropping-particle":"","parse-names":false,"suffix":""},{"dropping-particle":"","family":"Diaz","given":"Sandra","non-dropping-particle":"","parse-names":false,"suffix":""},{"dropping-particle":"","family":"Lavorel","given":"Sandra","non-dropping-particle":"","parse-names":false,"suffix":""},{"dropping-particle":"","family":"Prentice","given":"I Colin","non-dropping-particle":"","parse-names":false,"suffix":""},{"dropping-particle":"","family":"Leadley","given":"Paul","non-dropping-particle":"","parse-names":false,"suffix":""},{"dropping-particle":"","family":"Bönisch","given":"Gerhard","non-dropping-particle":"","parse-names":false,"suffix":""},{"dropping-particle":"","family":"Garnier","given":"Eric","non-dropping-particle":"","parse-names":false,"suffix":""},{"dropping-particle":"","family":"Westoby","given":"Mark","non-dropping-particle":"","parse-names":false,"suffix":""},{"dropping-particle":"","family":"Reich","given":"Peter B","non-dropping-particle":"","parse-names":false,"suffix":""},{"dropping-particle":"","family":"Wright","given":"Ian J","non-dropping-particle":"","parse-names":false,"suffix":""}],"container-title":"Global change biology","id":"ITEM-1","issue":"9","issued":{"date-parts":[["2011"]]},"page":"2905-2935","publisher":"Wiley Online Library","title":"TRY–a global database of plant traits","type":"article-journal","volume":"17"},"uris":["http://www.mendeley.com/documents/?uuid=273a4c14-1650-4c5f-aa04-d4a01d08bbce"]}],"mendeley":{"formattedCitation":"(Kattge et al., 2011)","plainTextFormattedCitation":"(Kattge et al., 2011)","previouslyFormattedCitation":"(Kattge et al., 2011)"},"properties":{"noteIndex":0},"schema":"https://github.com/citation-style-language/schema/raw/master/csl-citation.json"}</w:instrText>
      </w:r>
      <w:r w:rsidRPr="00DA5AE2">
        <w:fldChar w:fldCharType="separate"/>
      </w:r>
      <w:bookmarkStart w:id="36" w:name="Bookmark34"/>
      <w:r w:rsidRPr="00DA5AE2">
        <w:rPr>
          <w:noProof/>
        </w:rPr>
        <w:t>(Kattge et al., 2011)</w:t>
      </w:r>
      <w:r w:rsidRPr="00DA5AE2">
        <w:fldChar w:fldCharType="end"/>
      </w:r>
      <w:bookmarkEnd w:id="36"/>
      <w:r w:rsidRPr="00DA5AE2">
        <w:t xml:space="preserve"> and the BIOMASS database </w:t>
      </w:r>
      <w:r w:rsidRPr="00DA5AE2">
        <w:fldChar w:fldCharType="begin" w:fldLock="1"/>
      </w:r>
      <w:r w:rsidRPr="00DA5AE2">
        <w:instrText>ADDIN CSL_CITATION {"citationItems":[{"id":"ITEM-1","itemData":{"DOI":"10.1111/2041-210X.12753","ISSN":"2041-210X","author":[{"dropping-particle":"","family":"Réjou‐Méchain","given":"Maxime","non-dropping-particle":"","parse-names":false,"suffix":""},{"dropping-particle":"","family":"Tanguy","given":"Ariane","non-dropping-particle":"","parse-names":false,"suffix":""},{"dropping-particle":"","family":"Piponiot","given":"Camille","non-dropping-particle":"","parse-names":false,"suffix":""},{"dropping-particle":"","family":"Chave","given":"Jérôme","non-dropping-particle":"","parse-names":false,"suffix":""},{"dropping-particle":"","family":"Hérault","given":"Bruno","non-dropping-particle":"","parse-names":false,"suffix":""}],"container-title":"Methods in Ecology and Evolution","editor":[{"dropping-particle":"","family":"Goslee","given":"Sarah","non-dropping-particle":"","parse-names":false,"suffix":""}],"id":"ITEM-1","issue":"9","issued":{"date-parts":[["2017","9","29"]]},"page":"1163-1167","title":"BIOMASS: an R package for estimating above‐ground biomass and its uncertainty in tropical forests","type":"article-journal","volume":"8"},"uris":["http://www.mendeley.com/documents/?uuid=6a12a5d9-9cd9-4254-a7b5-2a1a14ff2365"]}],"mendeley":{"formattedCitation":"(Réjou‐Méchain, Tanguy, Piponiot, Chave, &amp; Hérault, 2017)","plainTextFormattedCitation":"(Réjou‐Méchain, Tanguy, Piponiot, Chave, &amp; Hérault, 2017)","previouslyFormattedCitation":"(Réjou‐Méchain, Tanguy, Piponiot, Chave, &amp; Hérault, 2017)"},"properties":{"noteIndex":0},"schema":"https://github.com/citation-style-language/schema/raw/master/csl-citation.json"}</w:instrText>
      </w:r>
      <w:r w:rsidRPr="00DA5AE2">
        <w:fldChar w:fldCharType="separate"/>
      </w:r>
      <w:bookmarkStart w:id="37" w:name="Bookmark35"/>
      <w:r w:rsidRPr="00DA5AE2">
        <w:rPr>
          <w:noProof/>
        </w:rPr>
        <w:t>(Réjou‐Méchain, Tanguy, Piponiot, Chave, &amp; Hérault, 2017)</w:t>
      </w:r>
      <w:r w:rsidRPr="00DA5AE2">
        <w:fldChar w:fldCharType="end"/>
      </w:r>
      <w:bookmarkEnd w:id="37"/>
      <w:r w:rsidRPr="00DA5AE2">
        <w:t>. The included leaf traits were leaf mass per area (LMA, unit: mg mm</w:t>
      </w:r>
      <w:r w:rsidRPr="00DA5AE2">
        <w:rPr>
          <w:vertAlign w:val="superscript"/>
        </w:rPr>
        <w:t>-2</w:t>
      </w:r>
      <w:r w:rsidRPr="00DA5AE2">
        <w:t>), leaf nitrogen (N) concentration (unit: mg g</w:t>
      </w:r>
      <w:r w:rsidRPr="00DA5AE2">
        <w:rPr>
          <w:vertAlign w:val="superscript"/>
        </w:rPr>
        <w:t>-1</w:t>
      </w:r>
      <w:r w:rsidRPr="00DA5AE2">
        <w:t>), leaf phosphorus (P) concentration (unit: mg g</w:t>
      </w:r>
      <w:r w:rsidRPr="00DA5AE2">
        <w:rPr>
          <w:vertAlign w:val="superscript"/>
        </w:rPr>
        <w:t>-1</w:t>
      </w:r>
      <w:r w:rsidRPr="00DA5AE2">
        <w:t>) and leaf size (unit: cm²). The whole plant economic traits were wood density (unit: g cm</w:t>
      </w:r>
      <w:r w:rsidRPr="00DA5AE2">
        <w:rPr>
          <w:vertAlign w:val="superscript"/>
        </w:rPr>
        <w:t>-3</w:t>
      </w:r>
      <w:r w:rsidRPr="00DA5AE2">
        <w:t xml:space="preserve">) and maximum height (unit: m). We also included seed mass (unit: g) as a trait related to reproduction and contributing to a plant’s ecological strategy </w:t>
      </w:r>
      <w:r w:rsidRPr="00DA5AE2">
        <w:fldChar w:fldCharType="begin" w:fldLock="1"/>
      </w:r>
      <w:r w:rsidR="00F14052">
        <w:instrText>ADDIN CSL_CITATION {"citationItems":[{"id":"ITEM-1","itemData":{"abstract":"A leaf-height-seed (LHS) plant ecology strategy scheme is proposed. The axes would be speciﬁc leaf area SLA (light-capturing area deployed per dry mass allocated), height of the plant’s canopy at maturity, and seed mass. All axes would be log-scaled. The strategy of a species would be described by its position in the volume formed by the three axes. The advantages of the LHS scheme can be understood by comparing it to Grime’s CSR scheme, which has Competitors, Stress-tolerators and Ruderals at the corners of a triangle. The CSR triangle is widely cited as expressing important strategic variation between species. The C–S axis reﬂects variation in responsiveness to opportunities for rapid growth; in the LHS scheme, SLA reﬂects the same type of variation. The R axis reﬂects coping with disturbance; in the LHS scheme, height and seed mass reﬂect separate aspects of coping with disturbance. A plant ecology strategy scheme that permitted any species worldwide to be readily positioned within the scheme could bring substantial beneﬁts for improved meta-analysis of experimental results, for placing detailed ecophysiology in context, and for coping with questions posed by global change. In the CSR triangle the axes are deﬁned by reference to concepts, there is no simple protocol for positioning species beyond the reference datasets within the scheme, and consequently beneﬁts of worldwide comparison have not materialized. LHS does permit any vascular land plant species to be positioned within the scheme, without time-consuming measurement of metabolic rates or of ﬁeld performance relative to other species. The merits of the LHS scheme reside (it is argued) in this potential for worldwide comparison, more than in superior explanatory power within any particular vegetation region. The LHS scheme avoids also two other difﬁculties with the CSR scheme: (a) It does not prejudge that there are no viable strategies under high stress and high disturbance (the missing quadrant in the CSR triangle compared to a two-axis rectangle); (b) It separates out two distinct aspects of the response to disturbance, height at maturity expressing the amount of growth attempted between disturbances, and seed mass (inverse of seed output per unit reproductive effort) expressing the capacity to colonize growth opportunities at a distance. The advantage of LHS axes deﬁned through a single readily-measured variable needs to be weighed against the disadvantage that single plant traits may not …","author":[{"dropping-particle":"","family":"Westoby","given":"Mark","non-dropping-particle":"","parse-names":false,"suffix":""}],"container-title":"Plant and Soil","id":"ITEM-1","issue":"2","issued":{"date-parts":[["1998"]]},"page":"213-227","publisher":"Kluwer Academic Publishers","title":"A leaf-height-seed (LHS) plant ecology strategy scheme","type":"article-journal","volume":"199"},"uris":["http://www.mendeley.com/documents/?uuid=05fdac72-fcee-4183-9009-cb455928754c"]},{"id":"ITEM-2","itemData":{"DOI":"10.1038/nature16489","ISBN":"1476-4687","ISSN":"0028-0836","PMID":"26700811","abstract":"Earth is home to a remarkable diversity of plant forms and life histories, yet comparatively few essential trait combinations have proved evolutionarily viable in today’s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 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Colin Prentice","given":"I.","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E","non-dropping-particle":"","parse-names":false,"suffix":""},{"dropping-particle":"","family":"Chave","given":"Jérôme","non-dropping-particle":"","parse-names":false,"suffix":""},{"dropping-particle":"","family":"Joseph Wright","given":"S.","non-dropping-particle":"","parse-names":false,"suffix":""},{"dropping-particle":"","family":"Sheremet’ev","given":"Serge N.","non-dropping-particle":"","parse-names":false,"suffix":""},{"dropping-particle":"","family":"Jactel","given":"Hervé","non-dropping-particle":"","parse-names":false,"suffix":""},{"dropping-particle":"","family":"Baraloto","given":"Christopher","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D.","non-dropping-particle":"","parse-names":false,"suffix":""}],"container-title":"Nature","id":"ITEM-2","issue":"7585","issued":{"date-parts":[["2016","1","23"]]},"page":"167-171","publisher":"Nature Publishing Group","title":"The global spectrum of plant form and function","type":"article-journal","volume":"529"},"uris":["http://www.mendeley.com/documents/?uuid=e38d3595-d1f4-4714-afa9-aab29e584e88"]}],"mendeley":{"formattedCitation":"(Díaz et al., 2016; Westoby, 1998)","plainTextFormattedCitation":"(Díaz et al., 2016; Westoby, 1998)","previouslyFormattedCitation":"(Westoby, 1998; Díaz et al., 2016)"},"properties":{"noteIndex":0},"schema":"https://github.com/citation-style-language/schema/raw/master/csl-citation.json"}</w:instrText>
      </w:r>
      <w:r w:rsidRPr="00DA5AE2">
        <w:fldChar w:fldCharType="separate"/>
      </w:r>
      <w:bookmarkStart w:id="38" w:name="Bookmark36"/>
      <w:r w:rsidR="00F14052" w:rsidRPr="00F14052">
        <w:rPr>
          <w:noProof/>
        </w:rPr>
        <w:t>(Díaz et al., 2016; Westoby, 1998)</w:t>
      </w:r>
      <w:r w:rsidRPr="00DA5AE2">
        <w:fldChar w:fldCharType="end"/>
      </w:r>
      <w:bookmarkEnd w:id="38"/>
      <w:r w:rsidRPr="00DA5AE2">
        <w:t xml:space="preserve"> . Trait data availability was variable </w:t>
      </w:r>
      <w:r w:rsidR="00BA2679" w:rsidRPr="00DA5AE2">
        <w:t>among</w:t>
      </w:r>
      <w:r w:rsidRPr="00DA5AE2">
        <w:t xml:space="preserve"> species, with only 24 of </w:t>
      </w:r>
      <w:r w:rsidRPr="00DA5AE2">
        <w:lastRenderedPageBreak/>
        <w:t xml:space="preserve">the 168 species </w:t>
      </w:r>
      <w:r w:rsidR="00C336E4" w:rsidRPr="00DA5AE2">
        <w:t xml:space="preserve">having values for the </w:t>
      </w:r>
      <w:r w:rsidRPr="00DA5AE2">
        <w:t>complete</w:t>
      </w:r>
      <w:r w:rsidR="00C336E4" w:rsidRPr="00DA5AE2">
        <w:t xml:space="preserve"> set of traits</w:t>
      </w:r>
      <w:r w:rsidRPr="00DA5AE2">
        <w:t>, but widely collected traits (</w:t>
      </w:r>
      <w:proofErr w:type="gramStart"/>
      <w:r w:rsidRPr="00DA5AE2">
        <w:t>e.g.</w:t>
      </w:r>
      <w:proofErr w:type="gramEnd"/>
      <w:r w:rsidRPr="00DA5AE2">
        <w:t xml:space="preserve"> seed mass, LMA, height</w:t>
      </w:r>
      <w:r w:rsidR="001167CF" w:rsidRPr="00DA5AE2">
        <w:t xml:space="preserve">, </w:t>
      </w:r>
      <w:r w:rsidR="000E6C00" w:rsidRPr="00DA5AE2">
        <w:t>…</w:t>
      </w:r>
      <w:r w:rsidRPr="00DA5AE2">
        <w:t xml:space="preserve">) </w:t>
      </w:r>
      <w:r w:rsidR="00C336E4" w:rsidRPr="00DA5AE2">
        <w:t>were</w:t>
      </w:r>
      <w:r w:rsidRPr="00DA5AE2">
        <w:t xml:space="preserve"> much more available than measurement</w:t>
      </w:r>
      <w:r w:rsidR="00F40EA5" w:rsidRPr="00DA5AE2">
        <w:t>-</w:t>
      </w:r>
      <w:r w:rsidRPr="00DA5AE2">
        <w:t xml:space="preserve">intensive traits such as the hydraulic </w:t>
      </w:r>
      <w:r w:rsidR="00F40EA5" w:rsidRPr="00DA5AE2">
        <w:t>ones</w:t>
      </w:r>
      <w:r w:rsidRPr="00DA5AE2">
        <w:t xml:space="preserve"> (See Supplementary Metadata M4 for the data availability between traits and species). </w:t>
      </w:r>
      <w:r w:rsidR="00DD3F56" w:rsidRPr="00DA5AE2">
        <w:t>We chose not to imput</w:t>
      </w:r>
      <w:r w:rsidR="00C23CBF" w:rsidRPr="00DA5AE2">
        <w:t>e</w:t>
      </w:r>
      <w:r w:rsidR="00DD3F56" w:rsidRPr="00DA5AE2">
        <w:t xml:space="preserve"> trait values and</w:t>
      </w:r>
      <w:r w:rsidR="000D6AD3" w:rsidRPr="00DA5AE2">
        <w:t xml:space="preserve"> instead</w:t>
      </w:r>
      <w:r w:rsidR="00DD3F56" w:rsidRPr="00DA5AE2">
        <w:t xml:space="preserve"> constrain</w:t>
      </w:r>
      <w:r w:rsidR="000D6AD3" w:rsidRPr="00DA5AE2">
        <w:t>ed</w:t>
      </w:r>
      <w:r w:rsidR="00DD3F56" w:rsidRPr="00DA5AE2">
        <w:t xml:space="preserve"> the analysis </w:t>
      </w:r>
      <w:r w:rsidR="0081078D" w:rsidRPr="00DA5AE2">
        <w:t xml:space="preserve">to those species with available trait values from databases. </w:t>
      </w:r>
      <w:r w:rsidRPr="00DA5AE2">
        <w:t>Furthermore, trait values found in databases mostly originate</w:t>
      </w:r>
      <w:r w:rsidR="009605BE" w:rsidRPr="00DA5AE2">
        <w:t>d</w:t>
      </w:r>
      <w:r w:rsidRPr="00DA5AE2">
        <w:t xml:space="preserve"> from adult trees and not saplings. Hence, we </w:t>
      </w:r>
      <w:r w:rsidR="00F40EA5" w:rsidRPr="00DA5AE2">
        <w:t>did</w:t>
      </w:r>
      <w:r w:rsidRPr="00DA5AE2">
        <w:t xml:space="preserve"> not interpret any trait values as stand-alone findings or use</w:t>
      </w:r>
      <w:r w:rsidR="00480E98" w:rsidRPr="00DA5AE2">
        <w:t>d</w:t>
      </w:r>
      <w:r w:rsidRPr="00DA5AE2">
        <w:t xml:space="preserve"> them to estimate ecosystem functions</w:t>
      </w:r>
      <w:r w:rsidR="00C2070A" w:rsidRPr="00DA5AE2">
        <w:t xml:space="preserve"> or processes from our experimental plots</w:t>
      </w:r>
      <w:r w:rsidRPr="00DA5AE2">
        <w:t xml:space="preserve">. We rather </w:t>
      </w:r>
      <w:r w:rsidR="00480E98" w:rsidRPr="00DA5AE2">
        <w:t>applied</w:t>
      </w:r>
      <w:r w:rsidRPr="00DA5AE2">
        <w:t xml:space="preserve"> </w:t>
      </w:r>
      <w:r w:rsidR="00DB33D0" w:rsidRPr="00DA5AE2">
        <w:t xml:space="preserve">the </w:t>
      </w:r>
      <w:r w:rsidRPr="00DA5AE2">
        <w:t xml:space="preserve">trait-based approach </w:t>
      </w:r>
      <w:r w:rsidR="00DB33D0" w:rsidRPr="00DA5AE2">
        <w:t xml:space="preserve">to get </w:t>
      </w:r>
      <w:r w:rsidRPr="00DA5AE2">
        <w:t>an integrated indication of the ecological strategy of the species included.</w:t>
      </w:r>
    </w:p>
    <w:p w14:paraId="25E7F7C2" w14:textId="643E09FA" w:rsidR="00B26A2C" w:rsidRPr="00DA5AE2" w:rsidRDefault="007F6878">
      <w:r w:rsidRPr="00DA5AE2">
        <w:t xml:space="preserve">We calculated </w:t>
      </w:r>
      <w:r w:rsidR="00C87904" w:rsidRPr="00DA5AE2">
        <w:t xml:space="preserve">plot-level </w:t>
      </w:r>
      <w:r w:rsidRPr="00DA5AE2">
        <w:t>functional diversity using Rao’s quadratic entropy (Rao’s Q)</w:t>
      </w:r>
      <w:r w:rsidR="00C14D6E" w:rsidRPr="00DA5AE2">
        <w:t xml:space="preserve">. </w:t>
      </w:r>
      <w:r w:rsidRPr="00DA5AE2">
        <w:t>Rao’s Q is the abundance-weighted variance of trait dissimilarities between all species pairs</w:t>
      </w:r>
      <w:r w:rsidR="00D9651C" w:rsidRPr="00DA5AE2">
        <w:t xml:space="preserve"> and hence </w:t>
      </w:r>
      <w:r w:rsidR="002C6660" w:rsidRPr="00DA5AE2">
        <w:t xml:space="preserve">a </w:t>
      </w:r>
      <w:r w:rsidR="00D9651C" w:rsidRPr="00DA5AE2">
        <w:t xml:space="preserve">measure of functional divergence </w:t>
      </w:r>
      <w:r w:rsidR="00D9651C" w:rsidRPr="00DA5AE2">
        <w:fldChar w:fldCharType="begin" w:fldLock="1"/>
      </w:r>
      <w:r w:rsidR="007A29AC" w:rsidRPr="00DA5AE2">
        <w:instrText>ADDIN CSL_CITATION {"citationItems":[{"id":"ITEM-1","itemData":{"DOI":"10.1890/08-2225.1","ISSN":"00129615","abstract":"Functional diversity is the diversity of species traits in ecosystems. This concept is increasingly used in ecological research, yet its formal definition and measurements are currently under discussion. As the overall behavior and consistency of functional diversity indices have not been described so far, the novice user risks choosing an inaccurate index or a set of redundant indices to represent functional diversity. In our study we closely examine functional diversity indices to clarify their accuracy, consistency, and independence. Following current theory, we categorize them into functional richness, evenness, or divergence indices. We considered existing indices as well as new indices developed in this study. The new indices aimed at remedying the weaknesses of currently used indices (e.g., by taking into account intraspecific variability). Using virtual data sets, we test (1) whether indices respond to community changes as expected from their category and (2) whether the indices within each category are consistent and independent of indices from other categories. We also test the accuracy of methods proposed for the use of categorical traits. Most classical functional richness indices either failed to describe functional richness or were correlated with functional divergence indices. We therefore recommend using the new functional richness indices that consider intraspecific variability and thus empty space in the functional niche space. In contrast, most functional evenness and divergence indices performed well with respect to all proposed tests. For categorical variables, we do not recommend blending discrete and real-valued traits (except for indices based on distance measures) since functional evenness and divergence have no transposable meaning for discrete traits. Nonetheless, species diversity indices can be applied to categorical traits (using trait levels instead of species) in order to describe functional richness and equitability. © 2010 by the Ecological Society of America.","author":[{"dropping-particle":"","family":"Schleuter","given":"D.","non-dropping-particle":"","parse-names":false,"suffix":""},{"dropping-particle":"","family":"Daufresne","given":"M.","non-dropping-particle":"","parse-names":false,"suffix":""},{"dropping-particle":"","family":"Massol","given":"F.","non-dropping-particle":"","parse-names":false,"suffix":""},{"dropping-particle":"","family":"Argillier","given":"C.","non-dropping-particle":"","parse-names":false,"suffix":""}],"container-title":"Ecological Monographs","id":"ITEM-1","issue":"3","issued":{"date-parts":[["2010"]]},"page":"469-484","title":"A user's guide to functional diversity indices","type":"article-journal","volume":"80"},"uris":["http://www.mendeley.com/documents/?uuid=c2b9ecd0-d12b-48b1-9330-1f0c012b3e42"]}],"mendeley":{"formattedCitation":"(Schleuter, Daufresne, Massol, &amp; Argillier, 2010)","plainTextFormattedCitation":"(Schleuter, Daufresne, Massol, &amp; Argillier, 2010)","previouslyFormattedCitation":"(Schleuter, Daufresne, Massol, &amp; Argillier, 2010)"},"properties":{"noteIndex":0},"schema":"https://github.com/citation-style-language/schema/raw/master/csl-citation.json"}</w:instrText>
      </w:r>
      <w:r w:rsidR="00D9651C" w:rsidRPr="00DA5AE2">
        <w:fldChar w:fldCharType="separate"/>
      </w:r>
      <w:r w:rsidR="00D9651C" w:rsidRPr="00DA5AE2">
        <w:rPr>
          <w:noProof/>
        </w:rPr>
        <w:t>(Schleuter, Daufresne, Massol, &amp; Argillier, 2010)</w:t>
      </w:r>
      <w:r w:rsidR="00D9651C" w:rsidRPr="00DA5AE2">
        <w:fldChar w:fldCharType="end"/>
      </w:r>
      <w:r w:rsidR="000D329C" w:rsidRPr="00DA5AE2">
        <w:t xml:space="preserve">. It </w:t>
      </w:r>
      <w:r w:rsidRPr="00DA5AE2">
        <w:t xml:space="preserve">was calculated using the </w:t>
      </w:r>
      <w:r w:rsidRPr="00DA5AE2">
        <w:rPr>
          <w:i/>
          <w:iCs/>
        </w:rPr>
        <w:t>fundiversity</w:t>
      </w:r>
      <w:r w:rsidRPr="00DA5AE2">
        <w:t xml:space="preserve"> package in R </w:t>
      </w:r>
      <w:r w:rsidRPr="00DA5AE2">
        <w:fldChar w:fldCharType="begin" w:fldLock="1"/>
      </w:r>
      <w:r w:rsidRPr="00DA5AE2">
        <w:instrText>ADDIN CSL_CITATION {"citationItems":[{"id":"ITEM-1","itemData":{"DOI":"10.1890/07-1206.1","ISSN":"00129658","PMID":"18724739","abstract":"Functional diversity is increasingly identified as an important driver of ecosystem functioning. Various indices have been proposed to measure the functional diversity of a community, but there is still no consensus on which are most suitable. Indeed, none of the existing indices meets all the criteria required for general use. The main criteria are that they must be designed to deal with several traits, take into account abundances, and measure all the facets of functional diversity. Here we propose three indices to quantify each facet of functional diversity for a community with species distributed in a multidimensional functional space: functional richness (volume of the functional space occupied by the community), functional evenness (regularity of the distribution of abundance in this volume), and functional divergence (divergence in the distribution of abundance in this volume). Functional richness is estimated using the existing convex hull volume index. The new functional evenness index is based on the minimum spanning tree which links all the species in the multidimensional functional space. Then this new index quantifies the regularity with which species abundances are distributed along the spanning tree. Functional divergence is measured using a novel index which quantifies how species diverge in their distances (weighted by their abundance) from the center of gravity in the functional space. We show that none of the indices meets all the criteria required for a functional diversity index, but instead we show that the set of three complementary indices meets these criteria. Through simulations of artificial data sets, we demonstrate that functional divergence and functional evenness are independent of species richness and that the three functional diversity indices are independent of each other. Overall, our study suggests that decomposition of functional diversity into its three primary components provides a meaningful framework for its quantification and for the classification of existing functional diversity indices. This decomposition has the potential to shed light on the role of biodiversity on ecosystem functioning and on the influence of biotic and abiotic filters on the structure of species communities. Finally, we propose a general framework for applying these three functional diversity indices. © 2008 by the Ecological Society of America.","author":[{"dropping-particle":"","family":"Villéger","given":"Sébastien","non-dropping-particle":"","parse-names":false,"suffix":""},{"dropping-particle":"","family":"Mason","given":"Norman W.H.","non-dropping-particle":"","parse-names":false,"suffix":""},{"dropping-particle":"","family":"Mouillot","given":"David","non-dropping-particle":"","parse-names":false,"suffix":""}],"container-title":"Ecology","id":"ITEM-1","issue":"8","issued":{"date-parts":[["2008"]]},"page":"2290-2301","title":"New multidimensional functional diversity indices for a multifaceted framework in functional ecology","type":"article-journal","volume":"89"},"uris":["http://www.mendeley.com/documents/?uuid=72a1e7df-cfd8-4696-a0bc-938fb9d33733"]}],"mendeley":{"formattedCitation":"(Villéger, Mason, &amp; Mouillot, 2008)","plainTextFormattedCitation":"(Villéger, Mason, &amp; Mouillot, 2008)","previouslyFormattedCitation":"(Villéger, Mason, &amp; Mouillot, 2008)"},"properties":{"noteIndex":0},"schema":"https://github.com/citation-style-language/schema/raw/master/csl-citation.json"}</w:instrText>
      </w:r>
      <w:r w:rsidRPr="00DA5AE2">
        <w:fldChar w:fldCharType="separate"/>
      </w:r>
      <w:bookmarkStart w:id="39" w:name="Bookmark37"/>
      <w:r w:rsidRPr="00DA5AE2">
        <w:rPr>
          <w:noProof/>
        </w:rPr>
        <w:t>(Villéger, Mason, &amp; Mouillot, 2008)</w:t>
      </w:r>
      <w:r w:rsidRPr="00DA5AE2">
        <w:fldChar w:fldCharType="end"/>
      </w:r>
      <w:bookmarkEnd w:id="39"/>
      <w:r w:rsidR="00D80D7E" w:rsidRPr="00DA5AE2">
        <w:t xml:space="preserve">, </w:t>
      </w:r>
      <w:r w:rsidRPr="00DA5AE2">
        <w:t xml:space="preserve">on a trait dissimilarity matrix using the Gower distance, and as such was able to handle the missing trait values in our dataset. </w:t>
      </w:r>
      <w:r w:rsidR="00715302" w:rsidRPr="00DA5AE2">
        <w:t xml:space="preserve">Given the </w:t>
      </w:r>
      <w:r w:rsidR="00B1531C" w:rsidRPr="00DA5AE2">
        <w:t>constraining</w:t>
      </w:r>
      <w:r w:rsidR="005053D8" w:rsidRPr="00DA5AE2">
        <w:t xml:space="preserve"> trait data availability</w:t>
      </w:r>
      <w:r w:rsidR="00EE186E" w:rsidRPr="00DA5AE2">
        <w:t xml:space="preserve"> between plots</w:t>
      </w:r>
      <w:r w:rsidR="00B1531C" w:rsidRPr="00DA5AE2">
        <w:t xml:space="preserve">, </w:t>
      </w:r>
      <w:r w:rsidR="005053D8" w:rsidRPr="00DA5AE2">
        <w:t>we did not compute any community weighted means (CWM)</w:t>
      </w:r>
      <w:r w:rsidR="008E58EB" w:rsidRPr="00DA5AE2">
        <w:t xml:space="preserve"> and pe</w:t>
      </w:r>
      <w:r w:rsidR="00B1531C" w:rsidRPr="00DA5AE2">
        <w:t>rform</w:t>
      </w:r>
      <w:r w:rsidR="005E4EA4" w:rsidRPr="00DA5AE2">
        <w:t>ed</w:t>
      </w:r>
      <w:r w:rsidR="00B1531C" w:rsidRPr="00DA5AE2">
        <w:t xml:space="preserve"> an analysis of specie</w:t>
      </w:r>
      <w:r w:rsidR="00EE186E" w:rsidRPr="00DA5AE2">
        <w:t>s</w:t>
      </w:r>
      <w:r w:rsidR="004032D6" w:rsidRPr="00DA5AE2">
        <w:t>-level survival instead.</w:t>
      </w:r>
    </w:p>
    <w:p w14:paraId="4F1887D8" w14:textId="77777777" w:rsidR="00B26A2C" w:rsidRPr="00DA5AE2" w:rsidRDefault="007F6878">
      <w:pPr>
        <w:pStyle w:val="Heading3"/>
        <w:jc w:val="both"/>
      </w:pPr>
      <w:r w:rsidRPr="00DA5AE2">
        <w:t>Analysis of plot-level survival</w:t>
      </w:r>
    </w:p>
    <w:p w14:paraId="7B205669" w14:textId="4694029F" w:rsidR="00B26A2C" w:rsidRPr="00DA5AE2" w:rsidRDefault="007F6878">
      <w:pPr>
        <w:jc w:val="both"/>
      </w:pPr>
      <w:r w:rsidRPr="00DA5AE2">
        <w:t>We tested whether the change in between-plot variability (</w:t>
      </w:r>
      <w:proofErr w:type="gramStart"/>
      <w:r w:rsidRPr="00DA5AE2">
        <w:t>i.e.</w:t>
      </w:r>
      <w:proofErr w:type="gramEnd"/>
      <w:r w:rsidRPr="00DA5AE2">
        <w:t xml:space="preserve"> variance) in survival along the species diversity gradient was dependent on drought</w:t>
      </w:r>
      <w:r w:rsidR="003473C8" w:rsidRPr="00DA5AE2">
        <w:t xml:space="preserve"> intensity</w:t>
      </w:r>
      <w:r w:rsidRPr="00DA5AE2">
        <w:t xml:space="preserve">. </w:t>
      </w:r>
      <w:r w:rsidR="009C33AE" w:rsidRPr="00DA5AE2">
        <w:t>S</w:t>
      </w:r>
      <w:r w:rsidRPr="00DA5AE2">
        <w:t xml:space="preserve">urvival data were scored as </w:t>
      </w:r>
      <w:r w:rsidR="009C33AE" w:rsidRPr="00DA5AE2">
        <w:t>a</w:t>
      </w:r>
      <w:r w:rsidR="00A255F6" w:rsidRPr="00DA5AE2">
        <w:t xml:space="preserve"> binary</w:t>
      </w:r>
      <w:r w:rsidR="009C33AE" w:rsidRPr="00DA5AE2">
        <w:t xml:space="preserve"> </w:t>
      </w:r>
      <w:r w:rsidRPr="00DA5AE2">
        <w:t xml:space="preserve">tree-level condition (0 = dead, 1 = alive). We aggregated data to the plot level, calculating the </w:t>
      </w:r>
      <w:r w:rsidR="002A361E" w:rsidRPr="00DA5AE2">
        <w:t xml:space="preserve">percent </w:t>
      </w:r>
      <w:r w:rsidRPr="00DA5AE2">
        <w:t xml:space="preserve">survival in each plot by dividing the number of living trees by the total number of planted trees regardless of species. Plot-level survival was used as the response variable in a hierarchical beta regression modelled </w:t>
      </w:r>
      <w:r w:rsidR="00844E28" w:rsidRPr="00DA5AE2">
        <w:t>within</w:t>
      </w:r>
      <w:r w:rsidRPr="00DA5AE2">
        <w:t xml:space="preserve"> a Bayesian framework.</w:t>
      </w:r>
    </w:p>
    <w:p w14:paraId="229FFE65" w14:textId="79C29BE3" w:rsidR="00B26A2C" w:rsidRPr="00DA5AE2" w:rsidRDefault="007F6878">
      <w:pPr>
        <w:jc w:val="both"/>
      </w:pPr>
      <w:r w:rsidRPr="00DA5AE2">
        <w:t xml:space="preserve">The beta distribution is a flexible exponential distribution well suited to modelling ecological phenomena measured using proportional data </w:t>
      </w:r>
      <w:r w:rsidR="00DE4EB8" w:rsidRPr="00DA5AE2">
        <w:t>ranging</w:t>
      </w:r>
      <w:r w:rsidRPr="00DA5AE2">
        <w:t xml:space="preserve"> between </w:t>
      </w:r>
      <w:r w:rsidR="00844E28" w:rsidRPr="00DA5AE2">
        <w:t xml:space="preserve">0 </w:t>
      </w:r>
      <w:r w:rsidRPr="00DA5AE2">
        <w:t xml:space="preserve">and </w:t>
      </w:r>
      <w:r w:rsidR="00844E28" w:rsidRPr="00DA5AE2">
        <w:t xml:space="preserve">1 </w:t>
      </w:r>
      <w:r w:rsidRPr="00DA5AE2">
        <w:fldChar w:fldCharType="begin" w:fldLock="1"/>
      </w:r>
      <w:r w:rsidRPr="00DA5AE2">
        <w:instrText>ADDIN CSL_CITATION {"citationItems":[{"id":"ITEM-1","itemData":{"DOI":"10.1111/1365-2745.13200","ISSN":"13652745","abstract":"Most plant species are spatially aggregated. Local demographic and ecological processes (e.g. vegetative growth and limited seed dispersal) result in a clustered spatial pattern within an environmentally homogenous area. Spatial aggregation should be considered when modelling plant abundance data. Commonly, plant abundance is quantified by measuring cover within multiple areal plots or along multiple lines randomly placed within a study area. A common practice for analysing plant cover is to use statistical methods that rely on the normal distribution for quantifying uncertainty. This is problematic because plant cover data tend to be left-skewed (J-shaped), right skewed (L-shaped) or U-shaped and, therefore, commonly violate classic statistical assumptions, such as normality. We outline statistical analyses that explicitly account for spatial aggregation by assuming that plant cover is beta-distributed. The beta distribution is a flexible choice because within the open unit interval it can take on a wide range of shapes (L, J, U, or a bell-shaped). We discuss and introduce extensions to the beta distribution that address common analysis issues encountered in plant cover datasets, such as (a) the treatment of zero and one cover values, (b) hierarchical data structures and (c) observations errors. For heuristic purposes, we focus on single species analyses, but we demonstrate how the outlined methods can be generalized to more species. The assumption that plant cover is beta-distributed allows us to estimate the degree of spatial aggregation, and the ecological significance of this new knowledge is discussed. We provide a summary of available software for analyses (emphasizing standard R packages) and include worked examples and a simulation study comparing analysis options as supplemental information. Synthesis. Previously, the state of the statistical software made it practically difficult for empirical plant ecologists to analyze their cover data correctly, but new theory and R-packages have been developed, and this difficulty no longer exists. We recommend that empirical plant ecologists embrace the new statistical possibilities for exploring the exciting ecological features in spatial variation of plant cover.","author":[{"dropping-particle":"","family":"Damgaard","given":"Christian F.","non-dropping-particle":"","parse-names":false,"suffix":""},{"dropping-particle":"","family":"Irvine","given":"Kathryn M.","non-dropping-particle":"","parse-names":false,"suffix":""}],"container-title":"Journal of Ecology","id":"ITEM-1","issue":"6","issued":{"date-parts":[["2019"]]},"page":"2747-2759","title":"Using the beta distribution to analyse plant cover data","type":"article-journal","volume":"107"},"uris":["http://www.mendeley.com/documents/?uuid=1b429c0f-c2e1-4b0a-8486-c7e805238d76"]},{"id":"ITEM-2","itemData":{"DOI":"10.1111/2041-210x.13234","ISSN":"2041-210X","abstract":"Proportional data, in which response variables are expressed as percentages or fractions of a whole, are analyzed in many subfields of ecology and evolution. The scale‐independence of proportions makes them appropriate to analyse many biological phenomena but statistical analyses are not straightforward, since proportions can only take values from zero to one and their variance is usually not constant across the range of the predictor. Transformations to overcome these problems are often applied, but can lead to biased estimates and difficulties in interpretation. In this paper we provide an overview of the different types of proportional data and discuss the different analysis strategies available. In particular, we review and discuss the use of promising, but little used, techniques for analyzing continuous (also called non‐count‐based or non‐binomial) proportions (e.g. percent cover, fraction time spent on an activity): beta and Dirichlet regression, and some of their most important extensions. A major distinction can be made between proportions arising from counts and those arising from continuous measurements. For proportions consisting of 2 categories, count‐based data are best analyzed using well‐developed techniques such as logistic regression, while continuous proportions can be analyzed with beta regression models. In the case of &gt;2 categories, multinomial logistic regression or Dirichlet regression can be applied. Both beta and Dirichlet regression techniques model proportions at their original scale which makes statistical inference more straightforward and produce less biased estimates relative to transformation‐based solutions. Extensions to beta regression, such as models for variable dispersion, zero‐one augmented data and mixed effects designs have been developed and are reviewed and applied to case studies. Finally, we briefly discuss some issues regarding model fitting, inference, and reporting that are particularly relevant for beta and Dirichlet regression. Beta regression and Dirichlet regression overcome some problems inherent in applying classic statistical approaches to proportional data. To facilitate the adoption of these techniques by practitioners in ecology and evolution, we present detailed, annotated demonstration scripts covering all variations of beta and Dirichlet regression discussed in the article, implemented in the freely available language for statistical computing, R.","author":[{"dropping-particle":"","family":"Douma","given":"Jacob C.","non-dropping-particle":"","parse-names":false,"suffix":""},{"dropping-particle":"","family":"Weedon","given":"James T.","non-dropping-particle":"","parse-names":false,"suffix":""}],"container-title":"Methods in Ecology and Evolution","id":"ITEM-2","issue":"October 2018","issued":{"date-parts":[["2019"]]},"page":"1412-1430","title":"Analysing continuous proportions in ecology and evolution: A practical introduction to beta and Dirichlet regression","type":"article-journal","volume":"2019"},"uris":["http://www.mendeley.com/documents/?uuid=d7b977d9-dfbc-4466-a788-6caa83457f9e"]}],"mendeley":{"formattedCitation":"(Damgaard &amp; Irvine, 2019; Douma &amp; Weedon, 2019)","plainTextFormattedCitation":"(Damgaard &amp; Irvine, 2019; Douma &amp; Weedon, 2019)","previouslyFormattedCitation":"(Damgaard &amp; Irvine, 2019; Douma &amp; Weedon, 2019)"},"properties":{"noteIndex":0},"schema":"https://github.com/citation-style-language/schema/raw/master/csl-citation.json"}</w:instrText>
      </w:r>
      <w:r w:rsidRPr="00DA5AE2">
        <w:fldChar w:fldCharType="separate"/>
      </w:r>
      <w:bookmarkStart w:id="40" w:name="Bookmark38"/>
      <w:r w:rsidRPr="00DA5AE2">
        <w:rPr>
          <w:noProof/>
        </w:rPr>
        <w:t>(Damgaard &amp; Irvine, 2019; Douma &amp; Weedon, 2019)</w:t>
      </w:r>
      <w:r w:rsidRPr="00DA5AE2">
        <w:fldChar w:fldCharType="end"/>
      </w:r>
      <w:bookmarkEnd w:id="40"/>
      <w:r w:rsidRPr="00DA5AE2">
        <w:t xml:space="preserve">. The beta distribution is defined by an expected value </w:t>
      </w:r>
      <m:oMath>
        <m:r>
          <w:rPr>
            <w:rFonts w:ascii="Cambria Math" w:hAnsi="Cambria Math"/>
          </w:rPr>
          <m:t>μ</m:t>
        </m:r>
      </m:oMath>
      <w:r w:rsidRPr="00DA5AE2">
        <w:t xml:space="preserve"> (logit link function) and a precision parameter </w:t>
      </w:r>
      <m:oMath>
        <m:r>
          <w:rPr>
            <w:rFonts w:ascii="Cambria Math" w:hAnsi="Cambria Math"/>
          </w:rPr>
          <m:t>φ</m:t>
        </m:r>
      </m:oMath>
      <w:r w:rsidRPr="00DA5AE2">
        <w:t xml:space="preserve"> (log link function) that can be moderated separately </w:t>
      </w:r>
      <w:r w:rsidRPr="00DA5AE2">
        <w:fldChar w:fldCharType="begin" w:fldLock="1"/>
      </w:r>
      <w:r w:rsidRPr="00DA5AE2">
        <w:instrText>ADDIN CSL_CITATION {"citationItems":[{"id":"ITEM-1","itemData":{"DOI":"10.1111/1365-2745.13200","ISSN":"13652745","abstract":"Most plant species are spatially aggregated. Local demographic and ecological processes (e.g. vegetative growth and limited seed dispersal) result in a clustered spatial pattern within an environmentally homogenous area. Spatial aggregation should be considered when modelling plant abundance data. Commonly, plant abundance is quantified by measuring cover within multiple areal plots or along multiple lines randomly placed within a study area. A common practice for analysing plant cover is to use statistical methods that rely on the normal distribution for quantifying uncertainty. This is problematic because plant cover data tend to be left-skewed (J-shaped), right skewed (L-shaped) or U-shaped and, therefore, commonly violate classic statistical assumptions, such as normality. We outline statistical analyses that explicitly account for spatial aggregation by assuming that plant cover is beta-distributed. The beta distribution is a flexible choice because within the open unit interval it can take on a wide range of shapes (L, J, U, or a bell-shaped). We discuss and introduce extensions to the beta distribution that address common analysis issues encountered in plant cover datasets, such as (a) the treatment of zero and one cover values, (b) hierarchical data structures and (c) observations errors. For heuristic purposes, we focus on single species analyses, but we demonstrate how the outlined methods can be generalized to more species. The assumption that plant cover is beta-distributed allows us to estimate the degree of spatial aggregation, and the ecological significance of this new knowledge is discussed. We provide a summary of available software for analyses (emphasizing standard R packages) and include worked examples and a simulation study comparing analysis options as supplemental information. Synthesis. Previously, the state of the statistical software made it practically difficult for empirical plant ecologists to analyze their cover data correctly, but new theory and R-packages have been developed, and this difficulty no longer exists. We recommend that empirical plant ecologists embrace the new statistical possibilities for exploring the exciting ecological features in spatial variation of plant cover.","author":[{"dropping-particle":"","family":"Damgaard","given":"Christian F.","non-dropping-particle":"","parse-names":false,"suffix":""},{"dropping-particle":"","family":"Irvine","given":"Kathryn M.","non-dropping-particle":"","parse-names":false,"suffix":""}],"container-title":"Journal of Ecology","id":"ITEM-1","issue":"6","issued":{"date-parts":[["2019"]]},"page":"2747-2759","title":"Using the beta distribution to analyse plant cover data","type":"article-journal","volume":"107"},"uris":["http://www.mendeley.com/documents/?uuid=1b429c0f-c2e1-4b0a-8486-c7e805238d76"]}],"mendeley":{"formattedCitation":"(Damgaard &amp; Irvine, 2019)","plainTextFormattedCitation":"(Damgaard &amp; Irvine, 2019)","previouslyFormattedCitation":"(Damgaard &amp; Irvine, 2019)"},"properties":{"noteIndex":0},"schema":"https://github.com/citation-style-language/schema/raw/master/csl-citation.json"}</w:instrText>
      </w:r>
      <w:r w:rsidRPr="00DA5AE2">
        <w:fldChar w:fldCharType="separate"/>
      </w:r>
      <w:bookmarkStart w:id="41" w:name="Bookmark39"/>
      <w:r w:rsidRPr="00DA5AE2">
        <w:rPr>
          <w:noProof/>
        </w:rPr>
        <w:t>(Damgaard &amp; Irvine, 2019)</w:t>
      </w:r>
      <w:r w:rsidRPr="00DA5AE2">
        <w:fldChar w:fldCharType="end"/>
      </w:r>
      <w:bookmarkEnd w:id="41"/>
      <w:r w:rsidRPr="00DA5AE2">
        <w:t xml:space="preserve">. The expected value </w:t>
      </w:r>
      <m:oMath>
        <m:r>
          <w:rPr>
            <w:rFonts w:ascii="Cambria Math" w:hAnsi="Cambria Math"/>
          </w:rPr>
          <m:t>μ</m:t>
        </m:r>
      </m:oMath>
      <w:r w:rsidRPr="00DA5AE2">
        <w:t xml:space="preserve"> can be intuitively interpreted as plot-level mean survival, so the model quantifies how mean survival changes with tree species diversity and drought. The precision parameter </w:t>
      </w:r>
      <m:oMath>
        <m:r>
          <w:rPr>
            <w:rFonts w:ascii="Cambria Math" w:hAnsi="Cambria Math"/>
          </w:rPr>
          <m:t>φ</m:t>
        </m:r>
      </m:oMath>
      <w:r w:rsidRPr="00DA5AE2">
        <w:t xml:space="preserve"> is the inverse of a dispersion parameter, as for fixed </w:t>
      </w:r>
      <m:oMath>
        <m:r>
          <w:rPr>
            <w:rFonts w:ascii="Cambria Math" w:hAnsi="Cambria Math"/>
          </w:rPr>
          <m:t>μ</m:t>
        </m:r>
      </m:oMath>
      <w:r w:rsidRPr="00DA5AE2">
        <w:t>, the larger the</w:t>
      </w:r>
      <w:r w:rsidR="00C63B08" w:rsidRPr="00DA5AE2">
        <w:t xml:space="preserve"> </w:t>
      </w:r>
      <m:oMath>
        <m:r>
          <w:rPr>
            <w:rFonts w:ascii="Cambria Math" w:hAnsi="Cambria Math"/>
          </w:rPr>
          <m:t>φ</m:t>
        </m:r>
      </m:oMath>
      <w:r w:rsidRPr="00DA5AE2">
        <w:rPr>
          <w:rFonts w:eastAsiaTheme="minorEastAsia"/>
        </w:rPr>
        <w:t xml:space="preserve"> value the smaller the variance in the response variable. The </w:t>
      </w:r>
      <m:oMath>
        <m:r>
          <w:rPr>
            <w:rFonts w:ascii="Cambria Math" w:hAnsi="Cambria Math"/>
          </w:rPr>
          <m:t>φ</m:t>
        </m:r>
      </m:oMath>
      <w:r w:rsidRPr="00DA5AE2">
        <w:rPr>
          <w:rFonts w:eastAsiaTheme="minorEastAsia"/>
        </w:rPr>
        <w:t xml:space="preserve"> parameter thus</w:t>
      </w:r>
      <w:r w:rsidRPr="00DA5AE2">
        <w:t xml:space="preserve"> allows the modelling of heteroscedasticity, in this case between-plot </w:t>
      </w:r>
      <w:r w:rsidR="006C1521" w:rsidRPr="00DA5AE2">
        <w:t>variability</w:t>
      </w:r>
      <w:r w:rsidRPr="00DA5AE2">
        <w:t xml:space="preserve"> in percent survival. A higher </w:t>
      </w:r>
      <w:r w:rsidRPr="00DA5AE2">
        <w:rPr>
          <w:rFonts w:eastAsiaTheme="minorEastAsia"/>
        </w:rPr>
        <w:t xml:space="preserve">value of </w:t>
      </w:r>
      <m:oMath>
        <m:r>
          <w:rPr>
            <w:rFonts w:ascii="Cambria Math" w:hAnsi="Cambria Math"/>
          </w:rPr>
          <m:t>φ</m:t>
        </m:r>
      </m:oMath>
      <w:r w:rsidRPr="00DA5AE2">
        <w:t xml:space="preserve"> will thus result in a lower </w:t>
      </w:r>
      <w:r w:rsidR="006C1521" w:rsidRPr="00DA5AE2">
        <w:t>variability</w:t>
      </w:r>
      <w:r w:rsidRPr="00DA5AE2">
        <w:t xml:space="preserve"> in the distribution</w:t>
      </w:r>
      <w:r w:rsidR="006C1521" w:rsidRPr="00DA5AE2">
        <w:t>.</w:t>
      </w:r>
    </w:p>
    <w:p w14:paraId="6EEF3318" w14:textId="6DF30016" w:rsidR="00B26A2C" w:rsidRPr="00DA5AE2" w:rsidRDefault="002B5BD8">
      <w:pPr>
        <w:jc w:val="both"/>
      </w:pPr>
      <w:r w:rsidRPr="00DA5AE2">
        <w:lastRenderedPageBreak/>
        <w:t>Each model included an interaction term between species diversity and drought, which quantified how changes in variance in survival along the diversity gradient is moderated by drought</w:t>
      </w:r>
      <w:r w:rsidR="006A5236" w:rsidRPr="00DA5AE2">
        <w:t>.</w:t>
      </w:r>
      <w:r w:rsidR="007F6878" w:rsidRPr="00DA5AE2">
        <w:t xml:space="preserve"> Four versions of the model </w:t>
      </w:r>
      <w:r w:rsidR="0078556F" w:rsidRPr="00DA5AE2">
        <w:t>were</w:t>
      </w:r>
      <w:r w:rsidR="007F6878" w:rsidRPr="00DA5AE2">
        <w:t xml:space="preserve"> fitted (see Supplementary Information section 1.2</w:t>
      </w:r>
      <w:r w:rsidR="005C73EA">
        <w:t>.1</w:t>
      </w:r>
      <w:r w:rsidR="007F6878" w:rsidRPr="00DA5AE2">
        <w:t>), one for each combination of the diversity metric</w:t>
      </w:r>
      <w:r w:rsidR="00A23BDD" w:rsidRPr="00DA5AE2">
        <w:t>s</w:t>
      </w:r>
      <w:r w:rsidR="007F6878" w:rsidRPr="00DA5AE2">
        <w:t xml:space="preserve"> (species richness and functional diversity) and the drought index (SPEI and REW). Inter-tree planting distance (median: 1.36 m) was included as a covariate in the model</w:t>
      </w:r>
      <w:r w:rsidR="00C71924" w:rsidRPr="00DA5AE2">
        <w:t xml:space="preserve"> to control for density effects</w:t>
      </w:r>
      <w:r w:rsidR="007F6878" w:rsidRPr="00DA5AE2">
        <w:t>.</w:t>
      </w:r>
      <w:r w:rsidR="007F6878" w:rsidRPr="00DA5AE2">
        <w:rPr>
          <w:rFonts w:eastAsiaTheme="minorEastAsia"/>
        </w:rPr>
        <w:t xml:space="preserve"> </w:t>
      </w:r>
      <w:r w:rsidR="007F6878" w:rsidRPr="00DA5AE2">
        <w:t>The hierarchical structure of the data was accounted for by including group-level (random) effects for biome and site within biome.</w:t>
      </w:r>
      <w:r w:rsidR="00282C04">
        <w:t xml:space="preserve"> </w:t>
      </w:r>
      <w:r w:rsidR="00B8635D">
        <w:t xml:space="preserve">Plot size was not included in the models as it did not explain any residual variation (see Supplementary information section </w:t>
      </w:r>
      <w:r w:rsidR="00DF1C3C">
        <w:t>1.2.</w:t>
      </w:r>
      <w:r w:rsidR="006E4E4B">
        <w:t>1</w:t>
      </w:r>
      <w:r w:rsidR="00DF1C3C">
        <w:t xml:space="preserve">). </w:t>
      </w:r>
      <w:r w:rsidR="007F6878" w:rsidRPr="00DA5AE2">
        <w:rPr>
          <w:rFonts w:eastAsiaTheme="minorEastAsia"/>
        </w:rPr>
        <w:t xml:space="preserve">This multilevel model was fitted using the R package </w:t>
      </w:r>
      <w:r w:rsidR="007F6878" w:rsidRPr="00DA5AE2">
        <w:rPr>
          <w:rFonts w:eastAsiaTheme="minorEastAsia"/>
          <w:i/>
          <w:iCs/>
        </w:rPr>
        <w:t>brms</w:t>
      </w:r>
      <w:r w:rsidR="007F6878" w:rsidRPr="00DA5AE2">
        <w:rPr>
          <w:rFonts w:eastAsiaTheme="minorEastAsia"/>
        </w:rPr>
        <w:t xml:space="preserve"> </w:t>
      </w:r>
      <w:r w:rsidR="00F408FB" w:rsidRPr="00DA5AE2">
        <w:rPr>
          <w:rFonts w:eastAsiaTheme="minorEastAsia"/>
        </w:rPr>
        <w:t xml:space="preserve">function </w:t>
      </w:r>
      <w:r w:rsidR="007F6878" w:rsidRPr="00DA5AE2">
        <w:fldChar w:fldCharType="begin" w:fldLock="1"/>
      </w:r>
      <w:r w:rsidR="007F6878" w:rsidRPr="00DA5AE2">
        <w:instrText>ADDIN CSL_CITATION {"citationItems":[{"id":"ITEM-1","itemData":{"DOI":"10.18637/jss.v080.i01","ISSN":"15487660","abstract":"The brms package implements Bayesian multilevel models in R using the probabilistic programming language Stan. A wide range of distributions and link functions are supported, allowing users to fit – among others – linear, robust linear, binomial, Poisson, survival, ordinal, zero-inflated, hurdle, and even non-linear models all in a multilevel context. Further modeling options include autocorrelation of the response variable, user defined covariance structures, censored data, as well as meta-analytic standard errors. Prior specifications are flexible and explicitly encourage users to apply prior distributions that actually reflect their beliefs. In addition, model fit can easily be assessed and compared with the Watanabe-Akaike information criterion and leave-one-out cross-validation.","author":[{"dropping-particle":"","family":"Bürkner","given":"Paul Christian","non-dropping-particle":"","parse-names":false,"suffix":""}],"container-title":"Journal of Statistical Software","id":"ITEM-1","issue":"1","issued":{"date-parts":[["2017"]]},"title":"brms: An R package for Bayesian multilevel models using Stan","type":"article-journal","volume":"80"},"uris":["http://www.mendeley.com/documents/?uuid=0e7783ab-e1c8-4151-845f-4707a7d3f519"]}],"mendeley":{"formattedCitation":"(Bürkner, 2017)","plainTextFormattedCitation":"(Bürkner, 2017)","previouslyFormattedCitation":"(Bürkner, 2017)"},"properties":{"noteIndex":0},"schema":"https://github.com/citation-style-language/schema/raw/master/csl-citation.json"}</w:instrText>
      </w:r>
      <w:r w:rsidR="007F6878" w:rsidRPr="00DA5AE2">
        <w:fldChar w:fldCharType="separate"/>
      </w:r>
      <w:bookmarkStart w:id="42" w:name="Bookmark40"/>
      <w:r w:rsidR="007F6878" w:rsidRPr="00DA5AE2">
        <w:rPr>
          <w:rFonts w:eastAsiaTheme="minorEastAsia"/>
          <w:noProof/>
        </w:rPr>
        <w:t>(Bürkner, 2017)</w:t>
      </w:r>
      <w:r w:rsidR="007F6878" w:rsidRPr="00DA5AE2">
        <w:fldChar w:fldCharType="end"/>
      </w:r>
      <w:bookmarkEnd w:id="42"/>
      <w:r w:rsidR="007F6878" w:rsidRPr="00DA5AE2">
        <w:rPr>
          <w:rFonts w:eastAsiaTheme="minorEastAsia"/>
        </w:rPr>
        <w:t xml:space="preserve"> in R version 4.2.1 </w:t>
      </w:r>
      <w:r w:rsidR="007F6878" w:rsidRPr="00DA5AE2">
        <w:fldChar w:fldCharType="begin" w:fldLock="1"/>
      </w:r>
      <w:r w:rsidR="007F6878" w:rsidRPr="00DA5AE2">
        <w:instrText>ADDIN CSL_CITATION {"citationItems":[{"id":"ITEM-1","itemData":{"author":[{"dropping-particle":"","family":"R Core Team","given":"","non-dropping-particle":"","parse-names":false,"suffix":""}],"container-title":"URL: https://www.r-project.org/","id":"ITEM-1","issued":{"date-parts":[["2021"]]},"publisher":"R Foundation for Statistical Computing","publisher-place":"Vienna, Austria","title":"R: A language and environment for statistical computing","type":"article-journal"},"uris":["http://www.mendeley.com/documents/?uuid=d35adade-e653-4a6a-860b-69448e8c7533"]}],"mendeley":{"formattedCitation":"(R Core Team, 2021)","plainTextFormattedCitation":"(R Core Team, 2021)","previouslyFormattedCitation":"(R Core Team, 2021)"},"properties":{"noteIndex":0},"schema":"https://github.com/citation-style-language/schema/raw/master/csl-citation.json"}</w:instrText>
      </w:r>
      <w:r w:rsidR="007F6878" w:rsidRPr="00DA5AE2">
        <w:fldChar w:fldCharType="separate"/>
      </w:r>
      <w:bookmarkStart w:id="43" w:name="Bookmark41"/>
      <w:r w:rsidR="007F6878" w:rsidRPr="00DA5AE2">
        <w:rPr>
          <w:rFonts w:eastAsiaTheme="minorEastAsia"/>
          <w:noProof/>
        </w:rPr>
        <w:t>(R Core Team, 2021)</w:t>
      </w:r>
      <w:r w:rsidR="007F6878" w:rsidRPr="00DA5AE2">
        <w:fldChar w:fldCharType="end"/>
      </w:r>
      <w:bookmarkEnd w:id="43"/>
      <w:r w:rsidR="007F6878" w:rsidRPr="00DA5AE2">
        <w:rPr>
          <w:rFonts w:eastAsiaTheme="minorEastAsia"/>
        </w:rPr>
        <w:t xml:space="preserve">. Predictions from this model were performed on a new dataset containing a gradient </w:t>
      </w:r>
      <w:r w:rsidR="00276397" w:rsidRPr="00DA5AE2">
        <w:rPr>
          <w:rFonts w:eastAsiaTheme="minorEastAsia"/>
        </w:rPr>
        <w:t xml:space="preserve">of </w:t>
      </w:r>
      <w:r w:rsidR="007F6878" w:rsidRPr="00DA5AE2">
        <w:rPr>
          <w:rFonts w:eastAsiaTheme="minorEastAsia"/>
        </w:rPr>
        <w:t xml:space="preserve">1 to 6 species (a common gradient in </w:t>
      </w:r>
      <w:r w:rsidR="00276397" w:rsidRPr="00DA5AE2">
        <w:rPr>
          <w:rFonts w:eastAsiaTheme="minorEastAsia"/>
        </w:rPr>
        <w:t xml:space="preserve">TreeDivNet </w:t>
      </w:r>
      <w:r w:rsidR="007F6878" w:rsidRPr="00DA5AE2">
        <w:rPr>
          <w:rFonts w:eastAsiaTheme="minorEastAsia"/>
        </w:rPr>
        <w:t>experiments, Supplementary Metadata M1) and the boundary values of the four SPEI classes</w:t>
      </w:r>
      <w:r w:rsidR="00966E91" w:rsidRPr="00DA5AE2">
        <w:rPr>
          <w:rFonts w:eastAsiaTheme="minorEastAsia"/>
        </w:rPr>
        <w:t xml:space="preserve"> (</w:t>
      </w:r>
      <w:r w:rsidR="00866C3A" w:rsidRPr="00DA5AE2">
        <w:rPr>
          <w:rFonts w:eastAsiaTheme="minorEastAsia"/>
        </w:rPr>
        <w:t>see</w:t>
      </w:r>
      <w:r w:rsidR="007D6764" w:rsidRPr="00DA5AE2">
        <w:rPr>
          <w:rFonts w:eastAsiaTheme="minorEastAsia"/>
        </w:rPr>
        <w:t xml:space="preserve"> color codes on</w:t>
      </w:r>
      <w:r w:rsidR="00866C3A" w:rsidRPr="00DA5AE2">
        <w:rPr>
          <w:rFonts w:eastAsiaTheme="minorEastAsia"/>
        </w:rPr>
        <w:t xml:space="preserve"> Fig. 1</w:t>
      </w:r>
      <w:r w:rsidR="00B57C1A" w:rsidRPr="00DA5AE2">
        <w:rPr>
          <w:rFonts w:eastAsiaTheme="minorEastAsia"/>
        </w:rPr>
        <w:t>)</w:t>
      </w:r>
      <w:r w:rsidR="007F6878" w:rsidRPr="00DA5AE2">
        <w:rPr>
          <w:rFonts w:eastAsiaTheme="minorEastAsia"/>
        </w:rPr>
        <w:t xml:space="preserve"> </w:t>
      </w:r>
      <w:r w:rsidR="006F2E0D" w:rsidRPr="00DA5AE2">
        <w:rPr>
          <w:rFonts w:eastAsiaTheme="minorEastAsia"/>
        </w:rPr>
        <w:t xml:space="preserve">or </w:t>
      </w:r>
      <w:r w:rsidR="007F6878" w:rsidRPr="00DA5AE2">
        <w:rPr>
          <w:rFonts w:eastAsiaTheme="minorEastAsia"/>
        </w:rPr>
        <w:t xml:space="preserve">four REW values (0.6 = no </w:t>
      </w:r>
      <w:r w:rsidR="002A1E67" w:rsidRPr="00DA5AE2">
        <w:rPr>
          <w:rFonts w:eastAsiaTheme="minorEastAsia"/>
        </w:rPr>
        <w:t>drought</w:t>
      </w:r>
      <w:r w:rsidR="007F6878" w:rsidRPr="00DA5AE2">
        <w:rPr>
          <w:rFonts w:eastAsiaTheme="minorEastAsia"/>
        </w:rPr>
        <w:t xml:space="preserve"> stress, 0.4 = </w:t>
      </w:r>
      <w:r w:rsidR="002A1E67" w:rsidRPr="00DA5AE2">
        <w:rPr>
          <w:rFonts w:eastAsiaTheme="minorEastAsia"/>
        </w:rPr>
        <w:t>drought</w:t>
      </w:r>
      <w:r w:rsidR="007F6878" w:rsidRPr="00DA5AE2">
        <w:rPr>
          <w:rFonts w:eastAsiaTheme="minorEastAsia"/>
        </w:rPr>
        <w:t xml:space="preserve"> stress threshold, 0.2 = </w:t>
      </w:r>
      <w:r w:rsidR="002A1E67" w:rsidRPr="00DA5AE2">
        <w:rPr>
          <w:rFonts w:eastAsiaTheme="minorEastAsia"/>
        </w:rPr>
        <w:t>drought</w:t>
      </w:r>
      <w:r w:rsidR="007F6878" w:rsidRPr="00DA5AE2">
        <w:rPr>
          <w:rFonts w:eastAsiaTheme="minorEastAsia"/>
        </w:rPr>
        <w:t xml:space="preserve"> stress, 0 = permanent wilting point) as input data. For the predictions o</w:t>
      </w:r>
      <w:r w:rsidR="00EA170A" w:rsidRPr="00DA5AE2">
        <w:rPr>
          <w:rFonts w:eastAsiaTheme="minorEastAsia"/>
        </w:rPr>
        <w:t>f</w:t>
      </w:r>
      <w:r w:rsidR="007F6878" w:rsidRPr="00DA5AE2">
        <w:rPr>
          <w:rFonts w:eastAsiaTheme="minorEastAsia"/>
        </w:rPr>
        <w:t xml:space="preserve"> functional diversity</w:t>
      </w:r>
      <w:r w:rsidR="00EA170A" w:rsidRPr="00DA5AE2">
        <w:rPr>
          <w:rFonts w:eastAsiaTheme="minorEastAsia"/>
        </w:rPr>
        <w:t xml:space="preserve"> effects</w:t>
      </w:r>
      <w:r w:rsidR="007F6878" w:rsidRPr="00DA5AE2">
        <w:rPr>
          <w:rFonts w:eastAsiaTheme="minorEastAsia"/>
        </w:rPr>
        <w:t xml:space="preserve">, we used the observed gradient in Rao’s Q (between 0 and 0.2). Variability in survival is presented on a 90% prediction interval to avoid sampling instability in the presented tails of the posterior distribution </w:t>
      </w:r>
      <w:r w:rsidR="007F6878" w:rsidRPr="00DA5AE2">
        <w:fldChar w:fldCharType="begin" w:fldLock="1"/>
      </w:r>
      <w:r w:rsidR="007F6878" w:rsidRPr="00DA5AE2">
        <w:instrText>ADDIN CSL_CITATION {"citationItems":[{"id":"ITEM-1","itemData":{"ISSN":"0124059163","author":[{"dropping-particle":"","family":"Kruschke","given":"John","non-dropping-particle":"","parse-names":false,"suffix":""}],"id":"ITEM-1","issued":{"date-parts":[["2014"]]},"publisher":"Academic Press","title":"Doing Bayesian data analysis: A tutorial with R, JAGS, and Stan","type":"article-journal"},"uris":["http://www.mendeley.com/documents/?uuid=010b5a14-21e0-4850-9e3f-a075e6b087a9"]},{"id":"ITEM-2","itemData":{"ISBN":"0429029608","author":[{"dropping-particle":"","family":"McElreath","given":"Richard","non-dropping-particle":"","parse-names":false,"suffix":""}],"id":"ITEM-2","issued":{"date-parts":[["2020"]]},"publisher":"Chapman and Hall/CRC","title":"Statistical rethinking: A Bayesian course with examples in R and Stan","type":"book"},"uris":["http://www.mendeley.com/documents/?uuid=f8bff283-e0c4-4076-8048-18baaede5a5a"]}],"mendeley":{"formattedCitation":"(Kruschke, 2014; McElreath, 2020)","plainTextFormattedCitation":"(Kruschke, 2014; McElreath, 2020)","previouslyFormattedCitation":"(Kruschke, 2014; McElreath, 2020)"},"properties":{"noteIndex":0},"schema":"https://github.com/citation-style-language/schema/raw/master/csl-citation.json"}</w:instrText>
      </w:r>
      <w:r w:rsidR="007F6878" w:rsidRPr="00DA5AE2">
        <w:fldChar w:fldCharType="separate"/>
      </w:r>
      <w:bookmarkStart w:id="44" w:name="Bookmark42"/>
      <w:r w:rsidR="007F6878" w:rsidRPr="00DA5AE2">
        <w:rPr>
          <w:rFonts w:eastAsiaTheme="minorEastAsia"/>
          <w:noProof/>
        </w:rPr>
        <w:t>(Kruschke, 2014; McElreath, 2020)</w:t>
      </w:r>
      <w:r w:rsidR="007F6878" w:rsidRPr="00DA5AE2">
        <w:fldChar w:fldCharType="end"/>
      </w:r>
      <w:bookmarkEnd w:id="44"/>
      <w:r w:rsidR="007F6878" w:rsidRPr="00DA5AE2">
        <w:rPr>
          <w:rFonts w:eastAsiaTheme="minorEastAsia"/>
        </w:rPr>
        <w:t xml:space="preserve">. For further details on model specification, see Supplementary </w:t>
      </w:r>
      <w:r w:rsidR="004A2016" w:rsidRPr="00DA5AE2">
        <w:rPr>
          <w:rFonts w:eastAsiaTheme="minorEastAsia"/>
        </w:rPr>
        <w:t>Information</w:t>
      </w:r>
      <w:r w:rsidR="005412E9" w:rsidRPr="00DA5AE2">
        <w:rPr>
          <w:rFonts w:eastAsiaTheme="minorEastAsia"/>
        </w:rPr>
        <w:t xml:space="preserve"> </w:t>
      </w:r>
      <w:r w:rsidR="007F6878" w:rsidRPr="00DA5AE2">
        <w:rPr>
          <w:rFonts w:eastAsiaTheme="minorEastAsia"/>
        </w:rPr>
        <w:t>section 1.2.</w:t>
      </w:r>
    </w:p>
    <w:p w14:paraId="698807B8" w14:textId="77777777" w:rsidR="00B26A2C" w:rsidRPr="00DA5AE2" w:rsidRDefault="007F6878">
      <w:pPr>
        <w:pStyle w:val="Heading3"/>
        <w:jc w:val="both"/>
        <w:rPr>
          <w:rFonts w:eastAsiaTheme="minorEastAsia"/>
        </w:rPr>
      </w:pPr>
      <w:r w:rsidRPr="00DA5AE2">
        <w:rPr>
          <w:rFonts w:eastAsiaTheme="minorEastAsia"/>
        </w:rPr>
        <w:t>Analysis of species-level survival</w:t>
      </w:r>
    </w:p>
    <w:p w14:paraId="229CFC2E" w14:textId="164062FA" w:rsidR="00B26A2C" w:rsidRPr="00DA5AE2" w:rsidRDefault="007F6878">
      <w:pPr>
        <w:jc w:val="both"/>
      </w:pPr>
      <w:r w:rsidRPr="00DA5AE2">
        <w:t xml:space="preserve">To test for differences in species-level </w:t>
      </w:r>
      <w:r w:rsidR="00891A01" w:rsidRPr="00DA5AE2">
        <w:t xml:space="preserve">drought </w:t>
      </w:r>
      <w:r w:rsidRPr="00DA5AE2">
        <w:t>survival between monocultures and mixtures, the average survival of a species at a given richness level was subtracted from the average survival in monocultures of that species (</w:t>
      </w:r>
      <w:r w:rsidRPr="00DA5AE2">
        <w:rPr>
          <w:rFonts w:cstheme="minorHAnsi"/>
        </w:rPr>
        <w:t>∆</w:t>
      </w:r>
      <w:r w:rsidRPr="00DA5AE2">
        <w:t xml:space="preserve">survival). </w:t>
      </w:r>
      <w:r w:rsidR="00C92B72" w:rsidRPr="00DA5AE2">
        <w:t>We expected that increases in survival in mixtures would be more pronounced under drought and in those species that survived more poorly in monoculture</w:t>
      </w:r>
      <w:r w:rsidR="00EE7BAF" w:rsidRPr="00DA5AE2">
        <w:t>.</w:t>
      </w:r>
      <w:r w:rsidR="00C92B72" w:rsidRPr="00DA5AE2">
        <w:t xml:space="preserve"> </w:t>
      </w:r>
      <w:r w:rsidRPr="00DA5AE2">
        <w:t>Th</w:t>
      </w:r>
      <w:r w:rsidR="00EE7BAF" w:rsidRPr="00DA5AE2">
        <w:t xml:space="preserve">e </w:t>
      </w:r>
      <w:r w:rsidR="00EE7BAF" w:rsidRPr="00DA5AE2">
        <w:rPr>
          <w:rFonts w:cstheme="minorHAnsi"/>
        </w:rPr>
        <w:t>∆</w:t>
      </w:r>
      <w:r w:rsidR="00EE7BAF" w:rsidRPr="00DA5AE2">
        <w:t>survival</w:t>
      </w:r>
      <w:r w:rsidRPr="00DA5AE2">
        <w:t xml:space="preserve"> </w:t>
      </w:r>
      <w:r w:rsidR="00625B91" w:rsidRPr="00DA5AE2">
        <w:t>value</w:t>
      </w:r>
      <w:r w:rsidRPr="00DA5AE2">
        <w:t xml:space="preserve"> was </w:t>
      </w:r>
      <w:r w:rsidR="00C92B72" w:rsidRPr="00DA5AE2">
        <w:t>fitted as</w:t>
      </w:r>
      <w:r w:rsidR="0042647C" w:rsidRPr="00DA5AE2">
        <w:t xml:space="preserve"> the</w:t>
      </w:r>
      <w:r w:rsidR="00C92B72" w:rsidRPr="00DA5AE2">
        <w:t xml:space="preserve"> response variable to</w:t>
      </w:r>
      <w:r w:rsidRPr="00DA5AE2">
        <w:t xml:space="preserve"> the survival of that species in monoculture (see also </w:t>
      </w:r>
      <w:r w:rsidRPr="00DA5AE2">
        <w:fldChar w:fldCharType="begin" w:fldLock="1"/>
      </w:r>
      <w:r w:rsidRPr="00DA5AE2">
        <w:instrText>ADDIN CSL_CITATION {"citationItems":[{"id":"ITEM-1","itemData":{"DOI":"10.1111/rec.13927","ISSN":"1061-2971","author":[{"dropping-particle":"","family":"King","given":"Rachel A.","non-dropping-particle":"","parse-names":false,"suffix":""},{"dropping-particle":"","family":"Pullen","given":"Jamie","non-dropping-particle":"","parse-names":false,"suffix":""},{"dropping-particle":"","family":"Cook‐Patton","given":"Susan C.","non-dropping-particle":"","parse-names":false,"suffix":""},{"dropping-particle":"","family":"Parker","given":"John D.","non-dropping-particle":"","parse-names":false,"suffix":""}],"container-title":"Restoration Ecology","id":"ITEM-1","issue":"5","issued":{"date-parts":[["2023"]]},"page":"1-11","title":"Diversity stabilizes but does not increase sapling survival in a tree diversity experiment","type":"article-journal","volume":"31"},"uris":["http://www.mendeley.com/documents/?uuid=c056e222-4d6b-4f31-8a1c-481e528e7726"]}],"mendeley":{"formattedCitation":"(King, Pullen, Cook‐Patton, &amp; Parker, 2023)","manualFormatting":"King, Pullen, Cook-Patton, &amp; Parker, 2023)","plainTextFormattedCitation":"(King, Pullen, Cook‐Patton, &amp; Parker, 2023)","previouslyFormattedCitation":"(King, Pullen, Cook‐Patton, &amp; Parker, 2023)"},"properties":{"noteIndex":0},"schema":"https://github.com/citation-style-language/schema/raw/master/csl-citation.json"}</w:instrText>
      </w:r>
      <w:r w:rsidRPr="00DA5AE2">
        <w:fldChar w:fldCharType="separate"/>
      </w:r>
      <w:bookmarkStart w:id="45" w:name="Bookmark43"/>
      <w:r w:rsidRPr="00DA5AE2">
        <w:rPr>
          <w:noProof/>
        </w:rPr>
        <w:t>King, Pullen, Cook-Patton, &amp; Parker, 2023)</w:t>
      </w:r>
      <w:r w:rsidRPr="00DA5AE2">
        <w:fldChar w:fldCharType="end"/>
      </w:r>
      <w:bookmarkEnd w:id="45"/>
      <w:r w:rsidR="00224D3A" w:rsidRPr="00DA5AE2">
        <w:t>,</w:t>
      </w:r>
      <w:r w:rsidRPr="00DA5AE2">
        <w:t xml:space="preserve"> in interaction with SPEI and REW using a </w:t>
      </w:r>
      <w:r w:rsidR="008211F9" w:rsidRPr="00DA5AE2">
        <w:t xml:space="preserve">Gaussian </w:t>
      </w:r>
      <w:r w:rsidRPr="00DA5AE2">
        <w:t xml:space="preserve">distribution and the </w:t>
      </w:r>
      <w:r w:rsidRPr="00DA5AE2">
        <w:rPr>
          <w:i/>
          <w:iCs/>
        </w:rPr>
        <w:t>brms</w:t>
      </w:r>
      <w:r w:rsidRPr="00DA5AE2">
        <w:t xml:space="preserve"> package </w:t>
      </w:r>
      <w:r w:rsidRPr="00DA5AE2">
        <w:fldChar w:fldCharType="begin" w:fldLock="1"/>
      </w:r>
      <w:r w:rsidRPr="00DA5AE2">
        <w:instrText>ADDIN CSL_CITATION {"citationItems":[{"id":"ITEM-1","itemData":{"DOI":"10.18637/jss.v080.i01","ISSN":"15487660","abstract":"The brms package implements Bayesian multilevel models in R using the probabilistic programming language Stan. A wide range of distributions and link functions are supported, allowing users to fit – among others – linear, robust linear, binomial, Poisson, survival, ordinal, zero-inflated, hurdle, and even non-linear models all in a multilevel context. Further modeling options include autocorrelation of the response variable, user defined covariance structures, censored data, as well as meta-analytic standard errors. Prior specifications are flexible and explicitly encourage users to apply prior distributions that actually reflect their beliefs. In addition, model fit can easily be assessed and compared with the Watanabe-Akaike information criterion and leave-one-out cross-validation.","author":[{"dropping-particle":"","family":"Bürkner","given":"Paul Christian","non-dropping-particle":"","parse-names":false,"suffix":""}],"container-title":"Journal of Statistical Software","id":"ITEM-1","issue":"1","issued":{"date-parts":[["2017"]]},"title":"brms: An R package for Bayesian multilevel models using Stan","type":"article-journal","volume":"80"},"uris":["http://www.mendeley.com/documents/?uuid=0e7783ab-e1c8-4151-845f-4707a7d3f519"]}],"mendeley":{"formattedCitation":"(Bürkner, 2017)","plainTextFormattedCitation":"(Bürkner, 2017)","previouslyFormattedCitation":"(Bürkner, 2017)"},"properties":{"noteIndex":0},"schema":"https://github.com/citation-style-language/schema/raw/master/csl-citation.json"}</w:instrText>
      </w:r>
      <w:r w:rsidRPr="00DA5AE2">
        <w:fldChar w:fldCharType="separate"/>
      </w:r>
      <w:bookmarkStart w:id="46" w:name="Bookmark44"/>
      <w:r w:rsidRPr="00DA5AE2">
        <w:rPr>
          <w:noProof/>
        </w:rPr>
        <w:t>(Bürkner, 2017)</w:t>
      </w:r>
      <w:r w:rsidRPr="00DA5AE2">
        <w:fldChar w:fldCharType="end"/>
      </w:r>
      <w:bookmarkEnd w:id="46"/>
      <w:r w:rsidRPr="00DA5AE2">
        <w:t xml:space="preserve">. See Supplementary </w:t>
      </w:r>
      <w:r w:rsidR="009966C1" w:rsidRPr="00DA5AE2">
        <w:t xml:space="preserve">Information, </w:t>
      </w:r>
      <w:r w:rsidRPr="00DA5AE2">
        <w:t xml:space="preserve">section 1.2.2 for further details. </w:t>
      </w:r>
    </w:p>
    <w:p w14:paraId="750109B7" w14:textId="73A3CA5A" w:rsidR="00B26A2C" w:rsidRPr="00DA5AE2" w:rsidRDefault="007F6878">
      <w:pPr>
        <w:jc w:val="both"/>
      </w:pPr>
      <w:r w:rsidRPr="00DA5AE2">
        <w:t xml:space="preserve">To </w:t>
      </w:r>
      <w:r w:rsidR="003B51DF" w:rsidRPr="00DA5AE2">
        <w:t>quantify</w:t>
      </w:r>
      <w:r w:rsidR="0014556C" w:rsidRPr="00DA5AE2">
        <w:t xml:space="preserve"> the relationship between </w:t>
      </w:r>
      <w:r w:rsidRPr="00DA5AE2">
        <w:t xml:space="preserve">functional traits </w:t>
      </w:r>
      <w:r w:rsidR="0014556C" w:rsidRPr="00DA5AE2">
        <w:t>and</w:t>
      </w:r>
      <w:r w:rsidRPr="00DA5AE2">
        <w:t xml:space="preserve"> species survival, we examined the effect of the </w:t>
      </w:r>
      <w:r w:rsidR="00EE7BAF" w:rsidRPr="00DA5AE2">
        <w:t>ten</w:t>
      </w:r>
      <w:r w:rsidRPr="00DA5AE2">
        <w:t xml:space="preserve"> different functional traits on species</w:t>
      </w:r>
      <w:r w:rsidR="002D52B2" w:rsidRPr="00DA5AE2">
        <w:t xml:space="preserve"> </w:t>
      </w:r>
      <w:r w:rsidRPr="00DA5AE2">
        <w:t xml:space="preserve">survival </w:t>
      </w:r>
      <w:r w:rsidR="002C709B" w:rsidRPr="00DA5AE2">
        <w:t xml:space="preserve">in </w:t>
      </w:r>
      <w:r w:rsidRPr="00DA5AE2">
        <w:t xml:space="preserve">monoculture. Rather than imputing missing trait data, we fitted separate models for each functional trait to account for differences in data coverage between traits. Each trait was modelled separately to estimate </w:t>
      </w:r>
      <w:r w:rsidR="007E5D09" w:rsidRPr="00DA5AE2">
        <w:t>its</w:t>
      </w:r>
      <w:r w:rsidRPr="00DA5AE2">
        <w:t xml:space="preserve"> effect on species survival in monoculture. The hierarchical structure of the data was accounted for by including group-level (random) effects for biome and site within biome. </w:t>
      </w:r>
      <w:r w:rsidRPr="00DA5AE2">
        <w:rPr>
          <w:rFonts w:eastAsiaTheme="minorEastAsia"/>
        </w:rPr>
        <w:t xml:space="preserve">This multilevel model was fitted using the R package </w:t>
      </w:r>
      <w:r w:rsidRPr="00DA5AE2">
        <w:rPr>
          <w:rFonts w:eastAsiaTheme="minorEastAsia"/>
          <w:i/>
          <w:iCs/>
        </w:rPr>
        <w:lastRenderedPageBreak/>
        <w:t>brms</w:t>
      </w:r>
      <w:r w:rsidRPr="00DA5AE2">
        <w:rPr>
          <w:rFonts w:eastAsiaTheme="minorEastAsia"/>
        </w:rPr>
        <w:t xml:space="preserve"> </w:t>
      </w:r>
      <w:r w:rsidRPr="00DA5AE2">
        <w:fldChar w:fldCharType="begin" w:fldLock="1"/>
      </w:r>
      <w:r w:rsidRPr="00DA5AE2">
        <w:instrText>ADDIN CSL_CITATION {"citationItems":[{"id":"ITEM-1","itemData":{"DOI":"10.18637/jss.v080.i01","ISSN":"15487660","abstract":"The brms package implements Bayesian multilevel models in R using the probabilistic programming language Stan. A wide range of distributions and link functions are supported, allowing users to fit – among others – linear, robust linear, binomial, Poisson, survival, ordinal, zero-inflated, hurdle, and even non-linear models all in a multilevel context. Further modeling options include autocorrelation of the response variable, user defined covariance structures, censored data, as well as meta-analytic standard errors. Prior specifications are flexible and explicitly encourage users to apply prior distributions that actually reflect their beliefs. In addition, model fit can easily be assessed and compared with the Watanabe-Akaike information criterion and leave-one-out cross-validation.","author":[{"dropping-particle":"","family":"Bürkner","given":"Paul Christian","non-dropping-particle":"","parse-names":false,"suffix":""}],"container-title":"Journal of Statistical Software","id":"ITEM-1","issue":"1","issued":{"date-parts":[["2017"]]},"title":"brms: An R package for Bayesian multilevel models using Stan","type":"article-journal","volume":"80"},"uris":["http://www.mendeley.com/documents/?uuid=0e7783ab-e1c8-4151-845f-4707a7d3f519"]}],"mendeley":{"formattedCitation":"(Bürkner, 2017)","plainTextFormattedCitation":"(Bürkner, 2017)","previouslyFormattedCitation":"(Bürkner, 2017)"},"properties":{"noteIndex":0},"schema":"https://github.com/citation-style-language/schema/raw/master/csl-citation.json"}</w:instrText>
      </w:r>
      <w:r w:rsidRPr="00DA5AE2">
        <w:fldChar w:fldCharType="separate"/>
      </w:r>
      <w:bookmarkStart w:id="47" w:name="Bookmark48"/>
      <w:r w:rsidRPr="00DA5AE2">
        <w:rPr>
          <w:rFonts w:eastAsiaTheme="minorEastAsia"/>
          <w:noProof/>
        </w:rPr>
        <w:t>(Bürkner, 2017)</w:t>
      </w:r>
      <w:r w:rsidRPr="00DA5AE2">
        <w:fldChar w:fldCharType="end"/>
      </w:r>
      <w:bookmarkEnd w:id="47"/>
      <w:r w:rsidRPr="00DA5AE2">
        <w:rPr>
          <w:rFonts w:eastAsiaTheme="minorEastAsia"/>
        </w:rPr>
        <w:t xml:space="preserve"> in R version 4.2.1 </w:t>
      </w:r>
      <w:r w:rsidRPr="00DA5AE2">
        <w:fldChar w:fldCharType="begin" w:fldLock="1"/>
      </w:r>
      <w:r w:rsidRPr="00DA5AE2">
        <w:instrText>ADDIN CSL_CITATION {"citationItems":[{"id":"ITEM-1","itemData":{"author":[{"dropping-particle":"","family":"R Core Team","given":"","non-dropping-particle":"","parse-names":false,"suffix":""}],"container-title":"URL: https://www.r-project.org/","id":"ITEM-1","issued":{"date-parts":[["2021"]]},"publisher":"R Foundation for Statistical Computing","publisher-place":"Vienna, Austria","title":"R: A language and environment for statistical computing","type":"article-journal"},"uris":["http://www.mendeley.com/documents/?uuid=d35adade-e653-4a6a-860b-69448e8c7533"]}],"mendeley":{"formattedCitation":"(R Core Team, 2021)","plainTextFormattedCitation":"(R Core Team, 2021)","previouslyFormattedCitation":"(R Core Team, 2021)"},"properties":{"noteIndex":0},"schema":"https://github.com/citation-style-language/schema/raw/master/csl-citation.json"}</w:instrText>
      </w:r>
      <w:r w:rsidRPr="00DA5AE2">
        <w:fldChar w:fldCharType="separate"/>
      </w:r>
      <w:bookmarkStart w:id="48" w:name="Bookmark49"/>
      <w:r w:rsidRPr="00DA5AE2">
        <w:rPr>
          <w:rFonts w:eastAsiaTheme="minorEastAsia"/>
          <w:noProof/>
        </w:rPr>
        <w:t>(R Core Team, 2021)</w:t>
      </w:r>
      <w:r w:rsidRPr="00DA5AE2">
        <w:fldChar w:fldCharType="end"/>
      </w:r>
      <w:bookmarkEnd w:id="48"/>
      <w:r w:rsidRPr="00DA5AE2">
        <w:rPr>
          <w:rFonts w:eastAsiaTheme="minorEastAsia"/>
        </w:rPr>
        <w:t xml:space="preserve">. </w:t>
      </w:r>
      <w:r w:rsidR="00AF543F" w:rsidRPr="00DA5AE2">
        <w:rPr>
          <w:rFonts w:eastAsiaTheme="minorEastAsia"/>
        </w:rPr>
        <w:t>The effects are</w:t>
      </w:r>
      <w:r w:rsidR="00E9771A" w:rsidRPr="00DA5AE2">
        <w:rPr>
          <w:rFonts w:eastAsiaTheme="minorEastAsia"/>
        </w:rPr>
        <w:t xml:space="preserve"> presented on a 90% credible interval (CI). </w:t>
      </w:r>
      <w:r w:rsidRPr="00DA5AE2">
        <w:rPr>
          <w:rFonts w:eastAsiaTheme="minorEastAsia"/>
        </w:rPr>
        <w:t xml:space="preserve">For further details, see </w:t>
      </w:r>
      <w:r w:rsidR="001664F9" w:rsidRPr="00DA5AE2">
        <w:rPr>
          <w:rFonts w:eastAsiaTheme="minorEastAsia"/>
        </w:rPr>
        <w:t xml:space="preserve">Supplementary Information, </w:t>
      </w:r>
      <w:r w:rsidRPr="00DA5AE2">
        <w:rPr>
          <w:rFonts w:eastAsiaTheme="minorEastAsia"/>
        </w:rPr>
        <w:t xml:space="preserve">section 1.2.2. </w:t>
      </w:r>
    </w:p>
    <w:p w14:paraId="43DE9642" w14:textId="447754B2" w:rsidR="00B26A2C" w:rsidRPr="00DA5AE2" w:rsidRDefault="007F6878">
      <w:pPr>
        <w:jc w:val="both"/>
      </w:pPr>
      <w:r w:rsidRPr="00DA5AE2">
        <w:t xml:space="preserve">We </w:t>
      </w:r>
      <w:r w:rsidR="00E42573" w:rsidRPr="00DA5AE2">
        <w:t xml:space="preserve">constructed </w:t>
      </w:r>
      <w:r w:rsidRPr="00DA5AE2">
        <w:t xml:space="preserve">a correlation plot to </w:t>
      </w:r>
      <w:r w:rsidR="00E42573" w:rsidRPr="00DA5AE2">
        <w:t xml:space="preserve">display </w:t>
      </w:r>
      <w:r w:rsidRPr="00DA5AE2">
        <w:t>the pairwise correlations between traits and support</w:t>
      </w:r>
      <w:r w:rsidR="00AA5285" w:rsidRPr="00DA5AE2">
        <w:t xml:space="preserve"> the</w:t>
      </w:r>
      <w:r w:rsidRPr="00DA5AE2">
        <w:t xml:space="preserve"> interpretation of the results. In addition, we used principal component analysis (PCA) to graphically depict the multi-dimensional correlation structure of </w:t>
      </w:r>
      <w:r w:rsidR="00354236" w:rsidRPr="00DA5AE2">
        <w:t>all</w:t>
      </w:r>
      <w:r w:rsidRPr="00DA5AE2">
        <w:t xml:space="preserve"> functional traits using the function </w:t>
      </w:r>
      <w:r w:rsidRPr="00DA5AE2">
        <w:rPr>
          <w:i/>
          <w:iCs/>
        </w:rPr>
        <w:t>bpca</w:t>
      </w:r>
      <w:r w:rsidRPr="00DA5AE2">
        <w:t xml:space="preserve"> </w:t>
      </w:r>
      <w:r w:rsidR="00354236" w:rsidRPr="00DA5AE2">
        <w:t xml:space="preserve">of </w:t>
      </w:r>
      <w:r w:rsidRPr="00DA5AE2">
        <w:t xml:space="preserve">the R package </w:t>
      </w:r>
      <w:r w:rsidRPr="00DA5AE2">
        <w:fldChar w:fldCharType="begin" w:fldLock="1"/>
      </w:r>
      <w:r w:rsidRPr="00DA5AE2">
        <w:instrText>ADDIN CSL_CITATION {"citationItems":[{"id":"ITEM-1","itemData":{"author":[{"dropping-particle":"","family":"Faria","given":"José Cláudio Fario","non-dropping-particle":"","parse-names":false,"suffix":""},{"dropping-particle":"","family":"Demétrie","given":"Clarice Garcia Borges","non-dropping-particle":"","parse-names":false,"suffix":""},{"dropping-particle":"","family":"Allaman","given":"Ivan Bezarra","non-dropping-particle":"","parse-names":false,"suffix":""}],"id":"ITEM-1","issued":{"date-parts":[["2022"]]},"publisher-place":"Ilheus, Bahia, Brasil and Piracicaba, Sao Paulo, Brasil","title":"Biplot of multivariate data based on Principal Components Analysis","type":"article"},"uris":["http://www.mendeley.com/documents/?uuid=8c79840c-b7f6-4682-b917-4ed8f8f9027c"]}],"mendeley":{"formattedCitation":"(Faria, Demétrie, &amp; Allaman, 2022)","plainTextFormattedCitation":"(Faria, Demétrie, &amp; Allaman, 2022)","previouslyFormattedCitation":"(Faria, Demétrie, &amp; Allaman, 2022)"},"properties":{"noteIndex":0},"schema":"https://github.com/citation-style-language/schema/raw/master/csl-citation.json"}</w:instrText>
      </w:r>
      <w:r w:rsidRPr="00DA5AE2">
        <w:fldChar w:fldCharType="separate"/>
      </w:r>
      <w:bookmarkStart w:id="49" w:name="Bookmark50"/>
      <w:r w:rsidRPr="00DA5AE2">
        <w:rPr>
          <w:noProof/>
        </w:rPr>
        <w:t>(Faria, Demétrie, &amp; Allaman, 2022)</w:t>
      </w:r>
      <w:r w:rsidRPr="00DA5AE2">
        <w:fldChar w:fldCharType="end"/>
      </w:r>
      <w:bookmarkEnd w:id="49"/>
      <w:r w:rsidRPr="00DA5AE2">
        <w:t xml:space="preserve">. The PCA </w:t>
      </w:r>
      <w:r w:rsidR="00DC7F51" w:rsidRPr="00DA5AE2">
        <w:t xml:space="preserve">only </w:t>
      </w:r>
      <w:r w:rsidRPr="00DA5AE2">
        <w:t xml:space="preserve">included </w:t>
      </w:r>
      <w:r w:rsidR="00434845" w:rsidRPr="00DA5AE2">
        <w:t xml:space="preserve">the 24 </w:t>
      </w:r>
      <w:r w:rsidRPr="00DA5AE2">
        <w:t xml:space="preserve">species with complete records </w:t>
      </w:r>
      <w:r w:rsidR="00DC7F51" w:rsidRPr="00DA5AE2">
        <w:t xml:space="preserve">for </w:t>
      </w:r>
      <w:r w:rsidRPr="00DA5AE2">
        <w:t xml:space="preserve">all </w:t>
      </w:r>
      <w:r w:rsidR="00BF1A6F" w:rsidRPr="00DA5AE2">
        <w:t>ten</w:t>
      </w:r>
      <w:r w:rsidRPr="00DA5AE2">
        <w:t xml:space="preserve"> traits. </w:t>
      </w:r>
    </w:p>
    <w:p w14:paraId="4D3747A7" w14:textId="77777777" w:rsidR="00B26A2C" w:rsidRPr="00DA5AE2" w:rsidRDefault="007F6878">
      <w:pPr>
        <w:pStyle w:val="Heading1"/>
        <w:jc w:val="both"/>
      </w:pPr>
      <w:r w:rsidRPr="00DA5AE2">
        <w:t>Results</w:t>
      </w:r>
    </w:p>
    <w:p w14:paraId="5CC4BE2A" w14:textId="77777777" w:rsidR="00B26A2C" w:rsidRPr="00DA5AE2" w:rsidRDefault="007F6878">
      <w:pPr>
        <w:pStyle w:val="Heading3"/>
        <w:jc w:val="both"/>
      </w:pPr>
      <w:r w:rsidRPr="00DA5AE2">
        <w:t>Analysis of plot-level survival</w:t>
      </w:r>
    </w:p>
    <w:p w14:paraId="02C02BB3" w14:textId="2EFDD9BB" w:rsidR="00B26A2C" w:rsidRPr="00DA5AE2" w:rsidRDefault="007F6878">
      <w:pPr>
        <w:jc w:val="both"/>
      </w:pPr>
      <w:r w:rsidRPr="00DA5AE2">
        <w:rPr>
          <w:rFonts w:eastAsiaTheme="minorEastAsia"/>
        </w:rPr>
        <w:t>Mean plot-level survival was not sensitive to tree species richness and drought conditions as indicated by SPEI and REW</w:t>
      </w:r>
      <w:r w:rsidR="00700502" w:rsidRPr="00DA5AE2">
        <w:rPr>
          <w:rFonts w:eastAsiaTheme="minorEastAsia"/>
        </w:rPr>
        <w:t>. In contrast, v</w:t>
      </w:r>
      <w:r w:rsidRPr="00DA5AE2">
        <w:rPr>
          <w:rFonts w:eastAsiaTheme="minorEastAsia"/>
        </w:rPr>
        <w:t>ariability in survival was sensitive to richness and drought</w:t>
      </w:r>
      <w:r w:rsidR="00F109E3" w:rsidRPr="00DA5AE2">
        <w:rPr>
          <w:rFonts w:eastAsiaTheme="minorEastAsia"/>
        </w:rPr>
        <w:t xml:space="preserve"> (</w:t>
      </w:r>
      <w:r w:rsidR="00F109E3" w:rsidRPr="00DA5AE2">
        <w:rPr>
          <w:rFonts w:eastAsiaTheme="minorEastAsia"/>
        </w:rPr>
        <w:fldChar w:fldCharType="begin"/>
      </w:r>
      <w:r w:rsidR="00F109E3" w:rsidRPr="00DA5AE2">
        <w:instrText>REF _Ref146637220 \h</w:instrText>
      </w:r>
      <w:r w:rsidR="00220BF3" w:rsidRPr="00DA5AE2">
        <w:rPr>
          <w:rFonts w:eastAsiaTheme="minorEastAsia"/>
        </w:rPr>
        <w:instrText xml:space="preserve"> \* MERGEFORMAT </w:instrText>
      </w:r>
      <w:r w:rsidR="00F109E3" w:rsidRPr="00DA5AE2">
        <w:rPr>
          <w:rFonts w:eastAsiaTheme="minorEastAsia"/>
        </w:rPr>
      </w:r>
      <w:r w:rsidR="00F109E3" w:rsidRPr="00DA5AE2">
        <w:fldChar w:fldCharType="separate"/>
      </w:r>
      <w:r w:rsidR="00B31598" w:rsidRPr="00DA5AE2">
        <w:t xml:space="preserve">Fig. </w:t>
      </w:r>
      <w:r w:rsidR="00B31598" w:rsidRPr="00DA5AE2">
        <w:rPr>
          <w:noProof/>
        </w:rPr>
        <w:t>2</w:t>
      </w:r>
      <w:r w:rsidR="00F109E3" w:rsidRPr="00DA5AE2">
        <w:fldChar w:fldCharType="end"/>
      </w:r>
      <w:r w:rsidR="00F109E3" w:rsidRPr="00DA5AE2">
        <w:rPr>
          <w:rFonts w:eastAsiaTheme="minorEastAsia"/>
        </w:rPr>
        <w:t>)</w:t>
      </w:r>
      <w:r w:rsidR="00D31A39" w:rsidRPr="00DA5AE2">
        <w:rPr>
          <w:rFonts w:eastAsiaTheme="minorEastAsia"/>
        </w:rPr>
        <w:t>.</w:t>
      </w:r>
      <w:r w:rsidR="00F109E3" w:rsidRPr="00DA5AE2">
        <w:rPr>
          <w:rFonts w:eastAsiaTheme="minorEastAsia"/>
        </w:rPr>
        <w:t xml:space="preserve"> </w:t>
      </w:r>
      <w:r w:rsidRPr="00DA5AE2">
        <w:rPr>
          <w:rFonts w:eastAsiaTheme="minorEastAsia"/>
        </w:rPr>
        <w:t xml:space="preserve">Predictions from the posterior distributions using a 1-6 species richness gradient as input values showed that mean survival ranged from 88% under non-drought conditions (SPEI = 0) to 85% under extreme drought (SPEI =-1.65) </w:t>
      </w:r>
      <w:r w:rsidR="008C77A4" w:rsidRPr="00DA5AE2">
        <w:rPr>
          <w:rFonts w:eastAsiaTheme="minorEastAsia"/>
        </w:rPr>
        <w:t>(</w:t>
      </w:r>
      <w:r w:rsidRPr="00DA5AE2">
        <w:rPr>
          <w:rFonts w:eastAsiaTheme="minorEastAsia"/>
        </w:rPr>
        <w:fldChar w:fldCharType="begin"/>
      </w:r>
      <w:r w:rsidRPr="00DA5AE2">
        <w:instrText>REF _Ref146637220 \h</w:instrText>
      </w:r>
      <w:r w:rsidR="00220BF3" w:rsidRPr="00DA5AE2">
        <w:rPr>
          <w:rFonts w:eastAsiaTheme="minorEastAsia"/>
        </w:rPr>
        <w:instrText xml:space="preserve"> \* MERGEFORMAT </w:instrText>
      </w:r>
      <w:r w:rsidRPr="00DA5AE2">
        <w:rPr>
          <w:rFonts w:eastAsiaTheme="minorEastAsia"/>
        </w:rPr>
      </w:r>
      <w:r w:rsidRPr="00DA5AE2">
        <w:fldChar w:fldCharType="separate"/>
      </w:r>
      <w:r w:rsidR="00B31598" w:rsidRPr="00DA5AE2">
        <w:t xml:space="preserve">Fig. </w:t>
      </w:r>
      <w:r w:rsidR="00B31598" w:rsidRPr="00DA5AE2">
        <w:rPr>
          <w:noProof/>
        </w:rPr>
        <w:t>2</w:t>
      </w:r>
      <w:r w:rsidRPr="00DA5AE2">
        <w:fldChar w:fldCharType="end"/>
      </w:r>
      <w:r w:rsidRPr="00DA5AE2">
        <w:rPr>
          <w:rFonts w:eastAsiaTheme="minorEastAsia"/>
        </w:rPr>
        <w:t>A), with a near equal pattern emerging with REW as the predictor variable (</w:t>
      </w:r>
      <w:r w:rsidRPr="00DA5AE2">
        <w:rPr>
          <w:rFonts w:eastAsiaTheme="minorEastAsia"/>
        </w:rPr>
        <w:fldChar w:fldCharType="begin"/>
      </w:r>
      <w:r w:rsidRPr="00DA5AE2">
        <w:instrText>REF _Ref146637220 \h</w:instrText>
      </w:r>
      <w:r w:rsidR="00220BF3" w:rsidRPr="00DA5AE2">
        <w:rPr>
          <w:rFonts w:eastAsiaTheme="minorEastAsia"/>
        </w:rPr>
        <w:instrText xml:space="preserve"> \* MERGEFORMAT </w:instrText>
      </w:r>
      <w:r w:rsidRPr="00DA5AE2">
        <w:rPr>
          <w:rFonts w:eastAsiaTheme="minorEastAsia"/>
        </w:rPr>
      </w:r>
      <w:r w:rsidRPr="00DA5AE2">
        <w:fldChar w:fldCharType="separate"/>
      </w:r>
      <w:r w:rsidR="00B31598" w:rsidRPr="00DA5AE2">
        <w:t xml:space="preserve">Fig. </w:t>
      </w:r>
      <w:r w:rsidR="00B31598" w:rsidRPr="00DA5AE2">
        <w:rPr>
          <w:noProof/>
        </w:rPr>
        <w:t>2</w:t>
      </w:r>
      <w:r w:rsidRPr="00DA5AE2">
        <w:fldChar w:fldCharType="end"/>
      </w:r>
      <w:r w:rsidRPr="00DA5AE2">
        <w:rPr>
          <w:rFonts w:eastAsiaTheme="minorEastAsia"/>
        </w:rPr>
        <w:t xml:space="preserve">B). This means that plot-level survival was not </w:t>
      </w:r>
      <w:r w:rsidR="00D1592C" w:rsidRPr="00DA5AE2">
        <w:rPr>
          <w:rFonts w:eastAsiaTheme="minorEastAsia"/>
        </w:rPr>
        <w:t>increased</w:t>
      </w:r>
      <w:r w:rsidR="00496BD3" w:rsidRPr="00DA5AE2">
        <w:rPr>
          <w:rFonts w:eastAsiaTheme="minorEastAsia"/>
        </w:rPr>
        <w:t xml:space="preserve"> </w:t>
      </w:r>
      <w:r w:rsidRPr="00DA5AE2">
        <w:rPr>
          <w:rFonts w:eastAsiaTheme="minorEastAsia"/>
        </w:rPr>
        <w:t xml:space="preserve">by tree species richness </w:t>
      </w:r>
      <w:r w:rsidR="00F13631" w:rsidRPr="00DA5AE2">
        <w:rPr>
          <w:rFonts w:eastAsiaTheme="minorEastAsia"/>
        </w:rPr>
        <w:t xml:space="preserve">under </w:t>
      </w:r>
      <w:r w:rsidRPr="00DA5AE2">
        <w:rPr>
          <w:rFonts w:eastAsiaTheme="minorEastAsia"/>
        </w:rPr>
        <w:t xml:space="preserve">any </w:t>
      </w:r>
      <w:r w:rsidR="00F13631" w:rsidRPr="00DA5AE2">
        <w:rPr>
          <w:rFonts w:eastAsiaTheme="minorEastAsia"/>
        </w:rPr>
        <w:t>drought intensity</w:t>
      </w:r>
      <w:r w:rsidRPr="00DA5AE2">
        <w:rPr>
          <w:rFonts w:eastAsiaTheme="minorEastAsia"/>
        </w:rPr>
        <w:t xml:space="preserve">. Variability in survival decreased </w:t>
      </w:r>
      <w:r w:rsidR="00D84FDE" w:rsidRPr="00DA5AE2">
        <w:rPr>
          <w:rFonts w:eastAsiaTheme="minorEastAsia"/>
        </w:rPr>
        <w:t>with</w:t>
      </w:r>
      <w:r w:rsidR="00FD6B4C" w:rsidRPr="00DA5AE2">
        <w:rPr>
          <w:rFonts w:eastAsiaTheme="minorEastAsia"/>
        </w:rPr>
        <w:t xml:space="preserve"> increasing species</w:t>
      </w:r>
      <w:r w:rsidRPr="00DA5AE2">
        <w:rPr>
          <w:rFonts w:eastAsiaTheme="minorEastAsia"/>
        </w:rPr>
        <w:t xml:space="preserve"> richness and increased with drought </w:t>
      </w:r>
      <w:r w:rsidR="00B06D87" w:rsidRPr="00DA5AE2">
        <w:rPr>
          <w:rFonts w:eastAsiaTheme="minorEastAsia"/>
        </w:rPr>
        <w:t>intensity</w:t>
      </w:r>
      <w:r w:rsidRPr="00DA5AE2">
        <w:rPr>
          <w:rFonts w:eastAsiaTheme="minorEastAsia"/>
        </w:rPr>
        <w:t xml:space="preserve">, but with an interactive effect on the slope of the precision parameter </w:t>
      </w:r>
      <m:oMath>
        <m:r>
          <w:rPr>
            <w:rFonts w:ascii="Cambria Math" w:hAnsi="Cambria Math"/>
          </w:rPr>
          <m:t>φ</m:t>
        </m:r>
      </m:oMath>
      <w:r w:rsidR="00CF0A2B" w:rsidRPr="00DA5AE2">
        <w:rPr>
          <w:rFonts w:eastAsiaTheme="minorEastAsia"/>
        </w:rPr>
        <w:t xml:space="preserve">. The effect on the precision parameter </w:t>
      </w:r>
      <m:oMath>
        <m:r>
          <w:rPr>
            <w:rFonts w:ascii="Cambria Math" w:hAnsi="Cambria Math"/>
          </w:rPr>
          <m:t>φ</m:t>
        </m:r>
      </m:oMath>
      <w:r w:rsidR="00CF0A2B" w:rsidRPr="00DA5AE2">
        <w:rPr>
          <w:rFonts w:eastAsiaTheme="minorEastAsia"/>
        </w:rPr>
        <w:t xml:space="preserve"> </w:t>
      </w:r>
      <w:r w:rsidR="002863C4" w:rsidRPr="00DA5AE2">
        <w:rPr>
          <w:rFonts w:eastAsiaTheme="minorEastAsia"/>
        </w:rPr>
        <w:t>showed that richness reduced variability more</w:t>
      </w:r>
      <w:r w:rsidR="00213D8C" w:rsidRPr="00DA5AE2">
        <w:rPr>
          <w:rFonts w:eastAsiaTheme="minorEastAsia"/>
        </w:rPr>
        <w:t xml:space="preserve"> </w:t>
      </w:r>
      <w:r w:rsidR="002863C4" w:rsidRPr="00DA5AE2">
        <w:rPr>
          <w:rFonts w:eastAsiaTheme="minorEastAsia"/>
        </w:rPr>
        <w:t xml:space="preserve">with increasing drought intensity </w:t>
      </w:r>
      <w:r w:rsidRPr="00DA5AE2">
        <w:rPr>
          <w:rFonts w:eastAsiaTheme="minorEastAsia"/>
        </w:rPr>
        <w:t>(Supplementary Information Fig. S1</w:t>
      </w:r>
      <w:r w:rsidR="00012699">
        <w:rPr>
          <w:rFonts w:eastAsiaTheme="minorEastAsia"/>
        </w:rPr>
        <w:t>1</w:t>
      </w:r>
      <w:r w:rsidRPr="00DA5AE2">
        <w:rPr>
          <w:rFonts w:eastAsiaTheme="minorEastAsia"/>
        </w:rPr>
        <w:t>). Under non-drought conditions (SPEI = 0 and</w:t>
      </w:r>
      <w:r w:rsidR="00C63198" w:rsidRPr="00DA5AE2">
        <w:rPr>
          <w:rFonts w:eastAsiaTheme="minorEastAsia"/>
        </w:rPr>
        <w:t xml:space="preserve"> similarly for</w:t>
      </w:r>
      <w:r w:rsidRPr="00DA5AE2">
        <w:rPr>
          <w:rFonts w:eastAsiaTheme="minorEastAsia"/>
        </w:rPr>
        <w:t xml:space="preserve"> REW = 0.6), the model estimated that the 90</w:t>
      </w:r>
      <w:r w:rsidRPr="00DA5AE2">
        <w:rPr>
          <w:rFonts w:eastAsiaTheme="minorEastAsia"/>
          <w:vertAlign w:val="superscript"/>
        </w:rPr>
        <w:t>th</w:t>
      </w:r>
      <w:r w:rsidRPr="00DA5AE2">
        <w:rPr>
          <w:rFonts w:eastAsiaTheme="minorEastAsia"/>
        </w:rPr>
        <w:t xml:space="preserve"> percentile </w:t>
      </w:r>
      <w:r w:rsidR="00830EC4" w:rsidRPr="00DA5AE2">
        <w:rPr>
          <w:rFonts w:eastAsiaTheme="minorEastAsia"/>
        </w:rPr>
        <w:t xml:space="preserve">of survival </w:t>
      </w:r>
      <w:r w:rsidRPr="00DA5AE2">
        <w:rPr>
          <w:rFonts w:eastAsiaTheme="minorEastAsia"/>
        </w:rPr>
        <w:t xml:space="preserve">ranged </w:t>
      </w:r>
      <w:r w:rsidR="0020241F" w:rsidRPr="00DA5AE2">
        <w:rPr>
          <w:rFonts w:eastAsiaTheme="minorEastAsia"/>
        </w:rPr>
        <w:t xml:space="preserve">from </w:t>
      </w:r>
      <w:r w:rsidRPr="00DA5AE2">
        <w:rPr>
          <w:rFonts w:eastAsiaTheme="minorEastAsia"/>
        </w:rPr>
        <w:t xml:space="preserve">65 % </w:t>
      </w:r>
      <w:r w:rsidR="0020241F" w:rsidRPr="00DA5AE2">
        <w:rPr>
          <w:rFonts w:eastAsiaTheme="minorEastAsia"/>
        </w:rPr>
        <w:t xml:space="preserve">to </w:t>
      </w:r>
      <w:r w:rsidRPr="00DA5AE2">
        <w:rPr>
          <w:rFonts w:eastAsiaTheme="minorEastAsia"/>
        </w:rPr>
        <w:t xml:space="preserve">100% for monocultures </w:t>
      </w:r>
      <w:r w:rsidR="00BC3670" w:rsidRPr="00DA5AE2">
        <w:rPr>
          <w:rFonts w:eastAsiaTheme="minorEastAsia"/>
        </w:rPr>
        <w:t xml:space="preserve">but </w:t>
      </w:r>
      <w:r w:rsidR="005D3C5D" w:rsidRPr="00DA5AE2">
        <w:rPr>
          <w:rFonts w:eastAsiaTheme="minorEastAsia"/>
        </w:rPr>
        <w:t>f</w:t>
      </w:r>
      <w:r w:rsidR="00BC3670" w:rsidRPr="00DA5AE2">
        <w:rPr>
          <w:rFonts w:eastAsiaTheme="minorEastAsia"/>
        </w:rPr>
        <w:t>rom</w:t>
      </w:r>
      <w:r w:rsidR="0020241F" w:rsidRPr="00DA5AE2">
        <w:rPr>
          <w:rFonts w:eastAsiaTheme="minorEastAsia"/>
        </w:rPr>
        <w:t xml:space="preserve"> </w:t>
      </w:r>
      <w:r w:rsidRPr="00DA5AE2">
        <w:rPr>
          <w:rFonts w:eastAsiaTheme="minorEastAsia"/>
        </w:rPr>
        <w:t xml:space="preserve">70% </w:t>
      </w:r>
      <w:r w:rsidR="0020241F" w:rsidRPr="00DA5AE2">
        <w:rPr>
          <w:rFonts w:eastAsiaTheme="minorEastAsia"/>
        </w:rPr>
        <w:t xml:space="preserve">to </w:t>
      </w:r>
      <w:r w:rsidRPr="00DA5AE2">
        <w:rPr>
          <w:rFonts w:eastAsiaTheme="minorEastAsia"/>
        </w:rPr>
        <w:t>100% for six-species mixtures. Under extreme drought conditions (SPEI = -1.</w:t>
      </w:r>
      <w:proofErr w:type="gramStart"/>
      <w:r w:rsidRPr="00DA5AE2">
        <w:rPr>
          <w:rFonts w:eastAsiaTheme="minorEastAsia"/>
        </w:rPr>
        <w:t xml:space="preserve">65 </w:t>
      </w:r>
      <w:r w:rsidR="000E4470" w:rsidRPr="00DA5AE2">
        <w:rPr>
          <w:rFonts w:eastAsiaTheme="minorEastAsia"/>
        </w:rPr>
        <w:t>,</w:t>
      </w:r>
      <w:proofErr w:type="gramEnd"/>
      <w:r w:rsidRPr="00DA5AE2">
        <w:rPr>
          <w:rFonts w:eastAsiaTheme="minorEastAsia"/>
        </w:rPr>
        <w:t xml:space="preserve"> REW = 0), each add</w:t>
      </w:r>
      <w:r w:rsidR="005D3C5D" w:rsidRPr="00DA5AE2">
        <w:rPr>
          <w:rFonts w:eastAsiaTheme="minorEastAsia"/>
        </w:rPr>
        <w:t>itional</w:t>
      </w:r>
      <w:r w:rsidRPr="00DA5AE2">
        <w:rPr>
          <w:rFonts w:eastAsiaTheme="minorEastAsia"/>
        </w:rPr>
        <w:t xml:space="preserve"> species increased survival rate precision by 2 percentage points. This means that the 5% poorest </w:t>
      </w:r>
      <w:r w:rsidR="00371A5C" w:rsidRPr="00DA5AE2">
        <w:rPr>
          <w:rFonts w:eastAsiaTheme="minorEastAsia"/>
        </w:rPr>
        <w:t xml:space="preserve">surviving </w:t>
      </w:r>
      <w:r w:rsidRPr="00DA5AE2">
        <w:rPr>
          <w:rFonts w:eastAsiaTheme="minorEastAsia"/>
        </w:rPr>
        <w:t>monocultures (falling outside the low-end of the 90</w:t>
      </w:r>
      <w:r w:rsidRPr="00DA5AE2">
        <w:rPr>
          <w:rFonts w:eastAsiaTheme="minorEastAsia"/>
          <w:vertAlign w:val="superscript"/>
        </w:rPr>
        <w:t>th</w:t>
      </w:r>
      <w:r w:rsidRPr="00DA5AE2">
        <w:rPr>
          <w:rFonts w:eastAsiaTheme="minorEastAsia"/>
        </w:rPr>
        <w:t xml:space="preserve"> percentile range) had a predicted maximum survival of ca. 50% </w:t>
      </w:r>
      <w:r w:rsidR="002A47A9" w:rsidRPr="00DA5AE2">
        <w:rPr>
          <w:rFonts w:eastAsiaTheme="minorEastAsia"/>
        </w:rPr>
        <w:t xml:space="preserve">that </w:t>
      </w:r>
      <w:r w:rsidRPr="00DA5AE2">
        <w:rPr>
          <w:rFonts w:eastAsiaTheme="minorEastAsia"/>
        </w:rPr>
        <w:t>increased to</w:t>
      </w:r>
      <w:r w:rsidR="007D61DF" w:rsidRPr="00DA5AE2">
        <w:rPr>
          <w:rFonts w:eastAsiaTheme="minorEastAsia"/>
        </w:rPr>
        <w:t xml:space="preserve"> ca.</w:t>
      </w:r>
      <w:r w:rsidRPr="00DA5AE2">
        <w:rPr>
          <w:rFonts w:eastAsiaTheme="minorEastAsia"/>
        </w:rPr>
        <w:t xml:space="preserve"> 60% for six-species mixtures. The density covariate was negative</w:t>
      </w:r>
      <w:r w:rsidR="00EC1EF8" w:rsidRPr="00DA5AE2">
        <w:rPr>
          <w:rFonts w:eastAsiaTheme="minorEastAsia"/>
        </w:rPr>
        <w:t xml:space="preserve"> in value</w:t>
      </w:r>
      <w:r w:rsidR="002072FE" w:rsidRPr="00DA5AE2">
        <w:rPr>
          <w:rFonts w:eastAsiaTheme="minorEastAsia"/>
        </w:rPr>
        <w:t>, indicating</w:t>
      </w:r>
      <w:r w:rsidRPr="00DA5AE2">
        <w:rPr>
          <w:rFonts w:eastAsiaTheme="minorEastAsia"/>
        </w:rPr>
        <w:t xml:space="preserve"> </w:t>
      </w:r>
      <w:r w:rsidR="00DC1C9E" w:rsidRPr="00DA5AE2">
        <w:rPr>
          <w:rFonts w:eastAsiaTheme="minorEastAsia"/>
        </w:rPr>
        <w:t xml:space="preserve">higher </w:t>
      </w:r>
      <w:r w:rsidRPr="00DA5AE2">
        <w:rPr>
          <w:rFonts w:eastAsiaTheme="minorEastAsia"/>
        </w:rPr>
        <w:t xml:space="preserve">survival </w:t>
      </w:r>
      <w:r w:rsidR="00DC1C9E" w:rsidRPr="00DA5AE2">
        <w:rPr>
          <w:rFonts w:eastAsiaTheme="minorEastAsia"/>
        </w:rPr>
        <w:t>in plots with</w:t>
      </w:r>
      <w:r w:rsidRPr="00DA5AE2">
        <w:rPr>
          <w:rFonts w:eastAsiaTheme="minorEastAsia"/>
        </w:rPr>
        <w:t xml:space="preserve"> lower inter-tree planting distance. For site-specific model outcomes, see Supplementary </w:t>
      </w:r>
      <w:r w:rsidR="00EC1EF8" w:rsidRPr="00DA5AE2">
        <w:rPr>
          <w:rFonts w:eastAsiaTheme="minorEastAsia"/>
        </w:rPr>
        <w:t xml:space="preserve">Information </w:t>
      </w:r>
      <w:r w:rsidRPr="00DA5AE2">
        <w:rPr>
          <w:rFonts w:eastAsiaTheme="minorEastAsia"/>
        </w:rPr>
        <w:t>2.1</w:t>
      </w:r>
      <w:r w:rsidR="007448C8">
        <w:rPr>
          <w:rFonts w:eastAsiaTheme="minorEastAsia"/>
        </w:rPr>
        <w:t>.2</w:t>
      </w:r>
      <w:r w:rsidRPr="00DA5AE2">
        <w:rPr>
          <w:rFonts w:eastAsiaTheme="minorEastAsia"/>
        </w:rPr>
        <w:t xml:space="preserve">. </w:t>
      </w:r>
    </w:p>
    <w:p w14:paraId="21592EB9" w14:textId="2E757E56" w:rsidR="00B26A2C" w:rsidRPr="00DA5AE2" w:rsidRDefault="007F600E">
      <w:pPr>
        <w:keepNext/>
        <w:jc w:val="both"/>
      </w:pPr>
      <w:r w:rsidRPr="00DA5AE2">
        <w:rPr>
          <w:noProof/>
        </w:rPr>
        <w:lastRenderedPageBreak/>
        <w:drawing>
          <wp:inline distT="0" distB="0" distL="0" distR="0" wp14:anchorId="6C7C85A0" wp14:editId="3175D9E8">
            <wp:extent cx="5731510" cy="5322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322570"/>
                    </a:xfrm>
                    <a:prstGeom prst="rect">
                      <a:avLst/>
                    </a:prstGeom>
                  </pic:spPr>
                </pic:pic>
              </a:graphicData>
            </a:graphic>
          </wp:inline>
        </w:drawing>
      </w:r>
    </w:p>
    <w:p w14:paraId="756227A1" w14:textId="1C1758E0" w:rsidR="00B26A2C" w:rsidRPr="00DA5AE2" w:rsidRDefault="007F6878">
      <w:pPr>
        <w:pStyle w:val="Caption"/>
        <w:jc w:val="both"/>
      </w:pPr>
      <w:bookmarkStart w:id="50" w:name="_Ref146637220"/>
      <w:r w:rsidRPr="00DA5AE2">
        <w:t>Fig</w:t>
      </w:r>
      <w:r w:rsidR="006A30D6" w:rsidRPr="00DA5AE2">
        <w:t>.</w:t>
      </w:r>
      <w:r w:rsidRPr="00DA5AE2">
        <w:t xml:space="preserve"> </w:t>
      </w:r>
      <w:r w:rsidRPr="00DA5AE2">
        <w:fldChar w:fldCharType="begin"/>
      </w:r>
      <w:r w:rsidRPr="00DA5AE2">
        <w:instrText>SEQ Figure \* ARABIC</w:instrText>
      </w:r>
      <w:r w:rsidRPr="00DA5AE2">
        <w:fldChar w:fldCharType="separate"/>
      </w:r>
      <w:r w:rsidR="00B31598" w:rsidRPr="00DA5AE2">
        <w:rPr>
          <w:noProof/>
        </w:rPr>
        <w:t>2</w:t>
      </w:r>
      <w:r w:rsidRPr="00DA5AE2">
        <w:fldChar w:fldCharType="end"/>
      </w:r>
      <w:bookmarkEnd w:id="50"/>
      <w:r w:rsidRPr="00DA5AE2">
        <w:t xml:space="preserve"> | Changes in </w:t>
      </w:r>
      <w:r w:rsidR="006B6CE5" w:rsidRPr="00DA5AE2">
        <w:t>plot-lev</w:t>
      </w:r>
      <w:r w:rsidR="00E57DB7" w:rsidRPr="00DA5AE2">
        <w:t xml:space="preserve">el </w:t>
      </w:r>
      <w:r w:rsidRPr="00DA5AE2">
        <w:t>percent survival with increasing species richness at four levels of growing season drought indicated by SPEI (panel A) and REW (panel B). Predicted mean survival (blue line) and its variability (90% percentile, light blue shaded area) are presented for an input dataset with a species richness ranging from 1 to 6 species.</w:t>
      </w:r>
    </w:p>
    <w:p w14:paraId="519733B6" w14:textId="1BA901D7" w:rsidR="00B26A2C" w:rsidRPr="00DA5AE2" w:rsidRDefault="007F6878">
      <w:r w:rsidRPr="00DA5AE2">
        <w:t>Mean survival marginally increased in response to functional diversity (Rao’s Q entropy) and the drought indicators SPEI (</w:t>
      </w:r>
      <w:r w:rsidRPr="00DA5AE2">
        <w:fldChar w:fldCharType="begin"/>
      </w:r>
      <w:r w:rsidRPr="00DA5AE2">
        <w:instrText>REF _Ref146638332 \h</w:instrText>
      </w:r>
      <w:r w:rsidR="00220BF3" w:rsidRPr="00DA5AE2">
        <w:instrText xml:space="preserve"> \* MERGEFORMAT </w:instrText>
      </w:r>
      <w:r w:rsidRPr="00DA5AE2">
        <w:fldChar w:fldCharType="separate"/>
      </w:r>
      <w:r w:rsidR="00B31598" w:rsidRPr="00DA5AE2">
        <w:t xml:space="preserve">Fig. </w:t>
      </w:r>
      <w:r w:rsidR="00B31598" w:rsidRPr="00DA5AE2">
        <w:rPr>
          <w:noProof/>
        </w:rPr>
        <w:t>3</w:t>
      </w:r>
      <w:r w:rsidRPr="00DA5AE2">
        <w:fldChar w:fldCharType="end"/>
      </w:r>
      <w:r w:rsidRPr="00DA5AE2">
        <w:t>A) and REW (</w:t>
      </w:r>
      <w:r w:rsidRPr="00DA5AE2">
        <w:fldChar w:fldCharType="begin"/>
      </w:r>
      <w:r w:rsidRPr="00DA5AE2">
        <w:instrText>REF _Ref146638332 \h</w:instrText>
      </w:r>
      <w:r w:rsidR="00220BF3" w:rsidRPr="00DA5AE2">
        <w:instrText xml:space="preserve"> \* MERGEFORMAT </w:instrText>
      </w:r>
      <w:r w:rsidRPr="00DA5AE2">
        <w:fldChar w:fldCharType="separate"/>
      </w:r>
      <w:r w:rsidR="00B31598" w:rsidRPr="00DA5AE2">
        <w:t xml:space="preserve">Fig. </w:t>
      </w:r>
      <w:r w:rsidR="00B31598" w:rsidRPr="00DA5AE2">
        <w:rPr>
          <w:noProof/>
        </w:rPr>
        <w:t>3</w:t>
      </w:r>
      <w:r w:rsidRPr="00DA5AE2">
        <w:fldChar w:fldCharType="end"/>
      </w:r>
      <w:r w:rsidRPr="00DA5AE2">
        <w:t xml:space="preserve">B). This effect was </w:t>
      </w:r>
      <w:r w:rsidR="00D90C17" w:rsidRPr="00DA5AE2">
        <w:t>evident</w:t>
      </w:r>
      <w:r w:rsidRPr="00DA5AE2">
        <w:t xml:space="preserve"> on a 90% CI (Fig. S12), with an</w:t>
      </w:r>
      <w:r w:rsidR="00D90C17" w:rsidRPr="00DA5AE2">
        <w:t xml:space="preserve"> added </w:t>
      </w:r>
      <w:r w:rsidRPr="00DA5AE2">
        <w:t>2-5 percentage points over the observed functional diversity gradient depending on the drought indicator (</w:t>
      </w:r>
      <w:r w:rsidRPr="00DA5AE2">
        <w:fldChar w:fldCharType="begin"/>
      </w:r>
      <w:r w:rsidRPr="00DA5AE2">
        <w:instrText>REF _Ref146638332 \h</w:instrText>
      </w:r>
      <w:r w:rsidR="00220BF3" w:rsidRPr="00DA5AE2">
        <w:instrText xml:space="preserve"> \* MERGEFORMAT </w:instrText>
      </w:r>
      <w:r w:rsidRPr="00DA5AE2">
        <w:fldChar w:fldCharType="separate"/>
      </w:r>
      <w:r w:rsidR="00B31598" w:rsidRPr="00DA5AE2">
        <w:t xml:space="preserve">Fig. </w:t>
      </w:r>
      <w:r w:rsidR="00B31598" w:rsidRPr="00DA5AE2">
        <w:rPr>
          <w:noProof/>
        </w:rPr>
        <w:t>3</w:t>
      </w:r>
      <w:r w:rsidRPr="00DA5AE2">
        <w:fldChar w:fldCharType="end"/>
      </w:r>
      <w:r w:rsidRPr="00DA5AE2">
        <w:t xml:space="preserve">). Variability in survival consistently decreased in response to functional diversity, albeit more strongly when </w:t>
      </w:r>
      <w:r w:rsidR="00E068AD" w:rsidRPr="00DA5AE2">
        <w:t>using</w:t>
      </w:r>
      <w:r w:rsidRPr="00DA5AE2">
        <w:t xml:space="preserve"> SPEI as the drought indicator</w:t>
      </w:r>
      <w:r w:rsidR="00EA29E2" w:rsidRPr="00DA5AE2">
        <w:t xml:space="preserve"> compared to REW</w:t>
      </w:r>
      <w:r w:rsidRPr="00DA5AE2">
        <w:t xml:space="preserve">. SPEI and functional diversity had an interactive effect on the precision parameter </w:t>
      </w:r>
      <m:oMath>
        <m:r>
          <w:rPr>
            <w:rFonts w:ascii="Cambria Math" w:hAnsi="Cambria Math"/>
          </w:rPr>
          <m:t>φ</m:t>
        </m:r>
      </m:oMath>
      <w:r w:rsidRPr="00DA5AE2">
        <w:t xml:space="preserve"> and hence the variance (Fig. S13), </w:t>
      </w:r>
      <w:r w:rsidR="009B39E7" w:rsidRPr="00DA5AE2">
        <w:t xml:space="preserve">indicating </w:t>
      </w:r>
      <w:r w:rsidRPr="00DA5AE2">
        <w:t xml:space="preserve">that </w:t>
      </w:r>
      <w:r w:rsidR="00A644DF" w:rsidRPr="00DA5AE2">
        <w:t>variability</w:t>
      </w:r>
      <w:r w:rsidRPr="00DA5AE2">
        <w:t xml:space="preserve"> </w:t>
      </w:r>
      <w:r w:rsidR="00E9102D" w:rsidRPr="00DA5AE2">
        <w:t xml:space="preserve">in survival </w:t>
      </w:r>
      <w:r w:rsidRPr="00DA5AE2">
        <w:t xml:space="preserve">decreases faster in response to functional diversity </w:t>
      </w:r>
      <w:r w:rsidR="006343E0" w:rsidRPr="00DA5AE2">
        <w:t>with</w:t>
      </w:r>
      <w:r w:rsidR="00E9102D" w:rsidRPr="00DA5AE2">
        <w:t xml:space="preserve"> </w:t>
      </w:r>
      <w:r w:rsidRPr="00DA5AE2">
        <w:t>increasingly negative SPEI (</w:t>
      </w:r>
      <w:r w:rsidRPr="00DA5AE2">
        <w:fldChar w:fldCharType="begin"/>
      </w:r>
      <w:r w:rsidRPr="00DA5AE2">
        <w:instrText>REF _Ref146638332 \h</w:instrText>
      </w:r>
      <w:r w:rsidR="00220BF3" w:rsidRPr="00DA5AE2">
        <w:instrText xml:space="preserve"> \* MERGEFORMAT </w:instrText>
      </w:r>
      <w:r w:rsidRPr="00DA5AE2">
        <w:fldChar w:fldCharType="separate"/>
      </w:r>
      <w:r w:rsidR="00B31598" w:rsidRPr="00DA5AE2">
        <w:t xml:space="preserve">Fig. </w:t>
      </w:r>
      <w:r w:rsidR="00B31598" w:rsidRPr="00DA5AE2">
        <w:rPr>
          <w:noProof/>
        </w:rPr>
        <w:t>3</w:t>
      </w:r>
      <w:r w:rsidRPr="00DA5AE2">
        <w:fldChar w:fldCharType="end"/>
      </w:r>
      <w:r w:rsidRPr="00DA5AE2">
        <w:t xml:space="preserve">A). The slope of this interactive effect was </w:t>
      </w:r>
      <w:r w:rsidR="00D90C17" w:rsidRPr="00DA5AE2">
        <w:t>different</w:t>
      </w:r>
      <w:r w:rsidRPr="00DA5AE2">
        <w:t xml:space="preserve"> when using REW as the indicator, showing a </w:t>
      </w:r>
      <w:r w:rsidR="00DF21A9" w:rsidRPr="00DA5AE2">
        <w:t>smaller</w:t>
      </w:r>
      <w:r w:rsidRPr="00DA5AE2">
        <w:t xml:space="preserve"> decrease </w:t>
      </w:r>
      <w:r w:rsidR="00DF21A9" w:rsidRPr="00DA5AE2">
        <w:t>in</w:t>
      </w:r>
      <w:r w:rsidR="00017222" w:rsidRPr="00DA5AE2">
        <w:t xml:space="preserve"> </w:t>
      </w:r>
      <w:r w:rsidR="00A644DF" w:rsidRPr="00DA5AE2">
        <w:t>variability</w:t>
      </w:r>
      <w:r w:rsidR="00017222" w:rsidRPr="00DA5AE2">
        <w:t xml:space="preserve"> </w:t>
      </w:r>
      <w:r w:rsidRPr="00DA5AE2">
        <w:t xml:space="preserve">with increasing functional diversity as REW </w:t>
      </w:r>
      <w:r w:rsidR="00F512DF" w:rsidRPr="00DA5AE2">
        <w:t>approached</w:t>
      </w:r>
      <w:r w:rsidRPr="00DA5AE2">
        <w:t xml:space="preserve"> zero (</w:t>
      </w:r>
      <w:r w:rsidRPr="00DA5AE2">
        <w:fldChar w:fldCharType="begin"/>
      </w:r>
      <w:r w:rsidRPr="00DA5AE2">
        <w:instrText>REF _Ref146638332 \h</w:instrText>
      </w:r>
      <w:r w:rsidR="00220BF3" w:rsidRPr="00DA5AE2">
        <w:instrText xml:space="preserve"> \* MERGEFORMAT </w:instrText>
      </w:r>
      <w:r w:rsidRPr="00DA5AE2">
        <w:fldChar w:fldCharType="separate"/>
      </w:r>
      <w:r w:rsidR="00B31598" w:rsidRPr="00DA5AE2">
        <w:t xml:space="preserve">Fig. </w:t>
      </w:r>
      <w:r w:rsidR="00B31598" w:rsidRPr="00DA5AE2">
        <w:rPr>
          <w:noProof/>
        </w:rPr>
        <w:t>3</w:t>
      </w:r>
      <w:r w:rsidRPr="00DA5AE2">
        <w:fldChar w:fldCharType="end"/>
      </w:r>
      <w:r w:rsidRPr="00DA5AE2">
        <w:t>B).</w:t>
      </w:r>
    </w:p>
    <w:p w14:paraId="30A7C06F" w14:textId="506ADEFA" w:rsidR="00B26A2C" w:rsidRPr="00DA5AE2" w:rsidRDefault="009F26D5">
      <w:pPr>
        <w:keepNext/>
      </w:pPr>
      <w:r w:rsidRPr="00DA5AE2">
        <w:rPr>
          <w:noProof/>
        </w:rPr>
        <w:lastRenderedPageBreak/>
        <w:drawing>
          <wp:inline distT="0" distB="0" distL="0" distR="0" wp14:anchorId="2EF8F084" wp14:editId="6C976446">
            <wp:extent cx="5731510" cy="5322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322570"/>
                    </a:xfrm>
                    <a:prstGeom prst="rect">
                      <a:avLst/>
                    </a:prstGeom>
                  </pic:spPr>
                </pic:pic>
              </a:graphicData>
            </a:graphic>
          </wp:inline>
        </w:drawing>
      </w:r>
    </w:p>
    <w:p w14:paraId="2E8E2AB5" w14:textId="1EF93D54" w:rsidR="00B26A2C" w:rsidRPr="00DA5AE2" w:rsidRDefault="007F6878">
      <w:pPr>
        <w:pStyle w:val="Caption"/>
      </w:pPr>
      <w:bookmarkStart w:id="51" w:name="_Ref146638332"/>
      <w:r w:rsidRPr="00DA5AE2">
        <w:t xml:space="preserve">Fig. </w:t>
      </w:r>
      <w:r w:rsidRPr="00DA5AE2">
        <w:fldChar w:fldCharType="begin"/>
      </w:r>
      <w:r w:rsidRPr="00DA5AE2">
        <w:instrText>SEQ Figure \* ARABIC</w:instrText>
      </w:r>
      <w:r w:rsidRPr="00DA5AE2">
        <w:fldChar w:fldCharType="separate"/>
      </w:r>
      <w:r w:rsidR="00B31598" w:rsidRPr="00DA5AE2">
        <w:rPr>
          <w:noProof/>
        </w:rPr>
        <w:t>3</w:t>
      </w:r>
      <w:r w:rsidRPr="00DA5AE2">
        <w:fldChar w:fldCharType="end"/>
      </w:r>
      <w:bookmarkEnd w:id="51"/>
      <w:r w:rsidRPr="00DA5AE2">
        <w:t xml:space="preserve"> | Changes in </w:t>
      </w:r>
      <w:r w:rsidR="004111B3" w:rsidRPr="00DA5AE2">
        <w:t xml:space="preserve">plot-level </w:t>
      </w:r>
      <w:r w:rsidRPr="00DA5AE2">
        <w:t xml:space="preserve">percent survival with increasing functional diversity </w:t>
      </w:r>
      <w:r w:rsidR="00D90C17" w:rsidRPr="00DA5AE2">
        <w:t>a</w:t>
      </w:r>
      <w:r w:rsidRPr="00DA5AE2">
        <w:t>t four levels of growing season drought indicated by SPEI (panel A) and REW (panel</w:t>
      </w:r>
      <w:r w:rsidRPr="00DA5AE2">
        <w:rPr>
          <w:b/>
        </w:rPr>
        <w:t xml:space="preserve"> </w:t>
      </w:r>
      <w:r w:rsidRPr="00DA5AE2">
        <w:rPr>
          <w:bCs/>
        </w:rPr>
        <w:t>B</w:t>
      </w:r>
      <w:r w:rsidRPr="00DA5AE2">
        <w:rPr>
          <w:b/>
        </w:rPr>
        <w:t>).</w:t>
      </w:r>
      <w:r w:rsidRPr="00DA5AE2">
        <w:t xml:space="preserve"> Predicted mean survival (blue line) and variability in survival (90% percentile, light blue shaded area) are presented.</w:t>
      </w:r>
    </w:p>
    <w:p w14:paraId="1F092711" w14:textId="77777777" w:rsidR="00B26A2C" w:rsidRPr="00DA5AE2" w:rsidRDefault="007F6878">
      <w:pPr>
        <w:pStyle w:val="Heading3"/>
      </w:pPr>
      <w:r w:rsidRPr="00DA5AE2">
        <w:t>Analysis of species-level survival</w:t>
      </w:r>
    </w:p>
    <w:p w14:paraId="3D2C6B54" w14:textId="3A71F16C" w:rsidR="00B26A2C" w:rsidRPr="00DA5AE2" w:rsidRDefault="007F6878">
      <w:pPr>
        <w:jc w:val="both"/>
      </w:pPr>
      <w:r w:rsidRPr="00DA5AE2">
        <w:rPr>
          <w:rFonts w:eastAsiaTheme="minorEastAsia"/>
        </w:rPr>
        <w:t xml:space="preserve">Species with low survival in monoculture survived comparatively better in mixture, but this effect varied </w:t>
      </w:r>
      <w:r w:rsidR="0089494D" w:rsidRPr="00DA5AE2">
        <w:rPr>
          <w:rFonts w:eastAsiaTheme="minorEastAsia"/>
        </w:rPr>
        <w:t>between</w:t>
      </w:r>
      <w:r w:rsidRPr="00DA5AE2">
        <w:rPr>
          <w:rFonts w:eastAsiaTheme="minorEastAsia"/>
        </w:rPr>
        <w:t xml:space="preserve"> drought indicators. </w:t>
      </w:r>
      <w:r w:rsidR="00DB09DF" w:rsidRPr="00DA5AE2">
        <w:rPr>
          <w:rFonts w:eastAsiaTheme="minorEastAsia"/>
        </w:rPr>
        <w:t xml:space="preserve">This effect was only marginal for SPEI, showing a consistent negative slope for the relationship of monoculture survival with </w:t>
      </w:r>
      <w:r w:rsidR="00DB09DF" w:rsidRPr="00DA5AE2">
        <w:rPr>
          <w:rFonts w:cstheme="minorHAnsi"/>
        </w:rPr>
        <w:t>∆</w:t>
      </w:r>
      <w:r w:rsidR="00DB09DF" w:rsidRPr="00DA5AE2">
        <w:t xml:space="preserve">survival </w:t>
      </w:r>
      <w:r w:rsidR="00DB09DF" w:rsidRPr="00DA5AE2">
        <w:rPr>
          <w:rFonts w:eastAsiaTheme="minorEastAsia"/>
        </w:rPr>
        <w:t>(</w:t>
      </w:r>
      <w:r w:rsidR="00DB09DF" w:rsidRPr="00DA5AE2">
        <w:rPr>
          <w:rFonts w:eastAsiaTheme="minorEastAsia"/>
        </w:rPr>
        <w:fldChar w:fldCharType="begin"/>
      </w:r>
      <w:r w:rsidR="00DB09DF" w:rsidRPr="00DA5AE2">
        <w:instrText>REF _Ref146893672 \h</w:instrText>
      </w:r>
      <w:r w:rsidR="00220BF3" w:rsidRPr="00DA5AE2">
        <w:rPr>
          <w:rFonts w:eastAsiaTheme="minorEastAsia"/>
        </w:rPr>
        <w:instrText xml:space="preserve"> \* MERGEFORMAT </w:instrText>
      </w:r>
      <w:r w:rsidR="00DB09DF" w:rsidRPr="00DA5AE2">
        <w:rPr>
          <w:rFonts w:eastAsiaTheme="minorEastAsia"/>
        </w:rPr>
      </w:r>
      <w:r w:rsidR="00DB09DF" w:rsidRPr="00DA5AE2">
        <w:fldChar w:fldCharType="separate"/>
      </w:r>
      <w:r w:rsidR="00B31598" w:rsidRPr="00DA5AE2">
        <w:t xml:space="preserve">Fig. </w:t>
      </w:r>
      <w:r w:rsidR="00B31598" w:rsidRPr="00DA5AE2">
        <w:rPr>
          <w:noProof/>
        </w:rPr>
        <w:t>4</w:t>
      </w:r>
      <w:r w:rsidR="00DB09DF" w:rsidRPr="00DA5AE2">
        <w:fldChar w:fldCharType="end"/>
      </w:r>
      <w:r w:rsidR="00DB09DF" w:rsidRPr="00DA5AE2">
        <w:rPr>
          <w:rFonts w:eastAsiaTheme="minorEastAsia"/>
        </w:rPr>
        <w:t>A). At high monoculture survival, the regression line shows a slight negative response, but with considerable variability in observed differences. However, a</w:t>
      </w:r>
      <w:r w:rsidRPr="00DA5AE2">
        <w:rPr>
          <w:rFonts w:eastAsiaTheme="minorEastAsia"/>
        </w:rPr>
        <w:t xml:space="preserve"> clear interaction </w:t>
      </w:r>
      <w:r w:rsidR="00D84F06" w:rsidRPr="00DA5AE2">
        <w:rPr>
          <w:rFonts w:eastAsiaTheme="minorEastAsia"/>
        </w:rPr>
        <w:t>with</w:t>
      </w:r>
      <w:r w:rsidR="00864CD6" w:rsidRPr="00DA5AE2">
        <w:rPr>
          <w:rFonts w:eastAsiaTheme="minorEastAsia"/>
        </w:rPr>
        <w:t xml:space="preserve"> </w:t>
      </w:r>
      <w:r w:rsidRPr="00DA5AE2">
        <w:rPr>
          <w:rFonts w:eastAsiaTheme="minorEastAsia"/>
        </w:rPr>
        <w:t xml:space="preserve">REW </w:t>
      </w:r>
      <w:r w:rsidR="00D84F06" w:rsidRPr="00DA5AE2">
        <w:rPr>
          <w:rFonts w:eastAsiaTheme="minorEastAsia"/>
        </w:rPr>
        <w:t xml:space="preserve">was </w:t>
      </w:r>
      <w:r w:rsidR="00864CD6" w:rsidRPr="00DA5AE2">
        <w:rPr>
          <w:rFonts w:eastAsiaTheme="minorEastAsia"/>
        </w:rPr>
        <w:t>exhibited</w:t>
      </w:r>
      <w:r w:rsidRPr="00DA5AE2">
        <w:rPr>
          <w:rFonts w:eastAsiaTheme="minorEastAsia"/>
        </w:rPr>
        <w:t xml:space="preserve">, showing that once the </w:t>
      </w:r>
      <w:r w:rsidR="00602909" w:rsidRPr="00DA5AE2">
        <w:rPr>
          <w:rFonts w:eastAsiaTheme="minorEastAsia"/>
        </w:rPr>
        <w:t>drought</w:t>
      </w:r>
      <w:r w:rsidRPr="00DA5AE2">
        <w:rPr>
          <w:rFonts w:eastAsiaTheme="minorEastAsia"/>
        </w:rPr>
        <w:t xml:space="preserve"> stress threshold (REW = 0.4) </w:t>
      </w:r>
      <w:r w:rsidR="0089494D" w:rsidRPr="00DA5AE2">
        <w:rPr>
          <w:rFonts w:eastAsiaTheme="minorEastAsia"/>
        </w:rPr>
        <w:t>was</w:t>
      </w:r>
      <w:r w:rsidR="00EF5F9F" w:rsidRPr="00DA5AE2">
        <w:rPr>
          <w:rFonts w:eastAsiaTheme="minorEastAsia"/>
        </w:rPr>
        <w:t xml:space="preserve"> </w:t>
      </w:r>
      <w:r w:rsidRPr="00DA5AE2">
        <w:rPr>
          <w:rFonts w:eastAsiaTheme="minorEastAsia"/>
        </w:rPr>
        <w:t xml:space="preserve">surpassed, the slope </w:t>
      </w:r>
      <w:r w:rsidR="009726AC" w:rsidRPr="00DA5AE2">
        <w:rPr>
          <w:rFonts w:eastAsiaTheme="minorEastAsia"/>
        </w:rPr>
        <w:t>of the linear relationship</w:t>
      </w:r>
      <w:r w:rsidRPr="00DA5AE2">
        <w:rPr>
          <w:rFonts w:eastAsiaTheme="minorEastAsia"/>
        </w:rPr>
        <w:t xml:space="preserve"> </w:t>
      </w:r>
      <w:r w:rsidR="00632B3E" w:rsidRPr="00DA5AE2">
        <w:rPr>
          <w:rFonts w:eastAsiaTheme="minorEastAsia"/>
        </w:rPr>
        <w:t xml:space="preserve">was </w:t>
      </w:r>
      <w:r w:rsidRPr="00DA5AE2">
        <w:rPr>
          <w:rFonts w:eastAsiaTheme="minorEastAsia"/>
        </w:rPr>
        <w:t xml:space="preserve">more negative, leading to a </w:t>
      </w:r>
      <w:r w:rsidR="008C6AC9" w:rsidRPr="00DA5AE2">
        <w:rPr>
          <w:rFonts w:eastAsiaTheme="minorEastAsia"/>
        </w:rPr>
        <w:t xml:space="preserve">larger </w:t>
      </w:r>
      <w:r w:rsidR="008C6AC9" w:rsidRPr="00DA5AE2">
        <w:rPr>
          <w:rFonts w:cstheme="minorHAnsi"/>
        </w:rPr>
        <w:t>difference (∆survival)</w:t>
      </w:r>
      <w:r w:rsidRPr="00DA5AE2">
        <w:t xml:space="preserve"> </w:t>
      </w:r>
      <w:r w:rsidRPr="00DA5AE2">
        <w:rPr>
          <w:rFonts w:eastAsiaTheme="minorEastAsia"/>
        </w:rPr>
        <w:t>for species with low survival in monoculture (</w:t>
      </w:r>
      <w:r w:rsidR="00E57CB1" w:rsidRPr="00DA5AE2">
        <w:rPr>
          <w:rFonts w:eastAsiaTheme="minorEastAsia"/>
        </w:rPr>
        <w:fldChar w:fldCharType="begin"/>
      </w:r>
      <w:r w:rsidR="00E57CB1" w:rsidRPr="00DA5AE2">
        <w:instrText>REF _Ref146893672 \h</w:instrText>
      </w:r>
      <w:r w:rsidR="00DB09DF" w:rsidRPr="00DA5AE2">
        <w:rPr>
          <w:rFonts w:eastAsiaTheme="minorEastAsia"/>
        </w:rPr>
        <w:instrText xml:space="preserve"> \* MERGEFORMAT </w:instrText>
      </w:r>
      <w:r w:rsidR="00E57CB1" w:rsidRPr="00DA5AE2">
        <w:rPr>
          <w:rFonts w:eastAsiaTheme="minorEastAsia"/>
        </w:rPr>
      </w:r>
      <w:r w:rsidR="00E57CB1" w:rsidRPr="00DA5AE2">
        <w:fldChar w:fldCharType="separate"/>
      </w:r>
      <w:r w:rsidR="00B31598" w:rsidRPr="00DA5AE2">
        <w:t>Fig. 4</w:t>
      </w:r>
      <w:r w:rsidR="00E57CB1" w:rsidRPr="00DA5AE2">
        <w:fldChar w:fldCharType="end"/>
      </w:r>
      <w:r w:rsidR="00E57CB1" w:rsidRPr="00DA5AE2">
        <w:rPr>
          <w:rFonts w:eastAsiaTheme="minorEastAsia"/>
        </w:rPr>
        <w:t>B</w:t>
      </w:r>
      <w:r w:rsidRPr="00DA5AE2">
        <w:rPr>
          <w:rFonts w:eastAsiaTheme="minorEastAsia"/>
        </w:rPr>
        <w:t xml:space="preserve">, Supplementary </w:t>
      </w:r>
      <w:r w:rsidR="009D3317" w:rsidRPr="00DA5AE2">
        <w:rPr>
          <w:rFonts w:eastAsiaTheme="minorEastAsia"/>
        </w:rPr>
        <w:t xml:space="preserve">Information </w:t>
      </w:r>
      <w:r w:rsidRPr="00DA5AE2">
        <w:rPr>
          <w:rFonts w:eastAsiaTheme="minorEastAsia"/>
        </w:rPr>
        <w:t xml:space="preserve">section 2.2.1). </w:t>
      </w:r>
    </w:p>
    <w:p w14:paraId="6C1E392C" w14:textId="5396DBBF" w:rsidR="00B26A2C" w:rsidRPr="00DA5AE2" w:rsidRDefault="00314FC0">
      <w:pPr>
        <w:keepNext/>
      </w:pPr>
      <w:r>
        <w:rPr>
          <w:noProof/>
        </w:rPr>
        <w:lastRenderedPageBreak/>
        <w:drawing>
          <wp:inline distT="0" distB="0" distL="0" distR="0" wp14:anchorId="5D7917A9" wp14:editId="5F2E3E80">
            <wp:extent cx="5731510" cy="3183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p>
    <w:p w14:paraId="5E844E02" w14:textId="235A8766" w:rsidR="00B26A2C" w:rsidRPr="00DA5AE2" w:rsidRDefault="007F6878">
      <w:pPr>
        <w:pStyle w:val="Caption"/>
        <w:jc w:val="both"/>
      </w:pPr>
      <w:bookmarkStart w:id="52" w:name="_Ref146893672"/>
      <w:r w:rsidRPr="00DA5AE2">
        <w:t xml:space="preserve">Fig. </w:t>
      </w:r>
      <w:r w:rsidRPr="00DA5AE2">
        <w:fldChar w:fldCharType="begin"/>
      </w:r>
      <w:r w:rsidRPr="00DA5AE2">
        <w:instrText>SEQ Figure \* ARABIC</w:instrText>
      </w:r>
      <w:r w:rsidRPr="00DA5AE2">
        <w:fldChar w:fldCharType="separate"/>
      </w:r>
      <w:r w:rsidR="00B31598" w:rsidRPr="00DA5AE2">
        <w:rPr>
          <w:noProof/>
        </w:rPr>
        <w:t>4</w:t>
      </w:r>
      <w:r w:rsidRPr="00DA5AE2">
        <w:fldChar w:fldCharType="end"/>
      </w:r>
      <w:bookmarkEnd w:id="52"/>
      <w:r w:rsidRPr="00DA5AE2">
        <w:t xml:space="preserve">| Difference in species survival percentage </w:t>
      </w:r>
      <w:r w:rsidR="00DB09DF" w:rsidRPr="00DA5AE2">
        <w:t>(</w:t>
      </w:r>
      <w:r w:rsidR="00DB09DF" w:rsidRPr="00DA5AE2">
        <w:rPr>
          <w:rFonts w:cstheme="minorHAnsi"/>
        </w:rPr>
        <w:t>∆</w:t>
      </w:r>
      <w:r w:rsidR="00DB09DF" w:rsidRPr="00DA5AE2">
        <w:t>survival)</w:t>
      </w:r>
      <w:r w:rsidRPr="00DA5AE2">
        <w:t xml:space="preserve"> in response to survival of that species in monoculture, varying by </w:t>
      </w:r>
      <w:r w:rsidR="00837522" w:rsidRPr="00DA5AE2">
        <w:t>SPE</w:t>
      </w:r>
      <w:r w:rsidR="009726AC" w:rsidRPr="00DA5AE2">
        <w:t>I</w:t>
      </w:r>
      <w:r w:rsidR="00837522" w:rsidRPr="00DA5AE2">
        <w:t xml:space="preserve"> </w:t>
      </w:r>
      <w:r w:rsidRPr="00DA5AE2">
        <w:t xml:space="preserve">(panel A) and </w:t>
      </w:r>
      <w:r w:rsidR="009726AC" w:rsidRPr="00DA5AE2">
        <w:t xml:space="preserve">REW </w:t>
      </w:r>
      <w:r w:rsidRPr="00DA5AE2">
        <w:t>(panel B).</w:t>
      </w:r>
    </w:p>
    <w:p w14:paraId="14B19AD7" w14:textId="561DD959" w:rsidR="00B26A2C" w:rsidRPr="00DA5AE2" w:rsidRDefault="0072056F" w:rsidP="003E5A50">
      <w:pPr>
        <w:jc w:val="both"/>
      </w:pPr>
      <w:r w:rsidRPr="00DA5AE2">
        <w:t xml:space="preserve">Maximum height, </w:t>
      </w:r>
      <w:r w:rsidR="00C71F6B" w:rsidRPr="00DA5AE2">
        <w:t>water potential at turgor loss point (</w:t>
      </w:r>
      <w:r w:rsidR="00B84037" w:rsidRPr="00DA5AE2">
        <w:t>Ψtlp</w:t>
      </w:r>
      <w:r w:rsidR="00C71F6B" w:rsidRPr="00DA5AE2">
        <w:t>)</w:t>
      </w:r>
      <w:r w:rsidRPr="00DA5AE2">
        <w:t xml:space="preserve">, </w:t>
      </w:r>
      <w:r w:rsidR="00AE5E1D" w:rsidRPr="00DA5AE2">
        <w:t xml:space="preserve">leaf N concentration, leaf size </w:t>
      </w:r>
      <w:r w:rsidRPr="00DA5AE2">
        <w:t xml:space="preserve">and leaf P concentration showed </w:t>
      </w:r>
      <w:r w:rsidR="00F1447C" w:rsidRPr="00DA5AE2">
        <w:t>significant</w:t>
      </w:r>
      <w:r w:rsidRPr="00DA5AE2">
        <w:t xml:space="preserve"> (90%) effects on species survival in monoculture (</w:t>
      </w:r>
      <w:r w:rsidRPr="00DA5AE2">
        <w:fldChar w:fldCharType="begin"/>
      </w:r>
      <w:r w:rsidRPr="00DA5AE2">
        <w:instrText>REF _Ref147158484 \h</w:instrText>
      </w:r>
      <w:r w:rsidR="00220BF3" w:rsidRPr="00DA5AE2">
        <w:instrText xml:space="preserve"> \* MERGEFORMAT </w:instrText>
      </w:r>
      <w:r w:rsidRPr="00DA5AE2">
        <w:fldChar w:fldCharType="separate"/>
      </w:r>
      <w:r w:rsidR="00B31598" w:rsidRPr="00DA5AE2">
        <w:t xml:space="preserve">Fig. </w:t>
      </w:r>
      <w:r w:rsidR="00B31598" w:rsidRPr="00DA5AE2">
        <w:rPr>
          <w:noProof/>
        </w:rPr>
        <w:t>5</w:t>
      </w:r>
      <w:r w:rsidRPr="00DA5AE2">
        <w:fldChar w:fldCharType="end"/>
      </w:r>
      <w:r w:rsidRPr="00DA5AE2">
        <w:t xml:space="preserve">). With increasing maximum height and leaf P, survival in monoculture increased. </w:t>
      </w:r>
      <w:r w:rsidR="00B84037" w:rsidRPr="00DA5AE2">
        <w:t>Ψtlp</w:t>
      </w:r>
      <w:r w:rsidR="00516F54" w:rsidRPr="00DA5AE2">
        <w:t xml:space="preserve"> showed a negative effect, meaning that species with less negative </w:t>
      </w:r>
      <w:r w:rsidR="00B84037" w:rsidRPr="00DA5AE2">
        <w:t xml:space="preserve">Ψtlp </w:t>
      </w:r>
      <w:r w:rsidR="00516F54" w:rsidRPr="00DA5AE2">
        <w:t>(</w:t>
      </w:r>
      <w:proofErr w:type="gramStart"/>
      <w:r w:rsidR="00516F54" w:rsidRPr="00DA5AE2">
        <w:t>i.e.</w:t>
      </w:r>
      <w:proofErr w:type="gramEnd"/>
      <w:r w:rsidR="00516F54" w:rsidRPr="00DA5AE2">
        <w:t xml:space="preserve"> lower leaf drought resistance and/or water-saving strategy) showed a lower survival in monoculture</w:t>
      </w:r>
      <w:r w:rsidR="00EC73F3" w:rsidRPr="00DA5AE2">
        <w:t>. The other hydraulic traits (ΨP50 and Ψmin) showed similar effect</w:t>
      </w:r>
      <w:r w:rsidR="00E30BF2" w:rsidRPr="00DA5AE2">
        <w:t xml:space="preserve"> sizes, but with larger variability so that the effects cannot be reported as significant on</w:t>
      </w:r>
      <w:r w:rsidR="006D4A5D" w:rsidRPr="00DA5AE2">
        <w:t xml:space="preserve"> a</w:t>
      </w:r>
      <w:r w:rsidR="00E30BF2" w:rsidRPr="00DA5AE2">
        <w:t xml:space="preserve"> 90%</w:t>
      </w:r>
      <w:r w:rsidR="0055720B" w:rsidRPr="00DA5AE2">
        <w:t xml:space="preserve"> </w:t>
      </w:r>
      <w:r w:rsidR="00E30BF2" w:rsidRPr="00DA5AE2">
        <w:t>CI.</w:t>
      </w:r>
      <w:r w:rsidR="00EF392F" w:rsidRPr="00DA5AE2">
        <w:t xml:space="preserve"> </w:t>
      </w:r>
      <w:r w:rsidR="000410C0" w:rsidRPr="00DA5AE2">
        <w:t xml:space="preserve">Species with high </w:t>
      </w:r>
      <w:r w:rsidR="00043697" w:rsidRPr="00DA5AE2">
        <w:t>l</w:t>
      </w:r>
      <w:r w:rsidR="000410C0" w:rsidRPr="00DA5AE2">
        <w:t xml:space="preserve">eaf </w:t>
      </w:r>
      <w:r w:rsidR="00EF392F" w:rsidRPr="00DA5AE2">
        <w:t xml:space="preserve">N concentration and </w:t>
      </w:r>
      <w:r w:rsidR="000410C0" w:rsidRPr="00DA5AE2">
        <w:t xml:space="preserve">large </w:t>
      </w:r>
      <w:r w:rsidR="00EF392F" w:rsidRPr="00DA5AE2">
        <w:t xml:space="preserve">leaf size </w:t>
      </w:r>
      <w:r w:rsidR="000410C0" w:rsidRPr="00DA5AE2">
        <w:t xml:space="preserve">had lower survival in monoculture. </w:t>
      </w:r>
      <w:r w:rsidR="00B82E13" w:rsidRPr="00DA5AE2">
        <w:t>T</w:t>
      </w:r>
      <w:r w:rsidRPr="00DA5AE2">
        <w:t xml:space="preserve">he pairwise correlation matrix using </w:t>
      </w:r>
      <w:r w:rsidR="00373885" w:rsidRPr="00DA5AE2">
        <w:t xml:space="preserve">Spearman’s </w:t>
      </w:r>
      <w:r w:rsidRPr="00DA5AE2">
        <w:t>rank correlations showed that the hydraulic traits (</w:t>
      </w:r>
      <w:r w:rsidR="00B84037" w:rsidRPr="00DA5AE2">
        <w:t>Ψtlp</w:t>
      </w:r>
      <w:r w:rsidRPr="00DA5AE2">
        <w:t xml:space="preserve">, </w:t>
      </w:r>
      <w:r w:rsidR="00B82E13" w:rsidRPr="00DA5AE2">
        <w:t>Ψ</w:t>
      </w:r>
      <w:r w:rsidRPr="00DA5AE2">
        <w:t xml:space="preserve">P50, and Ψmin) are highly correlated </w:t>
      </w:r>
      <w:r w:rsidR="00CA3588" w:rsidRPr="00DA5AE2">
        <w:t xml:space="preserve">between themselves </w:t>
      </w:r>
      <w:r w:rsidRPr="00DA5AE2">
        <w:t xml:space="preserve">(p &lt; 0.001), and with wood density (p &lt; 0.001). The leaf traits (leaf N, leaf P, LMA, leaf size), seed mass and </w:t>
      </w:r>
      <w:r w:rsidR="00373885" w:rsidRPr="00DA5AE2">
        <w:t>maximum</w:t>
      </w:r>
      <w:r w:rsidR="00606565" w:rsidRPr="00DA5AE2">
        <w:t xml:space="preserve"> </w:t>
      </w:r>
      <w:r w:rsidRPr="00DA5AE2">
        <w:t xml:space="preserve">height showed varying pairwise correlations (Supplementary Information section 2.2.2). </w:t>
      </w:r>
      <w:r w:rsidR="00B74FF6" w:rsidRPr="00DA5AE2">
        <w:t>T</w:t>
      </w:r>
      <w:r w:rsidR="003E5A50" w:rsidRPr="00DA5AE2">
        <w:rPr>
          <w:rFonts w:hint="eastAsia"/>
        </w:rPr>
        <w:t>he first axis of the PCA alone explained 30.29% of the mul</w:t>
      </w:r>
      <w:r w:rsidR="003E5A50" w:rsidRPr="00DA5AE2">
        <w:rPr>
          <w:rFonts w:ascii="Calibri" w:eastAsia="Calibri" w:hAnsi="Calibri" w:cs="Calibri"/>
        </w:rPr>
        <w:t>ti-</w:t>
      </w:r>
      <w:r w:rsidR="003E5A50" w:rsidRPr="00DA5AE2">
        <w:rPr>
          <w:rFonts w:hint="eastAsia"/>
        </w:rPr>
        <w:t>dimensional func</w:t>
      </w:r>
      <w:r w:rsidR="003E5A50" w:rsidRPr="00DA5AE2">
        <w:rPr>
          <w:rFonts w:ascii="Calibri" w:eastAsia="Calibri" w:hAnsi="Calibri" w:cs="Calibri"/>
        </w:rPr>
        <w:t>tio</w:t>
      </w:r>
      <w:r w:rsidR="003E5A50" w:rsidRPr="00DA5AE2">
        <w:rPr>
          <w:rFonts w:hint="eastAsia"/>
        </w:rPr>
        <w:t>nal space varia</w:t>
      </w:r>
      <w:r w:rsidR="003E5A50" w:rsidRPr="00DA5AE2">
        <w:rPr>
          <w:rFonts w:ascii="Calibri" w:eastAsia="Calibri" w:hAnsi="Calibri" w:cs="Calibri"/>
        </w:rPr>
        <w:t>ti</w:t>
      </w:r>
      <w:r w:rsidR="003E5A50" w:rsidRPr="00DA5AE2">
        <w:rPr>
          <w:rFonts w:hint="eastAsia"/>
        </w:rPr>
        <w:t>on; it was dominated by characteris</w:t>
      </w:r>
      <w:r w:rsidR="003E5A50" w:rsidRPr="00DA5AE2">
        <w:rPr>
          <w:rFonts w:ascii="Calibri" w:eastAsia="Calibri" w:hAnsi="Calibri" w:cs="Calibri"/>
        </w:rPr>
        <w:t>ti</w:t>
      </w:r>
      <w:r w:rsidR="003E5A50" w:rsidRPr="00DA5AE2">
        <w:rPr>
          <w:rFonts w:hint="eastAsia"/>
        </w:rPr>
        <w:t>cs of hydraulic resistance to drought</w:t>
      </w:r>
      <w:r w:rsidR="00FE472D" w:rsidRPr="00DA5AE2">
        <w:t xml:space="preserve"> </w:t>
      </w:r>
      <w:r w:rsidR="00485FC2" w:rsidRPr="00DA5AE2">
        <w:t xml:space="preserve">(lower ΨP50, Ψtlp, and Ψmin). </w:t>
      </w:r>
      <w:r w:rsidR="00030A7C" w:rsidRPr="00DA5AE2">
        <w:t xml:space="preserve">This first axis was </w:t>
      </w:r>
      <w:r w:rsidR="004962BC" w:rsidRPr="00DA5AE2">
        <w:t xml:space="preserve">to a lesser extent associated </w:t>
      </w:r>
      <w:r w:rsidRPr="00DA5AE2">
        <w:t xml:space="preserve">to small leaves and low leaf </w:t>
      </w:r>
      <w:r w:rsidR="00471B1F" w:rsidRPr="00DA5AE2">
        <w:t xml:space="preserve">N and P </w:t>
      </w:r>
      <w:r w:rsidRPr="00DA5AE2">
        <w:t>concentration, a large seed mass and a high wood density, and only</w:t>
      </w:r>
      <w:r w:rsidR="004962BC" w:rsidRPr="00DA5AE2">
        <w:t xml:space="preserve"> in a</w:t>
      </w:r>
      <w:r w:rsidRPr="00DA5AE2">
        <w:t xml:space="preserve"> limited </w:t>
      </w:r>
      <w:r w:rsidR="004962BC" w:rsidRPr="00DA5AE2">
        <w:t xml:space="preserve">manner </w:t>
      </w:r>
      <w:r w:rsidRPr="00DA5AE2">
        <w:t xml:space="preserve">to height (Supplementary </w:t>
      </w:r>
      <w:r w:rsidR="0091427C" w:rsidRPr="00DA5AE2">
        <w:t xml:space="preserve">Information </w:t>
      </w:r>
      <w:r w:rsidRPr="00DA5AE2">
        <w:t xml:space="preserve">2.2.3). </w:t>
      </w:r>
    </w:p>
    <w:p w14:paraId="7C8DE419" w14:textId="0A7B052D" w:rsidR="00B26A2C" w:rsidRPr="00DA5AE2" w:rsidRDefault="00B60AFA">
      <w:pPr>
        <w:keepNext/>
      </w:pPr>
      <w:r w:rsidRPr="00DA5AE2">
        <w:rPr>
          <w:noProof/>
        </w:rPr>
        <w:lastRenderedPageBreak/>
        <w:drawing>
          <wp:inline distT="0" distB="0" distL="0" distR="0" wp14:anchorId="2C825448" wp14:editId="73D3C6EF">
            <wp:extent cx="5731510" cy="2865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A74838C" w14:textId="2D5F5D89" w:rsidR="00B26A2C" w:rsidRPr="00DA5AE2" w:rsidRDefault="007F6878">
      <w:pPr>
        <w:pStyle w:val="Caption"/>
      </w:pPr>
      <w:bookmarkStart w:id="53" w:name="_Ref147158484"/>
      <w:r w:rsidRPr="00DA5AE2">
        <w:t xml:space="preserve">Fig. </w:t>
      </w:r>
      <w:r w:rsidRPr="00DA5AE2">
        <w:fldChar w:fldCharType="begin"/>
      </w:r>
      <w:r w:rsidRPr="00DA5AE2">
        <w:instrText>SEQ Figure \* ARABIC</w:instrText>
      </w:r>
      <w:r w:rsidRPr="00DA5AE2">
        <w:fldChar w:fldCharType="separate"/>
      </w:r>
      <w:r w:rsidR="00B31598" w:rsidRPr="00DA5AE2">
        <w:rPr>
          <w:noProof/>
        </w:rPr>
        <w:t>5</w:t>
      </w:r>
      <w:r w:rsidRPr="00DA5AE2">
        <w:fldChar w:fldCharType="end"/>
      </w:r>
      <w:bookmarkEnd w:id="53"/>
      <w:r w:rsidRPr="00DA5AE2">
        <w:t>| Effects of functional traits on mean species survival in monoculture. The posterior distribution of the coefficients for the expected value parameter (</w:t>
      </w:r>
      <m:oMath>
        <m:r>
          <w:rPr>
            <w:rFonts w:ascii="Cambria Math" w:hAnsi="Cambria Math"/>
          </w:rPr>
          <m:t>μ</m:t>
        </m:r>
      </m:oMath>
      <w:r w:rsidRPr="00DA5AE2">
        <w:t>, log</w:t>
      </w:r>
      <w:r w:rsidR="00AB43D1" w:rsidRPr="00DA5AE2">
        <w:t>it</w:t>
      </w:r>
      <w:r w:rsidRPr="00DA5AE2">
        <w:t xml:space="preserve">-link function) are displayed </w:t>
      </w:r>
      <w:r w:rsidR="00E83938" w:rsidRPr="00DA5AE2">
        <w:t>for each trait</w:t>
      </w:r>
      <w:r w:rsidRPr="00DA5AE2">
        <w:t>. The effects are displayed per unit increase of the trait value</w:t>
      </w:r>
      <w:r w:rsidR="00D648A7" w:rsidRPr="00DA5AE2">
        <w:t xml:space="preserve"> </w:t>
      </w:r>
      <w:r w:rsidRPr="00DA5AE2">
        <w:t>(</w:t>
      </w:r>
      <w:proofErr w:type="gramStart"/>
      <w:r w:rsidRPr="00DA5AE2">
        <w:t>i.e.</w:t>
      </w:r>
      <w:proofErr w:type="gramEnd"/>
      <w:r w:rsidRPr="00DA5AE2">
        <w:t xml:space="preserve"> one standard deviation). Number of species with trait values and the number of monocultures </w:t>
      </w:r>
      <w:proofErr w:type="gramStart"/>
      <w:r w:rsidRPr="00DA5AE2">
        <w:t>are</w:t>
      </w:r>
      <w:proofErr w:type="gramEnd"/>
      <w:r w:rsidRPr="00DA5AE2">
        <w:t xml:space="preserve"> listed for each trait. Credible intervals (CI) presented here are on 50% (bold line) and 90% CI (thin line). Estimates with CI’s not crossing the zero line are </w:t>
      </w:r>
      <w:r w:rsidR="002F6494" w:rsidRPr="00DA5AE2">
        <w:t>significantly different</w:t>
      </w:r>
      <w:r w:rsidRPr="00DA5AE2">
        <w:t xml:space="preserve"> </w:t>
      </w:r>
      <w:r w:rsidR="00C65754" w:rsidRPr="00DA5AE2">
        <w:t xml:space="preserve">at </w:t>
      </w:r>
      <w:r w:rsidRPr="00DA5AE2">
        <w:t xml:space="preserve">90% CI. </w:t>
      </w:r>
    </w:p>
    <w:p w14:paraId="12E7846E" w14:textId="77777777" w:rsidR="00B26A2C" w:rsidRPr="00DA5AE2" w:rsidRDefault="007F6878">
      <w:pPr>
        <w:pStyle w:val="Heading1"/>
        <w:jc w:val="both"/>
      </w:pPr>
      <w:r w:rsidRPr="00DA5AE2">
        <w:t>Discussion</w:t>
      </w:r>
    </w:p>
    <w:p w14:paraId="56D01905" w14:textId="120B1CC9" w:rsidR="00B26A2C" w:rsidRPr="00DA5AE2" w:rsidRDefault="007F6878">
      <w:pPr>
        <w:jc w:val="both"/>
      </w:pPr>
      <w:r w:rsidRPr="00DA5AE2">
        <w:t xml:space="preserve">Our analysis of sapling survival showed that higher tree species </w:t>
      </w:r>
      <w:r w:rsidR="00B82E13" w:rsidRPr="00DA5AE2">
        <w:t>richness and functional diver</w:t>
      </w:r>
      <w:r w:rsidR="004450DA" w:rsidRPr="00DA5AE2">
        <w:t>si</w:t>
      </w:r>
      <w:r w:rsidR="00B82E13" w:rsidRPr="00DA5AE2">
        <w:t>ty</w:t>
      </w:r>
      <w:r w:rsidRPr="00DA5AE2">
        <w:t xml:space="preserve"> reduced variability in survival. </w:t>
      </w:r>
      <w:r w:rsidR="001D05F4" w:rsidRPr="00DA5AE2">
        <w:t>This</w:t>
      </w:r>
      <w:r w:rsidRPr="00DA5AE2">
        <w:t xml:space="preserve"> effect became stronger as drought severity increased. </w:t>
      </w:r>
      <w:r w:rsidR="00FE4E01" w:rsidRPr="00DA5AE2">
        <w:t>Using</w:t>
      </w:r>
      <w:r w:rsidR="00B82E13" w:rsidRPr="00DA5AE2">
        <w:t xml:space="preserve"> a </w:t>
      </w:r>
      <w:r w:rsidRPr="00DA5AE2">
        <w:t>species-based approach, we found that species with low survival in monocultures survived comparatively better in mixtures when under drought (</w:t>
      </w:r>
      <w:r w:rsidR="00B004F5" w:rsidRPr="00DA5AE2">
        <w:t xml:space="preserve">as </w:t>
      </w:r>
      <w:r w:rsidRPr="00DA5AE2">
        <w:t xml:space="preserve">indicated by REW and independent of SPEI). A higher species survival in monoculture was associated </w:t>
      </w:r>
      <w:r w:rsidR="0043324D" w:rsidRPr="00DA5AE2">
        <w:t xml:space="preserve">with </w:t>
      </w:r>
      <w:r w:rsidRPr="00DA5AE2">
        <w:t>drought resistance</w:t>
      </w:r>
      <w:r w:rsidR="00994AE5" w:rsidRPr="00DA5AE2">
        <w:t xml:space="preserve"> (characterized</w:t>
      </w:r>
      <w:r w:rsidRPr="00DA5AE2">
        <w:t xml:space="preserve"> by hydraulic traits</w:t>
      </w:r>
      <w:r w:rsidR="00994AE5" w:rsidRPr="00DA5AE2">
        <w:t>)</w:t>
      </w:r>
      <w:r w:rsidRPr="00DA5AE2">
        <w:t xml:space="preserve">, </w:t>
      </w:r>
      <w:r w:rsidR="008B0660" w:rsidRPr="00DA5AE2">
        <w:t xml:space="preserve">greater </w:t>
      </w:r>
      <w:r w:rsidR="00524518" w:rsidRPr="00DA5AE2">
        <w:t xml:space="preserve">maximum </w:t>
      </w:r>
      <w:r w:rsidRPr="00DA5AE2">
        <w:t xml:space="preserve">height and conservative </w:t>
      </w:r>
      <w:r w:rsidR="00994AE5" w:rsidRPr="00DA5AE2">
        <w:t>resource acquisition traits</w:t>
      </w:r>
      <w:r w:rsidR="000F43C4" w:rsidRPr="00DA5AE2">
        <w:t xml:space="preserve"> (</w:t>
      </w:r>
      <w:proofErr w:type="gramStart"/>
      <w:r w:rsidR="000F43C4" w:rsidRPr="00DA5AE2">
        <w:t>e.g.</w:t>
      </w:r>
      <w:proofErr w:type="gramEnd"/>
      <w:r w:rsidR="000F43C4" w:rsidRPr="00DA5AE2">
        <w:t xml:space="preserve"> low leaf size and low leaf N concentration)</w:t>
      </w:r>
      <w:r w:rsidR="00994AE5" w:rsidRPr="00DA5AE2">
        <w:t xml:space="preserve">. </w:t>
      </w:r>
      <w:r w:rsidRPr="00DA5AE2">
        <w:t xml:space="preserve">These results highlight: 1) the importance of tree diversity as </w:t>
      </w:r>
      <w:r w:rsidR="00C17239" w:rsidRPr="00DA5AE2">
        <w:t xml:space="preserve">a form of </w:t>
      </w:r>
      <w:r w:rsidRPr="00DA5AE2">
        <w:t xml:space="preserve">insurance </w:t>
      </w:r>
      <w:r w:rsidR="00C17239" w:rsidRPr="00DA5AE2">
        <w:t>to increase</w:t>
      </w:r>
      <w:r w:rsidRPr="00DA5AE2">
        <w:t xml:space="preserve"> sapling survival </w:t>
      </w:r>
      <w:r w:rsidR="00C17239" w:rsidRPr="00DA5AE2">
        <w:t xml:space="preserve">during </w:t>
      </w:r>
      <w:r w:rsidRPr="00DA5AE2">
        <w:t xml:space="preserve">drought, and 2) the importance of drought resistance and associated traits to explain altered tree species survival in response to tree diversity and drought, showing that drought sensitive species survive comparatively better in mixtures compared to monocultures. </w:t>
      </w:r>
    </w:p>
    <w:p w14:paraId="085CC357" w14:textId="77777777" w:rsidR="00B26A2C" w:rsidRPr="00DA5AE2" w:rsidRDefault="007F6878">
      <w:pPr>
        <w:pStyle w:val="Heading3"/>
      </w:pPr>
      <w:r w:rsidRPr="00DA5AE2">
        <w:t>Tree diversity reduces variability in survival</w:t>
      </w:r>
    </w:p>
    <w:p w14:paraId="69BE9102" w14:textId="49231206" w:rsidR="00B26A2C" w:rsidRPr="00DA5AE2" w:rsidRDefault="007F6878">
      <w:pPr>
        <w:jc w:val="both"/>
      </w:pPr>
      <w:r w:rsidRPr="00DA5AE2">
        <w:t xml:space="preserve">Tree species richness did not </w:t>
      </w:r>
      <w:r w:rsidR="00827AF6" w:rsidRPr="00DA5AE2">
        <w:t>affect</w:t>
      </w:r>
      <w:r w:rsidRPr="00DA5AE2">
        <w:t xml:space="preserve"> mean survival</w:t>
      </w:r>
      <w:r w:rsidR="007D6F3A" w:rsidRPr="00DA5AE2">
        <w:t xml:space="preserve"> of trees</w:t>
      </w:r>
      <w:r w:rsidRPr="00DA5AE2">
        <w:t xml:space="preserve"> but decreased </w:t>
      </w:r>
      <w:r w:rsidR="00595CE1" w:rsidRPr="00DA5AE2">
        <w:t xml:space="preserve">its </w:t>
      </w:r>
      <w:r w:rsidRPr="00DA5AE2">
        <w:t>variability</w:t>
      </w:r>
      <w:r w:rsidR="001B4F46" w:rsidRPr="00DA5AE2">
        <w:t xml:space="preserve">, which is in line with a sampling </w:t>
      </w:r>
      <w:proofErr w:type="gramStart"/>
      <w:r w:rsidR="001B4F46" w:rsidRPr="00DA5AE2">
        <w:t>effect</w:t>
      </w:r>
      <w:r w:rsidRPr="00DA5AE2">
        <w:t>..</w:t>
      </w:r>
      <w:proofErr w:type="gramEnd"/>
      <w:r w:rsidRPr="00DA5AE2">
        <w:t xml:space="preserve"> Mean survival across tree diversity levels </w:t>
      </w:r>
      <w:r w:rsidR="00E43ED4" w:rsidRPr="00DA5AE2">
        <w:t xml:space="preserve">was </w:t>
      </w:r>
      <w:r w:rsidRPr="00DA5AE2">
        <w:t>stable around 85%</w:t>
      </w:r>
      <w:r w:rsidR="00DD1FF5" w:rsidRPr="00DA5AE2">
        <w:t>, which</w:t>
      </w:r>
      <w:r w:rsidRPr="00DA5AE2">
        <w:t xml:space="preserve"> is high</w:t>
      </w:r>
      <w:r w:rsidR="00DD1FF5" w:rsidRPr="00DA5AE2">
        <w:t>er than</w:t>
      </w:r>
      <w:r w:rsidRPr="00DA5AE2">
        <w:t xml:space="preserve"> </w:t>
      </w:r>
      <w:r w:rsidR="00E43ED4" w:rsidRPr="00DA5AE2">
        <w:t xml:space="preserve">the </w:t>
      </w:r>
      <w:r w:rsidRPr="00DA5AE2">
        <w:t xml:space="preserve">50% survival </w:t>
      </w:r>
      <w:r w:rsidR="00DD1FF5" w:rsidRPr="00DA5AE2">
        <w:t xml:space="preserve">commonly reported for managed </w:t>
      </w:r>
      <w:r w:rsidR="00F9020B" w:rsidRPr="00DA5AE2">
        <w:t>plantations</w:t>
      </w:r>
      <w:r w:rsidRPr="00DA5AE2">
        <w:t xml:space="preserve"> </w:t>
      </w:r>
      <w:r w:rsidRPr="00DA5AE2">
        <w:fldChar w:fldCharType="begin" w:fldLock="1"/>
      </w:r>
      <w:r w:rsidRPr="00DA5AE2">
        <w:instrText>ADDIN CSL_CITATION {"citationItems":[{"id":"ITEM-1","itemData":{"DOI":"10.1098/rstb.2021.0090","ISBN":"0000000208116","ISSN":"0962-8436","PMID":"36373930","abstract":" Current policy is driving renewed impetus to restore forests to return ecological function, protect species, sequester carbon and secure livelihoods. Here we assess the contribution of tree planting to ecosystem restoration in tropical and sub-tropical Asia; we synthesize evidence on mortality and growth of planted trees at 176 sites and assess structural and biodiversity recovery of co-located actively restored and naturally regenerating forest plots. Mean mortality of planted trees was 18% 1 year after planting, increasing to 44% after 5 years. Mortality varied strongly by site and was typically ca 20% higher in open areas than degraded forest, with height at planting positively affecting survival. Size-standardized growth rates were negatively related to species-level wood density in degraded forest and plantations enrichment settings. Based on community-level data from 11 landscapes, active restoration resulted in faster accumulation of tree basal area and structural properties were closer to old-growth reference sites, relative to natural regeneration, but tree species richness did not differ. High variability in outcomes across sites indicates that planting for restoration is potentially rewarding but risky and context-dependent. Restoration projects must prepare for and manage commonly occurring challenges and align with efforts to protect and reconnect remaining forest areas. The abstract of this article is available in Bahasa Indonesia in the electronic supplementary material.This article is part of the theme issue ‘Understanding forest landscape restoration: reinforcing scientific foundations for the UN Decade on Ecosystem Restoration’.","author":[{"dropping-particle":"","family":"Banin","given":"Lindsay F.","non-dropping-particle":"","parse-names":false,"suffix":""},{"dropping-particle":"","family":"Raine","given":"Elizabeth H.","non-dropping-particle":"","parse-names":false,"suffix":""},{"dropping-particle":"","family":"Rowland","given":"Lucy M.","non-dropping-particle":"","parse-names":false,"suffix":""},{"dropping-particle":"","family":"Chazdon","given":"Robin L.","non-dropping-particle":"","parse-names":false,"suffix":""},{"dropping-particle":"","family":"Smith","given":"Stuart W.","non-dropping-particle":"","parse-names":false,"suffix":""},{"dropping-particle":"","family":"Rahman","given":"Nur Estya Binte","non-dropping-particle":"","parse-names":false,"suffix":""},{"dropping-particle":"","family":"Butler","given":"Adam","non-dropping-particle":"","parse-names":false,"suffix":""},{"dropping-particle":"","family":"Philipson","given":"Christopher","non-dropping-particle":"","parse-names":false,"suffix":""},{"dropping-particle":"","family":"Applegate","given":"Grahame G.","non-dropping-particle":"","parse-names":false,"suffix":""},{"dropping-particle":"","family":"Axelsson","given":"E. Petter","non-dropping-particle":"","parse-names":false,"suffix":""},{"dropping-particle":"","family":"Budiharta","given":"Sugeng","non-dropping-particle":"","parse-names":false,"suffix":""},{"dropping-particle":"","family":"Chua","given":"Siew Chin","non-dropping-particle":"","parse-names":false,"suffix":""},{"dropping-particle":"","family":"Cutler","given":"Mark E. J.","non-dropping-particle":"","parse-names":false,"suffix":""},{"dropping-particle":"","family":"Elliott","given":"Stephen","non-dropping-particle":"","parse-names":false,"suffix":""},{"dropping-particle":"","family":"Gemita","given":"Elva","non-dropping-particle":"","parse-names":false,"suffix":""},{"dropping-particle":"","family":"Godoong","given":"Elia","non-dropping-particle":"","parse-names":false,"suffix":""},{"dropping-particle":"","family":"Graham","given":"Laura L. B.","non-dropping-particle":"","parse-names":false,"suffix":""},{"dropping-particle":"","family":"Hayward","given":"Robin M.","non-dropping-particle":"","parse-names":false,"suffix":""},{"dropping-particle":"","family":"Hector","given":"Andy","non-dropping-particle":"","parse-names":false,"suffix":""},{"dropping-particle":"","family":"Ilstedt","given":"Ulrik","non-dropping-particle":"","parse-names":false,"suffix":""},{"dropping-particle":"","family":"Jensen","given":"Joel","non-dropping-particle":"","parse-names":false,"suffix":""},{"dropping-particle":"","family":"Kasinathan","given":"Srinivasan","non-dropping-particle":"","parse-names":false,"suffix":""},{"dropping-particle":"","family":"Kettle","given":"Christopher J.","non-dropping-particle":"","parse-names":false,"suffix":""},{"dropping-particle":"","family":"Lussetti","given":"Daniel","non-dropping-particle":"","parse-names":false,"suffix":""},{"dropping-particle":"","family":"Manohan","given":"Benjapan","non-dropping-particle":"","parse-names":false,"suffix":""},{"dropping-particle":"","family":"Maycock","given":"Colin","non-dropping-particle":"","parse-names":false,"suffix":""},{"dropping-particle":"","family":"Ngo","given":"Kang Min","non-dropping-particle":"","parse-names":false,"suffix":""},{"dropping-particle":"","family":"O'Brien","given":"Michael J.","non-dropping-particle":"","parse-names":false,"suffix":""},{"dropping-particle":"","family":"Osuri","given":"Anand M.","non-dropping-particle":"","parse-names":false,"suffix":""},{"dropping-particle":"","family":"Reynolds","given":"Glen","non-dropping-particle":"","parse-names":false,"suffix":""},{"dropping-particle":"","family":"Sauwai","given":"Yap","non-dropping-particle":"","parse-names":false,"suffix":""},{"dropping-particle":"","family":"Scheu","given":"Stefan","non-dropping-particle":"","parse-names":false,"suffix":""},{"dropping-particle":"","family":"Silalahi","given":"Mangarah","non-dropping-particle":"","parse-names":false,"suffix":""},{"dropping-particle":"","family":"Slade","given":"Eleanor M.","non-dropping-particle":"","parse-names":false,"suffix":""},{"dropping-particle":"","family":"Swinfield","given":"Tom","non-dropping-particle":"","parse-names":false,"suffix":""},{"dropping-particle":"","family":"Wardle","given":"David A.","non-dropping-particle":"","parse-names":false,"suffix":""},{"dropping-particle":"","family":"Wheeler","given":"Charlotte","non-dropping-particle":"","parse-names":false,"suffix":""},{"dropping-particle":"","family":"Yeong","given":"Kok Loong","non-dropping-particle":"","parse-names":false,"suffix":""},{"dropping-particle":"","family":"Burslem","given":"David F. R. P.","non-dropping-particle":"","parse-names":false,"suffix":""}],"container-title":"Philosophical Transactions of the Royal Society B: Biological Sciences","id":"ITEM-1","issue":"1867","issued":{"date-parts":[["2023"]]},"title":"The road to recovery: a synthesis of outcomes from ecosystem restoration in tropical and sub-tropical Asian forests","type":"article-journal","volume":"378"},"uris":["http://www.mendeley.com/documents/?uuid=7555debc-0c1d-4dad-84dc-64e85f2a391c"]}],"mendeley":{"formattedCitation":"(Banin et al., 2023)","plainTextFormattedCitation":"(Banin et al., 2023)","previouslyFormattedCitation":"(Banin et al., 2023)"},"properties":{"noteIndex":0},"schema":"https://github.com/citation-style-language/schema/raw/master/csl-citation.json"}</w:instrText>
      </w:r>
      <w:r w:rsidRPr="00DA5AE2">
        <w:fldChar w:fldCharType="separate"/>
      </w:r>
      <w:bookmarkStart w:id="54" w:name="Bookmark51"/>
      <w:r w:rsidRPr="00DA5AE2">
        <w:rPr>
          <w:noProof/>
        </w:rPr>
        <w:t>(Banin et al., 2023)</w:t>
      </w:r>
      <w:r w:rsidRPr="00DA5AE2">
        <w:fldChar w:fldCharType="end"/>
      </w:r>
      <w:bookmarkEnd w:id="54"/>
      <w:r w:rsidRPr="00DA5AE2">
        <w:t xml:space="preserve">. </w:t>
      </w:r>
      <w:r w:rsidR="00DC5F24" w:rsidRPr="00DA5AE2">
        <w:t xml:space="preserve">In mature forests of Northern America, a clear </w:t>
      </w:r>
      <w:r w:rsidR="00A21A79" w:rsidRPr="00DA5AE2">
        <w:t>link between higher tree diversity</w:t>
      </w:r>
      <w:r w:rsidR="008B2F47" w:rsidRPr="00DA5AE2">
        <w:t xml:space="preserve"> </w:t>
      </w:r>
      <w:r w:rsidR="005701FF" w:rsidRPr="00DA5AE2">
        <w:fldChar w:fldCharType="begin" w:fldLock="1"/>
      </w:r>
      <w:r w:rsidR="00E84DE8" w:rsidRPr="00DA5AE2">
        <w:instrText>ADDIN CSL_CITATION {"citationItems":[{"id":"ITEM-1","itemData":{"DOI":"10.1073/pnas.2013171119","ISSN":"10916490","PMID":"35500110","abstract":"Examining the relationship between tree diversity and ecosystem functioning has been a recent focus of forest ecology. Particular emphasis has been given to the impact of tree diversity on productivity and to its potential to mitigate negative global change effects; however, little attention has been paid to tree mortality. This is critical because both tree mortality and productivity underpin forest ecosystem dynamics and therefore forest carbon sequestration. Neglecting tree mortality leaves a large part of the picture undocumented. Here we show that increasingly diverse forest stands have increasingly high mortality probabilities. We found that the most species-rich stands in temperate biomes had mortality probabilities more than sevenfold higher than monospecific stands (</w:instrText>
      </w:r>
      <w:r w:rsidR="00E84DE8" w:rsidRPr="00DA5AE2">
        <w:rPr>
          <w:rFonts w:ascii="Cambria Math" w:hAnsi="Cambria Math" w:cs="Cambria Math"/>
        </w:rPr>
        <w:instrText>∼</w:instrText>
      </w:r>
      <w:r w:rsidR="00E84DE8" w:rsidRPr="00DA5AE2">
        <w:instrText>0.6% year21 in monospecific stands to 4.0% year21 in the most species-rich stands) while in boreal stands increases were less pronounced but still significant (</w:instrText>
      </w:r>
      <w:r w:rsidR="00E84DE8" w:rsidRPr="00DA5AE2">
        <w:rPr>
          <w:rFonts w:ascii="Cambria Math" w:hAnsi="Cambria Math" w:cs="Cambria Math"/>
        </w:rPr>
        <w:instrText>∼</w:instrText>
      </w:r>
      <w:r w:rsidR="00E84DE8" w:rsidRPr="00DA5AE2">
        <w:instrText>1.1% year21 in monospecific stands to 1.8% year21 in the most species-rich stands). Tree species richness was the third-most-important predictor of mortality in our models in temperate forests and the fifth-most-important predictor in boreal forests. Our results highlight that while the promotion of tree diversity undoubtedly has many positive effects on ecosystem functioning and the services that trees provide to humanity, it remains important to consider all aspects of forest dynamics in order to properly predict the implications of maintaining and promoting tree diversity.","author":[{"dropping-particle":"","family":"Searle","given":"Eric B.","non-dropping-particle":"","parse-names":false,"suffix":""},{"dropping-particle":"","family":"Chen","given":"Han Y.H.","non-dropping-particle":"","parse-names":false,"suffix":""},{"dropping-particle":"","family":"Paquette","given":"Alain","non-dropping-particle":"","parse-names":false,"suffix":""}],"container-title":"Proceedings of the National Academy of Sciences of the United States of America","id":"ITEM-1","issue":"19","issued":{"date-parts":[["2022"]]},"page":"1-7","title":"Higher tree diversity is linked to higher tree mortality","type":"article-journal","volume":"119"},"uris":["http://www.mendeley.com/documents/?uuid=2d4ceadf-bc35-4775-bb07-e4d6a3cc6c22"]}],"mendeley":{"formattedCitation":"(Searle, Chen, &amp; Paquette, 2022)","plainTextFormattedCitation":"(Searle, Chen, &amp; Paquette, 2022)","previouslyFormattedCitation":"(Searle, Chen, &amp; Paquette, 2022)"},"properties":{"noteIndex":0},"schema":"https://github.com/citation-style-language/schema/raw/master/csl-citation.json"}</w:instrText>
      </w:r>
      <w:r w:rsidR="005701FF" w:rsidRPr="00DA5AE2">
        <w:fldChar w:fldCharType="separate"/>
      </w:r>
      <w:r w:rsidR="005701FF" w:rsidRPr="00DA5AE2">
        <w:rPr>
          <w:noProof/>
        </w:rPr>
        <w:t xml:space="preserve">(Searle, Chen, &amp; </w:t>
      </w:r>
      <w:r w:rsidR="005701FF" w:rsidRPr="00DA5AE2">
        <w:rPr>
          <w:noProof/>
        </w:rPr>
        <w:lastRenderedPageBreak/>
        <w:t>Paquette, 2022)</w:t>
      </w:r>
      <w:r w:rsidR="005701FF" w:rsidRPr="00DA5AE2">
        <w:fldChar w:fldCharType="end"/>
      </w:r>
      <w:r w:rsidR="005701FF" w:rsidRPr="00DA5AE2">
        <w:t xml:space="preserve"> and density</w:t>
      </w:r>
      <w:r w:rsidR="00A21A79" w:rsidRPr="00DA5AE2">
        <w:t xml:space="preserve"> </w:t>
      </w:r>
      <w:r w:rsidR="00E84DE8" w:rsidRPr="00DA5AE2">
        <w:fldChar w:fldCharType="begin" w:fldLock="1"/>
      </w:r>
      <w:r w:rsidR="009F2186" w:rsidRPr="00DA5AE2">
        <w:instrText>ADDIN CSL_CITATION {"citationItems":[{"id":"ITEM-1","itemData":{"DOI":"10.1111/1365-2664.14073","ISSN":"0021-8901","abstract":"The future of dry forests around the world is uncertain given predictions that rising temperatures and enhanced aridity will inc</w:instrText>
      </w:r>
      <w:r w:rsidR="009F2186" w:rsidRPr="00DA5AE2">
        <w:rPr>
          <w:rFonts w:hint="eastAsia"/>
        </w:rPr>
        <w:instrText>rease drought</w:instrText>
      </w:r>
      <w:r w:rsidR="009F2186" w:rsidRPr="00DA5AE2">
        <w:rPr>
          <w:rFonts w:hint="eastAsia"/>
        </w:rPr>
        <w:instrText>‐</w:instrText>
      </w:r>
      <w:r w:rsidR="009F2186" w:rsidRPr="00DA5AE2">
        <w:rPr>
          <w:rFonts w:hint="eastAsia"/>
        </w:rPr>
        <w:instrText>induced tree mortality. Using forest management and ecological restoration to reduce density and competition for water offers one of the few pathways that forests managers can potentially minimize drought</w:instrText>
      </w:r>
      <w:r w:rsidR="009F2186" w:rsidRPr="00DA5AE2">
        <w:rPr>
          <w:rFonts w:hint="eastAsia"/>
        </w:rPr>
        <w:instrText>‐</w:instrText>
      </w:r>
      <w:r w:rsidR="009F2186" w:rsidRPr="00DA5AE2">
        <w:rPr>
          <w:rFonts w:hint="eastAsia"/>
        </w:rPr>
        <w:instrText>induced tree mortality. Competition for water during drought leads to elevated tree mortality in dense stands, although the influence of density on heat</w:instrText>
      </w:r>
      <w:r w:rsidR="009F2186" w:rsidRPr="00DA5AE2">
        <w:rPr>
          <w:rFonts w:hint="eastAsia"/>
        </w:rPr>
        <w:instrText>‐</w:instrText>
      </w:r>
      <w:r w:rsidR="009F2186" w:rsidRPr="00DA5AE2">
        <w:rPr>
          <w:rFonts w:hint="eastAsia"/>
        </w:rPr>
        <w:instrText>induced stress and the durations of hot or dry conditions that most impact mortality remain unclear. Understanding how competition interacts with hot</w:instrText>
      </w:r>
      <w:r w:rsidR="009F2186" w:rsidRPr="00DA5AE2">
        <w:rPr>
          <w:rFonts w:hint="eastAsia"/>
        </w:rPr>
        <w:instrText>‐</w:instrText>
      </w:r>
      <w:r w:rsidR="009F2186" w:rsidRPr="00DA5AE2">
        <w:rPr>
          <w:rFonts w:hint="eastAsia"/>
        </w:rPr>
        <w:instrText>drought stress is essential to recognize how, where and how much reducing density can help sustain dry forests in a rapidly changing world. Here, we integrated repeat measurements of 28,881 ponderosa pine trees across the western US (2000</w:instrText>
      </w:r>
      <w:r w:rsidR="009F2186" w:rsidRPr="00DA5AE2">
        <w:rPr>
          <w:rFonts w:hint="eastAsia"/>
        </w:rPr>
        <w:instrText>–</w:instrText>
      </w:r>
      <w:r w:rsidR="009F2186" w:rsidRPr="00DA5AE2">
        <w:rPr>
          <w:rFonts w:hint="eastAsia"/>
        </w:rPr>
        <w:instrText>2017</w:instrText>
      </w:r>
      <w:r w:rsidR="009F2186" w:rsidRPr="00DA5AE2">
        <w:instrText>) with soil moisture estimates from a water balance model to examine how annual mortality responds to competition, temperature and soil moisture conditions. Tree mortality responded most strongly to basal area, and was elevated in places with high mean te</w:instrText>
      </w:r>
      <w:r w:rsidR="009F2186" w:rsidRPr="00DA5AE2">
        <w:rPr>
          <w:rFonts w:hint="eastAsia"/>
        </w:rPr>
        <w:instrText>mperatures, unusually hot 7</w:instrText>
      </w:r>
      <w:r w:rsidR="009F2186" w:rsidRPr="00DA5AE2">
        <w:rPr>
          <w:rFonts w:hint="eastAsia"/>
        </w:rPr>
        <w:instrText>‐</w:instrText>
      </w:r>
      <w:r w:rsidR="009F2186" w:rsidRPr="00DA5AE2">
        <w:rPr>
          <w:rFonts w:hint="eastAsia"/>
        </w:rPr>
        <w:instrText>year high temperature anomalies, and unusually dry 8</w:instrText>
      </w:r>
      <w:r w:rsidR="009F2186" w:rsidRPr="00DA5AE2">
        <w:rPr>
          <w:rFonts w:hint="eastAsia"/>
        </w:rPr>
        <w:instrText>‐</w:instrText>
      </w:r>
      <w:r w:rsidR="009F2186" w:rsidRPr="00DA5AE2">
        <w:rPr>
          <w:rFonts w:hint="eastAsia"/>
        </w:rPr>
        <w:instrText>year low soil moisture anomalies. Mortality was also lower in places that experienced unusually wet 3</w:instrText>
      </w:r>
      <w:r w:rsidR="009F2186" w:rsidRPr="00DA5AE2">
        <w:rPr>
          <w:rFonts w:hint="eastAsia"/>
        </w:rPr>
        <w:instrText>‐</w:instrText>
      </w:r>
      <w:r w:rsidR="009F2186" w:rsidRPr="00DA5AE2">
        <w:rPr>
          <w:rFonts w:hint="eastAsia"/>
        </w:rPr>
        <w:instrText>year soil moisture anomalies between measurements. Importantly, we found</w:instrText>
      </w:r>
      <w:r w:rsidR="009F2186" w:rsidRPr="00DA5AE2">
        <w:instrText xml:space="preserve"> that basal area interacts with temperature and soil moisture, exacerbating mortality during times of stress imposed by high temperature or low moisture. Synthesis and applications . Our results imply that a 50% reduction in forest basal area could reduce</w:instrText>
      </w:r>
      <w:r w:rsidR="009F2186" w:rsidRPr="00DA5AE2">
        <w:rPr>
          <w:rFonts w:hint="eastAsia"/>
        </w:rPr>
        <w:instrText xml:space="preserve"> drought</w:instrText>
      </w:r>
      <w:r w:rsidR="009F2186" w:rsidRPr="00DA5AE2">
        <w:rPr>
          <w:rFonts w:hint="eastAsia"/>
        </w:rPr>
        <w:instrText>‐</w:instrText>
      </w:r>
      <w:r w:rsidR="009F2186" w:rsidRPr="00DA5AE2">
        <w:rPr>
          <w:rFonts w:hint="eastAsia"/>
        </w:rPr>
        <w:instrText>driven tree mortality by 20%</w:instrText>
      </w:r>
      <w:r w:rsidR="009F2186" w:rsidRPr="00DA5AE2">
        <w:rPr>
          <w:rFonts w:hint="eastAsia"/>
        </w:rPr>
        <w:instrText>–</w:instrText>
      </w:r>
      <w:r w:rsidR="009F2186" w:rsidRPr="00DA5AE2">
        <w:rPr>
          <w:rFonts w:hint="eastAsia"/>
        </w:rPr>
        <w:instrText>80%. The largest impacts of density reduction are seen in areas with high current basal area and places that experience high temperatures and/or severe multiyear droughts. These interactions between competition and dr</w:instrText>
      </w:r>
      <w:r w:rsidR="009F2186" w:rsidRPr="00DA5AE2">
        <w:instrText>ought are critical to understand past and future patterns of tree mortality in the context of climate change, and provide information for resource managers seeking to enhance dry forest drought resistance.","author":[{"dropping-particle":"","family":"Bradford","given":"John. B.","non-dropping-particle":"","parse-names":false,"suffix":""},{"dropping-particle":"","family":"Shriver","given":"Robert K.","non-dropping-particle":"","parse-names":false,"suffix":""},{"dropping-particle":"","family":"Robles","given":"Marcos D.","non-dropping-particle":"","parse-names":false,"suffix":""},{"dropping-particle":"","family":"McCauley","given":"Lisa A.","non-dropping-particle":"","parse-names":false,"suffix":""},{"dropping-particle":"","family":"Woolley","given":"Travis J.","non-dropping-particle":"","parse-names":false,"suffix":""},{"dropping-particle":"","family":"Andrews","given":"Caitlin A.","non-dropping-particle":"","parse-names":false,"suffix":""},{"dropping-particle":"","family":"Crimmins","given":"Michael","non-dropping-particle":"","parse-names":false,"suffix":""},{"dropping-particle":"","family":"Bell","given":"David M.","non-dropping-particle":"","parse-names":false,"suffix":""}],"container-title":"Journal of Applied Ecology","id":"ITEM-1","issue":"2","issue</w:instrText>
      </w:r>
      <w:r w:rsidR="009F2186" w:rsidRPr="00DA5AE2">
        <w:rPr>
          <w:rFonts w:hint="eastAsia"/>
        </w:rPr>
        <w:instrText>d":{"date-parts":[["2022","2","15"]]},"page":"549-559","title":"Tree mortality response to drought</w:instrText>
      </w:r>
      <w:r w:rsidR="009F2186" w:rsidRPr="00DA5AE2">
        <w:rPr>
          <w:rFonts w:hint="eastAsia"/>
        </w:rPr>
        <w:instrText>‐</w:instrText>
      </w:r>
      <w:r w:rsidR="009F2186" w:rsidRPr="00DA5AE2">
        <w:rPr>
          <w:rFonts w:hint="eastAsia"/>
        </w:rPr>
        <w:instrText>density interactions suggests opportunities to enhance drought resistance","type":"article-journal","volume":"59"},"uris":["http://www.mendeley.com/document</w:instrText>
      </w:r>
      <w:r w:rsidR="009F2186" w:rsidRPr="00DA5AE2">
        <w:instrText>s/?uuid=d422449d-b063-4802-b7c6-f8184f30335d"]}],"mendeley":{"formattedCitation":"(Bradford et al., 2022)","plainTextFormattedCitation":"(Bradford et al., 2022)","previouslyFormattedCitation":"(Bradford et al., 2022)"},"properties":{"noteIndex":0},"schema":"https://github.com/citation-style-language/schema/raw/master/csl-citation.json"}</w:instrText>
      </w:r>
      <w:r w:rsidR="00E84DE8" w:rsidRPr="00DA5AE2">
        <w:fldChar w:fldCharType="separate"/>
      </w:r>
      <w:r w:rsidR="00E84DE8" w:rsidRPr="00DA5AE2">
        <w:rPr>
          <w:noProof/>
        </w:rPr>
        <w:t>(Bradford et al., 2022)</w:t>
      </w:r>
      <w:r w:rsidR="00E84DE8" w:rsidRPr="00DA5AE2">
        <w:fldChar w:fldCharType="end"/>
      </w:r>
      <w:r w:rsidR="008B2F47" w:rsidRPr="00DA5AE2">
        <w:t xml:space="preserve"> on the one hand</w:t>
      </w:r>
      <w:r w:rsidR="00E84DE8" w:rsidRPr="00DA5AE2">
        <w:t xml:space="preserve"> </w:t>
      </w:r>
      <w:r w:rsidR="00A21A79" w:rsidRPr="00DA5AE2">
        <w:t xml:space="preserve">and lower </w:t>
      </w:r>
      <w:r w:rsidR="001D71AF" w:rsidRPr="00DA5AE2">
        <w:t xml:space="preserve">mean </w:t>
      </w:r>
      <w:r w:rsidR="00A21A79" w:rsidRPr="00DA5AE2">
        <w:t xml:space="preserve">survival </w:t>
      </w:r>
      <w:r w:rsidR="008B2F47" w:rsidRPr="00DA5AE2">
        <w:t xml:space="preserve">on the other </w:t>
      </w:r>
      <w:r w:rsidR="00A21A79" w:rsidRPr="00DA5AE2">
        <w:t>was recently reported</w:t>
      </w:r>
      <w:r w:rsidR="00E455D5" w:rsidRPr="00DA5AE2">
        <w:t xml:space="preserve">, </w:t>
      </w:r>
      <w:r w:rsidR="001D71AF" w:rsidRPr="00DA5AE2">
        <w:t>but with unclear effects on variability</w:t>
      </w:r>
      <w:r w:rsidR="00260488" w:rsidRPr="00DA5AE2">
        <w:t xml:space="preserve">. </w:t>
      </w:r>
      <w:r w:rsidR="007E005B" w:rsidRPr="00DA5AE2">
        <w:t>In contrast, t</w:t>
      </w:r>
      <w:r w:rsidRPr="00DA5AE2">
        <w:t xml:space="preserve">he experimental sites within TreeDivNet are generally </w:t>
      </w:r>
      <w:r w:rsidR="00260488" w:rsidRPr="00DA5AE2">
        <w:t xml:space="preserve">young, </w:t>
      </w:r>
      <w:r w:rsidRPr="00DA5AE2">
        <w:t xml:space="preserve">small in scale (a few ha) and are designed to maximize scientific output </w:t>
      </w:r>
      <w:r w:rsidRPr="00DA5AE2">
        <w:fldChar w:fldCharType="begin" w:fldLock="1"/>
      </w:r>
      <w:r w:rsidRPr="00DA5AE2">
        <w:instrText>ADDIN CSL_CITATION {"citationItems":[{"id":"ITEM-1","itemData":{"DOI":"10.1016/j.envexpbot.2017.12.015","ISSN":"00988472","abstract":"Despite considerable research demonstrating that biodiversity increases productivity in forests and regulates herbivory and pathogen damage, there remain gaps in our understanding of the shape, magnitude, and generality of these biodiversity-ecosystem functioning (BEF) relationships. Here, we review findings from TreeDivNet, a global network of 25 tree diversity experiments, on relationships between levels of biodiversity and (a) tree growth and survival and (b) damage to trees from pests and pathogens. Tree diversity often improved the survival and above- and belowground growth of young trees. The mechanistic bases of the diversity effects on tree growth and survival include both selection effects (i.e., an increasing impact of particular species in more species-rich communities) and complementary effects (e.g. related to resource differentiation and facilitation). Plant traits and abiotic stressors may mediate these relationships. Studies of the responses of invertebrate and vertebrate herbivory and pathogen damage have demonstrated that trees in more diverse experimental plots may experience more, less, or similar damage compared to conspecific trees in less diverse plots. Documented mechanisms producing these patterns include changes in concentration, frequency, and apparency of hosts; herbivore and pathogen diet breadth; the spatial scale of interactions; and herbivore and pathogen regulation by natural enemies. Our review of findings from TreeDivNet indicates that tree diversity experiments are extending BEF research across systems and scales, complementing previous BEF work in grasslands by providing opportunities to use remote sensing and spectral approaches to study BEF dynamics, integrate belowground and aboveground approaches, and trace the consequences of tree physiology for ecosystem functioning. This extension of BEF research into tree-dominated systems is improving ecologists’ capacity to understand the mechanistic bases behind BEF relationships. Tree diversity experiments also present opportunities for novel research. Since experimental tree diversity plantations enable measurements at tree, neighbourhood and plot level, they allow for explicit consideration of temporal and spatial scales in BEF dynamics. Presently, most TreeDivNet experiments have run for less than ten years. Given the longevity of trees, exciting results on BEF relationships are expected in the future.","author":[{"dropping-particle":"","family":"Grossman","given":"Jake J.","non-dropping-particle":"","parse-names":false,"suffix":""},{"dropping-particle":"","family":"Vanhellemont","given":"Margot","non-dropping-particle":"","parse-names":false,"suffix":""},{"dropping-particle":"","family":"Barsoum","given":"Nadia","non-dropping-particle":"","parse-names":false,"suffix":""},{"dropping-particle":"","family":"Bauhus","given":"Jürgen","non-dropping-particle":"","parse-names":false,"suffix":""},{"dropping-particle":"","family":"Bruelheide","given":"Helge","non-dropping-particle":"","parse-names":false,"suffix":""},{"dropping-particle":"","family":"Castagneyrol","given":"Bastien","non-dropping-particle":"","parse-names":false,"suffix":""},{"dropping-particle":"","family":"Cavender-Bares","given":"Jeannine","non-dropping-particle":"","parse-names":false,"suffix":""},{"dropping-particle":"","family":"Eisenhauer","given":"Nico","non-dropping-particle":"","parse-names":false,"suffix":""},{"dropping-particle":"","family":"Ferlian","given":"Olga","non-dropping-particle":"","parse-names":false,"suffix":""},{"dropping-particle":"","family":"Gravel","given":"Dominique","non-dropping-particle":"","parse-names":false,"suffix":""},{"dropping-particle":"","family":"Hector","given":"Andy","non-dropping-particle":"","parse-names":false,"suffix":""},{"dropping-particle":"","family":"Jactel","given":"Hervé","non-dropping-particle":"","parse-names":false,"suffix":""},{"dropping-particle":"","family":"Kreft","given":"Holger","non-dropping-particle":"","parse-names":false,"suffix":""},{"dropping-particle":"","family":"Mereu","given":"Simone","non-dropping-particle":"","parse-names":false,"suffix":""},{"dropping-particle":"","family":"Messier","given":"Christian","non-dropping-particle":"","parse-names":false,"suffix":""},{"dropping-particle":"","family":"Muys","given":"Bart","non-dropping-particle":"","parse-names":false,"suffix":""},{"dropping-particle":"","family":"Nock","given":"Charles","non-dropping-particle":"","parse-names":false,"suffix":""},{"dropping-particle":"","family":"Paquette","given":"Alain","non-dropping-particle":"","parse-names":false,"suffix":""},{"dropping-particle":"","family":"Parker","given":"John","non-dropping-particle":"","parse-names":false,"suffix":""},{"dropping-particle":"","family":"Perring","given":"Michael P.","non-dropping-particle":"","parse-names":false,"suffix":""},{"dropping-particle":"","family":"Ponette","given":"Quentin","non-dropping-particle":"","parse-names":false,"suffix":""},{"dropping-particle":"","family":"Reich","given":"Peter B.","non-dropping-particle":"","parse-names":false,"suffix":""},{"dropping-particle":"","family":"Schuldt","given":"Andreas","non-dropping-particle":"","parse-names":false,"suffix":""},{"dropping-particle":"","family":"Staab","given":"Michael","non-dropping-particle":"","parse-names":false,"suffix":""},{"dropping-particle":"","family":"Weih","given":"Martin","non-dropping-particle":"","parse-names":false,"suffix":""},{"dropping-particle":"","family":"Zemp","given":"Delphine Clara","non-dropping-particle":"","parse-names":false,"suffix":""},{"dropping-particle":"","family":"Scherer-Lorenzen","given":"Michael","non-dropping-particle":"","parse-names":false,"suffix":""},{"dropping-particle":"","family":"Verheyen","given":"Kris","non-dropping-particle":"","parse-names":false,"suffix":""}],"container-title":"Environmental and Experimental Botany","id":"ITEM-1","issue":"December 2017","issued":{"date-parts":[["2018"]]},"page":"68-89","publisher":"Elsevier","title":"Synthesis and future research directions linking tree diversity to growth, survival, and damage in a global network of tree diversity experiments","type":"article-journal","volume":"152"},"uris":["http://www.mendeley.com/documents/?uuid=b70ce357-5239-4394-b74c-6046baea741c"]}],"mendeley":{"formattedCitation":"(Grossman et al., 2018)","plainTextFormattedCitation":"(Grossman et al., 2018)","previouslyFormattedCitation":"(Grossman et al., 2018)"},"properties":{"noteIndex":0},"schema":"https://github.com/citation-style-language/schema/raw/master/csl-citation.json"}</w:instrText>
      </w:r>
      <w:r w:rsidRPr="00DA5AE2">
        <w:fldChar w:fldCharType="separate"/>
      </w:r>
      <w:bookmarkStart w:id="55" w:name="Bookmark52"/>
      <w:r w:rsidRPr="00DA5AE2">
        <w:rPr>
          <w:noProof/>
        </w:rPr>
        <w:t>(Grossman et al., 2018)</w:t>
      </w:r>
      <w:r w:rsidRPr="00DA5AE2">
        <w:fldChar w:fldCharType="end"/>
      </w:r>
      <w:bookmarkEnd w:id="55"/>
      <w:r w:rsidR="00260488" w:rsidRPr="00DA5AE2">
        <w:t xml:space="preserve">. Because of this, </w:t>
      </w:r>
      <w:r w:rsidR="007D4DDD" w:rsidRPr="00DA5AE2">
        <w:t>experimental</w:t>
      </w:r>
      <w:r w:rsidR="00F6291A" w:rsidRPr="00DA5AE2">
        <w:t xml:space="preserve"> site managers </w:t>
      </w:r>
      <w:r w:rsidRPr="00DA5AE2">
        <w:t>may invest more in management (</w:t>
      </w:r>
      <w:proofErr w:type="gramStart"/>
      <w:r w:rsidRPr="00DA5AE2">
        <w:t>e.g.</w:t>
      </w:r>
      <w:proofErr w:type="gramEnd"/>
      <w:r w:rsidRPr="00DA5AE2">
        <w:t xml:space="preserve"> replanting </w:t>
      </w:r>
      <w:r w:rsidR="00427D18" w:rsidRPr="00DA5AE2">
        <w:t xml:space="preserve">or weed and pest control </w:t>
      </w:r>
      <w:r w:rsidRPr="00DA5AE2">
        <w:t xml:space="preserve">in the first year) and careful species selection which could boost mean survival rates compared to </w:t>
      </w:r>
      <w:r w:rsidR="00427D18" w:rsidRPr="00DA5AE2">
        <w:t>commercial plantation</w:t>
      </w:r>
      <w:r w:rsidRPr="00DA5AE2">
        <w:t xml:space="preserve"> forests. In addition, densities in the experiments range from high to </w:t>
      </w:r>
      <w:r w:rsidR="00524CEB" w:rsidRPr="00DA5AE2">
        <w:t>hasten</w:t>
      </w:r>
      <w:r w:rsidRPr="00DA5AE2">
        <w:t xml:space="preserve"> interactions between </w:t>
      </w:r>
      <w:r w:rsidR="00524CEB" w:rsidRPr="00DA5AE2">
        <w:t>trees</w:t>
      </w:r>
      <w:r w:rsidRPr="00DA5AE2">
        <w:t xml:space="preserve"> </w:t>
      </w:r>
      <w:r w:rsidRPr="00DA5AE2">
        <w:fldChar w:fldCharType="begin" w:fldLock="1"/>
      </w:r>
      <w:r w:rsidRPr="00DA5AE2">
        <w:instrText>ADDIN CSL_CITATION {"citationItems":[{"id":"ITEM-1","itemData":{"DOI":"10.1007/s00442-013-2815-4","ISSN":"00298549","PMID":"24241640","abstract":"Increasing concern about loss of biodiversity and its effects on ecosystem functioning has triggered a series of manipulative experiments worldwide, which have demonstrated a general trend for ecosystem functioning to increase with diversity. General mechanisms proposed to explain diversity effects include complementary resource use and invoke a key role for species' functional traits. The actual mechanisms by which complementary resource use occurs remain, however, poorly understood, as well as whether they apply to tree-dominated ecosystems. Here we present an experimental approach offering multiple innovative aspects to the field of biodiversity-ecosystem functioning (BEF) research. The International Diversity Experiment Network with Trees (IDENT) allows research to be conducted at several hierarchical levels within individuals, neighborhoods, and communities. The network investigates questions related to intraspecific trait variation, complementarity, and environmental stress. The goal of IDENT is to identify some of the mechanisms through which individuals and species interact to promote coexistence and the complementary use of resources. IDENT includes several implemented and planned sites in North America and Europe, and uses a replicated design of high-density tree plots of fixed species-richness levels varying in functional diversity (FD). The design reduces the space and time needed for trees to interact allowing a thorough set of mixtures varying over different diversity gradients (specific, functional, phylogenetic) and environmental conditions (e.g., water stress) to be tested in the field. The intention of this paper is to share the experience in designing FD-focused BEF experiments with trees, to favor collaborations and expand the network to different conditions. © 2013 Springer-Verlag Berlin Heidelberg.","author":[{"dropping-particle":"","family":"Tobner","given":"Cornelia M.","non-dropping-particle":"","parse-names":false,"suffix":""},{"dropping-particle":"","family":"Paquette","given":"Alain","non-dropping-particle":"","parse-names":false,"suffix":""},{"dropping-particle":"","family":"Reich","given":"Peter B.","non-dropping-particle":"","parse-names":false,"suffix":""},{"dropping-particle":"","family":"Gravel","given":"Dominique","non-dropping-particle":"","parse-names":false,"suffix":""},{"dropping-particle":"","family":"Messier","given":"Christian","non-dropping-particle":"","parse-names":false,"suffix":""}],"container-title":"Oecologia","id":"ITEM-1","issue":"3","issued":{"date-parts":[["2014"]]},"page":"609-621","title":"Advancing biodiversity-ecosystem functioning science using high-density tree-based experiments over functional diversity gradients","type":"article-journal","volume":"174"},"uris":["http://www.mendeley.com/documents/?uuid=cc878704-ce3c-47ce-bb0a-e0ecdde8b535"]}],"mendeley":{"formattedCitation":"(Tobner, Paquette, Reich, Gravel, &amp; Messier, 2014)","plainTextFormattedCitation":"(Tobner, Paquette, Reich, Gravel, &amp; Messier, 2014)","previouslyFormattedCitation":"(Tobner, Paquette, Reich, Gravel, &amp; Messier, 2014)"},"properties":{"noteIndex":0},"schema":"https://github.com/citation-style-language/schema/raw/master/csl-citation.json"}</w:instrText>
      </w:r>
      <w:r w:rsidRPr="00DA5AE2">
        <w:fldChar w:fldCharType="separate"/>
      </w:r>
      <w:bookmarkStart w:id="56" w:name="Bookmark53"/>
      <w:r w:rsidRPr="00DA5AE2">
        <w:rPr>
          <w:noProof/>
        </w:rPr>
        <w:t>(Tobner, Paquette, Reich, Gravel, &amp; Messier, 2014)</w:t>
      </w:r>
      <w:r w:rsidRPr="00DA5AE2">
        <w:fldChar w:fldCharType="end"/>
      </w:r>
      <w:bookmarkEnd w:id="56"/>
      <w:r w:rsidRPr="00DA5AE2">
        <w:t xml:space="preserve"> to intermediately dense to reflect local silvicultural practice </w:t>
      </w:r>
      <w:r w:rsidRPr="00DA5AE2">
        <w:fldChar w:fldCharType="begin" w:fldLock="1"/>
      </w:r>
      <w:r w:rsidRPr="00DA5AE2">
        <w:instrText>ADDIN CSL_CITATION {"citationItems":[{"id":"ITEM-1","itemData":{"DOI":"10.5091/plecevo.2013.803","ISSN":"20323913","abstract":"Context - During the last two decades, functional biodiversity research has provided strong support for the hypothesis that more biodiverse ecosystems have the potential to deliver more and better services. However, most empirical support for this hypothesis comes from simple structured communities that are relatively easy to manipulate. The impact of forest biodiversity on forest ecosystem functioning has been far less studied. Experiment design - In this paper, we present the recently established, large-scale FORBIO experiment (FORest BIOdiversity and Ecosystem Functioning), specifically designed to test the effects of tree species diversity on forest ecosystem functioning. FORBIO's design matches with that of the few other tree diversity experiments worldwide, but at the same time, the FORBIO experiment is unique as it consists of a similar experimental set-up at three sites in Belgium (Zedelgem, Hechtel-Eksel and Gedinne) with contrasting edaphic and climatological characteristics. This design will help to provide answers to one of the most interesting unresolved questions in functional biodiversity research, notably whether the effects of complementarity on ecosystem functioning decrease in less stressful and more productive environments. At each site, FORBIO consists of 41 to 44 plots (127 plots in total) planted with monocultures and mixtures up to four species, selected from a pool of five site-adapted, functionally different tree species. When allocating the treatments to the plots, we maximally avoided any possible covariation between environmental factors. Monitoring of ecosystem functioning already started at the Zedelgem and Gedinne sites and will start soon in Hechtel-Eksel. Multiple processes are being measured and as the trees grow older, we plan to add even more processes. Expected results - Not only basic science, but also forest management will benefit from the results coming from the FORBIO experiment, as FORBIO is, for instance, also a test case for uncommon, not well-known tree species mixtures. To conclude, FORBIO is an important ecosystem experiment that has the potential to deliver badly needed insights into the multiple relationships between biodiversity and ecosystem functioning, which will be valuable for both science and practice. © 2013 National Botanic Garden of Belgium and Royal Botanical Society of Belgium.","author":[{"dropping-particle":"","family":"Verheyen","given":"Kris","non-dropping-particle":"","parse-names":false,"suffix":""},{"dropping-particle":"","family":"Ceunen","given":"Kris","non-dropping-particle":"","parse-names":false,"suffix":""},{"dropping-particle":"","family":"Ampoorter","given":"Evy","non-dropping-particle":"","parse-names":false,"suffix":""},{"dropping-particle":"","family":"Baeten","given":"Lander","non-dropping-particle":"","parse-names":false,"suffix":""},{"dropping-particle":"","family":"Bosman","given":"Bernard","non-dropping-particle":"","parse-names":false,"suffix":""},{"dropping-particle":"","family":"Branquart","given":"Etienne","non-dropping-particle":"","parse-names":false,"suffix":""},{"dropping-particle":"","family":"Carnol","given":"Monique","non-dropping-particle":"","parse-names":false,"suffix":""},{"dropping-particle":"","family":"Wandeler","given":"Hans","non-dropping-particle":"De","parse-names":false,"suffix":""},{"dropping-particle":"","family":"Grégoire","given":"Jean Claude","non-dropping-particle":"","parse-names":false,"suffix":""},{"dropping-particle":"","family":"Lhoir","given":"Pierre","non-dropping-particle":"","parse-names":false,"suffix":""},{"dropping-particle":"","family":"Muys","given":"Bart","non-dropping-particle":"","parse-names":false,"suffix":""},{"dropping-particle":"","family":"Setiawan","given":"Nuri Nurlaila","non-dropping-particle":"","parse-names":false,"suffix":""},{"dropping-particle":"","family":"Vanhellemont","given":"Margot","non-dropping-particle":"","parse-names":false,"suffix":""},{"dropping-particle":"","family":"Ponette","given":"Quentin","non-dropping-particle":"","parse-names":false,"suffix":""}],"container-title":"Plant Ecology and Evolution","id":"ITEM-1","issue":"1","issued":{"date-parts":[["2013"]]},"page":"26-35","title":"Assessment of the functional role of tree diversity: The multi-site FORBIO experiment","type":"article-journal","volume":"146"},"uris":["http://www.mendeley.com/documents/?uuid=60d20250-963d-4c7c-aaab-b36bbb89ab73"]}],"mendeley":{"formattedCitation":"(Verheyen et al., 2013)","plainTextFormattedCitation":"(Verheyen et al., 2013)","previouslyFormattedCitation":"(Verheyen et al., 2013)"},"properties":{"noteIndex":0},"schema":"https://github.com/citation-style-language/schema/raw/master/csl-citation.json"}</w:instrText>
      </w:r>
      <w:r w:rsidRPr="00DA5AE2">
        <w:fldChar w:fldCharType="separate"/>
      </w:r>
      <w:bookmarkStart w:id="57" w:name="Bookmark54"/>
      <w:r w:rsidRPr="00DA5AE2">
        <w:rPr>
          <w:noProof/>
        </w:rPr>
        <w:t>(Verheyen et al., 2013)</w:t>
      </w:r>
      <w:r w:rsidRPr="00DA5AE2">
        <w:fldChar w:fldCharType="end"/>
      </w:r>
      <w:bookmarkEnd w:id="57"/>
      <w:r w:rsidRPr="00DA5AE2">
        <w:t xml:space="preserve">, which may explain the negative density effect that we found in </w:t>
      </w:r>
      <w:r w:rsidR="00F6291A" w:rsidRPr="00DA5AE2">
        <w:t>our statistical analysis</w:t>
      </w:r>
      <w:r w:rsidRPr="00DA5AE2">
        <w:t xml:space="preserve">. Nonetheless, such experiments </w:t>
      </w:r>
      <w:r w:rsidR="007979FA" w:rsidRPr="00DA5AE2">
        <w:t>are needed</w:t>
      </w:r>
      <w:r w:rsidR="0036260D" w:rsidRPr="00DA5AE2">
        <w:t xml:space="preserve"> </w:t>
      </w:r>
      <w:r w:rsidRPr="00DA5AE2">
        <w:t xml:space="preserve">to accurately </w:t>
      </w:r>
      <w:r w:rsidR="0036260D" w:rsidRPr="00DA5AE2">
        <w:t xml:space="preserve">quantify </w:t>
      </w:r>
      <w:r w:rsidRPr="00DA5AE2">
        <w:t xml:space="preserve">effects of tree diversity and drought on </w:t>
      </w:r>
      <w:r w:rsidR="00BA6284" w:rsidRPr="00DA5AE2">
        <w:t xml:space="preserve">variability in survival with pools of functionally dissimilar species </w:t>
      </w:r>
      <w:r w:rsidRPr="00DA5AE2">
        <w:fldChar w:fldCharType="begin" w:fldLock="1"/>
      </w:r>
      <w:r w:rsidRPr="00DA5AE2">
        <w:instrText>ADDIN CSL_CITATION {"citationItems":[{"id":"ITEM-1","itemData":{"ISBN":"1315368250","author":[{"dropping-particle":"","family":"Nock","given":"Charles A","non-dropping-particle":"","parse-names":false,"suffix":""},{"dropping-particle":"","family":"Baeten","given":"Lander","non-dropping-particle":"","parse-names":false,"suffix":""},{"dropping-particle":"","family":"Hector","given":"Andy","non-dropping-particle":"","parse-names":false,"suffix":""},{"dropping-particle":"","family":"Verheyen","given":"Kris","non-dropping-particle":"","parse-names":false,"suffix":""},{"dropping-particle":"","family":"Weisser","given":"Wolfgang W","non-dropping-particle":"","parse-names":false,"suffix":""},{"dropping-particle":"","family":"Scherer-Lorenzen","given":"Michael","non-dropping-particle":"","parse-names":false,"suffix":""}],"container-title":"Terrestrial Ecosystem Research Infrastructures","id":"ITEM-1","issued":{"date-parts":[["2017"]]},"page":"119-136","publisher":"CRC Press","title":"Quantifying relationships between biodiversity and ecosystem function with experiments","type":"chapter"},"uris":["http://www.mendeley.com/documents/?uuid=cb8e902b-9cba-4547-bc4b-b27d4dca9f0e"]},{"id":"ITEM-2","itemData":{"DOI":"10.1016/j.ppees.2013.07.002","ISSN":"14338319","abstract":"One of the current advances in functional biodiversity research is the move away from short-lived test systems towards the exploration of diversity-ecosystem functioning relationships in structurally more complex ecosystems. In forests, assumptions about the functional significance of tree species diversity have only recently produced a new generation of research on ecosystem processes and services. Novel experimental designs have now replaced traditional forestry trials, but these comparatively young experimental plots suffer from specific difficulties that are mainly related to the tree size and longevity. Tree species diversity experiments therefore need to be complemented with comparative observational studies in existing forests. Here we present the design and implementation of a new network of forest plots along tree species diversity gradients in six major European forest types: the FunDivEUROPE Exploratory Platform. Based on a review of the deficiencies of existing observational approaches and of unresolved research questions and hypotheses, we discuss the fundamental criteria that shaped the design of our platform. Key features include the extent of the species diversity gradient with mixtures up to five species, strict avoidance of a dilution gradient, special attention to community evenness and minimal covariation with other environmental factors. The new European research platform permits the most comprehensive assessment of tree species diversity effects on forest ecosystem functioning to date since it offers a common set of research plots to groups of researchers from very different disciplines and uses the same methodological approach in contrasting forest types along an extensive environmental gradient. © 2013 Perspectives in Plant Ecology, Evolution and Systematics.","author":[{"dropping-particle":"","family":"Baeten","given":"Lander","non-dropping-particle":"","parse-names":false,"suffix":""},{"dropping-particle":"","family":"Verheyen","given":"Kris","non-dropping-particle":"","parse-names":false,"suffix":""},{"dropping-particle":"","family":"Wirth","given":"Christian","non-dropping-particle":"","parse-names":false,"suffix":""},{"dropping-particle":"","family":"Bruelheide","given":"Helge","non-dropping-particle":"","parse-names":false,"suffix":""},{"dropping-particle":"","family":"Bussotti","given":"Filippo","non-dropping-particle":"","parse-names":false,"suffix":""},{"dropping-particle":"","family":"Finér","given":"Leena","non-dropping-particle":"","parse-names":false,"suffix":""},{"dropping-particle":"","family":"Jaroszewicz","given":"Bogdan","non-dropping-particle":"","parse-names":false,"suffix":""},{"dropping-particle":"","family":"Selvi","given":"Federico","non-dropping-particle":"","parse-names":false,"suffix":""},{"dropping-particle":"","family":"Valladares","given":"Fernando","non-dropping-particle":"","parse-names":false,"suffix":""},{"dropping-particle":"","family":"Allan","given":"Eric","non-dropping-particle":"","parse-names":false,"suffix":""},{"dropping-particle":"","family":"Ampoorter","given":"Evy","non-dropping-particle":"","parse-names":false,"suffix":""},{"dropping-particle":"","family":"Auge","given":"Harald","non-dropping-particle":"","parse-names":false,"suffix":""},{"dropping-particle":"","family":"Avǎcǎriei","given":"Daniel","non-dropping-particle":"","parse-names":false,"suffix":""},{"dropping-particle":"","family":"Barbaro","given":"Luc","non-dropping-particle":"","parse-names":false,"suffix":""},{"dropping-particle":"","family":"Bǎrnoaiea","given":"Ionu","non-dropping-particle":"","parse-names":false,"suffix":""},{"dropping-particle":"","family":"Bastias","given":"Cristina C.","non-dropping-particle":"","parse-names":false,"suffix":""},{"dropping-particle":"","family":"Bauhus","given":"Jürgen","non-dropping-particle":"","parse-names":false,"suffix":""},{"dropping-particle":"","family":"Beinhoff","given":"Carsten","non-dropping-particle":"","parse-names":false,"suffix":""},{"dropping-particle":"","family":"Benavides","given":"Raquel","non-dropping-particle":"","parse-names":false,"suffix":""},{"dropping-particle":"","family":"Benneter","given":"Adam","non-dropping-particle":"","parse-names":false,"suffix":""},{"dropping-particle":"","family":"Berger","given":"Sigrid","non-dropping-particle":"","parse-names":false,"suffix":""},{"dropping-particle":"","family":"Berthold","given":"Felix","non-dropping-particle":"","parse-names":false,"suffix":""},{"dropping-particle":"","family":"Boberg","given":"Johanna","non-dropping-particle":"","parse-names":false,"suffix":""},{"dropping-particle":"","family":"Bonal","given":"Damien","non-dropping-particle":"","parse-names":false,"suffix":""},{"dropping-particle":"","family":"Brüggemann","given":"Wolfgang","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hećko","given":"Ewa","non-dropping-particle":"","parse-names":false,"suffix":""},{"dropping-particle":"","family":"Coomes","given":"David","non-dropping-particle":"","parse-names":false,"suffix":""},{"dropping-particle":"","family":"Coppi","given":"Andrea","non-dropping-particle":"","parse-names":false,"suffix":""},{"dropping-particle":"","family":"Dalmaris","given":"Eleftheria","non-dropping-particle":"","parse-names":false,"suffix":""},{"dropping-particle":"","family":"Dǎnilǎ","given":"Gabriel","non-dropping-particle":"","parse-names":false,"suffix":""},{"dropping-particle":"","family":"Dawud","given":"Seid M.","non-dropping-particle":"","parse-names":false,"suffix":""},{"dropping-particle":"","family":"Vries","given":"Wim","non-dropping-particle":"de","parse-names":false,"suffix":""},{"dropping-particle":"","family":"Wandeler","given":"Hans","non-dropping-particle":"De","parse-names":false,"suffix":""},{"dropping-particle":"","family":"Deconchat","given":"Marc","non-dropping-particle":"","parse-names":false,"suffix":""},{"dropping-particle":"","family":"Domisch","given":"Timo","non-dropping-particle":"","parse-names":false,"suffix":""},{"dropping-particle":"","family":"Duduman","given":"Gabriel","non-dropping-particle":"","parse-names":false,"suffix":""},{"dropping-particle":"","family":"Fischer","given":"Markus","non-dropping-particle":"","parse-names":false,"suffix":""},{"dropping-particle":"","family":"Fotelli","given":"Mariangela","non-dropping-particle":"","parse-names":false,"suffix":""},{"dropping-particle":"","family":"Gessler","given":"Arthur","non-dropping-particle":"","parse-names":false,"suffix":""},{"dropping-particle":"","family":"Gimeno","given":"Teresa E.","non-dropping-particle":"","parse-names":false,"suffix":""},{"dropping-particle":"","family":"Granier","given":"André","non-dropping-particle":"","parse-names":false,"suffix":""},{"dropping-particle":"","family":"Grossiord","given":"Charlotte","non-dropping-particle":"","parse-names":false,"suffix":""},{"dropping-particle":"","family":"Guyot","given":"Virginie","non-dropping-particle":"","parse-names":false,"suffix":""},{"dropping-particle":"","family":"Hantsch","given":"Lydia","non-dropping-particle":"","parse-names":false,"suffix":""},{"dropping-particle":"","family":"Hättenschwiler","given":"Stephan","non-dropping-particle":"","parse-names":false,"suffix":""},{"dropping-particle":"","family":"Hector","given":"Andy","non-dropping-particle":"","parse-names":false,"suffix":""},{"dropping-particle":"","family":"Hermy","given":"Martin","non-dropping-particle":"","parse-names":false,"suffix":""},{"dropping-particle":"","family":"Holland","given":"Vera","non-dropping-particle":"","parse-names":false,"suffix":""},{"dropping-particle":"","family":"Jactel","given":"Hervé","non-dropping-particle":"","parse-names":false,"suffix":""},{"dropping-particle":"","family":"Joly","given":"François Xavier","non-dropping-particle":"","parse-names":false,"suffix":""},{"dropping-particle":"","family":"Jucker","given":"Tommaso","non-dropping-particle":"","parse-names":false,"suffix":""},{"dropping-particle":"","family":"Kolb","given":"Simon","non-dropping-particle":"","parse-names":false,"suffix":""},{"dropping-particle":"","family":"Koricheva","given":"Julia","non-dropping-particle":"","parse-names":false,"suffix":""},{"dropping-particle":"","family":"Lexer","given":"Manfred J.","non-dropping-particle":"","parse-names":false,"suffix":""},{"dropping-particle":"","family":"Liebergesell","given":"Mario","non-dropping-particle":"","parse-names":false,"suffix":""},{"dropping-particle":"","family":"Milligan","given":"Harriet","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Nichiforel","given":"Liviu","non-dropping-particle":"","parse-names":false,"suffix":""},{"dropping-particle":"","family":"Pollastrini","given":"Martina","non-dropping-particle":"","parse-names":false,"suffix":""},{"dropping-particle":"","family":"Proulx","given":"Raphael","non-dropping-particle":"","parse-names":false,"suffix":""},{"dropping-particle":"","family":"Rabasa","given":"Sonia","non-dropping-particle":"","parse-names":false,"suffix":""},{"dropping-particle":"","family":"Radoglou","given":"Kalliopi","non-dropping-particle":"","parse-names":false,"suffix":""},{"dropping-particle":"","family":"Ratcliffe","given":"Sophia","non-dropping-particle":"","parse-names":false,"suffix":""},{"dropping-particle":"","family":"Raulund-Rasmussen","given":"Karsten","non-dropping-particle":"","parse-names":false,"suffix":""},{"dropping-particle":"","family":"Seiferling","given":"Ian","non-dropping-particle":"","parse-names":false,"suffix":""},{"dropping-particle":"","family":"Stenlid","given":"Jan","non-dropping-particle":"","parse-names":false,"suffix":""},{"dropping-particle":"","family":"Vesterdal","given":"Lars","non-dropping-particle":"","parse-names":false,"suffix":""},{"dropping-particle":"","family":"Wilpert","given":"Klaus","non-dropping-particle":"von","parse-names":false,"suffix":""},{"dropping-particle":"","family":"Zavala","given":"Miguel A.","non-dropping-particle":"","parse-names":false,"suffix":""},{"dropping-particle":"","family":"Zielinski","given":"Dawid","non-dropping-particle":"","parse-names":false,"suffix":""},{"dropping-particle":"","family":"Scherer-Lorenzen","given":"Michael","non-dropping-particle":"","parse-names":false,"suffix":""}],"container-title":"Perspectives in Plant Ecology, Evolution and Systematics","id":"ITEM-2","issue":"5","issued":{"date-parts":[["2013"]]},"page":"281-291","title":"A novel comparative research platform designed to determine the functional significance of tree species diversity in European forests","type":"article-journal","volume":"15"},"uris":["http://www.mendeley.com/documents/?uuid=315b44d1-019a-4805-a6fd-3e3d35e1a7b6"]}],"mendeley":{"formattedCitation":"(Baeten et al., 2013; Nock et al., 2017)","plainTextFormattedCitation":"(Baeten et al., 2013; Nock et al., 2017)","previouslyFormattedCitation":"(Baeten et al., 2013; Nock et al., 2017)"},"properties":{"noteIndex":0},"schema":"https://github.com/citation-style-language/schema/raw/master/csl-citation.json"}</w:instrText>
      </w:r>
      <w:r w:rsidRPr="00DA5AE2">
        <w:fldChar w:fldCharType="separate"/>
      </w:r>
      <w:bookmarkStart w:id="58" w:name="Bookmark55"/>
      <w:r w:rsidRPr="00DA5AE2">
        <w:rPr>
          <w:noProof/>
        </w:rPr>
        <w:t>(Baeten et al., 2013; Nock et al., 2017)</w:t>
      </w:r>
      <w:r w:rsidRPr="00DA5AE2">
        <w:fldChar w:fldCharType="end"/>
      </w:r>
      <w:bookmarkEnd w:id="58"/>
      <w:r w:rsidRPr="00DA5AE2">
        <w:t xml:space="preserve">. </w:t>
      </w:r>
    </w:p>
    <w:p w14:paraId="4ECDE09A" w14:textId="38FB1E68" w:rsidR="00B26A2C" w:rsidRPr="00DA5AE2" w:rsidRDefault="007F6878">
      <w:pPr>
        <w:jc w:val="both"/>
      </w:pPr>
      <w:r w:rsidRPr="00DA5AE2">
        <w:t xml:space="preserve">While tree species richness effects on mean survival were </w:t>
      </w:r>
      <w:r w:rsidR="00FE3AEE" w:rsidRPr="00DA5AE2">
        <w:t>not observed</w:t>
      </w:r>
      <w:r w:rsidRPr="00DA5AE2">
        <w:t xml:space="preserve">, we found evidence that functional diversity increased plot-level survival, </w:t>
      </w:r>
      <w:r w:rsidR="00FE3AEE" w:rsidRPr="00DA5AE2">
        <w:t xml:space="preserve">suggesting </w:t>
      </w:r>
      <w:r w:rsidRPr="00DA5AE2">
        <w:t>that complementary resource uptake</w:t>
      </w:r>
      <w:r w:rsidR="00FE3AEE" w:rsidRPr="00DA5AE2">
        <w:t xml:space="preserve"> and/or </w:t>
      </w:r>
      <w:r w:rsidR="00613A29" w:rsidRPr="00DA5AE2">
        <w:t>facilitation occurred</w:t>
      </w:r>
      <w:r w:rsidRPr="00DA5AE2">
        <w:t xml:space="preserve"> under drought</w:t>
      </w:r>
      <w:r w:rsidR="00971C76" w:rsidRPr="00DA5AE2">
        <w:t xml:space="preserve"> at an early age</w:t>
      </w:r>
      <w:r w:rsidRPr="00DA5AE2">
        <w:t xml:space="preserve"> </w:t>
      </w:r>
      <w:r w:rsidRPr="00DA5AE2">
        <w:fldChar w:fldCharType="begin" w:fldLock="1"/>
      </w:r>
      <w:r w:rsidRPr="00DA5AE2">
        <w:instrText>ADDIN CSL_CITATION {"citationItems":[{"id":"ITEM-1","itemData":{"DOI":"10.1111/ele.12786","ISSN":"14610248","PMID":"28616871","abstract":"Studies on tree communities have demonstrated that species diversity can enhance forest productivity, but the driving mechanisms at the local neighbourhood level remain poorly understood. Here, we use data from a large-scale biodiversity experiment with 24 subtropical tree species to show that neighbourhood tree species richness generally promotes individual tree productivity. We found that the underlying mechanisms depend on a focal tree's functional traits: For species with a conservative resource-use strategy diversity effects were brought about by facilitation, and for species with acquisitive traits by competitive reduction. Moreover, positive diversity effects were strongest under low competition intensity (quantified as the total basal area of neighbours) for acquisitive species, and under high competition intensity for conservative species. Our findings demonstrate that net biodiversity effects in tree communities can vary over small spatial scales, emphasising the need to consider variation in local neighbourhood interactions to better understand effects at the community level.","author":[{"dropping-particle":"","family":"Fichtner","given":"Andreas","non-dropping-particle":"","parse-names":false,"suffix":""},{"dropping-particle":"","family":"Härdtle","given":"Werner","non-dropping-particle":"","parse-names":false,"suffix":""},{"dropping-particle":"","family":"Li","given":"Ying","non-dropping-particle":"","parse-names":false,"suffix":""},{"dropping-particle":"","family":"Bruelheide","given":"Helge","non-dropping-particle":"","parse-names":false,"suffix":""},{"dropping-particle":"","family":"Kunz","given":"Matthias","non-dropping-particle":"","parse-names":false,"suffix":""},{"dropping-particle":"","family":"Oheimb","given":"Goddert","non-dropping-particle":"von","parse-names":false,"suffix":""}],"container-title":"Ecology Letters","id":"ITEM-1","issue":"7","issued":{"date-parts":[["2017"]]},"page":"892-900","title":"From competition to facilitation: how tree species respond to neighbourhood diversity","type":"article-journal","volume":"20"},"uris":["http://www.mendeley.com/documents/?uuid=d34fb417-e806-40d4-9a5f-4d62f0521965"]},{"id":"ITEM-2","itemData":{"DOI":"10.1371/journal.pone.0185934","ISBN":"1111111111","ISSN":"19326203","PMID":"29023553","abstract":"The potential benefits of planting trees have generated significant interest with respect to sequestering carbon and restoring other forest based ecosystem services. Reliable estimates of carbon stocks are pivotal for understanding the global carbon balance and for promoting initiatives to mitigate CO2 emissions through forest management. There are numerous studies employing allometric regression models that convert inventory into aboveground biomass (AGB) and carbon (C). Yet the majority of allometric regression models do not consider the root system nor do these equations provide detail on the architecture and shape of different species. The root system is a vital piece toward understanding the hidden form and function roots play in carbon accumulation, nutrient and plant water uptake, and groundwater infiltration. Work that estimates C in forests as well as models that are used to better understand the hydrologic function of trees need better characterization of tree roots. We harvested 40 trees of six different species, including their roots down to 2 mm in diameter and created species-specific and multi-species models to calculate aboveground (AGB), coarse root belowground biomass (BGB), and total biomass (TB). We also explore the relationship between crown structure and root structure. We found that BGB contributes ~27.6% of a tree’s TB, lateral roots extend over 1.25 times the distance of crown extent, root allocation patterns varied among species, and that AGB is a strong predictor of TB. These findings highlight the potential importance of including the root system in C estimates and lend important insights into the function roots play in water cycling.","author":[{"dropping-particle":"","family":"Sinacore","given":"Katherine","non-dropping-particle":"","parse-names":false,"suffix":""},{"dropping-particle":"","family":"Hall","given":"Jefferson Scott","non-dropping-particle":"","parse-names":false,"suffix":""},{"dropping-particle":"","family":"Potvin","given":"Catherine","non-dropping-particle":"","parse-names":false,"suffix":""},{"dropping-particle":"","family":"Royo","given":"Alejandro A.","non-dropping-particle":"","parse-names":false,"suffix":""},{"dropping-particle":"","family":"Ducey","given":"Mark J.","non-dropping-particle":"","parse-names":false,"suffix":""},{"dropping-particle":"","family":"Ashton","given":"Mark S.","non-dropping-particle":"","parse-names":false,"suffix":""}],"container-title":"PLoS ONE","id":"ITEM-2","issue":"10","issued":{"date-parts":[["2017"]]},"page":"1-22","title":"Unearthing the hidden world of roots: Root biomass and architecture differ among species within the same guild","type":"article-journal","volume":"12"},"uris":["http://www.mendeley.com/documents/?uuid=82b94454-9311-4421-b4dd-73b716d74669"]}],"mendeley":{"formattedCitation":"(Fichtner et al., 2017; Sinacore et al., 2017)","manualFormatting":"(Fichtner et al., 2017; Sinacore et al., 2017)","plainTextFormattedCitation":"(Fichtner et al., 2017; Sinacore et al., 2017)","previouslyFormattedCitation":"(Fichtner et al., 2017; Sinacore et al., 2017)"},"properties":{"noteIndex":0},"schema":"https://github.com/citation-style-language/schema/raw/master/csl-citation.json"}</w:instrText>
      </w:r>
      <w:r w:rsidRPr="00DA5AE2">
        <w:fldChar w:fldCharType="separate"/>
      </w:r>
      <w:bookmarkStart w:id="59" w:name="Bookmark56"/>
      <w:r w:rsidRPr="00DA5AE2">
        <w:rPr>
          <w:noProof/>
        </w:rPr>
        <w:t>(Fichtner et al., 2017; Sinacore et al., 2017)</w:t>
      </w:r>
      <w:r w:rsidRPr="00DA5AE2">
        <w:fldChar w:fldCharType="end"/>
      </w:r>
      <w:bookmarkEnd w:id="59"/>
      <w:r w:rsidRPr="00DA5AE2">
        <w:t xml:space="preserve">. </w:t>
      </w:r>
      <w:r w:rsidR="00E82215" w:rsidRPr="00DA5AE2">
        <w:t xml:space="preserve">Indeed, </w:t>
      </w:r>
      <w:r w:rsidR="00E82215" w:rsidRPr="00DA5AE2">
        <w:fldChar w:fldCharType="begin" w:fldLock="1"/>
      </w:r>
      <w:r w:rsidR="00A21A79" w:rsidRPr="00DA5AE2">
        <w:instrText>ADDIN CSL_CITATION {"citationItems":[{"id":"ITEM-1","itemData":{"DOI":"10.1111/1365-2745.14158","ISSN":"13652745","abstract":"There is increasing evidence that the strength of tree diversity effects on productivity varies considerably over the course of forest development. Evidence points to canopy closure and the subsequent self-thinning as key phases of forest development during which positive diversity effects emerge. A number of studies have shown that self-thinning can differ among species, and also in mixtures compared with monocultures. Yet, how diversity influences the process of canopy closure and self-thinning remains poorly understood. In this study, using 11 years of growth and mortality records from a large diversity experiment, we fitted self-thinning trajectories for 37 tree communities with equal initial densities and explored whether and how functional diversity and identity may affect these trajectories. We then examined whether the diversity effects on self-thinning were influenced by differences in growth or in mortality. We found that tree communities' functional diversity and identity strongly influence the self-thinning process. First, we observed that tree communities dominated by early successional species, and slow-growing evergreens begin self-thinning at a larger mean tree size. Second, we found that mixing species with contrasting resource-use strategies, and the dominance of deciduous, fast-growing species, reduce tree mortality rate in relation to mean tree size during self-thinning (i.e. shallower self-thinning slope). The lower rates of self-thinning in these functionally diverse communities seem to be explained by both an increase in tree growth and a reduction in density-related mortality simultaneously over time. Synthesis. Overall, this study highlights that increasing tree diversity has the potential to enhance forest productivity in the long term through a better performance during the self-thinning process when competition for resources is most intense.","author":[{"dropping-particle":"","family":"Urgoiti","given":"Jon","non-dropping-particle":"","parse-names":false,"suffix":""},{"dropping-particle":"","family":"Messier","given":"Christian","non-dropping-particle":"","parse-names":false,"suffix":""},{"dropping-particle":"","family":"Keeton","given":"William S.","non-dropping-particle":"","parse-names":false,"suffix":""},{"dropping-particle":"","family":"Belluau","given":"Michaël","non-dropping-particle":"","parse-names":false,"suffix":""},{"dropping-particle":"","family":"Paquette","given":"Alain","non-dropping-particle":"","parse-names":false,"suffix":""}],"container-title":"Journal of Ecology","id":"ITEM-1","issue":"9","issued":{"date-parts":[["2023"]]},"page":"2010-2022","title":"Functional diversity and identity influence the self-thinning process in young forest communities","type":"article-journal","volume":"111"},"uris":["http://www.mendeley.com/documents/?uuid=a6d73ee9-3ad5-40c0-ae84-d2c531a382fc"]}],"mendeley":{"formattedCitation":"(Urgoiti, Messier, Keeton, Belluau, &amp; Paquette, 2023)","manualFormatting":"Urgoiti et","plainTextFormattedCitation":"(Urgoiti, Messier, Keeton, Belluau, &amp; Paquette, 2023)","previouslyFormattedCitation":"(Urgoiti, Messier, Keeton, Belluau, &amp; Paquette, 2023)"},"properties":{"noteIndex":0},"schema":"https://github.com/citation-style-language/schema/raw/master/csl-citation.json"}</w:instrText>
      </w:r>
      <w:r w:rsidR="00E82215" w:rsidRPr="00DA5AE2">
        <w:fldChar w:fldCharType="separate"/>
      </w:r>
      <w:r w:rsidR="00E82215" w:rsidRPr="00DA5AE2">
        <w:rPr>
          <w:noProof/>
        </w:rPr>
        <w:t>Urgoiti et</w:t>
      </w:r>
      <w:r w:rsidR="00E82215" w:rsidRPr="00DA5AE2">
        <w:fldChar w:fldCharType="end"/>
      </w:r>
      <w:r w:rsidR="00E82215" w:rsidRPr="00DA5AE2">
        <w:t xml:space="preserve"> al. (2023) too have shown that the mixing of species with contrasting resource-use strategies can decrease rates of mortality (i.e. self-thinning) in a tree diversity experiment.</w:t>
      </w:r>
      <w:r w:rsidR="0005661D" w:rsidRPr="00DA5AE2">
        <w:t xml:space="preserve"> </w:t>
      </w:r>
      <w:r w:rsidR="00FF2C4D" w:rsidRPr="00DA5AE2">
        <w:t>We found that v</w:t>
      </w:r>
      <w:r w:rsidRPr="00DA5AE2">
        <w:t xml:space="preserve">ariability in survival was consistently reduced </w:t>
      </w:r>
      <w:r w:rsidR="00AB0D8E" w:rsidRPr="00DA5AE2">
        <w:t>at h</w:t>
      </w:r>
      <w:r w:rsidR="00EB193F" w:rsidRPr="00DA5AE2">
        <w:t>i</w:t>
      </w:r>
      <w:r w:rsidR="00AB0D8E" w:rsidRPr="00DA5AE2">
        <w:t>gher</w:t>
      </w:r>
      <w:r w:rsidRPr="00DA5AE2">
        <w:t xml:space="preserve"> tree species richness</w:t>
      </w:r>
      <w:r w:rsidR="00B80655" w:rsidRPr="00DA5AE2">
        <w:t xml:space="preserve"> and with functional diversity too, </w:t>
      </w:r>
      <w:r w:rsidRPr="00DA5AE2">
        <w:t xml:space="preserve">which is </w:t>
      </w:r>
      <w:r w:rsidR="00EB193F" w:rsidRPr="00DA5AE2">
        <w:t>consistent</w:t>
      </w:r>
      <w:r w:rsidRPr="00DA5AE2">
        <w:t xml:space="preserve"> with a sampling effect </w:t>
      </w:r>
      <w:r w:rsidRPr="00DA5AE2">
        <w:fldChar w:fldCharType="begin" w:fldLock="1"/>
      </w:r>
      <w:r w:rsidR="00F14052">
        <w:instrText>ADDIN CSL_CITATION {"citationItems":[{"id":"ITEM-1","itemData":{"abstract":"The impact of biodiversity loss on the functioning of ecosystems and their ability to provide ecological services has become a central issue in ecology. Several experiments have provided evidence that reduced species diversity may impair ecosystem processes such as plant biomass production1±5. The interpretation of these experiments, however, has been controversial6±12 because two types of mechanism may operate in combination6,13±15. In the `selection effect', dominance by species with particular traits affects ecosystem processes. In the `complementarity effect', resource partitioning or positive interactions lead to increased total resource use. Here we present a new approach to separate the two effects on the basis of an additive partitioning analogous to the Price equation in evolutionary genetics16±19. Applying this method to data from the pan-European BIODEPTH experiment4 reveals that the selection effect is zero on average and varies from negative to positive in different localities, depending on whether species with lower- or higher-than-average biomass dominate communities. In contrast, the complementarity effect is positive overall, supporting the hypothesis that plant diversity inØuences primary production in European grasslands through niche differentiation or facilitation.","author":[{"dropping-particle":"","family":"Loreau","given":"Michel","non-dropping-particle":"","parse-names":false,"suffix":""},{"dropping-particle":"","family":"Hector","given":"Andy","non-dropping-particle":"","parse-names":false,"suffix":""}],"container-title":"Nature","id":"ITEM-1","issue":"6842","issued":{"date-parts":[["2001"]]},"page":"72-76","title":"Partitioning selection and complementarity in biodiversity experiments","type":"article-journal","volume":"412"},"uris":["http://www.mendeley.com/documents/?uuid=1fe45cc8-bc4b-453a-b4da-25a1d1ee5b67"]},{"id":"ITEM-2","itemData":{"DOI":"10.1111/j.2007.0030-1299.15382.x","ISSN":"0030-1299","abstract":"It has been proposed that biodiversity can be important for ecosystem functioning and act as an insurance against perturbations and environmental fluctuations. To date, theoretical work supports this idea but direct experimental evidence is still to some extent ambiguous and debated. The main reason for this debate - and the lack of strong empirical support - is due to unavoidable experimentally and statistically inherent variance reduction effects. Here we present the results of an experimental study that circumvents earlier hidden treatments. By random draw without replacement, we collected 180 full-sibling batches of an amphipod from a large pool of possible parents. Assembled amphipod populations with diversity levels ranging from one to ten were exposed to either a single perturbation (nutrient enrichment) or two combined perturbations (nutrient enrichment and desiccation). The results show that the variance in the number of surviving individuals decreased with increasing diversity in the combined perturbations treatment. Predictability in population survival thus seemed to be higher in more diverse assemblages. Our results, together with a simple model suggest that variance-decreasing effects can be due to actual real world statistical sampling effects of increasing diversity.","author":[{"dropping-particle":"","family":"Gamfeldt","given":"Lars","non-dropping-particle":"","parse-names":false,"suffix":""},{"dropping-particle":"","family":"Källström","given":"Björn","non-dropping-particle":"","parse-names":false,"suffix":""}],"container-title":"Oikos","id":"ITEM-2","issue":"4","issued":{"date-parts":[["2007"]]},"page":"700-705","title":"Increasing intraspecific diversity increases predictability in population survival in the face of perturbations","type":"article-journal","volume":"116"},"uris":["http://www.mendeley.com/documents/?uuid=531fa6f1-7971-4053-8280-1f7298b29c4b"]},{"id":"ITEM-3","itemData":{"DOI":"10.1016/j.ppees.2013.07.002","ISSN":"14338319","abstract":"One of the current advances in functional biodiversity research is the move away from short-lived test systems towards the exploration of diversity-ecosystem functioning relationships in structurally more complex ecosystems. In forests, assumptions about the functional significance of tree species diversity have only recently produced a new generation of research on ecosystem processes and services. Novel experimental designs have now replaced traditional forestry trials, but these comparatively young experimental plots suffer from specific difficulties that are mainly related to the tree size and longevity. Tree species diversity experiments therefore need to be complemented with comparative observational studies in existing forests. Here we present the design and implementation of a new network of forest plots along tree species diversity gradients in six major European forest types: the FunDivEUROPE Exploratory Platform. Based on a review of the deficiencies of existing observational approaches and of unresolved research questions and hypotheses, we discuss the fundamental criteria that shaped the design of our platform. Key features include the extent of the species diversity gradient with mixtures up to five species, strict avoidance of a dilution gradient, special attention to community evenness and minimal covariation with other environmental factors. The new European research platform permits the most comprehensive assessment of tree species diversity effects on forest ecosystem functioning to date since it offers a common set of research plots to groups of researchers from very different disciplines and uses the same methodological approach in contrasting forest types along an extensive environmental gradient. © 2013 Perspectives in Plant Ecology, Evolution and Systematics.","author":[{"dropping-particle":"","family":"Baeten","given":"Lander","non-dropping-particle":"","parse-names":false,"suffix":""},{"dropping-particle":"","family":"Verheyen","given":"Kris","non-dropping-particle":"","parse-names":false,"suffix":""},{"dropping-particle":"","family":"Wirth","given":"Christian","non-dropping-particle":"","parse-names":false,"suffix":""},{"dropping-particle":"","family":"Bruelheide","given":"Helge","non-dropping-particle":"","parse-names":false,"suffix":""},{"dropping-particle":"","family":"Bussotti","given":"Filippo","non-dropping-particle":"","parse-names":false,"suffix":""},{"dropping-particle":"","family":"Finér","given":"Leena","non-dropping-particle":"","parse-names":false,"suffix":""},{"dropping-particle":"","family":"Jaroszewicz","given":"Bogdan","non-dropping-particle":"","parse-names":false,"suffix":""},{"dropping-particle":"","family":"Selvi","given":"Federico","non-dropping-particle":"","parse-names":false,"suffix":""},{"dropping-particle":"","family":"Valladares","given":"Fernando","non-dropping-particle":"","parse-names":false,"suffix":""},{"dropping-particle":"","family":"Allan","given":"Eric","non-dropping-particle":"","parse-names":false,"suffix":""},{"dropping-particle":"","family":"Ampoorter","given":"Evy"</w:instrText>
      </w:r>
      <w:r w:rsidR="00F14052">
        <w:rPr>
          <w:rFonts w:hint="eastAsia"/>
        </w:rPr>
        <w:instrText>,"non-dropping-particle":"","parse-names":false,"suffix":""},{"dropping-particle":"","family":"Auge","given":"Harald","non-dropping-particle":"","parse-names":false,"suffix":""},{"dropping-particle":"","family":"Av</w:instrText>
      </w:r>
      <w:r w:rsidR="00F14052">
        <w:rPr>
          <w:rFonts w:hint="eastAsia"/>
        </w:rPr>
        <w:instrText>ǎ</w:instrText>
      </w:r>
      <w:r w:rsidR="00F14052">
        <w:rPr>
          <w:rFonts w:hint="eastAsia"/>
        </w:rPr>
        <w:instrText>c</w:instrText>
      </w:r>
      <w:r w:rsidR="00F14052">
        <w:rPr>
          <w:rFonts w:hint="eastAsia"/>
        </w:rPr>
        <w:instrText>ǎ</w:instrText>
      </w:r>
      <w:r w:rsidR="00F14052">
        <w:rPr>
          <w:rFonts w:hint="eastAsia"/>
        </w:rPr>
        <w:instrText>riei","given":"Daniel","non-dropping-particle":"","parse-names":false,"suffix":""},{"dropping-particle":"","family":"Barbaro","given":"Luc","non-dropping-particle":"","parse-names":false,"suffix":""},{"dropping-particle":"","family":"B</w:instrText>
      </w:r>
      <w:r w:rsidR="00F14052">
        <w:rPr>
          <w:rFonts w:hint="eastAsia"/>
        </w:rPr>
        <w:instrText>ǎ</w:instrText>
      </w:r>
      <w:r w:rsidR="00F14052">
        <w:rPr>
          <w:rFonts w:hint="eastAsia"/>
        </w:rPr>
        <w:instrText>rnoaiea","given":"Ionu","non-dropping-particle":"","parse</w:instrText>
      </w:r>
      <w:r w:rsidR="00F14052">
        <w:instrText>-names":false,"suffix":""},{"dropping-particle":"","family":"Bastias","given":"Cristina C.","non-dropping-particle":"","parse-names":false,"suffix":""},{"dropping-particle":"","family":"Bauhus","given":"Jürgen","non-dropping-particle":"","parse-names":false,"suffix":""},{"dropping-particle":"","family":"Beinhoff","given":"Carsten","non-dropping-particle":"","parse-names":false,"suffix":""},{"dropping-particle":"","family":"Benavides","given":"Raquel","non-dropping-particle":"","parse-names":false,"suffix":""},{"dropping-particle":"","family":"Benneter","given":"Adam","non-dropping-particle":"","parse-names":false,"suffix":""},{"dropping-particle":"","family":"Berger","given":"Sigrid","non-dropping-particle":"","parse-names":false,"suffix":""},{"dropping-particle":"","family":"Berthold","given":"Felix","non-dropping-particle":"","parse-names":false,"suffix":""},{"dropping-particle":"","family":"Boberg","given":"Johanna","non-dropping-particle":"","parse-names":false,"suffix":""},{"dropping-particle":"","family":"Bonal","given":"Damien","non-dropping-particle":"","parse-names":false,"suffix":""},{"dropping-particle":"","family":"Brüggemann","given":"Wolfgang","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hećko","given":"Ewa","non-dropping-particle":"","parse-names":false,"suffix":""},{"dropping-particle":"","family":"Coomes","given":"David","non-dropping-particle":"","parse-names":false,"suffix":""},{"dropping-particle":"","family":"Coppi","given":"Andrea","non-dropping-particle":"","parse-names":false,"suffix":""},{"dropping-particle":"","family":"Dalmaris","given":"Eleftheria","non-dropping-part</w:instrText>
      </w:r>
      <w:r w:rsidR="00F14052">
        <w:rPr>
          <w:rFonts w:hint="eastAsia"/>
        </w:rPr>
        <w:instrText>icle":"","parse-names":false,"suffix":""},{"dropping-particle":"","family":"D</w:instrText>
      </w:r>
      <w:r w:rsidR="00F14052">
        <w:rPr>
          <w:rFonts w:hint="eastAsia"/>
        </w:rPr>
        <w:instrText>ǎ</w:instrText>
      </w:r>
      <w:r w:rsidR="00F14052">
        <w:rPr>
          <w:rFonts w:hint="eastAsia"/>
        </w:rPr>
        <w:instrText>nil</w:instrText>
      </w:r>
      <w:r w:rsidR="00F14052">
        <w:rPr>
          <w:rFonts w:hint="eastAsia"/>
        </w:rPr>
        <w:instrText>ǎ</w:instrText>
      </w:r>
      <w:r w:rsidR="00F14052">
        <w:rPr>
          <w:rFonts w:hint="eastAsia"/>
        </w:rPr>
        <w:instrText>","given":"Gabriel","non-dropping-particle":"","parse-names":false,"suffix":""},{"dropping-particle":"","family":"Dawud","given":"Seid M.","non-dropping-particle":"","parse-</w:instrText>
      </w:r>
      <w:r w:rsidR="00F14052">
        <w:instrText>names":false,"suffix":""},{"dropping-particle":"","family":"Vries","given":"Wim","non-dropping-particle":"de","parse-names":false,"suffix":""},{"dropping-particle":"","family":"Wandeler","given":"Hans","non-dropping-particle":"De","parse-names":false,"suffix":""},{"dropping-particle":"","family":"Deconchat","given":"Marc","non-dropping-particle":"","parse-names":false,"suffix":""},{"dropping-particle":"","family":"Domisch","given":"Timo","non-dropping-particle":"","parse-names":false,"suffix":""},{"dropping-particle":"","family":"Duduman","given":"Gabriel","non-dropping-particle":"","parse-names":false,"suffix":""},{"dropping-particle":"","family":"Fischer","given":"Markus","non-dropping-particle":"","parse-names":false,"suffix":""},{"dropping-particle":"","family":"Fotelli","given":"Mariangela","non-dropping-particle":"","parse-names":false,"suffix":""},{"dropping-particle":"","family":"Gessler","given":"Arthur","non-dropping-particle":"","parse-names":false,"suffix":""},{"dropping-particle":"","family":"Gimeno","given":"Teresa E.","non-dropping-particle":"","parse-names":false,"suffix":""},{"dropping-particle":"","family":"Granier","given":"André","non-dropping-particle":"","parse-names":false,"suffix":""},{"dropping-particle":"","family":"Grossiord","given":"Charlotte","non-dropping-particle":"","parse-names":false,"suffix":""},{"dropping-particle":"","family":"Guyot","given":"Virginie","non-dropping-particle":"","parse-names":false,"suffix":""},{"dropping-particle":"","family":"Hantsch","given":"Lydia","non-dropping-particle":"","parse-names":false,"suffix":""},{"dropping-particle":"","family":"Hättenschwiler","given":"Stephan","non-dropping-particle":"","parse-names":false,"suffix":""},{"dropping-particle":"","family":"Hector","given":"Andy","non-dropping-particle":"","parse-names":false,"suffix":""},{"dropping-particle":"","family":"Hermy","given":"Martin","non-dropping-particle":"","parse-names":false,"suffix":""},{"dropping-particle":"","family":"Holland","given":"Vera","non-dropping-particle":"","parse-names":false,"suffix":""},{"dropping-particle":"","family":"Jactel","given":"Hervé","non-dropping-particle":"","parse-names":false,"suffix":""},{"dropping-particle":"","family":"Joly","given":"François Xavier","non-dropping-particle":"","parse-names":false,"suffix":""},{"dropping-particle":"","family":"Jucker","given":"Tommaso","non-dropping-particle":"","parse-names":false,"suffix":""},{"dropping-particle":"","family":"Kolb","given":"Simon","non-dropping-particle":"","parse-names":false,"suffix":""},{"dropping-particle":"","family":"Koricheva","given":"Julia","non-dropping-particle":"","parse-names":false,"suffix":""},{"dropping-particle":"","family":"Lexer","given":"Manfred J.","non-dropping-particle":"","parse-names":false,"suffix":""},{"dropping-particle":"","family":"Liebergesell","given":"Mario","non-dropping-particle":"","parse-names":false,"suffix":""},{"dropping-particle":"","family":"Milligan","given":"Harriet","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Nichiforel","given":"Liviu","non-dropping-particle":"","parse-names":false,"suffix":""},{"dropping-particle":"","family":"Pollastrini","given":"Martina","non-dropping-particle":"","parse-names":false,"suffix":""},{"dropping-particle":"","family":"Proulx","given":"Raphael","non-dropping-particle":"","parse-names":false,"suffix":""},{"dropping-particle":"","family":"Rabasa","given":"Sonia","non-dropping-particle":"","parse-names":false,"suffix":""},{"dropping-particle":"","family":"Radoglou","given":"Kalliopi","non-dropping-particle":"","parse-names":false,"suffix":""},{"dropping-particle":"","family":"Ratcliffe","given":"Sophia","non-dropping-particle":"","parse-names":false,"suffix":""},{"dropping-particle":"","family":"Raulund-Rasmussen","given":"Karsten","non-dropping-particle":"","parse-names":false,"suffix":""},{"dropping-particle":"","family":"Seiferling","given":"Ian","non-dropping-particle":"","parse-names":false,"suffix":""},{"dropping-particle":"","family":"Stenlid","given":"Jan","non-dropping-particle":"","parse-names":false,"suffix":""},{"dropping-particle":"","family":"Vesterdal","given":"Lars","non-dropping-particle":"","parse-names":false,"suffix":""},{"dropping-particle":"","family":"Wilpert","given":"Klaus","non-dropping-particle":"von","parse-names":false,"suffix":""},{"dropping-particle":"","family":"Zavala","given":"Miguel A.","non-dropping-particle":"","parse-names":false,"suffix":""},{"dropping-particle":"","family":"Zielinski","given":"Dawid","non-dropping-particle":"","parse-names":false,"suffix":""},{"dropping-particle":"","family":"Scherer-Lorenzen","given":"Michael","non-dropping-particle":"","parse-names":false,"suffix":""}],"container-title":"Perspectives in Plant Ecology, Evolution and Systematics","id":"ITEM-3","issue":"5","issued":{"date-parts":[["2013"]]},"page":"281-291","title":"A novel comparative research platform designed to determine the functional significance of tree species diversity in European forests","type":"article-journal","volume":"15"},"uris":["http://www.mendeley.com/documents/?uuid=315b44d1-019a-4805-a6fd-3e3d35e1a7b6"]}],"mendeley":{"formattedCitation":"(Baeten et al., 2013; Gamfeldt &amp; Källström, 2007; Loreau &amp; Hector, 2001)","plainTextFormattedCitation":"(Baeten et al., 2013; Gamfeldt &amp; Källström, 2007; Loreau &amp; Hector, 2001)","previouslyFormattedCitation":"(Loreau &amp; Hector, 2001; Gamfeldt &amp; Källström, 2007; Baeten et al., 2013)"},"properties":{"noteIndex":0},"schema":"https://github.com/citation-style-language/schema/raw/master/csl-citation.json"}</w:instrText>
      </w:r>
      <w:r w:rsidRPr="00DA5AE2">
        <w:fldChar w:fldCharType="separate"/>
      </w:r>
      <w:bookmarkStart w:id="60" w:name="Bookmark57"/>
      <w:r w:rsidR="00F14052" w:rsidRPr="00F14052">
        <w:rPr>
          <w:noProof/>
        </w:rPr>
        <w:t>(Baeten et al., 2013; Gamfeldt &amp; Källström, 2007; Loreau &amp; Hector, 2001)</w:t>
      </w:r>
      <w:r w:rsidRPr="00DA5AE2">
        <w:fldChar w:fldCharType="end"/>
      </w:r>
      <w:bookmarkEnd w:id="60"/>
      <w:r w:rsidRPr="00DA5AE2">
        <w:t>. Simply put, it is more likely to have species that survive well under drought in a mixture than in a monoculture</w:t>
      </w:r>
      <w:r w:rsidR="00256F6F" w:rsidRPr="00DA5AE2">
        <w:t xml:space="preserve"> (that is, when species are not chosen specifically for their drought resistance)</w:t>
      </w:r>
      <w:r w:rsidRPr="00DA5AE2">
        <w:t xml:space="preserve">. </w:t>
      </w:r>
      <w:r w:rsidR="00E628A6" w:rsidRPr="00DA5AE2">
        <w:t xml:space="preserve">However, </w:t>
      </w:r>
      <w:r w:rsidRPr="00DA5AE2">
        <w:t xml:space="preserve">mean survival in mixtures cannot exceed survival of monocultures of the most drought resistant species when drought is the major driver of mortality. Tree diversity simply </w:t>
      </w:r>
      <w:r w:rsidR="00C243EC" w:rsidRPr="00DA5AE2">
        <w:t xml:space="preserve">reduced </w:t>
      </w:r>
      <w:r w:rsidRPr="00DA5AE2">
        <w:t xml:space="preserve">survival </w:t>
      </w:r>
      <w:r w:rsidR="009C3E51" w:rsidRPr="00DA5AE2">
        <w:t xml:space="preserve">variability </w:t>
      </w:r>
      <w:r w:rsidRPr="00DA5AE2">
        <w:t xml:space="preserve">in more functionally diverse communities, </w:t>
      </w:r>
      <w:r w:rsidR="000A1792" w:rsidRPr="00DA5AE2">
        <w:t xml:space="preserve">and perhaps </w:t>
      </w:r>
      <w:r w:rsidR="00922EE6" w:rsidRPr="00DA5AE2">
        <w:t xml:space="preserve">due to </w:t>
      </w:r>
      <w:r w:rsidR="000A1792" w:rsidRPr="00DA5AE2">
        <w:t xml:space="preserve">other </w:t>
      </w:r>
      <w:r w:rsidR="003E6487" w:rsidRPr="00DA5AE2">
        <w:t xml:space="preserve">site-specific </w:t>
      </w:r>
      <w:r w:rsidR="000A1792" w:rsidRPr="00DA5AE2">
        <w:t>biotic and abiotic</w:t>
      </w:r>
      <w:r w:rsidRPr="00DA5AE2">
        <w:t xml:space="preserve"> disturbances</w:t>
      </w:r>
      <w:r w:rsidR="00D50A3B" w:rsidRPr="00DA5AE2">
        <w:t xml:space="preserve"> </w:t>
      </w:r>
      <w:r w:rsidR="0062709B" w:rsidRPr="00DA5AE2">
        <w:t>in addition to</w:t>
      </w:r>
      <w:r w:rsidR="00D50A3B" w:rsidRPr="00DA5AE2">
        <w:t xml:space="preserve"> drought</w:t>
      </w:r>
      <w:r w:rsidRPr="00DA5AE2">
        <w:t xml:space="preserve"> </w:t>
      </w:r>
      <w:r w:rsidRPr="00DA5AE2">
        <w:fldChar w:fldCharType="begin" w:fldLock="1"/>
      </w:r>
      <w:r w:rsidRPr="00DA5AE2">
        <w:instrText>ADDIN CSL_CITATION {"citationItems":[{"id":"ITEM-1","itemData":{"DOI":"10.1111/conl.12829","ISSN":"1755263X","abstract":"As of 2020, the world has an estimated 290 million ha of planted forests and this number is continuously increasing. Of these, 131 million ha are monospecific planted forests under intensive management. Although monospecific planted forests are important in providing timber, they harbor less biodiversity and are potentially more susceptible to disturbances than natural or diverse planted forests. Here, we point out the increasing scientific evidence for increased resilience and ecosystem service provision of functionally and species diverse planted forests (hereafter referred to as diverse planted forests) compared to monospecific ones. Furthermore, we propose five concrete steps to foster the adoption of diverse planted forests: (1) improve awareness of benefits and practical options of diverse planted forests among land-owners, managers, and investors; (2) incentivize tree species diversity in public funding of afforestation and programs to diversify current maladapted planted forests of low diversity; (3) develop new wood-based products that can be derived from many different tree species not yet in use; (4) invest in research to assess landscape benefits of diverse planted forests for functional connectivity and resilience to global-change threats; and (5) improve the evidence base on diverse planted forests, in particular in currently under-represented regions, where new options could be tested.","author":[{"dropping-particle":"","family":"Messier","given":"Christian","non-dropping-particle":"","parse-names":false,"suffix":""},{"dropping-particle":"","family":"Bauhus","given":"Jürgen","non-dropping-particle":"","parse-names":false,"suffix":""},{"dropping-particle":"","family":"Sousa-Silva","given":"Rita","non-dropping-particle":"","parse-names":false,"suffix":""},{"dropping-particle":"","family":"Auge","given":"Harald","non-dropping-particle":"","parse-names":false,"suffix":""},{"dropping-particle":"","family":"Baeten","given":"Lander","non-dropping-particle":"","parse-names":false,"suffix":""},{"dropping-particle":"","family":"Barsoum","given":"Nadia","non-dropping-particle":"","parse-names":false,"suffix":""},{"dropping-particle":"","family":"Bruelheide","given":"Helge","non-dropping-particle":"","parse-names":false,"suffix":""},{"dropping-particle":"","family":"Caldwell","given":"Benjamin","non-dropping-particle":"","parse-names":false,"suffix":""},{"dropping-particle":"","family":"Cavender-Bares","given":"Jeannine","non-dropping-particle":"","parse-names":false,"suffix":""},{"dropping-particle":"","family":"Dhiedt","given":"Els","non-dropping-particle":"","parse-names":false,"suffix":""},{"dropping-particle":"","family":"Eisenhauer","given":"Nico","non-dropping-particle":"","parse-names":false,"suffix":""},{"dropping-particle":"","family":"Ganade","given":"Gislene","non-dropping-particle":"","parse-names":false,"suffix":""},{"dropping-particle":"","family":"Gravel","given":"Dominique","non-dropping-particle":"","parse-names":false,"suffix":""},{"dropping-particle":"","family":"Guillemot","given":"Joannès","non-dropping-particle":"","parse-names":false,"suffix":""},{"dropping-particle":"","family":"Hall","given":"Jefferson S.","non-dropping-particle":"","parse-names":false,"suffix":""},{"dropping-particle":"","family":"Hector","given":"Andrew","non-dropping-particle":"","parse-names":false,"suffix":""},{"dropping-particle":"","family":"Hérault","given":"Bruno","non-dropping-particle":"","parse-names":false,"suffix":""},{"dropping-particle":"","family":"Jactel","given":"Hervé","non-dropping-particle":"","parse-names":false,"suffix":""},{"dropping-particle":"","family":"Koricheva","given":"Julia","non-dropping-particle":"","parse-names":false,"suffix":""},{"dropping-particle":"","family":"Kreft","given":"Holger","non-dropping-particle":"","parse-names":false,"suffix":""},{"dropping-particle":"","family":"Mereu","given":"Simone","non-dropping-particle":"","parse-names":false,"suffix":""},{"dropping-particle":"","family":"Muys","given":"Bart","non-dropping-particle":"","parse-names":false,"suffix":""},{"dropping-particle":"","family":"Nock","given":"Charles A.","non-dropping-particle":"","parse-names":false,"suffix":""},{"dropping-particle":"","family":"Paquette","given":"Alain","non-dropping-particle":"","parse-names":false,"suffix":""},{"dropping-particle":"","family":"Parker","given":"John D.","non-dropping-particle":"","parse-names":false,"suffix":""},{"dropping-particle":"","family":"Perring","given":"Michael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Scherer-Lorenzen","given":"Michael","non-dropping-particle":"","parse-names":false,"suffix":""},{"dropping-particle":"","family":"Schnabel","given":"Florian","non-dropping-particle":"","parse-names":false,"suffix":""},{"dropping-particle":"","family":"Verheyen","given":"Kris","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Clara","non-dropping-particle":"","parse-names":false,"suffix":""}],"container-title":"Conservation Letters","id":"ITEM-1","issue":"January","issued":{"date-parts":[["2021"]]},"page":"1-8","title":"For the sake of resilience and multifunctionality, let's diversify planted forests!","type":"article-journal"},"uris":["http://www.mendeley.com/documents/?uuid=286048ff-6b1d-40e9-8dd4-a605e4432135"]}],"mendeley":{"formattedCitation":"(Messier et al., 2021)","plainTextFormattedCitation":"(Messier et al., 2021)","previouslyFormattedCitation":"(Messier et al., 2021)"},"properties":{"noteIndex":0},"schema":"https://github.com/citation-style-language/schema/raw/master/csl-citation.json"}</w:instrText>
      </w:r>
      <w:r w:rsidRPr="00DA5AE2">
        <w:fldChar w:fldCharType="separate"/>
      </w:r>
      <w:bookmarkStart w:id="61" w:name="Bookmark59"/>
      <w:r w:rsidRPr="00DA5AE2">
        <w:rPr>
          <w:noProof/>
        </w:rPr>
        <w:t>(Messier et al., 2021)</w:t>
      </w:r>
      <w:r w:rsidRPr="00DA5AE2">
        <w:fldChar w:fldCharType="end"/>
      </w:r>
      <w:bookmarkEnd w:id="61"/>
      <w:r w:rsidRPr="00DA5AE2">
        <w:t>.</w:t>
      </w:r>
    </w:p>
    <w:p w14:paraId="4B2E5CD8" w14:textId="7AE6C71D" w:rsidR="00B26A2C" w:rsidRPr="00DA5AE2" w:rsidRDefault="007F6878">
      <w:pPr>
        <w:jc w:val="both"/>
        <w:rPr>
          <w:lang w:val="nl-BE"/>
        </w:rPr>
      </w:pPr>
      <w:r w:rsidRPr="00DA5AE2">
        <w:t xml:space="preserve">Tree diversity effects on early survival may have important implications for post-drought development and long-term forest functioning </w:t>
      </w:r>
      <w:r w:rsidRPr="00DA5AE2">
        <w:fldChar w:fldCharType="begin" w:fldLock="1"/>
      </w:r>
      <w:r w:rsidRPr="00DA5AE2">
        <w:instrText>ADDIN CSL_CITATION {"citationItems":[{"id":"ITEM-1","itemData":{"DOI":"10.1007/978-3-662-54553-9_7","ISBN":"978-3-662-54553-9","abstract":"In many parts of the world, forests are likely to face novel disturbance regimes as a result of global change processes, and there is concern that the capacity of forest ecosystems to withstand, recover from, or adapt to these novel disturbance regimes may decline. Creation and maintenance of species-diverse forests is seen as an important option to adapt forests to uncertain future disturbances. However, it is not known whether benefits of mixed-species forests consist mainly of risk spreading among tree species that have different susceptibility to various stressors and disturbance agents or whether they also have emergent properties resulting from interactions among species, which increase the resistance and resilience of participating species or the entire ecosystem. Here we review the evidence for the effects of tree diversity on the resistance and resilience of forests in relation to a number of abiotic (drought, wind, fire) and biotic (insect herbivores, pathogens) stress and disturbance factors. For the abiotic disturbances, damage or reduction in ecosystem function can be reduced, compared with monocultures of susceptible or less resilient species, when more resistant or resilient species are mixed with less susceptible and less resilient species. However, storm, fire, or drought damage to individual species may not be reduced in mixtures when compared to monocultures. The stress or disturbance impacts may even be aggravated for one or more species in some mixtures, as is shown for drought. There is more evidence for beneficial diversity effects in relation to biotic disturbance agents. Mixing tree species reduces the impact of insect herbivores on individual susceptible tree species in the majority of cases, where the community is dominated by specialist herbivores. However, the opposite effect may occur with generalist herbivores, which can be promoted by tree diversity. Similarly, tree diversity can reduce the impact of specialist pathogens on host tree species, whereas there is little evidence for positive influences in the case of generalist pathogens. In most cases, tree species diversity dilutes the impact of disturbance agents and, owing to different susceptibility of species to specific disturbances, insures against a complete damage or loss. In addition, mixing tree species can reduce temporal variation in growth and stabilise productivity. However, there is little evidence for true, positive diversity effects, where diversity leads t…","author":[{"dropping-particle":"","family":"Bauhus","given":"Jürgen","non-dropping-particle":"","parse-names":false,"suffix":""},{"dropping-particle":"","family":"Forrester","given":"David I","non-dropping-particle":"","parse-names":false,"suffix":""},{"dropping-particle":"","family":"Gardiner","given":"Barry","non-dropping-particle":"","parse-names":false,"suffix":""},{"dropping-particle":"","family":"Jactel","given":"Hervé","non-dropping-particle":"","parse-names":false,"suffix":""},{"dropping-particle":"","family":"Vallejo","given":"Ramon","non-dropping-particle":"","parse-names":false,"suffix":""},{"dropping-particle":"","family":"Pretzsch","given":"Hans","non-dropping-particle":"","parse-names":false,"suffix":""}],"container-title":"Mixed-Species Forests: Ecology and Management","editor":[{"dropping-particle":"","family":"Pretzsch","given":"Hans","non-dropping-particle":"","parse-names":false,"suffix":""},{"dropping-particle":"","family":"Forrester","given":"David I","non-dropping-particle":"","parse-names":false,"suffix":""},{"dropping-particle":"","family":"Bauhus","given":"Jürgen","non-dropping-particle":"","parse-names":false,"suffix":""}],"id":"ITEM-1","issued":{"date-parts":[["2017"]]},"page":"337-382","publisher":"Springer Berlin Heidelberg","publisher-place":"Berlin, Heidelberg","title":"Ecological Stability of Mixed-Species Forests","type":"chapter"},"uris":["http://www.mendeley.com/documents/?uuid=222c5d20-fd6c-4eae-b904-cdc3a476ed3a"]},{"id":"ITEM-2","itemData":{"DOI":"10.1111/ele.13259","ISSN":"1461-023X","author":[{"dropping-particle":"","family":"Hisano","given":"Masumi","non-dropping-particle":"","parse-names":false,"suffix":""},{"dropping-particle":"","family":"Chen","given":"Han Y. H.","non-dropping-particle":"","parse-names":false,"suffix":""},{"dropping-particle":"","family":"Searle","given":"Eric B.","non-dropping-particle":"","parse-names":false,"suffix":""},{"dropping-particle":"","family":"Reich","given":"Peter B.","non-dropping-particle":"","parse-names":false,"suffix":""}],"container-title":"Ecology Letters","editor":[{"dropping-particle":"","family":"Niu","given":"Shuli","non-dropping-particle":"","parse-names":false,"suffix":""}],"id":"ITEM-2","issue":"6","issued":{"date-parts":[["2019","6","28"]]},"page":"999-1008","title":"Species‐rich boreal forests grew more and suffered less mortality than species‐poor forests under the environmental change of the past half‐century","type":"article-journal","volume":"22"},"uris":["http://www.mendeley.com/documents/?uuid=1b15acad-67ad-49d9-8c56-46bb694b7ec6"]},{"id":"ITEM-3","itemData":{"DOI":"10.1111/1365-2745.13579","ISBN":"2018038508","ISSN":"0022-0477","abstract":"Climate extremes, such as abnormally dry and wet conditions, generate abrupt shifts in tree growth, a situation which is expected to increase under predicted climate conditions. Thus, it is crucial to understand factors determining short‐ and long‐term tree performance in response to higher frequency and intensity of climate extremes.\nWe evaluated how three successive droughts and wet years influenced short‐ and long ‐term growth of six dominant Iberian tree species. Within species variation in growth response to repeated dry and wet years was evaluated as a function of individual traits related to resource and water use (diameter at breast height (DBH), wood density (WD) and specific leaf area (SLA)) and tree‐to‐tree competition across climatically contrasted populations. Furthermore, we assessed how short‐term accumulated impacts of the repeated dry and wet years influenced long‐term growth performance.\nAll species showed strong short‐term growth decreases and enhancements due to repeated dry and wet years. However, patterns of accumulated growth decreases (AcGD) and enhancements (AcGE) across climatically contrasting populations were species‐specific. Furthermore, individual trait data were weakly associated to either AcGD or AcGE and the few relevant associations were found for conifers. Intraspecific variations in tree growth responses to repeated climates extremes were large, and not explained by intraspecific variability in SLA and WD. Accumulated impacts of repeated dry and wet years were related to long‐term growth trends, showing how the recurrence of climate extremes can determine growth trajectories. The relationships of AcGD and AcGE with long‐term growth trends were more common in conifers species.\n“Synthesis”. Repeated climate extremes do not only cause short‐term growth reductions and enhancements, but also determine long‐term tree growth trajectories. This result shows how repeated droughts can lead to growth decline. Conifers were more susceptible to the accumulated effects of extreme weather events indicating that in the future, more intense and frequent climate extremes will alter growth performance in forests dominated by these species.","author":[{"dropping-particle":"","family":"Serra‐Maluquer","given":"Xavier","non-dropping-particle":"","parse-names":false,"suffix":""},{"dropping-particle":"","family":"Granda","given":"Elena","non-dropping-particle":"","parse-names":false,"suffix":""},{"dropping-particle":"","family":"Camarero","given":"J. Julio","non-dropping-particle":"","parse-names":false,"suffix":""},{"dropping-particle":"","family":"Vilà‐Cabrera","given":"Albert","non-dropping-particle":"","parse-names":false,"suffix":""},{"dropping-particle":"","family":"Jump","given":"Alistair S.","non-dropping-particle":"","parse-names":false,"suffix":""},{"dropping-particle":"","family":"Sánchez‐Salguero","given":"Raúl","non-dropping-particle":"","parse-names":false,"suffix":""},{"dropping-particle":"","family":"Sangüesa‐Barreda","given":"Gabriel","non-dropping-particle":"","parse-names":false,"suffix":""},{"dropping-particle":"","family":"Imbert","given":"J. Bosco","non-dropping-particle":"","parse-names":false,"suffix":""},{"dropping-particle":"","family":"Gazol","given":"Antonio","non-dropping-particle":"","parse-names":false,"suffix":""}],"container-title":"Journal of Ecology","id":"ITEM-3","issue":"December 2020","issued":{"date-parts":[["2020"]]},"page":"1-14","title":"Impacts of recurrent dry and wet years alter long‐term tree growth trajectories","type":"article-journal"},"uris":["http://www.mendeley.com/documents/?uuid=c959c55e-5577-47b2-9785-4babbbf43e0f"]}],"mendeley":{"formattedCitation":"(Bauhus et al., 2017; Hisano, Chen, Searle, &amp; Reich, 2019; Serra‐Maluquer et al., 2020)","plainTextFormattedCitation":"(Bauhus et al., 2017; Hisano, Chen, Searle, &amp; Reich, 2019; Serra‐Maluquer et al., 2020)","previouslyFormattedCitation":"(Bauhus et al., 2017; Hisano, Chen, Searle, &amp; Reich, 2019; Serra‐Maluquer et al., 2020)"},"properties":{"noteIndex":0},"schema":"https://github.com/citation-style-language/schema/raw/master/csl-citation.json"}</w:instrText>
      </w:r>
      <w:r w:rsidRPr="00DA5AE2">
        <w:fldChar w:fldCharType="separate"/>
      </w:r>
      <w:bookmarkStart w:id="62" w:name="Bookmark60"/>
      <w:r w:rsidRPr="00DA5AE2">
        <w:rPr>
          <w:noProof/>
        </w:rPr>
        <w:t>(Bauhus et al., 2017; Hisano, Chen, Searle, &amp; Reich, 2019; Serra‐Maluquer et al., 2020)</w:t>
      </w:r>
      <w:r w:rsidRPr="00DA5AE2">
        <w:fldChar w:fldCharType="end"/>
      </w:r>
      <w:bookmarkEnd w:id="62"/>
      <w:r w:rsidRPr="00DA5AE2">
        <w:t>. Reducing the risk of tree mortality is crucial during the sapling stage to ensure growth recovery and the development of</w:t>
      </w:r>
      <w:r w:rsidR="0056205B" w:rsidRPr="00DA5AE2">
        <w:t xml:space="preserve"> plantation</w:t>
      </w:r>
      <w:r w:rsidRPr="00DA5AE2">
        <w:t xml:space="preserve"> forests that perform multiple ecosystem functions </w:t>
      </w:r>
      <w:r w:rsidR="0056205B" w:rsidRPr="00DA5AE2">
        <w:t xml:space="preserve">well </w:t>
      </w:r>
      <w:r w:rsidRPr="00DA5AE2">
        <w:fldChar w:fldCharType="begin" w:fldLock="1"/>
      </w:r>
      <w:r w:rsidRPr="00DA5AE2">
        <w:instrText>ADDIN CSL_CITATION {"citationItems":[{"id":"ITEM-1","itemData":{"DOI":"10.1111/nph.16703","ISSN":"14698137","PMID":"32452535","author":[{"dropping-particle":"","family":"Gessler","given":"Arthur","non-dropping-particle":"","parse-names":false,"suffix":""},{"dropping-particle":"","family":"Bottero","given":"Alessandra","non-dropping-particle":"","parse-names":false,"suffix":""},{"dropping-particle":"","family":"Marshall","given":"John","non-dropping-particle":"","parse-names":false,"suffix":""},{"dropping-particle":"","family":"Arend","given":"Matthias","non-dropping-particle":"","parse-names":false,"suffix":""}],"container-title":"New Phytologist","id":"ITEM-1","issue":"6","issued":{"date-parts":[["2020"]]},"page":"1704-1709","title":"The way back: recovery of trees from drought and its implication for acclimation","type":"article-journal","volume":"228"},"uris":["http://www.mendeley.com/documents/?uuid=4bbe79d4-d420-4203-9a7a-526b5f377d4f"]}],"mendeley":{"formattedCitation":"(Gessler, Bottero, Marshall, &amp; Arend, 2020)","plainTextFormattedCitation":"(Gessler, Bottero, Marshall, &amp; Arend, 2020)","previouslyFormattedCitation":"(Gessler, Bottero, Marshall, &amp; Arend, 2020)"},"properties":{"noteIndex":0},"schema":"https://github.com/citation-style-language/schema/raw/master/csl-citation.json"}</w:instrText>
      </w:r>
      <w:r w:rsidRPr="00DA5AE2">
        <w:fldChar w:fldCharType="separate"/>
      </w:r>
      <w:bookmarkStart w:id="63" w:name="Bookmark61"/>
      <w:r w:rsidRPr="00DA5AE2">
        <w:rPr>
          <w:noProof/>
        </w:rPr>
        <w:t>(Gessler, Bottero, Marshall, &amp; Arend, 2020)</w:t>
      </w:r>
      <w:r w:rsidRPr="00DA5AE2">
        <w:fldChar w:fldCharType="end"/>
      </w:r>
      <w:bookmarkEnd w:id="63"/>
      <w:r w:rsidRPr="00DA5AE2">
        <w:t>. Of course, survival in the sapling stage does not necessarily imply long-term survival</w:t>
      </w:r>
      <w:r w:rsidR="0056205B" w:rsidRPr="00DA5AE2">
        <w:t>, nor sustained growth</w:t>
      </w:r>
      <w:r w:rsidRPr="00DA5AE2">
        <w:t xml:space="preserve">. After the sapling stage, young trees remain vulnerable to drought </w:t>
      </w:r>
      <w:r w:rsidRPr="00DA5AE2">
        <w:fldChar w:fldCharType="begin" w:fldLock="1"/>
      </w:r>
      <w:r w:rsidRPr="00DA5AE2">
        <w:instrText>ADDIN CSL_CITATION {"citationItems":[{"id":"ITEM-1","itemData":{"DOI":"10.1111/nph.15071","ISSN":"14698137","PMID":"29504138","abstract":"Tropical forests are increasingly being subjected to hotter, drier conditions as a result of global climate change. The effects of drought on forests along successional gradients remain poorly understood. We took advantage of the 2015–2016 El Niño event to test for differences in drought response along a successional gradient by measuring the sap flow in 76 trees, representing 42 different species, in 8-, 25- and 80-yr-old secondary forests in the 15-km2 ‘Agua Salud Project’ study area, located in central Panama. Average sap velocities and sapwood-specific hydraulic conductivities were highest in the youngest forest. During the dry season drought, sap velocities increased significantly in the 80-yr-old forest as a result of higher evaporative demand, but not in younger forests. The main drivers of transpiration shifted from radiation to vapor pressure deficit with progressing forest succession. Soil volumetric water content was a limiting factor only in the youngest forest during the dry season, probably as a result of less root exploration in the soil. Trees in early-successional forests displayed stronger signs of regulatory responses to the 2015–2016 El Niño drought, and the limiting physiological processes for transpiration shifted from operating at the plant–soil interface to the plant–atmosphere interface with progressing forest succession.","author":[{"dropping-particle":"","family":"Bretfeld","given":"Mario","non-dropping-particle":"","parse-names":false,"suffix":""},{"dropping-particle":"","family":"Ewers","given":"Brent E.","non-dropping-particle":"","parse-names":false,"suffix":""},{"dropping-particle":"","family":"Hall","given":"Jefferson S.","non-dropping-particle":"","parse-names":false,"suffix":""}],"container-title":"New Phytologist","id":"ITEM-1","issue":"3","issued":{"date-parts":[["2018"]]},"page":"885-899","title":"Plant water use responses along secondary forest succession during the 2015–2016 El Niño drought in Panama","type":"article-journal","volume":"219"},"uris":["http://www.mendeley.com/documents/?uuid=1e2c0032-060a-4182-8d94-cc77fec2392a"]}],"mendeley":{"formattedCitation":"(Bretfeld, Ewers, &amp; Hall, 2018)","plainTextFormattedCitation":"(Bretfeld, Ewers, &amp; Hall, 2018)","previouslyFormattedCitation":"(Bretfeld, Ewers, &amp; Hall, 2018)"},"properties":{"noteIndex":0},"schema":"https://github.com/citation-style-language/schema/raw/master/csl-citation.json"}</w:instrText>
      </w:r>
      <w:r w:rsidRPr="00DA5AE2">
        <w:fldChar w:fldCharType="separate"/>
      </w:r>
      <w:bookmarkStart w:id="64" w:name="Bookmark62"/>
      <w:r w:rsidRPr="00DA5AE2">
        <w:rPr>
          <w:noProof/>
        </w:rPr>
        <w:t>(Bretfeld, Ewers, &amp; Hall, 2018)</w:t>
      </w:r>
      <w:r w:rsidRPr="00DA5AE2">
        <w:fldChar w:fldCharType="end"/>
      </w:r>
      <w:bookmarkEnd w:id="64"/>
      <w:r w:rsidRPr="00DA5AE2">
        <w:t xml:space="preserve">, but diversity can reduce drought impact by e.g. promoting growth recovery via complementarity in resource use </w:t>
      </w:r>
      <w:r w:rsidRPr="00DA5AE2">
        <w:fldChar w:fldCharType="begin" w:fldLock="1"/>
      </w:r>
      <w:r w:rsidR="00F14052">
        <w:instrText>ADDIN CSL_CITATION {"citationItems":[{"id":"ITEM-1","itemData":{"DOI":"10.3390/f10020153","ISSN":"19994907","abstract":"Drought conditions may have differential impacts on growth, transpiration, and water use efficiency (WUE) in mixed species and monospecific planted forests. Understanding the resistance (i.e., the capacity to maintain processes unchanged) of different tree species to drought, and how resistance is affected by complementary interactions within species mixtures, is particularly important in the seasonally dry tropics where projected increases in the frequency and severity of drought threaten tree planting efforts and water resources. Complementary interactions between species may lead to more resistant stands if complementarity leads to greater buffering capacity during drought. We examined growth, transpiration, and WUE of mixtures and monocultures of Terminalia amazonia (J.F. Gmel.) Exell and Dalbergia retusa Hemsl. before and during a prolonged drought using intensive measurements of tree sap flow and growth. Tree sapwood area growth was highest for T. amazonia in mixtures during normal (6.78 ± 4.08 mm 2 yr -1 ) and drought (7.12 ± 4.85 mm 2 yr -1 ) conditions compared to the other treatments. However, stand sapwood area growth was greatest for T. amazonia monocultures, followed by mixtures, and finally, D. retusa monocultures. There was a significant decrease in stand transpiration during drought for both mixtures and T. amazonia monocultures, while Dalbergia retusa monocultures were most water use efficient at both the tree and stand level. Treatments showed different levels of resistance to drought, with D. retusa monocultures being the most resistant, with non-significant changes of growth and transpiration before and during drought. Combining species with complementary traits and avoiding combinations where one species dominates the other, may maximize complementary interactions and reduce competitive interactions, leading to greater resistance to drought conditions.","author":[{"dropping-particle":"","family":"Sinacore","given":"Katherine","non-dropping-particle":"","parse-names":false,"suffix":""},{"dropping-particle":"","family":"Asbjornsen","given":"Heidi","non-dropping-particle":"","parse-names":false,"suffix":""},{"dropping-particle":"","family":"Hernandez-Santana","given":"Virginia","non-dropping-particle":"","parse-names":false,"suffix":""},{"dropping-particle":"","family":"Hall","given":"Jefferson S.","non-dropping-particle":"","parse-names":false,"suffix":""}],"container-title":"Forests","id":"ITEM-1","issue":"2","issued":{"date-parts":[["2019"]]},"page":"1-19","title":"Drought differentially affects growth, transpiration, and water use efficiency of mixed and monospecific planted forests","type":"article-journal","volume":"10"},"uris":["http://www.mendeley.com/documents/?uuid=9319a343-ff28-4fd4-b0ad-f3a6f237e982"]},{"id":"ITEM-2","itemData":{"DOI":"10.1111/1365-2745.13353","ISSN":"13652745","abstract":"Biodiversity is considered to mitigate detrimental impacts of climate change on the functioning of forest ecosystems, such as drought-induced decline in forest productivity. However, previous studies produced controversial results and experimental evidence is rare. Specifically, the biological mechanisms underlying mitigation effects remain unclear, as existing work focuses on biodiversity effects related to the community scale. Using trait-based neighbourhood models, we quantified changes in above-ground wood productivity of 3,397 trees that were planted in a large-scale tree diversity experiment in subtropical China across gradients of neighbourhood diversity and climatic conditions over a 6-year period. This approach allowed us to simultaneously assess to what extent functional traits of a focal tree and biodiversity at the local neighbourhood scale mediate the growth response of individual trees to drought events. We found that neighbourhood tree species richness can mitigate for drought-induced growth decline of young trees. Overall, positive net biodiversity effects were strongest during drought and increased with increasing taxonomic diversity of neighbours. In particular, drought-sensitive species (i.e. those with a low cavitation resistance) benefitted the most from growing in diverse neighbourhoods, suggesting that soil water partitioning among local neighbours during drought particularly facilitated most vulnerable individuals. Thus, diverse neighbourhoods may enhance ecosystem resistance to drought by locally supporting drought-sensitive species in the community. Synthesis. Our findings demonstrate that mechanisms operating at the local neighbourhood scale are a key component for regulating forests responses to drought and improve insights into how local species interactions vary along stress gradients in highly diverse tree communities.","author":[{"dropping-particle":"","family":"Fichtner","given":"Andreas","non-dropping-particle":"","parse-names":false,"suffix":""},{"dropping-particle":"","family":"Schnabel","given":"Florian","non-dropping-particle":"","parse-names":false,"suffix":""},{"dropping-particle":"","family":"Bruelheide","given":"Helge","non-dropping-particle":"","parse-names":false,"suffix":""},{"dropping-particle":"","family":"Kunz","given":"Matthias","non-dropping-particle":"","parse-names":false,"suffix":""},{"dropping-particle":"","family":"Mausolf","given":"Katharina","non-dropping-particle":"","parse-names":false,"suffix":""},{"dropping-particle":"","family":"Schuldt","given":"Andreas","non-dropping-particle":"","parse-names":false,"suffix":""},{"dropping-particle":"","family":"Härdtle","given":"Werner","non-dropping-particle":"","parse-names":false,"suffix":""},{"dropping-particle":"","family":"Oheimb","given":"Goddert","non-dropping-particle":"von","parse-names":false,"suffix":""}],"container-title":"Journal of Ecology","id":"ITEM-2","issue":"3","issued":{"date-parts":[["2020"]]},"page":"865-875","title":"Neighbourhood diversity mitigates drought impacts on tree growth","type":"article-journal","volume":"108"},"uris":["http://www.mendeley.com/documents/?uuid=2c33aced-7a65-47b6-82b4-e3aecac98c89"]},{"id":"ITEM-3","itemData":{"DOI":"10.1126/sciadv.abk1643","ISSN":"23752548","PMID":"34919425","abstract":"Extreme climatic events threaten forests and their climate mitigation potential globally. Understanding the drivers promoting ecosystem stability is therefore considered crucial for mitigating adverse climate change effects on forests. Here, we use structural equation models to explain how tree species richness, asynchronous species dynamics, species-level population stability, and drought-tolerance traits relate to the stability of forest productivity along an experimentally manipulated species richness gradient ranging from 1 to 24 tree species. Tree species richness improved community stability by increasing asynchrony. That is, at higher species richness, interannual variation in productivity among tree species buffered the community against stress-related productivity declines. This effect was positively related to variation in stomatal control and resistance-acquisition strategies among species, but not to the community-weighted means of these trait syndromes. The identified mechanisms by which tree species richness stabilizes forest productivity emphasize the importance of diverse, mixed-species forests to adapt to climate change.","author":[{"dropping-particle":"","family":"Schnabel","given":"Florian","non-dropping-particle":"","parse-names":false,"suffix":""},{"dropping-particle":"","family":"Liu","given":"Xiaojuan","non-dropping-particle":"","parse-names":false,"suffix":""},{"dropping-particle":"","family":"Kunz","given":"Matthias","non-dropping-particle":"","parse-names":false,"suffix":""},{"dropping-particle":"","family":"Barry","given":"Kathryn E.","non-dropping-particle":"","parse-names":false,"suffix":""},{"dropping-particle":"","family":"Bongers","given":"Franca J.","non-dropping-particle":"","parse-names":false,"suffix":""},{"dropping-particle":"","family":"Bruelheide","given":"Helge","non-dropping-particle":"","parse-names":false,"suffix":""},{"dropping-particle":"","family":"Fichtner","given":"Andreas","non-dropping-particle":"","parse-names":false,"suffix":""},{"dropping-particle":"","family":"Härdtle","given":"Werner","non-dropping-particle":"","parse-names":false,"suffix":""},{"dropping-particle":"","family":"Li","given":"Shan","non-dropping-particle":"","parse-names":false,"suffix":""},{"dropping-particle":"","family":"Pfaff","given":"Claas Thido","non-dropping-particle":"","parse-names":false,"suffix":""},{"dropping-particle":"","family":"Schmid","given":"Bernhard","non-dropping-particle":"","parse-names":false,"suffix":""},{"dropping-particle":"","family":"Schwarz","given":"Julia A.","non-dropping-particle":"","parse-names":false,"suffix":""},{"dropping-particle":"","family":"Tang","given":"Zhiyao","non-dropping-particle":"","parse-names":false,"suffix":""},{"d</w:instrText>
      </w:r>
      <w:r w:rsidR="00F14052" w:rsidRPr="00F14052">
        <w:rPr>
          <w:lang w:val="nl-BE"/>
        </w:rPr>
        <w:instrText>ropping-particle":"","family":"Yang","given":"Bo","non-dropping-particle":"","parse-names":false,"suffix":""},{"dropping-particle":"","family":"Bauhus","given":"Jürgen","non-dropping-particle":"","parse-names":false,"suffix":""},{"dropping-particle":"","family":"Oheimb","given":"Goddert","non-dropping-particle":"Von","parse-names":false,"suffix":""},{"dropping-particle":"","family":"Ma","given":"Keping","non-dropping-particle":"","parse-names":false,"suffix":""},{"dropping-particle":"","family":"Wirth","given":"Christian","non-dropping-particle":"","parse-names":false,"suffix":""}],"container-title":"Science Advances","id":"ITEM-3","issue":"51","issued":{"date-parts":[["2021"]]},"page":"11-13","title":"Species richness stabilizes productivity via asynchrony and drought-tolerance diversity in a large-scale tree biodiversity experiment","type":"article-journal","volume":"7"},"uris":["http://www.mendeley.com/documents/?uuid=bbffa737-2035-4dec-97ce-3e77b07e5d5d"]}],"mendeley":{"formattedCitation":"(Fichtner et al., 2020; Schnabel et al., 2021; Sinacore, Asbjornsen, Hernandez-Santana, &amp; Hall, 2019)","plainTextFormattedCitation":"(Fichtner et al., 2020; Schnabel et al., 2021; Sinacore, Asbjornsen, Hernandez-Santana, &amp; Hall, 2019)","previouslyFormattedCitation":"(Sinacore, Asbjornsen, Hernandez-Santana, &amp; Hall, 2019; Fichtner et al., 2020; Schnabel et al., 2021)"},"properties":{"noteIndex":0},"schema":"https://github.com/citation-style-language/schema/raw/master/csl-citation.json"}</w:instrText>
      </w:r>
      <w:r w:rsidRPr="00DA5AE2">
        <w:fldChar w:fldCharType="separate"/>
      </w:r>
      <w:bookmarkStart w:id="65" w:name="Bookmark63"/>
      <w:r w:rsidR="00F14052" w:rsidRPr="00F14052">
        <w:rPr>
          <w:noProof/>
          <w:lang w:val="nl-BE"/>
        </w:rPr>
        <w:t>(Fichtner et al., 2020; Schnabel et al., 2021; Sinacore, Asbjornsen, Hernandez-Santana, &amp; Hall, 2019)</w:t>
      </w:r>
      <w:r w:rsidRPr="00DA5AE2">
        <w:fldChar w:fldCharType="end"/>
      </w:r>
      <w:bookmarkEnd w:id="65"/>
      <w:r w:rsidRPr="00DA5AE2">
        <w:rPr>
          <w:lang w:val="nl-BE"/>
        </w:rPr>
        <w:t xml:space="preserve">. </w:t>
      </w:r>
    </w:p>
    <w:p w14:paraId="4CACAFB2" w14:textId="77777777" w:rsidR="00B26A2C" w:rsidRPr="00DA5AE2" w:rsidRDefault="007F6878">
      <w:pPr>
        <w:pStyle w:val="Heading3"/>
      </w:pPr>
      <w:r w:rsidRPr="00DA5AE2">
        <w:lastRenderedPageBreak/>
        <w:t>Functional traits influence species’ drought response in mixtures and monocultures</w:t>
      </w:r>
    </w:p>
    <w:p w14:paraId="17DD28B7" w14:textId="77A11333" w:rsidR="00B26A2C" w:rsidRPr="00DA5AE2" w:rsidRDefault="00015A1C">
      <w:pPr>
        <w:jc w:val="both"/>
      </w:pPr>
      <w:r w:rsidRPr="00DA5AE2">
        <w:t xml:space="preserve">Under </w:t>
      </w:r>
      <w:r w:rsidR="00AA3E4E" w:rsidRPr="00DA5AE2">
        <w:t>drought</w:t>
      </w:r>
      <w:r w:rsidR="007F6878" w:rsidRPr="00DA5AE2">
        <w:t xml:space="preserve"> stress, species that survive</w:t>
      </w:r>
      <w:r w:rsidRPr="00DA5AE2">
        <w:t>d</w:t>
      </w:r>
      <w:r w:rsidR="007F6878" w:rsidRPr="00DA5AE2">
        <w:t xml:space="preserve"> poorly in monoculture survived comparatively better in mixture. This finding suggests that tree-to-tree interactions can already occur in young mixtures </w:t>
      </w:r>
      <w:r w:rsidR="000E20BC" w:rsidRPr="00DA5AE2">
        <w:t>and can</w:t>
      </w:r>
      <w:r w:rsidR="007F6878" w:rsidRPr="00DA5AE2">
        <w:t xml:space="preserve"> influence survival</w:t>
      </w:r>
      <w:r w:rsidR="00872800" w:rsidRPr="00DA5AE2">
        <w:t xml:space="preserve"> when an acute water limitation occurs.</w:t>
      </w:r>
      <w:r w:rsidR="007F6878" w:rsidRPr="00DA5AE2">
        <w:t xml:space="preserve"> This likely result</w:t>
      </w:r>
      <w:r w:rsidR="004B2F95" w:rsidRPr="00DA5AE2">
        <w:t>ed</w:t>
      </w:r>
      <w:r w:rsidR="007F6878" w:rsidRPr="00DA5AE2">
        <w:t xml:space="preserve"> from stronger intraspecific competition in monocultures compared </w:t>
      </w:r>
      <w:r w:rsidR="00637EF5" w:rsidRPr="00DA5AE2">
        <w:t xml:space="preserve">to </w:t>
      </w:r>
      <w:r w:rsidR="007F6878" w:rsidRPr="00DA5AE2">
        <w:t xml:space="preserve">mixtures </w:t>
      </w:r>
      <w:r w:rsidR="007F6878" w:rsidRPr="00DA5AE2">
        <w:fldChar w:fldCharType="begin" w:fldLock="1"/>
      </w:r>
      <w:r w:rsidR="007F6878" w:rsidRPr="00DA5AE2">
        <w:instrText>ADDIN CSL_CITATION {"citationItems":[{"id":"ITEM-1","itemData":{"DOI":"10.1111/gcb.16146","ISSN":"1354-1013","author":[{"dropping-particle":"","family":"Hajek","given":"Peter","non-dropping-particle":"","parse-names":false,"suffix":""},{"dropping-particle":"","family":"Link","given":"Roman M.","non-dropping-particle":"","parse-names":false,"suffix":""},{"dropping-particle":"","family":"Nock","given":"Charles A.","non-dropping-particle":"","parse-names":false,"suffix":""},{"dropping-particle":"","family":"Bauhus","given":"Jürgen","non-dropping-particle":"","parse-names":false,"suffix":""},{"dropping-particle":"","family":"Gebauer","given":"Tobias","non-dropping-particle":"","parse-names":false,"suffix":""},{"dropping-particle":"","family":"Gessler","given":"Arthur","non-dropping-particle":"","parse-names":false,"suffix":""},{"dropping-particle":"","family":"Kovach","given":"Kyle","non-dropping-particle":"","parse-names":false,"suffix":""},{"dropping-particle":"","family":"Messier","given":"Christian","non-dropping-particle":"","parse-names":false,"suffix":""},{"dropping-particle":"","family":"Paquette","given":"Alain","non-dropping-particle":"","parse-names":false,"suffix":""},{"dropping-particle":"","family":"Saurer","given":"Matthias","non-dropping-particle":"","parse-names":false,"suffix":""},{"dropping-particle":"","family":"Scherer‐Lorenzen","given":"Michael","non-dropping-particle":"","parse-names":false,"suffix":""},{"dropping-particle":"","family":"Rose","given":"Laura","non-dropping-particle":"","parse-names":false,"suffix":""},{"dropping-particle":"","family":"Schuldt","given":"Bernhard","non-dropping-particle":"","parse-names":false,"suffix":""}],"container-title":"Global Change Biology","id":"ITEM-1","issue":"10","issued":{"date-parts":[["2022","5","17"]]},"page":"3365-3378","title":"Mutually inclusive mechanisms of drought‐induced tree mortality","type":"article-journal","volume":"28"},"uris":["http://www.mendeley.com/documents/?uuid=470cac5c-29a3-46b0-a65a-1b415f597597"]},{"id":"ITEM-2","itemData":{"DOI":"10.1111/rec.13927","ISSN":"1061-2971","author":[{"dropping-particle":"","family":"King","given":"Rachel A.","non-dropping-particle":"","parse-names":false,"suffix":""},{"dropping-particle":"","family":"Pullen","given":"Jamie","non-dropping-particle":"","parse-names":false,"suffix":""},{"dropping-particle":"","family":"Cook‐Patton","given":"Susan C.","non-dropping-particle":"","parse-names":false,"suffix":""},{"dropping-particle":"","family":"Parker","given":"John D.","non-dropping-particle":"","parse-names":false,"suffix":""}],"container-title":"Restoration Ecology","id":"ITEM-2","issue":"5","issued":{"date-parts":[["2023"]]},"page":"1-11","title":"Diversity stabilizes but does not increase sapling survival in a tree diversity experiment","type":"article-journal","volume":"31"},"uris":["http://www.mendeley.com/documents/?uuid=c056e222-4d6b-4f31-8a1c-481e528e7726"]},{"id":"ITEM-3","itemData":{"DOI":"10.1111/ele.12786","ISSN":"14610248","PMID":"28616871","abstract":"Studies on tree communities have demonstrated that species diversity can enhance forest productivity, but the driving mechanisms at the local neighbourhood level remain poorly understood. Here, we use data from a large-scale biodiversity experiment with 24 subtropical tree species to show that neighbourhood tree species richness generally promotes individual tree productivity. We found that the underlying mechanisms depend on a focal tree's functional traits: For species with a conservative resource-use strategy diversity effects were brought about by facilitation, and for species with acquisitive traits by competitive reduction. Moreover, positive diversity effects were strongest under low competition intensity (quantified as the total basal area of neighbours) for acquisitive species, and under high competition intensity for conservative species. Our findings demonstrate that net biodiversity effects in tree communities can vary over small spatial scales, emphasising the need to consider variation in local neighbourhood interactions to better understand effects at the community level.","author":[{"dropping-particle":"","family":"Fichtner","given":"Andreas","non-dropping-particle":"","parse-names":false,"suffix":""},{"dropping-particle":"","family":"Härdtle","given":"Werner","non-dropping-particle":"","parse-names":false,"suffix":""},{"dropping-particle":"","family":"Li","given":"Ying","non-dropping-particle":"","parse-names":false,"suffix":""},{"dropping-particle":"","family":"Bruelheide","given":"Helge","non-dropping-particle":"","parse-names":false,"suffix":""},{"dropping-particle":"","family":"Kunz","given":"Matthias","non-dropping-particle":"","parse-names":false,"suffix":""},{"dropping-particle":"","family":"Oheimb","given":"Goddert","non-dropping-particle":"von","parse-names":false,"suffix":""}],"container-title":"Ecology Letters","id":"ITEM-3","issue":"7","issued":{"date-parts":[["2017"]]},"page":"892-900","title":"From competition to facilitation: how tree species respond to neighbourhood diversity","type":"article-journal","volume":"20"},"uris":["http://www.mendeley.com/documents/?uuid=d34fb417-e806-40d4-9a5f-4d62f0521965"]}],"mendeley":{"formattedCitation":"(Fichtner et al., 2017; Hajek et al., 2022; King et al., 2023)","plainTextFormattedCitation":"(Fichtner et al., 2017; Hajek et al., 2022; King et al., 2023)","previouslyFormattedCitation":"(Fichtner et al., 2017; Hajek et al., 2022; King et al., 2023)"},"properties":{"noteIndex":0},"schema":"https://github.com/citation-style-language/schema/raw/master/csl-citation.json"}</w:instrText>
      </w:r>
      <w:r w:rsidR="007F6878" w:rsidRPr="00DA5AE2">
        <w:fldChar w:fldCharType="separate"/>
      </w:r>
      <w:bookmarkStart w:id="66" w:name="Bookmark64"/>
      <w:r w:rsidR="007F6878" w:rsidRPr="00DA5AE2">
        <w:rPr>
          <w:noProof/>
        </w:rPr>
        <w:t>(Fichtner et al., 2017; Hajek et al., 2022; King et al., 2023)</w:t>
      </w:r>
      <w:r w:rsidR="007F6878" w:rsidRPr="00DA5AE2">
        <w:fldChar w:fldCharType="end"/>
      </w:r>
      <w:bookmarkEnd w:id="66"/>
      <w:r w:rsidR="007F6878" w:rsidRPr="00DA5AE2">
        <w:t>.</w:t>
      </w:r>
      <w:r w:rsidR="00D17554" w:rsidRPr="00DA5AE2">
        <w:t xml:space="preserve"> </w:t>
      </w:r>
      <w:r w:rsidR="00555067" w:rsidRPr="00DA5AE2">
        <w:t xml:space="preserve">Alternatively, or in addition, </w:t>
      </w:r>
      <w:r w:rsidR="00D471BF" w:rsidRPr="00DA5AE2">
        <w:t xml:space="preserve">shade-tolerant </w:t>
      </w:r>
      <w:r w:rsidR="00555067" w:rsidRPr="00DA5AE2">
        <w:t xml:space="preserve">species </w:t>
      </w:r>
      <w:r w:rsidR="00D471BF" w:rsidRPr="00DA5AE2">
        <w:t>that are vulnerable to</w:t>
      </w:r>
      <w:r w:rsidR="00555067" w:rsidRPr="00DA5AE2">
        <w:t xml:space="preserve"> drought stress may </w:t>
      </w:r>
      <w:r w:rsidR="000E20BC" w:rsidRPr="00DA5AE2">
        <w:t>have benefitted</w:t>
      </w:r>
      <w:r w:rsidR="00555067" w:rsidRPr="00DA5AE2">
        <w:t xml:space="preserve"> from shade of diverse neighbors </w:t>
      </w:r>
      <w:r w:rsidR="00555067" w:rsidRPr="00DA5AE2">
        <w:fldChar w:fldCharType="begin" w:fldLock="1"/>
      </w:r>
      <w:r w:rsidR="00BE5F2A" w:rsidRPr="00DA5AE2">
        <w:instrText>ADDIN CSL_CITATION {"citationItems":[{"id":"ITEM-1","itemData":{"DOI":"10.1111/1365-2745.13637","ISSN":"13652745","abstract":"Ecologists often invoke interspecific facilitation to help explain positive biodiversity–ecosystem function relationships in plant communities, but seldom test how it occurs. One mechanism through which one species may facilitate another is by ameliorating abiotic stress. Physiological experiments show that a chronic excess of light can cause stress that depresses carbon assimilation. If shading by a plant's neighbours reduces light stress enough, it may facilitate that plant's growth. If light is instead most often a limiting factor for photosynthesis, shading may have an adverse, competitive effect. In a temperate tree diversity experiment, we measured stem growth rates and photosynthetic physiology in broadleaf trees across a gradient of light availability imposed by their neighbours. At the extremes, trees experienced nearly full sun (monoculture), or were shaded by nearby fast-growing conifers (shaded biculture). Most species had slower growth rates with larger neighbours, implying a net competitive effect. On the other hand, the two most shade-tolerant species (Tilia americana and Acer negundo) and the most shade-intolerant one (Betula papyrifera) had faster stem growth rates with larger neighbours. The two shade-tolerant species had the greatest increases in photoinhibition (reduced dark-acclimated Fv/Fm) across the gradient of increasing light availability, which suggests they are more vulnerable to chronic light stress. While most species had lower carbon assimilation rates in the shaded biculture treatment, T. americana had rates up to 25% higher. T. americana also dropped its leaves 3–4 weeks earlier in monocultures, curtailing its growing season. We conclude that although large neighbours can cause light limitation in shade-intolerant species, they can also increase growth through abiotic stress amelioration in shade-tolerant species. Finally, in shade-intolerant B. papyrifera, we find a pattern of stem elongation in trees with larger neighbours, which suggests that a shade avoidance response may account for the apparent positive trend in stem volume. Synthesis. Both positive and negative species interactions in our experiment can be explained in large part by the photosynthetic responses of trees to the light environment created by their neighbours. We show that photosynthetic physiology can help explain the species interactions that underlie biodiversity–ecosystem function relationships. The insights that ecologists gain by searching for s…","author":[{"dropping-particle":"","family":"Kothari","given":"Shan","non-dropping-particle":"","parse-names":false,"suffix":""},{"dropping-particle":"","family":"Montgomery","given":"Rebecca A.","non-dropping-particle":"","parse-names":false,"suffix":""},{"dropping-particle":"","family":"Cavender-Bares","given":"Jeannine","non-dropping-particle":"","parse-names":false,"suffix":""}],"container-title":"Journal of Ecology","id":"ITEM-1","issue":"5","issued":{"date-parts":[["2021"]]},"page":"2000-2018","title":"Physiological responses to light explain competition and facilitation in a tree diversity experiment","type":"article-journal","volume":"109"},"uris":["http://www.mendeley.com/documents/?uuid=4146da41-bbf8-4d65-ae0a-a5f86657e1a2"]}],"mendeley":{"formattedCitation":"(Kothari et al., 2021)","plainTextFormattedCitation":"(Kothari et al., 2021)","previouslyFormattedCitation":"(Kothari et al., 2021)"},"properties":{"noteIndex":0},"schema":"https://github.com/citation-style-language/schema/raw/master/csl-citation.json"}</w:instrText>
      </w:r>
      <w:r w:rsidR="00555067" w:rsidRPr="00DA5AE2">
        <w:fldChar w:fldCharType="separate"/>
      </w:r>
      <w:r w:rsidR="00CC0C67" w:rsidRPr="00DA5AE2">
        <w:rPr>
          <w:noProof/>
        </w:rPr>
        <w:t>(Kothari et al., 2021)</w:t>
      </w:r>
      <w:r w:rsidR="00555067" w:rsidRPr="00DA5AE2">
        <w:fldChar w:fldCharType="end"/>
      </w:r>
      <w:r w:rsidR="00555067" w:rsidRPr="00DA5AE2">
        <w:t xml:space="preserve">. </w:t>
      </w:r>
      <w:r w:rsidR="007F6878" w:rsidRPr="00DA5AE2">
        <w:t>Here, we found that species survival in monoculture was strongly associated with</w:t>
      </w:r>
      <w:r w:rsidR="00023B99" w:rsidRPr="00DA5AE2">
        <w:t xml:space="preserve"> </w:t>
      </w:r>
      <w:r w:rsidR="00D366ED" w:rsidRPr="00DA5AE2">
        <w:t>leaf drought resistance (lower Ψtlp) and</w:t>
      </w:r>
      <w:r w:rsidR="004B2F95" w:rsidRPr="00DA5AE2">
        <w:t xml:space="preserve"> maximum</w:t>
      </w:r>
      <w:r w:rsidR="007F6878" w:rsidRPr="00DA5AE2">
        <w:t xml:space="preserve"> height</w:t>
      </w:r>
      <w:r w:rsidR="0038478F" w:rsidRPr="00DA5AE2">
        <w:t>.</w:t>
      </w:r>
      <w:r w:rsidR="00637EF5" w:rsidRPr="00DA5AE2">
        <w:t xml:space="preserve"> </w:t>
      </w:r>
      <w:r w:rsidR="0038478F" w:rsidRPr="00DA5AE2">
        <w:t>The</w:t>
      </w:r>
      <w:r w:rsidR="007F6878" w:rsidRPr="00DA5AE2">
        <w:t xml:space="preserve"> survival of drought sensitive species</w:t>
      </w:r>
      <w:r w:rsidR="0038478F" w:rsidRPr="00DA5AE2">
        <w:t xml:space="preserve"> </w:t>
      </w:r>
      <w:r w:rsidR="00D366ED" w:rsidRPr="00DA5AE2">
        <w:t>was</w:t>
      </w:r>
      <w:r w:rsidR="00637EF5" w:rsidRPr="00DA5AE2">
        <w:t xml:space="preserve"> </w:t>
      </w:r>
      <w:r w:rsidR="007F6878" w:rsidRPr="00DA5AE2">
        <w:t xml:space="preserve">thus improved </w:t>
      </w:r>
      <w:r w:rsidR="00096A4B" w:rsidRPr="00DA5AE2">
        <w:t>when</w:t>
      </w:r>
      <w:r w:rsidR="00702CB3" w:rsidRPr="00DA5AE2">
        <w:t xml:space="preserve"> </w:t>
      </w:r>
      <w:r w:rsidR="003E2DDC" w:rsidRPr="00DA5AE2">
        <w:t>they</w:t>
      </w:r>
      <w:r w:rsidR="00702CB3" w:rsidRPr="00DA5AE2">
        <w:t xml:space="preserve"> were</w:t>
      </w:r>
      <w:r w:rsidR="00096A4B" w:rsidRPr="00DA5AE2">
        <w:t xml:space="preserve"> planted </w:t>
      </w:r>
      <w:r w:rsidR="007F6878" w:rsidRPr="00DA5AE2">
        <w:t xml:space="preserve">in mixtures. </w:t>
      </w:r>
      <w:r w:rsidR="00452A41" w:rsidRPr="00DA5AE2">
        <w:t>T</w:t>
      </w:r>
      <w:r w:rsidR="007F6878" w:rsidRPr="00DA5AE2">
        <w:t xml:space="preserve">hese finding </w:t>
      </w:r>
      <w:r w:rsidR="00452A41" w:rsidRPr="00DA5AE2">
        <w:t>strongly suggest that</w:t>
      </w:r>
      <w:r w:rsidR="007F6878" w:rsidRPr="00DA5AE2">
        <w:t xml:space="preserve"> mixing of </w:t>
      </w:r>
      <w:r w:rsidR="00CC0710" w:rsidRPr="00DA5AE2">
        <w:t>drought sensitive and resistant</w:t>
      </w:r>
      <w:r w:rsidR="00262FF7" w:rsidRPr="00DA5AE2">
        <w:t xml:space="preserve"> species</w:t>
      </w:r>
      <w:r w:rsidR="00CC0710" w:rsidRPr="00DA5AE2">
        <w:t xml:space="preserve"> can </w:t>
      </w:r>
      <w:r w:rsidR="00CD6C3A" w:rsidRPr="00DA5AE2">
        <w:t xml:space="preserve">increase total plot or plantation level </w:t>
      </w:r>
      <w:r w:rsidR="007F6878" w:rsidRPr="00DA5AE2">
        <w:t xml:space="preserve">survival </w:t>
      </w:r>
      <w:r w:rsidR="007F6878" w:rsidRPr="00DA5AE2">
        <w:fldChar w:fldCharType="begin" w:fldLock="1"/>
      </w:r>
      <w:r w:rsidR="00F14052">
        <w:instrText>ADDIN CSL_CITATION {"citationItems":[{"id":"ITEM-1","itemData":{"DOI":"10.1093/treephys/tpv011","ISSN":"17584469","PMID":"25732385","abstract":"Mixtures can be more productive than monocultures and may therefore use more water, which may make them more susceptible to droughts. The species interactions that influence growth, transpiration and water-use efficiency (WUE, tree growth per unit transpiration) within a given mixture vary with intra-and inter-annual climatic variability, stand density and tree size, but these effects remain poorly quantified. These relationships were examined in mixtures and monocultures of Eucalyptus globulus Labill. and Acacia mearnsii de Wildeman. Growth and transpiration were measured between ages 14 and 15 years. All E. globulus trees in mixture that were growing faster than similar sized trees in monocultures had higher WUE, while trees with similar growth rates had similar WUE. By the age of 14 years A. mearnsii trees were beginning to senesce and there were no longer any relationships between tree size and growth or WUE. The relationship between transpiration and tree size did not differ between treatments for either species, so stand-level increases in transpiration simply reflected the larger mean tree size in mixtures. Increasing neighbourhood basal area increased the complementarity effect on E. globulus growth and transpiration. The complementarity effect also varied throughout the year, but this was not related to the climatic seasonality. This study shows that stand-level responses can be the net effect of a much wider range of individual tree-level responses, but at both levels, if growth has not increased for a given species, it appears unlikely that there will be differences in transpiration or WUE for that species. Growth data may provide a useful initial indication of whether mixtures have higher transpiration or WUE, and which species and tree sizes contribute to this effect.","author":[{"dropping-particle":"","family":"Forrester","given":"David I.","non-dropping-particle":"","parse-names":false,"suffix":""}],"container-title":"Tree Physiology","id":"ITEM-1","issue":"3","issued":{"date-parts":[["2015"]]},"page":"289-304","title":"Transpiration and water-use efficiency in mixed-species forests versus monocultures: Effects of tree size, stand density and season","type":"article-journal","volume":"35"},"uris":["http://www.mendeley.com/documents/?uuid=2b0908cc-23f8-437d-bd52-efb3c69dcb98"]},{"id":"ITEM-2","itemData":{"DOI":"10.1111/nph.15263","ISSN":"14698137","PMID":"29905960","abstract":"(Table presented.). Summary: Although the relationship between species diversity and biomass productivity has been extensively studied in grasslands, the impact of tree species diversity on forest productivity, as well as the main drivers of this relationship, are still under discussion. It is widely accepted that the magnitude of the relationship between tree diversity and forest stand productivity is context specific and depends on environmental conditions, but the underlying mechanisms of this relationship are still not fully understood. Competition reduction and facilitation have been identified as key mechanisms driving the diversity–productivity relationship. However, contrasting results have been reported with respect to the extent to which competition reduction and facilitation determine the diversity–productivity relationship. They appear to depend on regional climate, soil fertility, functional diversity of the tree species involved, and developmental stage of the forest. The purpose of this review is to summarize current knowledge and to suggest a conceptual framework to explain the various processes leading to higher productivity of species-rich forests compared with average yields of their respective monocultures. This framework provides three pathways for possible development of the diversity–productivity relationship under a changing climate.","author":[{"dropping-particle":"","family":"Ammer","given":"Christian","non-dropping-particle":"","parse-names":false,"suffix":""}],"container-title":"New Phytologist","id":"ITEM-2","issue":"1","issued":{"date-parts":[["2019"]]},"page":"50-66","title":"Diversity and forest productivity in a changing climate","type":"article-journal","volume":"221"},"uris":["http://www.mendeley.com/documents/?uuid=6f6cac7e-7732-44fd-9d76-c478a9061339"]},{"id":"ITEM-3","itemData":{"DOI":"10.3389/fevo.2022.974004","author":[{"dropping-particle":"","family":"Su","given":"Rui","non-dropping-particle":"","parse-names":false,"suffix":""},{"dropping-particle":"","family":"Liu","given":"Hui","non-dropping-particle":"","parse-names":false,"suffix":""},{"dropping-particle":"","family":"Wang","given":"Chen","non-dropping-particle":"","parse-names":false,"suffix":""},{"dropping-particle":"","family":"Zhang","given":"Hui","non-dropping-particle":"","parse-names":false,"suffix":""},{"dropping-particle":"","family":"Cui","given":"Jie","non-dropping-particle":"","parse-names":false,"suffix":""}],"id":"ITEM-3","issue":"August","issued":{"date-parts":[["2022"]]},"page":"1-7","title":"Leaf turgor loss point is one of the best predictors of drought-induced tree mortality in tropical forest","type":"article-journal"},"uris":["http://www.mendeley.com/documents/?uuid=38422849-b4df-43d5-95b3-617cb2dd2bbc"]}],"mendeley":{"formattedCitation":"(Ammer, 2019; Forrester, 2015; Su, Liu, Wang, Zhang, &amp; Cui, 2022)","plainTextFormattedCitation":"(Ammer, 2019; Forrester, 2015; Su, Liu, Wang, Zhang, &amp; Cui, 2022)","previouslyFormattedCitation":"(Forrester, 2015; Ammer, 2019; Su, Liu, Wang, Zhang, &amp; Cui, 2022)"},"properties":{"noteIndex":0},"schema":"https://github.com/citation-style-language/schema/raw/master/csl-citation.json"}</w:instrText>
      </w:r>
      <w:r w:rsidR="007F6878" w:rsidRPr="00DA5AE2">
        <w:fldChar w:fldCharType="separate"/>
      </w:r>
      <w:bookmarkStart w:id="67" w:name="Bookmark65"/>
      <w:r w:rsidR="00F14052" w:rsidRPr="00F14052">
        <w:rPr>
          <w:noProof/>
        </w:rPr>
        <w:t>(Ammer, 2019; Forrester, 2015; Su, Liu, Wang, Zhang, &amp; Cui, 2022)</w:t>
      </w:r>
      <w:r w:rsidR="007F6878" w:rsidRPr="00DA5AE2">
        <w:fldChar w:fldCharType="end"/>
      </w:r>
      <w:bookmarkEnd w:id="67"/>
      <w:r w:rsidR="007F6878" w:rsidRPr="00DA5AE2">
        <w:t xml:space="preserve">. </w:t>
      </w:r>
    </w:p>
    <w:p w14:paraId="1A6FC149" w14:textId="1E6DE333" w:rsidR="00B26A2C" w:rsidRPr="00DA5AE2" w:rsidRDefault="00D366ED">
      <w:pPr>
        <w:jc w:val="both"/>
      </w:pPr>
      <w:r w:rsidRPr="00DA5AE2">
        <w:t>The finding</w:t>
      </w:r>
      <w:r w:rsidR="007F6878" w:rsidRPr="00DA5AE2">
        <w:t xml:space="preserve"> of increased survival </w:t>
      </w:r>
      <w:r w:rsidR="00670B03" w:rsidRPr="00DA5AE2">
        <w:t>under</w:t>
      </w:r>
      <w:r w:rsidR="007F6878" w:rsidRPr="00DA5AE2">
        <w:t xml:space="preserve"> drought resistance </w:t>
      </w:r>
      <w:r w:rsidRPr="00DA5AE2">
        <w:t>was</w:t>
      </w:r>
      <w:r w:rsidR="00670B03" w:rsidRPr="00DA5AE2">
        <w:t xml:space="preserve"> associated with </w:t>
      </w:r>
      <w:r w:rsidR="007F6878" w:rsidRPr="00DA5AE2">
        <w:t>functional trait</w:t>
      </w:r>
      <w:r w:rsidR="00670B03" w:rsidRPr="00DA5AE2">
        <w:t>s</w:t>
      </w:r>
      <w:r w:rsidR="007F6878" w:rsidRPr="00DA5AE2">
        <w:t xml:space="preserve"> represent</w:t>
      </w:r>
      <w:r w:rsidR="00670B03" w:rsidRPr="00DA5AE2">
        <w:t>ative of</w:t>
      </w:r>
      <w:r w:rsidR="007F6878" w:rsidRPr="00DA5AE2">
        <w:t xml:space="preserve"> a conservative resource-use strategy</w:t>
      </w:r>
      <w:r w:rsidRPr="00DA5AE2">
        <w:t>.</w:t>
      </w:r>
      <w:r w:rsidR="007F6878" w:rsidRPr="00DA5AE2">
        <w:t xml:space="preserve"> </w:t>
      </w:r>
      <w:r w:rsidR="00530DC3" w:rsidRPr="00DA5AE2">
        <w:t>W</w:t>
      </w:r>
      <w:r w:rsidR="007F6878" w:rsidRPr="00DA5AE2">
        <w:t>e found that low leaf size</w:t>
      </w:r>
      <w:r w:rsidR="004A1E60" w:rsidRPr="00DA5AE2">
        <w:t xml:space="preserve"> and </w:t>
      </w:r>
      <w:r w:rsidR="007F6878" w:rsidRPr="00DA5AE2">
        <w:t xml:space="preserve">low leaf N concentration </w:t>
      </w:r>
      <w:r w:rsidR="00964EC7" w:rsidRPr="00DA5AE2">
        <w:t>were associated with higher</w:t>
      </w:r>
      <w:r w:rsidR="007F6878" w:rsidRPr="00DA5AE2">
        <w:t xml:space="preserve"> species survival in monoculture </w:t>
      </w:r>
      <w:r w:rsidR="007F6878" w:rsidRPr="00DA5AE2">
        <w:fldChar w:fldCharType="begin" w:fldLock="1"/>
      </w:r>
      <w:r w:rsidR="00F14052">
        <w:instrText>ADDIN CSL_CITATION {"citationItems":[{"id":"ITEM-1","itemData":{"DOI":"10.1038/nature02403","ISBN":"0028-0836","ISSN":"0028-0836","PMID":"15103368","abstract":"Bringing together leaf trait data spanning 2,548 species and 175 sites we describe, for the first time at global scale, a universal spectrum of leaf economics consisting of key chemical, structural and physiological properties. The spectrum runs from quick to slow return on investments of nutrients and dry mass in leaves, and operates largely independently of growth form, plant functional type or biome. Categories along the spectrum would, in general, describe leaf economic variation at the global scale better than plant functional types overlap substantially in their leaf traits. Overall, modulation of leaf traits and trait relationships by climate is surprisingly modest, although some striking and significant patterns can be seen. Reliable quantification of the leaf economics spectrum and its interaction with climate will prove valuable for modelling nutrient fluxes and vegetation boundaries under changing land-use and climate.","author":[{"dropping-particle":"","family":"Wright","given":"I J","non-dropping-particle":"","parse-names":false,"suffix":""},{"dropping-particle":"","family":"Westoby","given":"M","non-dropping-particle":"","parse-names":false,"suffix":""},{"dropping-particle":"","family":"Reich","given":"P B","non-dropping-particle":"","parse-names":false,"suffix":""},{"dropping-particle":"","family":"Oleksyn","given":"J","non-dropping-particle":"","parse-names":false,"suffix":""},{"dropping-particle":"","family":"Ackerly","given":"D D","non-dropping-particle":"","parse-names":false,"suffix":""},{"dropping-particle":"","family":"Baruch","given":"Z","non-dropping-particle":"","parse-names":false,"suffix":""},{"dropping-particle":"","family":"Bongers","given":"F","non-dropping-particle":"","parse-names":false,"suffix":""},{"dropping-particle":"","family":"Cavender-Bares","given":"J","non-dropping-particle":"","parse-names":false,"suffix":""},{"dropping-particle":"","family":"Chapin","given":"T","non-dropping-particle":"","parse-names":false,"suffix":""},{"dropping-particle":"","family":"Cornellissen","given":"J H C","non-dropping-particle":"","parse-names":false,"suffix":""},{"dropping-particle":"","family":"Diemer","given":"M","non-dropping-particle":"","parse-names":false,"suffix":""},{"dropping-particle":"","family":"Flexas","given":"J","non-dropping-particle":"","parse-names":false,"suffix":""},{"dropping-particle":"","family":"Gulias","given":"J","non-dropping-particle":"","parse-names":false,"suffix":""},{"dropping-particle":"","family":"Garnier","given":"E","non-dropping-particle":"","parse-names":false,"suffix":""},{"dropping-particle":"","family":"Navas","given":"M L","non-dropping-particle":"","parse-names":false,"suffix":""},{"dropping-particle":"","family":"Roumet","given":"C","non-dropping-particle":"","parse-names":false,"suffix":""},{"dropping-particle":"","family":"Groom","given":"P K","non-dropping-particle":"","parse-names":false,"suffix":""},{"dropping-particle":"","family":"Lamont","given":"B B","non-dropping-particle":"","parse-names":false,"suffix":""},{"dropping-particle":"","family":"Hikosaka","given":"K","non-dropping-particle":"","parse-names":false,"suffix":""},{"dropping-particle":"","family":"Lee","given":"T","non-dropping-particle":"","parse-names":false,"suffix":""},{"dropping-particle":"","family":"Lee","given":"W","non-dropping-particle":"","parse-names":false,"suffix":""},{"dropping-particle":"","family":"Lusk","given":"C","non-dropping-particle":"","parse-names":false,"suffix":""},{"dropping-particle":"","family":"Midgley","given":"J J","non-dropping-particle":"","parse-names":false,"suffix":""},{"dropping-particle":"","family":"Niinemets","given":"Ü","non-dropping-particle":"","parse-names":false,"suffix":""},{"dropping-particle":"","family":"Osada","given":"H","non-dropping-particle":"","parse-names":false,"suffix":""},{"dropping-particle":"","family":"Poorter","given":"H","non-dropping-particle":"","parse-names":false,"suffix":""},{"dropping-particle":"","family":"Pool","given":"P","non-dropping-particle":"","parse-names":false,"suffix":""},{"dropping-particle":"","family":"Veneklaas","given":"E J","non-dropping-particle":"","parse-names":false,"suffix":""},{"dropping-particle":"","family":"Prior","given":"L","non-dropping-particle":"","parse-names":false,"suffix":""},{"dropping-particle":"","family":"Pyankov","given":"V I","non-dropping-particle":"","parse-names":false,"suffix":""},{"dropping-particle":"","family":"Thomas","given":"S C","non-dropping-particle":"","parse-names":false,"suffix":""},{"dropping-particle":"","family":"Tjoelker","given":"M G","non-dropping-particle":"","parse-names":false,"suffix":""},{"dropping-particle":"","family":"Villar","given":"R","non-dropping-particle":"","parse-names":false,"suffix":""}],"container-title":"Nature","id":"ITEM-1","issued":{"date-parts":[["2004"]]},"page":"821-827","title":"The worldwide leaf economics spectrum","type":"article-journal","volume":"428"},"uris":["http://www.mendeley.com/documents/?uuid=917bcc1f-f966-4cb9-9309-74ad35b154ba"]},{"id":"ITEM-2","itemData":{"DOI":"10.1111/1365-2745.12211","ISBN":"2806","ISSN":"00220477","PMID":"9391094","abstract":"*\\nThe leaf economics spectrum (LES) provides a useful framework for examining species strategies as shaped by their evolutionary history. However, that spectrum, as originally described, involved only two key resources (carbon and nutrients) and one of three economically important plant organs. Herein, I evaluate whether the economics spectrum idea can be broadly extended to water – the third key resource –stems, roots and entire plants and to individual, community and ecosystem scales. My overarching hypothesis is that strong selection along trait trade-off axes, in tandem with biophysical constraints, results in convergence for any taxon on a uniformly fast, medium or slow strategy (i.e. rates of resource acquisition and processing) for all organs and all resources.\\n\\n\\n\\n*\\nEvidence for economic trait spectra exists for stems and roots as well as leaves, and for traits related to water as well as carbon and nutrients. These apply generally within and across scales (within and across communities, climate zones, biomes and lineages).\\n\\n\\n\\n*\\nThere are linkages across organs and coupling among resources, resulting in an integrated whole-plant economics spectrum. Species capable of moving water rapidly have low tissue density, short tissue life span and high rates of resource acquisition and flux at organ and individual scales. The reverse is true for species with the slow strategy. Different traits may be important in different conditions, but as being fast in one respect generally requires being fast in others, being fast or slow is a general feature of species.\\n\\n\\n\\n*\\nEconomic traits influence performance and fitness consistent with trait-based theory about underlying adaptive mechanisms. Traits help explain differences in growth and survival across resource gradients and thus help explain the distribution of species and the assembly of communities across light, water and nutrient gradients. Traits scale up – fast traits are associated with faster rates of ecosystem processes such as decomposition or primary productivity, and slow traits with slow process rates.\\n\\n\\n\\n*\\nSynthesis. Traits matter. A single ‘fast–slow’ plant economics spectrum that integrates across leaves, stems and roots is a key feature of the plant universe and helps to explain individual ecological strategies, community assembly processes and the functioning of ecosystems.","author":[{"dropping-particle":"","family":"Reich","given":"Peter B.","non-dropping-particle":"","parse-names":false,"suffix":""}],"container-title":"Journal of Ecology","editor":[{"dropping-particle":"","family":"Cornelissen","given":"Hans","non-dropping-particle":"","parse-names":false,"suffix":""}],"id":"ITEM-2","issue":"2","issued":{"date-parts":[["2014","3"]]},"page":"275-301","title":"The world-wide ‘fast-slow’ plant economics spectrum: a traits manifesto","type":"article-journal","volume":"102"},"uris":["http://www.mendeley.com/documents/?uuid=4cdcd298-f40f-47ac-87e4-f94b80f6310b"]},{"id":"ITEM-3","itemData":{"DOI":"10.1038/nature16489","ISBN":"1476-4687","ISSN":"0028-0836","PMID":"26700811","abstract":"Earth is home to a remarkable diversity of plant forms and life histories, yet comparatively few essential trait combinations have proved evolutionarily viable in today’s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 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Colin Prentice","given":"I.","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E","non-dropping-particle":"","parse-names":false,"suffix":""},{"dropping-particle":"","family":"Chave","given":"Jérôme","non-dropping-particle":"","parse-names":false,"suffix":""},{"dropping-particle":"","family":"Joseph Wright","given":"S.","non-dropping-particle":"","parse-names":false,"suffix":""},{"dropping-particle":"","family":"Sheremet’ev","given":"Serge N.","non-dropping-particle":"","parse-names":false,"suffix":""},{"dropping-particle":"","family":"Jactel","given":"Hervé","non-dropping-particle":"","parse-names":false,"suffix":""},{"dropping-particle":"","family":"Baraloto","given":"Christopher","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D.","non-dropping-particle":"","parse-names":false,"suffix":""}],"container-title":"Nature","id":"ITEM-3","issue":"7585","issued":{"date-parts":[["2016","1","23"]]},"page":"167-171","publisher":"Nature Publishing Group","title":"The global spectrum of plant form and function","type":"article-journal","volume":"529"},"uris":["http://www.mendeley.com/documents/?uuid=e38d3595-d1f4-4714-afa9-aab29e584e88"]}],"mendeley":{"formattedCitation":"(Díaz et al., 2016; Reich, 2014; Wright et al., 2004)","plainTextFormattedCitation":"(Díaz et al., 2016; Reich, 2014; Wright et al., 2004)","previouslyFormattedCitation":"(Wright et al., 2004; Reich, 2014; Díaz et al., 2016)"},"properties":{"noteIndex":0},"schema":"https://github.com/citation-style-language/schema/raw/master/csl-citation.json"}</w:instrText>
      </w:r>
      <w:r w:rsidR="007F6878" w:rsidRPr="00DA5AE2">
        <w:fldChar w:fldCharType="separate"/>
      </w:r>
      <w:bookmarkStart w:id="68" w:name="Bookmark66"/>
      <w:r w:rsidR="00F14052" w:rsidRPr="00F14052">
        <w:rPr>
          <w:noProof/>
        </w:rPr>
        <w:t>(Díaz et al., 2016; Reich, 2014; Wright et al., 2004)</w:t>
      </w:r>
      <w:r w:rsidR="007F6878" w:rsidRPr="00DA5AE2">
        <w:fldChar w:fldCharType="end"/>
      </w:r>
      <w:bookmarkEnd w:id="68"/>
      <w:r w:rsidR="007F6878" w:rsidRPr="00DA5AE2">
        <w:t xml:space="preserve">. Surprisingly, leaf P concentration </w:t>
      </w:r>
      <w:r w:rsidR="00530DC3" w:rsidRPr="00DA5AE2">
        <w:t xml:space="preserve">showed </w:t>
      </w:r>
      <w:r w:rsidR="007F6878" w:rsidRPr="00DA5AE2">
        <w:t xml:space="preserve">an opposite trend indicating higher survival </w:t>
      </w:r>
      <w:r w:rsidR="00AA23FC" w:rsidRPr="00DA5AE2">
        <w:t xml:space="preserve">in species </w:t>
      </w:r>
      <w:r w:rsidR="007F6878" w:rsidRPr="00DA5AE2">
        <w:t>with high</w:t>
      </w:r>
      <w:r w:rsidR="00AA23FC" w:rsidRPr="00DA5AE2">
        <w:t>er</w:t>
      </w:r>
      <w:r w:rsidR="007F6878" w:rsidRPr="00DA5AE2">
        <w:t xml:space="preserve"> leaf P </w:t>
      </w:r>
      <w:r w:rsidR="00624DA7" w:rsidRPr="00DA5AE2">
        <w:t>concentration.</w:t>
      </w:r>
      <w:r w:rsidR="007F6878" w:rsidRPr="00DA5AE2">
        <w:t xml:space="preserve"> </w:t>
      </w:r>
      <w:r w:rsidR="00AA23FC" w:rsidRPr="00DA5AE2">
        <w:t xml:space="preserve">This result </w:t>
      </w:r>
      <w:r w:rsidR="004C3948" w:rsidRPr="00DA5AE2">
        <w:t xml:space="preserve">may be due to </w:t>
      </w:r>
      <w:r w:rsidR="00302571" w:rsidRPr="00DA5AE2">
        <w:t>the fact that</w:t>
      </w:r>
      <w:r w:rsidR="0054120B" w:rsidRPr="00DA5AE2">
        <w:t xml:space="preserve"> species </w:t>
      </w:r>
      <w:r w:rsidR="00AE302A" w:rsidRPr="00DA5AE2">
        <w:t>with</w:t>
      </w:r>
      <w:r w:rsidR="0054120B" w:rsidRPr="00DA5AE2">
        <w:t xml:space="preserve"> leaf P trait data were </w:t>
      </w:r>
      <w:r w:rsidR="00302571" w:rsidRPr="00DA5AE2">
        <w:t xml:space="preserve">mostly </w:t>
      </w:r>
      <w:r w:rsidR="009E0F97" w:rsidRPr="00DA5AE2">
        <w:t>from</w:t>
      </w:r>
      <w:r w:rsidR="007F6878" w:rsidRPr="00DA5AE2">
        <w:t xml:space="preserve"> temperate biomes (Supplementary Metadata M4). </w:t>
      </w:r>
      <w:r w:rsidR="0043614B" w:rsidRPr="00DA5AE2">
        <w:t xml:space="preserve">Another </w:t>
      </w:r>
      <w:r w:rsidR="00EA49B0" w:rsidRPr="00DA5AE2">
        <w:t xml:space="preserve">surprising finding at first glance is the </w:t>
      </w:r>
      <w:r w:rsidR="00A104E8" w:rsidRPr="00DA5AE2">
        <w:t>positive effect of maximum height and negative effects of wood density</w:t>
      </w:r>
      <w:r w:rsidR="005E4A2F" w:rsidRPr="00DA5AE2">
        <w:t xml:space="preserve"> on monoculture survival. </w:t>
      </w:r>
      <w:r w:rsidR="0028678F" w:rsidRPr="00DA5AE2">
        <w:t xml:space="preserve">High wood density and low maximum plant height are known to promote </w:t>
      </w:r>
      <w:r w:rsidR="0098292B" w:rsidRPr="00DA5AE2">
        <w:t>survival in arid biomes</w:t>
      </w:r>
      <w:r w:rsidR="0028678F" w:rsidRPr="00DA5AE2">
        <w:t xml:space="preserve"> and </w:t>
      </w:r>
      <w:r w:rsidR="00862C80" w:rsidRPr="00DA5AE2">
        <w:t>hence</w:t>
      </w:r>
      <w:r w:rsidR="0028678F" w:rsidRPr="00DA5AE2">
        <w:t xml:space="preserve"> </w:t>
      </w:r>
      <w:r w:rsidR="005F0B6D" w:rsidRPr="00DA5AE2">
        <w:t>a viable ecological strategy there is</w:t>
      </w:r>
      <w:r w:rsidR="0028678F" w:rsidRPr="00DA5AE2">
        <w:t xml:space="preserve"> to be small in stature with high wood density</w:t>
      </w:r>
      <w:r w:rsidR="00942375" w:rsidRPr="00DA5AE2">
        <w:t xml:space="preserve"> </w:t>
      </w:r>
      <w:r w:rsidR="00942375" w:rsidRPr="00DA5AE2">
        <w:fldChar w:fldCharType="begin" w:fldLock="1"/>
      </w:r>
      <w:r w:rsidR="00F14052">
        <w:instrText>ADDIN CSL_CITATION {"citationItems":[{"id":"ITEM-1","itemData":{"DOI":"10.1126/sciadv.aav1332","ISSN":"2375-2548","PMID":"30788435","abstract":"Water must be transported long distances in tall plants, resulting in increasing hydraulic resistance, which may place limitations on the maximum plant height ( H max ) in a given habitat. However, the coordination of hydraulic traits with H max and habitat aridity remains poorly understood. To explore whether H max modifies the trade-off between hydraulic efficiency and safety or how water availability might influence the relationship between H max and other hydraulic traits, we compiled a dataset including H max and 11 hydraulic traits for 1281 woody species from 369 sites worldwide. We found that taller species from wet habitats exhibited greater xylem efficiency and lower hydraulic safety, wider conduits, lower conduit density, and lower sapwood density, which were all associated with habitat water availability. Plant height and hydraulic functioning appear to represent a single, coordinated axis of variation, aligned primarily with water availability, thus suggesting an important role for this axis in species sorting processes.","author":[{"dropping-particle":"","family":"Liu","given":"Hui","non-dropping-particle":"","parse-names":false,"suffix":""},{"dropping-particle":"","family":"Gleason","given":"Sean M.","non-dropping-particle":"","parse-names":false,"suffix":""},{"dropping-particle":"","family":"Hao","given":"Guangyou","non-dropping-particle":"","parse-names":false,"suffix":""},{"dropping-particle":"","family":"Hua","given":"Lei","non-dropping-particle":"","parse-names":false,"suffix":""},{"dropping-particle":"","family":"He","given":"Pengcheng","non-dropping-particle":"","parse-names":false,"suffix":""},{"dropping-particle":"","family":"Goldstein","given":"Guillermo","non-dropping-particle":"","parse-names":false,"suffix":""},{"dropping-particle":"","family":"Ye","given":"Qing","non-dropping-particle":"","parse-names":false,"suffix":""}],"container-title":"Science Advances","id":"ITEM-1","issue":"2","issued":{"date-parts":[["2019","2","13"]]},"page":"eaav1332","title":"Hydraulic traits are coordinated with maximum plant height at the global scale","type":"article-journal","volume":"5"},"uris":["http://www.mendeley.com/documents/?uuid=c0dd4a87-7e8b-47f7-b0c4-474adc0ccf3d"]},{"id":"ITEM-2","itemData":{"DOI":"10.1111/gcb.16082","ISSN":"1354-1013","abstract":"Featuring the art of covalent chemistry on 2D and 3D with molecular precision, covalent organic frameworks (COFs) have attracted immense interests from inorganic, organic, polymer, materials and energy chemistry. However, due to the synthetic challenge of “crystallization problem”, structural determination of COFs has been the bottle-neck in speeding up their discovery and design, as well as building up their structure-property relation. Electron diffraction tomography (EDT) have been developed to determine crystal structures of COFs with only sub-micrometer sized single crystals, which enabled the ab initio determination of crystal structure, molecular connectivity, pore metrics, and host-guest interaction at the atomic level. In this review, we summarized the recent developments of EDT for addressing challenges in structure determinations of such e-beam sensitive, organic porous crystals, covering comprehensively automatic data collection, low dose, cryogenic protocols, structural solution method, powder X-ray diffraction refinement, and high-resolution transmission electron microscopy (HRTEM) imaging techniques. We do believe the EDT will propel this field into the new era of COF chemistry with atomic precision, and we envision the wide application of artificial intelligence will promote the structural determination and particle analysis of COFs an</w:instrText>
      </w:r>
      <w:r w:rsidR="00F14052">
        <w:rPr>
          <w:rFonts w:hint="eastAsia"/>
        </w:rPr>
        <w:instrText>d related materials. Tu","author":[{"dropping-particle":"","family":"Guillemot","given":"Joannès","non-dropping-particle":"","parse-names":false,"suffix":""},{"dropping-particle":"","family":"Martin</w:instrText>
      </w:r>
      <w:r w:rsidR="00F14052">
        <w:rPr>
          <w:rFonts w:hint="eastAsia"/>
        </w:rPr>
        <w:instrText>‐</w:instrText>
      </w:r>
      <w:r w:rsidR="00F14052">
        <w:rPr>
          <w:rFonts w:hint="eastAsia"/>
        </w:rPr>
        <w:instrText>StPaul","given":"Nicolas K.","non-dropping-particle":"",</w:instrText>
      </w:r>
      <w:r w:rsidR="00F14052">
        <w:instrText>"parse-names":false,"suffix":""},{"dropping-particle":"","family":"Bulascoschi","given":"Leticia","non-dropping-particle":"","parse-names":false,"suffix":""},{"dropping-particle":"","family":"Poorter","given":"Lourens","non-dropping-particle":"","parse-names":false,"suffix":""},{"dropping-particle":"","family":"Morin","given":"Xavier","non-dropping-particle":"","parse-names":false,"suffix":""},{"dropping-particle":"","family":"Pinho","given":"Bruno X.","non-dropping-particle":"","parse-names":false,"suffix":""},{"dropping-particle":"","family":"Maire","given":"Guerric","non-dropping-particle":"","parse-names":false,"suffix":""},{"dropping-particle":"","family":"Bittencourt","given":"Paulo","non-dropping-particle":"","parse-names":false,"suffix":""},{"dropping-particle":"","family":"Oliveira","given":"Rafael S.","non-dropping-particle":"","parse-names":false,"suffix":""},{"dropping-particle":"","family":"Bongers","given":"Frans","non-dropping-particle":"","parse-names":false,"suffix":""},{"dropping-particle":"","family":"Brouwer","given":"Rens","non-dropping-particle":"","parse-names":false,"suffix":""},{"dropping-particle":"","family":"Pereira","given":"Luciano","non-dropping-particle":"","parse-names":false,"suffix":""},{"dropping-particle":"","family":"Melo","given":"German Andrés Gonzalez","non-dropping-particle":"","parse-names":false,"suffix":""},{"dropping-particle":"","family":"Boonman","given":"Coline C. F.","non-dropping-particle":"","parse-names":false,"suffix":""},{"dropping-particle":"","family":"Brown","given":"Kerry A.","non-dropping-particle":"","parse-names":false,"suffix":""},{"dropping-particle":"","family":"Cerabolini","given":"Bruno E.L.","non-dropping-particle":"","parse-names":false,"suffix":""},{"dropping-particle":"","family":"Niinemets","given":"Ülo","non-dropping-particle":"","parse-names":false,"suffix":""},{"dropping-particle":"","family":"Onoda","given":"Yusuke","non-dropping-particle":"","parse-names":false,"suffix":""},{"dropping-particle":"V.","family":"Schneider","given":"Julio","non-dropping-particle":"","parse-names":false,"suffix":""},{"dropping-particle":"","family":"Sheremetiev","given":"Serge","non-dropping-particle":"","parse-names":false,"suffix":""},{"dropping-particle":"","family":"Brancalion","given":"Pedro H.S.","non-dropping-particle":"","parse-names":false,"suffix":""}],"container-title":"Global Change Biology","id":"ITEM-2","issue":"3","issued":{"date-parts":[["2022","1","10"]]},"page":"287-288","title":"Small and slow is safe: on the drought tolerance of tropical tree species","type":"article-journal","volume":"13"},"uris":["http://www.mendeley.com/documents/?uuid=8a201c99-a70f-4c35-9404-af6785f5f0d7"]}],"mendeley":{"formattedCitation":"(Guillemot et al., 2022; H. Liu et al., 2019)","manualFormatting":"¶(Guillemot et al., 2022; H. Liu et al., 2019)","plainTextFormattedCitation":"(Guillemot et al., 2022; H. Liu et al., 2019)","previouslyFormattedCitation":"(H. Liu et al., 2019; Guillemot et al., 2022)"},"properties":{"noteIndex":0},"schema":"https://github.com/citation-style-language/schema/raw/master/csl-citation.json"}</w:instrText>
      </w:r>
      <w:r w:rsidR="00942375" w:rsidRPr="00DA5AE2">
        <w:fldChar w:fldCharType="separate"/>
      </w:r>
      <w:r w:rsidR="00942375" w:rsidRPr="00DA5AE2">
        <w:rPr>
          <w:noProof/>
        </w:rPr>
        <w:t>¶(Guillemot et al., 2022; H. Liu et al., 2019)</w:t>
      </w:r>
      <w:r w:rsidR="00942375" w:rsidRPr="00DA5AE2">
        <w:fldChar w:fldCharType="end"/>
      </w:r>
      <w:r w:rsidR="00DC6389" w:rsidRPr="00DA5AE2">
        <w:t>.</w:t>
      </w:r>
      <w:r w:rsidR="0028678F" w:rsidRPr="00DA5AE2">
        <w:t xml:space="preserve"> </w:t>
      </w:r>
      <w:r w:rsidR="00DC6389" w:rsidRPr="00DA5AE2">
        <w:t xml:space="preserve">However, tree survival </w:t>
      </w:r>
      <w:r w:rsidR="009840CD" w:rsidRPr="00DA5AE2">
        <w:t xml:space="preserve">together with plant height </w:t>
      </w:r>
      <w:r w:rsidR="00DC6389" w:rsidRPr="00DA5AE2">
        <w:t xml:space="preserve">is usually </w:t>
      </w:r>
      <w:r w:rsidR="009840CD" w:rsidRPr="00DA5AE2">
        <w:t>lower</w:t>
      </w:r>
      <w:r w:rsidR="00DC6389" w:rsidRPr="00DA5AE2">
        <w:t xml:space="preserve"> in stressful arid biomes </w:t>
      </w:r>
      <w:r w:rsidR="009840CD" w:rsidRPr="00DA5AE2">
        <w:t xml:space="preserve">as opposed </w:t>
      </w:r>
      <w:r w:rsidR="00DC6389" w:rsidRPr="00DA5AE2">
        <w:t xml:space="preserve"> to survival</w:t>
      </w:r>
      <w:r w:rsidR="009840CD" w:rsidRPr="00DA5AE2">
        <w:t xml:space="preserve"> of the comparatively larger tree with lower wood density</w:t>
      </w:r>
      <w:r w:rsidR="00DC6389" w:rsidRPr="00DA5AE2">
        <w:t xml:space="preserve"> in temperate biomes</w:t>
      </w:r>
      <w:r w:rsidR="009840CD" w:rsidRPr="00DA5AE2">
        <w:t xml:space="preserve"> </w:t>
      </w:r>
      <w:r w:rsidR="00DC6389" w:rsidRPr="00DA5AE2">
        <w:fldChar w:fldCharType="begin" w:fldLock="1"/>
      </w:r>
      <w:r w:rsidR="001749E5" w:rsidRPr="00DA5AE2">
        <w:instrText>ADDIN CSL_CITATION {"citationItems":[{"id":"ITEM-1","itemData":{"DOI":"10.1126/sciadv.aav1332","ISSN":"2375-2548","PMID":"30788435","abstract":"Water must be transported long distances in tall plants, resulting in increasing hydraulic resistance, which may place limitations on the maximum plant height ( H max ) in a given habitat. However, the coordination of hydraulic traits with H max and habitat aridity remains poorly understood. To explore whether H max modifies the trade-off between hydraulic efficiency and safety or how water availability might influence the relationship between H max and other hydraulic traits, we compiled a dataset including H max and 11 hydraulic traits for 1281 woody species from 369 sites worldwide. We found that taller species from wet habitats exhibited greater xylem efficiency and lower hydraulic safety, wider conduits, lower conduit density, and lower sapwood density, which were all associated with habitat water availability. Plant height and hydraulic functioning appear to represent a single, coordinated axis of variation, aligned primarily with water availability, thus suggesting an important role for this axis in species sorting processes.","author":[{"dropping-particle":"","family":"Liu","given":"Hui","non-dropping-particle":"","parse-names":false,"suffix":""},{"dropping-particle":"","family":"Gleason","given":"Sean M.","non-dropping-particle":"","parse-names":false,"suffix":""},{"dropping-particle":"","family":"Hao","given":"Guangyou","non-dropping-particle":"","parse-names":false,"suffix":""},{"dropping-particle":"","family":"Hua","given":"Lei","non-dropping-particle":"","parse-names":false,"suffix":""},{"dropping-particle":"","family":"He","given":"Pengcheng","non-dropping-particle":"","parse-names":false,"suffix":""},{"dropping-particle":"","family":"Goldstein","given":"Guillermo","non-dropping-particle":"","parse-names":false,"suffix":""},{"dropping-particle":"","family":"Ye","given":"Qing","non-dropping-particle":"","parse-names":false,"suffix":""}],"container-title":"Science Advances","id":"ITEM-1","issue":"2","issued":{"date-parts":[["2019","2","13"]]},"page":"eaav1332","title":"Hydraulic traits are coordinated with maximum plant height at the global scale","type":"article-journal","volume":"5"},"uris":["http://www.mendeley.com/documents/?uuid=c0dd4a87-7e8b-47f7-b0c4-474adc0ccf3d"]}],"mendeley":{"formattedCitation":"(H. Liu et al., 2019)","plainTextFormattedCitation":"(H. Liu et al., 2019)","previouslyFormattedCitation":"(H. Liu et al., 2019)"},"properties":{"noteIndex":0},"schema":"https://github.com/citation-style-language/schema/raw/master/csl-citation.json"}</w:instrText>
      </w:r>
      <w:r w:rsidR="00DC6389" w:rsidRPr="00DA5AE2">
        <w:fldChar w:fldCharType="separate"/>
      </w:r>
      <w:r w:rsidR="00DC6389" w:rsidRPr="00DA5AE2">
        <w:rPr>
          <w:noProof/>
        </w:rPr>
        <w:t>(H. Liu et al., 2019)</w:t>
      </w:r>
      <w:r w:rsidR="00DC6389" w:rsidRPr="00DA5AE2">
        <w:fldChar w:fldCharType="end"/>
      </w:r>
      <w:r w:rsidR="00DC6389" w:rsidRPr="00DA5AE2">
        <w:t xml:space="preserve">. This comparison of within-environmental context findings from literature vs the across-context synthesis in our work may be the cause of our counter-intuitive observed positive effect of maximum plant height and negative effect of wood density on survival. </w:t>
      </w:r>
      <w:r w:rsidR="007F6878" w:rsidRPr="00DA5AE2">
        <w:t xml:space="preserve">We also found strong </w:t>
      </w:r>
      <w:r w:rsidR="009A2555" w:rsidRPr="00DA5AE2">
        <w:t xml:space="preserve">positive </w:t>
      </w:r>
      <w:r w:rsidR="007F6878" w:rsidRPr="00DA5AE2">
        <w:t xml:space="preserve">pairwise correlations between the </w:t>
      </w:r>
      <w:r w:rsidR="00F2095A" w:rsidRPr="00DA5AE2">
        <w:t>ΨP50</w:t>
      </w:r>
      <w:r w:rsidR="007F6878" w:rsidRPr="00DA5AE2">
        <w:t xml:space="preserve">, </w:t>
      </w:r>
      <w:r w:rsidR="00F2095A" w:rsidRPr="00DA5AE2">
        <w:t>Ψtlp</w:t>
      </w:r>
      <w:r w:rsidR="007F6878" w:rsidRPr="00DA5AE2">
        <w:t xml:space="preserve">, and Ψmin and wood density. Furthermore, </w:t>
      </w:r>
      <w:r w:rsidR="00E935CA" w:rsidRPr="00DA5AE2">
        <w:t xml:space="preserve">the </w:t>
      </w:r>
      <w:r w:rsidR="007F6878" w:rsidRPr="00DA5AE2">
        <w:t xml:space="preserve">PCA </w:t>
      </w:r>
      <w:r w:rsidR="00E935CA" w:rsidRPr="00DA5AE2">
        <w:t xml:space="preserve">on the subset of complete trait data </w:t>
      </w:r>
      <w:r w:rsidR="007F6878" w:rsidRPr="00DA5AE2">
        <w:t xml:space="preserve">showed that functional traits indicative of a conservative resource use strategy </w:t>
      </w:r>
      <w:r w:rsidR="007F6878" w:rsidRPr="00DA5AE2">
        <w:fldChar w:fldCharType="begin" w:fldLock="1"/>
      </w:r>
      <w:r w:rsidR="00F14052">
        <w:instrText>ADDIN CSL_CITATION {"citationItems":[{"id":"ITEM-1","itemData":{"DOI":"10.1038/nature02403","ISBN":"0028-0836","ISSN":"0028-0836","PMID":"15103368","abstract":"Bringing together leaf trait data spanning 2,548 species and 175 sites we describe, for the first time at global scale, a universal spectrum of leaf economics consisting of key chemical, structural and physiological properties. The spectrum runs from quick to slow return on investments of nutrients and dry mass in leaves, and operates largely independently of growth form, plant functional type or biome. Categories along the spectrum would, in general, describe leaf economic variation at the global scale better than plant functional types overlap substantially in their leaf traits. Overall, modulation of leaf traits and trait relationships by climate is surprisingly modest, although some striking and significant patterns can be seen. Reliable quantification of the leaf economics spectrum and its interaction with climate will prove valuable for modelling nutrient fluxes and vegetation boundaries under changing land-use and climate.","author":[{"dropping-particle":"","family":"Wright","given":"I J","non-dropping-particle":"","parse-names":false,"suffix":""},{"dropping-particle":"","family":"Westoby","given":"M","non-dropping-particle":"","parse-names":false,"suffix":""},{"dropping-particle":"","family":"Reich","given":"P B","non-dropping-particle":"","parse-names":false,"suffix":""},{"dropping-particle":"","family":"Oleksyn","given":"J","non-dropping-particle":"","parse-names":false,"suffix":""},{"dropping-particle":"","family":"Ackerly","given":"D D","non-dropping-particle":"","parse-names":false,"suffix":""},{"dropping-particle":"","family":"Baruch","given":"Z","non-dropping-particle":"","parse-names":false,"suffix":""},{"dropping-particle":"","family":"Bongers","given":"F","non-dropping-particle":"","parse-names":false,"suffix":""},{"dropping-particle":"","family":"Cavender-Bares","given":"J","non-dropping-particle":"","parse-names":false,"suffix":""},{"dropping-particle":"","family":"Chapin","given":"T","non-dropping-particle":"","parse-names":false,"suffix":""},{"dropping-particle":"","family":"Cornellissen","given":"J H C","non-dropping-particle":"","parse-names":false,"suffix":""},{"dropping-particle":"","family":"Diemer","given":"M","non-dropping-particle":"","parse-names":false,"suffix":""},{"dropping-particle":"","family":"Flexas","given":"J","non-dropping-particle":"","parse-names":false,"suffix":""},{"dropping-particle":"","family":"Gulias","given":"J","non-dropping-particle":"","parse-names":false,"suffix":""},{"dropping-particle":"","family":"Garnier","given":"E","non-dropping-particle":"","parse-names":false,"suffix":""},{"dropping-particle":"","family":"Navas","given":"M L","non-dropping-particle":"","parse-names":false,"suffix":""},{"dropping-particle":"","family":"Roumet","given":"C","non-dropping-particle":"","parse-names":false,"suffix":""},{"dropping-particle":"","family":"Groom","given":"P K","non-dropping-particle":"","parse-names":false,"suffix":""},{"dropping-particle":"","family":"Lamont","given":"B B","non-dropping-particle":"","parse-names":false,"suffix":""},{"dropping-particle":"","family":"Hikosaka","given":"K","non-dropping-particle":"","parse-names":false,"suffix":""},{"dropping-particle":"","family":"Lee","given":"T","non-dropping-particle":"","parse-names":false,"suffix":""},{"dropping-particle":"","family":"Lee","given":"W","non-dropping-particle":"","parse-names":false,"suffix":""},{"dropping-particle":"","family":"Lusk","given":"C","non-dropping-particle":"","parse-names":false,"suffix":""},{"dropping-particle":"","family":"Midgley","given":"J J","non-dropping-particle":"","parse-names":false,"suffix":""},{"dropping-particle":"","family":"Niinemets","given":"Ü","non-dropping-particle":"","parse-names":false,"suffix":""},{"dropping-particle":"","family":"Osada","given":"H","non-dropping-particle":"","parse-names":false,"suffix":""},{"dropping-particle":"","family":"Poorter","given":"H","non-dropping-particle":"","parse-names":false,"suffix":""},{"dropping-particle":"","family":"Pool","given":"P","non-dropping-particle":"","parse-names":false,"suffix":""},{"dropping-particle":"","family":"Veneklaas","given":"E J","non-dropping-particle":"","parse-names":false,"suffix":""},{"dropping-particle":"","family":"Prior","given":"L","non-dropping-particle":"","parse-names":false,"suffix":""},{"dropping-particle":"","family":"Pyankov","given":"V I","non-dropping-particle":"","parse-names":false,"suffix":""},{"dropping-particle":"","family":"Thomas","given":"S C","non-dropping-particle":"","parse-names":false,"suffix":""},{"dropping-particle":"","family":"Tjoelker","given":"M G","non-dropping-particle":"","parse-names":false,"suffix":""},{"dropping-particle":"","family":"Villar","given":"R","non-dropping-particle":"","parse-names":false,"suffix":""}],"container-title":"Nature","id":"ITEM-1","issued":{"date-parts":[["2004"]]},"page":"821-827","title":"The worldwide leaf economics spectrum","type":"article-journal","volume":"428"},"uris":["http://www.mendeley.com/documents/?uuid=917bcc1f-f966-4cb9-9309-74ad35b154ba"]},{"id":"ITEM-2","itemData":{"DOI":"10.1111/1365-2745.12211","ISBN":"2806","ISSN":"00220477","PMID":"9391094","abstract":"*\\nThe leaf economics spectrum (LES) provides a useful framework for examining species strategies as shaped by their evolutionary history. However, that spectrum, as originally described, involved only two key resources (carbon and nutrients) and one of three economically important plant organs. Herein, I evaluate whether the economics spectrum idea can be broadly extended to water – the third key resource –stems, roots and entire plants and to individual, community and ecosystem scales. My overarching hypothesis is that strong selection along trait trade-off axes, in tandem with biophysical constraints, results in convergence for any taxon on a uniformly fast, medium or slow strategy (i.e. rates of resource acquisition and processing) for all organs and all resources.\\n\\n\\n\\n*\\nEvidence for economic trait spectra exists for stems and roots as well as leaves, and for traits related to water as well as carbon and nutrients. These apply generally within and across scales (within and across communities, climate zones, biomes and lineages).\\n\\n\\n\\n*\\nThere are linkages across organs and coupling among resources, resulting in an integrated whole-plant economics spectrum. Species capable of moving water rapidly have low tissue density, short tissue life span and high rates of resource acquisition and flux at organ and individual scales. The reverse is true for species with the slow strategy. Different traits may be important in different conditions, but as being fast in one respect generally requires being fast in others, being fast or slow is a general feature of species.\\n\\n\\n\\n*\\nEconomic traits influence performance and fitness consistent with trait-based theory about underlying adaptive mechanisms. Traits help explain differences in growth and survival across resource gradients and thus help explain the distribution of species and the assembly of communities across light, water and nutrient gradients. Traits scale up – fast traits are associated with faster rates of ecosystem processes such as decomposition or primary productivity, and slow traits with slow process rates.\\n\\n\\n\\n*\\nSynthesis. Traits matter. A single ‘fast–slow’ plant economics spectrum that integrates across leaves, stems and roots is a key feature of the plant universe and helps to explain individual ecological strategies, community assembly processes and the functioning of ecosystems.","author":[{"dropping-particle":"","family":"Reich","given":"Peter B.","non-dropping-particle":"","parse-names":false,"suffix":""}],"container-title":"Journal of Ecology","editor":[{"dropping-particle":"","family":"Cornelissen","given":"Hans","non-dropping-particle":"","parse-names":false,"suffix":""}],"id":"ITEM-2","issue":"2","issued":{"date-parts":[["2014","3"]]},"page":"275-301","title":"The world-wide ‘fast-slow’ plant economics spectrum: a traits manifesto","type":"article-journal","volume":"102"},"uris":["http://www.mendeley.com/documents/?uuid=4cdcd298-f40f-47ac-87e4-f94b80f6310b"]},{"id":"ITEM-3","itemData":{"DOI":"10.1038/nature16489","ISBN":"1476-4687","ISSN":"0028-0836","PMID":"26700811","abstract":"Earth is home to a remarkable diversity of plant forms and life histories, yet comparatively few essential trait combinations have proved evolutionarily viable in today’s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 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Colin Prentice","given":"I.","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E","non-dropping-particle":"","parse-names":false,"suffix":""},{"dropping-particle":"","family":"Chave","given":"Jérôme","non-dropping-particle":"","parse-names":false,"suffix":""},{"dropping-particle":"","family":"Joseph Wright","given":"S.","non-dropping-particle":"","parse-names":false,"suffix":""},{"dropping-particle":"","family":"Sheremet’ev","given":"Serge N.","non-dropping-particle":"","parse-names":false,"suffix":""},{"dropping-particle":"","family":"Jactel","given":"Hervé","non-dropping-particle":"","parse-names":false,"suffix":""},{"dropping-particle":"","family":"Baraloto","given":"Christopher","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D.","non-dropping-particle":"","parse-names":false,"suffix":""}],"container-title":"Nature","id":"ITEM-3","issue":"7585","issued":{"date-parts":[["2016","1","23"]]},"page":"167-171","publisher":"Nature Publishing Group","title":"The global spectrum of plant form and function","type":"article-journal","volume":"529"},"uris":["http://www.mendeley.com/documents/?uuid=e38d3595-d1f4-4714-afa9-aab29e584e88"]}],"mendeley":{"formattedCitation":"(Díaz et al., 2016; Reich, 2014; Wright et al., 2004)","plainTextFormattedCitation":"(Díaz et al., 2016; Reich, 2014; Wright et al., 2004)","previouslyFormattedCitation":"(Wright et al., 2004; Reich, 2014; Díaz et al., 2016)"},"properties":{"noteIndex":0},"schema":"https://github.com/citation-style-language/schema/raw/master/csl-citation.json"}</w:instrText>
      </w:r>
      <w:r w:rsidR="007F6878" w:rsidRPr="00DA5AE2">
        <w:fldChar w:fldCharType="separate"/>
      </w:r>
      <w:bookmarkStart w:id="69" w:name="Bookmark67"/>
      <w:r w:rsidR="00F14052" w:rsidRPr="00F14052">
        <w:rPr>
          <w:noProof/>
        </w:rPr>
        <w:t>(Díaz et al., 2016; Reich, 2014; Wright et al., 2004)</w:t>
      </w:r>
      <w:r w:rsidR="007F6878" w:rsidRPr="00DA5AE2">
        <w:fldChar w:fldCharType="end"/>
      </w:r>
      <w:bookmarkEnd w:id="69"/>
      <w:r w:rsidR="007F6878" w:rsidRPr="00DA5AE2">
        <w:t xml:space="preserve"> correlated with a negative P50 and TLP</w:t>
      </w:r>
      <w:r w:rsidR="00624DA7" w:rsidRPr="00DA5AE2">
        <w:t xml:space="preserve"> along the first axis of variation (30% of variance explained)</w:t>
      </w:r>
      <w:r w:rsidR="00E935CA" w:rsidRPr="00DA5AE2">
        <w:t>.</w:t>
      </w:r>
      <w:r w:rsidR="007F6878" w:rsidRPr="00DA5AE2">
        <w:t xml:space="preserve"> </w:t>
      </w:r>
      <w:r w:rsidR="006F51F4" w:rsidRPr="00DA5AE2">
        <w:t>T</w:t>
      </w:r>
      <w:r w:rsidR="007F6878" w:rsidRPr="00DA5AE2">
        <w:t xml:space="preserve">hese results indicate that drought resistance strategies are coordinated with other ecological strategies that may promote survival </w:t>
      </w:r>
      <w:r w:rsidR="007F6878" w:rsidRPr="00DA5AE2">
        <w:fldChar w:fldCharType="begin" w:fldLock="1"/>
      </w:r>
      <w:r w:rsidR="007F6878" w:rsidRPr="00DA5AE2">
        <w:instrText>ADDIN CSL_CITATION {"citationItems":[{"id":"ITEM-1","itemData":{"DOI":"10.1371/journal.pone.0109211","ISSN":"19326203","PMID":"25423316","abstract":"While the fundamental trade-off in leaf traits related to carbon capture as described by the leaf economics spectrum is well-established among plant species, the relationship of the leaf economics spectrum to stem hydraulics is much less known. Since carbon capture and transpiration are coupled, a close connection between leaf traits and stem hydraulics should be expected. We thus asked whether xylem traits that describe drought tolerance and vulnerability to cavitation are linked to particular leaf traits. We assessed xylem vulnerability, using the pressure sleeve technique, and anatomical xylem characteristics in 39 subtropical tree species grown under common garden conditions in the BEF-China experiment and tested for correlations with traits related to the leaf economics spectrum as well as to stomatal control, including maximum stomatal conductance, vapor pressure deficit at maximum stomatal conductance and vapor pressure deficit at which stomatal conductance is down-regulated. Our results revealed that specific xylem hydraulic conductivity and cavitation resistance were closely linked to traits represented in the leaf economic spectrum, in particular to leaf nitrogen concentration, as well as to log leaf area and leaf carbon to nitrogen ratio but not to any parameter of stomatal conductance. The study highlights the potential use of well-known leaf traits from the leaf economics spectrum to predict plant species' drought resistance.","author":[{"dropping-particle":"","family":"Kröber","given":"Wenzel","non-dropping-particle":"","parse-names":false,"suffix":""},{"dropping-particle":"","family":"Zhang","given":"Shouren","non-dropping-particle":"","parse-names":false,"suffix":""},{"dropping-particle":"","family":"Ehmig","given":"Merten","non-dropping-particle":"","parse-names":false,"suffix":""},{"dropping-particle":"","family":"Bruelheide","given":"Helge","non-dropping-particle":"","parse-names":false,"suffix":""}],"container-title":"PLoS ONE","id":"ITEM-1","issue":"11","issued":{"date-parts":[["2014"]]},"page":"1-24","title":"Linking xylem hydraulic conductivity and vulnerability to the leaf economics spectrum - A cross-species study of 39 evergreen and deciduous broadleaved subtropical tree species","type":"article-journal","volume":"9"},"uris":["http://www.mendeley.com/documents/?uuid=de4e6d9b-1199-4c5e-badf-12eb0611d4c8"]},{"id":"ITEM-2","itemData":{"DOI":"10.1126/sciadv.aav1332","ISSN":"2375-2548","PMID":"30788435","abstract":"Water must be transported long distances in tall plants, resulting in increasing hydraulic resistance, which may place limitations on the maximum plant height ( H max ) in a given habitat. However, the coordination of hydraulic traits with H max and habitat aridity remains poorly understood. To explore whether H max modifies the trade-off between hydraulic efficiency and safety or how water availability might influence the relationship between H max and other hydraulic traits, we compiled a dataset including H max and 11 hydraulic traits for 1281 woody species from 369 sites worldwide. We found that taller species from wet habitats exhibited greater xylem efficiency and lower hydraulic safety, wider conduits, lower conduit density, and lower sapwood density, which were all associated with habitat water availability. Plant height and hydraulic functioning appear to represent a single, coordinated axis of variation, aligned primarily with water availability, thus suggesting an important role for this axis in species sorting processes.","author":[{"dropping-particle":"","family":"Liu","given":"Hui","non-dropping-particle":"","parse-names":false,"suffix":""},{"dropping-particle":"","family":"Gleason","given":"Sean M.","non-dropping-particle":"","parse-names":false,"suffix":""},{"dropping-particle":"","family":"Hao","given":"Guangyou","non-dropping-particle":"","parse-names":false,"suffix":""},{"dropping-particle":"","family":"Hua","given":"Lei","non-dropping-particle":"","parse-names":false,"suffix":""},{"dropping-particle":"","family":"He","given":"Pengcheng","non-dropping-particle":"","parse-names":false,"suffix":""},{"dropping-particle":"","family":"Goldstein","given":"Guillermo","non-dropping-particle":"","parse-names":false,"suffix":""},{"dropping-particle":"","family":"Ye","given":"Qing","non-dropping-particle":"","parse-names":false,"suffix":""}],"container-title":"Science Advances","id":"ITEM-2","issue":"2","issued":{"date-parts":[["2019","2","13"]]},"page":"eaav1332","title":"Hydraulic traits are coordinated with maximum plant height at the global scale","type":"article-journal","volume":"5"},"uris":["http://www.mendeley.com/documents/?uuid=c0dd4a87-7e8b-47f7-b0c4-474adc0ccf3d"]}],"mendeley":{"formattedCitation":"(Kröber, Zhang, Ehmig, &amp; Bruelheide, 2014; H. Liu et al., 2019)","plainTextFormattedCitation":"(Kröber, Zhang, Ehmig, &amp; Bruelheide, 2014; H. Liu et al., 2019)","previouslyFormattedCitation":"(Kröber, Zhang, Ehmig, &amp; Bruelheide, 2014; H. Liu et al., 2019)"},"properties":{"noteIndex":0},"schema":"https://github.com/citation-style-language/schema/raw/master/csl-citation.json"}</w:instrText>
      </w:r>
      <w:r w:rsidR="007F6878" w:rsidRPr="00DA5AE2">
        <w:fldChar w:fldCharType="separate"/>
      </w:r>
      <w:bookmarkStart w:id="70" w:name="Bookmark68"/>
      <w:r w:rsidR="007F6878" w:rsidRPr="00DA5AE2">
        <w:rPr>
          <w:noProof/>
        </w:rPr>
        <w:t>(Kröber, Zhang, Ehmig, &amp; Bruelheide, 2014; H. Liu et al., 2019)</w:t>
      </w:r>
      <w:r w:rsidR="007F6878" w:rsidRPr="00DA5AE2">
        <w:fldChar w:fldCharType="end"/>
      </w:r>
      <w:bookmarkEnd w:id="70"/>
      <w:r w:rsidR="007F6878" w:rsidRPr="00DA5AE2">
        <w:t xml:space="preserve">. Predicting </w:t>
      </w:r>
      <w:r w:rsidR="00884DF4" w:rsidRPr="00DA5AE2">
        <w:t xml:space="preserve">species </w:t>
      </w:r>
      <w:r w:rsidR="007F6878" w:rsidRPr="00DA5AE2">
        <w:t>mortality</w:t>
      </w:r>
      <w:r w:rsidR="00884DF4" w:rsidRPr="00DA5AE2">
        <w:t xml:space="preserve"> solely </w:t>
      </w:r>
      <w:r w:rsidR="007F6878" w:rsidRPr="00DA5AE2">
        <w:t xml:space="preserve">from </w:t>
      </w:r>
      <w:r w:rsidR="007F6878" w:rsidRPr="00DA5AE2">
        <w:lastRenderedPageBreak/>
        <w:t xml:space="preserve">hydraulic traits can be </w:t>
      </w:r>
      <w:r w:rsidR="00884DF4" w:rsidRPr="00DA5AE2">
        <w:t>uncertain</w:t>
      </w:r>
      <w:r w:rsidR="00396B1E" w:rsidRPr="00DA5AE2">
        <w:t xml:space="preserve"> given their correlation with other</w:t>
      </w:r>
      <w:r w:rsidR="007F6878" w:rsidRPr="00DA5AE2">
        <w:t xml:space="preserve"> functional traits, but hydraulic characteristics can still </w:t>
      </w:r>
      <w:r w:rsidR="00C376A8" w:rsidRPr="00DA5AE2">
        <w:t>be used to rank</w:t>
      </w:r>
      <w:r w:rsidR="001A6B10" w:rsidRPr="00DA5AE2">
        <w:t xml:space="preserve"> or define</w:t>
      </w:r>
      <w:r w:rsidR="007F6878" w:rsidRPr="00DA5AE2">
        <w:t xml:space="preserve"> </w:t>
      </w:r>
      <w:r w:rsidR="00C376A8" w:rsidRPr="00DA5AE2">
        <w:t xml:space="preserve">species </w:t>
      </w:r>
      <w:r w:rsidR="007F6878" w:rsidRPr="00DA5AE2">
        <w:t xml:space="preserve">drought resistance </w:t>
      </w:r>
      <w:r w:rsidR="001A6B10" w:rsidRPr="00DA5AE2">
        <w:t>and their capacity to surviv</w:t>
      </w:r>
      <w:r w:rsidR="00101A16" w:rsidRPr="00DA5AE2">
        <w:t xml:space="preserve">e </w:t>
      </w:r>
      <w:r w:rsidR="007F6878" w:rsidRPr="00DA5AE2">
        <w:t xml:space="preserve">climate extremes </w:t>
      </w:r>
      <w:r w:rsidR="007F6878" w:rsidRPr="00DA5AE2">
        <w:fldChar w:fldCharType="begin" w:fldLock="1"/>
      </w:r>
      <w:r w:rsidR="007F6878" w:rsidRPr="00DA5AE2">
        <w:instrText>ADDIN CSL_CITATION {"citationItems":[{"id":"ITEM-1","itemData":{"DOI":"10.1016/j.tree.2021.02.001","ISSN":"01695347","PMID":"33674131","abstract":"Widespread tree mortality following droughts has emerged as an environmentally and economically devastating ‘ecological surprise’. It is well established that tree physiology is important in understanding drought-driven mortality; however, the accuracy of predictions based on physiology alone has been limited. We propose that complicating factors at two levels stymie predictions of drought-driven mortality: (i) organismal-level physiological and site factors that obscure understanding of drought exposure and vulnerability and (ii) community-level ecological interactions, particularly with biotic agents whose effects on tree mortality may reverse expectations based on stress physiology. We conclude with a path forward that emphasizes the need for an integrative approach to stress physiology and biotic agent dynamics when assessing forest risk to drought-driven morality in a changing climate.","author":[{"dropping-particle":"","family":"Trugman","given":"Anna T.","non-dropping-particle":"","parse-names":false,"suffix":""},{"dropping-particle":"","family":"Anderegg","given":"Leander D.L.","non-dropping-particle":"","parse-names":false,"suffix":""},{"dropping-particle":"","family":"Anderegg","given":"William R.L.","non-dropping-particle":"","parse-names":false,"suffix":""},{"dropping-particle":"","family":"Das","given":"Adrian J.","non-dropping-particle":"","parse-names":false,"suffix":""},{"dropping-particle":"","family":"Stephenson","given":"Nathan L.","non-dropping-particle":"","parse-names":false,"suffix":""}],"container-title":"Trends in Ecology and Evolution","id":"ITEM-1","issue":"6","issued":{"date-parts":[["2021"]]},"page":"520-532","publisher":"Elsevier Ltd","title":"Why is Tree Drought Mortality so Hard to Predict?","type":"article-journal","volume":"36"},"uris":["http://www.mendeley.com/documents/?uuid=5cd5a233-0878-4239-bc03-7944c597c122"]}],"mendeley":{"formattedCitation":"(Trugman, Anderegg, Anderegg, Das, &amp; Stephenson, 2021)","plainTextFormattedCitation":"(Trugman, Anderegg, Anderegg, Das, &amp; Stephenson, 2021)","previouslyFormattedCitation":"(Trugman, Anderegg, Anderegg, Das, &amp; Stephenson, 2021)"},"properties":{"noteIndex":0},"schema":"https://github.com/citation-style-language/schema/raw/master/csl-citation.json"}</w:instrText>
      </w:r>
      <w:r w:rsidR="007F6878" w:rsidRPr="00DA5AE2">
        <w:fldChar w:fldCharType="separate"/>
      </w:r>
      <w:bookmarkStart w:id="71" w:name="Bookmark69"/>
      <w:r w:rsidR="007F6878" w:rsidRPr="00DA5AE2">
        <w:rPr>
          <w:noProof/>
        </w:rPr>
        <w:t>(Trugman, Anderegg, Anderegg, Das, &amp; Stephenson, 2021)</w:t>
      </w:r>
      <w:r w:rsidR="007F6878" w:rsidRPr="00DA5AE2">
        <w:fldChar w:fldCharType="end"/>
      </w:r>
      <w:bookmarkEnd w:id="71"/>
      <w:r w:rsidR="007F6878" w:rsidRPr="00DA5AE2">
        <w:t xml:space="preserve">. </w:t>
      </w:r>
    </w:p>
    <w:p w14:paraId="4C56C7F7" w14:textId="77777777" w:rsidR="00B26A2C" w:rsidRPr="00DA5AE2" w:rsidRDefault="007F6878">
      <w:pPr>
        <w:pStyle w:val="Heading3"/>
      </w:pPr>
      <w:r w:rsidRPr="00DA5AE2">
        <w:t>Application of tree diversity to reduce variability in survival</w:t>
      </w:r>
    </w:p>
    <w:p w14:paraId="38421C48" w14:textId="5875601A" w:rsidR="00B26A2C" w:rsidRPr="00DA5AE2" w:rsidRDefault="007F6878">
      <w:pPr>
        <w:jc w:val="both"/>
      </w:pPr>
      <w:r w:rsidRPr="00DA5AE2">
        <w:t xml:space="preserve">Theoretically, reducing survival uncertainty by increasing tree </w:t>
      </w:r>
      <w:r w:rsidR="00720CBB" w:rsidRPr="00DA5AE2">
        <w:t>diversity</w:t>
      </w:r>
      <w:r w:rsidRPr="00DA5AE2">
        <w:t xml:space="preserve"> does not require that trees are planted in mixtures, as </w:t>
      </w:r>
      <w:r w:rsidR="00E9137C" w:rsidRPr="00DA5AE2">
        <w:t xml:space="preserve">planting </w:t>
      </w:r>
      <w:r w:rsidRPr="00DA5AE2">
        <w:t xml:space="preserve">monocultures </w:t>
      </w:r>
      <w:r w:rsidR="00E9137C" w:rsidRPr="00DA5AE2">
        <w:t xml:space="preserve">of </w:t>
      </w:r>
      <w:r w:rsidR="00F463E2" w:rsidRPr="00DA5AE2">
        <w:t xml:space="preserve">several species could </w:t>
      </w:r>
      <w:r w:rsidRPr="00DA5AE2">
        <w:t xml:space="preserve">also </w:t>
      </w:r>
      <w:r w:rsidR="00F463E2" w:rsidRPr="00DA5AE2">
        <w:t>improve survival</w:t>
      </w:r>
      <w:r w:rsidR="00EC7FEB" w:rsidRPr="00DA5AE2">
        <w:t xml:space="preserve"> at the landscape scale</w:t>
      </w:r>
      <w:r w:rsidRPr="00DA5AE2">
        <w:t xml:space="preserve"> </w:t>
      </w:r>
      <w:r w:rsidRPr="00DA5AE2">
        <w:fldChar w:fldCharType="begin" w:fldLock="1"/>
      </w:r>
      <w:r w:rsidRPr="00DA5AE2">
        <w:instrText>ADDIN CSL_CITATION {"citationItems":[{"id":"ITEM-1","itemData":{"DOI":"10.1111/brv.12756","ISSN":"1469185X","abstract":"Biological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author":[{"dropping-particle":"","family":"Loreau","given":"Michel","non-dropping-particle":"","parse-names":false,"suffix":""},{"dropping-particle":"","family":"Barbier","given":"Matthieu","non-dropping-particle":"","parse-names":false,"suffix":""},{"dropping-particle":"","family":"Filotas","given":"Elise","non-dropping-particle":"","parse-names":false,"suffix":""},{"dropping-particle":"","family":"Gravel","given":"Dominique","non-dropping-particle":"","parse-names":false,"suffix":""},{"dropping-particle":"","family":"Isbell","given":"Forest","non-dropping-particle":"","parse-names":false,"suffix":""},{"dropping-particle":"","family":"Miller","given":"Steve J.","non-dropping-particle":"","parse-names":false,"suffix":""},{"dropping-particle":"","family":"Montoya","given":"Jose M.","non-dropping-particle":"","parse-names":false,"suffix":""},{"dropping-particle":"","family":"Wang","given":"Shaopeng","non-dropping-particle":"","parse-names":false,"suffix":""},{"dropping-particle":"","family":"Aussenac","given":"Raphaël","non-dropping-particle":"","parse-names":false,"suffix":""},{"dropping-particle":"","family":"Germain","given":"Rachel","non-dropping-particle":"","parse-names":false,"suffix":""},{"dropping-particle":"","family":"Thompson","given":"Patrick L.","non-dropping-particle":"","parse-names":false,"suffix":""},{"dropping-particle":"","family":"Gonzalez","given":"Andrew","non-dropping-particle":"","parse-names":false,"suffix":""},{"dropping-particle":"","family":"Dee","given":"Laura E.","non-dropping-particle":"","parse-names":false,"suffix":""}],"container-title":"Biological Reviews","id":"ITEM-1","issue":"5","issued":{"date-parts":[["2021"]]},"page":"2333-2354","title":"Biodiversity as insurance: from concept to measurement and application","type":"article-journal","volume":"96"},"uris":["http://www.mendeley.com/documents/?uuid=aa77e2d0-dc15-44eb-9516-2f9c04e2c48f"]}],"mendeley":{"formattedCitation":"(Loreau et al., 2021)","plainTextFormattedCitation":"(Loreau et al., 2021)","previouslyFormattedCitation":"(Loreau et al., 2021)"},"properties":{"noteIndex":0},"schema":"https://github.com/citation-style-language/schema/raw/master/csl-citation.json"}</w:instrText>
      </w:r>
      <w:r w:rsidRPr="00DA5AE2">
        <w:fldChar w:fldCharType="separate"/>
      </w:r>
      <w:bookmarkStart w:id="72" w:name="Bookmark70"/>
      <w:r w:rsidRPr="00DA5AE2">
        <w:rPr>
          <w:noProof/>
        </w:rPr>
        <w:t>(Loreau et al., 2021)</w:t>
      </w:r>
      <w:r w:rsidRPr="00DA5AE2">
        <w:fldChar w:fldCharType="end"/>
      </w:r>
      <w:bookmarkEnd w:id="72"/>
      <w:r w:rsidRPr="00DA5AE2">
        <w:t xml:space="preserve">. However, from a functional perspective, </w:t>
      </w:r>
      <w:r w:rsidR="00CC43EA" w:rsidRPr="00DA5AE2">
        <w:t xml:space="preserve">we found that </w:t>
      </w:r>
      <w:r w:rsidR="00112574" w:rsidRPr="00DA5AE2">
        <w:t>mixtures of</w:t>
      </w:r>
      <w:r w:rsidRPr="00DA5AE2">
        <w:t xml:space="preserve"> </w:t>
      </w:r>
      <w:r w:rsidR="00CE02E2" w:rsidRPr="00DA5AE2">
        <w:t>drought resistant and sensitive</w:t>
      </w:r>
      <w:r w:rsidRPr="00DA5AE2">
        <w:t xml:space="preserve"> </w:t>
      </w:r>
      <w:r w:rsidR="0097718D" w:rsidRPr="00DA5AE2">
        <w:t xml:space="preserve">species respond differently to the </w:t>
      </w:r>
      <w:r w:rsidR="00CC43EA" w:rsidRPr="00DA5AE2">
        <w:t xml:space="preserve">drought disturbance </w:t>
      </w:r>
      <w:r w:rsidR="00BC79CD" w:rsidRPr="00DA5AE2">
        <w:t xml:space="preserve">compared with </w:t>
      </w:r>
      <w:r w:rsidR="00CC43EA" w:rsidRPr="00DA5AE2">
        <w:t>monocultures</w:t>
      </w:r>
      <w:r w:rsidR="00F61754" w:rsidRPr="00DA5AE2">
        <w:t>.</w:t>
      </w:r>
      <w:r w:rsidR="00B42970" w:rsidRPr="00DA5AE2">
        <w:t xml:space="preserve"> </w:t>
      </w:r>
      <w:r w:rsidRPr="00DA5AE2">
        <w:t>First, we found that</w:t>
      </w:r>
      <w:r w:rsidR="00F00871" w:rsidRPr="00DA5AE2">
        <w:t xml:space="preserve"> the</w:t>
      </w:r>
      <w:r w:rsidRPr="00DA5AE2">
        <w:t xml:space="preserve"> survival of drought sensitive species is enhanced when growing in mixture</w:t>
      </w:r>
      <w:r w:rsidR="00F00871" w:rsidRPr="00DA5AE2">
        <w:t>s</w:t>
      </w:r>
      <w:r w:rsidRPr="00DA5AE2">
        <w:t xml:space="preserve">. Hence, planting monocultures of different (drought sensitive) species in a landscape puts the plantations more at risk of dramatic planting failure, in case of </w:t>
      </w:r>
      <w:r w:rsidR="0042416A" w:rsidRPr="00DA5AE2">
        <w:t>increasingly likely</w:t>
      </w:r>
      <w:r w:rsidRPr="00DA5AE2">
        <w:t xml:space="preserve"> intensive droughts. Such a planting failure would result in a significant loss of tree cover, with potential disproportional effects on</w:t>
      </w:r>
      <w:r w:rsidR="00DE28A5" w:rsidRPr="00DA5AE2">
        <w:t xml:space="preserve"> </w:t>
      </w:r>
      <w:r w:rsidRPr="00DA5AE2">
        <w:t xml:space="preserve">associated biodiversity, microclimate, soil development and erosion, and evapotranspiration </w:t>
      </w:r>
      <w:r w:rsidRPr="00DA5AE2">
        <w:fldChar w:fldCharType="begin" w:fldLock="1"/>
      </w:r>
      <w:r w:rsidR="00F14052">
        <w:instrText>ADDIN CSL_CITATION {"citationItems":[{"id":"ITEM-1","itemData":{"DOI":"10.1007/s10021-007-9057-4","ISSN":"14329840","abstract":"Ecosystem patterns and disturbance processes at one spatial scale often interact with processes at another scale, and the result of such cross-scale interactions can be nonlinear dynamics with thresholds. Examples of cross-scale pattern-process relationships and interactions among forest dieback, fire, and erosion are illustrated from northern New Mexico (USA) landscapes, where long-term studies have recently documented all of these disturbance processes. For example, environmental stress, operating on individual trees, can cause tree death that is amplified by insect mortality agents to propagate to patch and then landscape or even regional-scale forest dieback. Severe drought and unusual warmth in the southwestern USA since the late 1990s apparently exceeded species-specific physiological thresholds for multiple tree species, resulting in substantial vegetation mortality across millions of hectares of woodlands and forests in recent years. Predictions of forest dieback across spatial scales are constrained by uncertainties associated with: limited knowledge of species-specific physiological thresholds; individual and site-specific variation in these mortality thresholds; and positive feedback loops between rapidly-responding insect herbivore populations and their stressed plant hosts, sometimes resulting in nonlinear \"pest\" outbreak dynamics. Fire behavior also exhibits nonlinearities across spatial scales, illustrated by changes in historic fire regimes where patch-scale grazing disturbance led to regional-scale collapse of surface fire activity and subsequent recent increases in the scale of extreme fire events in New Mexico. Vegetation dieback interacts with fire activity by modifying fuel amounts and configurations at multiple spatial scales. Runoff and erosion processes are also subject to scale-dependent threshold behaviors, exemplified by ecohydrological work in semiarid New Mexico watersheds showing how declines in ground surface cover lead to non-linear increases in bare patch connectivity and thereby accelerated runoff and erosion at hillslope and watershed scales. Vegetation dieback, grazing, and fire can change land surface properties and cross-scale hydrologic connectivities, directly altering ecohydrological patterns of runoff and erosion. The interactions among disturbance processes across spatial scales can be key drivers in ecosystem dynamics, as illustrated by these studies of recent landscape changes in northern New Mexico. To bette…","author":[{"dropping-particle":"","family":"Allen","given":"Craig D.","non-dropping-particle":"","parse-names":false,"suffix":""}],"container-title":"Ecosystems","id":"ITEM-1","issue":"5","issued":{"date-parts":[["2007"]]},"page":"797-808","title":"Interactions across spatial scales among forest dieback, fire, and erosion in northern New Mexico landscapes","type":"article-journal","volume":"10"},"uris":["http://www.mendeley.com/documents/?uuid=c7f64ed5-28c0-4037-866e-5d371fca3d38"]},{"id":"ITEM-2","itemData":{"DOI":"10.1038/s41467-018-07539-6","ISSN":"20411723","abstract":"Mortality is a key indicator of forest health, and increasing mortality can serve as bellwether for the impacts of global change on forest ecosystems. Here we analyze trends in forest canopy mortality between 1984 and 2016 over more than 30 Mill. ha of temperate forests in Europe, based on a unique dataset of 24,000 visually interpreted spectral trajectories from the Landsat archive. On average, 0.79% of the forest area was affected by natural or human-induced mortality annually. Canopy mortality increased by +2.40% year–1, doubling the forest area affected by mortality since 1984. Areas experiencing low-severity mortality increased more strongly than areas affected by stand-replacing mortality events. Changes in climate and land-use are likely causes of large-scale forest mortality increase. Our findings reveal profound changes in recent forest dynamics with important implications for carbon storage and biodiversity conservation, highlighting the importance of improved monitoring of forest mortality.","author":[{"dropping-particle":"","family":"Senf","given":"Cornelius","non-dropping-particle":"","parse-names":false,"suffix":""},{"dropping-particle":"","family":"Pflugmacher","given":"Dirk","non-dropping-particle":"","parse-names":false,"suffix":""},{"dropping-particle":"","family":"Zhiqiang","given":"Yang","non-dropping-particle":"","parse-names":false,"suffix":""},{"dropping-particle":"","family":"Sebald","given":"Julius","non-dropping-particle":"","parse-names":false,"suffix":""},{"dropping-particle":"","family":"Knorn","given":"Jan","non-dropping-particle":"","parse-names":false,"suffix":""},{"dropping-particle":"","family":"Neumann","given":"Mathias","non-dropping-particle":"","parse-names":false,"suffix":""},{"dropping-particle":"","family":"Hostert","given":"Patrick","non-dropping-particle":"","parse-names":false,"suffix":""},{"dropping-particle":"","family":"Seidl","given":"Rupert","non-dropping-particle":"","parse-names":false,"suffix":""}],"container-title":"Nature Communications","id":"ITEM-2","issue":"1","issued":{"date-parts":[["2018"]]},"page":"1-8","title":"Canopy mortality has doubled in Europe’s temperate forests over the last three decades","type":"article-journal","volume":"9"},"uris":["http://www.mendeley.com/documents/?uuid=b7ac4411-9c05-4fa9-b078-a22ed76626b3"]},{"id":"ITEM-3","itemData":{"DOI":"10.1038/s41559-019-0842-1","ISSN":"2397-334X","author":[{"dropping-particle":"","family":"Frenne","given":"Pieter","non-dropping-particle":"De","parse-names":false,"suffix":""},{"dropping-particle":"","family":"Zellweger","given":"Florian","non-dropping-particle":"","parse-names":false,"suffix":""},{"dropping-particle":"","family":"Rodríguez-Sánchez","given":"Francisco","non-dropping-particle":"","parse-names":false,"suffix":""},{"dropping-particle":"","family":"Scheffers","given":"Brett R.","non-dropping-particle":"","parse-names":false,"suffix":""},{"dropping-particle":"","family":"Hylander","given":"Kristoffer","non-dropping-particle":"","parse-names":false,"suffix":""},{"dropping-particle":"","family":"Luoto","given":"Miska","non-dropping-particle":"","parse-names":false,"suffix":""},{"dropping-particle":"","family":"Vellend","given":"Mark","non-dropping-particle":"","parse-names":false,"suffix":""},{"dropping-particle":"","family":"Verheyen","given":"Kris","non-dropping-particle":"","parse-names":false,"suffix":""},{"dropping-particle":"","family":"Lenoir","given":"Jonathan","non-dropping-particle":"","parse-names":false,"suffix":""}],"container-title":"Nature Ecology &amp; Evolution","id":"ITEM-3","issue":"5","issued":{"date-parts":[["2019","5","1"]]},"page":"744-749","title":"Global buffering of temperatures under forest canopies","type":"article-journal","volume":"3"},"uris":["http://www.mendeley.com/documents/?uuid=1f810567-cb7c-4a17-a8f4-65a0623c89b2"]},{"id":"ITEM-4","itemData":{"DOI":"10.1073/pnas.2002314117","ISSN":"1091-6490","PMID":"33139533","abstract":"Forest vulnerability to drought is expected to increase under anthropogenic climate change, and drought-induced mortality and community dynamics following drought have major ecological and societal impacts. Here, we show that tree mortality concomitant with drought has led to short-term (mean 5 y, range 1 to 23 y after mortality) vegetation-type conversion in multiple biomes across the world (131 sites). Self-replacement of the dominant tree species was only prevalent in 21% of the examined cases and forests and woodlands shifted to nonwoody vegetation in 10% of them. The ultimate temporal persistence of such changes remains unknown but, given the key role of biological legacies in long-term ecological succession, this emerging picture of postdrought ecological trajectories highlights the potential for major ecosystem reorganization in the coming decades. Community changes were less pronounced under wetter postmortality conditions. Replacement was also influenced by management intensity, and postdrought shrub dominance was higher when pathogens acted as codrivers of tree mortality. Early change in community composition indicates that forests dominated by mesic species generally shifted toward more xeric communities, with replacing tree and shrub species exhibiting drier bioclimatic optima and distribution ranges. However, shifts toward more mesic communities also occurred and multiple pathways of forest replacement were observed for some species. Drought characteristics, species-specific environmental preferences, plant traits, and ecosystem legacies govern postdrought species turnover and subsequent ecological trajectories, with potential far-reaching implications for forest biodiversity and ecosystem services.","author":[{"dropping-particle":"","family":"Batllori","given":"Enric","non-dropping-particle":"","parse-names":false,"suffix":""},{"dropping-particle":"","family":"Lloret","given":"Francisco","non-dropping-particle":"","parse-names":false,"suffix":""},{"dropping-particle":"","family":"Aakala","given":"Tuomas","non-dropping-particle":"","parse-names":false,"suffix":""},{"dropping-particle":"","family":"Anderegg","given":"William R L","non-dropping-particle":"","parse-names":false,"suffix":""},{"dropping-particle":"","family":"Aynekulu","given":"Ermias","non-dropping-particle":"","parse-names":false,"suffix":""},{"dropping-particle":"","family":"Bendixsen","given":"Devin P","non-dropping-particle":"","parse-names":false,"suffix":""},{"dropping-particle":"","family":"Bentouati","given":"Abdallah","non-dropping-particle":"","parse-names":false,"suffix":""},{"dropping-particle":"","family":"Bigler","given":"Christof","non-dropping-particle":"","parse-names":false,"suffix":""},{"dropping-particle":"","family":"Burk","given":"C John","non-dropping-particle":"","parse-names":false,"suffix":""},{"dropping-particle":"","family":"Camarero","given":"J Julio","non-dropping-particle":"","parse-names":false,"suffix":""},{"dropping-particle":"","family":"Colangelo","given":"Michele","non-dropping-particle":"","parse-names":false,"suffix":""},{"dropping-particle":"","family":"Coop","given":"Jonathan D","non-dropping-particle":"","parse-names":false,"suffix":""},{"dropping-particle":"","family":"Fensham","given":"Roderick","non-dropping-particle":"","parse-names":false,"suffix":""},{"dropping-particle":"","family":"Floyd","given":"M Lisa","non-dropping-particle":"","parse-names":false,"suffix":""},{"dropping-particle":"","family":"Galiano","given":"Lucía","non-dropping-particle":"","parse-names":false,"suffix":""},{"dropping-particle":"","family":"Ganey","given":"Joseph L","non-dropping-particle":"","parse-names":false,"suffix":""},{"dropping-particle":"","family":"Gonzalez","given":"Patrick","non-dropping-particle":"","parse-names":false,"suffix":""},{"dropping-particle":"","family":"Jacobsen","given":"Anna L","non-dropping-particle":"","parse-names":false,"suffix":""},{"dropping-particle":"","family":"Kane","given":"Jeffrey Michael","non-dropping-particle":"","parse-names":false,"suffix":""},{"dropping-particle":"","family":"Kitzberger","given":"Thomas","non-dropping-particle":"","parse-names":false,"suffix":""},{"dropping-particle":"","family":"Linares","given":"Juan C","non-dropping-particle":"","parse-names":false,"suffix":""},{"dropping-particle":"","family":"Marchetti","given":"Suzanne B","non-dropping-particle":"","parse-names":false,"suffix":""},{"dropping-particle":"","family":"Matusick","given":"George","non-dropping-particle":"","parse-names":false,"suffix":""},{"dropping-particle":"","family":"Michaelian","given":"Michael","non-dropping-particle":"","parse-names":false,"suffix":""},{"dropping-particle":"","family":"Navarro-Cerrillo","given":"Rafael M","non-dropping-particle":"","parse-names":false,"suffix":""},{"dropping-particle":"","family":"Pratt","given":"Robert Brandon","non-dropping-particle":"","parse-names":false,"suffix":""},{"dropping-particle":"","family":"Redmond","given":"Miranda D","non-dropping-particle":"","parse-names":false,"suffix":""},{"dropping-particle":"","family":"Rigling","given":"Andreas","non-dropping-particle":"","parse-names":false,"suffix":""},{"dropping-particle":"","family":"Ripullone","given":"Francesco","non-dropping-particle":"","parse-names":false,"suffix":""},{"dropping-particle":"","family":"Sangüesa-Barreda","given":"Gabriel","non-dropping-particle":"","parse-names":false,"suffix":""},{"dropping-particle":"","family":"Sasal","given":"Yamila","non-dropping-particle":"","parse-names":false,"suffix":""},{"dropping-particle":"","family":"Saura-Mas","given":"S</w:instrText>
      </w:r>
      <w:r w:rsidR="00F14052" w:rsidRPr="00F14052">
        <w:rPr>
          <w:lang w:val="nl-BE"/>
        </w:rPr>
        <w:instrText>andra","non-dropping-particle":"","parse-names":false,"suffix":""},{"dropping-particle":"","family":"Suarez","given":"Maria Laura","non-dropping-particle":"","parse-names":false,"suffix":""},{"dropping-particle":"","family":"Veblen","given":"Thomas T","non-dropping-particle":"","parse-names":false,"suffix":""},{"dropping-particle":"","family":"Vilà-Cabrera","given":"Albert","non-dropping-particle":"","parse-names":false,"suffix":""},{"dropping-particle":"","family":"Vincke","given":"Caroline","non-dropping-particle":"","parse-names":false,"suffix":""},{"dropping-particle":"","family":"Zeeman","given":"Ben","non-dropping-particle":"","parse-names":false,"suffix":""}],"container-title":"Proceedings of the National Academy of Sciences of the United States of America","id":"ITEM-4","issued":{"date-parts":[["2020"]]},"page":"1-10","title":"Forest and woodland replacement patterns following drought-related mortality.","type":"article-journal"},"uris":["http://www.mendeley.com/documents/?uuid=3a69ead1-2918-402c-b73b-b0811da7d6c5"]}],"mendeley":{"formattedCitation":"(Allen, 2007; Batllori et al., 2020; De Frenne et al., 2019; Senf et al., 2018)","plainTextFormattedCitation":"(Allen, 2007; Batllori et al., 2020; De Frenne et al., 2019; Senf et al., 2018)","previouslyFormattedCitation":"(Allen, 2007; Senf et al., 2018; De Frenne et al., 2019; Batllori et al., 2020)"},"properties":{"noteIndex":0},"schema":"https://github.com/citation-style-language/schema/raw/master/csl-citation.json"}</w:instrText>
      </w:r>
      <w:r w:rsidRPr="00DA5AE2">
        <w:fldChar w:fldCharType="separate"/>
      </w:r>
      <w:bookmarkStart w:id="73" w:name="Bookmark71"/>
      <w:r w:rsidR="00F14052" w:rsidRPr="00F14052">
        <w:rPr>
          <w:noProof/>
          <w:lang w:val="nl-BE"/>
        </w:rPr>
        <w:t>(Allen, 2007; Batllori et al., 2020; De Frenne et al., 2019; Senf et al., 2018)</w:t>
      </w:r>
      <w:r w:rsidRPr="00DA5AE2">
        <w:fldChar w:fldCharType="end"/>
      </w:r>
      <w:bookmarkEnd w:id="73"/>
      <w:r w:rsidRPr="00DA5AE2">
        <w:rPr>
          <w:lang w:val="nl-BE"/>
        </w:rPr>
        <w:t xml:space="preserve">. </w:t>
      </w:r>
      <w:r w:rsidRPr="00DA5AE2">
        <w:t xml:space="preserve">Hence, a landscape consisting of </w:t>
      </w:r>
      <w:r w:rsidR="008E3AF3" w:rsidRPr="00DA5AE2">
        <w:t xml:space="preserve">large-scaled </w:t>
      </w:r>
      <w:r w:rsidRPr="00DA5AE2">
        <w:t xml:space="preserve">monocultures from a varied species palette would not be equally functioning under a future climate as a landscape with mixtures from that same varied species palette </w:t>
      </w:r>
      <w:r w:rsidRPr="00DA5AE2">
        <w:fldChar w:fldCharType="begin" w:fldLock="1"/>
      </w:r>
      <w:r w:rsidRPr="00DA5AE2">
        <w:instrText>ADDIN CSL_CITATION {"citationItems":[{"id":"ITEM-1","itemData":{"DOI":"10.1111/conl.12829","ISSN":"1755263X","abstract":"As of 2020, the world has an estimated 290 million ha of planted forests and this number is continuously increasing. Of these, 131 million ha are monospecific planted forests under intensive management. Although monospecific planted forests are important in providing timber, they harbor less biodiversity and are potentially more susceptible to disturbances than natural or diverse planted forests. Here, we point out the increasing scientific evidence for increased resilience and ecosystem service provision of functionally and species diverse planted forests (hereafter referred to as diverse planted forests) compared to monospecific ones. Furthermore, we propose five concrete steps to foster the adoption of diverse planted forests: (1) improve awareness of benefits and practical options of diverse planted forests among land-owners, managers, and investors; (2) incentivize tree species diversity in public funding of afforestation and programs to diversify current maladapted planted forests of low diversity; (3) develop new wood-based products that can be derived from many different tree species not yet in use; (4) invest in research to assess landscape benefits of diverse planted forests for functional connectivity and resilience to global-change threats; and (5) improve the evidence base on diverse planted forests, in particular in currently under-represented regions, where new options could be tested.","author":[{"dropping-particle":"","family":"Messier","given":"Christian","non-dropping-particle":"","parse-names":false,"suffix":""},{"dropping-particle":"","family":"Bauhus","given":"Jürgen","non-dropping-particle":"","parse-names":false,"suffix":""},{"dropping-particle":"","family":"Sousa-Silva","given":"Rita","non-dropping-particle":"","parse-names":false,"suffix":""},{"dropping-particle":"","family":"Auge","given":"Harald","non-dropping-particle":"","parse-names":false,"suffix":""},{"dropping-particle":"","family":"Baeten","given":"Lander","non-dropping-particle":"","parse-names":false,"suffix":""},{"dropping-particle":"","family":"Barsoum","given":"Nadia","non-dropping-particle":"","parse-names":false,"suffix":""},{"dropping-particle":"","family":"Bruelheide","given":"Helge","non-dropping-particle":"","parse-names":false,"suffix":""},{"dropping-particle":"","family":"Caldwell","given":"Benjamin","non-dropping-particle":"","parse-names":false,"suffix":""},{"dropping-particle":"","family":"Cavender-Bares","given":"Jeannine","non-dropping-particle":"","parse-names":false,"suffix":""},{"dropping-particle":"","family":"Dhiedt","given":"Els","non-dropping-particle":"","parse-names":false,"suffix":""},{"dropping-particle":"","family":"Eisenhauer","given":"Nico","non-dropping-particle":"","parse-names":false,"suffix":""},{"dropping-particle":"","family":"Ganade","given":"Gislene","non-dropping-particle":"","parse-names":false,"suffix":""},{"dropping-particle":"","family":"Gravel","given":"Dominique","non-dropping-particle":"","parse-names":false,"suffix":""},{"dropping-particle":"","family":"Guillemot","given":"Joannès","non-dropping-particle":"","parse-names":false,"suffix":""},{"dropping-particle":"","family":"Hall","given":"Jefferson S.","non-dropping-particle":"","parse-names":false,"suffix":""},{"dropping-particle":"","family":"Hector","given":"Andrew","non-dropping-particle":"","parse-names":false,"suffix":""},{"dropping-particle":"","family":"Hérault","given":"Bruno","non-dropping-particle":"","parse-names":false,"suffix":""},{"dropping-particle":"","family":"Jactel","given":"Hervé","non-dropping-particle":"","parse-names":false,"suffix":""},{"dropping-particle":"","family":"Koricheva","given":"Julia","non-dropping-particle":"","parse-names":false,"suffix":""},{"dropping-particle":"","family":"Kreft","given":"Holger","non-dropping-particle":"","parse-names":false,"suffix":""},{"dropping-particle":"","family":"Mereu","given":"Simone","non-dropping-particle":"","parse-names":false,"suffix":""},{"dropping-particle":"","family":"Muys","given":"Bart","non-dropping-particle":"","parse-names":false,"suffix":""},{"dropping-particle":"","family":"Nock","given":"Charles A.","non-dropping-particle":"","parse-names":false,"suffix":""},{"dropping-particle":"","family":"Paquette","given":"Alain","non-dropping-particle":"","parse-names":false,"suffix":""},{"dropping-particle":"","family":"Parker","given":"John D.","non-dropping-particle":"","parse-names":false,"suffix":""},{"dropping-particle":"","family":"Perring","given":"Michael P.","non-dropping-particle":"","parse-names":false,"suffix":""},{"dropping-particle":"","family":"Ponette","given":"Quentin","non-dropping-particle":"","parse-names":false,"suffix":""},{"dropping-particle":"","family":"Potvin","given":"Catherine","non-dropping-particle":"","parse-names":false,"suffix":""},{"dropping-particle":"","family":"Reich","given":"Peter B.","non-dropping-particle":"","parse-names":false,"suffix":""},{"dropping-particle":"","family":"Scherer-Lorenzen","given":"Michael","non-dropping-particle":"","parse-names":false,"suffix":""},{"dropping-particle":"","family":"Schnabel","given":"Florian","non-dropping-particle":"","parse-names":false,"suffix":""},{"dropping-particle":"","family":"Verheyen","given":"Kris","non-dropping-particle":"","parse-names":false,"suffix":""},{"dropping-particle":"","family":"Weih","given":"Martin","non-dropping-particle":"","parse-names":false,"suffix":""},{"dropping-particle":"","family":"Wollni","given":"Meike","non-dropping-particle":"","parse-names":false,"suffix":""},{"dropping-particle":"","family":"Zemp","given":"Delphine Clara","non-dropping-particle":"","parse-names":false,"suffix":""}],"container-title":"Conservation Letters","id":"ITEM-1","issue":"January","issued":{"date-parts":[["2021"]]},"page":"1-8","title":"For the sake of resilience and multifunctionality, let's diversify planted forests!","type":"article-journal"},"uris":["http://www.mendeley.com/documents/?uuid=286048ff-6b1d-40e9-8dd4-a605e4432135"]}],"mendeley":{"formattedCitation":"(Messier et al., 2021)","plainTextFormattedCitation":"(Messier et al., 2021)","previouslyFormattedCitation":"(Messier et al., 2021)"},"properties":{"noteIndex":0},"schema":"https://github.com/citation-style-language/schema/raw/master/csl-citation.json"}</w:instrText>
      </w:r>
      <w:r w:rsidRPr="00DA5AE2">
        <w:fldChar w:fldCharType="separate"/>
      </w:r>
      <w:bookmarkStart w:id="74" w:name="Bookmark72"/>
      <w:r w:rsidRPr="00DA5AE2">
        <w:rPr>
          <w:noProof/>
        </w:rPr>
        <w:t>(Messier et al., 2021)</w:t>
      </w:r>
      <w:r w:rsidRPr="00DA5AE2">
        <w:fldChar w:fldCharType="end"/>
      </w:r>
      <w:bookmarkEnd w:id="74"/>
      <w:r w:rsidRPr="00DA5AE2">
        <w:t xml:space="preserve"> or an already present diverse ecosystem </w:t>
      </w:r>
      <w:r w:rsidRPr="00DA5AE2">
        <w:fldChar w:fldCharType="begin" w:fldLock="1"/>
      </w:r>
      <w:r w:rsidRPr="00DA5AE2">
        <w:instrText>ADDIN CSL_CITATION {"citationItems":[{"id":"ITEM-1","itemData":{"DOI":"10.1093/biosci/biaa094","ISSN":"15253244","author":[{"dropping-particle":"","family":"Fleischman","given":"Forrest","non-dropping-particle":"","parse-names":false,"suffix":""},{"dropping-particle":"","family":"Basant","given":"Shishir","non-dropping-particle":"","parse-names":false,"suffix":""},{"dropping-particle":"","family":"Chhatre","given":"Ashwini","non-dropping-particle":"","parse-names":false,"suffix":""},{"dropping-particle":"","family":"Coleman","given":"Eric A.","non-dropping-particle":"","parse-names":false,"suffix":""},{"dropping-particle":"","family":"Fischer","given":"Harry W.","non-dropping-particle":"","parse-names":false,"suffix":""},{"dropping-particle":"","family":"Gupta","given":"Divya","non-dropping-particle":"","parse-names":false,"suffix":""},{"dropping-particle":"","family":"Güneralp","given":"Burak","non-dropping-particle":"","parse-names":false,"suffix":""},{"dropping-particle":"","family":"Kashwan","given":"Prakash","non-dropping-particle":"","parse-names":false,"suffix":""},{"dropping-particle":"","family":"Khatri","given":"Dil","non-dropping-particle":"","parse-names":false,"suffix":""},{"dropping-particle":"","family":"Muscarella","given":"Robert","non-dropping-particle":"","parse-names":false,"suffix":""},{"dropping-particle":"","family":"Powers","given":"Jennifer S.","non-dropping-particle":"","parse-names":false,"suffix":""},{"dropping-particle":"","family":"Ramprasad","given":"Vijay","non-dropping-particle":"","parse-names":false,"suffix":""},{"dropping-particle":"","family":"Rana","given":"Pushpendra","non-dropping-particle":"","parse-names":false,"suffix":""},{"dropping-particle":"","family":"Solorzano","given":"Claudia Rodriguez","non-dropping-particle":"","parse-names":false,"suffix":""},{"dropping-particle":"","family":"Veldman","given":"Joseph W.","non-dropping-particle":"","parse-names":false,"suffix":""}],"container-title":"BioScience","id":"ITEM-1","issue":"11","issued":{"date-parts":[["2020"]]},"page":"947-950","title":"Pitfalls of Tree Planting Show Why We Need People-Centered Natural Climate Solutions","type":"article-journal","volume":"70"},"uris":["http://www.mendeley.com/documents/?uuid=2ea394d6-3151-446c-bd59-bf5db4b201b8"]}],"mendeley":{"formattedCitation":"(Fleischman et al., 2020)","plainTextFormattedCitation":"(Fleischman et al., 2020)","previouslyFormattedCitation":"(Fleischman et al., 2020)"},"properties":{"noteIndex":0},"schema":"https://github.com/citation-style-language/schema/raw/master/csl-citation.json"}</w:instrText>
      </w:r>
      <w:r w:rsidRPr="00DA5AE2">
        <w:fldChar w:fldCharType="separate"/>
      </w:r>
      <w:bookmarkStart w:id="75" w:name="Bookmark73"/>
      <w:r w:rsidRPr="00DA5AE2">
        <w:rPr>
          <w:noProof/>
        </w:rPr>
        <w:t>(Fleischman et al., 2020)</w:t>
      </w:r>
      <w:r w:rsidRPr="00DA5AE2">
        <w:fldChar w:fldCharType="end"/>
      </w:r>
      <w:bookmarkEnd w:id="75"/>
      <w:r w:rsidRPr="00DA5AE2">
        <w:t xml:space="preserve">. The risk-spreading role of tree diversity in the sapling stage may be pivotal as a climate change adaptation measure in forest landscapes, in order to safeguard functions such as productivity or carbon storage </w:t>
      </w:r>
      <w:r w:rsidR="00650A68" w:rsidRPr="00DA5AE2">
        <w:t xml:space="preserve">in </w:t>
      </w:r>
      <w:r w:rsidRPr="00DA5AE2">
        <w:t xml:space="preserve">the long-term </w:t>
      </w:r>
      <w:r w:rsidRPr="00DA5AE2">
        <w:fldChar w:fldCharType="begin" w:fldLock="1"/>
      </w:r>
      <w:r w:rsidR="00F14052">
        <w:instrText>ADDIN CSL_CITATION {"citationItems":[{"id":"ITEM-1","itemData":{"DOI":"10.1086/286117","ISSN":"00030147","PMID":"18811357","abstract":"In this article, we explain an often overlooked process that may significantly contribute to positive correlations between measures of species diversity and community stability. Empirical studies showing positive stability-diversity relationships have, for the most part, used a single class of stability (or, more accurately, instability) measures: the temporal variation in aggregate community properties such as biomass or productivity. We show that for these measures, stability will essentially always rise with species diversity because of the statistical averaging of the fluctuations in species' abundances. This simple probabilistic process will operate in the absence of any strong species interactions, although its strength is driven by the relative abundances of species, as well as by the existence of positive or negative correlations in the fluctuations of species. To explore the possible importance of this effect in real communities, we fit a simple simulation model to Tilman's grassland community. Our results indicate that statistical averaging might play a substantial role in explaining stability-diversity correlations for this and other systems. Models of statistical averaging can serve as a useful baseline for predictions of community stability, to which the influences of both negative and positive species interactions may then be added and tested.","author":[{"dropping-particle":"","family":"Doak","given":"D. F.","non-dropping-particle":"","parse-names":false,"suffix":""},{"dropping-particle":"","family":"Bigger","given":"D.","non-dropping-particle":"","parse-names":false,"suffix":""},{"dropping-particle":"","family":"Harding","given":"E. K.","non-dropping-particle":"","parse-names":false,"suffix":""},{"dropping-particle":"","family":"Marvier","given":"M. A.","non-dropping-particle":"","parse-names":false,"suffix":""},{"dropping-particle":"","family":"O'Malley","given":"R. E.","non-dropping-particle":"","parse-names":false,"suffix":""},{"dropping-particle":"","family":"Thomson","given":"D.","non-dropping-particle":"","parse-names":false,"suffix":""}],"container-title":"American Naturalist","id":"ITEM-1","issue":"3","issued":{"date-parts":[["1998"]]},"page":"264-276","title":"The statistical inevitability of stability-diversity relationships in community ecology","type":"article-journal","volume":"151"},"uris":["http://www.mendeley.com/documents/?uuid=c44014f9-9d5c-461e-96af-0d9e42e60856"]},{"id":"ITEM-2","itemData":{"DOI":"10.1890/0012-9658(1999)080[1455:tecoci]2.0.co;2","ISSN":"00129658","abstract":"This paper uses theory and experiments to explore the effects of diversity on stability, productivity, and susceptibility to invasion. A model of resource competition predicts that increases in diversity cause community stability to increase, but population stability to decrease. These opposite effects are, to a great extent, explained by how temporal variances in species abundances scale with mean abundance, and by the differential impact of this scaling on population vs. community stability. Community stability also depends on a negative covariance effect (competitive compensation) and on overyielding (ecosystem productivity increasing with diversity). A long-term study in Minnesota grasslands supports these predictions. Models of competition predict, and field experiments confirm, that greater plant diversity leads to greater primary productivity. This diversity-productivity relationship results both from the greater chance that a more productive species would be present at higher diversity (the sampling effect) and from the better 'coverage' of habitat heterogeneity caused by the broader range of species traits in a more diverse community (the niche differentiation effect). Both effects cause more complete utilization of limiting resources at higher diversity, which increases resource retention, further increasing productivity. Finally, lower levels of available limiting resources at higher diversity are predicted to decrease the susceptibility of an ecosystem to invasion, supporting the diversity-invasibility hypothesis. This mechanism provides rules for community assembly and invasion resistance. In total, biodiversity should be added to species composition, disturbance, nutrient supply, and climate as a major controller of population and ecosystem dynamics and structure. By their increasingly great directional impacts on all of these controllers, humans are likely to cause major long-term changes in the functioning of ecosystems worldwide. A better understanding of these ecosystem changes is needed if ecologists are to provide society with the knowledge essential for wise management of the earth and its biological resources.","author":[{"dropping-particle":"","family":"Tilman","given":"David","non-dropping-particle":"","parse-names":false,"suffix":""}],"container-title":"Ecology","id":"ITEM-2","issue":"5","issued":{"date-parts":[["1999"]]},"page":"1455-1474","title":"The ecological consequences of changes in biodiversity: A search for general principles","type":"article-journal","volume":"80"},"uris":["http://www.mendeley.com/documents/?uuid=ccd06020-0c95-44e9-b898-3d708b533d9a"]},{"id":"ITEM-3","itemData":{"DOI":"10.1086/303402","ISSN":"0003-0147","author":[{"dropping-particle":"","family":"Lehman","given":"Clarence L.","non-dropping-particle":"","parse-names":false,"suffix":""},{"dropping-particle":"","family":"Tilman","given":"David","non-dropping-particle":"","parse-names":false,"suffix":""}],"container-title":"The American Naturalist","id":"ITEM-3","issue":"5","issued":{"date-parts":[["2000","11"]]},"page":"534-552","title":"Biodiversity, Stability, and Productivity in Competitive Communities","type":"article-journal","volume":"156"},"uris":["http://www.mendeley.com/documents/?uuid=e89fb933-cabd-40e1-bca5-c2083a1ba712"]}],"mendeley":{"formattedCitation":"(Doak et al., 1998; Lehman &amp; Tilman, 2000; Tilman, 1999)","plainTextFormattedCitation":"(Doak et al., 1998; Lehman &amp; Tilman, 2000; Tilman, 1999)","previouslyFormattedCitation":"(Doak et al., 1998; Tilman, 1999; Lehman &amp; Tilman, 2000)"},"properties":{"noteIndex":0},"schema":"https://github.com/citation-style-language/schema/raw/master/csl-citation.json"}</w:instrText>
      </w:r>
      <w:r w:rsidRPr="00DA5AE2">
        <w:fldChar w:fldCharType="separate"/>
      </w:r>
      <w:bookmarkStart w:id="76" w:name="Bookmark74"/>
      <w:r w:rsidR="00F14052" w:rsidRPr="00F14052">
        <w:rPr>
          <w:noProof/>
        </w:rPr>
        <w:t>(Doak et al., 1998; Lehman &amp; Tilman, 2000; Tilman, 1999)</w:t>
      </w:r>
      <w:r w:rsidRPr="00DA5AE2">
        <w:fldChar w:fldCharType="end"/>
      </w:r>
      <w:bookmarkEnd w:id="76"/>
      <w:r w:rsidRPr="00DA5AE2">
        <w:t>.</w:t>
      </w:r>
    </w:p>
    <w:p w14:paraId="5B43CFEB" w14:textId="3D501C6A" w:rsidR="00B26A2C" w:rsidRPr="00DA5AE2" w:rsidRDefault="007F6878">
      <w:pPr>
        <w:jc w:val="both"/>
        <w:rPr>
          <w:lang w:val="nl-BE"/>
        </w:rPr>
      </w:pPr>
      <w:r w:rsidRPr="00DA5AE2">
        <w:t xml:space="preserve">Even so, trade-offs in the resource-use strategy of tree species should be considered when selecting tree species for planting, so as to balance the outcomes on ecosystem functions and services </w:t>
      </w:r>
      <w:r w:rsidRPr="00DA5AE2">
        <w:fldChar w:fldCharType="begin" w:fldLock="1"/>
      </w:r>
      <w:r w:rsidRPr="00DA5AE2">
        <w:instrText>ADDIN CSL_CITATION {"citationItems":[{"id":"ITEM-1","itemData":{"DOI":"10.1111/1365-2664.13308","ISSN":"13652664","abstract":"© 2018 The Authors. Journal of Applied Ecology © 2018 British Ecological Society Forest ecosystem functioning generally benefits from higher tree species richness, but variation within richness levels is typically large. This is mostly due to the contrasting performances of communities with different compositions. Evidence-based understanding of composition effects on forest productivity, as well as on multiple other functions will enable forest managers to focus on the selection of species that maximize functioning, rather than on diversity per se. We used a dataset of 30 ecosystem functions measured in stands with different species richness and composition in six European forest types. First, we quantified whether the compositions that maximize annual above-ground wood production (productivity) generally also fulfil the multiple other ecosystem functions (multifunctionality). Then, we quantified the species identity effects and strength of interspecific interactions to identify the “best” and “worst” species composition for multifunctionality. Finally, we evaluated the real-world frequency of occurrence of best and worst mixtures, using harmonized data from multiple national forest inventories. The most productive tree species combinations also tended to express relatively high multifunctionality, although we found a relatively wide range of compositions with high- or low-average multifunctionality for the same level of productivity. Monocultures were distributed among the highest as well as the lowest performing compositions. The variation in functioning between compositions was generally driven by differences in the performance of the component species and, to a lesser extent, by particular interspecific interactions. Finally, we found that the most frequent species compositions in inventory data were monospecific stands and that the most common compositions showed below-average multifunctionality and productivity. Synthesis and applications. Species identity and composition effects are essential to the development of high-performing production systems, for instance in forestry and agriculture. They therefore deserve great attention in the analysis and design of functional biodiversity studies if the aim is to inform ecosystem management. A management focus on tree productivity does not necessarily trade-off against other ecosystem functions; high productivity and multifunctionality can be combined with an informed selection of tree species and spec…","author":[{"dropping-particle":"","family":"Baeten","given":"Lander","non-dropping-particle":"","parse-names":false,"suffix":""},{"dropping-particle":"","family":"Bruelheide","given":"Helge","non-dropping-particle":"","parse-names":false,"suffix":""},{"dropping-particle":"","family":"Plas","given":"Fons","non-dropping-particle":"van der","parse-names":false,"suffix":""},{"dropping-particle":"","family":"Kambach","given":"Stephan","non-dropping-particle":"","parse-names":false,"suffix":""},{"dropping-particle":"","family":"Ratcliffe","given":"Sophia","non-dropping-particle":"","parse-names":false,"suffix":""},{"dropping-particle":"","family":"Jucker","given":"Tommaso","non-dropping-particle":"","parse-names":false,"suffix":""},{"dropping-particle":"","family":"Allan","given":"Eric","non-dropping-particle":"","parse-names":false,"suffix":""},{"dropping-particle":"","family":"Ampoorter","given":"Evy","non-dropping-particle":"","parse-names":false,"suffix":""},{"dropping-particle":"","family":"Barbaro","given":"Luc","non-dropping-particle":"","parse-names":false,"suffix":""},{"dropping-particle":"","family":"Bastias","given":"Cristina C.","non-dropping-particle":"","parse-names":false,"suffix":""},{"dropping-particle":"","family":"Bauhus","given":"Jürgen","non-dropping-particle":"","parse-names":false,"suffix":""},{"dropping-particle":"","family":"Benavides","given":"Raquel","non-dropping-particle":"","parse-names":false,"suffix":""},{"dropping-particle":"","family":"Bonal","given":"Damien","non-dropping-particle":"","parse-names":false,"suffix":""},{"dropping-particle":"","family":"Bouriaud","given":"Olivier","non-dropping-particle":"","parse-names":false,"suffix":""},{"dropping-particle":"","family":"Bussotti","given":"Filippo","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hećko","given":"Ewa","non-dropping-particle":"","parse-names":false,"suffix":""},{"dropping-particle":"","family":"Coomes","given":"David A.","non-dropping-particle":"","parse-names":false,"suffix":""},{"dropping-particle":"","family":"Dahlgren","given":"Jonas","non-dropping-particle":"","parse-names":false,"suffix":""},{"dropping-particle":"","family":"Dawud","given":"Seid Muhie","non-dropping-particle":"","parse-names":false,"suffix":""},{"dropping-particle":"","family":"Wandeler","given":"Hans","non-dropping-particle":"De","parse-names":false,"suffix":""},{"dropping-particle":"","family":"Domisch","given":"Timo","non-dropping-particle":"","parse-names":false,"suffix":""},{"dropping-particle":"","family":"Finér","given":"Leena","non-dropping-particle":"","parse-names":false,"suffix":""},{"dropping-particle":"","family":"Fischer","given":"Markus","non-dropping-particle":"","parse-names":false,"suffix":""},{"dropping-particle":"","family":"Fotelli","given":"Mariangela","non-dropping-particle":"","parse-names":false,"suffix":""},{"dropping-particle":"","family":"Gessler","given":"Arthur","non-dropping-particle":"","parse-names":false,"suffix":""},{"dropping-particle":"","family":"Grossiord","given":"Charlotte","non-dropping-particle":"","parse-names":false,"suffix":""},{"dropping-particle":"","family":"Guyot","given":"Virginie","non-dropping-particle":"","parse-names":false,"suffix":""},{"dropping-particle":"","family":"Hättenschwiler","given":"Stephan","non-dropping-particle":"","parse-names":false,"suffix":""},{"dropping-particle":"","family":"Jactel","given":"Hervé","non-dropping-particle":"","parse-names":false,"suffix":""},{"dropping-particle":"","family":"Jaroszewicz","given":"Bogdan","non-dropping-particle":"","parse-names":false,"suffix":""},{"dropping-particle":"","family":"Joly","given":"François Xavier","non-dropping-particle":"","parse-names":false,"suffix":""},{"dropping-particle":"","family":"Koricheva","given":"Julia","non-dropping-particle":"","parse-names":false,"suffix":""},{"dropping-particle":"","family":"Lehtonen","given":"Aleksi","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Pollastrini","given":"Martina","non-dropping-particle":"","parse-names":false,"suffix":""},{"dropping-particle":"","family":"Radoglou","given":"Kalliopi","non-dropping-particle":"","parse-names":false,"suffix":""},{"dropping-particle":"","family":"Raulund-Rasmussen","given":"Karsten","non-dropping-particle":"","parse-names":false,"suffix":""},{"dropping-particle":"","family":"Ruiz-Benito","given":"Paloma","non-dropping-particle":"","parse-names":false,"suffix":""},{"dropping-particle":"","family":"Selvi","given":"Federico","non-dropping-particle":"","parse-names":false,"suffix":""},{"dropping-particle":"","family":"Stenlid","given":"Jan","non-dropping-particle":"","parse-names":false,"suffix":""},{"dropping-particle":"","family":"Valladares","given":"Fernando","non-dropping-particle":"","parse-names":false,"suffix":""},{"dropping-particle":"","family":"Vesterdal","given":"Lars","non-dropping-particle":"","parse-names":false,"suffix":""},{"dropping-particle":"","family":"Verheyen","given":"Kris","non-dropping-particle":"","parse-names":false,"suffix":""},{"dropping-particle":"","family":"Wirth","given":"Christian","non-dropping-particle":"","parse-names":false,"suffix":""},{"dropping-particle":"","family":"Zavala","given":"Miguel A.","non-dropping-particle":"","parse-names":false,"suffix":""},{"dropping-particle":"","family":"Scherer-Lorenzen","given":"Michael","non-dropping-particle":"","parse-names":false,"suffix":""}],"container-title":"Journal of Applied Ecology","id":"ITEM-1","issue":"3","issued":{"date-parts":[["2019"]]},"page":"733-744","title":"Identifying the tree species compositions that maximize ecosystem functioning in European forests","type":"article-journal","volume":"56"},"uris":["http://www.mendeley.com/documents/?uuid=027fd797-ddc8-4bbd-9c97-68795ece6015"]}],"mendeley":{"formattedCitation":"(Baeten et al., 2019)","plainTextFormattedCitation":"(Baeten et al., 2019)","previouslyFormattedCitation":"(Baeten et al., 2019)"},"properties":{"noteIndex":0},"schema":"https://github.com/citation-style-language/schema/raw/master/csl-citation.json"}</w:instrText>
      </w:r>
      <w:r w:rsidRPr="00DA5AE2">
        <w:fldChar w:fldCharType="separate"/>
      </w:r>
      <w:bookmarkStart w:id="77" w:name="Bookmark75"/>
      <w:r w:rsidRPr="00DA5AE2">
        <w:rPr>
          <w:noProof/>
        </w:rPr>
        <w:t>(Baeten et al., 2019)</w:t>
      </w:r>
      <w:r w:rsidRPr="00DA5AE2">
        <w:fldChar w:fldCharType="end"/>
      </w:r>
      <w:bookmarkEnd w:id="77"/>
      <w:r w:rsidRPr="00DA5AE2">
        <w:t xml:space="preserve">. Drought resistance is correlated </w:t>
      </w:r>
      <w:r w:rsidR="00A328AC" w:rsidRPr="00DA5AE2">
        <w:t>to</w:t>
      </w:r>
      <w:r w:rsidRPr="00DA5AE2">
        <w:t xml:space="preserve"> some degree </w:t>
      </w:r>
      <w:r w:rsidR="00AC3FB4" w:rsidRPr="00DA5AE2">
        <w:t>with</w:t>
      </w:r>
      <w:r w:rsidRPr="00DA5AE2">
        <w:t xml:space="preserve"> a conservative resource-use strategy, and such a strategy invokes a trade-off of lower growth rates and short-term carbon uptake against longevity </w:t>
      </w:r>
      <w:r w:rsidRPr="00DA5AE2">
        <w:fldChar w:fldCharType="begin" w:fldLock="1"/>
      </w:r>
      <w:r w:rsidRPr="00DA5AE2">
        <w:instrText>ADDIN CSL_CITATION {"citationItems":[{"id":"ITEM-1","itemData":{"DOI":"10.1038/nature16489","ISBN":"1476-4687","ISSN":"0028-0836","PMID":"26700811","abstract":"Earth is home to a remarkable diversity of plant forms and life histories, yet comparatively few essential trait combinations have proved evolutionarily viable in today’s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 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Colin Prentice","given":"I.","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E","non-dropping-particle":"","parse-names":false,"suffix":""},{"dropping-particle":"","family":"Chave","given":"Jérôme","non-dropping-particle":"","parse-names":false,"suffix":""},{"dropping-particle":"","family":"Joseph Wright","given":"S.","non-dropping-particle":"","parse-names":false,"suffix":""},{"dropping-particle":"","family":"Sheremet’ev","given":"Serge N.","non-dropping-particle":"","parse-names":false,"suffix":""},{"dropping-particle":"","family":"Jactel","given":"Hervé","non-dropping-particle":"","parse-names":false,"suffix":""},{"dropping-particle":"","family":"Baraloto","given":"Christopher","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D.","non-dropping-particle":"","parse-names":false,"suffix":""}],"container-title":"Nature","id":"ITEM-1","issue":"7585","issued":{"date-parts":[["2016","1","23"]]},"page":"167-171","publisher":"Nature Publishing Group","title":"The global spectrum of plant form and function","type":"article-journal","volume":"529"},"uris":["http://www.mendeley.com/documents/?uuid=e38d3595-d1f4-4714-afa9-aab29e584e88"]},{"id":"ITEM-2","itemData":{"DOI":"10.1111/gcb.16082","ISSN":"1354-1013","abstract":"Featuring the art of covalent chemistry on 2D and 3D with molecular precision, covalent organic frameworks (COFs) have attracted immense interests from inorganic, organic, polymer, materials and energy chemistry. However, due to the synthetic challenge of “crystallization problem”, structural determination of COFs has been the bottle-neck in speeding up their discovery and design, as well as building up their structure-property relation. Electron diffraction tomography (EDT) have been developed to determine crystal structures of COFs with only sub-micrometer sized single crystals, which enabled the ab initio determination of crystal structure, molecular connectivity, pore metrics, and host-guest interaction at the atomic level. In this review, we summarized the recent developments of EDT for addressing challenges in structure determinations of such e-beam sensitive, organic porous crystals, covering comprehensively automatic data collection, low dose, cryogenic protocols, structural solution method, powder X-ray diffraction refinement, and high-resolution transmission electron microscopy (HRTEM) imaging techniques. We do believe the EDT will propel this field into the new era of COF chemistry with atomic precision, and we envision the wide application of artificial intelligence will promote the structural determination and particle analysis of COFs and related materials. Tu","author":[{"dropping-particle":"","family":"Guillemot","given":"Joannès","non-dropping-particle":"","parse-names":false,"suffix":""},{"dropping-particle":"","family":"Martin‐StPaul","given":"Nicolas K.","non-dropping-particle":"","parse-names":false,"suffix":""},{"dropping-particle":"","family":"Bulascoschi","given":"Leticia","non-dropping-particle":"","parse-names":false,"suffix":""},{"dropping-particle":"","family":"Poorter","given":"Lourens","non-dropping-particle":"","parse-names":false,"suffix":""},{"dropping-particle":"","family":"Morin","given":"Xavier","non-dropping-particle":"","parse-names":false,"suffix":""},{"dropping-particle":"","family":"Pinho","given":"Bruno X.","non-dropping-particle":"","parse-names":false,"suffix":""},{"dropping-particle":"","family":"Maire","given":"Guerric","non-dropping-particle":"","parse-names":false,"suffix":""},{"dropping-particle":"","family":"Bittencourt","given":"Paulo","non-dropping-particle":"","parse-names":false,"suffix":""},{"dropping-particle":"","family":"Oliveira","given":"Rafael S.","non-dropping-particle":"","parse-names":false,"suffix":""},{"dropping-particle":"","family":"Bongers","given":"Frans","non-dropping-particle":"","parse-names":false,"suffix":""},{"dropping-particle":"","family":"Brouwer","given":"Rens","non-dropping-particle":"","parse-names":false,"suffix":""},{"dropping-particle":"","family":"Pereira","given":"Luciano","non-dropping-particle":"","parse-names":false,"suffix":""},{"dropping-particle":"","family":"Melo","given":"German Andrés Gonzalez","non-dropping-particle":"","parse-names":false,"suffix":""},{"dropping-particle":"","family":"Boonman","given":"Coline C. F.","non-dropping-particle":"","parse-names":false,"suffix":""},{"dropping-particle":"","family":"Brown","given":"Kerry A.","non-dropping-particle":"","parse-names":false,"suffix":""},{"dropping-particle":"","family":"Cerabolini","given":"Bruno E.L.","non-dropping-particle":"","parse-names":false,"suffix":""},{"dropping-particle":"","family":"Niinemets","given":"Ülo","non-dropping-particle":"","parse-names":false,"suffix":""},{"dropping-particle":"","family":"Onoda","given":"Yusuke","non-dropping-particle":"","parse-names":false,"suffix":""},{"dropping-particle":"V.","family":"Schneider","given":"Julio","non-dropping-particle":"","parse-names":false,"suffix":""},{"dropping-particle":"","family":"Sheremetiev","given":"Serge","non-dropping-particle":"","parse-names":false,"suffix":""},{"dropping-particle":"","family":"Brancalion","given":"Pedro H.S.","non-dropping-particle":"","parse-names":false,"suffix":""}],"container-title":"Global Change Biology","id":"ITEM-2","issue":"3","issued":{"date-parts":[["2022","1","10"]]},"page":"287-288","title":"Small and slow is safe: on the drought tolerance of tropical tree species","type":"article-journal","volume":"13"},"uris":["http://www.mendeley.com/documents/?uuid=8a201c99-a70f-4c35-9404-af6785f5f0d7"]}],"mendeley":{"formattedCitation":"(Díaz et al., 2016; Guillemot et al., 2022)","plainTextFormattedCitation":"(Díaz et al., 2016; Guillemot et al., 2022)","previouslyFormattedCitation":"(Díaz et al., 2016; Guillemot et al., 2022)"},"properties":{"noteIndex":0},"schema":"https://github.com/citation-style-language/schema/raw/master/csl-citation.json"}</w:instrText>
      </w:r>
      <w:r w:rsidRPr="00DA5AE2">
        <w:fldChar w:fldCharType="separate"/>
      </w:r>
      <w:bookmarkStart w:id="78" w:name="Bookmark76"/>
      <w:r w:rsidRPr="00DA5AE2">
        <w:rPr>
          <w:noProof/>
        </w:rPr>
        <w:t>(Díaz et al., 2016; Guillemot et al., 2022)</w:t>
      </w:r>
      <w:r w:rsidRPr="00DA5AE2">
        <w:fldChar w:fldCharType="end"/>
      </w:r>
      <w:bookmarkEnd w:id="78"/>
      <w:r w:rsidRPr="00DA5AE2">
        <w:t xml:space="preserve">. On the other end, resource acquisitive species are characterized by fast growth and </w:t>
      </w:r>
      <w:r w:rsidR="00A328AC" w:rsidRPr="00DA5AE2">
        <w:t>short</w:t>
      </w:r>
      <w:r w:rsidRPr="00DA5AE2">
        <w:t xml:space="preserve"> life-span of plant tissues, but may boost carbon uptake and ecosystem productivity </w:t>
      </w:r>
      <w:r w:rsidR="00367923" w:rsidRPr="00DA5AE2">
        <w:t>in</w:t>
      </w:r>
      <w:r w:rsidRPr="00DA5AE2">
        <w:t xml:space="preserve"> the short term </w:t>
      </w:r>
      <w:r w:rsidRPr="00DA5AE2">
        <w:fldChar w:fldCharType="begin" w:fldLock="1"/>
      </w:r>
      <w:r w:rsidR="00F14052">
        <w:instrText>ADDIN CSL_CITATION {"citationItems":[{"id":"ITEM-1","itemData":{"DOI":"10.1111/1365-2745.12211","ISBN":"2806","ISSN":"00220477","PMID":"9391094","abstract":"*\\nThe leaf economics spectrum (LES) provides a useful framework for examining species strategies as shaped by their evolutionary history. However, that spectrum, as originally described, involved only two key resources (carbon and nutrients) and one of three economically important plant organs. Herein, I evaluate whether the economics spectrum idea can be broadly extended to water – the third key resource –stems, roots and entire plants and to individual, community and ecosystem scales. My overarching hypothesis is that strong selection along trait trade-off axes, in tandem with biophysical constraints, results in convergence for any taxon on a uniformly fast, medium or slow strategy (i.e. rates of resource acquisition and processing) for all organs and all resources.\\n\\n\\n\\n*\\nEvidence for economic trait spectra exists for stems and roots as well as leaves, and for traits related to water as well as carbon and nutrients. These apply generally within and across scales (within and across communities, climate zones, biomes and lineages).\\n\\n\\n\\n*\\nThere are linkages across organs and coupling among resources, resulting in an integrated whole-plant economics spectrum. Species capable of moving water rapidly have low tissue density, short tissue life span and high rates of resource acquisition and flux at organ and individual scales. The reverse is true for species with the slow strategy. Different traits may be important in different conditions, but as being fast in one respect generally requires being fast in others, being fast or slow is a general feature of species.\\n\\n\\n\\n*\\nEconomic traits influence performance and fitness consistent with trait-based theory about underlying adaptive mechanisms. Traits help explain differences in growth and survival across resource gradients and thus help explain the distribution of species and the assembly of communities across light, water and nutrient gradients. Traits scale up – fast traits are associated with faster rates of ecosystem processes such as decomposition or primary productivity, and slow traits with slow process rates.\\n\\n\\n\\n*\\nSynthesis. Traits matter. A single ‘fast–slow’ plant economics spectrum that integrates across leaves, stems and roots is a key feature of the plant universe and helps to explain individual ecological strategies, community assembly processes and the functioning of ecosystems.","author":[{"dropping-particle":"","family":"Reich","given":"Peter B.","non-dropping-particle":"","parse-names":false,"suffix":""}],"container-title":"Journal of Ecology","editor":[{"dropping-particle":"","family":"Cornelissen","given":"Hans","non-dropping-particle":"","parse-names":false,"suffix":""}],"id":"ITEM-1","issue":"2","issued":{"date-parts":[["2014","3"]]},"page":"275-301","title":"The world-wide ‘fast-slow’ plant economics spectrum: a traits manifesto","type":"article-journal","volume":"102"},"uris":["http://www.mendeley.com/documents/?uuid=4cdcd298-f40f-47ac-87e4-f94b80f6310b"]},{"id":"ITEM-2","itemData":{"DOI":"10.1038/nature16489","ISBN":"1476-4687","ISSN":"0028-0836","PMID":"26700811","abstract":"Earth is home to a remarkable diversity of plant forms and life histories, yet comparatively few essential trait combinations have proved evolutionarily viable in today’s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author":[{"dropping-particle":"","family":"Díaz","given":"Sandra","non-dropping-particle":"","parse-names":false,"suffix":""},{"dropping-particle":"","family":"Kattge","given":"Jens","non-dropping-particle":"","parse-names":false,"suffix":""},{"dropping-particle":"","family":"Cornelissen","given":"Johannes H C","non-dropping-particle":"","parse-names":false,"suffix":""},{"dropping-particle":"","family":"Wright","given":"Ian J.","non-dropping-particle":"","parse-names":false,"suffix":""},{"dropping-particle":"","family":"Lavorel","given":"Sandra","non-dropping-particle":"","parse-names":false,"suffix":""},{"dropping-particle":"","family":"Dray","given":"Stéphane","non-dropping-particle":"","parse-names":false,"suffix":""},{"dropping-particle":"","family":"Reu","given":"Björn","non-dropping-particle":"","parse-names":false,"suffix":""},{"dropping-particle":"","family":"Kleyer","given":"Michael","non-dropping-particle":"","parse-names":false,"suffix":""},{"dropping-particle":"","family":"Wirth","given":"Christian","non-dropping-particle":"","parse-names":false,"suffix":""},{"dropping-particle":"","family":"Colin Prentice","given":"I.","non-dropping-particle":"","parse-names":false,"suffix":""},{"dropping-particle":"","family":"Garnier","given":"Eric","non-dropping-particle":"","parse-names":false,"suffix":""},{"dropping-particle":"","family":"Bönisch","given":"Gerhard","non-dropping-particle":"","parse-names":false,"suffix":""},{"dropping-particle":"","family":"Westoby","given":"Mark","non-dropping-particle":"","parse-names":false,"suffix":""},{"dropping-particle":"","family":"Poorter","given":"Hendrik","non-dropping-particle":"","parse-names":false,"suffix":""},{"dropping-particle":"","family":"Reich","given":"Peter B","non-dropping-particle":"","parse-names":false,"suffix":""},{"dropping-particle":"","family":"Moles","given":"Angela T","non-dropping-particle":"","parse-names":false,"suffix":""},{"dropping-particle":"","family":"Dickie","given":"John","non-dropping-particle":"","parse-names":false,"suffix":""},{"dropping-particle":"","family":"Gillison","given":"Andrew N","non-dropping-particle":"","parse-names":false,"suffix":""},{"dropping-particle":"","family":"Zanne","given":"Amy E","non-dropping-particle":"","parse-names":false,"suffix":""},{"dropping-particle":"","family":"Chave","given":"Jérôme","non-dropping-particle":"","parse-names":false,"suffix":""},{"dropping-particle":"","family":"Joseph Wright","given":"S.","non-dropping-particle":"","parse-names":false,"suffix":""},{"dropping-particle":"","family":"Sheremet’ev","given":"Serge N.","non-dropping-particle":"","parse-names":false,"suffix":""},{"dropping-particle":"","family":"Jactel","given":"Hervé","non-dropping-particle":"","parse-names":false,"suffix":""},{"dropping-particle":"","family":"Baraloto","given":"Christopher","non-dropping-particle":"","parse-names":false,"suffix":""},{"dropping-particle":"","family":"Cerabolini","given":"Bruno","non-dropping-particle":"","parse-names":false,"suffix":""},{"dropping-particle":"","family":"Pierce","given":"Simon","non-dropping-particle":"","parse-names":false,"suffix":""},{"dropping-particle":"","family":"Shipley","given":"Bill","non-dropping-particle":"","parse-names":false,"suffix":""},{"dropping-particle":"","family":"Kirkup","given":"Donald","non-dropping-particle":"","parse-names":false,"suffix":""},{"dropping-particle":"","family":"Casanoves","given":"Fernando","non-dropping-particle":"","parse-names":false,"suffix":""},{"dropping-particle":"","family":"Joswig","given":"Julia S","non-dropping-particle":"","parse-names":false,"suffix":""},{"dropping-particle":"","family":"Günther","given":"Angela","non-dropping-particle":"","parse-names":false,"suffix":""},{"dropping-particle":"","family":"Falczuk","given":"Valeria","non-dropping-particle":"","parse-names":false,"suffix":""},{"dropping-particle":"","family":"Rüger","given":"Nadja","non-dropping-particle":"","parse-names":false,"suffix":""},{"dropping-particle":"","family":"Mahecha","given":"Miguel D.","non-dropping-particle":"","parse-names":false,"suffix":""},{"dropping-particle":"","family":"Gorné","given":"Lucas D.","non-dropping-particle":"","parse-names":false,"suffix":""}],"container-title":"Nature","id":"ITEM-2","issue":"7585","issued":{"date-parts":[["2016","1","23"]]},"page":"167-171","publisher":"Nature Publishing Group","title":"The global spectrum of plant form and function","type":"article-journal","volume":"529"},"uris":["http://www.mendeley.com/documents/?uuid=e38d3595-d1f4-4714-afa9-aab29e584e88"]}],"mendeley":{"formattedCitation":"(Díaz et al., 2016; Reich, 2014)","plainTextFormattedCitation":"(Díaz et al., 2016; Reich, 2014)","previouslyFormattedCitation":"(Reich, 2014; Díaz et al., 2016)"},"properties":{"noteIndex":0},"schema":"https://github.com/citation-style-language/schema/raw/master/csl-citation.json"}</w:instrText>
      </w:r>
      <w:r w:rsidRPr="00DA5AE2">
        <w:fldChar w:fldCharType="separate"/>
      </w:r>
      <w:bookmarkStart w:id="79" w:name="Bookmark77"/>
      <w:r w:rsidR="00F14052" w:rsidRPr="00F14052">
        <w:rPr>
          <w:noProof/>
        </w:rPr>
        <w:t>(Díaz et al., 2016; Reich, 2014)</w:t>
      </w:r>
      <w:r w:rsidRPr="00DA5AE2">
        <w:fldChar w:fldCharType="end"/>
      </w:r>
      <w:bookmarkEnd w:id="79"/>
      <w:r w:rsidRPr="00DA5AE2">
        <w:t xml:space="preserve"> instead of the long term </w:t>
      </w:r>
      <w:r w:rsidRPr="00DA5AE2">
        <w:fldChar w:fldCharType="begin" w:fldLock="1"/>
      </w:r>
      <w:r w:rsidRPr="00DA5AE2">
        <w:instrText>ADDIN CSL_CITATION {"citationItems":[{"id":"ITEM-1","itemData":{"DOI":"10.1038/s41467-019-10174-4","ISBN":"4146701910","ISSN":"20411723","PMID":"31092831","abstract":"It is generally accepted that animal heartbeat and lifespan are often inversely correlated, however, the relationship between productivity and longevity has not yet been described for trees growing under industrial and pre-industrial climates. Using 1768 annually resolved and absolutely dated ring width measurement series from living and dead conifers that grew in undisturbed, high-elevation sites in the Spanish Pyrenees and the Russian Altai over the past 2000 years, we test the hypothesis of grow fast—die young. We find maximum tree ages are significantly correlated with slow juvenile growth rates. We conclude, the interdependence between higher stem productivity, faster tree turnover, and shorter carbon residence time, reduces the capacity of forest ecosystems to store carbon under a climate warming-induced stimulation of tree growth at policy-relevant timescales.","author":[{"dropping-particle":"","family":"Büntgen","given":"Ulf","non-dropping-particle":"","parse-names":false,"suffix":""},{"dropping-particle":"","family":"Krusic","given":"Paul J.","non-dropping-particle":"","parse-names":false,"suffix":""},{"dropping-particle":"","family":"Piermattei","given":"Alma","non-dropping-particle":"","parse-names":false,"suffix":""},{"dropping-particle":"","family":"Coomes","given":"David A.","non-dropping-particle":"","parse-names":false,"suffix":""},{"dropping-particle":"","family":"Esper","given":"Jan","non-dropping-particle":"","parse-names":false,"suffix":""},{"dropping-particle":"","family":"Myglan","given":"Vladimir S.","non-dropping-particle":"","parse-names":false,"suffix":""},{"dropping-particle":"V.","family":"Kirdyanov","given":"Alexander","non-dropping-particle":"","parse-names":false,"suffix":""},{"dropping-particle":"","family":"Camarero","given":"J. Julio","non-dropping-particle":"","parse-names":false,"suffix":""},{"dropping-particle":"","family":"Crivellaro","given":"Alan","non-dropping-particle":"","parse-names":false,"suffix":""},{"dropping-particle":"","family":"Körner","given":"Christian","non-dropping-particle":"","parse-names":false,"suffix":""}],"container-title":"Nature Communications","id":"ITEM-1","issue":"1","issued":{"date-parts":[["2019"]]},"page":"1-6","publisher":"Springer US","title":"Limited capacity of tree growth to mitigate the global greenhouse effect under predicted warming","type":"article-journal","volume":"10"},"uris":["http://www.mendeley.com/documents/?uuid=c92b184a-e38b-4030-be83-d103f2eb0691"]}],"mendeley":{"formattedCitation":"(Büntgen et al., 2019)","plainTextFormattedCitation":"(Büntgen et al., 2019)","previouslyFormattedCitation":"(Büntgen et al., 2019)"},"properties":{"noteIndex":0},"schema":"https://github.com/citation-style-language/schema/raw/master/csl-citation.json"}</w:instrText>
      </w:r>
      <w:r w:rsidRPr="00DA5AE2">
        <w:fldChar w:fldCharType="separate"/>
      </w:r>
      <w:bookmarkStart w:id="80" w:name="Bookmark78"/>
      <w:r w:rsidRPr="00DA5AE2">
        <w:rPr>
          <w:noProof/>
        </w:rPr>
        <w:t>(Büntgen et al., 2019)</w:t>
      </w:r>
      <w:r w:rsidRPr="00DA5AE2">
        <w:fldChar w:fldCharType="end"/>
      </w:r>
      <w:bookmarkEnd w:id="80"/>
      <w:r w:rsidRPr="00DA5AE2">
        <w:t xml:space="preserve">. Especially in arid environments, the combination of shade-casting fast-growing pioneering species with slow-growing late-successional species is known to benefit survival and spontaneous recovery of other vegetation as well </w:t>
      </w:r>
      <w:r w:rsidRPr="00DA5AE2">
        <w:fldChar w:fldCharType="begin" w:fldLock="1"/>
      </w:r>
      <w:r w:rsidR="00F14052">
        <w:instrText>ADDIN CSL_CITATION {"citationItems":[{"id":"ITEM-1","itemData":{"DOI":"10.1111/j.1526-100X.2006.00197.x","ISSN":"10612971","abstract":"Shrubs are often considered competitive barriers for seedlings planted in reforestation programs, although they can facilitate tree recruitment, especially in ecosystems under high abiotic stress. An alternative reforestation technique using pioneer shrubs as nurse-plants for Olea europaea ssp. cuspidata was tested in exclosures in northern Ethiopia. Seedlings were planted in three different microhabitats, and their survival was monitored. The microhabitats were bare soil patches between shrubs, patches under the dominant shrub Acacia etbaica, and patches under Euclea racemosa, an evergreen shrub, which supports the majority of naturally established Olea recruits. The ability of shrubs to offer protection against browsing goats was tested experimentally. Controlled shading was used to determine whether solar irradiation causes seedling mortality in environments without water stress. Data were analyzed using Kaplan-Meier survival analysis, Kruskal-Wallis analysis of variance (ANOVA), and one-way ANOVA. Olea survival was significantly higher and shoot damage by goats was lower when planted under shrub cover compared to bare soil patches, particularly under Euclea canopies, although high shade levels reduced seedling performance. Reduction of solar radiation by shrub canopies and thus control of soil-water evaporation and seedling transpiration most likely controlled the observed facilitation. Planting under shrubs may increase seedling survival and assist regeneration of dry Afromontane vegetation. Preserving pioneers also reduces soil erosion and conserves biodiversity. Excluding livestock is essential for Olea woodland restoration and allows persistent but morphologically modified Olea shrubs to develop vigorous regrowth. Facilitative processes are guiding principles for assisted forest restoration, but above-average rains may be critical to restore higher biomass levels in semiarid areas. © 2007 Society for Ecological Restoration International.","author":[{"dropping-particle":"","family":"Aerts","given":"Raf","non-dropping-particle":"","parse-names":false,"suffix":""},{"dropping-particle":"","family":"Negussie","given":"Aklilu","non-dropping-particle":"","parse-names":false,"suffix":""},{"dropping-particle":"","family":"Maes","given":"Wouter","non-dropping-particle":"","parse-names":false,"suffix":""},{"dropping-particle":"","family":"November","given":"Eva","non-dropping-particle":"","parse-names":false,"suffix":""},{"dropping-particle":"","family":"Hermy","given":"Martin","non-dropping-particle":"","parse-names":false,"suffix":""},{"dropping-particle":"","family":"Muys","given":"Bart","non-dropping-particle":"","parse-names":false,"suffix":""}],"container-title":"Restoration Ecology","id":"ITEM-1","issue":"1","issued":{"date-parts":[["2007"]]},"page":"129-138","title":"Restoration of dry afromontane forest using pioneer shrubs as nurse-plants for Olea europaea ssp. cuspidata","type":"article-journal","volume":"15"},"uris":["http://www.mendeley.com/documents/?uuid=aac74ec6-db3f-47cf-9963-81acbadc3cfe"]},{"id":"ITEM-2","itemData":{"DOI":"10.1111/nph.15667","ISSN":"14698137","PMID":"30585635","abstract":"Droughts are a rising concern for terrestrial ecosystems, particularly for forests where drought-induced reductions in tree growth and survival are reported. Biodiversity has long been acknowledged as an important component modulating ecosystem functions, including mitigating their vulnerability to climate-related stresses. Yet the impact of tree diversity on forest vulnerability to drought is unclear. In this review, consistent mechanisms are identified by which tree diversity could reduce vulnerability to drought and emerging evidence is revealed that tree diversity is not systematically positively related to drought resistance in forests. A path is suggested to further increase our knowledge on this subject in the face of climate change, proposing standardization of methods to quantitatively establish diversity impacts on the drought resistance of forests.","author":[{"dropping-particle":"","family":"Grossiord","given":"Charlotte","non-dropping-particle":"","parse-names":false,"suffix":""}],"container-title":"New Phytologist","id":"ITEM-2","issue":"1","issued":{"date-parts":[["2020"]]},"page":"42-49","title":"Having the right neighbors: how tree species diversity modulates drought impacts on forests","type":"article-journal","volume":"228"},"uris":["http://www.mendeley.com/documents/?uuid=efdd7a9c-d23e-43e7-85fc-07691c829be2"]},{"id":"ITEM-3","itemData":{"DOI":"10.1098/rstb.2021.0073","ISBN":"0000000258463","ISSN":"0962-8436","PMID":"36373920","abstract":"As interest in restoring tropical forests surges, so does the need for effective methods to ensure success. The framework species method (FSM) restores forest ecosystems by densely planting open sites, close to natural forest, with woody species, indigenous to the reference ecosystem and selected for their ability to accelerate ecological succession. Criteria for selecting framework species include: (i) representative of the reference forest ecosystem, (ii) tolerant of open conditions, (iii) ability to suppress weeds, (iv) attractiveness to seed-dispersing animals and (v) easily propagated. The method is effective where forest remnants and viable populations of seed dispersers remain. The origins and elements of the FSM are discussed. We review its adoption in 12 countries. Adherence to original principles was mostly high, but some misuse of the term was evident. The need for clearer definitions was identified. We place the FSM on a scale of restoration methods, matched with degradation levels and compare its establishment costs with those of other methods. Obstacles to its wider adoption, both technical and socio-economic, are discussed, along with how these might be overcome. Finally, the FSM is more clearly defined to facilitate its use in contributing towards the goals of the UN Decade on Restoration.","author":[{"dropping-particle":"","family":"Elliott","given":"Stephen","non-dropping-particle":"","parse-names":false,"suffix":""},{"dropping-particle":"","family":"Tucker","given":"Nigel I. J.","non-dropping-particle":"","parse-names":false,"suffix":""},{"dropping-particle":"","family":"Shannon","given":"Dia Panitnard","non-dropping-particle":"","parse-names":false,"suffix":""},{"dropping-particle":"","family":"Tiansawat","given":"Pimonrat","non-dropping-particle":"","parse-names":false,"suffix":""}],"container-title":"Philosophical Transactions of the Royal Society B: Biological Sciences","id":"ITEM-3","issue":"1867","issued":{"date-parts":[["2023","1","2"]]},"title":"The framework species method: harnessing natural regeneration to restore tropical forest ecosystems","type":"article-journal","volume":"378"},"uris":["http://www.mendeley.com/documents/?uuid=882e253f-229a-45eb-bb4b-75c1d064f7b9"]},{"id":"ITEM-4","itemData":{"DOI":"10.1038/s41559-019-0882-6","ISSN":"2397-334X","abstract":"Tropical forests are converted at an alarming rate for agricultural use and pastureland, but also regrow naturally through secondary succession. For successful forest restoration, it is essential to understand the mechanisms of secondary succession. These mechanisms may vary across forest types, but analyses across broad spatial scales are lacking. Here, we analyse forest recovery using 1,403 plots that differ in age since agricultural abandonment from 50 sites across the Neotropics. We analyse changes in community composition using species-specific stem wood density (WD), which is a key trait for plant growth, survival and forest carbon storage. In wet forest, succession proceeds from low towards high community WD (acquisitive towards conservative trait values), in line with standard successional theory. However, in dry forest, succession proceeds from high towards low community WD (conservative towards acquisitive trait values), probably because high WD reflects drought tolerance in harsh early successional environments. Dry season intensity drives WD recovery by influencing the start and trajectory of succession, resulting in convergence of the community WD over time as vegetation cover builds up. These ecological insights can be used to improve species selection for reforestation. Reforestation species selected to establish a first protective canopy layer should, among other criteria, ideally have a similar WD to the early successional communities that dominate under the prevailing macroclimatic conditions.","author":[{"dropping-particle":"","family":"Poorter","given":"Lourens","non-dropping-particle":"","parse-names":false,"suffix":""},{"dropping-particle":"","family":"Rozendaal","given":"Danaë M A","non-dropping-particle":"","parse-names":false,"suffix":""},{"dropping-particle":"","family":"Bongers","given":"Frans","non-dropping-particle":"","parse-names":false,"suffix":""},{"dropping-particle":"","family":"Almeida-Cortez","given":"Jarcilene S","non-dropping-particle":"de","parse-names":false,"suffix":""},{"dropping-particle":"","family":"Almeyda Zambrano","given":"Angélica María","non-dropping-particle":"","parse-names":false,"suffix":""},{"dropping-particle":"","family":"Álvarez","given":"Francisco S","non-dropping-particle":"","parse-names":false,"suffix":""},{"dropping-particle":"","family":"Andrade","given":"José Luís","non-dropping-particle":"","parse-names":false,"suffix":""},{"dropping-particle":"","family":"Villa","given":"Luis Felipe Arreola","non-dropping-particle":"","parse-names":false,"suffix":""},{"dropping-particle":"","family":"Balvanera","given":"Patricia","non-dropping-particle":"","parse-names":false,"suffix":""},{"dropping-particle":"","family":"Becknell","given":"Justin M","non-dropping-particle":"","parse-names":false,"suffix":""},{"dropping-particle":"V","family":"Bentos","given":"Tony","non-dropping-particle":"","parse-names":false,"suffix":""},{"dropping-particle":"","family":"Bhaskar","given":"Radika","non-dropping-particle":"","parse-names":false,"suffix":""},{"dropping-particle":"","family":"Boukili","given":"Vanessa","non-dropping-particle":"","parse-names":false,"suffix":""},{"dropping-particle":"","family":"Brancalion","given":"Pedro H S","non-dropping-particle":"","parse-names":false,"suffix":""},{"dropping-particle":"","family":"Broadbent","given":"Eben N","non-dropping-particle":"","parse-names":false,"suffix":""},{"dropping-particle":"","family":"César","given":"Ricardo G","non-dropping-particle":"","parse-names":false,"suffix":""},{"dropping-particle":"","family":"Chave","given":"Jerome","non-dropping-particle":"","parse-names":false,"suffix":""},{"dropping-particle":"","family":"Chazdon","given":"Robin L","non-dropping-particle":"","parse-names":false,"suffix":""},{"dropping-particle":"","family":"Colletta","given":"Gabriel Dalla","non-dropping-particle":"","parse-names":false,"suffix":""},{"dropping-particle":"","family":"Craven","given":"Dylan","non-dropping-particle":"","parse-names":false,"suffix":""},{"dropping-particle":"","family":"Jong","given":"Ben H J","non-dropping-particle":"de","parse-names":false,"suffix":""},{"dropping-particle":"","family":"Denslow","given":"Julie S","non-dropping-particle":"","parse-names":false,"suffix":""},{"dropping-particle":"","family":"Dent","given":"Daisy H","non-dropping-particle":"","parse-names":false,"suffix":""},{"dropping-particle":"","family":"DeWalt","given":"Saara J","non-dropping-particle":"","parse-names":false,"suffix":""},{"dropping-particle":"","family":"García","given":"Elisa Díaz","non-dropping-particle":"","parse-names":false,"suffix":""},{"dropping-particle":"","family":"Dupuy","given":"Juan Manuel","non-dropping-particle":"","parse-names":false,"suffix":""},{"dropping-particle":"","family":"Durán","given":"Sandra M","non-dropping-particle":"","parse-names":false,"suffix":""},{"dropping-particle":"","family":"Espírito Santo","given":"Mário M","non-dropping-particle":"","parse-names":false,"suffix":""},{"dropping-particle":"","family":"Fandiño","given":"María C","non-dropping-particle":"","parse-names":false,"suffix":""},{"dropping-particle":"","family":"Fernandes","given":"Geraldo Wilson","non-dropping-particle":"","parse-names":false,"suffix":""},{"dropping-particle":"","family":"Finegan","given":"Bryan","non-dropping-particle":"","parse-names":false,"suffix":""},{"dropping-particle":"","family":"Moser","given":"Vanessa Granda","non-dropping-particle":"","parse-names":false,"suffix":""},{"dropping-particle":"","family":"Hall","given":"Jefferson S","non-dropping-particle":"","parse-names":false,"suffix":""},{"dropping-particle":"","family":"Hernández-Stefanoni","given":"José Luis","non-dropping-particle":"","parse-names":false,"suffix":""},{"dropping-particle":"","family":"Jakovac","given":"Catarina C","non-dropping-particle":"","parse-names":false,"suffix":""},{"dropping-particle":"","family":"Junqueira","given":"André B","non-dropping-particle":"","parse-names":false,"suffix":""},{"dropping-particle":"","family":"Kennard","given":"Deborah","non-dropping-particle":"","parse-names":false,"suffix":""},{"dropping-particle":"","family":"Lebrija-Trejos","given":"Edwin","non-dropping-particle":"","parse-names":false,"suffix":""},{"dropping-particle":"","family":"Letcher","given":"Susan G","non-dropping-particle":"","parse-names":false,"suffix":""},{"dropping-particle":"","family":"Lohbeck","given":"Madelon","non-dropping-particle":"","parse-names":false,"suffix":""},{"dropping-particle":"","family":"Lopez","given":"Omar R","non-dropping-particle":"","parse-names":false,"suffix":""},{"dropping-particle":"","family":"Marín-Spiotta","given":"Erika","non-dropping-particle":"","parse-names":false,"suffix":""},{"dropping-particle":"","family":"Martínez-Ramos","given":"Miguel","non-dropping-particle":"","parse-names":false,"suffix":""},{"dropping-particle":"V","family":"Martins","given":"Sebastião","non-dropping-particle":"","parse-names":false,"suffix":""},{"dropping-particle":"","family":"Massoca","given":"Paulo E S","non-dropping-particle":"","parse-names":false,"suffix":""},{"dropping-particle":"","family":"Meave","given":"Jorge A","non-dropping-particle":"","parse-names":false,"suffix":""},{"dropping-particle":"","family":"Mesquita","given":"Rita","non-dropping-particle":"","parse-names":false,"suffix":""},{"dropping-particle":"","family":"Mora","given":"Francisco","non-dropping-particle":"","parse-names":false,"suffix":""},{"dropping-particle":"","family":"Souza Moreno","given":"Vanessa","non-dropping-particle":"de","parse-names":false,"suffix":""},{"dropping-particle":"","family":"Müller","given":"Sandra C","non-dropping-particle":"","parse-names":false,"suffix":""},{"dropping-particle":"","family":"Muñoz","given":"Rodrigo","non-dropping-particle":"","parse-names":false,"suffix":""},{"dropping-particle":"","family":"Muscarella","given":"Robert","non-dropping-particle":"","parse-names":false,"suffix":""},{"dropping-particle":"","family":"Oliveira Neto","given":"Silvio Nolasco","non-dropping-particle":"de","parse-names":false,"suffix":""},{"dropping-particle":"","family":"Nunes","given":"Yule R F","non-dropping-particle":"","parse-names":false,"suffix":""},{"dropping-particle":"","family":"Ochoa-Gaona","given":"Susana","non-dropping-particle":"","parse-names":false,"suffix":""},{"dropping-particle":"","family":"Paz","given":"Horacio","non-dropping-particle":"","parse-names":false,"suffix":""},{"dropping-particle":"","family":"Peña-Claros","given":"Marielos","non-dropping-particle":"","parse-names":false,"suffix":""},{"dropping-particle":"","family":"Piotto","given":"Daniel","non-dropping-particle":"","parse-names":false,"suffix":""},{"dropping-particle":"","family":"Ruíz","given":"Jorge","non-dropping-particle":"","parse-names":false,"suffix":""},{"dropping-particle":"","family":"Sanaphre-Villanueva","given":"Lucía","non-dropping-particle":"","parse-names":false,"suffix":""},{"dropping-particle":"","family":"Sanchez-Azofeifa","given":"Arturo","non-dropping-particle":"","parse-names":false,"suffix":""},{"dropping-particle":"","family":"Schwartz","given":"Naomi B","non-dropping-particle":"","parse-names":false,"suffix":""},{"dropping-particle":"","family":"Steininger","given":"Marc K","non-dropping-particle":"","parse-names":false,"suffix":""},{"dropping-particle":"","family":"Thomas","given":"William Wayt","non-dropping-particle":"","parse-names":false,"suffix":""},{"dropping-particle":"","family":"Toledo","given":"Marisol","non-dropping-particle":"","parse-names":false,"suffix":""},{"dropping-particle":"","family":"Uriarte","given":"Maria","non-dropping-particle":"","parse-names":false,"suffix":""},{"dropping-particle":"","family":"Utrera","given":"Luis P","non-dropping-particle":"","parse-names":false,"suffix":""},{"dropping-particle":"","family":"Breugel","given":"Michiel","non-dropping-particle":"van","parse-names":false,"suffix":""},{"dropping-particle":"","family":"Sande","given":"Masha T","non-dropping-particle":"van der","parse-names":false,"suffix":""},{"dropping-particle":"","family":"Wal","given":"Hans","non-dropping-particle":"van der","parse-names":false,"suffix":""},{"dropping-particle":"","family":"Veloso","given":"Maria D M","non-dropping-particle":"","parse-names":false,"suffix":""},{"dropping-particle":"","family":"Vester","given":"Hans F M","non-dropping-particle":"","parse-names":false,"suffix":""},{"dropping-particle":"","family":"Vieira","given":"Ima C G","non-dropping-particle":"","parse-names":false,"suffix":""},{"dropping-particle":"","family":"Villa","given":"Pedro Manuel","non-dropping-particle":"","parse-names":false,"suffix":""},{"dropping-particle":"","family":"Williamson","given":"G Bruce","non-dropping-particle":"","parse-names":false,"suffix":""},{"dropping-particle":"","family":"Wright","given":"S Joseph","non-dropping-particle":"","parse-names":false,"suffix":""},{"dropping-particle":"","family":"Zanini","given":"Kátia J","non-dropping-particle":"","parse-names":false,"suffix":""},{"dropping-particle":"","family":"Zimmerman","given":"Jess K","non-dropping-particle":"","parse-names":false,"suffix":""},{"dropping-particle":"","family":"Westoby","given":"Mark","non-dropping-particle":"","parse-names":false,"suffix":""}],"container-title":"Nature Ecology &amp; Evolution","id":"ITEM-4","issue":"6","issued":{"date-parts":[["2019"]]},"page":"928-934","title":"Wet and dry tropical forests show opposite successional pathways in wood density but converge over time","type":"article-journal","volume":"3"},"uris":["http://www.mendeley.com/documents/?uuid=46d690ad-ba48-4e2c-8632-6d9a1701da76"]}],"mendeley":{"formattedCitation":"(Aerts et al., 2007; Elliott, Tucker, Shannon, &amp; Tiansawat, 2023; Grossiord, 2020; Poorter et al., 2019)","plainTextFormattedCitation":"(Aerts et al., 2007; Elliott, Tucker, Shannon, &amp; Tiansawat, 2023; Grossiord, 2020; Poorter et al., 2019)","previouslyFormattedCitation":"(Aerts et al., 2007; Poorter et al., 2019; Grossiord, 2020; Elliott, Tucker, Shannon, &amp; Tiansawat, 2023)"},"properties":{"noteIndex":0},"schema":"https://github.com/citation-style-language/schema/raw/master/csl-citation.json"}</w:instrText>
      </w:r>
      <w:r w:rsidRPr="00DA5AE2">
        <w:fldChar w:fldCharType="separate"/>
      </w:r>
      <w:bookmarkStart w:id="81" w:name="Bookmark79"/>
      <w:r w:rsidR="00F14052" w:rsidRPr="00F14052">
        <w:rPr>
          <w:noProof/>
        </w:rPr>
        <w:t>(Aerts et al., 2007; Elliott, Tucker, Shannon, &amp; Tiansawat, 2023; Grossiord, 2020; Poorter et al., 2019)</w:t>
      </w:r>
      <w:r w:rsidRPr="00DA5AE2">
        <w:fldChar w:fldCharType="end"/>
      </w:r>
      <w:bookmarkEnd w:id="81"/>
      <w:r w:rsidR="0058389B" w:rsidRPr="00DA5AE2">
        <w:t>.</w:t>
      </w:r>
      <w:r w:rsidRPr="00DA5AE2">
        <w:t xml:space="preserve"> Our findings support that drought sensitive species are better suited to combat drought effects when in mixture compared to monoculture, and can hence still contribute to multi-functionality of forests </w:t>
      </w:r>
      <w:r w:rsidRPr="00DA5AE2">
        <w:fldChar w:fldCharType="begin" w:fldLock="1"/>
      </w:r>
      <w:r w:rsidR="00F14052">
        <w:instrText>ADDIN CSL_CITATION {"citationItems":[{"id":"ITEM-1","itemData":{"DOI":"10.1073/pnas.1411970111","ISSN":"10916490","PMID":"25267642","abstract":"Climate models predict an increase in the intensity and frequency of drought episodes in the Northern Hemisphere. Among terrestrial ecosystems, forests will be profoundly impacted by drier climatic conditions, with drastic consequences for the functions and services they supply. Simultaneously, biodiversity is known to support a wide range of forest ecosystem functions and services. However, whether biodiversity also improves the resistance of these ecosystems to drought remains unclear. We compared soil drought exposure levels in a total of 160 forest stands within five major forest types across Europe along a gradient of tree species diversity. We assessed soil drought exposure in each forest stand by calculating the stand-level increase in carbon isotope composition of latewood from a wet to a dry year (Δδ13CS). Δδ13CS exhibited a negative linear relationship with tree species diversity in two forest types, suggesting that species interactions in these forests diminished the drought exposure of the ecosystem. However, the other three forest typeswere unaffected by tree species diversity. We conclude that higher diversity enhances resistance to drought events only in drought-prone environments. Managing forest ecosystems for high tree species diversity does not necessarily assure improved adaptability to themore severe and frequent drought events predicted for the future.","author":[{"dropping-particle":"","family":"Grossiord","given":"Charlotte","non-dropping-particle":"","parse-names":false,"suffix":""},{"dropping-particle":"","family":"Granier","given":"André","non-dropping-particle":"","parse-names":false,"suffix":""},{"dropping-particle":"","family":"Ratcliffe","given":"Sophia","non-dropping-particle":"","parse-names":false,"suffix":""},{"dropping-particle":"","family":"Bouriaud","given":"Olivier","non-dropping-particle":"","parse-names":false,"suffix":""},{"dropping-particle":"","family":"Bruelheide","given":"Helge","non-dropping-particle":"","parse-names":false,"suffix":""},{"dropping-particle":"","family":"Chećko","given":"Ewa","non-dropping-particle":"","parse-names":false,"suffix":""},{"dropping-particle":"","family":"Forrester","given":"David Ian","non-dropping-particle":"","parse-names":false,"suffix":""},{"dropping-particle":"","family":"Dawud","given":"Seid Muhie","non-dropping-particle":"","parse-names":false,"suffix":""},{"dropping-particle":"","family":"Finér","given":"Leena","non-dropping-particle":"","parse-names":false,"suffix":""},{"dropping-particle":"","family":"Pollastrini","given":"Martina","non-dropping-particle":"","parse-names":false,"suffix":""},{"dropping-particle":"","family":"Scherer-Lorenzen","given":"Michael","non-dropping-particle":"","parse-names":false,"suffix":""},{"dropping-particle":"","family":"Valladares","given":"Fernando","non-dropping-particle":"","parse-names":false,"suffix":""},{"dropping-particle":"","family":"Bonal","given":"Damien","non-dropping-particle":"","parse-names":false,"suffix":""},{"dropping-particle":"","family":"Gessler","given":"Arthur","non-dropping-particle":"","parse-names":false,"suffix":""},{"dropping-particle":"","family":"Schlesinger","given":"William H.","non-dropping-particle":"","parse-names":false,"suffix":""}],"container-title":"Proceedings of the National Academy of Sciences of the United States of America","id":"ITEM-1","issue":"41","issued":{"date-parts":[["2014"]]},"page":"14812-14815","title":"Tree diversity does not always improve resistance of forest ecosystems to drought","type":"article-journal","volume":"111"},"uris":["http://www.mendeley.com/documents/?uuid=18824aaa-b6b2-458d-9036-ce95ba0ce83c"]},{"id":"ITEM-2","itemData":{"DOI":"10.1038/ncomms11109","ISSN":"2041-1723","author":[{"dropping-particle":"","family":"Plas","given":"Fons","non-dropping-particle":"van der","parse-names":false,"suffix":""},{"dropping-particle":"","family":"Manning","given":"Peter","non-dropping-particle":"","parse-names":false,"suffix":""},{"dropping-particle":"","family":"Allan","given":"Eric","non-dropping-particle":"","parse-names":false,"suffix":""},{"dropping-particle":"","family":"Scherer-Lorenzen","given":"Michael","non-dropping-particle":"","parse-names":false,"suffix":""},{"dropping-particle":"","family":"Verheyen","given":"Kris","non-dropping-particle":"","parse-names":false,"suffix":""},{"dropping-particle":"","family":"Wirth","given":"Christian","non-dropping-particle":"","parse-names":false,"suffix":""},{"dropping-particle":"","family":"Zavala","given":"Miguel A","non-dropping-particle":"","parse-names":false,"suffix":""},{"dropping-particle":"","family":"Hector","given":"Andy","non-dropping-particle":"","parse-names":false,"suffix":""},{"dropping-particle":"","family":"Ampoorter","given":"Evy","non-dropping-particle":"","parse-names":false,"suffix":""},{"dropping-particle":"","family":"Baeten","given":"Lander","non-dropping-particle":"","parse-names":false,"suffix":""},{"dropping-particle":"","family":"Barbaro","given":"Luc","non-dropping-particle":"","parse-names":false,"suffix":""},{"dropping-particle":"","family":"Bauhus","given":"Jürgen","non-dropping-particle":"","parse-names":false,"suffix":""},{"dropping-particle":"","family":"Benavides","given":"Raquel","non-dropping-particle":"","parse-names":false,"suffix":""},{"dropping-particle":"","family":"Benneter","given":"Adam","non-dropping-particle":"","parse-names":false,"suffix":""},{"dropping-particle":"","family":"Berthold","given":"Felix","non-dropping-particle":"","parse-names":false,"suffix":""},{"dropping-particle":"","family":"Bonal","given":"Damien","non-dropping-particle":"","parse-names":false,"suffix":""},{"dropping-particle":"","family":"Bouriaud","given":"Olivier","non-dropping-particle":"","parse-names":false,"suffix":""},{"dropping-particle":"","family":"Bruelheide","given":"Helge","non-dropping-particle":"","parse-names":false,"suffix":""},{"dropping-particle":"","family":"Bussotti","given":"Filippo","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oomes","given":"David","non-dropping-particle":"","parse-names":false,"suffix":""},{"dropping-particle":"","family":"Coppi","given":"Andrea","non-dropping-particle":"","parse-names":false,"suffix":""},{"dropping-particle":"","family":"Bastias","given":"Cristina C.","non-dropping-particle":"","parse-names":false,"suffix":""},{"dropping-particle":"","family":"Muhie Dawud","given":"Seid","non-dropping-particle":"","parse-names":false,"suffix":""},{"dropping-particle":"","family":"Wandeler","given":"Hans","non-dropping-particle":"De","parse-names":false,"suffix":""},{"dropping-particle":"","family":"Domisch","given":"Timo","non-dropping-particle":"","parse-names":false,"suffix":""},{"dropping-particle":"","family":"Finér","given":"Leena","non-dropping-particle":"","parse-names":false,"suffix":""},{"dropping-particle":"","family":"Gessler","given":"Arthur","non-dropping-particle":"","parse-names":false,"suffix":""},{"dropping-particle":"","family":"Granier","given":"André","non-dropping-particle":"","parse-names":false,"suffix":""},{"dropping-particle":"","family":"Grossiord","given":"Charlotte","non-dropping-particle":"","parse-names":false,"suffix":""},{"dropping-particle":"","family":"Guyot","given":"Virginie","non-dropping-particle":"","parse-names":false,"suffix":""},{"dropping-particle":"","family":"Hättenschwiler","given":"Stephan","non-dropping-particle":"","parse-names":false,"suffix":""},{"dropping-particle":"","family":"Jactel","given":"Hervé","non-dropping-particle":"","parse-names":false,"suffix":""},{"dropping-particle":"","family":"Jaroszewicz","given":"Bogdan","non-dropping-particle":"","parse-names":false,"suffix":""},{"dropping-particle":"","family":"Joly","given":"François-Xavier","non-dropping-particle":"","parse-names":false,"suffix":""},{"dropping-particle":"","family":"Jucker","given":"Tommaso","non-dropping-particle":"","parse-names":false,"suffix":""},{"dropping-particle":"","family":"Koricheva","given":"Julia","non-dropping-particle":"","parse-names":false,"suffix":""},{"dropping-particle":"","family":"Milligan","given":"Harriet","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Pollastrini","given":"Martina","non-dropping-particle":"","parse-names":false,"suffix":""},{"dropping-particle":"","family":"Raulund-Rasmussen","given":"Karsten","non-dropping-particle":"","parse-names":false,"suffix":""},{"dropping-particle":"","family":"Selvi","given":"Federico","non-dropping-particle":"","parse-names":false,"suffix":""},{"dropping-particle":"","family":"Stenlid","given":"Jan","non-dropping-particle":"","parse-names":false,"suffix":""},{"dropping-particle":"","family":"Valladares","given":"Fernando","non-dropping-particle":"","parse-names":false,"suffix":""},{"dropping-particle":"","family":"Vesterdal","given":"Lars","non-dropping-particle":"","parse-names":false,"suffix":""},{"dropping-particle":"","family":"Zielínski","given":"Dawid","non-dropping-particle":"","parse-names":false,"suffix":""},{"dropping-particle":"","family":"Fischer","given":"Markus","non-dropping-particle":"","parse-names":false,"suffix":""}],"container-title":"Nature Communications","id":"ITEM-2","issue":"1","issued":{"date-parts":[["2016","9","24"]]},"page":"11109","title":"Jack-of-all-trades effects drive biodiversity–ecosystem multifunctionality relationships in European forests","type":"article-journal","volume":"7"},"uris":["http://www.mendeley.com/documents/?uuid=005b7b95-62bc-48aa-b72e-3c2f12862cc6"]},{"id":"ITEM-3","itemData":{"DOI":"10.1016/j.foreco.2017.09.016","ISSN":"03781127","abstract":"Low soil water availability in the dry season substantially influences the survival of native tree species planted in subtropical degraded hilly lands in South China. In this study, we investigated the survival and hydraulic-related traits of 16 native tree species from a six-year-old mixed plantation, to investigate whether the survival ratios of species are associated with their drought tolerance and hydraulic efficiency. Our results showed that the six-year survival ratios ranged from 1% to 96% among the 16 species, with less 25% survival for four species. Across species, the survival ratio was significantly correlated with xylem vulnerability to cavitation, hydraulic safety margin, and leaf turgor loss point. It was not correlated with sapwood density and hydraulic conductivity. These results indicated that drought tolerance was the determinant of species survival in the mixed plantation. Additionally, we found that a large proportion of high survival species were non-pioneers, indicating that mixed plantations consisted of pioneers and non-pioneers are effective and would decrease the time required for the succession from plantation to mature forest. Considering that drought is one of the most important stress factors that affect the success of forest restoration, and increases in frequency and severity in the subtropical region, we suggest drought-tolerance traits are valuable for identification of native tree species suitable for restoration projects.","author":[{"dropping-particle":"","family":"Zhu","given":"Shi Dan","non-dropping-particle":"","parse-names":false,"suffix":""},{"dropping-particle":"","family":"He","given":"Peng Cheng","non-dropping-particle":"","parse-names":false,"suffix":""},{"dropping-particle":"","family":"Li","given":"Rong Hua","non-dropping-particle":"","parse-names":false,"suffix":""},{"dropping-particle":"","family":"Fu","given":"Sheng Lei","non-dropping-particle":"","parse-names":false,"suffix":""},{"dropping-particle":"","family":"Lin","given":"Yong Biao","non-dropping-particle":"","parse-names":false,"suffix":""},{"dropping-particle":"","family":"Zhou","given":"Li Xia","non-dropping-particle":"","parse-names":false,"suffix":""},{"dropping-particle":"","family":"Cao","given":"Kun Fang","non-dropping-particle":"","parse-names":false,"suffix":""},{"dropping-particle":"","family":"Ye","given":"Qing","non-dropping-particle":"","parse-names":false,"suffix":""}],"container-title":"Forest Ecology and Management","id":"ITEM-3","issue":"October 2017","issued":{"date-parts":[["2018"]]},"page":"41-46","publisher":"Elsevier","title":"Drought tolerance traits predict survival ratio of native tree species planted in a subtropical degraded hilly area in South China","type":"article-journal","volume":"418"},"uris":["http://www.mendeley.com/documents/?uuid=7e171d85-597b-4fef-a32e-0da1ba102277"]},{"id":"ITEM-4","itemData":{"DOI":"10.1111/1365-2664.13308","ISSN":"13652664","abstract":"© 2018 The Authors. Journal of Applied Ecology © 2018 British Ecological Society Forest ecosystem functioning generally benefits from higher tree species richness, but variation within richness levels is typically large. This is mostly due to the contrasting performances of communities with different compositions. Evidence-based understanding of composition effects on forest productivity, as well as on multiple other functions will enable forest managers to focus on the selection of species that maximize functioning, rather than on diversity per se. We used a dataset of 30 ecosystem functions measured in stands with different species richness and composition in six European forest types. First, we quantified whether the compositions that maximize annual above-ground wood production (productivity) generally also fulfil the multiple other ecosystem functions (multifunctionality). Then, we quantified the species identity effects and strength of interspecific interactions to identify the “best” and “worst” species composition for multifunctionality. Finally, we evaluated the real-world frequency of occurrence of best and worst mixtures, using harmonized data from multiple national forest inventories. The most productive tree species combinations also tended to express relatively high multifunctionality, although we found a relatively wide range of compositions with high- or low-average multifunctionality for the same level of productivity. Monocultures were distributed among the highest as well as the lowest performing compositions. The variation in functioning between compositions was generally driven by differences in the performance of the component species and, to a lesser extent, by particular interspecific interactions. Finally, we found that the most frequent species compositions in inventory data were monospecific stands and that the most common compositions showed below-average multifunctionality and productivity. Synthesis and applications. Species identity and composition effects are essential to the development of high-performing production systems, for instance in forestry and agriculture. They therefore deserve great attention in the analysis and design of functional biodiversity studies if the aim is to inform ecosystem management. A management focus on tree productivity does not necessarily trade-off against other ecosystem functions; high productivity and multifunctionality can be combined with an informed selection of tree species and spec…","author":[{"dropping-particle":"","family":"Baeten","given":"Lander","non-dropping-particle":"","parse-names":false,"suffix":""},{"dropping-particle":"","family":"Bruelheide","given":"Helge","non-dropping-particle":"","parse-names":false,"suffix":""},{"dropping-particle":"","family":"Plas","given":"Fons","non-dropping-particle":"van der","parse-names":false,"suffix":""},{"dropping-particle":"","family":"Kambach","given":"Stephan","non-dropping-particle":"","parse-names":false,"suffix":""},{"dropping-particle":"","family":"Ratcliffe","given":"Sophia","non-dropping-particle":"","parse-names":false,"suffix":""},{"dropping-particle":"","family":"Jucker","given":"Tommaso","non-dropping-particle":"","parse-names":false,"suffix":""},{"dropping-particle":"","family":"Allan","given":"Eric","non-dropping-particle":"","parse-names":false,"suffix":""},{"dropping-particle":"","family":"Ampoorter","given":"Evy","non-dropping-particle":"","parse-names":false,"suffix":""},{"dropping-particle":"","family":"Barbaro","given":"Luc","non-dropping-particle":"","parse-names":false,"suffix":""},{"dropping-particle":"","family":"Bastias","given":"Cristina C.","non-dropping-particle":"","parse-names":false,"suffix":""},{"dropping-particle":"","family":"Bauhus","given":"Jürgen","non-dropping-particle":"","parse-names":false,"suffix":""},{"dropping-particle":"","family":"Benavides","given":"Raquel","non-dropping-particle":"","parse-names":false,"suffix":""},{"dropping-particle":"","family":"Bonal","given":"Damien","non-dropping-particle":"","parse-names":false,"suffix":""},{"dropping-particle":"","family":"Bouriaud","given":"Olivier","non-dropping-particle":"","parse-names":false,"suffix":""},{"dropping-particle":"","family":"Bussotti","given":"Filippo","non-dropping-particle":"","parse-names":false,"suffix":""},{"dropping-particle":"","family":"Carnol","given":"Monique","non-dropping-particle":"","parse-names":false,"suffix":""},{"dropping-particle":"","family":"Castagneyrol","given":"Bastien","non-dropping-particle":"","parse-names":false,"suffix":""},{"dropping-particle":"","family":"Charbonnier","given":"Yohan","non-dropping-particle":"","parse-names":false,"suffix":""},{"dropping-particle":"","family":"Chećko","given":"Ewa","non-dropping-particle":"","parse-names":false,"suffix":""},{"dropping-particle":"","family":"Coomes","given":"David A.","non-dropping-particle":"","parse-names":false,"suffix":""},{"dropping-particle":"","family":"Dahlgren","given":"Jonas","non-dropping-particle":"","parse-names":false,"suffix":""},{"dropping-particle":"","family":"Dawud","given":"Seid Muhie","non-dropping-particle":"","parse-names":false,"suffix":""},{"dropping-particle":"","family":"Wandeler","given":"Hans","non-dropping-particle":"De","parse-names":false,"suffix":""},{"dropping-particle":"","family":"Domisch","given":"Timo","non-dropping-particle":"","parse-names":false,"suffix":""},{"dropping-particle":"","family":"Finér","given":"Leena","non-dropping-particle":"","parse-names":false,"suffix":""},{"dropping-particle":"","family":"Fischer","given":"Markus","non-dropping-particle":"","parse-names":false,"suffix":""},{"dropping-particle":"","family":"Fotelli","given":"Mariangela","non-dropping-particle":"","parse-names":false,"suffix":""},{"dropping-particle":"","family":"Gessler","given":"Arthur","non-dropping-particle":"","parse-names":false,"suffix":""},{"dropping-particle":"","family":"Grossiord","given":"Charlotte","non-dropping-particle":"","parse-names":false,"suffix":""},{"dropping-particle":"","family":"Guyot","given":"Virginie","non-dropping-particle":"","parse-names":false,"suffix":""},{"dropping-particle":"","family":"Hättenschwiler","given":"Stephan","non-dropping-particle":"","parse-names":false,"suffix":""},{"dropping-particle":"","family":"Jactel","given":"Hervé","non-dropping-particle":"","parse-names":false,"suffix":""},{"dropping-particle":"","family":"Jaroszewicz","given":"Bogdan","non-dropping-particle":"","parse-names":false,"suffix":""},{"dropping-particle":"","family":"Joly","given":"François Xavier","non-dropping-particle":"","parse-names":false,"suffix":""},{"dropping-particle":"","family":"Koricheva","given":"Julia","non-dropping-particle":"","parse-names":false,"suffix":""},{"dropping-particle":"","family":"Lehtonen","given":"Aleksi","non-dropping-particle":"","parse-names":false,"suffix":""},{"dropping-particle":"","family":"Müller","given":"Sandra","non-dropping-particle":"","parse-names":false,"suffix":""},{"dropping-particle":"","family":"Muys","given":"Bart","non-dropping-particle":"","parse-names":false,"suffix":""},{"dropping-particle":"","family":"Nguyen","given":"Diem","non-dropping-particle":"","parse-names":false,"suffix":""},{"dropping-particle":"","family":"Pollastrini","given":"Martina","non-dropping-particle":"","parse-names":false,"suffix":""},{"dropping-particle":"","family":"Radoglou","given":"Kalliopi","non-dropping-particle":"","parse-names":false,"suffix":""},{"dropping-particle":"","family":"Raulund-Rasmussen","given":"Karsten","non-dropping-particle":"","parse-names":false,"suffix":""},{"dropping-particle":"","family":"Ruiz-Benito","given":"Paloma","non-dropping-particle":"","parse-names":false,"suffix":""},{"dropping-particle":"","family":"Selvi","given":"Federico","non-dropping-particle":"","parse-names":false,"suffix":""},{"dropping-particle":"","family":"Stenlid","given":"Jan","non-dropping-particle":"","parse-names":false,"suffix":""},{"dropping-particle":"","family":"Valladares","given":"Fernando","non-dropping-particle":"","parse-names":false,"suffix":""},{"dropping-particle":"","family":"Vesterdal","given":"Lars","non-dropping-particle":"","parse-names":false,"suffix":""},{"dropping-particle":"","family":"Verheyen","given":"Kris","non-dropping-particle":"","parse-names":false,"suffix":""},{"dropping-particle":"","family":"Wirth","given":"Christian","non-dropping-particle":"","parse-names":false,"suffix":""},{"dropping-particle":"","family":"Zavala","given":"Miguel A.","non-dropping-particle":"","parse-names":false,"suffix":""},{"dropping-particle":"","family":"Scherer-Lorenzen","given":"Michael","non-dropping-particle":"","parse-names":false,"suffix":""}],"container-title":"Journal of Applied Ecology","id":"ITEM-4","issue":"3","issued":{"date-parts":[["2019"]]},"page":"733-744","title":"Identifying the tree species compositions that maximize ecosystem functioning in European forests","type":"article-journal","volume":"56"},"uris":["http://www.mendeley.com/documents/?uuid=027fd797-ddc8-4bbd-9c97-68795ece6015"]},{"id":"ITEM-5","itemData":{"DOI":"10.1007/s10021-020-00501-y","ISSN":"14350629","abstract":"Promoting tree species diversity is commonly advocated in the anticipation of predicted increases in drought frequency and severity. However, mixing effects on drought responses vary substantially with site conditions and species identity. We combined annually resolved tree-ring data and repeated forest inventory data spanning the last 90 years to examine the effect of species-specific neighbourhood competition on the drought response (resistance, recovery and resilience) of European beech (Fagus sylvatica), silver fir (Abies alba) and Norway spruce (Picea abies) for six drought events that occurred since the 1970s at three sites in Switzerland. We found predominantly weak neighbourhood competition and tree species diversity effects, with significant interspecific influences only for resistance and recovery of beech. These minor neighbourhood effects were outweighed by tree age and size effects. Although age effects depended on species identity and components of resilience, tree size consistently negatively affected all species. Our results emphasize that diversity effects may vary for each given species combination which makes broader conclusions challenging. This is because species interact through their specific set of traits and interactions vary in space and time. Adaptive management strategies are likely to be more effective when they promote more drought-tolerant species and reductions in stand density. Despite the absence of an unequivocal advantage of tree diversity on drought resilience, striving towards species-rich forests nonetheless allows for a risk spreading among multiple species and the reinforced provision of numerous ecosystem services.","author":[{"dropping-particle":"","family":"Gillerot","given":"Loïc","non-dropping-particle":"","parse-names":false,"suffix":""},{"dropping-particle":"","family":"Forrester","given":"David I.","non-dropping-particle":"","parse-names":false,"suffix":""},{"dropping-particle":"","family":"Bottero","given":"Alessandra","non-dropping-particle":"","parse-names":false,"suffix":""},{"dropping-particle":"","family":"Rigling","given":"Andreas","non-dropping-particle":"","parse-names":false,"suffix":""},{"dropping-particle":"","family":"Lévesque","given":"Mathieu","non-dropping-particle":"","parse-names":false,"suffix":""}],"container-title":"Ecosystems","id":"ITEM-5","issued":{"date-parts":[["2020"]]},"page":"20-36","title":"Tree Neighbourhood Diversity Has Negligible Effects on Drought Resilience of European Beech, Silver Fir and Norway Spruce","type":"article-journal"},"uris":["http://www.mendeley.com/documents/?uuid=f26cea3e-4eab-4f37-9339-8d79b9ea8d25"]},{"id":"ITEM-6","itemData":{"DOI":"10.1111/1365-2745.13970","ISSN":"13652745","abstract":"Tree survival affects forest biodiversity, structure and functioning. However, little is known about feedback effects of biodiversity on survival and its dependence on functional traits and interannual climatic variability. With an individual-based dataset from a large subtropical forest biodiversity experiment, we evaluated how species richness, functional traits and time-dependent covariates affected annual tree survival rates from age 3–12 (years) after planting 39 species across a diversity gradient from 1 to 2, 4, 8 and 16 tree species. We found that overall survival rates marginally increased with diversity at the plot level, with large variation among plots within diversity levels. Significant variation among species in survival responses to diversity and changes in these responses with age were related to species functional traits and climatic conditions. Generally, survival rates of conservative species (evergreen, late-successional species with thick leaves and high carbon to nitrogen ratio but low specific leaf area, leaf phosphorus and hydraulic conductivity) increased with diversity, age and yearly precipitation, whereas acquisitive species showed opposite responses. Synthesis. Our results indicate that interactions between diversity, species functional traits and yearly climatic conditions can balance survival among species in diverse forests. Planting mixtures of species that differ in functional traits in afforestation projects may lead to a positive feedback loop where biodiversity maintains biodiversity, together with its previously reported beneficial effects on ecosystem functioning.","author":[{"dropping-particle":"","family":"Liu","given":"Xiaojuan","non-dropping-particle":"","parse-names":false,"suffix":""},{"dropping-particle":"","family":"Huang","given":"Yuanyuan","non-dropping-particle":"","parse-names":false,"suffix":""},{"dropping-particle":"","family":"Chen","given":"Lei","non-dropping-particle":"","parse-names":false,"suffix":""},{"dropping-particle":"","family":"Li","given":"Shan","non-dropping-particle":"","parse-names":false,"suffix":""},{"dropping-particle":"","family":"Bongers","given":"Franca J.","non-dropping-particle":"","parse-names":false,"suffix":""},{"dropping-particle":"","family":"Castro-Izaguirre","given":"Nadia","non-dropping-particle":"","parse-names":false,"suffix":""},{"dropping-particle":"","family":"Liang","given":"Yu","non-dropping-particle":"","parse-names":false,"suffix":""},{"dropping-particle":"","family":"Yang","given":"Bo","non-dropping-particle":"","parse-names":false,"suffix":""},{"dropping-particle":"","family":"Chen","given":"Yuxin","non-dropping-particle":"","parse-names":false,"suffix":""},{"dropping-particle":"","family":"Schnabel","given":"Florian","non-dropping-particle":"","parse-names":false,"suffix":""},{"dropping-particle":"","family":"Tang","given":"Ting","non-dropping-particle":"","parse-names":false,"suffix":""},{"dropping-particle":"","family":"Xue","given":"Yujie","non-dropping-particle":"","parse-names":false,"suffix":""},{"dropping-particle":"","family":"Trogisch","given":"Stefan","non-dropping-particle":"","parse-names":false,"suffix":""},{"dropping-particle":"","family":"Staab","given":"Michael","non-dropping-particle":"","pa</w:instrText>
      </w:r>
      <w:r w:rsidR="00F14052" w:rsidRPr="00F14052">
        <w:rPr>
          <w:lang w:val="nl-BE"/>
        </w:rPr>
        <w:instrText>rse-names":false,"suffix":""},{"dropping-particle":"","family":"Bruelheide","given":"Helge","non-dropping-particle":"","parse-names":false,"suffix":""},{"dropping-particle":"","family":"Schmid","given":"Bernhard","non-dropping-particle":"","parse-names":false,"suffix":""},{"dropping-particle":"","family":"Ma","given":"Keping","non-dropping-particle":"","parse-names":false,"suffix":""}],"container-title":"Journal of Ecology","id":"ITEM-6","issue":"10","issued":{"date-parts":[["2022"]]},"page":"2522-2531","title":"Species richness, functional traits and climate interactively affect tree survival in a large forest biodiversity experiment","type":"article-journal","volume":"110"},"uris":["http://www.mendeley.com/documents/?uuid=3a0c3117-297f-4088-8c8f-ff1c9242c541"]}],"mendeley":{"formattedCitation":"(Baeten et al., 2019; Gillerot, Forrester, Bottero, Rigling, &amp; Lévesque, 2020; Grossiord et al., 2014; X. Liu et al., 2022; van der Plas et al., 2016; Zhu et al., 2018)","plainTextFormattedCitation":"(Baeten et al., 2019; Gillerot, Forrester, Bottero, Rigling, &amp; Lévesque, 2020; Grossiord et al., 2014; X. Liu et al., 2022; van der Plas et al., 2016; Zhu et al., 2018)","previouslyFormattedCitation":"(Grossiord et al., 2014; van der Plas et al., 2016; Zhu et al., 2018; Baeten et al., 2019; Gillerot, Forrester, Bottero, Rigling, &amp; Lévesque, 2020; X. Liu et al., 2022)"},"properties":{"noteIndex":0},"schema":"https://github.com/citation-style-language/schema/raw/master/csl-citation.json"}</w:instrText>
      </w:r>
      <w:r w:rsidRPr="00DA5AE2">
        <w:fldChar w:fldCharType="separate"/>
      </w:r>
      <w:bookmarkStart w:id="82" w:name="Bookmark80"/>
      <w:r w:rsidR="00F14052" w:rsidRPr="00F14052">
        <w:rPr>
          <w:noProof/>
          <w:lang w:val="nl-BE"/>
        </w:rPr>
        <w:t xml:space="preserve">(Baeten et al., 2019; </w:t>
      </w:r>
      <w:r w:rsidR="00F14052" w:rsidRPr="00F14052">
        <w:rPr>
          <w:noProof/>
          <w:lang w:val="nl-BE"/>
        </w:rPr>
        <w:lastRenderedPageBreak/>
        <w:t>Gillerot, Forrester, Bottero, Rigling, &amp; Lévesque, 2020; Grossiord et al., 2014; X. Liu et al., 2022; van der Plas et al., 2016; Zhu et al., 2018)</w:t>
      </w:r>
      <w:r w:rsidRPr="00DA5AE2">
        <w:fldChar w:fldCharType="end"/>
      </w:r>
      <w:bookmarkEnd w:id="82"/>
      <w:r w:rsidRPr="00DA5AE2">
        <w:rPr>
          <w:lang w:val="nl-BE"/>
        </w:rPr>
        <w:t>.</w:t>
      </w:r>
    </w:p>
    <w:p w14:paraId="538C5B70" w14:textId="51C42465" w:rsidR="00B26A2C" w:rsidRPr="00DA5AE2" w:rsidRDefault="007F6878">
      <w:pPr>
        <w:jc w:val="both"/>
      </w:pPr>
      <w:r w:rsidRPr="00DA5AE2">
        <w:t xml:space="preserve">In conclusion, </w:t>
      </w:r>
      <w:r w:rsidR="00F013FD" w:rsidRPr="00DA5AE2">
        <w:t>our</w:t>
      </w:r>
      <w:r w:rsidRPr="00DA5AE2">
        <w:t xml:space="preserve"> findings are relevant </w:t>
      </w:r>
      <w:r w:rsidR="00F013FD" w:rsidRPr="00DA5AE2">
        <w:t>to</w:t>
      </w:r>
      <w:r w:rsidR="00AE282C" w:rsidRPr="00DA5AE2">
        <w:t xml:space="preserve"> the</w:t>
      </w:r>
      <w:r w:rsidR="00F013FD" w:rsidRPr="00DA5AE2">
        <w:t xml:space="preserve"> adaptation of </w:t>
      </w:r>
      <w:r w:rsidR="00AE282C" w:rsidRPr="00DA5AE2">
        <w:t>forest management strategies</w:t>
      </w:r>
      <w:r w:rsidR="00F013FD" w:rsidRPr="00DA5AE2">
        <w:t xml:space="preserve"> </w:t>
      </w:r>
      <w:r w:rsidRPr="00DA5AE2">
        <w:t>in an era of rapid global environmental change and increasing anthropogenic disturbances. First, more functionally diverse</w:t>
      </w:r>
      <w:r w:rsidR="00BE7BDF" w:rsidRPr="00DA5AE2">
        <w:t>, young</w:t>
      </w:r>
      <w:r w:rsidRPr="00DA5AE2">
        <w:t xml:space="preserve"> plantations exhibit</w:t>
      </w:r>
      <w:r w:rsidR="00BE7BDF" w:rsidRPr="00DA5AE2">
        <w:t>ed</w:t>
      </w:r>
      <w:r w:rsidRPr="00DA5AE2">
        <w:t xml:space="preserve"> lower variability in survival, which can reduce the uncertainty in </w:t>
      </w:r>
      <w:r w:rsidR="00BE7BDF" w:rsidRPr="00DA5AE2">
        <w:t xml:space="preserve">achieving successful </w:t>
      </w:r>
      <w:r w:rsidRPr="00DA5AE2">
        <w:t xml:space="preserve">forest development. Second, tree species mixtures </w:t>
      </w:r>
      <w:r w:rsidR="002730EA" w:rsidRPr="00DA5AE2">
        <w:t>of</w:t>
      </w:r>
      <w:r w:rsidRPr="00DA5AE2">
        <w:t xml:space="preserve"> </w:t>
      </w:r>
      <w:r w:rsidRPr="00DA5AE2">
        <w:rPr>
          <w:rStyle w:val="normaltextrun"/>
          <w:rFonts w:cs="Calibri"/>
          <w:color w:val="000000"/>
          <w:shd w:val="clear" w:color="auto" w:fill="FFFFFF"/>
        </w:rPr>
        <w:t xml:space="preserve">drought resistant </w:t>
      </w:r>
      <w:r w:rsidR="009D775D" w:rsidRPr="00DA5AE2">
        <w:rPr>
          <w:rStyle w:val="normaltextrun"/>
          <w:rFonts w:cs="Calibri"/>
          <w:color w:val="000000"/>
          <w:shd w:val="clear" w:color="auto" w:fill="FFFFFF"/>
        </w:rPr>
        <w:t xml:space="preserve">and sensitive </w:t>
      </w:r>
      <w:r w:rsidRPr="00DA5AE2">
        <w:rPr>
          <w:rStyle w:val="normaltextrun"/>
          <w:rFonts w:cs="Calibri"/>
          <w:color w:val="000000"/>
          <w:shd w:val="clear" w:color="auto" w:fill="FFFFFF"/>
        </w:rPr>
        <w:t xml:space="preserve">species </w:t>
      </w:r>
      <w:r w:rsidR="00EC3EA0" w:rsidRPr="00DA5AE2">
        <w:rPr>
          <w:rStyle w:val="normaltextrun"/>
          <w:rFonts w:cs="Calibri"/>
          <w:color w:val="000000"/>
          <w:shd w:val="clear" w:color="auto" w:fill="FFFFFF"/>
        </w:rPr>
        <w:t xml:space="preserve">could </w:t>
      </w:r>
      <w:r w:rsidR="009D775D" w:rsidRPr="00DA5AE2">
        <w:rPr>
          <w:rStyle w:val="normaltextrun"/>
          <w:rFonts w:cs="Calibri"/>
          <w:color w:val="000000"/>
          <w:shd w:val="clear" w:color="auto" w:fill="FFFFFF"/>
        </w:rPr>
        <w:t xml:space="preserve">improve survival and </w:t>
      </w:r>
      <w:r w:rsidR="009D2BDF" w:rsidRPr="00DA5AE2">
        <w:t>enhan</w:t>
      </w:r>
      <w:r w:rsidR="00ED4DE8" w:rsidRPr="00DA5AE2">
        <w:t>c</w:t>
      </w:r>
      <w:r w:rsidR="009D2BDF" w:rsidRPr="00DA5AE2">
        <w:t xml:space="preserve">e </w:t>
      </w:r>
      <w:r w:rsidRPr="00DA5AE2">
        <w:t xml:space="preserve">resilience. </w:t>
      </w:r>
      <w:r w:rsidR="00EC3EA0" w:rsidRPr="00DA5AE2">
        <w:t>The a</w:t>
      </w:r>
      <w:r w:rsidR="00ED4DE8" w:rsidRPr="00DA5AE2">
        <w:t>pplication of t</w:t>
      </w:r>
      <w:r w:rsidRPr="00DA5AE2">
        <w:t xml:space="preserve">hese findings can contribute to forest management </w:t>
      </w:r>
      <w:r w:rsidR="00494845" w:rsidRPr="00DA5AE2">
        <w:t xml:space="preserve">by </w:t>
      </w:r>
      <w:r w:rsidRPr="00DA5AE2">
        <w:t xml:space="preserve">stabilizing survival </w:t>
      </w:r>
      <w:r w:rsidR="001546DF" w:rsidRPr="00DA5AE2">
        <w:t xml:space="preserve">of </w:t>
      </w:r>
      <w:r w:rsidRPr="00DA5AE2">
        <w:t>young plant</w:t>
      </w:r>
      <w:r w:rsidR="001546DF" w:rsidRPr="00DA5AE2">
        <w:t>ations</w:t>
      </w:r>
      <w:r w:rsidR="00AB268D" w:rsidRPr="00DA5AE2">
        <w:t xml:space="preserve"> </w:t>
      </w:r>
      <w:r w:rsidRPr="00DA5AE2">
        <w:t xml:space="preserve">where climate change and other disturbances </w:t>
      </w:r>
      <w:r w:rsidR="001546DF" w:rsidRPr="00DA5AE2">
        <w:t xml:space="preserve">are anticipated to </w:t>
      </w:r>
      <w:r w:rsidR="00AB268D" w:rsidRPr="00DA5AE2">
        <w:t>increase</w:t>
      </w:r>
      <w:r w:rsidRPr="00DA5AE2">
        <w:t xml:space="preserve"> mortality. Even if managers increase tree diversity to focus on other ecosystem functions (</w:t>
      </w:r>
      <w:proofErr w:type="gramStart"/>
      <w:r w:rsidRPr="00DA5AE2">
        <w:t>e.g.</w:t>
      </w:r>
      <w:proofErr w:type="gramEnd"/>
      <w:r w:rsidRPr="00DA5AE2">
        <w:t xml:space="preserve"> productivity, nutrient retention), </w:t>
      </w:r>
      <w:r w:rsidR="00C34CC7" w:rsidRPr="00DA5AE2">
        <w:t>this approach will not decrease the benefits arising from reduced variability in early survival</w:t>
      </w:r>
      <w:r w:rsidRPr="00DA5AE2">
        <w:t xml:space="preserve">. From an ecological perspective, we </w:t>
      </w:r>
      <w:r w:rsidR="005154E0" w:rsidRPr="00DA5AE2">
        <w:t xml:space="preserve">recommend consideration of planting </w:t>
      </w:r>
      <w:r w:rsidR="001743AD" w:rsidRPr="00DA5AE2">
        <w:t xml:space="preserve">intimate </w:t>
      </w:r>
      <w:r w:rsidR="005154E0" w:rsidRPr="00DA5AE2">
        <w:t>tree mixture</w:t>
      </w:r>
      <w:r w:rsidR="00C61287" w:rsidRPr="00DA5AE2">
        <w:t>s</w:t>
      </w:r>
      <w:r w:rsidR="005154E0" w:rsidRPr="00DA5AE2">
        <w:t xml:space="preserve"> </w:t>
      </w:r>
      <w:r w:rsidRPr="00DA5AE2">
        <w:t>to stabilize tree survival</w:t>
      </w:r>
      <w:r w:rsidR="00B86AA0" w:rsidRPr="00DA5AE2">
        <w:t xml:space="preserve"> and create</w:t>
      </w:r>
      <w:r w:rsidRPr="00DA5AE2">
        <w:t xml:space="preserve"> functionally diverse</w:t>
      </w:r>
      <w:r w:rsidR="00B86AA0" w:rsidRPr="00DA5AE2">
        <w:t>, drought adapted</w:t>
      </w:r>
      <w:r w:rsidR="002B56DA" w:rsidRPr="00DA5AE2">
        <w:t>,</w:t>
      </w:r>
      <w:r w:rsidR="00B86AA0" w:rsidRPr="00DA5AE2">
        <w:t xml:space="preserve"> managed</w:t>
      </w:r>
      <w:r w:rsidRPr="00DA5AE2">
        <w:t xml:space="preserve"> forests. </w:t>
      </w:r>
    </w:p>
    <w:p w14:paraId="4A9CB533" w14:textId="77777777" w:rsidR="00B26A2C" w:rsidRDefault="007F6878">
      <w:pPr>
        <w:spacing w:line="259" w:lineRule="auto"/>
      </w:pPr>
      <w:r w:rsidRPr="00DA5AE2">
        <w:br w:type="page"/>
      </w:r>
    </w:p>
    <w:p w14:paraId="7B389DBB" w14:textId="77777777" w:rsidR="00C75424" w:rsidRDefault="00C75424" w:rsidP="00C75424">
      <w:pPr>
        <w:pStyle w:val="Heading1"/>
      </w:pPr>
      <w:r>
        <w:lastRenderedPageBreak/>
        <w:t>Acknowledgements</w:t>
      </w:r>
    </w:p>
    <w:p w14:paraId="5ECD0B55" w14:textId="38637AB0" w:rsidR="00C75424" w:rsidRPr="00DA5AE2" w:rsidRDefault="00C75424" w:rsidP="00286B40">
      <w:r w:rsidRPr="000168B7">
        <w:t>We thank all the site managers, field technicians, and researchers who have made the collaborative work within the TreeDivNet possible. The research in this study was funded through the research project CAMBIO, funded by the BNP Paribas foundation</w:t>
      </w:r>
      <w:r w:rsidRPr="007109F3">
        <w:t xml:space="preserve"> through its Climate &amp; Biodiversity initiative.</w:t>
      </w:r>
      <w:r w:rsidRPr="00F93953">
        <w:rPr>
          <w:rStyle w:val="Heading1Char"/>
          <w:b w:val="0"/>
          <w:bCs/>
          <w:color w:val="000000"/>
          <w:lang w:val="en-GB"/>
        </w:rPr>
        <w:t xml:space="preserve"> </w:t>
      </w:r>
      <w:r w:rsidRPr="007A5459">
        <w:rPr>
          <w:rStyle w:val="gmail-normaltextrun"/>
          <w:bCs/>
          <w:color w:val="000000"/>
          <w:lang w:val="en-GB"/>
        </w:rPr>
        <w:t>This research was funded through the 2019-2020 BiodivERsA joint call for research proposals, under the BiodivClim ERA-Net COFUND program (MixForChange project), and with the funding organizations ANR (ANR-20-EBI5-0003), BELSPO, DFG (project number 451394862), FAPESP, FWF (l 5086-B) and FORMAS.</w:t>
      </w:r>
      <w:r>
        <w:t xml:space="preserve"> </w:t>
      </w:r>
      <w:r w:rsidRPr="007109F3">
        <w:t xml:space="preserve">This research was supported by iDiv, </w:t>
      </w:r>
      <w:r>
        <w:t xml:space="preserve">through the workshop </w:t>
      </w:r>
      <w:r w:rsidRPr="00252421">
        <w:t>“Using Tree Diversity as an Insurance for the Stable Functioning of Forest Ecosystems – sTree Div”</w:t>
      </w:r>
      <w:r>
        <w:t>, which took place</w:t>
      </w:r>
      <w:r w:rsidRPr="007109F3">
        <w:t xml:space="preserve"> in Leipzig</w:t>
      </w:r>
      <w:r>
        <w:t xml:space="preserve"> in 2014</w:t>
      </w:r>
      <w:r w:rsidRPr="007109F3">
        <w:t>,</w:t>
      </w:r>
      <w:r>
        <w:t xml:space="preserve"> and</w:t>
      </w:r>
      <w:r w:rsidRPr="007109F3">
        <w:t xml:space="preserve"> where the data gathering process for a TreeDivNet-wide survival study was first discussed and initiated</w:t>
      </w:r>
      <w:r>
        <w:t>.</w:t>
      </w:r>
      <w:r w:rsidRPr="007109F3">
        <w:t xml:space="preserve"> NE (Nico Eisenhauer) and OF (Olga Ferlian) acknowledge support of iDiv funded by the German Research Foundation (DFG– FZT 118, 202548816) and funding by the DFG (Ei 862/29-1 and Ei 862/31-1). Agua Salud is part of ForestGEO and is a collaboration with the Panama Canal Authority (ACP), the Ministry of the Environment (MiAmbiente) of Panama, and other partners. Plantation establishment </w:t>
      </w:r>
      <w:r>
        <w:t xml:space="preserve">of Agua Salud </w:t>
      </w:r>
      <w:r w:rsidRPr="007109F3">
        <w:t xml:space="preserve">was supported by the HSBC the ACP. Funding for this work came from Stanley Motta, Frank and Kristin Levinson, and the Hoch Family. EFForTS-BEE was financed by the Deutsche Forschungsgemeinschaft (DFG) German Research Foundation—project number 192626868– SFB 990 in the framework of the collaborative German — Indonesian research project CRC990 EFForTS (http://www.unigoettingen.de/crc990). </w:t>
      </w:r>
      <w:r>
        <w:t xml:space="preserve">We thank Anne Gérard, Delphine Clara Zemp, Wollni Meike, Leti Sundawati, Bambang Irawan and Eduard Siahaan for their support in EFForTS-BEE. We thank </w:t>
      </w:r>
      <w:r w:rsidRPr="007109F3">
        <w:t xml:space="preserve">Jamie Pullen for site management and data collection in BiodiversiTREE. We would like to thank the </w:t>
      </w:r>
      <w:proofErr w:type="gramStart"/>
      <w:r w:rsidRPr="007109F3">
        <w:t>Walloon forest</w:t>
      </w:r>
      <w:proofErr w:type="gramEnd"/>
      <w:r w:rsidRPr="007109F3">
        <w:t xml:space="preserve"> service (Service Public de Wallonie—Département de la Nature et des Forêts) for its financial support to the installation and maintenance of the FORBIO-Gedinne site through the 5-year research programme “Accord-cadre de recherches et de vulgarisation forestières”. SIDE was supported by the Division of Forestry and Natural Resources, West Virginia University. We thank</w:t>
      </w:r>
      <w:r>
        <w:t xml:space="preserve"> </w:t>
      </w:r>
      <w:r w:rsidRPr="007109F3">
        <w:t xml:space="preserve">Allison Scott, Sarah Hobbie and the NSF (LTER DEB 1831944) for their support in IDENT FAB. </w:t>
      </w:r>
      <w:r>
        <w:t xml:space="preserve">We thank Josephine Haase, Daniel Prati and Felix Gottschall, the Department of Community Ecology of the UFZ and the Team of the Bad Lauchstädt field station of the UFZ for contributing to the establishment, maintenance and measurements in the Kreinitz experiment. We thank Richard Hobbs, Tim Morald and Rebecca Campbell for their support in Ridgefield. </w:t>
      </w:r>
      <w:r w:rsidRPr="00252C39">
        <w:t>We thank Wei Lin, Zhiyi C hen, Zhiqiang Shen, Buhang Li, Bingwei Zhand</w:t>
      </w:r>
      <w:r>
        <w:t xml:space="preserve"> and </w:t>
      </w:r>
      <w:r w:rsidRPr="00252C39">
        <w:t>Yuanzhi Li</w:t>
      </w:r>
      <w:r>
        <w:t xml:space="preserve"> for their support in CADE. We thank Abadi Tesfay, Sisay Yemae, Asmelash Aynalem, Tesfahunegn Abraha and the College of Dryland Agriculture and Natural Resources (Mekelle University) for their support in IDENT Ethiopia. We thank Cornelia Garbe and Jon Urgoiti for collecting data in IDENT </w:t>
      </w:r>
      <w:r>
        <w:lastRenderedPageBreak/>
        <w:t xml:space="preserve">Montreal. We thank Daniel Lesieur for preparing and sharing various IDENT data as well as data from the Sardinilla site. The Sardinilla site was supported by the Smithsonian Tropical research Institute as well as NSERC grant to C. Potvin. We thank Jose Monteza for his invaluable help in the field in Sardinilla. </w:t>
      </w:r>
      <w:r w:rsidRPr="003851DA">
        <w:t xml:space="preserve">The IDENT Freiburg experiment has been supported by the University of Freiburg (Innovationsfonds Forschung, grant to MSL and JB). </w:t>
      </w:r>
      <w:r>
        <w:t xml:space="preserve">We thank the Sardinian Forest Authority “Forestas” for hosting IDENT-Macomer experiment and contributing to its establishment and management. </w:t>
      </w:r>
      <w:r w:rsidRPr="003851DA">
        <w:t>The BIOTREE experiments have been established by the Max-Planck-Institute for Biogeochemistry Jena (Germany), with support by the Federal Forestry Office Thüringer Wald (Bundesforstamt Thüringer Wald, Bad Salzungen, Germany) and the Thuringian Forestry Research and Competence Center (Thüringer Forstliches Forschungs- und Kompetenzzentrum, Gotha, Germany).</w:t>
      </w:r>
      <w:r w:rsidRPr="002B17C1">
        <w:rPr>
          <w:rFonts w:eastAsia="Times New Roman"/>
        </w:rPr>
        <w:t xml:space="preserve"> </w:t>
      </w:r>
      <w:r>
        <w:rPr>
          <w:rFonts w:eastAsia="Times New Roman"/>
        </w:rPr>
        <w:t>We thank Bernard Issenhuth and INRAE - Forest experimental Facility UEFP (</w:t>
      </w:r>
      <w:hyperlink r:id="rId18" w:history="1">
        <w:r>
          <w:rPr>
            <w:rStyle w:val="Hyperlink"/>
            <w:rFonts w:eastAsia="Times New Roman"/>
          </w:rPr>
          <w:t>https://doi.org/10.15454/1.5483264699193726E12</w:t>
        </w:r>
      </w:hyperlink>
      <w:r>
        <w:rPr>
          <w:rFonts w:eastAsia="Times New Roman"/>
        </w:rPr>
        <w:t xml:space="preserve">) for the coordination, establishment, maintenance and measurements in ORPHEE. The B-tree experiments were supported by the FWF grant </w:t>
      </w:r>
      <w:r w:rsidRPr="00872058">
        <w:rPr>
          <w:rFonts w:cstheme="minorHAnsi"/>
        </w:rPr>
        <w:t>I 4372-B</w:t>
      </w:r>
      <w:r>
        <w:rPr>
          <w:rFonts w:cstheme="minorHAnsi"/>
        </w:rPr>
        <w:t>.</w:t>
      </w:r>
      <w:r w:rsidRPr="00180A39">
        <w:t xml:space="preserve"> </w:t>
      </w:r>
      <w:r>
        <w:t xml:space="preserve">IDENT-Cloquet was supported by the U.S. </w:t>
      </w:r>
      <w:r w:rsidRPr="00A354CE">
        <w:rPr>
          <w:color w:val="000000" w:themeColor="text1"/>
        </w:rPr>
        <w:t>National Science Foundation, Biological Integration Institutes grant NSF-DBI-2021898</w:t>
      </w:r>
      <w:r>
        <w:rPr>
          <w:color w:val="000000" w:themeColor="text1"/>
        </w:rPr>
        <w:t>.</w:t>
      </w:r>
    </w:p>
    <w:p w14:paraId="53FE228C" w14:textId="4C6DA49C" w:rsidR="00B37448" w:rsidRPr="00DA5AE2" w:rsidRDefault="007F6878" w:rsidP="00B37448">
      <w:pPr>
        <w:pStyle w:val="Heading1"/>
        <w:spacing w:line="240" w:lineRule="auto"/>
        <w:jc w:val="both"/>
      </w:pPr>
      <w:r w:rsidRPr="00DA5AE2">
        <w:t>References</w:t>
      </w:r>
    </w:p>
    <w:p w14:paraId="70D7FBC7" w14:textId="77777777" w:rsidR="00B37448" w:rsidRPr="00DA5AE2" w:rsidRDefault="00B37448" w:rsidP="00B37448"/>
    <w:p w14:paraId="6DABC75A" w14:textId="7FE08F7D" w:rsidR="00F14052" w:rsidRPr="00F14052" w:rsidRDefault="007F6878" w:rsidP="00F14052">
      <w:pPr>
        <w:widowControl w:val="0"/>
        <w:autoSpaceDE w:val="0"/>
        <w:autoSpaceDN w:val="0"/>
        <w:adjustRightInd w:val="0"/>
        <w:spacing w:line="240" w:lineRule="auto"/>
        <w:ind w:left="480" w:hanging="480"/>
        <w:rPr>
          <w:rFonts w:ascii="Calibri" w:hAnsi="Calibri" w:cs="Calibri"/>
          <w:noProof/>
          <w:szCs w:val="24"/>
        </w:rPr>
      </w:pPr>
      <w:r w:rsidRPr="00DA5AE2">
        <w:fldChar w:fldCharType="begin" w:fldLock="1"/>
      </w:r>
      <w:r w:rsidRPr="00DA5AE2">
        <w:instrText>ADDIN Mendeley Bibliography CSL_BIBLIOGRAPHY</w:instrText>
      </w:r>
      <w:r w:rsidRPr="00DA5AE2">
        <w:fldChar w:fldCharType="separate"/>
      </w:r>
      <w:bookmarkStart w:id="83" w:name="Bookmark81"/>
      <w:r w:rsidR="00F14052" w:rsidRPr="00F14052">
        <w:rPr>
          <w:rFonts w:ascii="Calibri" w:hAnsi="Calibri" w:cs="Calibri"/>
          <w:noProof/>
          <w:szCs w:val="24"/>
        </w:rPr>
        <w:t xml:space="preserve">Aerts, R., Negussie, A., Maes, W., November, E., Hermy, M., &amp; Muys, B. (2007). Restoration of dry afromontane forest using pioneer shrubs as nurse-plants for Olea europaea ssp. cuspidata. </w:t>
      </w:r>
      <w:r w:rsidR="00F14052" w:rsidRPr="00F14052">
        <w:rPr>
          <w:rFonts w:ascii="Calibri" w:hAnsi="Calibri" w:cs="Calibri"/>
          <w:i/>
          <w:iCs/>
          <w:noProof/>
          <w:szCs w:val="24"/>
        </w:rPr>
        <w:t>Restoration Ecology</w:t>
      </w:r>
      <w:r w:rsidR="00F14052" w:rsidRPr="00F14052">
        <w:rPr>
          <w:rFonts w:ascii="Calibri" w:hAnsi="Calibri" w:cs="Calibri"/>
          <w:noProof/>
          <w:szCs w:val="24"/>
        </w:rPr>
        <w:t xml:space="preserve">, </w:t>
      </w:r>
      <w:r w:rsidR="00F14052" w:rsidRPr="00F14052">
        <w:rPr>
          <w:rFonts w:ascii="Calibri" w:hAnsi="Calibri" w:cs="Calibri"/>
          <w:i/>
          <w:iCs/>
          <w:noProof/>
          <w:szCs w:val="24"/>
        </w:rPr>
        <w:t>15</w:t>
      </w:r>
      <w:r w:rsidR="00F14052" w:rsidRPr="00F14052">
        <w:rPr>
          <w:rFonts w:ascii="Calibri" w:hAnsi="Calibri" w:cs="Calibri"/>
          <w:noProof/>
          <w:szCs w:val="24"/>
        </w:rPr>
        <w:t>(1), 129–138. doi: 10.1111/j.1526-100X.2006.00197.x</w:t>
      </w:r>
    </w:p>
    <w:p w14:paraId="720BBD2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Agnew, C. T. (2000). Using the SPI to Identify Drought. </w:t>
      </w:r>
      <w:r w:rsidRPr="00F14052">
        <w:rPr>
          <w:rFonts w:ascii="Calibri" w:hAnsi="Calibri" w:cs="Calibri"/>
          <w:i/>
          <w:iCs/>
          <w:noProof/>
          <w:szCs w:val="24"/>
        </w:rPr>
        <w:t>Drought Network News (1994 - 2001)</w:t>
      </w:r>
      <w:r w:rsidRPr="00F14052">
        <w:rPr>
          <w:rFonts w:ascii="Calibri" w:hAnsi="Calibri" w:cs="Calibri"/>
          <w:noProof/>
          <w:szCs w:val="24"/>
        </w:rPr>
        <w:t>, (May 2000), 5–12.</w:t>
      </w:r>
    </w:p>
    <w:p w14:paraId="476586B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Allen, C. D. (2007). Interactions across spatial scales among forest dieback, fire, and erosion in northern New Mexico landscapes. </w:t>
      </w:r>
      <w:r w:rsidRPr="00F14052">
        <w:rPr>
          <w:rFonts w:ascii="Calibri" w:hAnsi="Calibri" w:cs="Calibri"/>
          <w:i/>
          <w:iCs/>
          <w:noProof/>
          <w:szCs w:val="24"/>
        </w:rPr>
        <w:t>Ecosystems</w:t>
      </w:r>
      <w:r w:rsidRPr="00F14052">
        <w:rPr>
          <w:rFonts w:ascii="Calibri" w:hAnsi="Calibri" w:cs="Calibri"/>
          <w:noProof/>
          <w:szCs w:val="24"/>
        </w:rPr>
        <w:t xml:space="preserve">, </w:t>
      </w:r>
      <w:r w:rsidRPr="00F14052">
        <w:rPr>
          <w:rFonts w:ascii="Calibri" w:hAnsi="Calibri" w:cs="Calibri"/>
          <w:i/>
          <w:iCs/>
          <w:noProof/>
          <w:szCs w:val="24"/>
        </w:rPr>
        <w:t>10</w:t>
      </w:r>
      <w:r w:rsidRPr="00F14052">
        <w:rPr>
          <w:rFonts w:ascii="Calibri" w:hAnsi="Calibri" w:cs="Calibri"/>
          <w:noProof/>
          <w:szCs w:val="24"/>
        </w:rPr>
        <w:t>(5), 797–808. doi: 10.1007/s10021-007-9057-4</w:t>
      </w:r>
    </w:p>
    <w:p w14:paraId="1CEE282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Ammer, C. (2019). Diversity and forest productivity in a changing climate. </w:t>
      </w:r>
      <w:r w:rsidRPr="00F14052">
        <w:rPr>
          <w:rFonts w:ascii="Calibri" w:hAnsi="Calibri" w:cs="Calibri"/>
          <w:i/>
          <w:iCs/>
          <w:noProof/>
          <w:szCs w:val="24"/>
        </w:rPr>
        <w:t>New Phytologist</w:t>
      </w:r>
      <w:r w:rsidRPr="00F14052">
        <w:rPr>
          <w:rFonts w:ascii="Calibri" w:hAnsi="Calibri" w:cs="Calibri"/>
          <w:noProof/>
          <w:szCs w:val="24"/>
        </w:rPr>
        <w:t xml:space="preserve">, </w:t>
      </w:r>
      <w:r w:rsidRPr="00F14052">
        <w:rPr>
          <w:rFonts w:ascii="Calibri" w:hAnsi="Calibri" w:cs="Calibri"/>
          <w:i/>
          <w:iCs/>
          <w:noProof/>
          <w:szCs w:val="24"/>
        </w:rPr>
        <w:t>221</w:t>
      </w:r>
      <w:r w:rsidRPr="00F14052">
        <w:rPr>
          <w:rFonts w:ascii="Calibri" w:hAnsi="Calibri" w:cs="Calibri"/>
          <w:noProof/>
          <w:szCs w:val="24"/>
        </w:rPr>
        <w:t>(1), 50–66. doi: 10.1111/nph.15263</w:t>
      </w:r>
    </w:p>
    <w:p w14:paraId="7787E5F7"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Anderegg, W. R. L., Trugman, A. T., Badgley, G., Konings, A. G., &amp; Shaw, J. (2020). Divergent forest sensitivity to repeated extreme droughts. </w:t>
      </w:r>
      <w:r w:rsidRPr="00F14052">
        <w:rPr>
          <w:rFonts w:ascii="Calibri" w:hAnsi="Calibri" w:cs="Calibri"/>
          <w:i/>
          <w:iCs/>
          <w:noProof/>
          <w:szCs w:val="24"/>
        </w:rPr>
        <w:t>Nature Climate Change</w:t>
      </w:r>
      <w:r w:rsidRPr="00F14052">
        <w:rPr>
          <w:rFonts w:ascii="Calibri" w:hAnsi="Calibri" w:cs="Calibri"/>
          <w:noProof/>
          <w:szCs w:val="24"/>
        </w:rPr>
        <w:t xml:space="preserve">, </w:t>
      </w:r>
      <w:r w:rsidRPr="00F14052">
        <w:rPr>
          <w:rFonts w:ascii="Calibri" w:hAnsi="Calibri" w:cs="Calibri"/>
          <w:i/>
          <w:iCs/>
          <w:noProof/>
          <w:szCs w:val="24"/>
        </w:rPr>
        <w:t>10</w:t>
      </w:r>
      <w:r w:rsidRPr="00F14052">
        <w:rPr>
          <w:rFonts w:ascii="Calibri" w:hAnsi="Calibri" w:cs="Calibri"/>
          <w:noProof/>
          <w:szCs w:val="24"/>
        </w:rPr>
        <w:t>(12), 1091–1095. doi: 10.1038/s41558-020-00919-1</w:t>
      </w:r>
    </w:p>
    <w:p w14:paraId="338E279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Aquilué, N., Filotas, É., Craven, D., Fortin, M. J., Brotons, L., &amp; Messier, C. (2020). Evaluating forest resilience to global threats using functional response traits and network properties. </w:t>
      </w:r>
      <w:r w:rsidRPr="00F14052">
        <w:rPr>
          <w:rFonts w:ascii="Calibri" w:hAnsi="Calibri" w:cs="Calibri"/>
          <w:i/>
          <w:iCs/>
          <w:noProof/>
          <w:szCs w:val="24"/>
        </w:rPr>
        <w:t>Ecological Applications</w:t>
      </w:r>
      <w:r w:rsidRPr="00F14052">
        <w:rPr>
          <w:rFonts w:ascii="Calibri" w:hAnsi="Calibri" w:cs="Calibri"/>
          <w:noProof/>
          <w:szCs w:val="24"/>
        </w:rPr>
        <w:t xml:space="preserve">, </w:t>
      </w:r>
      <w:r w:rsidRPr="00F14052">
        <w:rPr>
          <w:rFonts w:ascii="Calibri" w:hAnsi="Calibri" w:cs="Calibri"/>
          <w:i/>
          <w:iCs/>
          <w:noProof/>
          <w:szCs w:val="24"/>
        </w:rPr>
        <w:t>30</w:t>
      </w:r>
      <w:r w:rsidRPr="00F14052">
        <w:rPr>
          <w:rFonts w:ascii="Calibri" w:hAnsi="Calibri" w:cs="Calibri"/>
          <w:noProof/>
          <w:szCs w:val="24"/>
        </w:rPr>
        <w:t>(5), 1–14. doi: 10.1002/eap.2095</w:t>
      </w:r>
    </w:p>
    <w:p w14:paraId="6F91DD97"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Baeten, L., Bruelheide, H., van der Plas, F., Kambach, S., Ratcliffe, S., Jucker, T., … Scherer-Lorenzen, M. (2019). Identifying the tree species compositions that maximize ecosystem functioning in European forests. </w:t>
      </w:r>
      <w:r w:rsidRPr="00F14052">
        <w:rPr>
          <w:rFonts w:ascii="Calibri" w:hAnsi="Calibri" w:cs="Calibri"/>
          <w:i/>
          <w:iCs/>
          <w:noProof/>
          <w:szCs w:val="24"/>
        </w:rPr>
        <w:t>Journal of Applied Ecology</w:t>
      </w:r>
      <w:r w:rsidRPr="00F14052">
        <w:rPr>
          <w:rFonts w:ascii="Calibri" w:hAnsi="Calibri" w:cs="Calibri"/>
          <w:noProof/>
          <w:szCs w:val="24"/>
        </w:rPr>
        <w:t xml:space="preserve">, </w:t>
      </w:r>
      <w:r w:rsidRPr="00F14052">
        <w:rPr>
          <w:rFonts w:ascii="Calibri" w:hAnsi="Calibri" w:cs="Calibri"/>
          <w:i/>
          <w:iCs/>
          <w:noProof/>
          <w:szCs w:val="24"/>
        </w:rPr>
        <w:t>56</w:t>
      </w:r>
      <w:r w:rsidRPr="00F14052">
        <w:rPr>
          <w:rFonts w:ascii="Calibri" w:hAnsi="Calibri" w:cs="Calibri"/>
          <w:noProof/>
          <w:szCs w:val="24"/>
        </w:rPr>
        <w:t>(3), 733–744. doi: 10.1111/1365-2664.13308</w:t>
      </w:r>
    </w:p>
    <w:p w14:paraId="49EECED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Baeten, L., Verheyen, K., Wirth, C., Bruelheide, H., Bussotti, F., Finér, L., … Scherer-Lorenzen, M. (2013). A novel comparative research platform designed to determine the functional </w:t>
      </w:r>
      <w:r w:rsidRPr="00F14052">
        <w:rPr>
          <w:rFonts w:ascii="Calibri" w:hAnsi="Calibri" w:cs="Calibri"/>
          <w:noProof/>
          <w:szCs w:val="24"/>
        </w:rPr>
        <w:lastRenderedPageBreak/>
        <w:t xml:space="preserve">significance of tree species diversity in European forests. </w:t>
      </w:r>
      <w:r w:rsidRPr="00F14052">
        <w:rPr>
          <w:rFonts w:ascii="Calibri" w:hAnsi="Calibri" w:cs="Calibri"/>
          <w:i/>
          <w:iCs/>
          <w:noProof/>
          <w:szCs w:val="24"/>
        </w:rPr>
        <w:t>Perspectives in Plant Ecology, Evolution and Systematics</w:t>
      </w:r>
      <w:r w:rsidRPr="00F14052">
        <w:rPr>
          <w:rFonts w:ascii="Calibri" w:hAnsi="Calibri" w:cs="Calibri"/>
          <w:noProof/>
          <w:szCs w:val="24"/>
        </w:rPr>
        <w:t xml:space="preserve">, </w:t>
      </w:r>
      <w:r w:rsidRPr="00F14052">
        <w:rPr>
          <w:rFonts w:ascii="Calibri" w:hAnsi="Calibri" w:cs="Calibri"/>
          <w:i/>
          <w:iCs/>
          <w:noProof/>
          <w:szCs w:val="24"/>
        </w:rPr>
        <w:t>15</w:t>
      </w:r>
      <w:r w:rsidRPr="00F14052">
        <w:rPr>
          <w:rFonts w:ascii="Calibri" w:hAnsi="Calibri" w:cs="Calibri"/>
          <w:noProof/>
          <w:szCs w:val="24"/>
        </w:rPr>
        <w:t>(5), 281–291. doi: 10.1016/j.ppees.2013.07.002</w:t>
      </w:r>
    </w:p>
    <w:p w14:paraId="6982A210"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Banin, L. F., Raine, E. H., Rowland, L. M., Chazdon, R. L., Smith, S. W., Rahman, N. E. B., … Burslem, D. F. R. P. (2023). The road to recovery: a synthesis of outcomes from ecosystem restoration in tropical and sub-tropical Asian forests. </w:t>
      </w:r>
      <w:r w:rsidRPr="00F14052">
        <w:rPr>
          <w:rFonts w:ascii="Calibri" w:hAnsi="Calibri" w:cs="Calibri"/>
          <w:i/>
          <w:iCs/>
          <w:noProof/>
          <w:szCs w:val="24"/>
        </w:rPr>
        <w:t>Philosophical Transactions of the Royal Society B: Biological Sciences</w:t>
      </w:r>
      <w:r w:rsidRPr="00F14052">
        <w:rPr>
          <w:rFonts w:ascii="Calibri" w:hAnsi="Calibri" w:cs="Calibri"/>
          <w:noProof/>
          <w:szCs w:val="24"/>
        </w:rPr>
        <w:t xml:space="preserve">, </w:t>
      </w:r>
      <w:r w:rsidRPr="00F14052">
        <w:rPr>
          <w:rFonts w:ascii="Calibri" w:hAnsi="Calibri" w:cs="Calibri"/>
          <w:i/>
          <w:iCs/>
          <w:noProof/>
          <w:szCs w:val="24"/>
        </w:rPr>
        <w:t>378</w:t>
      </w:r>
      <w:r w:rsidRPr="00F14052">
        <w:rPr>
          <w:rFonts w:ascii="Calibri" w:hAnsi="Calibri" w:cs="Calibri"/>
          <w:noProof/>
          <w:szCs w:val="24"/>
        </w:rPr>
        <w:t>(1867). doi: 10.1098/rstb.2021.0090</w:t>
      </w:r>
    </w:p>
    <w:p w14:paraId="53903F57"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Baret, F., Weiss, M., Lacaze, R., Camacho, F., Makhmara, H., Pacholcyzk, P., &amp; Smets, B. (2013). GEOV1: LAI and FAPAR essential climate variables and FCOVER global time series capitalizing over existing products. Part1: Principles of development and production. </w:t>
      </w:r>
      <w:r w:rsidRPr="00F14052">
        <w:rPr>
          <w:rFonts w:ascii="Calibri" w:hAnsi="Calibri" w:cs="Calibri"/>
          <w:i/>
          <w:iCs/>
          <w:noProof/>
          <w:szCs w:val="24"/>
        </w:rPr>
        <w:t>Remote Sensing of Environment</w:t>
      </w:r>
      <w:r w:rsidRPr="00F14052">
        <w:rPr>
          <w:rFonts w:ascii="Calibri" w:hAnsi="Calibri" w:cs="Calibri"/>
          <w:noProof/>
          <w:szCs w:val="24"/>
        </w:rPr>
        <w:t xml:space="preserve">, </w:t>
      </w:r>
      <w:r w:rsidRPr="00F14052">
        <w:rPr>
          <w:rFonts w:ascii="Calibri" w:hAnsi="Calibri" w:cs="Calibri"/>
          <w:i/>
          <w:iCs/>
          <w:noProof/>
          <w:szCs w:val="24"/>
        </w:rPr>
        <w:t>137</w:t>
      </w:r>
      <w:r w:rsidRPr="00F14052">
        <w:rPr>
          <w:rFonts w:ascii="Calibri" w:hAnsi="Calibri" w:cs="Calibri"/>
          <w:noProof/>
          <w:szCs w:val="24"/>
        </w:rPr>
        <w:t>, 299–309. doi: 10.1016/j.rse.2012.12.027</w:t>
      </w:r>
    </w:p>
    <w:p w14:paraId="5FDACC4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Bartlett, M. K., Scoffoni, C., &amp; Sack, L. (2012). The determinants of leaf turgor loss point and prediction of drought tolerance of species and biomes: A global meta-analysis. </w:t>
      </w:r>
      <w:r w:rsidRPr="00F14052">
        <w:rPr>
          <w:rFonts w:ascii="Calibri" w:hAnsi="Calibri" w:cs="Calibri"/>
          <w:i/>
          <w:iCs/>
          <w:noProof/>
          <w:szCs w:val="24"/>
        </w:rPr>
        <w:t>Ecology Letters</w:t>
      </w:r>
      <w:r w:rsidRPr="00F14052">
        <w:rPr>
          <w:rFonts w:ascii="Calibri" w:hAnsi="Calibri" w:cs="Calibri"/>
          <w:noProof/>
          <w:szCs w:val="24"/>
        </w:rPr>
        <w:t xml:space="preserve">, </w:t>
      </w:r>
      <w:r w:rsidRPr="00F14052">
        <w:rPr>
          <w:rFonts w:ascii="Calibri" w:hAnsi="Calibri" w:cs="Calibri"/>
          <w:i/>
          <w:iCs/>
          <w:noProof/>
          <w:szCs w:val="24"/>
        </w:rPr>
        <w:t>15</w:t>
      </w:r>
      <w:r w:rsidRPr="00F14052">
        <w:rPr>
          <w:rFonts w:ascii="Calibri" w:hAnsi="Calibri" w:cs="Calibri"/>
          <w:noProof/>
          <w:szCs w:val="24"/>
        </w:rPr>
        <w:t>(5), 393–405. doi: 10.1111/j.1461-0248.2012.01751.x</w:t>
      </w:r>
    </w:p>
    <w:p w14:paraId="67DC0AFF"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Batllori, E., Lloret, F., Aakala, T., Anderegg, W. R. L., Aynekulu, E., Bendixsen, D. P., … Zeeman, B. (2020). Forest and woodland replacement patterns following drought-related mortality. </w:t>
      </w:r>
      <w:r w:rsidRPr="00F14052">
        <w:rPr>
          <w:rFonts w:ascii="Calibri" w:hAnsi="Calibri" w:cs="Calibri"/>
          <w:i/>
          <w:iCs/>
          <w:noProof/>
          <w:szCs w:val="24"/>
        </w:rPr>
        <w:t>Proceedings of the National Academy of Sciences of the United States of America</w:t>
      </w:r>
      <w:r w:rsidRPr="00F14052">
        <w:rPr>
          <w:rFonts w:ascii="Calibri" w:hAnsi="Calibri" w:cs="Calibri"/>
          <w:noProof/>
          <w:szCs w:val="24"/>
        </w:rPr>
        <w:t>, 1–10. doi: 10.1073/pnas.2002314117</w:t>
      </w:r>
    </w:p>
    <w:p w14:paraId="7F9EC9D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Bauhus, J., Forrester, D. I., Gardiner, B., Jactel, H., Vallejo, R., &amp; Pretzsch, H. (2017). Ecological Stability of Mixed-Species Forests. In H. Pretzsch, D. I. Forrester, &amp; J. Bauhus (Eds.), </w:t>
      </w:r>
      <w:r w:rsidRPr="00F14052">
        <w:rPr>
          <w:rFonts w:ascii="Calibri" w:hAnsi="Calibri" w:cs="Calibri"/>
          <w:i/>
          <w:iCs/>
          <w:noProof/>
          <w:szCs w:val="24"/>
        </w:rPr>
        <w:t>Mixed-Species Forests: Ecology and Management</w:t>
      </w:r>
      <w:r w:rsidRPr="00F14052">
        <w:rPr>
          <w:rFonts w:ascii="Calibri" w:hAnsi="Calibri" w:cs="Calibri"/>
          <w:noProof/>
          <w:szCs w:val="24"/>
        </w:rPr>
        <w:t xml:space="preserve"> (pp. 337–382). Berlin, Heidelberg: Springer Berlin Heidelberg. doi: 10.1007/978-3-662-54553-9_7</w:t>
      </w:r>
    </w:p>
    <w:p w14:paraId="09B29BA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Beguería, S., Latorre, B., Reig, F., &amp; Vicente-Serrano, S. M. (2022). SPEI Global Drought Monitor. Retrieved from https://spei.csic.es/map/</w:t>
      </w:r>
    </w:p>
    <w:p w14:paraId="2409CEB4"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Beguería, S., &amp; Vicente-Serrano, S. M. (2017). </w:t>
      </w:r>
      <w:r w:rsidRPr="00F14052">
        <w:rPr>
          <w:rFonts w:ascii="Calibri" w:hAnsi="Calibri" w:cs="Calibri"/>
          <w:i/>
          <w:iCs/>
          <w:noProof/>
          <w:szCs w:val="24"/>
        </w:rPr>
        <w:t>SPEI: Calculation of the Standardised Precipitation-Evapotranspiration Index</w:t>
      </w:r>
      <w:r w:rsidRPr="00F14052">
        <w:rPr>
          <w:rFonts w:ascii="Calibri" w:hAnsi="Calibri" w:cs="Calibri"/>
          <w:noProof/>
          <w:szCs w:val="24"/>
        </w:rPr>
        <w:t>. Retrieved from https://cran.r-project.org/package=SPEI</w:t>
      </w:r>
    </w:p>
    <w:p w14:paraId="274B86FD"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Beguería, S., Vicente-Serrano, S. M., Reig, F., &amp; Latorre, B. (2014). Standardized precipitation evapotranspiration index (SPEI) revisited: Parameter fitting, evapotranspiration models, tools, datasets and drought monitoring. </w:t>
      </w:r>
      <w:r w:rsidRPr="00F14052">
        <w:rPr>
          <w:rFonts w:ascii="Calibri" w:hAnsi="Calibri" w:cs="Calibri"/>
          <w:i/>
          <w:iCs/>
          <w:noProof/>
          <w:szCs w:val="24"/>
        </w:rPr>
        <w:t>International Journal of Climatology</w:t>
      </w:r>
      <w:r w:rsidRPr="00F14052">
        <w:rPr>
          <w:rFonts w:ascii="Calibri" w:hAnsi="Calibri" w:cs="Calibri"/>
          <w:noProof/>
          <w:szCs w:val="24"/>
        </w:rPr>
        <w:t xml:space="preserve">, </w:t>
      </w:r>
      <w:r w:rsidRPr="00F14052">
        <w:rPr>
          <w:rFonts w:ascii="Calibri" w:hAnsi="Calibri" w:cs="Calibri"/>
          <w:i/>
          <w:iCs/>
          <w:noProof/>
          <w:szCs w:val="24"/>
        </w:rPr>
        <w:t>34</w:t>
      </w:r>
      <w:r w:rsidRPr="00F14052">
        <w:rPr>
          <w:rFonts w:ascii="Calibri" w:hAnsi="Calibri" w:cs="Calibri"/>
          <w:noProof/>
          <w:szCs w:val="24"/>
        </w:rPr>
        <w:t>(10), 3001–3023. doi: 10.1002/joc.3887</w:t>
      </w:r>
    </w:p>
    <w:p w14:paraId="1786693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Bradford, J. B., Shriver, R. K., Robles, M. D., McCauley, L. A., Woolley, T. J., Andrews, C. A., … Bell, D. M. (2022). Tree mortality response to drought‐density interactions suggests opportunities to enhance drought resistance. </w:t>
      </w:r>
      <w:r w:rsidRPr="00F14052">
        <w:rPr>
          <w:rFonts w:ascii="Calibri" w:hAnsi="Calibri" w:cs="Calibri"/>
          <w:i/>
          <w:iCs/>
          <w:noProof/>
          <w:szCs w:val="24"/>
        </w:rPr>
        <w:t>Journal of Applied Ecology</w:t>
      </w:r>
      <w:r w:rsidRPr="00F14052">
        <w:rPr>
          <w:rFonts w:ascii="Calibri" w:hAnsi="Calibri" w:cs="Calibri"/>
          <w:noProof/>
          <w:szCs w:val="24"/>
        </w:rPr>
        <w:t xml:space="preserve">, </w:t>
      </w:r>
      <w:r w:rsidRPr="00F14052">
        <w:rPr>
          <w:rFonts w:ascii="Calibri" w:hAnsi="Calibri" w:cs="Calibri"/>
          <w:i/>
          <w:iCs/>
          <w:noProof/>
          <w:szCs w:val="24"/>
        </w:rPr>
        <w:t>59</w:t>
      </w:r>
      <w:r w:rsidRPr="00F14052">
        <w:rPr>
          <w:rFonts w:ascii="Calibri" w:hAnsi="Calibri" w:cs="Calibri"/>
          <w:noProof/>
          <w:szCs w:val="24"/>
        </w:rPr>
        <w:t>(2), 549–559. doi: 10.1111/1365-2664.14073</w:t>
      </w:r>
    </w:p>
    <w:p w14:paraId="1A7EF32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Bretfeld, M., Ewers, B. E., &amp; Hall, J. S. (2018). Plant water use responses along secondary forest succession during the 2015–2016 El Niño drought in Panama. </w:t>
      </w:r>
      <w:r w:rsidRPr="00F14052">
        <w:rPr>
          <w:rFonts w:ascii="Calibri" w:hAnsi="Calibri" w:cs="Calibri"/>
          <w:i/>
          <w:iCs/>
          <w:noProof/>
          <w:szCs w:val="24"/>
        </w:rPr>
        <w:t>New Phytologist</w:t>
      </w:r>
      <w:r w:rsidRPr="00F14052">
        <w:rPr>
          <w:rFonts w:ascii="Calibri" w:hAnsi="Calibri" w:cs="Calibri"/>
          <w:noProof/>
          <w:szCs w:val="24"/>
        </w:rPr>
        <w:t xml:space="preserve">, </w:t>
      </w:r>
      <w:r w:rsidRPr="00F14052">
        <w:rPr>
          <w:rFonts w:ascii="Calibri" w:hAnsi="Calibri" w:cs="Calibri"/>
          <w:i/>
          <w:iCs/>
          <w:noProof/>
          <w:szCs w:val="24"/>
        </w:rPr>
        <w:t>219</w:t>
      </w:r>
      <w:r w:rsidRPr="00F14052">
        <w:rPr>
          <w:rFonts w:ascii="Calibri" w:hAnsi="Calibri" w:cs="Calibri"/>
          <w:noProof/>
          <w:szCs w:val="24"/>
        </w:rPr>
        <w:t>(3), 885–899. doi: 10.1111/nph.15071</w:t>
      </w:r>
    </w:p>
    <w:p w14:paraId="13437517"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Brodribb, T. J., Powers, J., Cochard, H., &amp; Choat, B. (2020, April 17). Hanging by a thread? Forests and drought. </w:t>
      </w:r>
      <w:r w:rsidRPr="00F14052">
        <w:rPr>
          <w:rFonts w:ascii="Calibri" w:hAnsi="Calibri" w:cs="Calibri"/>
          <w:i/>
          <w:iCs/>
          <w:noProof/>
          <w:szCs w:val="24"/>
        </w:rPr>
        <w:t>Science</w:t>
      </w:r>
      <w:r w:rsidRPr="00F14052">
        <w:rPr>
          <w:rFonts w:ascii="Calibri" w:hAnsi="Calibri" w:cs="Calibri"/>
          <w:noProof/>
          <w:szCs w:val="24"/>
        </w:rPr>
        <w:t>, Vol. 368, pp. 261–266. American Association for the Advancement of Science. doi: 10.1126/science.aat7631</w:t>
      </w:r>
    </w:p>
    <w:p w14:paraId="1DEFBD3D"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Bukoski, J. J., Cook-Patton, S. C., Melikov, C., Ban, H., Chen, J. L., Goldman, E. D., … Potts, M. D. (2022). Rates and drivers of aboveground carbon accumulation in global monoculture plantation forests.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(1), 1–13. doi: 10.1038/s41467-022-31380-7</w:t>
      </w:r>
    </w:p>
    <w:p w14:paraId="113B846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Büntgen, U., Krusic, P. J., Piermattei, A., Coomes, D. A., Esper, J., Myglan, V. S., … Körner, C. (2019). Limited capacity of tree growth to mitigate the global greenhouse effect under predicted </w:t>
      </w:r>
      <w:r w:rsidRPr="00F14052">
        <w:rPr>
          <w:rFonts w:ascii="Calibri" w:hAnsi="Calibri" w:cs="Calibri"/>
          <w:noProof/>
          <w:szCs w:val="24"/>
        </w:rPr>
        <w:lastRenderedPageBreak/>
        <w:t xml:space="preserve">warming.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10</w:t>
      </w:r>
      <w:r w:rsidRPr="00F14052">
        <w:rPr>
          <w:rFonts w:ascii="Calibri" w:hAnsi="Calibri" w:cs="Calibri"/>
          <w:noProof/>
          <w:szCs w:val="24"/>
        </w:rPr>
        <w:t>(1), 1–6. doi: 10.1038/s41467-019-10174-4</w:t>
      </w:r>
    </w:p>
    <w:p w14:paraId="3352786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Bürkner, P. C. (2017). brms: An R package for Bayesian multilevel models using Stan. </w:t>
      </w:r>
      <w:r w:rsidRPr="00F14052">
        <w:rPr>
          <w:rFonts w:ascii="Calibri" w:hAnsi="Calibri" w:cs="Calibri"/>
          <w:i/>
          <w:iCs/>
          <w:noProof/>
          <w:szCs w:val="24"/>
        </w:rPr>
        <w:t>Journal of Statistical Software</w:t>
      </w:r>
      <w:r w:rsidRPr="00F14052">
        <w:rPr>
          <w:rFonts w:ascii="Calibri" w:hAnsi="Calibri" w:cs="Calibri"/>
          <w:noProof/>
          <w:szCs w:val="24"/>
        </w:rPr>
        <w:t xml:space="preserve">, </w:t>
      </w:r>
      <w:r w:rsidRPr="00F14052">
        <w:rPr>
          <w:rFonts w:ascii="Calibri" w:hAnsi="Calibri" w:cs="Calibri"/>
          <w:i/>
          <w:iCs/>
          <w:noProof/>
          <w:szCs w:val="24"/>
        </w:rPr>
        <w:t>80</w:t>
      </w:r>
      <w:r w:rsidRPr="00F14052">
        <w:rPr>
          <w:rFonts w:ascii="Calibri" w:hAnsi="Calibri" w:cs="Calibri"/>
          <w:noProof/>
          <w:szCs w:val="24"/>
        </w:rPr>
        <w:t>(1). doi: 10.18637/jss.v080.i01</w:t>
      </w:r>
    </w:p>
    <w:p w14:paraId="7DE2926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Chiang, F., Mazdiyasni, O., &amp; AghaKouchak, A. (2021). Evidence of anthropogenic impacts on global drought frequency, duration, and intensity.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12</w:t>
      </w:r>
      <w:r w:rsidRPr="00F14052">
        <w:rPr>
          <w:rFonts w:ascii="Calibri" w:hAnsi="Calibri" w:cs="Calibri"/>
          <w:noProof/>
          <w:szCs w:val="24"/>
        </w:rPr>
        <w:t>(1), 1–10. doi: 10.1038/s41467-021-22314-w</w:t>
      </w:r>
    </w:p>
    <w:p w14:paraId="7816C0E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Choat, B., Brodribb, T. J., Brodersen, C. R., Duursma, R. A., López, R., &amp; Medlyn, B. E. (2018). Triggers of tree mortality under drought. </w:t>
      </w:r>
      <w:r w:rsidRPr="00F14052">
        <w:rPr>
          <w:rFonts w:ascii="Calibri" w:hAnsi="Calibri" w:cs="Calibri"/>
          <w:i/>
          <w:iCs/>
          <w:noProof/>
          <w:szCs w:val="24"/>
        </w:rPr>
        <w:t>Nature</w:t>
      </w:r>
      <w:r w:rsidRPr="00F14052">
        <w:rPr>
          <w:rFonts w:ascii="Calibri" w:hAnsi="Calibri" w:cs="Calibri"/>
          <w:noProof/>
          <w:szCs w:val="24"/>
        </w:rPr>
        <w:t xml:space="preserve">, </w:t>
      </w:r>
      <w:r w:rsidRPr="00F14052">
        <w:rPr>
          <w:rFonts w:ascii="Calibri" w:hAnsi="Calibri" w:cs="Calibri"/>
          <w:i/>
          <w:iCs/>
          <w:noProof/>
          <w:szCs w:val="24"/>
        </w:rPr>
        <w:t>558</w:t>
      </w:r>
      <w:r w:rsidRPr="00F14052">
        <w:rPr>
          <w:rFonts w:ascii="Calibri" w:hAnsi="Calibri" w:cs="Calibri"/>
          <w:noProof/>
          <w:szCs w:val="24"/>
        </w:rPr>
        <w:t>(7711), 531–539. doi: 10.1038/s41586-018-0240-x</w:t>
      </w:r>
    </w:p>
    <w:p w14:paraId="1BF3F960"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Damgaard, C. F., &amp; Irvine, K. M. (2019). Using the beta distribution to analyse plant cover data.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107</w:t>
      </w:r>
      <w:r w:rsidRPr="00F14052">
        <w:rPr>
          <w:rFonts w:ascii="Calibri" w:hAnsi="Calibri" w:cs="Calibri"/>
          <w:noProof/>
          <w:szCs w:val="24"/>
        </w:rPr>
        <w:t>(6), 2747–2759. doi: 10.1111/1365-2745.13200</w:t>
      </w:r>
    </w:p>
    <w:p w14:paraId="79B2910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De Frenne, P., Zellweger, F., Rodríguez-Sánchez, F., Scheffers, B. R., Hylander, K., Luoto, M., … Lenoir, J. (2019). Global buffering of temperatures under forest canopies. </w:t>
      </w:r>
      <w:r w:rsidRPr="00F14052">
        <w:rPr>
          <w:rFonts w:ascii="Calibri" w:hAnsi="Calibri" w:cs="Calibri"/>
          <w:i/>
          <w:iCs/>
          <w:noProof/>
          <w:szCs w:val="24"/>
        </w:rPr>
        <w:t>Nature Ecology &amp; Evolution</w:t>
      </w:r>
      <w:r w:rsidRPr="00F14052">
        <w:rPr>
          <w:rFonts w:ascii="Calibri" w:hAnsi="Calibri" w:cs="Calibri"/>
          <w:noProof/>
          <w:szCs w:val="24"/>
        </w:rPr>
        <w:t xml:space="preserve">, </w:t>
      </w:r>
      <w:r w:rsidRPr="00F14052">
        <w:rPr>
          <w:rFonts w:ascii="Calibri" w:hAnsi="Calibri" w:cs="Calibri"/>
          <w:i/>
          <w:iCs/>
          <w:noProof/>
          <w:szCs w:val="24"/>
        </w:rPr>
        <w:t>3</w:t>
      </w:r>
      <w:r w:rsidRPr="00F14052">
        <w:rPr>
          <w:rFonts w:ascii="Calibri" w:hAnsi="Calibri" w:cs="Calibri"/>
          <w:noProof/>
          <w:szCs w:val="24"/>
        </w:rPr>
        <w:t>(5), 744–749. doi: 10.1038/s41559-019-0842-1</w:t>
      </w:r>
    </w:p>
    <w:p w14:paraId="5273438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Díaz, S., Kattge, J., Cornelissen, J. H. C., Wright, I. J., Lavorel, S., Dray, S., … Gorné, L. D. (2016). The global spectrum of plant form and function. </w:t>
      </w:r>
      <w:r w:rsidRPr="00F14052">
        <w:rPr>
          <w:rFonts w:ascii="Calibri" w:hAnsi="Calibri" w:cs="Calibri"/>
          <w:i/>
          <w:iCs/>
          <w:noProof/>
          <w:szCs w:val="24"/>
        </w:rPr>
        <w:t>Nature</w:t>
      </w:r>
      <w:r w:rsidRPr="00F14052">
        <w:rPr>
          <w:rFonts w:ascii="Calibri" w:hAnsi="Calibri" w:cs="Calibri"/>
          <w:noProof/>
          <w:szCs w:val="24"/>
        </w:rPr>
        <w:t xml:space="preserve">, </w:t>
      </w:r>
      <w:r w:rsidRPr="00F14052">
        <w:rPr>
          <w:rFonts w:ascii="Calibri" w:hAnsi="Calibri" w:cs="Calibri"/>
          <w:i/>
          <w:iCs/>
          <w:noProof/>
          <w:szCs w:val="24"/>
        </w:rPr>
        <w:t>529</w:t>
      </w:r>
      <w:r w:rsidRPr="00F14052">
        <w:rPr>
          <w:rFonts w:ascii="Calibri" w:hAnsi="Calibri" w:cs="Calibri"/>
          <w:noProof/>
          <w:szCs w:val="24"/>
        </w:rPr>
        <w:t>(7585), 167–171. doi: 10.1038/nature16489</w:t>
      </w:r>
    </w:p>
    <w:p w14:paraId="2AF2D86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Dinerstein, E., Olson, D., Joshi, A., Vynne, C., Burgess, N. D., Wikramanayake, E., … Saleem, M. (2017). An Ecoregion-Based Approach to Protecting Half the Terrestrial Realm. </w:t>
      </w:r>
      <w:r w:rsidRPr="00F14052">
        <w:rPr>
          <w:rFonts w:ascii="Calibri" w:hAnsi="Calibri" w:cs="Calibri"/>
          <w:i/>
          <w:iCs/>
          <w:noProof/>
          <w:szCs w:val="24"/>
        </w:rPr>
        <w:t>BioScience</w:t>
      </w:r>
      <w:r w:rsidRPr="00F14052">
        <w:rPr>
          <w:rFonts w:ascii="Calibri" w:hAnsi="Calibri" w:cs="Calibri"/>
          <w:noProof/>
          <w:szCs w:val="24"/>
        </w:rPr>
        <w:t xml:space="preserve">, </w:t>
      </w:r>
      <w:r w:rsidRPr="00F14052">
        <w:rPr>
          <w:rFonts w:ascii="Calibri" w:hAnsi="Calibri" w:cs="Calibri"/>
          <w:i/>
          <w:iCs/>
          <w:noProof/>
          <w:szCs w:val="24"/>
        </w:rPr>
        <w:t>67</w:t>
      </w:r>
      <w:r w:rsidRPr="00F14052">
        <w:rPr>
          <w:rFonts w:ascii="Calibri" w:hAnsi="Calibri" w:cs="Calibri"/>
          <w:noProof/>
          <w:szCs w:val="24"/>
        </w:rPr>
        <w:t>(6), 534–545. doi: 10.1093/biosci/bix014</w:t>
      </w:r>
    </w:p>
    <w:p w14:paraId="4163D38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Doak, D. F., Bigger, D., Harding, E. K., Marvier, M. A., O’Malley, R. E., &amp; Thomson, D. (1998). The statistical inevitability of stability-diversity relationships in community ecology. </w:t>
      </w:r>
      <w:r w:rsidRPr="00F14052">
        <w:rPr>
          <w:rFonts w:ascii="Calibri" w:hAnsi="Calibri" w:cs="Calibri"/>
          <w:i/>
          <w:iCs/>
          <w:noProof/>
          <w:szCs w:val="24"/>
        </w:rPr>
        <w:t>American Naturalist</w:t>
      </w:r>
      <w:r w:rsidRPr="00F14052">
        <w:rPr>
          <w:rFonts w:ascii="Calibri" w:hAnsi="Calibri" w:cs="Calibri"/>
          <w:noProof/>
          <w:szCs w:val="24"/>
        </w:rPr>
        <w:t xml:space="preserve">, </w:t>
      </w:r>
      <w:r w:rsidRPr="00F14052">
        <w:rPr>
          <w:rFonts w:ascii="Calibri" w:hAnsi="Calibri" w:cs="Calibri"/>
          <w:i/>
          <w:iCs/>
          <w:noProof/>
          <w:szCs w:val="24"/>
        </w:rPr>
        <w:t>151</w:t>
      </w:r>
      <w:r w:rsidRPr="00F14052">
        <w:rPr>
          <w:rFonts w:ascii="Calibri" w:hAnsi="Calibri" w:cs="Calibri"/>
          <w:noProof/>
          <w:szCs w:val="24"/>
        </w:rPr>
        <w:t>(3), 264–276. doi: 10.1086/286117</w:t>
      </w:r>
    </w:p>
    <w:p w14:paraId="2DB60D00"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Douma, J. C., &amp; Weedon, J. T. (2019). Analysing continuous proportions in ecology and evolution: A practical introduction to beta and Dirichlet regression. </w:t>
      </w:r>
      <w:r w:rsidRPr="00F14052">
        <w:rPr>
          <w:rFonts w:ascii="Calibri" w:hAnsi="Calibri" w:cs="Calibri"/>
          <w:i/>
          <w:iCs/>
          <w:noProof/>
          <w:szCs w:val="24"/>
        </w:rPr>
        <w:t>Methods in Ecology and Evolution</w:t>
      </w:r>
      <w:r w:rsidRPr="00F14052">
        <w:rPr>
          <w:rFonts w:ascii="Calibri" w:hAnsi="Calibri" w:cs="Calibri"/>
          <w:noProof/>
          <w:szCs w:val="24"/>
        </w:rPr>
        <w:t xml:space="preserve">, </w:t>
      </w:r>
      <w:r w:rsidRPr="00F14052">
        <w:rPr>
          <w:rFonts w:ascii="Calibri" w:hAnsi="Calibri" w:cs="Calibri"/>
          <w:i/>
          <w:iCs/>
          <w:noProof/>
          <w:szCs w:val="24"/>
        </w:rPr>
        <w:t>2019</w:t>
      </w:r>
      <w:r w:rsidRPr="00F14052">
        <w:rPr>
          <w:rFonts w:ascii="Calibri" w:hAnsi="Calibri" w:cs="Calibri"/>
          <w:noProof/>
          <w:szCs w:val="24"/>
        </w:rPr>
        <w:t>(October 2018), 1412–1430. doi: 10.1111/2041-210x.13234</w:t>
      </w:r>
    </w:p>
    <w:p w14:paraId="3C1D8C9F"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Elliott, S., Tucker, N. I. J., Shannon, D. P., &amp; Tiansawat, P. (2023). The framework species method: harnessing natural regeneration to restore tropical forest ecosystems. </w:t>
      </w:r>
      <w:r w:rsidRPr="00F14052">
        <w:rPr>
          <w:rFonts w:ascii="Calibri" w:hAnsi="Calibri" w:cs="Calibri"/>
          <w:i/>
          <w:iCs/>
          <w:noProof/>
          <w:szCs w:val="24"/>
        </w:rPr>
        <w:t>Philosophical Transactions of the Royal Society B: Biological Sciences</w:t>
      </w:r>
      <w:r w:rsidRPr="00F14052">
        <w:rPr>
          <w:rFonts w:ascii="Calibri" w:hAnsi="Calibri" w:cs="Calibri"/>
          <w:noProof/>
          <w:szCs w:val="24"/>
        </w:rPr>
        <w:t xml:space="preserve">, </w:t>
      </w:r>
      <w:r w:rsidRPr="00F14052">
        <w:rPr>
          <w:rFonts w:ascii="Calibri" w:hAnsi="Calibri" w:cs="Calibri"/>
          <w:i/>
          <w:iCs/>
          <w:noProof/>
          <w:szCs w:val="24"/>
        </w:rPr>
        <w:t>378</w:t>
      </w:r>
      <w:r w:rsidRPr="00F14052">
        <w:rPr>
          <w:rFonts w:ascii="Calibri" w:hAnsi="Calibri" w:cs="Calibri"/>
          <w:noProof/>
          <w:szCs w:val="24"/>
        </w:rPr>
        <w:t>(1867). doi: 10.1098/rstb.2021.0073</w:t>
      </w:r>
    </w:p>
    <w:p w14:paraId="54A87E8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Faria, J. C. F., Demétrie, C. G. B., &amp; Allaman, I. B. (2022). </w:t>
      </w:r>
      <w:r w:rsidRPr="00F14052">
        <w:rPr>
          <w:rFonts w:ascii="Calibri" w:hAnsi="Calibri" w:cs="Calibri"/>
          <w:i/>
          <w:iCs/>
          <w:noProof/>
          <w:szCs w:val="24"/>
        </w:rPr>
        <w:t>Biplot of multivariate data based on Principal Components Analysis</w:t>
      </w:r>
      <w:r w:rsidRPr="00F14052">
        <w:rPr>
          <w:rFonts w:ascii="Calibri" w:hAnsi="Calibri" w:cs="Calibri"/>
          <w:noProof/>
          <w:szCs w:val="24"/>
        </w:rPr>
        <w:t>. Ilheus, Bahia, Brasil and Piracicaba, Sao Paulo, Brasil. Retrieved from https://cran.r-project.org/web/packages/bpca/</w:t>
      </w:r>
    </w:p>
    <w:p w14:paraId="5F0A3DC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Felton, A., Nilsson, U., Sonesson, J., Felton, A. M., Roberge, J. M., Ranius, T., … Wallertz, K. (2016). Replacing monocultures with mixed-species stands: Ecosystem service implications of two production forest alternatives in Sweden. </w:t>
      </w:r>
      <w:r w:rsidRPr="00F14052">
        <w:rPr>
          <w:rFonts w:ascii="Calibri" w:hAnsi="Calibri" w:cs="Calibri"/>
          <w:i/>
          <w:iCs/>
          <w:noProof/>
          <w:szCs w:val="24"/>
        </w:rPr>
        <w:t>Ambio</w:t>
      </w:r>
      <w:r w:rsidRPr="00F14052">
        <w:rPr>
          <w:rFonts w:ascii="Calibri" w:hAnsi="Calibri" w:cs="Calibri"/>
          <w:noProof/>
          <w:szCs w:val="24"/>
        </w:rPr>
        <w:t xml:space="preserve">, </w:t>
      </w:r>
      <w:r w:rsidRPr="00F14052">
        <w:rPr>
          <w:rFonts w:ascii="Calibri" w:hAnsi="Calibri" w:cs="Calibri"/>
          <w:i/>
          <w:iCs/>
          <w:noProof/>
          <w:szCs w:val="24"/>
        </w:rPr>
        <w:t>45</w:t>
      </w:r>
      <w:r w:rsidRPr="00F14052">
        <w:rPr>
          <w:rFonts w:ascii="Calibri" w:hAnsi="Calibri" w:cs="Calibri"/>
          <w:noProof/>
          <w:szCs w:val="24"/>
        </w:rPr>
        <w:t>, 124–139. doi: 10.1007/s13280-015-0749-2</w:t>
      </w:r>
    </w:p>
    <w:p w14:paraId="26F010F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Fichtner, A., Härdtle, W., Li, Y., Bruelheide, H., Kunz, M., &amp; von Oheimb, G. (2017). From competition to facilitation: how tree species respond to neighbourhood diversity. </w:t>
      </w:r>
      <w:r w:rsidRPr="00F14052">
        <w:rPr>
          <w:rFonts w:ascii="Calibri" w:hAnsi="Calibri" w:cs="Calibri"/>
          <w:i/>
          <w:iCs/>
          <w:noProof/>
          <w:szCs w:val="24"/>
        </w:rPr>
        <w:t>Ecology Letters</w:t>
      </w:r>
      <w:r w:rsidRPr="00F14052">
        <w:rPr>
          <w:rFonts w:ascii="Calibri" w:hAnsi="Calibri" w:cs="Calibri"/>
          <w:noProof/>
          <w:szCs w:val="24"/>
        </w:rPr>
        <w:t xml:space="preserve">, </w:t>
      </w:r>
      <w:r w:rsidRPr="00F14052">
        <w:rPr>
          <w:rFonts w:ascii="Calibri" w:hAnsi="Calibri" w:cs="Calibri"/>
          <w:i/>
          <w:iCs/>
          <w:noProof/>
          <w:szCs w:val="24"/>
        </w:rPr>
        <w:t>20</w:t>
      </w:r>
      <w:r w:rsidRPr="00F14052">
        <w:rPr>
          <w:rFonts w:ascii="Calibri" w:hAnsi="Calibri" w:cs="Calibri"/>
          <w:noProof/>
          <w:szCs w:val="24"/>
        </w:rPr>
        <w:t>(7), 892–900. doi: 10.1111/ele.12786</w:t>
      </w:r>
    </w:p>
    <w:p w14:paraId="62C7DD9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Fichtner, A., Schnabel, F., Bruelheide, H., Kunz, M., Mausolf, K., Schuldt, A., … von Oheimb, G. (2020). Neighbourhood diversity mitigates drought impacts on tree growth.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108</w:t>
      </w:r>
      <w:r w:rsidRPr="00F14052">
        <w:rPr>
          <w:rFonts w:ascii="Calibri" w:hAnsi="Calibri" w:cs="Calibri"/>
          <w:noProof/>
          <w:szCs w:val="24"/>
        </w:rPr>
        <w:t>(3), 865–875. doi: 10.1111/1365-2745.13353</w:t>
      </w:r>
    </w:p>
    <w:p w14:paraId="288D18D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Figge, F. (2004). Bio-folio: applying portfolio theory to biodiversity. </w:t>
      </w:r>
      <w:r w:rsidRPr="00F14052">
        <w:rPr>
          <w:rFonts w:ascii="Calibri" w:hAnsi="Calibri" w:cs="Calibri"/>
          <w:i/>
          <w:iCs/>
          <w:noProof/>
          <w:szCs w:val="24"/>
        </w:rPr>
        <w:t>Biodiversity and Conservation</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 827–849.</w:t>
      </w:r>
    </w:p>
    <w:p w14:paraId="47FDC26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lastRenderedPageBreak/>
        <w:t xml:space="preserve">Fleischman, F., Basant, S., Chhatre, A., Coleman, E. A., Fischer, H. W., Gupta, D., … Veldman, J. W. (2020). Pitfalls of Tree Planting Show Why We Need People-Centered Natural Climate Solutions. </w:t>
      </w:r>
      <w:r w:rsidRPr="00F14052">
        <w:rPr>
          <w:rFonts w:ascii="Calibri" w:hAnsi="Calibri" w:cs="Calibri"/>
          <w:i/>
          <w:iCs/>
          <w:noProof/>
          <w:szCs w:val="24"/>
        </w:rPr>
        <w:t>BioScience</w:t>
      </w:r>
      <w:r w:rsidRPr="00F14052">
        <w:rPr>
          <w:rFonts w:ascii="Calibri" w:hAnsi="Calibri" w:cs="Calibri"/>
          <w:noProof/>
          <w:szCs w:val="24"/>
        </w:rPr>
        <w:t xml:space="preserve">, </w:t>
      </w:r>
      <w:r w:rsidRPr="00F14052">
        <w:rPr>
          <w:rFonts w:ascii="Calibri" w:hAnsi="Calibri" w:cs="Calibri"/>
          <w:i/>
          <w:iCs/>
          <w:noProof/>
          <w:szCs w:val="24"/>
        </w:rPr>
        <w:t>70</w:t>
      </w:r>
      <w:r w:rsidRPr="00F14052">
        <w:rPr>
          <w:rFonts w:ascii="Calibri" w:hAnsi="Calibri" w:cs="Calibri"/>
          <w:noProof/>
          <w:szCs w:val="24"/>
        </w:rPr>
        <w:t>(11), 947–950. doi: 10.1093/biosci/biaa094</w:t>
      </w:r>
    </w:p>
    <w:p w14:paraId="6D18816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Forrester, D. I. (2015). Transpiration and water-use efficiency in mixed-species forests versus monocultures: Effects of tree size, stand density and season. </w:t>
      </w:r>
      <w:r w:rsidRPr="00F14052">
        <w:rPr>
          <w:rFonts w:ascii="Calibri" w:hAnsi="Calibri" w:cs="Calibri"/>
          <w:i/>
          <w:iCs/>
          <w:noProof/>
          <w:szCs w:val="24"/>
        </w:rPr>
        <w:t>Tree Physiology</w:t>
      </w:r>
      <w:r w:rsidRPr="00F14052">
        <w:rPr>
          <w:rFonts w:ascii="Calibri" w:hAnsi="Calibri" w:cs="Calibri"/>
          <w:noProof/>
          <w:szCs w:val="24"/>
        </w:rPr>
        <w:t xml:space="preserve">, </w:t>
      </w:r>
      <w:r w:rsidRPr="00F14052">
        <w:rPr>
          <w:rFonts w:ascii="Calibri" w:hAnsi="Calibri" w:cs="Calibri"/>
          <w:i/>
          <w:iCs/>
          <w:noProof/>
          <w:szCs w:val="24"/>
        </w:rPr>
        <w:t>35</w:t>
      </w:r>
      <w:r w:rsidRPr="00F14052">
        <w:rPr>
          <w:rFonts w:ascii="Calibri" w:hAnsi="Calibri" w:cs="Calibri"/>
          <w:noProof/>
          <w:szCs w:val="24"/>
        </w:rPr>
        <w:t>(3), 289–304. doi: 10.1093/treephys/tpv011</w:t>
      </w:r>
    </w:p>
    <w:p w14:paraId="602A046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Forzieri, G., Girardello, M., Ceccherini, G., Spinoni, J., Feyen, L., Hartmann, H., … Cescatti, A. (2021). Emergent vulnerability to climate-driven disturbances in European forests.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12</w:t>
      </w:r>
      <w:r w:rsidRPr="00F14052">
        <w:rPr>
          <w:rFonts w:ascii="Calibri" w:hAnsi="Calibri" w:cs="Calibri"/>
          <w:noProof/>
          <w:szCs w:val="24"/>
        </w:rPr>
        <w:t>(1), 1–12. doi: 10.1038/s41467-021-21399-7</w:t>
      </w:r>
    </w:p>
    <w:p w14:paraId="46F8643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Gamfeldt, L., &amp; Källström, B. (2007). Increasing intraspecific diversity increases predictability in population survival in the face of perturbations. </w:t>
      </w:r>
      <w:r w:rsidRPr="00F14052">
        <w:rPr>
          <w:rFonts w:ascii="Calibri" w:hAnsi="Calibri" w:cs="Calibri"/>
          <w:i/>
          <w:iCs/>
          <w:noProof/>
          <w:szCs w:val="24"/>
        </w:rPr>
        <w:t>Oikos</w:t>
      </w:r>
      <w:r w:rsidRPr="00F14052">
        <w:rPr>
          <w:rFonts w:ascii="Calibri" w:hAnsi="Calibri" w:cs="Calibri"/>
          <w:noProof/>
          <w:szCs w:val="24"/>
        </w:rPr>
        <w:t xml:space="preserve">, </w:t>
      </w:r>
      <w:r w:rsidRPr="00F14052">
        <w:rPr>
          <w:rFonts w:ascii="Calibri" w:hAnsi="Calibri" w:cs="Calibri"/>
          <w:i/>
          <w:iCs/>
          <w:noProof/>
          <w:szCs w:val="24"/>
        </w:rPr>
        <w:t>116</w:t>
      </w:r>
      <w:r w:rsidRPr="00F14052">
        <w:rPr>
          <w:rFonts w:ascii="Calibri" w:hAnsi="Calibri" w:cs="Calibri"/>
          <w:noProof/>
          <w:szCs w:val="24"/>
        </w:rPr>
        <w:t>(4), 700–705. doi: 10.1111/j.2007.0030-1299.15382.x</w:t>
      </w:r>
    </w:p>
    <w:p w14:paraId="4228BE8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Gessler, A., Bottero, A., Marshall, J., &amp; Arend, M. (2020). The way back: recovery of trees from drought and its implication for acclimation. </w:t>
      </w:r>
      <w:r w:rsidRPr="00F14052">
        <w:rPr>
          <w:rFonts w:ascii="Calibri" w:hAnsi="Calibri" w:cs="Calibri"/>
          <w:i/>
          <w:iCs/>
          <w:noProof/>
          <w:szCs w:val="24"/>
        </w:rPr>
        <w:t>New Phytologist</w:t>
      </w:r>
      <w:r w:rsidRPr="00F14052">
        <w:rPr>
          <w:rFonts w:ascii="Calibri" w:hAnsi="Calibri" w:cs="Calibri"/>
          <w:noProof/>
          <w:szCs w:val="24"/>
        </w:rPr>
        <w:t xml:space="preserve">, </w:t>
      </w:r>
      <w:r w:rsidRPr="00F14052">
        <w:rPr>
          <w:rFonts w:ascii="Calibri" w:hAnsi="Calibri" w:cs="Calibri"/>
          <w:i/>
          <w:iCs/>
          <w:noProof/>
          <w:szCs w:val="24"/>
        </w:rPr>
        <w:t>228</w:t>
      </w:r>
      <w:r w:rsidRPr="00F14052">
        <w:rPr>
          <w:rFonts w:ascii="Calibri" w:hAnsi="Calibri" w:cs="Calibri"/>
          <w:noProof/>
          <w:szCs w:val="24"/>
        </w:rPr>
        <w:t>(6), 1704–1709. doi: 10.1111/nph.16703</w:t>
      </w:r>
    </w:p>
    <w:p w14:paraId="3021741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Gillerot, L., Forrester, D. I., Bottero, A., Rigling, A., &amp; Lévesque, M. (2020). Tree Neighbourhood Diversity Has Negligible Effects on Drought Resilience of European Beech, Silver Fir and Norway Spruce. </w:t>
      </w:r>
      <w:r w:rsidRPr="00F14052">
        <w:rPr>
          <w:rFonts w:ascii="Calibri" w:hAnsi="Calibri" w:cs="Calibri"/>
          <w:i/>
          <w:iCs/>
          <w:noProof/>
          <w:szCs w:val="24"/>
        </w:rPr>
        <w:t>Ecosystems</w:t>
      </w:r>
      <w:r w:rsidRPr="00F14052">
        <w:rPr>
          <w:rFonts w:ascii="Calibri" w:hAnsi="Calibri" w:cs="Calibri"/>
          <w:noProof/>
          <w:szCs w:val="24"/>
        </w:rPr>
        <w:t>, 20–36. doi: 10.1007/s10021-020-00501-y</w:t>
      </w:r>
    </w:p>
    <w:p w14:paraId="0E6F81A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Goffner, D., Sinare, H., &amp; Gordon, L. J. (2019). The Great Green Wall for the Sahara and the Sahel Initiative as an opportunity to enhance resilience in Sahelian landscapes and livelihoods. </w:t>
      </w:r>
      <w:r w:rsidRPr="00F14052">
        <w:rPr>
          <w:rFonts w:ascii="Calibri" w:hAnsi="Calibri" w:cs="Calibri"/>
          <w:i/>
          <w:iCs/>
          <w:noProof/>
          <w:szCs w:val="24"/>
        </w:rPr>
        <w:t>Regional Environmental Change</w:t>
      </w:r>
      <w:r w:rsidRPr="00F14052">
        <w:rPr>
          <w:rFonts w:ascii="Calibri" w:hAnsi="Calibri" w:cs="Calibri"/>
          <w:noProof/>
          <w:szCs w:val="24"/>
        </w:rPr>
        <w:t xml:space="preserve">, </w:t>
      </w:r>
      <w:r w:rsidRPr="00F14052">
        <w:rPr>
          <w:rFonts w:ascii="Calibri" w:hAnsi="Calibri" w:cs="Calibri"/>
          <w:i/>
          <w:iCs/>
          <w:noProof/>
          <w:szCs w:val="24"/>
        </w:rPr>
        <w:t>19</w:t>
      </w:r>
      <w:r w:rsidRPr="00F14052">
        <w:rPr>
          <w:rFonts w:ascii="Calibri" w:hAnsi="Calibri" w:cs="Calibri"/>
          <w:noProof/>
          <w:szCs w:val="24"/>
        </w:rPr>
        <w:t>(5), 1417–1428. doi: 10.1007/s10113-019-01481-z</w:t>
      </w:r>
    </w:p>
    <w:p w14:paraId="66CDC1B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Granier, A., Bréda, N., Biron, P., &amp; Villette, S. (1999). A lumped water balance model to evaluate duration and intensity of drought constraints in forest stands. </w:t>
      </w:r>
      <w:r w:rsidRPr="00F14052">
        <w:rPr>
          <w:rFonts w:ascii="Calibri" w:hAnsi="Calibri" w:cs="Calibri"/>
          <w:i/>
          <w:iCs/>
          <w:noProof/>
          <w:szCs w:val="24"/>
        </w:rPr>
        <w:t>Ecological Modelling</w:t>
      </w:r>
      <w:r w:rsidRPr="00F14052">
        <w:rPr>
          <w:rFonts w:ascii="Calibri" w:hAnsi="Calibri" w:cs="Calibri"/>
          <w:noProof/>
          <w:szCs w:val="24"/>
        </w:rPr>
        <w:t xml:space="preserve">, </w:t>
      </w:r>
      <w:r w:rsidRPr="00F14052">
        <w:rPr>
          <w:rFonts w:ascii="Calibri" w:hAnsi="Calibri" w:cs="Calibri"/>
          <w:i/>
          <w:iCs/>
          <w:noProof/>
          <w:szCs w:val="24"/>
        </w:rPr>
        <w:t>116</w:t>
      </w:r>
      <w:r w:rsidRPr="00F14052">
        <w:rPr>
          <w:rFonts w:ascii="Calibri" w:hAnsi="Calibri" w:cs="Calibri"/>
          <w:noProof/>
          <w:szCs w:val="24"/>
        </w:rPr>
        <w:t>(2–3), 269–283. doi: 10.1016/S0304-3800(98)00205-1</w:t>
      </w:r>
    </w:p>
    <w:p w14:paraId="7E8CEEA7"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Greenwood, S., Ruiz-Benito, P., Martínez-Vilalta, J., Lloret, F., Kitzberger, T., Allen, C. D., … Jump, A. S. (2017). Tree mortality across biomes is promoted by drought intensity, lower wood density and higher specific leaf area. </w:t>
      </w:r>
      <w:r w:rsidRPr="00F14052">
        <w:rPr>
          <w:rFonts w:ascii="Calibri" w:hAnsi="Calibri" w:cs="Calibri"/>
          <w:i/>
          <w:iCs/>
          <w:noProof/>
          <w:szCs w:val="24"/>
        </w:rPr>
        <w:t>Ecology Letters</w:t>
      </w:r>
      <w:r w:rsidRPr="00F14052">
        <w:rPr>
          <w:rFonts w:ascii="Calibri" w:hAnsi="Calibri" w:cs="Calibri"/>
          <w:noProof/>
          <w:szCs w:val="24"/>
        </w:rPr>
        <w:t xml:space="preserve">, </w:t>
      </w:r>
      <w:r w:rsidRPr="00F14052">
        <w:rPr>
          <w:rFonts w:ascii="Calibri" w:hAnsi="Calibri" w:cs="Calibri"/>
          <w:i/>
          <w:iCs/>
          <w:noProof/>
          <w:szCs w:val="24"/>
        </w:rPr>
        <w:t>20</w:t>
      </w:r>
      <w:r w:rsidRPr="00F14052">
        <w:rPr>
          <w:rFonts w:ascii="Calibri" w:hAnsi="Calibri" w:cs="Calibri"/>
          <w:noProof/>
          <w:szCs w:val="24"/>
        </w:rPr>
        <w:t>(4), 539–553. doi: 10.1111/ele.12748</w:t>
      </w:r>
    </w:p>
    <w:p w14:paraId="7FAC7BD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Grossiord, C. (2020). Having the right neighbors: how tree species diversity modulates drought impacts on forests. </w:t>
      </w:r>
      <w:r w:rsidRPr="00F14052">
        <w:rPr>
          <w:rFonts w:ascii="Calibri" w:hAnsi="Calibri" w:cs="Calibri"/>
          <w:i/>
          <w:iCs/>
          <w:noProof/>
          <w:szCs w:val="24"/>
        </w:rPr>
        <w:t>New Phytologist</w:t>
      </w:r>
      <w:r w:rsidRPr="00F14052">
        <w:rPr>
          <w:rFonts w:ascii="Calibri" w:hAnsi="Calibri" w:cs="Calibri"/>
          <w:noProof/>
          <w:szCs w:val="24"/>
        </w:rPr>
        <w:t xml:space="preserve">, </w:t>
      </w:r>
      <w:r w:rsidRPr="00F14052">
        <w:rPr>
          <w:rFonts w:ascii="Calibri" w:hAnsi="Calibri" w:cs="Calibri"/>
          <w:i/>
          <w:iCs/>
          <w:noProof/>
          <w:szCs w:val="24"/>
        </w:rPr>
        <w:t>228</w:t>
      </w:r>
      <w:r w:rsidRPr="00F14052">
        <w:rPr>
          <w:rFonts w:ascii="Calibri" w:hAnsi="Calibri" w:cs="Calibri"/>
          <w:noProof/>
          <w:szCs w:val="24"/>
        </w:rPr>
        <w:t>(1), 42–49. doi: 10.1111/nph.15667</w:t>
      </w:r>
    </w:p>
    <w:p w14:paraId="17170A9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Grossiord, C., Granier, A., Ratcliffe, S., Bouriaud, O., Bruelheide, H., Chećko, E., … Schlesinger, W. H. (2014). Tree diversity does not always improve resistance of forest ecosystems to drought. </w:t>
      </w:r>
      <w:r w:rsidRPr="00F14052">
        <w:rPr>
          <w:rFonts w:ascii="Calibri" w:hAnsi="Calibri" w:cs="Calibri"/>
          <w:i/>
          <w:iCs/>
          <w:noProof/>
          <w:szCs w:val="24"/>
        </w:rPr>
        <w:t>Proceedings of the National Academy of Sciences of the United States of America</w:t>
      </w:r>
      <w:r w:rsidRPr="00F14052">
        <w:rPr>
          <w:rFonts w:ascii="Calibri" w:hAnsi="Calibri" w:cs="Calibri"/>
          <w:noProof/>
          <w:szCs w:val="24"/>
        </w:rPr>
        <w:t xml:space="preserve">, </w:t>
      </w:r>
      <w:r w:rsidRPr="00F14052">
        <w:rPr>
          <w:rFonts w:ascii="Calibri" w:hAnsi="Calibri" w:cs="Calibri"/>
          <w:i/>
          <w:iCs/>
          <w:noProof/>
          <w:szCs w:val="24"/>
        </w:rPr>
        <w:t>111</w:t>
      </w:r>
      <w:r w:rsidRPr="00F14052">
        <w:rPr>
          <w:rFonts w:ascii="Calibri" w:hAnsi="Calibri" w:cs="Calibri"/>
          <w:noProof/>
          <w:szCs w:val="24"/>
        </w:rPr>
        <w:t>(41), 14812–14815. doi: 10.1073/pnas.1411970111</w:t>
      </w:r>
    </w:p>
    <w:p w14:paraId="69FD5070"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Grossman, J. J., Vanhellemont, M., Barsoum, N., Bauhus, J., Bruelheide, H., Castagneyrol, B., … Verheyen, K. (2018). Synthesis and future research directions linking tree diversity to growth, survival, and damage in a global network of tree diversity experiments. </w:t>
      </w:r>
      <w:r w:rsidRPr="00F14052">
        <w:rPr>
          <w:rFonts w:ascii="Calibri" w:hAnsi="Calibri" w:cs="Calibri"/>
          <w:i/>
          <w:iCs/>
          <w:noProof/>
          <w:szCs w:val="24"/>
        </w:rPr>
        <w:t>Environmental and Experimental Botany</w:t>
      </w:r>
      <w:r w:rsidRPr="00F14052">
        <w:rPr>
          <w:rFonts w:ascii="Calibri" w:hAnsi="Calibri" w:cs="Calibri"/>
          <w:noProof/>
          <w:szCs w:val="24"/>
        </w:rPr>
        <w:t xml:space="preserve">, </w:t>
      </w:r>
      <w:r w:rsidRPr="00F14052">
        <w:rPr>
          <w:rFonts w:ascii="Calibri" w:hAnsi="Calibri" w:cs="Calibri"/>
          <w:i/>
          <w:iCs/>
          <w:noProof/>
          <w:szCs w:val="24"/>
        </w:rPr>
        <w:t>152</w:t>
      </w:r>
      <w:r w:rsidRPr="00F14052">
        <w:rPr>
          <w:rFonts w:ascii="Calibri" w:hAnsi="Calibri" w:cs="Calibri"/>
          <w:noProof/>
          <w:szCs w:val="24"/>
        </w:rPr>
        <w:t>(December 2017), 68–89. doi: 10.1016/j.envexpbot.2017.12.015</w:t>
      </w:r>
    </w:p>
    <w:p w14:paraId="3603CAE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Guillemot, J., Martin‐StPaul, N. K., Bulascoschi, L., Poorter, L., Morin, X., Pinho, B. X., … Brancalion, P. H. S. (2022). Small and slow is safe: on the drought tolerance of tropical tree species. </w:t>
      </w:r>
      <w:r w:rsidRPr="00F14052">
        <w:rPr>
          <w:rFonts w:ascii="Calibri" w:hAnsi="Calibri" w:cs="Calibri"/>
          <w:i/>
          <w:iCs/>
          <w:noProof/>
          <w:szCs w:val="24"/>
        </w:rPr>
        <w:t>Global Change Biology</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(3), 287–288. doi: 10.1111/gcb.16082</w:t>
      </w:r>
    </w:p>
    <w:p w14:paraId="4A8AECAF"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Hajek, P., Link, R. M., Nock, C. A., Bauhus, J., Gebauer, T., Gessler, A., … Schuldt, B. (2022). Mutually inclusive mechanisms of drought‐induced tree mortality. </w:t>
      </w:r>
      <w:r w:rsidRPr="00F14052">
        <w:rPr>
          <w:rFonts w:ascii="Calibri" w:hAnsi="Calibri" w:cs="Calibri"/>
          <w:i/>
          <w:iCs/>
          <w:noProof/>
          <w:szCs w:val="24"/>
        </w:rPr>
        <w:t>Global Change Biology</w:t>
      </w:r>
      <w:r w:rsidRPr="00F14052">
        <w:rPr>
          <w:rFonts w:ascii="Calibri" w:hAnsi="Calibri" w:cs="Calibri"/>
          <w:noProof/>
          <w:szCs w:val="24"/>
        </w:rPr>
        <w:t xml:space="preserve">, </w:t>
      </w:r>
      <w:r w:rsidRPr="00F14052">
        <w:rPr>
          <w:rFonts w:ascii="Calibri" w:hAnsi="Calibri" w:cs="Calibri"/>
          <w:i/>
          <w:iCs/>
          <w:noProof/>
          <w:szCs w:val="24"/>
        </w:rPr>
        <w:t>28</w:t>
      </w:r>
      <w:r w:rsidRPr="00F14052">
        <w:rPr>
          <w:rFonts w:ascii="Calibri" w:hAnsi="Calibri" w:cs="Calibri"/>
          <w:noProof/>
          <w:szCs w:val="24"/>
        </w:rPr>
        <w:t>(10), 3365–3378. doi: 10.1111/gcb.16146</w:t>
      </w:r>
    </w:p>
    <w:p w14:paraId="4EA6D25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lastRenderedPageBreak/>
        <w:t xml:space="preserve">Hammond, W. M., Williams, A. P., Abatzoglou, J. T., Adams, H. D., Klein, T., López, R., … Allen, C. D. (2022). Global field observations of tree die-off reveal hotter-drought fingerprint for Earth’s forests.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(1). doi: 10.1038/s41467-022-29289-2</w:t>
      </w:r>
    </w:p>
    <w:p w14:paraId="70E0022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Hisano, M., Chen, H. Y. H., Searle, E. B., &amp; Reich, P. B. (2019). Species‐rich boreal forests grew more and suffered less mortality than species‐poor forests under the environmental change of the past half‐century. </w:t>
      </w:r>
      <w:r w:rsidRPr="00F14052">
        <w:rPr>
          <w:rFonts w:ascii="Calibri" w:hAnsi="Calibri" w:cs="Calibri"/>
          <w:i/>
          <w:iCs/>
          <w:noProof/>
          <w:szCs w:val="24"/>
        </w:rPr>
        <w:t>Ecology Letters</w:t>
      </w:r>
      <w:r w:rsidRPr="00F14052">
        <w:rPr>
          <w:rFonts w:ascii="Calibri" w:hAnsi="Calibri" w:cs="Calibri"/>
          <w:noProof/>
          <w:szCs w:val="24"/>
        </w:rPr>
        <w:t xml:space="preserve">, </w:t>
      </w:r>
      <w:r w:rsidRPr="00F14052">
        <w:rPr>
          <w:rFonts w:ascii="Calibri" w:hAnsi="Calibri" w:cs="Calibri"/>
          <w:i/>
          <w:iCs/>
          <w:noProof/>
          <w:szCs w:val="24"/>
        </w:rPr>
        <w:t>22</w:t>
      </w:r>
      <w:r w:rsidRPr="00F14052">
        <w:rPr>
          <w:rFonts w:ascii="Calibri" w:hAnsi="Calibri" w:cs="Calibri"/>
          <w:noProof/>
          <w:szCs w:val="24"/>
        </w:rPr>
        <w:t>(6), 999–1008. doi: 10.1111/ele.13259</w:t>
      </w:r>
    </w:p>
    <w:p w14:paraId="5CBECAD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Holyoak, M., &amp; Wetzel, W. C. (2020). Variance-Explicit Ecology: A Call for Holistic Study of the Consequences of Variability at Multiple Scales. In </w:t>
      </w:r>
      <w:r w:rsidRPr="00F14052">
        <w:rPr>
          <w:rFonts w:ascii="Calibri" w:hAnsi="Calibri" w:cs="Calibri"/>
          <w:i/>
          <w:iCs/>
          <w:noProof/>
          <w:szCs w:val="24"/>
        </w:rPr>
        <w:t>Unsolved Problems in Ecology</w:t>
      </w:r>
      <w:r w:rsidRPr="00F14052">
        <w:rPr>
          <w:rFonts w:ascii="Calibri" w:hAnsi="Calibri" w:cs="Calibri"/>
          <w:noProof/>
          <w:szCs w:val="24"/>
        </w:rPr>
        <w:t xml:space="preserve"> (pp. 25–42). doi: 10.1515/9780691195322-005</w:t>
      </w:r>
    </w:p>
    <w:p w14:paraId="1E78509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Ingrisch, J., &amp; Bahn, M. (2018). Towards a Comparable Quantification of Resilience. </w:t>
      </w:r>
      <w:r w:rsidRPr="00F14052">
        <w:rPr>
          <w:rFonts w:ascii="Calibri" w:hAnsi="Calibri" w:cs="Calibri"/>
          <w:i/>
          <w:iCs/>
          <w:noProof/>
          <w:szCs w:val="24"/>
        </w:rPr>
        <w:t>Trends in Ecology and Evolution</w:t>
      </w:r>
      <w:r w:rsidRPr="00F14052">
        <w:rPr>
          <w:rFonts w:ascii="Calibri" w:hAnsi="Calibri" w:cs="Calibri"/>
          <w:noProof/>
          <w:szCs w:val="24"/>
        </w:rPr>
        <w:t xml:space="preserve">, </w:t>
      </w:r>
      <w:r w:rsidRPr="00F14052">
        <w:rPr>
          <w:rFonts w:ascii="Calibri" w:hAnsi="Calibri" w:cs="Calibri"/>
          <w:i/>
          <w:iCs/>
          <w:noProof/>
          <w:szCs w:val="24"/>
        </w:rPr>
        <w:t>33</w:t>
      </w:r>
      <w:r w:rsidRPr="00F14052">
        <w:rPr>
          <w:rFonts w:ascii="Calibri" w:hAnsi="Calibri" w:cs="Calibri"/>
          <w:noProof/>
          <w:szCs w:val="24"/>
        </w:rPr>
        <w:t>(4), 251–259. doi: 10.1016/j.tree.2018.01.013</w:t>
      </w:r>
    </w:p>
    <w:p w14:paraId="08B819A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Jactel, H., Bauhus, J., Boberg, J., Bonal, D., Castagneyrol, B., Gardiner, B., … Brockerhoff, E. G. (2017). Tree Diversity Drives Forest Stand Resistance to Natural Disturbances. </w:t>
      </w:r>
      <w:r w:rsidRPr="00F14052">
        <w:rPr>
          <w:rFonts w:ascii="Calibri" w:hAnsi="Calibri" w:cs="Calibri"/>
          <w:i/>
          <w:iCs/>
          <w:noProof/>
          <w:szCs w:val="24"/>
        </w:rPr>
        <w:t>Current Forestry Reports</w:t>
      </w:r>
      <w:r w:rsidRPr="00F14052">
        <w:rPr>
          <w:rFonts w:ascii="Calibri" w:hAnsi="Calibri" w:cs="Calibri"/>
          <w:noProof/>
          <w:szCs w:val="24"/>
        </w:rPr>
        <w:t xml:space="preserve">, </w:t>
      </w:r>
      <w:r w:rsidRPr="00F14052">
        <w:rPr>
          <w:rFonts w:ascii="Calibri" w:hAnsi="Calibri" w:cs="Calibri"/>
          <w:i/>
          <w:iCs/>
          <w:noProof/>
          <w:szCs w:val="24"/>
        </w:rPr>
        <w:t>3</w:t>
      </w:r>
      <w:r w:rsidRPr="00F14052">
        <w:rPr>
          <w:rFonts w:ascii="Calibri" w:hAnsi="Calibri" w:cs="Calibri"/>
          <w:noProof/>
          <w:szCs w:val="24"/>
        </w:rPr>
        <w:t>(3), 223–243. doi: 10.1007/s40725-017-0064-1</w:t>
      </w:r>
    </w:p>
    <w:p w14:paraId="19BC037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Kattge, J., Diaz, S., Lavorel, S., Prentice, I. C., Leadley, P., Bönisch, G., … Wright, I. J. (2011). TRY–a global database of plant traits. </w:t>
      </w:r>
      <w:r w:rsidRPr="00F14052">
        <w:rPr>
          <w:rFonts w:ascii="Calibri" w:hAnsi="Calibri" w:cs="Calibri"/>
          <w:i/>
          <w:iCs/>
          <w:noProof/>
          <w:szCs w:val="24"/>
        </w:rPr>
        <w:t>Global Change Biology</w:t>
      </w:r>
      <w:r w:rsidRPr="00F14052">
        <w:rPr>
          <w:rFonts w:ascii="Calibri" w:hAnsi="Calibri" w:cs="Calibri"/>
          <w:noProof/>
          <w:szCs w:val="24"/>
        </w:rPr>
        <w:t xml:space="preserve">, </w:t>
      </w:r>
      <w:r w:rsidRPr="00F14052">
        <w:rPr>
          <w:rFonts w:ascii="Calibri" w:hAnsi="Calibri" w:cs="Calibri"/>
          <w:i/>
          <w:iCs/>
          <w:noProof/>
          <w:szCs w:val="24"/>
        </w:rPr>
        <w:t>17</w:t>
      </w:r>
      <w:r w:rsidRPr="00F14052">
        <w:rPr>
          <w:rFonts w:ascii="Calibri" w:hAnsi="Calibri" w:cs="Calibri"/>
          <w:noProof/>
          <w:szCs w:val="24"/>
        </w:rPr>
        <w:t>(9), 2905–2935.</w:t>
      </w:r>
    </w:p>
    <w:p w14:paraId="5CDEAF9F"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King, R. A., Pullen, J., Cook‐Patton, S. C., &amp; Parker, J. D. (2023). Diversity stabilizes but does not increase sapling survival in a tree diversity experiment. </w:t>
      </w:r>
      <w:r w:rsidRPr="00F14052">
        <w:rPr>
          <w:rFonts w:ascii="Calibri" w:hAnsi="Calibri" w:cs="Calibri"/>
          <w:i/>
          <w:iCs/>
          <w:noProof/>
          <w:szCs w:val="24"/>
        </w:rPr>
        <w:t>Restoration Ecology</w:t>
      </w:r>
      <w:r w:rsidRPr="00F14052">
        <w:rPr>
          <w:rFonts w:ascii="Calibri" w:hAnsi="Calibri" w:cs="Calibri"/>
          <w:noProof/>
          <w:szCs w:val="24"/>
        </w:rPr>
        <w:t xml:space="preserve">, </w:t>
      </w:r>
      <w:r w:rsidRPr="00F14052">
        <w:rPr>
          <w:rFonts w:ascii="Calibri" w:hAnsi="Calibri" w:cs="Calibri"/>
          <w:i/>
          <w:iCs/>
          <w:noProof/>
          <w:szCs w:val="24"/>
        </w:rPr>
        <w:t>31</w:t>
      </w:r>
      <w:r w:rsidRPr="00F14052">
        <w:rPr>
          <w:rFonts w:ascii="Calibri" w:hAnsi="Calibri" w:cs="Calibri"/>
          <w:noProof/>
          <w:szCs w:val="24"/>
        </w:rPr>
        <w:t>(5), 1–11. doi: 10.1111/rec.13927</w:t>
      </w:r>
    </w:p>
    <w:p w14:paraId="66043F1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Kothari, S., Montgomery, R. A., &amp; Cavender-Bares, J. (2021). Physiological responses to light explain competition and facilitation in a tree diversity experiment.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109</w:t>
      </w:r>
      <w:r w:rsidRPr="00F14052">
        <w:rPr>
          <w:rFonts w:ascii="Calibri" w:hAnsi="Calibri" w:cs="Calibri"/>
          <w:noProof/>
          <w:szCs w:val="24"/>
        </w:rPr>
        <w:t>(5), 2000–2018. doi: 10.1111/1365-2745.13637</w:t>
      </w:r>
    </w:p>
    <w:p w14:paraId="4BF5A834"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Kröber, W., Zhang, S., Ehmig, M., &amp; Bruelheide, H. (2014). Linking xylem hydraulic conductivity and vulnerability to the leaf economics spectrum - A cross-species study of 39 evergreen and deciduous broadleaved subtropical tree species. </w:t>
      </w:r>
      <w:r w:rsidRPr="00F14052">
        <w:rPr>
          <w:rFonts w:ascii="Calibri" w:hAnsi="Calibri" w:cs="Calibri"/>
          <w:i/>
          <w:iCs/>
          <w:noProof/>
          <w:szCs w:val="24"/>
        </w:rPr>
        <w:t>PLoS ONE</w:t>
      </w:r>
      <w:r w:rsidRPr="00F14052">
        <w:rPr>
          <w:rFonts w:ascii="Calibri" w:hAnsi="Calibri" w:cs="Calibri"/>
          <w:noProof/>
          <w:szCs w:val="24"/>
        </w:rPr>
        <w:t xml:space="preserve">, </w:t>
      </w:r>
      <w:r w:rsidRPr="00F14052">
        <w:rPr>
          <w:rFonts w:ascii="Calibri" w:hAnsi="Calibri" w:cs="Calibri"/>
          <w:i/>
          <w:iCs/>
          <w:noProof/>
          <w:szCs w:val="24"/>
        </w:rPr>
        <w:t>9</w:t>
      </w:r>
      <w:r w:rsidRPr="00F14052">
        <w:rPr>
          <w:rFonts w:ascii="Calibri" w:hAnsi="Calibri" w:cs="Calibri"/>
          <w:noProof/>
          <w:szCs w:val="24"/>
        </w:rPr>
        <w:t>(11), 1–24. doi: 10.1371/journal.pone.0109211</w:t>
      </w:r>
    </w:p>
    <w:p w14:paraId="2A42B1F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Kruschke, J. (2014). </w:t>
      </w:r>
      <w:r w:rsidRPr="00F14052">
        <w:rPr>
          <w:rFonts w:ascii="Calibri" w:hAnsi="Calibri" w:cs="Calibri"/>
          <w:i/>
          <w:iCs/>
          <w:noProof/>
          <w:szCs w:val="24"/>
        </w:rPr>
        <w:t>Doing Bayesian data analysis: A tutorial with R, JAGS, and Stan</w:t>
      </w:r>
      <w:r w:rsidRPr="00F14052">
        <w:rPr>
          <w:rFonts w:ascii="Calibri" w:hAnsi="Calibri" w:cs="Calibri"/>
          <w:noProof/>
          <w:szCs w:val="24"/>
        </w:rPr>
        <w:t>.</w:t>
      </w:r>
    </w:p>
    <w:p w14:paraId="5BB28A8D"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Kunert, N., &amp; Tomaskova, I. (2020). Leaf turgor loss point at full hydration for 41 native and introduced tree and shrub species from Central Europe. </w:t>
      </w:r>
      <w:r w:rsidRPr="00F14052">
        <w:rPr>
          <w:rFonts w:ascii="Calibri" w:hAnsi="Calibri" w:cs="Calibri"/>
          <w:i/>
          <w:iCs/>
          <w:noProof/>
          <w:szCs w:val="24"/>
        </w:rPr>
        <w:t>Journal of Plant Ecology</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(6), 754–756. doi: 10.1093/jpe/rtaa059</w:t>
      </w:r>
    </w:p>
    <w:p w14:paraId="6B7A2F0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Lacaze, R., Smets, B., Baret, F., Weiss, M., Ramon, D., Montersleet, B., … Camacho, F. (2015). Operational 333m biophysical products of the copernicus global land service for agriculture monitoring. </w:t>
      </w:r>
      <w:r w:rsidRPr="00F14052">
        <w:rPr>
          <w:rFonts w:ascii="Calibri" w:hAnsi="Calibri" w:cs="Calibri"/>
          <w:i/>
          <w:iCs/>
          <w:noProof/>
          <w:szCs w:val="24"/>
        </w:rPr>
        <w:t>International Archives of the Photogrammetry, Remote Sensing and Spatial Information Sciences - ISPRS Archives</w:t>
      </w:r>
      <w:r w:rsidRPr="00F14052">
        <w:rPr>
          <w:rFonts w:ascii="Calibri" w:hAnsi="Calibri" w:cs="Calibri"/>
          <w:noProof/>
          <w:szCs w:val="24"/>
        </w:rPr>
        <w:t xml:space="preserve">, </w:t>
      </w:r>
      <w:r w:rsidRPr="00F14052">
        <w:rPr>
          <w:rFonts w:ascii="Calibri" w:hAnsi="Calibri" w:cs="Calibri"/>
          <w:i/>
          <w:iCs/>
          <w:noProof/>
          <w:szCs w:val="24"/>
        </w:rPr>
        <w:t>40</w:t>
      </w:r>
      <w:r w:rsidRPr="00F14052">
        <w:rPr>
          <w:rFonts w:ascii="Calibri" w:hAnsi="Calibri" w:cs="Calibri"/>
          <w:noProof/>
          <w:szCs w:val="24"/>
        </w:rPr>
        <w:t>(7W3), 53–56. doi: 10.5194/isprsarchives-XL-7-W3-53-2015</w:t>
      </w:r>
    </w:p>
    <w:p w14:paraId="496BA17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Larter, M., Pfautsch, S., Domec, J. C., Trueba, S., Nagalingum, N., &amp; Delzon, S. (2017). Aridity drove the evolution of extreme embolism resistance and the radiation of conifer genus Callitris. </w:t>
      </w:r>
      <w:r w:rsidRPr="00F14052">
        <w:rPr>
          <w:rFonts w:ascii="Calibri" w:hAnsi="Calibri" w:cs="Calibri"/>
          <w:i/>
          <w:iCs/>
          <w:noProof/>
          <w:szCs w:val="24"/>
        </w:rPr>
        <w:t>New Phytologist</w:t>
      </w:r>
      <w:r w:rsidRPr="00F14052">
        <w:rPr>
          <w:rFonts w:ascii="Calibri" w:hAnsi="Calibri" w:cs="Calibri"/>
          <w:noProof/>
          <w:szCs w:val="24"/>
        </w:rPr>
        <w:t xml:space="preserve">, </w:t>
      </w:r>
      <w:r w:rsidRPr="00F14052">
        <w:rPr>
          <w:rFonts w:ascii="Calibri" w:hAnsi="Calibri" w:cs="Calibri"/>
          <w:i/>
          <w:iCs/>
          <w:noProof/>
          <w:szCs w:val="24"/>
        </w:rPr>
        <w:t>215</w:t>
      </w:r>
      <w:r w:rsidRPr="00F14052">
        <w:rPr>
          <w:rFonts w:ascii="Calibri" w:hAnsi="Calibri" w:cs="Calibri"/>
          <w:noProof/>
          <w:szCs w:val="24"/>
        </w:rPr>
        <w:t>(1), 97–112. doi: 10.1111/nph.14545</w:t>
      </w:r>
    </w:p>
    <w:p w14:paraId="411D745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Lehman, C. L., &amp; Tilman, D. (2000). Biodiversity, Stability, and Productivity in Competitive Communities. </w:t>
      </w:r>
      <w:r w:rsidRPr="00F14052">
        <w:rPr>
          <w:rFonts w:ascii="Calibri" w:hAnsi="Calibri" w:cs="Calibri"/>
          <w:i/>
          <w:iCs/>
          <w:noProof/>
          <w:szCs w:val="24"/>
        </w:rPr>
        <w:t>The American Naturalist</w:t>
      </w:r>
      <w:r w:rsidRPr="00F14052">
        <w:rPr>
          <w:rFonts w:ascii="Calibri" w:hAnsi="Calibri" w:cs="Calibri"/>
          <w:noProof/>
          <w:szCs w:val="24"/>
        </w:rPr>
        <w:t xml:space="preserve">, </w:t>
      </w:r>
      <w:r w:rsidRPr="00F14052">
        <w:rPr>
          <w:rFonts w:ascii="Calibri" w:hAnsi="Calibri" w:cs="Calibri"/>
          <w:i/>
          <w:iCs/>
          <w:noProof/>
          <w:szCs w:val="24"/>
        </w:rPr>
        <w:t>156</w:t>
      </w:r>
      <w:r w:rsidRPr="00F14052">
        <w:rPr>
          <w:rFonts w:ascii="Calibri" w:hAnsi="Calibri" w:cs="Calibri"/>
          <w:noProof/>
          <w:szCs w:val="24"/>
        </w:rPr>
        <w:t>(5), 534–552. doi: 10.1086/303402</w:t>
      </w:r>
    </w:p>
    <w:p w14:paraId="22053D5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Lens, F., Picon-Cochard, C., Delmas, C. E. L., Signarbieux, C., Buttler, A., Cochard, H., … Delzon, S. (2016). Herbaceous angiosperms are not more vulnerable to drought-induced embolism than angiosperm trees. </w:t>
      </w:r>
      <w:r w:rsidRPr="00F14052">
        <w:rPr>
          <w:rFonts w:ascii="Calibri" w:hAnsi="Calibri" w:cs="Calibri"/>
          <w:i/>
          <w:iCs/>
          <w:noProof/>
          <w:szCs w:val="24"/>
        </w:rPr>
        <w:t>Plant Physiology</w:t>
      </w:r>
      <w:r w:rsidRPr="00F14052">
        <w:rPr>
          <w:rFonts w:ascii="Calibri" w:hAnsi="Calibri" w:cs="Calibri"/>
          <w:noProof/>
          <w:szCs w:val="24"/>
        </w:rPr>
        <w:t xml:space="preserve">, </w:t>
      </w:r>
      <w:r w:rsidRPr="00F14052">
        <w:rPr>
          <w:rFonts w:ascii="Calibri" w:hAnsi="Calibri" w:cs="Calibri"/>
          <w:i/>
          <w:iCs/>
          <w:noProof/>
          <w:szCs w:val="24"/>
        </w:rPr>
        <w:t>172</w:t>
      </w:r>
      <w:r w:rsidRPr="00F14052">
        <w:rPr>
          <w:rFonts w:ascii="Calibri" w:hAnsi="Calibri" w:cs="Calibri"/>
          <w:noProof/>
          <w:szCs w:val="24"/>
        </w:rPr>
        <w:t>(2), 661–667. doi: 10.1104/pp.16.00829</w:t>
      </w:r>
    </w:p>
    <w:p w14:paraId="3E0E351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lastRenderedPageBreak/>
        <w:t xml:space="preserve">Lewis, S. L., Wheeler, C. E., Mitchard, E. T. A., &amp; Koch, A. (2019). Regenerate natural forests to store carbon. </w:t>
      </w:r>
      <w:r w:rsidRPr="00F14052">
        <w:rPr>
          <w:rFonts w:ascii="Calibri" w:hAnsi="Calibri" w:cs="Calibri"/>
          <w:i/>
          <w:iCs/>
          <w:noProof/>
          <w:szCs w:val="24"/>
        </w:rPr>
        <w:t>Nature</w:t>
      </w:r>
      <w:r w:rsidRPr="00F14052">
        <w:rPr>
          <w:rFonts w:ascii="Calibri" w:hAnsi="Calibri" w:cs="Calibri"/>
          <w:noProof/>
          <w:szCs w:val="24"/>
        </w:rPr>
        <w:t xml:space="preserve">, </w:t>
      </w:r>
      <w:r w:rsidRPr="00F14052">
        <w:rPr>
          <w:rFonts w:ascii="Calibri" w:hAnsi="Calibri" w:cs="Calibri"/>
          <w:i/>
          <w:iCs/>
          <w:noProof/>
          <w:szCs w:val="24"/>
        </w:rPr>
        <w:t>568</w:t>
      </w:r>
      <w:r w:rsidRPr="00F14052">
        <w:rPr>
          <w:rFonts w:ascii="Calibri" w:hAnsi="Calibri" w:cs="Calibri"/>
          <w:noProof/>
          <w:szCs w:val="24"/>
        </w:rPr>
        <w:t>, 25–28.</w:t>
      </w:r>
    </w:p>
    <w:p w14:paraId="4217F6C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Lhomme, J. P., &amp; Winkel, T. (2002). Diversity-Stability Relationships in Community Ecology: Re-Examination of the Portfolio Effect. </w:t>
      </w:r>
      <w:r w:rsidRPr="00F14052">
        <w:rPr>
          <w:rFonts w:ascii="Calibri" w:hAnsi="Calibri" w:cs="Calibri"/>
          <w:i/>
          <w:iCs/>
          <w:noProof/>
          <w:szCs w:val="24"/>
        </w:rPr>
        <w:t>Theoretical Population Biology</w:t>
      </w:r>
      <w:r w:rsidRPr="00F14052">
        <w:rPr>
          <w:rFonts w:ascii="Calibri" w:hAnsi="Calibri" w:cs="Calibri"/>
          <w:noProof/>
          <w:szCs w:val="24"/>
        </w:rPr>
        <w:t xml:space="preserve">, </w:t>
      </w:r>
      <w:r w:rsidRPr="00F14052">
        <w:rPr>
          <w:rFonts w:ascii="Calibri" w:hAnsi="Calibri" w:cs="Calibri"/>
          <w:i/>
          <w:iCs/>
          <w:noProof/>
          <w:szCs w:val="24"/>
        </w:rPr>
        <w:t>62</w:t>
      </w:r>
      <w:r w:rsidRPr="00F14052">
        <w:rPr>
          <w:rFonts w:ascii="Calibri" w:hAnsi="Calibri" w:cs="Calibri"/>
          <w:noProof/>
          <w:szCs w:val="24"/>
        </w:rPr>
        <w:t>(3), 271–279. doi: 10.1006/tpbi.2002.1612</w:t>
      </w:r>
    </w:p>
    <w:p w14:paraId="2C62B29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Liu, H., Gleason, S. M., Hao, G., Hua, L., He, P., Goldstein, G., &amp; Ye, Q. (2019). Hydraulic traits are coordinated with maximum plant height at the global scale. </w:t>
      </w:r>
      <w:r w:rsidRPr="00F14052">
        <w:rPr>
          <w:rFonts w:ascii="Calibri" w:hAnsi="Calibri" w:cs="Calibri"/>
          <w:i/>
          <w:iCs/>
          <w:noProof/>
          <w:szCs w:val="24"/>
        </w:rPr>
        <w:t>Science Advances</w:t>
      </w:r>
      <w:r w:rsidRPr="00F14052">
        <w:rPr>
          <w:rFonts w:ascii="Calibri" w:hAnsi="Calibri" w:cs="Calibri"/>
          <w:noProof/>
          <w:szCs w:val="24"/>
        </w:rPr>
        <w:t xml:space="preserve">, </w:t>
      </w:r>
      <w:r w:rsidRPr="00F14052">
        <w:rPr>
          <w:rFonts w:ascii="Calibri" w:hAnsi="Calibri" w:cs="Calibri"/>
          <w:i/>
          <w:iCs/>
          <w:noProof/>
          <w:szCs w:val="24"/>
        </w:rPr>
        <w:t>5</w:t>
      </w:r>
      <w:r w:rsidRPr="00F14052">
        <w:rPr>
          <w:rFonts w:ascii="Calibri" w:hAnsi="Calibri" w:cs="Calibri"/>
          <w:noProof/>
          <w:szCs w:val="24"/>
        </w:rPr>
        <w:t>(2), eaav1332. doi: 10.1126/sciadv.aav1332</w:t>
      </w:r>
    </w:p>
    <w:p w14:paraId="616B231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Liu, X., Huang, Y., Chen, L., Li, S., Bongers, F. J., Castro-Izaguirre, N., … Ma, K. (2022). Species richness, functional traits and climate interactively affect tree survival in a large forest biodiversity experiment.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110</w:t>
      </w:r>
      <w:r w:rsidRPr="00F14052">
        <w:rPr>
          <w:rFonts w:ascii="Calibri" w:hAnsi="Calibri" w:cs="Calibri"/>
          <w:noProof/>
          <w:szCs w:val="24"/>
        </w:rPr>
        <w:t>(10), 2522–2531. doi: 10.1111/1365-2745.13970</w:t>
      </w:r>
    </w:p>
    <w:p w14:paraId="662D7B4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Lobo, A., Torres-Ruiz, J. M., Burlett, R., Lemaire, C., Parise, C., Francioni, C., … Delzon, S. (2018). Assessing inter- and intraspecific variability of xylem vulnerability to embolism in oaks. </w:t>
      </w:r>
      <w:r w:rsidRPr="00F14052">
        <w:rPr>
          <w:rFonts w:ascii="Calibri" w:hAnsi="Calibri" w:cs="Calibri"/>
          <w:i/>
          <w:iCs/>
          <w:noProof/>
          <w:szCs w:val="24"/>
        </w:rPr>
        <w:t>Forest Ecology and Management</w:t>
      </w:r>
      <w:r w:rsidRPr="00F14052">
        <w:rPr>
          <w:rFonts w:ascii="Calibri" w:hAnsi="Calibri" w:cs="Calibri"/>
          <w:noProof/>
          <w:szCs w:val="24"/>
        </w:rPr>
        <w:t xml:space="preserve">, </w:t>
      </w:r>
      <w:r w:rsidRPr="00F14052">
        <w:rPr>
          <w:rFonts w:ascii="Calibri" w:hAnsi="Calibri" w:cs="Calibri"/>
          <w:i/>
          <w:iCs/>
          <w:noProof/>
          <w:szCs w:val="24"/>
        </w:rPr>
        <w:t>424</w:t>
      </w:r>
      <w:r w:rsidRPr="00F14052">
        <w:rPr>
          <w:rFonts w:ascii="Calibri" w:hAnsi="Calibri" w:cs="Calibri"/>
          <w:noProof/>
          <w:szCs w:val="24"/>
        </w:rPr>
        <w:t>, 53–61. doi: 10.1016/j.foreco.2018.04.031</w:t>
      </w:r>
    </w:p>
    <w:p w14:paraId="79DF116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Loreau, M., Barbier, M., Filotas, E., Gravel, D., Isbell, F., Miller, S. J., … Dee, L. E. (2021). Biodiversity as insurance: from concept to measurement and application. </w:t>
      </w:r>
      <w:r w:rsidRPr="00F14052">
        <w:rPr>
          <w:rFonts w:ascii="Calibri" w:hAnsi="Calibri" w:cs="Calibri"/>
          <w:i/>
          <w:iCs/>
          <w:noProof/>
          <w:szCs w:val="24"/>
        </w:rPr>
        <w:t>Biological Reviews</w:t>
      </w:r>
      <w:r w:rsidRPr="00F14052">
        <w:rPr>
          <w:rFonts w:ascii="Calibri" w:hAnsi="Calibri" w:cs="Calibri"/>
          <w:noProof/>
          <w:szCs w:val="24"/>
        </w:rPr>
        <w:t xml:space="preserve">, </w:t>
      </w:r>
      <w:r w:rsidRPr="00F14052">
        <w:rPr>
          <w:rFonts w:ascii="Calibri" w:hAnsi="Calibri" w:cs="Calibri"/>
          <w:i/>
          <w:iCs/>
          <w:noProof/>
          <w:szCs w:val="24"/>
        </w:rPr>
        <w:t>96</w:t>
      </w:r>
      <w:r w:rsidRPr="00F14052">
        <w:rPr>
          <w:rFonts w:ascii="Calibri" w:hAnsi="Calibri" w:cs="Calibri"/>
          <w:noProof/>
          <w:szCs w:val="24"/>
        </w:rPr>
        <w:t>(5), 2333–2354. doi: 10.1111/brv.12756</w:t>
      </w:r>
    </w:p>
    <w:p w14:paraId="7DACA377"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Loreau, M., &amp; Hector, A. (2001). Partitioning selection and complementarity in biodiversity experiments. </w:t>
      </w:r>
      <w:r w:rsidRPr="00F14052">
        <w:rPr>
          <w:rFonts w:ascii="Calibri" w:hAnsi="Calibri" w:cs="Calibri"/>
          <w:i/>
          <w:iCs/>
          <w:noProof/>
          <w:szCs w:val="24"/>
        </w:rPr>
        <w:t>Nature</w:t>
      </w:r>
      <w:r w:rsidRPr="00F14052">
        <w:rPr>
          <w:rFonts w:ascii="Calibri" w:hAnsi="Calibri" w:cs="Calibri"/>
          <w:noProof/>
          <w:szCs w:val="24"/>
        </w:rPr>
        <w:t xml:space="preserve">, </w:t>
      </w:r>
      <w:r w:rsidRPr="00F14052">
        <w:rPr>
          <w:rFonts w:ascii="Calibri" w:hAnsi="Calibri" w:cs="Calibri"/>
          <w:i/>
          <w:iCs/>
          <w:noProof/>
          <w:szCs w:val="24"/>
        </w:rPr>
        <w:t>412</w:t>
      </w:r>
      <w:r w:rsidRPr="00F14052">
        <w:rPr>
          <w:rFonts w:ascii="Calibri" w:hAnsi="Calibri" w:cs="Calibri"/>
          <w:noProof/>
          <w:szCs w:val="24"/>
        </w:rPr>
        <w:t>(6842), 72–76. Retrieved from http://www.biology.mcgill.ca/faculty/loreau/</w:t>
      </w:r>
    </w:p>
    <w:p w14:paraId="63080BD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Maitner, B. (2022). </w:t>
      </w:r>
      <w:r w:rsidRPr="00F14052">
        <w:rPr>
          <w:rFonts w:ascii="Calibri" w:hAnsi="Calibri" w:cs="Calibri"/>
          <w:i/>
          <w:iCs/>
          <w:noProof/>
          <w:szCs w:val="24"/>
        </w:rPr>
        <w:t>BIEN: Tools for Accessing the Botanical Information and Ecology Network Database</w:t>
      </w:r>
      <w:r w:rsidRPr="00F14052">
        <w:rPr>
          <w:rFonts w:ascii="Calibri" w:hAnsi="Calibri" w:cs="Calibri"/>
          <w:noProof/>
          <w:szCs w:val="24"/>
        </w:rPr>
        <w:t>. Retrieved from https://cran.r-project.org/package=BIEN</w:t>
      </w:r>
    </w:p>
    <w:p w14:paraId="46BAD11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Martin-StPaul, N., Delzon, S., &amp; Cochard, H. (2017). Plant resistance to drought depends on timely stomatal closure. </w:t>
      </w:r>
      <w:r w:rsidRPr="00F14052">
        <w:rPr>
          <w:rFonts w:ascii="Calibri" w:hAnsi="Calibri" w:cs="Calibri"/>
          <w:i/>
          <w:iCs/>
          <w:noProof/>
          <w:szCs w:val="24"/>
        </w:rPr>
        <w:t>Ecology Letters</w:t>
      </w:r>
      <w:r w:rsidRPr="00F14052">
        <w:rPr>
          <w:rFonts w:ascii="Calibri" w:hAnsi="Calibri" w:cs="Calibri"/>
          <w:noProof/>
          <w:szCs w:val="24"/>
        </w:rPr>
        <w:t xml:space="preserve">, </w:t>
      </w:r>
      <w:r w:rsidRPr="00F14052">
        <w:rPr>
          <w:rFonts w:ascii="Calibri" w:hAnsi="Calibri" w:cs="Calibri"/>
          <w:i/>
          <w:iCs/>
          <w:noProof/>
          <w:szCs w:val="24"/>
        </w:rPr>
        <w:t>20</w:t>
      </w:r>
      <w:r w:rsidRPr="00F14052">
        <w:rPr>
          <w:rFonts w:ascii="Calibri" w:hAnsi="Calibri" w:cs="Calibri"/>
          <w:noProof/>
          <w:szCs w:val="24"/>
        </w:rPr>
        <w:t>(11), 1437–1447. doi: 10.1111/ele.12851</w:t>
      </w:r>
    </w:p>
    <w:p w14:paraId="07F4D3C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McDowell, N. G., Sapes, G., Pivovaroff, A., Adams, H. D., Allen, C. D., Anderegg, W. R. L., … Xu, C. (2022). Mechanisms of woody-plant mortality under rising drought, CO2 and vapour pressure deficit. </w:t>
      </w:r>
      <w:r w:rsidRPr="00F14052">
        <w:rPr>
          <w:rFonts w:ascii="Calibri" w:hAnsi="Calibri" w:cs="Calibri"/>
          <w:i/>
          <w:iCs/>
          <w:noProof/>
          <w:szCs w:val="24"/>
        </w:rPr>
        <w:t>Nature Reviews Earth &amp; Environment</w:t>
      </w:r>
      <w:r w:rsidRPr="00F14052">
        <w:rPr>
          <w:rFonts w:ascii="Calibri" w:hAnsi="Calibri" w:cs="Calibri"/>
          <w:noProof/>
          <w:szCs w:val="24"/>
        </w:rPr>
        <w:t xml:space="preserve">, </w:t>
      </w:r>
      <w:r w:rsidRPr="00F14052">
        <w:rPr>
          <w:rFonts w:ascii="Calibri" w:hAnsi="Calibri" w:cs="Calibri"/>
          <w:i/>
          <w:iCs/>
          <w:noProof/>
          <w:szCs w:val="24"/>
        </w:rPr>
        <w:t>3</w:t>
      </w:r>
      <w:r w:rsidRPr="00F14052">
        <w:rPr>
          <w:rFonts w:ascii="Calibri" w:hAnsi="Calibri" w:cs="Calibri"/>
          <w:noProof/>
          <w:szCs w:val="24"/>
        </w:rPr>
        <w:t>(5), 294–308. doi: 10.1038/s43017-022-00272-1</w:t>
      </w:r>
    </w:p>
    <w:p w14:paraId="566D1A0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McElreath, R. (2020). </w:t>
      </w:r>
      <w:r w:rsidRPr="00F14052">
        <w:rPr>
          <w:rFonts w:ascii="Calibri" w:hAnsi="Calibri" w:cs="Calibri"/>
          <w:i/>
          <w:iCs/>
          <w:noProof/>
          <w:szCs w:val="24"/>
        </w:rPr>
        <w:t>Statistical rethinking: A Bayesian course with examples in R and Stan</w:t>
      </w:r>
      <w:r w:rsidRPr="00F14052">
        <w:rPr>
          <w:rFonts w:ascii="Calibri" w:hAnsi="Calibri" w:cs="Calibri"/>
          <w:noProof/>
          <w:szCs w:val="24"/>
        </w:rPr>
        <w:t>. Chapman and Hall/CRC.</w:t>
      </w:r>
    </w:p>
    <w:p w14:paraId="328CB39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Messier, C., Bauhus, J., Sousa-Silva, R., Auge, H., Baeten, L., Barsoum, N., … Zemp, D. C. (2021). For the sake of resilience and multifunctionality, let’s diversify planted forests! </w:t>
      </w:r>
      <w:r w:rsidRPr="00F14052">
        <w:rPr>
          <w:rFonts w:ascii="Calibri" w:hAnsi="Calibri" w:cs="Calibri"/>
          <w:i/>
          <w:iCs/>
          <w:noProof/>
          <w:szCs w:val="24"/>
        </w:rPr>
        <w:t>Conservation Letters</w:t>
      </w:r>
      <w:r w:rsidRPr="00F14052">
        <w:rPr>
          <w:rFonts w:ascii="Calibri" w:hAnsi="Calibri" w:cs="Calibri"/>
          <w:noProof/>
          <w:szCs w:val="24"/>
        </w:rPr>
        <w:t>, (January), 1–8. doi: 10.1111/conl.12829</w:t>
      </w:r>
    </w:p>
    <w:p w14:paraId="5AD1BBE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Muñoz-Sabater, J., Dutra, E., Agustí-Panareda, A., Albergel, C., Arduini, G., Balsamo, G., … Thépaut, J. N. (2021). ERA5-Land: A state-of-the-art global reanalysis dataset for land applications. </w:t>
      </w:r>
      <w:r w:rsidRPr="00F14052">
        <w:rPr>
          <w:rFonts w:ascii="Calibri" w:hAnsi="Calibri" w:cs="Calibri"/>
          <w:i/>
          <w:iCs/>
          <w:noProof/>
          <w:szCs w:val="24"/>
        </w:rPr>
        <w:t>Earth System Science Data</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(9), 4349–4383. doi: 10.5194/essd-13-4349-2021</w:t>
      </w:r>
    </w:p>
    <w:p w14:paraId="3B21B0C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Newton, A. C., &amp; Cantarello, E. (2015). Restoration of forest resilience: An achievable goal? </w:t>
      </w:r>
      <w:r w:rsidRPr="00F14052">
        <w:rPr>
          <w:rFonts w:ascii="Calibri" w:hAnsi="Calibri" w:cs="Calibri"/>
          <w:i/>
          <w:iCs/>
          <w:noProof/>
          <w:szCs w:val="24"/>
        </w:rPr>
        <w:t>New Forests</w:t>
      </w:r>
      <w:r w:rsidRPr="00F14052">
        <w:rPr>
          <w:rFonts w:ascii="Calibri" w:hAnsi="Calibri" w:cs="Calibri"/>
          <w:noProof/>
          <w:szCs w:val="24"/>
        </w:rPr>
        <w:t xml:space="preserve">, </w:t>
      </w:r>
      <w:r w:rsidRPr="00F14052">
        <w:rPr>
          <w:rFonts w:ascii="Calibri" w:hAnsi="Calibri" w:cs="Calibri"/>
          <w:i/>
          <w:iCs/>
          <w:noProof/>
          <w:szCs w:val="24"/>
        </w:rPr>
        <w:t>46</w:t>
      </w:r>
      <w:r w:rsidRPr="00F14052">
        <w:rPr>
          <w:rFonts w:ascii="Calibri" w:hAnsi="Calibri" w:cs="Calibri"/>
          <w:noProof/>
          <w:szCs w:val="24"/>
        </w:rPr>
        <w:t>(5–6), 645–668. doi: 10.1007/s11056-015-9489-1</w:t>
      </w:r>
    </w:p>
    <w:p w14:paraId="1686CC4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Nock, C. A., Baeten, L., Hector, A., Verheyen, K., Weisser, W. W., &amp; Scherer-Lorenzen, M. (2017). Quantifying relationships between biodiversity and ecosystem function with experiments. In </w:t>
      </w:r>
      <w:r w:rsidRPr="00F14052">
        <w:rPr>
          <w:rFonts w:ascii="Calibri" w:hAnsi="Calibri" w:cs="Calibri"/>
          <w:i/>
          <w:iCs/>
          <w:noProof/>
          <w:szCs w:val="24"/>
        </w:rPr>
        <w:t>Terrestrial Ecosystem Research Infrastructures</w:t>
      </w:r>
      <w:r w:rsidRPr="00F14052">
        <w:rPr>
          <w:rFonts w:ascii="Calibri" w:hAnsi="Calibri" w:cs="Calibri"/>
          <w:noProof/>
          <w:szCs w:val="24"/>
        </w:rPr>
        <w:t xml:space="preserve"> (pp. 119–136). CRC Press.</w:t>
      </w:r>
    </w:p>
    <w:p w14:paraId="4C57BCC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Paquette, A., Hector, A., Vanhellemont, M., Koricheva, J., Scherer-Lorenzen, M., Verheyen, K., … Zemp, D. C. (2018). A million and more trees for science. </w:t>
      </w:r>
      <w:r w:rsidRPr="00F14052">
        <w:rPr>
          <w:rFonts w:ascii="Calibri" w:hAnsi="Calibri" w:cs="Calibri"/>
          <w:i/>
          <w:iCs/>
          <w:noProof/>
          <w:szCs w:val="24"/>
        </w:rPr>
        <w:t>Nature Ecology and Evolution</w:t>
      </w:r>
      <w:r w:rsidRPr="00F14052">
        <w:rPr>
          <w:rFonts w:ascii="Calibri" w:hAnsi="Calibri" w:cs="Calibri"/>
          <w:noProof/>
          <w:szCs w:val="24"/>
        </w:rPr>
        <w:t xml:space="preserve">, </w:t>
      </w:r>
      <w:r w:rsidRPr="00F14052">
        <w:rPr>
          <w:rFonts w:ascii="Calibri" w:hAnsi="Calibri" w:cs="Calibri"/>
          <w:i/>
          <w:iCs/>
          <w:noProof/>
          <w:szCs w:val="24"/>
        </w:rPr>
        <w:t>2</w:t>
      </w:r>
      <w:r w:rsidRPr="00F14052">
        <w:rPr>
          <w:rFonts w:ascii="Calibri" w:hAnsi="Calibri" w:cs="Calibri"/>
          <w:noProof/>
          <w:szCs w:val="24"/>
        </w:rPr>
        <w:t>(5), 763–766. doi: 10.1038/s41559-018-0544-0</w:t>
      </w:r>
    </w:p>
    <w:p w14:paraId="5CF1D0D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lastRenderedPageBreak/>
        <w:t xml:space="preserve">Poggio, L., De Sousa, L. M., Batjes, N. H., Heuvelink, G. B. M., Kempen, B., Ribeiro, E., &amp; Rossiter, D. (2021). SoilGrids 2.0: Producing soil information for the globe with quantified spatial uncertainty. </w:t>
      </w:r>
      <w:r w:rsidRPr="00F14052">
        <w:rPr>
          <w:rFonts w:ascii="Calibri" w:hAnsi="Calibri" w:cs="Calibri"/>
          <w:i/>
          <w:iCs/>
          <w:noProof/>
          <w:szCs w:val="24"/>
        </w:rPr>
        <w:t>Soil</w:t>
      </w:r>
      <w:r w:rsidRPr="00F14052">
        <w:rPr>
          <w:rFonts w:ascii="Calibri" w:hAnsi="Calibri" w:cs="Calibri"/>
          <w:noProof/>
          <w:szCs w:val="24"/>
        </w:rPr>
        <w:t xml:space="preserve">, </w:t>
      </w:r>
      <w:r w:rsidRPr="00F14052">
        <w:rPr>
          <w:rFonts w:ascii="Calibri" w:hAnsi="Calibri" w:cs="Calibri"/>
          <w:i/>
          <w:iCs/>
          <w:noProof/>
          <w:szCs w:val="24"/>
        </w:rPr>
        <w:t>7</w:t>
      </w:r>
      <w:r w:rsidRPr="00F14052">
        <w:rPr>
          <w:rFonts w:ascii="Calibri" w:hAnsi="Calibri" w:cs="Calibri"/>
          <w:noProof/>
          <w:szCs w:val="24"/>
        </w:rPr>
        <w:t>(1), 217–240. doi: 10.5194/soil-7-217-2021</w:t>
      </w:r>
    </w:p>
    <w:p w14:paraId="43E6C5C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Poorter, L., Rozendaal, D. M. A., Bongers, F., de Almeida-Cortez, J. S., Almeyda Zambrano, A. M., Álvarez, F. S., … Westoby, M. (2019). Wet and dry tropical forests show opposite successional pathways in wood density but converge over time. </w:t>
      </w:r>
      <w:r w:rsidRPr="00F14052">
        <w:rPr>
          <w:rFonts w:ascii="Calibri" w:hAnsi="Calibri" w:cs="Calibri"/>
          <w:i/>
          <w:iCs/>
          <w:noProof/>
          <w:szCs w:val="24"/>
        </w:rPr>
        <w:t>Nature Ecology &amp; Evolution</w:t>
      </w:r>
      <w:r w:rsidRPr="00F14052">
        <w:rPr>
          <w:rFonts w:ascii="Calibri" w:hAnsi="Calibri" w:cs="Calibri"/>
          <w:noProof/>
          <w:szCs w:val="24"/>
        </w:rPr>
        <w:t xml:space="preserve">, </w:t>
      </w:r>
      <w:r w:rsidRPr="00F14052">
        <w:rPr>
          <w:rFonts w:ascii="Calibri" w:hAnsi="Calibri" w:cs="Calibri"/>
          <w:i/>
          <w:iCs/>
          <w:noProof/>
          <w:szCs w:val="24"/>
        </w:rPr>
        <w:t>3</w:t>
      </w:r>
      <w:r w:rsidRPr="00F14052">
        <w:rPr>
          <w:rFonts w:ascii="Calibri" w:hAnsi="Calibri" w:cs="Calibri"/>
          <w:noProof/>
          <w:szCs w:val="24"/>
        </w:rPr>
        <w:t>(6), 928–934. doi: 10.1038/s41559-019-0882-6</w:t>
      </w:r>
    </w:p>
    <w:p w14:paraId="073EBAD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R Core Team. (2021). R: A language and environment for statistical computing. </w:t>
      </w:r>
      <w:r w:rsidRPr="00F14052">
        <w:rPr>
          <w:rFonts w:ascii="Calibri" w:hAnsi="Calibri" w:cs="Calibri"/>
          <w:i/>
          <w:iCs/>
          <w:noProof/>
          <w:szCs w:val="24"/>
        </w:rPr>
        <w:t>URL: Https://Www.r-Project.Org/</w:t>
      </w:r>
      <w:r w:rsidRPr="00F14052">
        <w:rPr>
          <w:rFonts w:ascii="Calibri" w:hAnsi="Calibri" w:cs="Calibri"/>
          <w:noProof/>
          <w:szCs w:val="24"/>
        </w:rPr>
        <w:t>.</w:t>
      </w:r>
    </w:p>
    <w:p w14:paraId="0C937A0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Reich, P. B. (2014). The world-wide ‘fast-slow’ plant economics spectrum: a traits manifesto.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102</w:t>
      </w:r>
      <w:r w:rsidRPr="00F14052">
        <w:rPr>
          <w:rFonts w:ascii="Calibri" w:hAnsi="Calibri" w:cs="Calibri"/>
          <w:noProof/>
          <w:szCs w:val="24"/>
        </w:rPr>
        <w:t>(2), 275–301. doi: 10.1111/1365-2745.12211</w:t>
      </w:r>
    </w:p>
    <w:p w14:paraId="10BCBB1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Réjou‐Méchain, M., Tanguy, A., Piponiot, C., Chave, J., &amp; Hérault, B. (2017). BIOMASS: an R package for estimating above‐ground biomass and its uncertainty in tropical forests. </w:t>
      </w:r>
      <w:r w:rsidRPr="00F14052">
        <w:rPr>
          <w:rFonts w:ascii="Calibri" w:hAnsi="Calibri" w:cs="Calibri"/>
          <w:i/>
          <w:iCs/>
          <w:noProof/>
          <w:szCs w:val="24"/>
        </w:rPr>
        <w:t>Methods in Ecology and Evolution</w:t>
      </w:r>
      <w:r w:rsidRPr="00F14052">
        <w:rPr>
          <w:rFonts w:ascii="Calibri" w:hAnsi="Calibri" w:cs="Calibri"/>
          <w:noProof/>
          <w:szCs w:val="24"/>
        </w:rPr>
        <w:t xml:space="preserve">, </w:t>
      </w:r>
      <w:r w:rsidRPr="00F14052">
        <w:rPr>
          <w:rFonts w:ascii="Calibri" w:hAnsi="Calibri" w:cs="Calibri"/>
          <w:i/>
          <w:iCs/>
          <w:noProof/>
          <w:szCs w:val="24"/>
        </w:rPr>
        <w:t>8</w:t>
      </w:r>
      <w:r w:rsidRPr="00F14052">
        <w:rPr>
          <w:rFonts w:ascii="Calibri" w:hAnsi="Calibri" w:cs="Calibri"/>
          <w:noProof/>
          <w:szCs w:val="24"/>
        </w:rPr>
        <w:t>(9), 1163–1167. doi: 10.1111/2041-210X.12753</w:t>
      </w:r>
    </w:p>
    <w:p w14:paraId="3362B18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Ruffault, J., Martin-StPaul, N. K., Rambal, S., &amp; Mouillot, F. (2013). Differential regional responses in drought length, intensity and timing to recent climate changes in a Mediterranean forested ecosystem. </w:t>
      </w:r>
      <w:r w:rsidRPr="00F14052">
        <w:rPr>
          <w:rFonts w:ascii="Calibri" w:hAnsi="Calibri" w:cs="Calibri"/>
          <w:i/>
          <w:iCs/>
          <w:noProof/>
          <w:szCs w:val="24"/>
        </w:rPr>
        <w:t>Climatic Change</w:t>
      </w:r>
      <w:r w:rsidRPr="00F14052">
        <w:rPr>
          <w:rFonts w:ascii="Calibri" w:hAnsi="Calibri" w:cs="Calibri"/>
          <w:noProof/>
          <w:szCs w:val="24"/>
        </w:rPr>
        <w:t xml:space="preserve">, </w:t>
      </w:r>
      <w:r w:rsidRPr="00F14052">
        <w:rPr>
          <w:rFonts w:ascii="Calibri" w:hAnsi="Calibri" w:cs="Calibri"/>
          <w:i/>
          <w:iCs/>
          <w:noProof/>
          <w:szCs w:val="24"/>
        </w:rPr>
        <w:t>117</w:t>
      </w:r>
      <w:r w:rsidRPr="00F14052">
        <w:rPr>
          <w:rFonts w:ascii="Calibri" w:hAnsi="Calibri" w:cs="Calibri"/>
          <w:noProof/>
          <w:szCs w:val="24"/>
        </w:rPr>
        <w:t>(1–2), 103–117. doi: 10.1007/s10584-012-0559-5</w:t>
      </w:r>
    </w:p>
    <w:p w14:paraId="6C4092A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Ruffault, J., Pimont, F., Cochard, H., Dupuy, J. L., &amp; Martin-Stpaul, N. (2022). SurEau-Ecos v2.0: a trait-based plant hydraulics model for simulations of plant water status and drought-induced mortality at the ecosystem level. </w:t>
      </w:r>
      <w:r w:rsidRPr="00F14052">
        <w:rPr>
          <w:rFonts w:ascii="Calibri" w:hAnsi="Calibri" w:cs="Calibri"/>
          <w:i/>
          <w:iCs/>
          <w:noProof/>
          <w:szCs w:val="24"/>
        </w:rPr>
        <w:t>Geoscientific Model Development</w:t>
      </w:r>
      <w:r w:rsidRPr="00F14052">
        <w:rPr>
          <w:rFonts w:ascii="Calibri" w:hAnsi="Calibri" w:cs="Calibri"/>
          <w:noProof/>
          <w:szCs w:val="24"/>
        </w:rPr>
        <w:t xml:space="preserve">, </w:t>
      </w:r>
      <w:r w:rsidRPr="00F14052">
        <w:rPr>
          <w:rFonts w:ascii="Calibri" w:hAnsi="Calibri" w:cs="Calibri"/>
          <w:i/>
          <w:iCs/>
          <w:noProof/>
          <w:szCs w:val="24"/>
        </w:rPr>
        <w:t>15</w:t>
      </w:r>
      <w:r w:rsidRPr="00F14052">
        <w:rPr>
          <w:rFonts w:ascii="Calibri" w:hAnsi="Calibri" w:cs="Calibri"/>
          <w:noProof/>
          <w:szCs w:val="24"/>
        </w:rPr>
        <w:t>(14), 5593–5626. doi: 10.5194/gmd-15-5593-2022</w:t>
      </w:r>
    </w:p>
    <w:p w14:paraId="0446127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Sanchez-Martinez, P., Martínez-Vilalta, J., Dexter, K. G., Segovia, R. A., &amp; Mencuccini, M. (2020). Adaptation and coordinated evolution of plant hydraulic traits. </w:t>
      </w:r>
      <w:r w:rsidRPr="00F14052">
        <w:rPr>
          <w:rFonts w:ascii="Calibri" w:hAnsi="Calibri" w:cs="Calibri"/>
          <w:i/>
          <w:iCs/>
          <w:noProof/>
          <w:szCs w:val="24"/>
        </w:rPr>
        <w:t>Ecology Letters</w:t>
      </w:r>
      <w:r w:rsidRPr="00F14052">
        <w:rPr>
          <w:rFonts w:ascii="Calibri" w:hAnsi="Calibri" w:cs="Calibri"/>
          <w:noProof/>
          <w:szCs w:val="24"/>
        </w:rPr>
        <w:t xml:space="preserve">, </w:t>
      </w:r>
      <w:r w:rsidRPr="00F14052">
        <w:rPr>
          <w:rFonts w:ascii="Calibri" w:hAnsi="Calibri" w:cs="Calibri"/>
          <w:i/>
          <w:iCs/>
          <w:noProof/>
          <w:szCs w:val="24"/>
        </w:rPr>
        <w:t>23</w:t>
      </w:r>
      <w:r w:rsidRPr="00F14052">
        <w:rPr>
          <w:rFonts w:ascii="Calibri" w:hAnsi="Calibri" w:cs="Calibri"/>
          <w:noProof/>
          <w:szCs w:val="24"/>
        </w:rPr>
        <w:t>(11), 1599–1610. doi: 10.1111/ele.13584</w:t>
      </w:r>
    </w:p>
    <w:p w14:paraId="0F4023C0"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Schindler, D. E., Armstrong, J. B., &amp; Reed, T. E. (2015). The portfolio concept in ecology and evolution. </w:t>
      </w:r>
      <w:r w:rsidRPr="00F14052">
        <w:rPr>
          <w:rFonts w:ascii="Calibri" w:hAnsi="Calibri" w:cs="Calibri"/>
          <w:i/>
          <w:iCs/>
          <w:noProof/>
          <w:szCs w:val="24"/>
        </w:rPr>
        <w:t>Frontiers in Ecology and the Environment</w:t>
      </w:r>
      <w:r w:rsidRPr="00F14052">
        <w:rPr>
          <w:rFonts w:ascii="Calibri" w:hAnsi="Calibri" w:cs="Calibri"/>
          <w:noProof/>
          <w:szCs w:val="24"/>
        </w:rPr>
        <w:t xml:space="preserve">, </w:t>
      </w:r>
      <w:r w:rsidRPr="00F14052">
        <w:rPr>
          <w:rFonts w:ascii="Calibri" w:hAnsi="Calibri" w:cs="Calibri"/>
          <w:i/>
          <w:iCs/>
          <w:noProof/>
          <w:szCs w:val="24"/>
        </w:rPr>
        <w:t>13</w:t>
      </w:r>
      <w:r w:rsidRPr="00F14052">
        <w:rPr>
          <w:rFonts w:ascii="Calibri" w:hAnsi="Calibri" w:cs="Calibri"/>
          <w:noProof/>
          <w:szCs w:val="24"/>
        </w:rPr>
        <w:t>(5), 257–263. doi: 10.1890/140275</w:t>
      </w:r>
    </w:p>
    <w:p w14:paraId="2AA8242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Schindler, D. E., Hilborn, R., Chasco, B., Boatright, C. P., Quinn, T. P., Rogers, L. A., &amp; Webster, M. S. (2010). Population diversity and the portfolio effect in an exploited species. </w:t>
      </w:r>
      <w:r w:rsidRPr="00F14052">
        <w:rPr>
          <w:rFonts w:ascii="Calibri" w:hAnsi="Calibri" w:cs="Calibri"/>
          <w:i/>
          <w:iCs/>
          <w:noProof/>
          <w:szCs w:val="24"/>
        </w:rPr>
        <w:t>Nature</w:t>
      </w:r>
      <w:r w:rsidRPr="00F14052">
        <w:rPr>
          <w:rFonts w:ascii="Calibri" w:hAnsi="Calibri" w:cs="Calibri"/>
          <w:noProof/>
          <w:szCs w:val="24"/>
        </w:rPr>
        <w:t xml:space="preserve">, </w:t>
      </w:r>
      <w:r w:rsidRPr="00F14052">
        <w:rPr>
          <w:rFonts w:ascii="Calibri" w:hAnsi="Calibri" w:cs="Calibri"/>
          <w:i/>
          <w:iCs/>
          <w:noProof/>
          <w:szCs w:val="24"/>
        </w:rPr>
        <w:t>465</w:t>
      </w:r>
      <w:r w:rsidRPr="00F14052">
        <w:rPr>
          <w:rFonts w:ascii="Calibri" w:hAnsi="Calibri" w:cs="Calibri"/>
          <w:noProof/>
          <w:szCs w:val="24"/>
        </w:rPr>
        <w:t>(7298), 609–612. doi: 10.1038/nature09060</w:t>
      </w:r>
    </w:p>
    <w:p w14:paraId="0F80279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Schleuter, D., Daufresne, M., Massol, F., &amp; Argillier, C. (2010). A user’s guide to functional diversity indices. </w:t>
      </w:r>
      <w:r w:rsidRPr="00F14052">
        <w:rPr>
          <w:rFonts w:ascii="Calibri" w:hAnsi="Calibri" w:cs="Calibri"/>
          <w:i/>
          <w:iCs/>
          <w:noProof/>
          <w:szCs w:val="24"/>
        </w:rPr>
        <w:t>Ecological Monographs</w:t>
      </w:r>
      <w:r w:rsidRPr="00F14052">
        <w:rPr>
          <w:rFonts w:ascii="Calibri" w:hAnsi="Calibri" w:cs="Calibri"/>
          <w:noProof/>
          <w:szCs w:val="24"/>
        </w:rPr>
        <w:t xml:space="preserve">, </w:t>
      </w:r>
      <w:r w:rsidRPr="00F14052">
        <w:rPr>
          <w:rFonts w:ascii="Calibri" w:hAnsi="Calibri" w:cs="Calibri"/>
          <w:i/>
          <w:iCs/>
          <w:noProof/>
          <w:szCs w:val="24"/>
        </w:rPr>
        <w:t>80</w:t>
      </w:r>
      <w:r w:rsidRPr="00F14052">
        <w:rPr>
          <w:rFonts w:ascii="Calibri" w:hAnsi="Calibri" w:cs="Calibri"/>
          <w:noProof/>
          <w:szCs w:val="24"/>
        </w:rPr>
        <w:t>(3), 469–484. doi: 10.1890/08-2225.1</w:t>
      </w:r>
    </w:p>
    <w:p w14:paraId="427AA404"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Schnabel, F., Liu, X., Kunz, M., Barry, K. E., Bongers, F. J., Bruelheide, H., … Wirth, C. (2021). Species richness stabilizes productivity via asynchrony and drought-tolerance diversity in a large-scale tree biodiversity experiment. </w:t>
      </w:r>
      <w:r w:rsidRPr="00F14052">
        <w:rPr>
          <w:rFonts w:ascii="Calibri" w:hAnsi="Calibri" w:cs="Calibri"/>
          <w:i/>
          <w:iCs/>
          <w:noProof/>
          <w:szCs w:val="24"/>
        </w:rPr>
        <w:t>Science Advances</w:t>
      </w:r>
      <w:r w:rsidRPr="00F14052">
        <w:rPr>
          <w:rFonts w:ascii="Calibri" w:hAnsi="Calibri" w:cs="Calibri"/>
          <w:noProof/>
          <w:szCs w:val="24"/>
        </w:rPr>
        <w:t xml:space="preserve">, </w:t>
      </w:r>
      <w:r w:rsidRPr="00F14052">
        <w:rPr>
          <w:rFonts w:ascii="Calibri" w:hAnsi="Calibri" w:cs="Calibri"/>
          <w:i/>
          <w:iCs/>
          <w:noProof/>
          <w:szCs w:val="24"/>
        </w:rPr>
        <w:t>7</w:t>
      </w:r>
      <w:r w:rsidRPr="00F14052">
        <w:rPr>
          <w:rFonts w:ascii="Calibri" w:hAnsi="Calibri" w:cs="Calibri"/>
          <w:noProof/>
          <w:szCs w:val="24"/>
        </w:rPr>
        <w:t>(51), 11–13. doi: 10.1126/sciadv.abk1643</w:t>
      </w:r>
    </w:p>
    <w:p w14:paraId="75F30C1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Searle, E. B., Chen, H. Y. H., &amp; Paquette, A. (2022). Higher tree diversity is linked to higher tree mortality. </w:t>
      </w:r>
      <w:r w:rsidRPr="00F14052">
        <w:rPr>
          <w:rFonts w:ascii="Calibri" w:hAnsi="Calibri" w:cs="Calibri"/>
          <w:i/>
          <w:iCs/>
          <w:noProof/>
          <w:szCs w:val="24"/>
        </w:rPr>
        <w:t>Proceedings of the National Academy of Sciences of the United States of America</w:t>
      </w:r>
      <w:r w:rsidRPr="00F14052">
        <w:rPr>
          <w:rFonts w:ascii="Calibri" w:hAnsi="Calibri" w:cs="Calibri"/>
          <w:noProof/>
          <w:szCs w:val="24"/>
        </w:rPr>
        <w:t xml:space="preserve">, </w:t>
      </w:r>
      <w:r w:rsidRPr="00F14052">
        <w:rPr>
          <w:rFonts w:ascii="Calibri" w:hAnsi="Calibri" w:cs="Calibri"/>
          <w:i/>
          <w:iCs/>
          <w:noProof/>
          <w:szCs w:val="24"/>
        </w:rPr>
        <w:t>119</w:t>
      </w:r>
      <w:r w:rsidRPr="00F14052">
        <w:rPr>
          <w:rFonts w:ascii="Calibri" w:hAnsi="Calibri" w:cs="Calibri"/>
          <w:noProof/>
          <w:szCs w:val="24"/>
        </w:rPr>
        <w:t>(19), 1–7. doi: 10.1073/pnas.2013171119</w:t>
      </w:r>
    </w:p>
    <w:p w14:paraId="082391A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Seddon, N., Smith, A., Smith, P., Key, I., Chausson, A., Girardin, C., … Turner, B. (2021). Getting the message right on nature‐based solutions to climate change. </w:t>
      </w:r>
      <w:r w:rsidRPr="00F14052">
        <w:rPr>
          <w:rFonts w:ascii="Calibri" w:hAnsi="Calibri" w:cs="Calibri"/>
          <w:i/>
          <w:iCs/>
          <w:noProof/>
          <w:szCs w:val="24"/>
        </w:rPr>
        <w:t>Global Change Biology</w:t>
      </w:r>
      <w:r w:rsidRPr="00F14052">
        <w:rPr>
          <w:rFonts w:ascii="Calibri" w:hAnsi="Calibri" w:cs="Calibri"/>
          <w:noProof/>
          <w:szCs w:val="24"/>
        </w:rPr>
        <w:t xml:space="preserve">, </w:t>
      </w:r>
      <w:r w:rsidRPr="00F14052">
        <w:rPr>
          <w:rFonts w:ascii="Calibri" w:hAnsi="Calibri" w:cs="Calibri"/>
          <w:i/>
          <w:iCs/>
          <w:noProof/>
          <w:szCs w:val="24"/>
        </w:rPr>
        <w:t>27</w:t>
      </w:r>
      <w:r w:rsidRPr="00F14052">
        <w:rPr>
          <w:rFonts w:ascii="Calibri" w:hAnsi="Calibri" w:cs="Calibri"/>
          <w:noProof/>
          <w:szCs w:val="24"/>
        </w:rPr>
        <w:t>(8), 1518–1546. doi: 10.1111/gcb.15513</w:t>
      </w:r>
    </w:p>
    <w:p w14:paraId="57971EE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Seddon, N., Turner, B., Berry, P., Chausson, A., &amp; Girardin, C. A. J. (2019). Grounding nature-based climate solutions in sound biodiversity science. </w:t>
      </w:r>
      <w:r w:rsidRPr="00F14052">
        <w:rPr>
          <w:rFonts w:ascii="Calibri" w:hAnsi="Calibri" w:cs="Calibri"/>
          <w:i/>
          <w:iCs/>
          <w:noProof/>
          <w:szCs w:val="24"/>
        </w:rPr>
        <w:t>Nature Climate Change</w:t>
      </w:r>
      <w:r w:rsidRPr="00F14052">
        <w:rPr>
          <w:rFonts w:ascii="Calibri" w:hAnsi="Calibri" w:cs="Calibri"/>
          <w:noProof/>
          <w:szCs w:val="24"/>
        </w:rPr>
        <w:t xml:space="preserve">, </w:t>
      </w:r>
      <w:r w:rsidRPr="00F14052">
        <w:rPr>
          <w:rFonts w:ascii="Calibri" w:hAnsi="Calibri" w:cs="Calibri"/>
          <w:i/>
          <w:iCs/>
          <w:noProof/>
          <w:szCs w:val="24"/>
        </w:rPr>
        <w:t>9</w:t>
      </w:r>
      <w:r w:rsidRPr="00F14052">
        <w:rPr>
          <w:rFonts w:ascii="Calibri" w:hAnsi="Calibri" w:cs="Calibri"/>
          <w:noProof/>
          <w:szCs w:val="24"/>
        </w:rPr>
        <w:t>(2), 84–87. doi: 10.1038/s41558-019-0405-0</w:t>
      </w:r>
    </w:p>
    <w:p w14:paraId="5B89C4C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lastRenderedPageBreak/>
        <w:t xml:space="preserve">Senf, C., Buras, A., Zang, C. S., Rammig, A., &amp; Seidl, R. (2020). Excess forest mortality is consistently linked to drought across Europe.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11</w:t>
      </w:r>
      <w:r w:rsidRPr="00F14052">
        <w:rPr>
          <w:rFonts w:ascii="Calibri" w:hAnsi="Calibri" w:cs="Calibri"/>
          <w:noProof/>
          <w:szCs w:val="24"/>
        </w:rPr>
        <w:t>(1), 1–8. doi: 10.1038/s41467-020-19924-1</w:t>
      </w:r>
    </w:p>
    <w:p w14:paraId="4F4F1B5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Senf, C., Pflugmacher, D., Zhiqiang, Y., Sebald, J., Knorn, J., Neumann, M., … Seidl, R. (2018). Canopy mortality has doubled in Europe’s temperate forests over the last three decades.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9</w:t>
      </w:r>
      <w:r w:rsidRPr="00F14052">
        <w:rPr>
          <w:rFonts w:ascii="Calibri" w:hAnsi="Calibri" w:cs="Calibri"/>
          <w:noProof/>
          <w:szCs w:val="24"/>
        </w:rPr>
        <w:t>(1), 1–8. doi: 10.1038/s41467-018-07539-6</w:t>
      </w:r>
    </w:p>
    <w:p w14:paraId="28D823D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Serra‐Maluquer, X., Granda, E., Camarero, J. J., Vilà‐Cabrera, A., Jump, A. S., Sánchez‐Salguero, R., … Gazol, A. (2020). Impacts of recurrent dry and wet years alter long‐term tree growth trajectories. </w:t>
      </w:r>
      <w:r w:rsidRPr="00F14052">
        <w:rPr>
          <w:rFonts w:ascii="Calibri" w:hAnsi="Calibri" w:cs="Calibri"/>
          <w:i/>
          <w:iCs/>
          <w:noProof/>
          <w:szCs w:val="24"/>
        </w:rPr>
        <w:t>Journal of Ecology</w:t>
      </w:r>
      <w:r w:rsidRPr="00F14052">
        <w:rPr>
          <w:rFonts w:ascii="Calibri" w:hAnsi="Calibri" w:cs="Calibri"/>
          <w:noProof/>
          <w:szCs w:val="24"/>
        </w:rPr>
        <w:t>, (December 2020), 1–14. doi: 10.1111/1365-2745.13579</w:t>
      </w:r>
    </w:p>
    <w:p w14:paraId="06E4673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Sinacore, K., Asbjornsen, H., Hernandez-Santana, V., &amp; Hall, J. S. (2019). Drought differentially affects growth, transpiration, and water use efficiency of mixed and monospecific planted forests. </w:t>
      </w:r>
      <w:r w:rsidRPr="00F14052">
        <w:rPr>
          <w:rFonts w:ascii="Calibri" w:hAnsi="Calibri" w:cs="Calibri"/>
          <w:i/>
          <w:iCs/>
          <w:noProof/>
          <w:szCs w:val="24"/>
        </w:rPr>
        <w:t>Forests</w:t>
      </w:r>
      <w:r w:rsidRPr="00F14052">
        <w:rPr>
          <w:rFonts w:ascii="Calibri" w:hAnsi="Calibri" w:cs="Calibri"/>
          <w:noProof/>
          <w:szCs w:val="24"/>
        </w:rPr>
        <w:t xml:space="preserve">, </w:t>
      </w:r>
      <w:r w:rsidRPr="00F14052">
        <w:rPr>
          <w:rFonts w:ascii="Calibri" w:hAnsi="Calibri" w:cs="Calibri"/>
          <w:i/>
          <w:iCs/>
          <w:noProof/>
          <w:szCs w:val="24"/>
        </w:rPr>
        <w:t>10</w:t>
      </w:r>
      <w:r w:rsidRPr="00F14052">
        <w:rPr>
          <w:rFonts w:ascii="Calibri" w:hAnsi="Calibri" w:cs="Calibri"/>
          <w:noProof/>
          <w:szCs w:val="24"/>
        </w:rPr>
        <w:t>(2), 1–19. doi: 10.3390/f10020153</w:t>
      </w:r>
    </w:p>
    <w:p w14:paraId="0357AC74"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Sinacore, K., Hall, J. S., Potvin, C., Royo, A. A., Ducey, M. J., &amp; Ashton, M. S. (2017). Unearthing the hidden world of roots: Root biomass and architecture differ among species within the same guild. </w:t>
      </w:r>
      <w:r w:rsidRPr="00F14052">
        <w:rPr>
          <w:rFonts w:ascii="Calibri" w:hAnsi="Calibri" w:cs="Calibri"/>
          <w:i/>
          <w:iCs/>
          <w:noProof/>
          <w:szCs w:val="24"/>
        </w:rPr>
        <w:t>PLoS ONE</w:t>
      </w:r>
      <w:r w:rsidRPr="00F14052">
        <w:rPr>
          <w:rFonts w:ascii="Calibri" w:hAnsi="Calibri" w:cs="Calibri"/>
          <w:noProof/>
          <w:szCs w:val="24"/>
        </w:rPr>
        <w:t xml:space="preserve">, </w:t>
      </w:r>
      <w:r w:rsidRPr="00F14052">
        <w:rPr>
          <w:rFonts w:ascii="Calibri" w:hAnsi="Calibri" w:cs="Calibri"/>
          <w:i/>
          <w:iCs/>
          <w:noProof/>
          <w:szCs w:val="24"/>
        </w:rPr>
        <w:t>12</w:t>
      </w:r>
      <w:r w:rsidRPr="00F14052">
        <w:rPr>
          <w:rFonts w:ascii="Calibri" w:hAnsi="Calibri" w:cs="Calibri"/>
          <w:noProof/>
          <w:szCs w:val="24"/>
        </w:rPr>
        <w:t>(10), 1–22. doi: 10.1371/journal.pone.0185934</w:t>
      </w:r>
    </w:p>
    <w:p w14:paraId="557F95F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Sjöman, H., Hirons, A. D., &amp; Bassuk, N. L. (2015). Urban forest resilience through tree selection-Variation in drought tolerance in Acer. </w:t>
      </w:r>
      <w:r w:rsidRPr="00F14052">
        <w:rPr>
          <w:rFonts w:ascii="Calibri" w:hAnsi="Calibri" w:cs="Calibri"/>
          <w:i/>
          <w:iCs/>
          <w:noProof/>
          <w:szCs w:val="24"/>
        </w:rPr>
        <w:t>Urban Forestry and Urban Greening</w:t>
      </w:r>
      <w:r w:rsidRPr="00F14052">
        <w:rPr>
          <w:rFonts w:ascii="Calibri" w:hAnsi="Calibri" w:cs="Calibri"/>
          <w:noProof/>
          <w:szCs w:val="24"/>
        </w:rPr>
        <w:t xml:space="preserve">, </w:t>
      </w:r>
      <w:r w:rsidRPr="00F14052">
        <w:rPr>
          <w:rFonts w:ascii="Calibri" w:hAnsi="Calibri" w:cs="Calibri"/>
          <w:i/>
          <w:iCs/>
          <w:noProof/>
          <w:szCs w:val="24"/>
        </w:rPr>
        <w:t>14</w:t>
      </w:r>
      <w:r w:rsidRPr="00F14052">
        <w:rPr>
          <w:rFonts w:ascii="Calibri" w:hAnsi="Calibri" w:cs="Calibri"/>
          <w:noProof/>
          <w:szCs w:val="24"/>
        </w:rPr>
        <w:t>(4), 858–865. doi: 10.1016/j.ufug.2015.08.004</w:t>
      </w:r>
    </w:p>
    <w:p w14:paraId="1AA8E49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Skelton, R. P., Anderegg, L. D. L., Diaz, J., Kling, M. M., Papper, P., Lamarque, L. J., … Ackerly, D. D. (2021). Evolutionary relationships between drought-related traits and climate shape large hydraulic safety margins in western North American oaks. </w:t>
      </w:r>
      <w:r w:rsidRPr="00F14052">
        <w:rPr>
          <w:rFonts w:ascii="Calibri" w:hAnsi="Calibri" w:cs="Calibri"/>
          <w:i/>
          <w:iCs/>
          <w:noProof/>
          <w:szCs w:val="24"/>
        </w:rPr>
        <w:t>Proceedings of the National Academy of Sciences of the United States of America</w:t>
      </w:r>
      <w:r w:rsidRPr="00F14052">
        <w:rPr>
          <w:rFonts w:ascii="Calibri" w:hAnsi="Calibri" w:cs="Calibri"/>
          <w:noProof/>
          <w:szCs w:val="24"/>
        </w:rPr>
        <w:t xml:space="preserve">, </w:t>
      </w:r>
      <w:r w:rsidRPr="00F14052">
        <w:rPr>
          <w:rFonts w:ascii="Calibri" w:hAnsi="Calibri" w:cs="Calibri"/>
          <w:i/>
          <w:iCs/>
          <w:noProof/>
          <w:szCs w:val="24"/>
        </w:rPr>
        <w:t>118</w:t>
      </w:r>
      <w:r w:rsidRPr="00F14052">
        <w:rPr>
          <w:rFonts w:ascii="Calibri" w:hAnsi="Calibri" w:cs="Calibri"/>
          <w:noProof/>
          <w:szCs w:val="24"/>
        </w:rPr>
        <w:t>(10). doi: 10.1073/pnas.2008987118</w:t>
      </w:r>
    </w:p>
    <w:p w14:paraId="5C55859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Slette, I. J., Post, A. K., Awad, M., Even, T., Punzalan, A., Williams, S., … Knapp, A. K. (2019). How ecologists define drought, and why we should do better. </w:t>
      </w:r>
      <w:r w:rsidRPr="00F14052">
        <w:rPr>
          <w:rFonts w:ascii="Calibri" w:hAnsi="Calibri" w:cs="Calibri"/>
          <w:i/>
          <w:iCs/>
          <w:noProof/>
          <w:szCs w:val="24"/>
        </w:rPr>
        <w:t>Global Change Biology</w:t>
      </w:r>
      <w:r w:rsidRPr="00F14052">
        <w:rPr>
          <w:rFonts w:ascii="Calibri" w:hAnsi="Calibri" w:cs="Calibri"/>
          <w:noProof/>
          <w:szCs w:val="24"/>
        </w:rPr>
        <w:t xml:space="preserve">, </w:t>
      </w:r>
      <w:r w:rsidRPr="00F14052">
        <w:rPr>
          <w:rFonts w:ascii="Calibri" w:hAnsi="Calibri" w:cs="Calibri"/>
          <w:i/>
          <w:iCs/>
          <w:noProof/>
          <w:szCs w:val="24"/>
        </w:rPr>
        <w:t>25</w:t>
      </w:r>
      <w:r w:rsidRPr="00F14052">
        <w:rPr>
          <w:rFonts w:ascii="Calibri" w:hAnsi="Calibri" w:cs="Calibri"/>
          <w:noProof/>
          <w:szCs w:val="24"/>
        </w:rPr>
        <w:t>(10), 3193–3200. doi: 10.1111/gcb.14747</w:t>
      </w:r>
    </w:p>
    <w:p w14:paraId="57F2AF72"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Song, Y., Poorter, L., Horsting, A., Delzon, S., &amp; Sterck, F. (2022). Pit and tracheid anatomy explain hydraulic safety but not hydraulic efficiency of 28 conifer species. </w:t>
      </w:r>
      <w:r w:rsidRPr="00F14052">
        <w:rPr>
          <w:rFonts w:ascii="Calibri" w:hAnsi="Calibri" w:cs="Calibri"/>
          <w:i/>
          <w:iCs/>
          <w:noProof/>
          <w:szCs w:val="24"/>
        </w:rPr>
        <w:t>Journal of Experimental Botany</w:t>
      </w:r>
      <w:r w:rsidRPr="00F14052">
        <w:rPr>
          <w:rFonts w:ascii="Calibri" w:hAnsi="Calibri" w:cs="Calibri"/>
          <w:noProof/>
          <w:szCs w:val="24"/>
        </w:rPr>
        <w:t xml:space="preserve">, </w:t>
      </w:r>
      <w:r w:rsidRPr="00F14052">
        <w:rPr>
          <w:rFonts w:ascii="Calibri" w:hAnsi="Calibri" w:cs="Calibri"/>
          <w:i/>
          <w:iCs/>
          <w:noProof/>
          <w:szCs w:val="24"/>
        </w:rPr>
        <w:t>73</w:t>
      </w:r>
      <w:r w:rsidRPr="00F14052">
        <w:rPr>
          <w:rFonts w:ascii="Calibri" w:hAnsi="Calibri" w:cs="Calibri"/>
          <w:noProof/>
          <w:szCs w:val="24"/>
        </w:rPr>
        <w:t>(3), 1033–1048. doi: 10.1093/jxb/erab449</w:t>
      </w:r>
    </w:p>
    <w:p w14:paraId="14418E1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Spinoni, J., Barbosa, P., De Jager, A., McCormick, N., Naumann, G., Vogt, J. V., … Mazzeschi, M. (2019). A new global database of meteorological drought events from 1951 to 2016. </w:t>
      </w:r>
      <w:r w:rsidRPr="00F14052">
        <w:rPr>
          <w:rFonts w:ascii="Calibri" w:hAnsi="Calibri" w:cs="Calibri"/>
          <w:i/>
          <w:iCs/>
          <w:noProof/>
          <w:szCs w:val="24"/>
        </w:rPr>
        <w:t>Journal of Hydrology: Regional Studies</w:t>
      </w:r>
      <w:r w:rsidRPr="00F14052">
        <w:rPr>
          <w:rFonts w:ascii="Calibri" w:hAnsi="Calibri" w:cs="Calibri"/>
          <w:noProof/>
          <w:szCs w:val="24"/>
        </w:rPr>
        <w:t xml:space="preserve">, </w:t>
      </w:r>
      <w:r w:rsidRPr="00F14052">
        <w:rPr>
          <w:rFonts w:ascii="Calibri" w:hAnsi="Calibri" w:cs="Calibri"/>
          <w:i/>
          <w:iCs/>
          <w:noProof/>
          <w:szCs w:val="24"/>
        </w:rPr>
        <w:t>22</w:t>
      </w:r>
      <w:r w:rsidRPr="00F14052">
        <w:rPr>
          <w:rFonts w:ascii="Calibri" w:hAnsi="Calibri" w:cs="Calibri"/>
          <w:noProof/>
          <w:szCs w:val="24"/>
        </w:rPr>
        <w:t>(February), 100593. doi: 10.1016/j.ejrh.2019.100593</w:t>
      </w:r>
    </w:p>
    <w:p w14:paraId="31F4F4D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Su, R., Liu, H., Wang, C., Zhang, H., &amp; Cui, J. (2022). </w:t>
      </w:r>
      <w:r w:rsidRPr="00F14052">
        <w:rPr>
          <w:rFonts w:ascii="Calibri" w:hAnsi="Calibri" w:cs="Calibri"/>
          <w:i/>
          <w:iCs/>
          <w:noProof/>
          <w:szCs w:val="24"/>
        </w:rPr>
        <w:t>Leaf turgor loss point is one of the best predictors of drought-induced tree mortality in tropical forest</w:t>
      </w:r>
      <w:r w:rsidRPr="00F14052">
        <w:rPr>
          <w:rFonts w:ascii="Calibri" w:hAnsi="Calibri" w:cs="Calibri"/>
          <w:noProof/>
          <w:szCs w:val="24"/>
        </w:rPr>
        <w:t>. (August), 1–7. doi: 10.3389/fevo.2022.974004</w:t>
      </w:r>
    </w:p>
    <w:p w14:paraId="1D6229A3"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Tilman, D. (1999). The ecological consequences of changes in biodiversity: A search for general principles. </w:t>
      </w:r>
      <w:r w:rsidRPr="00F14052">
        <w:rPr>
          <w:rFonts w:ascii="Calibri" w:hAnsi="Calibri" w:cs="Calibri"/>
          <w:i/>
          <w:iCs/>
          <w:noProof/>
          <w:szCs w:val="24"/>
        </w:rPr>
        <w:t>Ecology</w:t>
      </w:r>
      <w:r w:rsidRPr="00F14052">
        <w:rPr>
          <w:rFonts w:ascii="Calibri" w:hAnsi="Calibri" w:cs="Calibri"/>
          <w:noProof/>
          <w:szCs w:val="24"/>
        </w:rPr>
        <w:t xml:space="preserve">, </w:t>
      </w:r>
      <w:r w:rsidRPr="00F14052">
        <w:rPr>
          <w:rFonts w:ascii="Calibri" w:hAnsi="Calibri" w:cs="Calibri"/>
          <w:i/>
          <w:iCs/>
          <w:noProof/>
          <w:szCs w:val="24"/>
        </w:rPr>
        <w:t>80</w:t>
      </w:r>
      <w:r w:rsidRPr="00F14052">
        <w:rPr>
          <w:rFonts w:ascii="Calibri" w:hAnsi="Calibri" w:cs="Calibri"/>
          <w:noProof/>
          <w:szCs w:val="24"/>
        </w:rPr>
        <w:t>(5), 1455–1474. doi: 10.1890/0012-9658(1999)080[1455:tecoci]2.0.co;2</w:t>
      </w:r>
    </w:p>
    <w:p w14:paraId="59E40EE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Tobner, C. M., Paquette, A., Reich, P. B., Gravel, D., &amp; Messier, C. (2014). Advancing biodiversity-ecosystem functioning science using high-density tree-based experiments over functional diversity gradients. </w:t>
      </w:r>
      <w:r w:rsidRPr="00F14052">
        <w:rPr>
          <w:rFonts w:ascii="Calibri" w:hAnsi="Calibri" w:cs="Calibri"/>
          <w:i/>
          <w:iCs/>
          <w:noProof/>
          <w:szCs w:val="24"/>
        </w:rPr>
        <w:t>Oecologia</w:t>
      </w:r>
      <w:r w:rsidRPr="00F14052">
        <w:rPr>
          <w:rFonts w:ascii="Calibri" w:hAnsi="Calibri" w:cs="Calibri"/>
          <w:noProof/>
          <w:szCs w:val="24"/>
        </w:rPr>
        <w:t xml:space="preserve">, </w:t>
      </w:r>
      <w:r w:rsidRPr="00F14052">
        <w:rPr>
          <w:rFonts w:ascii="Calibri" w:hAnsi="Calibri" w:cs="Calibri"/>
          <w:i/>
          <w:iCs/>
          <w:noProof/>
          <w:szCs w:val="24"/>
        </w:rPr>
        <w:t>174</w:t>
      </w:r>
      <w:r w:rsidRPr="00F14052">
        <w:rPr>
          <w:rFonts w:ascii="Calibri" w:hAnsi="Calibri" w:cs="Calibri"/>
          <w:noProof/>
          <w:szCs w:val="24"/>
        </w:rPr>
        <w:t>(3), 609–621. doi: 10.1007/s00442-013-2815-4</w:t>
      </w:r>
    </w:p>
    <w:p w14:paraId="1D1CB911"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Trugman, A. T., Anderegg, L. D. L., Anderegg, W. R. L., Das, A. J., &amp; Stephenson, N. L. (2021). Why is Tree Drought Mortality so Hard to Predict? </w:t>
      </w:r>
      <w:r w:rsidRPr="00F14052">
        <w:rPr>
          <w:rFonts w:ascii="Calibri" w:hAnsi="Calibri" w:cs="Calibri"/>
          <w:i/>
          <w:iCs/>
          <w:noProof/>
          <w:szCs w:val="24"/>
        </w:rPr>
        <w:t>Trends in Ecology and Evolution</w:t>
      </w:r>
      <w:r w:rsidRPr="00F14052">
        <w:rPr>
          <w:rFonts w:ascii="Calibri" w:hAnsi="Calibri" w:cs="Calibri"/>
          <w:noProof/>
          <w:szCs w:val="24"/>
        </w:rPr>
        <w:t xml:space="preserve">, </w:t>
      </w:r>
      <w:r w:rsidRPr="00F14052">
        <w:rPr>
          <w:rFonts w:ascii="Calibri" w:hAnsi="Calibri" w:cs="Calibri"/>
          <w:i/>
          <w:iCs/>
          <w:noProof/>
          <w:szCs w:val="24"/>
        </w:rPr>
        <w:t>36</w:t>
      </w:r>
      <w:r w:rsidRPr="00F14052">
        <w:rPr>
          <w:rFonts w:ascii="Calibri" w:hAnsi="Calibri" w:cs="Calibri"/>
          <w:noProof/>
          <w:szCs w:val="24"/>
        </w:rPr>
        <w:t>(6), 520–532. doi: 10.1016/j.tree.2021.02.001</w:t>
      </w:r>
    </w:p>
    <w:p w14:paraId="71F4926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Urgoiti, J., Messier, C., Keeton, W. S., Belluau, M., &amp; Paquette, A. (2023). Functional diversity and </w:t>
      </w:r>
      <w:r w:rsidRPr="00F14052">
        <w:rPr>
          <w:rFonts w:ascii="Calibri" w:hAnsi="Calibri" w:cs="Calibri"/>
          <w:noProof/>
          <w:szCs w:val="24"/>
        </w:rPr>
        <w:lastRenderedPageBreak/>
        <w:t xml:space="preserve">identity influence the self-thinning process in young forest communities.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111</w:t>
      </w:r>
      <w:r w:rsidRPr="00F14052">
        <w:rPr>
          <w:rFonts w:ascii="Calibri" w:hAnsi="Calibri" w:cs="Calibri"/>
          <w:noProof/>
          <w:szCs w:val="24"/>
        </w:rPr>
        <w:t>(9), 2010–2022. doi: 10.1111/1365-2745.14158</w:t>
      </w:r>
    </w:p>
    <w:p w14:paraId="4EA128FF"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Van de Peer, T., Mereu, S., Verheyen, K., María Costa Saura, J., Morillas, L., Roales, J., … Muys, B. (2018). Tree seedling vitality improves with functional diversity in a Mediterranean common garden experiment. </w:t>
      </w:r>
      <w:r w:rsidRPr="00F14052">
        <w:rPr>
          <w:rFonts w:ascii="Calibri" w:hAnsi="Calibri" w:cs="Calibri"/>
          <w:i/>
          <w:iCs/>
          <w:noProof/>
          <w:szCs w:val="24"/>
        </w:rPr>
        <w:t>Forest Ecology and Management</w:t>
      </w:r>
      <w:r w:rsidRPr="00F14052">
        <w:rPr>
          <w:rFonts w:ascii="Calibri" w:hAnsi="Calibri" w:cs="Calibri"/>
          <w:noProof/>
          <w:szCs w:val="24"/>
        </w:rPr>
        <w:t xml:space="preserve">, </w:t>
      </w:r>
      <w:r w:rsidRPr="00F14052">
        <w:rPr>
          <w:rFonts w:ascii="Calibri" w:hAnsi="Calibri" w:cs="Calibri"/>
          <w:i/>
          <w:iCs/>
          <w:noProof/>
          <w:szCs w:val="24"/>
        </w:rPr>
        <w:t>409</w:t>
      </w:r>
      <w:r w:rsidRPr="00F14052">
        <w:rPr>
          <w:rFonts w:ascii="Calibri" w:hAnsi="Calibri" w:cs="Calibri"/>
          <w:noProof/>
          <w:szCs w:val="24"/>
        </w:rPr>
        <w:t>(November 2017), 614–633. doi: 10.1016/j.foreco.2017.12.001</w:t>
      </w:r>
    </w:p>
    <w:p w14:paraId="17AEA5AA"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Van de Peer, T., Verheyen, K., Baeten, L., Ponette, Q., &amp; Muys, B. (2016). Biodiversity as insurance for sapling survival in experimental tree plantations. </w:t>
      </w:r>
      <w:r w:rsidRPr="00F14052">
        <w:rPr>
          <w:rFonts w:ascii="Calibri" w:hAnsi="Calibri" w:cs="Calibri"/>
          <w:i/>
          <w:iCs/>
          <w:noProof/>
          <w:szCs w:val="24"/>
        </w:rPr>
        <w:t>Journal of Applied Ecology</w:t>
      </w:r>
      <w:r w:rsidRPr="00F14052">
        <w:rPr>
          <w:rFonts w:ascii="Calibri" w:hAnsi="Calibri" w:cs="Calibri"/>
          <w:noProof/>
          <w:szCs w:val="24"/>
        </w:rPr>
        <w:t xml:space="preserve">, </w:t>
      </w:r>
      <w:r w:rsidRPr="00F14052">
        <w:rPr>
          <w:rFonts w:ascii="Calibri" w:hAnsi="Calibri" w:cs="Calibri"/>
          <w:i/>
          <w:iCs/>
          <w:noProof/>
          <w:szCs w:val="24"/>
        </w:rPr>
        <w:t>53</w:t>
      </w:r>
      <w:r w:rsidRPr="00F14052">
        <w:rPr>
          <w:rFonts w:ascii="Calibri" w:hAnsi="Calibri" w:cs="Calibri"/>
          <w:noProof/>
          <w:szCs w:val="24"/>
        </w:rPr>
        <w:t>(6), 1777–1786. doi: 10.1111/1365-2664.12721</w:t>
      </w:r>
    </w:p>
    <w:p w14:paraId="22163B3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van der Plas, F., Manning, P., Allan, E., Scherer-Lorenzen, M., Verheyen, K., Wirth, C., … Fischer, M. (2016). Jack-of-all-trades effects drive biodiversity–ecosystem multifunctionality relationships in European forests. </w:t>
      </w:r>
      <w:r w:rsidRPr="00F14052">
        <w:rPr>
          <w:rFonts w:ascii="Calibri" w:hAnsi="Calibri" w:cs="Calibri"/>
          <w:i/>
          <w:iCs/>
          <w:noProof/>
          <w:szCs w:val="24"/>
        </w:rPr>
        <w:t>Nature Communications</w:t>
      </w:r>
      <w:r w:rsidRPr="00F14052">
        <w:rPr>
          <w:rFonts w:ascii="Calibri" w:hAnsi="Calibri" w:cs="Calibri"/>
          <w:noProof/>
          <w:szCs w:val="24"/>
        </w:rPr>
        <w:t xml:space="preserve">, </w:t>
      </w:r>
      <w:r w:rsidRPr="00F14052">
        <w:rPr>
          <w:rFonts w:ascii="Calibri" w:hAnsi="Calibri" w:cs="Calibri"/>
          <w:i/>
          <w:iCs/>
          <w:noProof/>
          <w:szCs w:val="24"/>
        </w:rPr>
        <w:t>7</w:t>
      </w:r>
      <w:r w:rsidRPr="00F14052">
        <w:rPr>
          <w:rFonts w:ascii="Calibri" w:hAnsi="Calibri" w:cs="Calibri"/>
          <w:noProof/>
          <w:szCs w:val="24"/>
        </w:rPr>
        <w:t>(1), 11109. doi: 10.1038/ncomms11109</w:t>
      </w:r>
    </w:p>
    <w:p w14:paraId="49EB236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Van Meerbeek, K., Jucker, T., &amp; Svenning, J. C. (2021). Unifying the concepts of stability and resilience in ecology. </w:t>
      </w:r>
      <w:r w:rsidRPr="00F14052">
        <w:rPr>
          <w:rFonts w:ascii="Calibri" w:hAnsi="Calibri" w:cs="Calibri"/>
          <w:i/>
          <w:iCs/>
          <w:noProof/>
          <w:szCs w:val="24"/>
        </w:rPr>
        <w:t>Journal of Ecology</w:t>
      </w:r>
      <w:r w:rsidRPr="00F14052">
        <w:rPr>
          <w:rFonts w:ascii="Calibri" w:hAnsi="Calibri" w:cs="Calibri"/>
          <w:noProof/>
          <w:szCs w:val="24"/>
        </w:rPr>
        <w:t xml:space="preserve">, </w:t>
      </w:r>
      <w:r w:rsidRPr="00F14052">
        <w:rPr>
          <w:rFonts w:ascii="Calibri" w:hAnsi="Calibri" w:cs="Calibri"/>
          <w:i/>
          <w:iCs/>
          <w:noProof/>
          <w:szCs w:val="24"/>
        </w:rPr>
        <w:t>109</w:t>
      </w:r>
      <w:r w:rsidRPr="00F14052">
        <w:rPr>
          <w:rFonts w:ascii="Calibri" w:hAnsi="Calibri" w:cs="Calibri"/>
          <w:noProof/>
          <w:szCs w:val="24"/>
        </w:rPr>
        <w:t>(9), 3114–3132. doi: 10.1111/1365-2745.13651</w:t>
      </w:r>
    </w:p>
    <w:p w14:paraId="5CBAA9A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Verdone, M., &amp; Seidl, A. (2017). Time, space, place, and the Bonn Challenge global forest restoration target. </w:t>
      </w:r>
      <w:r w:rsidRPr="00F14052">
        <w:rPr>
          <w:rFonts w:ascii="Calibri" w:hAnsi="Calibri" w:cs="Calibri"/>
          <w:i/>
          <w:iCs/>
          <w:noProof/>
          <w:szCs w:val="24"/>
        </w:rPr>
        <w:t>Restoration Ecology</w:t>
      </w:r>
      <w:r w:rsidRPr="00F14052">
        <w:rPr>
          <w:rFonts w:ascii="Calibri" w:hAnsi="Calibri" w:cs="Calibri"/>
          <w:noProof/>
          <w:szCs w:val="24"/>
        </w:rPr>
        <w:t xml:space="preserve">, </w:t>
      </w:r>
      <w:r w:rsidRPr="00F14052">
        <w:rPr>
          <w:rFonts w:ascii="Calibri" w:hAnsi="Calibri" w:cs="Calibri"/>
          <w:i/>
          <w:iCs/>
          <w:noProof/>
          <w:szCs w:val="24"/>
        </w:rPr>
        <w:t>25</w:t>
      </w:r>
      <w:r w:rsidRPr="00F14052">
        <w:rPr>
          <w:rFonts w:ascii="Calibri" w:hAnsi="Calibri" w:cs="Calibri"/>
          <w:noProof/>
          <w:szCs w:val="24"/>
        </w:rPr>
        <w:t>(6), 903–911. doi: 10.1111/rec.12512</w:t>
      </w:r>
    </w:p>
    <w:p w14:paraId="000BF13F"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Verheyen, K., Ceunen, K., Ampoorter, E., Baeten, L., Bosman, B., Branquart, E., … Ponette, Q. (2013). Assessment of the functional role of tree diversity: The multi-site FORBIO experiment. </w:t>
      </w:r>
      <w:r w:rsidRPr="00F14052">
        <w:rPr>
          <w:rFonts w:ascii="Calibri" w:hAnsi="Calibri" w:cs="Calibri"/>
          <w:i/>
          <w:iCs/>
          <w:noProof/>
          <w:szCs w:val="24"/>
        </w:rPr>
        <w:t>Plant Ecology and Evolution</w:t>
      </w:r>
      <w:r w:rsidRPr="00F14052">
        <w:rPr>
          <w:rFonts w:ascii="Calibri" w:hAnsi="Calibri" w:cs="Calibri"/>
          <w:noProof/>
          <w:szCs w:val="24"/>
        </w:rPr>
        <w:t xml:space="preserve">, </w:t>
      </w:r>
      <w:r w:rsidRPr="00F14052">
        <w:rPr>
          <w:rFonts w:ascii="Calibri" w:hAnsi="Calibri" w:cs="Calibri"/>
          <w:i/>
          <w:iCs/>
          <w:noProof/>
          <w:szCs w:val="24"/>
        </w:rPr>
        <w:t>146</w:t>
      </w:r>
      <w:r w:rsidRPr="00F14052">
        <w:rPr>
          <w:rFonts w:ascii="Calibri" w:hAnsi="Calibri" w:cs="Calibri"/>
          <w:noProof/>
          <w:szCs w:val="24"/>
        </w:rPr>
        <w:t>(1), 26–35. doi: 10.5091/plecevo.2013.803</w:t>
      </w:r>
    </w:p>
    <w:p w14:paraId="6532B57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Verheyen, K., Vanhellemont, M., Auge, H., Baeten, L., Baraloto, C., Barsoum, N., … Scherer-Lorenzen, M. (2016). Contributions of a global network of tree diversity experiments to sustainable forest plantations. </w:t>
      </w:r>
      <w:r w:rsidRPr="00F14052">
        <w:rPr>
          <w:rFonts w:ascii="Calibri" w:hAnsi="Calibri" w:cs="Calibri"/>
          <w:i/>
          <w:iCs/>
          <w:noProof/>
          <w:szCs w:val="24"/>
        </w:rPr>
        <w:t>Ambio</w:t>
      </w:r>
      <w:r w:rsidRPr="00F14052">
        <w:rPr>
          <w:rFonts w:ascii="Calibri" w:hAnsi="Calibri" w:cs="Calibri"/>
          <w:noProof/>
          <w:szCs w:val="24"/>
        </w:rPr>
        <w:t xml:space="preserve">, </w:t>
      </w:r>
      <w:r w:rsidRPr="00F14052">
        <w:rPr>
          <w:rFonts w:ascii="Calibri" w:hAnsi="Calibri" w:cs="Calibri"/>
          <w:i/>
          <w:iCs/>
          <w:noProof/>
          <w:szCs w:val="24"/>
        </w:rPr>
        <w:t>45</w:t>
      </w:r>
      <w:r w:rsidRPr="00F14052">
        <w:rPr>
          <w:rFonts w:ascii="Calibri" w:hAnsi="Calibri" w:cs="Calibri"/>
          <w:noProof/>
          <w:szCs w:val="24"/>
        </w:rPr>
        <w:t>(1), 29–41. doi: 10.1007/s13280-015-0685-1</w:t>
      </w:r>
    </w:p>
    <w:p w14:paraId="6569275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Vicente-Serrano, S. M., Beguería, S., &amp; López-Moreno, J. I. (2010). A multiscalar drought index sensitive to global warming: The standardized precipitation evapotranspiration index. </w:t>
      </w:r>
      <w:r w:rsidRPr="00F14052">
        <w:rPr>
          <w:rFonts w:ascii="Calibri" w:hAnsi="Calibri" w:cs="Calibri"/>
          <w:i/>
          <w:iCs/>
          <w:noProof/>
          <w:szCs w:val="24"/>
        </w:rPr>
        <w:t>Journal of Climate</w:t>
      </w:r>
      <w:r w:rsidRPr="00F14052">
        <w:rPr>
          <w:rFonts w:ascii="Calibri" w:hAnsi="Calibri" w:cs="Calibri"/>
          <w:noProof/>
          <w:szCs w:val="24"/>
        </w:rPr>
        <w:t xml:space="preserve">, </w:t>
      </w:r>
      <w:r w:rsidRPr="00F14052">
        <w:rPr>
          <w:rFonts w:ascii="Calibri" w:hAnsi="Calibri" w:cs="Calibri"/>
          <w:i/>
          <w:iCs/>
          <w:noProof/>
          <w:szCs w:val="24"/>
        </w:rPr>
        <w:t>23</w:t>
      </w:r>
      <w:r w:rsidRPr="00F14052">
        <w:rPr>
          <w:rFonts w:ascii="Calibri" w:hAnsi="Calibri" w:cs="Calibri"/>
          <w:noProof/>
          <w:szCs w:val="24"/>
        </w:rPr>
        <w:t>(7), 1696–1718. doi: 10.1175/2009JCLI2909.1</w:t>
      </w:r>
    </w:p>
    <w:p w14:paraId="0E174585"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Villéger, S., Mason, N. W. H., &amp; Mouillot, D. (2008). New multidimensional functional diversity indices for a multifaceted framework in functional ecology. </w:t>
      </w:r>
      <w:r w:rsidRPr="00F14052">
        <w:rPr>
          <w:rFonts w:ascii="Calibri" w:hAnsi="Calibri" w:cs="Calibri"/>
          <w:i/>
          <w:iCs/>
          <w:noProof/>
          <w:szCs w:val="24"/>
        </w:rPr>
        <w:t>Ecology</w:t>
      </w:r>
      <w:r w:rsidRPr="00F14052">
        <w:rPr>
          <w:rFonts w:ascii="Calibri" w:hAnsi="Calibri" w:cs="Calibri"/>
          <w:noProof/>
          <w:szCs w:val="24"/>
        </w:rPr>
        <w:t xml:space="preserve">, </w:t>
      </w:r>
      <w:r w:rsidRPr="00F14052">
        <w:rPr>
          <w:rFonts w:ascii="Calibri" w:hAnsi="Calibri" w:cs="Calibri"/>
          <w:i/>
          <w:iCs/>
          <w:noProof/>
          <w:szCs w:val="24"/>
        </w:rPr>
        <w:t>89</w:t>
      </w:r>
      <w:r w:rsidRPr="00F14052">
        <w:rPr>
          <w:rFonts w:ascii="Calibri" w:hAnsi="Calibri" w:cs="Calibri"/>
          <w:noProof/>
          <w:szCs w:val="24"/>
        </w:rPr>
        <w:t>(8), 2290–2301. doi: 10.1890/07-1206.1</w:t>
      </w:r>
    </w:p>
    <w:p w14:paraId="2DD2BE08"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Westoby, M. (1998). A leaf-height-seed (LHS) plant ecology strategy scheme. </w:t>
      </w:r>
      <w:r w:rsidRPr="00F14052">
        <w:rPr>
          <w:rFonts w:ascii="Calibri" w:hAnsi="Calibri" w:cs="Calibri"/>
          <w:i/>
          <w:iCs/>
          <w:noProof/>
          <w:szCs w:val="24"/>
        </w:rPr>
        <w:t>Plant and Soil</w:t>
      </w:r>
      <w:r w:rsidRPr="00F14052">
        <w:rPr>
          <w:rFonts w:ascii="Calibri" w:hAnsi="Calibri" w:cs="Calibri"/>
          <w:noProof/>
          <w:szCs w:val="24"/>
        </w:rPr>
        <w:t xml:space="preserve">, </w:t>
      </w:r>
      <w:r w:rsidRPr="00F14052">
        <w:rPr>
          <w:rFonts w:ascii="Calibri" w:hAnsi="Calibri" w:cs="Calibri"/>
          <w:i/>
          <w:iCs/>
          <w:noProof/>
          <w:szCs w:val="24"/>
        </w:rPr>
        <w:t>199</w:t>
      </w:r>
      <w:r w:rsidRPr="00F14052">
        <w:rPr>
          <w:rFonts w:ascii="Calibri" w:hAnsi="Calibri" w:cs="Calibri"/>
          <w:noProof/>
          <w:szCs w:val="24"/>
        </w:rPr>
        <w:t>(2), 213–227.</w:t>
      </w:r>
    </w:p>
    <w:p w14:paraId="08D1140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Wright, I. J., Westoby, M., Reich, P. B., Oleksyn, J., Ackerly, D. D., Baruch, Z., … Villar, R. (2004). The worldwide leaf economics spectrum. </w:t>
      </w:r>
      <w:r w:rsidRPr="00F14052">
        <w:rPr>
          <w:rFonts w:ascii="Calibri" w:hAnsi="Calibri" w:cs="Calibri"/>
          <w:i/>
          <w:iCs/>
          <w:noProof/>
          <w:szCs w:val="24"/>
        </w:rPr>
        <w:t>Nature</w:t>
      </w:r>
      <w:r w:rsidRPr="00F14052">
        <w:rPr>
          <w:rFonts w:ascii="Calibri" w:hAnsi="Calibri" w:cs="Calibri"/>
          <w:noProof/>
          <w:szCs w:val="24"/>
        </w:rPr>
        <w:t xml:space="preserve">, </w:t>
      </w:r>
      <w:r w:rsidRPr="00F14052">
        <w:rPr>
          <w:rFonts w:ascii="Calibri" w:hAnsi="Calibri" w:cs="Calibri"/>
          <w:i/>
          <w:iCs/>
          <w:noProof/>
          <w:szCs w:val="24"/>
        </w:rPr>
        <w:t>428</w:t>
      </w:r>
      <w:r w:rsidRPr="00F14052">
        <w:rPr>
          <w:rFonts w:ascii="Calibri" w:hAnsi="Calibri" w:cs="Calibri"/>
          <w:noProof/>
          <w:szCs w:val="24"/>
        </w:rPr>
        <w:t>, 821–827. doi: 10.1038/nature02403</w:t>
      </w:r>
    </w:p>
    <w:p w14:paraId="57F9D8DC"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Xu, L., Chen, N., &amp; Zhang, X. (2019). Global drought trends under 1.5 and 2 °C warming. </w:t>
      </w:r>
      <w:r w:rsidRPr="00F14052">
        <w:rPr>
          <w:rFonts w:ascii="Calibri" w:hAnsi="Calibri" w:cs="Calibri"/>
          <w:i/>
          <w:iCs/>
          <w:noProof/>
          <w:szCs w:val="24"/>
        </w:rPr>
        <w:t>International Journal of Climatology</w:t>
      </w:r>
      <w:r w:rsidRPr="00F14052">
        <w:rPr>
          <w:rFonts w:ascii="Calibri" w:hAnsi="Calibri" w:cs="Calibri"/>
          <w:noProof/>
          <w:szCs w:val="24"/>
        </w:rPr>
        <w:t xml:space="preserve">, </w:t>
      </w:r>
      <w:r w:rsidRPr="00F14052">
        <w:rPr>
          <w:rFonts w:ascii="Calibri" w:hAnsi="Calibri" w:cs="Calibri"/>
          <w:i/>
          <w:iCs/>
          <w:noProof/>
          <w:szCs w:val="24"/>
        </w:rPr>
        <w:t>39</w:t>
      </w:r>
      <w:r w:rsidRPr="00F14052">
        <w:rPr>
          <w:rFonts w:ascii="Calibri" w:hAnsi="Calibri" w:cs="Calibri"/>
          <w:noProof/>
          <w:szCs w:val="24"/>
        </w:rPr>
        <w:t>(4), 2375–2385. doi: 10.1002/joc.5958</w:t>
      </w:r>
    </w:p>
    <w:p w14:paraId="27014FFB"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Yachi, S., &amp; Loreau, M. (1999). Biodiversity and ecosystem productivity in a fluctuating environment: The insurance hypothesis. </w:t>
      </w:r>
      <w:r w:rsidRPr="00F14052">
        <w:rPr>
          <w:rFonts w:ascii="Calibri" w:hAnsi="Calibri" w:cs="Calibri"/>
          <w:i/>
          <w:iCs/>
          <w:noProof/>
          <w:szCs w:val="24"/>
        </w:rPr>
        <w:t>Proceedings of the National Academy of Sciences of the United States of America</w:t>
      </w:r>
      <w:r w:rsidRPr="00F14052">
        <w:rPr>
          <w:rFonts w:ascii="Calibri" w:hAnsi="Calibri" w:cs="Calibri"/>
          <w:noProof/>
          <w:szCs w:val="24"/>
        </w:rPr>
        <w:t xml:space="preserve">, </w:t>
      </w:r>
      <w:r w:rsidRPr="00F14052">
        <w:rPr>
          <w:rFonts w:ascii="Calibri" w:hAnsi="Calibri" w:cs="Calibri"/>
          <w:i/>
          <w:iCs/>
          <w:noProof/>
          <w:szCs w:val="24"/>
        </w:rPr>
        <w:t>96</w:t>
      </w:r>
      <w:r w:rsidRPr="00F14052">
        <w:rPr>
          <w:rFonts w:ascii="Calibri" w:hAnsi="Calibri" w:cs="Calibri"/>
          <w:noProof/>
          <w:szCs w:val="24"/>
        </w:rPr>
        <w:t>(4), 1463–1468. doi: 10.1073/pnas.96.4.1463</w:t>
      </w:r>
    </w:p>
    <w:p w14:paraId="786624C6"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Zabin, C. J., Jurgens, L. J., Bible, J. M., Patten, M. V., Chang, A. L., Grosholz, E. D., &amp; Boyer, K. E. (2022). Increasing the resilience of ecological restoration to extreme climatic events. </w:t>
      </w:r>
      <w:r w:rsidRPr="00F14052">
        <w:rPr>
          <w:rFonts w:ascii="Calibri" w:hAnsi="Calibri" w:cs="Calibri"/>
          <w:i/>
          <w:iCs/>
          <w:noProof/>
          <w:szCs w:val="24"/>
        </w:rPr>
        <w:t>Frontiers in Ecology and the Environment</w:t>
      </w:r>
      <w:r w:rsidRPr="00F14052">
        <w:rPr>
          <w:rFonts w:ascii="Calibri" w:hAnsi="Calibri" w:cs="Calibri"/>
          <w:noProof/>
          <w:szCs w:val="24"/>
        </w:rPr>
        <w:t>, 310–318. doi: 10.1002/fee.2471</w:t>
      </w:r>
    </w:p>
    <w:p w14:paraId="019DC2E9"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szCs w:val="24"/>
        </w:rPr>
      </w:pPr>
      <w:r w:rsidRPr="00F14052">
        <w:rPr>
          <w:rFonts w:ascii="Calibri" w:hAnsi="Calibri" w:cs="Calibri"/>
          <w:noProof/>
          <w:szCs w:val="24"/>
        </w:rPr>
        <w:t xml:space="preserve">Zhu, S. D., He, P. C., Li, R. H., Fu, S. L., Lin, Y. B., Zhou, L. X., … Ye, Q. (2018). Drought tolerance traits predict survival ratio of native tree species planted in a subtropical degraded hilly area in South China. </w:t>
      </w:r>
      <w:r w:rsidRPr="00F14052">
        <w:rPr>
          <w:rFonts w:ascii="Calibri" w:hAnsi="Calibri" w:cs="Calibri"/>
          <w:i/>
          <w:iCs/>
          <w:noProof/>
          <w:szCs w:val="24"/>
        </w:rPr>
        <w:t>Forest Ecology and Management</w:t>
      </w:r>
      <w:r w:rsidRPr="00F14052">
        <w:rPr>
          <w:rFonts w:ascii="Calibri" w:hAnsi="Calibri" w:cs="Calibri"/>
          <w:noProof/>
          <w:szCs w:val="24"/>
        </w:rPr>
        <w:t xml:space="preserve">, </w:t>
      </w:r>
      <w:r w:rsidRPr="00F14052">
        <w:rPr>
          <w:rFonts w:ascii="Calibri" w:hAnsi="Calibri" w:cs="Calibri"/>
          <w:i/>
          <w:iCs/>
          <w:noProof/>
          <w:szCs w:val="24"/>
        </w:rPr>
        <w:t>418</w:t>
      </w:r>
      <w:r w:rsidRPr="00F14052">
        <w:rPr>
          <w:rFonts w:ascii="Calibri" w:hAnsi="Calibri" w:cs="Calibri"/>
          <w:noProof/>
          <w:szCs w:val="24"/>
        </w:rPr>
        <w:t xml:space="preserve">(October 2017), 41–46. doi: </w:t>
      </w:r>
      <w:r w:rsidRPr="00F14052">
        <w:rPr>
          <w:rFonts w:ascii="Calibri" w:hAnsi="Calibri" w:cs="Calibri"/>
          <w:noProof/>
          <w:szCs w:val="24"/>
        </w:rPr>
        <w:lastRenderedPageBreak/>
        <w:t>10.1016/j.foreco.2017.09.016</w:t>
      </w:r>
    </w:p>
    <w:p w14:paraId="1C4B053E" w14:textId="77777777" w:rsidR="00F14052" w:rsidRPr="00F14052" w:rsidRDefault="00F14052" w:rsidP="00F14052">
      <w:pPr>
        <w:widowControl w:val="0"/>
        <w:autoSpaceDE w:val="0"/>
        <w:autoSpaceDN w:val="0"/>
        <w:adjustRightInd w:val="0"/>
        <w:spacing w:line="240" w:lineRule="auto"/>
        <w:ind w:left="480" w:hanging="480"/>
        <w:rPr>
          <w:rFonts w:ascii="Calibri" w:hAnsi="Calibri" w:cs="Calibri"/>
          <w:noProof/>
        </w:rPr>
      </w:pPr>
      <w:r w:rsidRPr="00F14052">
        <w:rPr>
          <w:rFonts w:ascii="Calibri" w:hAnsi="Calibri" w:cs="Calibri"/>
          <w:noProof/>
          <w:szCs w:val="24"/>
        </w:rPr>
        <w:t xml:space="preserve">Ziegler, C., Coste, S., Stahl, C., Delzon, S., Levionnois, S., Cazal, J., … Bonal, D. (2019). Large hydraulic safety margins protect Neotropical canopy rainforest tree species against hydraulic failure during drought. </w:t>
      </w:r>
      <w:r w:rsidRPr="00F14052">
        <w:rPr>
          <w:rFonts w:ascii="Calibri" w:hAnsi="Calibri" w:cs="Calibri"/>
          <w:i/>
          <w:iCs/>
          <w:noProof/>
          <w:szCs w:val="24"/>
        </w:rPr>
        <w:t>Annals of Forest Science</w:t>
      </w:r>
      <w:r w:rsidRPr="00F14052">
        <w:rPr>
          <w:rFonts w:ascii="Calibri" w:hAnsi="Calibri" w:cs="Calibri"/>
          <w:noProof/>
          <w:szCs w:val="24"/>
        </w:rPr>
        <w:t xml:space="preserve">, </w:t>
      </w:r>
      <w:r w:rsidRPr="00F14052">
        <w:rPr>
          <w:rFonts w:ascii="Calibri" w:hAnsi="Calibri" w:cs="Calibri"/>
          <w:i/>
          <w:iCs/>
          <w:noProof/>
          <w:szCs w:val="24"/>
        </w:rPr>
        <w:t>76</w:t>
      </w:r>
      <w:r w:rsidRPr="00F14052">
        <w:rPr>
          <w:rFonts w:ascii="Calibri" w:hAnsi="Calibri" w:cs="Calibri"/>
          <w:noProof/>
          <w:szCs w:val="24"/>
        </w:rPr>
        <w:t>(4). doi: 10.1007/s13595-019-0905-0</w:t>
      </w:r>
    </w:p>
    <w:p w14:paraId="4DF0FEDB" w14:textId="73D2A94C" w:rsidR="00B26A2C" w:rsidRDefault="007F6878" w:rsidP="001A4489">
      <w:pPr>
        <w:widowControl w:val="0"/>
        <w:spacing w:line="276" w:lineRule="auto"/>
      </w:pPr>
      <w:r w:rsidRPr="00DA5AE2">
        <w:rPr>
          <w:rFonts w:cs="Calibri"/>
          <w:szCs w:val="24"/>
        </w:rPr>
        <w:fldChar w:fldCharType="end"/>
      </w:r>
      <w:bookmarkEnd w:id="83"/>
    </w:p>
    <w:sectPr w:rsidR="00B26A2C" w:rsidSect="00802685">
      <w:footerReference w:type="default" r:id="rId19"/>
      <w:pgSz w:w="11906" w:h="16838"/>
      <w:pgMar w:top="1440" w:right="1440" w:bottom="1440" w:left="1440"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0BE6E" w14:textId="77777777" w:rsidR="0098667C" w:rsidRDefault="0098667C">
      <w:pPr>
        <w:spacing w:after="0" w:line="240" w:lineRule="auto"/>
      </w:pPr>
      <w:r>
        <w:separator/>
      </w:r>
    </w:p>
  </w:endnote>
  <w:endnote w:type="continuationSeparator" w:id="0">
    <w:p w14:paraId="518C8EBE" w14:textId="77777777" w:rsidR="0098667C" w:rsidRDefault="0098667C">
      <w:pPr>
        <w:spacing w:after="0" w:line="240" w:lineRule="auto"/>
      </w:pPr>
      <w:r>
        <w:continuationSeparator/>
      </w:r>
    </w:p>
  </w:endnote>
  <w:endnote w:type="continuationNotice" w:id="1">
    <w:p w14:paraId="5923DCBE" w14:textId="77777777" w:rsidR="0098667C" w:rsidRDefault="009866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790309"/>
      <w:docPartObj>
        <w:docPartGallery w:val="Page Numbers (Bottom of Page)"/>
        <w:docPartUnique/>
      </w:docPartObj>
    </w:sdtPr>
    <w:sdtEndPr/>
    <w:sdtContent>
      <w:p w14:paraId="447918C0" w14:textId="1B583C43" w:rsidR="00B26A2C" w:rsidRDefault="00BE7128" w:rsidP="00BE7128">
        <w:pPr>
          <w:pStyle w:val="Footer"/>
        </w:pPr>
        <w:r>
          <w:tab/>
        </w:r>
        <w:r>
          <w:tab/>
        </w:r>
        <w:r w:rsidR="007F6878">
          <w:fldChar w:fldCharType="begin"/>
        </w:r>
        <w:r w:rsidR="007F6878">
          <w:instrText>PAGE</w:instrText>
        </w:r>
        <w:r w:rsidR="007F6878">
          <w:fldChar w:fldCharType="separate"/>
        </w:r>
        <w:r w:rsidR="007F6878">
          <w:t>34</w:t>
        </w:r>
        <w:r w:rsidR="007F6878">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D073F" w14:textId="77777777" w:rsidR="0098667C" w:rsidRDefault="0098667C">
      <w:pPr>
        <w:spacing w:after="0" w:line="240" w:lineRule="auto"/>
      </w:pPr>
      <w:r>
        <w:separator/>
      </w:r>
    </w:p>
  </w:footnote>
  <w:footnote w:type="continuationSeparator" w:id="0">
    <w:p w14:paraId="0CB5ABA6" w14:textId="77777777" w:rsidR="0098667C" w:rsidRDefault="0098667C">
      <w:pPr>
        <w:spacing w:after="0" w:line="240" w:lineRule="auto"/>
      </w:pPr>
      <w:r>
        <w:continuationSeparator/>
      </w:r>
    </w:p>
  </w:footnote>
  <w:footnote w:type="continuationNotice" w:id="1">
    <w:p w14:paraId="3D73B293" w14:textId="77777777" w:rsidR="0098667C" w:rsidRDefault="0098667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C1F"/>
    <w:multiLevelType w:val="multilevel"/>
    <w:tmpl w:val="76949992"/>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2504AF0"/>
    <w:multiLevelType w:val="hybridMultilevel"/>
    <w:tmpl w:val="1B24BE4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8A275A"/>
    <w:multiLevelType w:val="multilevel"/>
    <w:tmpl w:val="E598A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BA0B1C"/>
    <w:multiLevelType w:val="hybridMultilevel"/>
    <w:tmpl w:val="B370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4F1D81"/>
    <w:multiLevelType w:val="hybridMultilevel"/>
    <w:tmpl w:val="0C42C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777E2D"/>
    <w:multiLevelType w:val="multilevel"/>
    <w:tmpl w:val="ADA65D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71621665"/>
    <w:multiLevelType w:val="hybridMultilevel"/>
    <w:tmpl w:val="B37E83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4"/>
  </w:num>
  <w:num w:numId="5">
    <w:abstractNumId w:val="3"/>
  </w:num>
  <w:num w:numId="6">
    <w:abstractNumId w:val="6"/>
  </w:num>
  <w:num w:numId="7">
    <w:abstractNumId w:val="1"/>
  </w:num>
  <w:num w:numId="8">
    <w:abstractNumId w:val="1"/>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6A2C"/>
    <w:rsid w:val="0000005F"/>
    <w:rsid w:val="00001D88"/>
    <w:rsid w:val="00002F1E"/>
    <w:rsid w:val="00004CBD"/>
    <w:rsid w:val="00006EFA"/>
    <w:rsid w:val="000071FB"/>
    <w:rsid w:val="00012699"/>
    <w:rsid w:val="00014C18"/>
    <w:rsid w:val="00015337"/>
    <w:rsid w:val="00015A1C"/>
    <w:rsid w:val="00017222"/>
    <w:rsid w:val="00023B99"/>
    <w:rsid w:val="00030A7C"/>
    <w:rsid w:val="000331F6"/>
    <w:rsid w:val="00033A20"/>
    <w:rsid w:val="000410C0"/>
    <w:rsid w:val="000411D8"/>
    <w:rsid w:val="00043697"/>
    <w:rsid w:val="0005105C"/>
    <w:rsid w:val="00053777"/>
    <w:rsid w:val="000540A4"/>
    <w:rsid w:val="000552E9"/>
    <w:rsid w:val="00055AD0"/>
    <w:rsid w:val="0005661D"/>
    <w:rsid w:val="00056D78"/>
    <w:rsid w:val="00066D8A"/>
    <w:rsid w:val="000676A2"/>
    <w:rsid w:val="00070FF1"/>
    <w:rsid w:val="00082DEC"/>
    <w:rsid w:val="00083C50"/>
    <w:rsid w:val="000911D5"/>
    <w:rsid w:val="000933A5"/>
    <w:rsid w:val="00093FE8"/>
    <w:rsid w:val="000966D3"/>
    <w:rsid w:val="00096A4B"/>
    <w:rsid w:val="000A1792"/>
    <w:rsid w:val="000B5018"/>
    <w:rsid w:val="000C3FD4"/>
    <w:rsid w:val="000C7855"/>
    <w:rsid w:val="000D329C"/>
    <w:rsid w:val="000D6AD3"/>
    <w:rsid w:val="000D6E63"/>
    <w:rsid w:val="000E20BC"/>
    <w:rsid w:val="000E4470"/>
    <w:rsid w:val="000E6C00"/>
    <w:rsid w:val="000F01BF"/>
    <w:rsid w:val="000F1F63"/>
    <w:rsid w:val="000F43C4"/>
    <w:rsid w:val="000F4D73"/>
    <w:rsid w:val="000F6D74"/>
    <w:rsid w:val="000F7B51"/>
    <w:rsid w:val="00101A16"/>
    <w:rsid w:val="00102B03"/>
    <w:rsid w:val="001076CA"/>
    <w:rsid w:val="00112574"/>
    <w:rsid w:val="001167CF"/>
    <w:rsid w:val="0011693E"/>
    <w:rsid w:val="001203E4"/>
    <w:rsid w:val="00124440"/>
    <w:rsid w:val="00130746"/>
    <w:rsid w:val="001311FE"/>
    <w:rsid w:val="00134051"/>
    <w:rsid w:val="00135AD2"/>
    <w:rsid w:val="00136A32"/>
    <w:rsid w:val="0014198D"/>
    <w:rsid w:val="00142278"/>
    <w:rsid w:val="001438BA"/>
    <w:rsid w:val="001440DA"/>
    <w:rsid w:val="0014540B"/>
    <w:rsid w:val="0014556C"/>
    <w:rsid w:val="00146375"/>
    <w:rsid w:val="00150C01"/>
    <w:rsid w:val="00151287"/>
    <w:rsid w:val="00151A8B"/>
    <w:rsid w:val="001546DF"/>
    <w:rsid w:val="00161DF9"/>
    <w:rsid w:val="001664F9"/>
    <w:rsid w:val="001711CD"/>
    <w:rsid w:val="00172C34"/>
    <w:rsid w:val="001735F8"/>
    <w:rsid w:val="001743AD"/>
    <w:rsid w:val="00174495"/>
    <w:rsid w:val="001749E5"/>
    <w:rsid w:val="00177544"/>
    <w:rsid w:val="00180A39"/>
    <w:rsid w:val="00183A74"/>
    <w:rsid w:val="00185137"/>
    <w:rsid w:val="001966A6"/>
    <w:rsid w:val="001A4489"/>
    <w:rsid w:val="001A5F5F"/>
    <w:rsid w:val="001A6B10"/>
    <w:rsid w:val="001B038E"/>
    <w:rsid w:val="001B16B2"/>
    <w:rsid w:val="001B1F97"/>
    <w:rsid w:val="001B4F46"/>
    <w:rsid w:val="001B6479"/>
    <w:rsid w:val="001C1FE1"/>
    <w:rsid w:val="001C5DAD"/>
    <w:rsid w:val="001D05F4"/>
    <w:rsid w:val="001D1249"/>
    <w:rsid w:val="001D3C4E"/>
    <w:rsid w:val="001D71AF"/>
    <w:rsid w:val="001E2C29"/>
    <w:rsid w:val="001E3495"/>
    <w:rsid w:val="001E7C8F"/>
    <w:rsid w:val="001F79D0"/>
    <w:rsid w:val="0020241F"/>
    <w:rsid w:val="0020547F"/>
    <w:rsid w:val="002072FE"/>
    <w:rsid w:val="002125C7"/>
    <w:rsid w:val="00213D8C"/>
    <w:rsid w:val="00216A08"/>
    <w:rsid w:val="00220BF3"/>
    <w:rsid w:val="00224D3A"/>
    <w:rsid w:val="002309C8"/>
    <w:rsid w:val="00231067"/>
    <w:rsid w:val="00252F52"/>
    <w:rsid w:val="00256F6F"/>
    <w:rsid w:val="00260488"/>
    <w:rsid w:val="00261631"/>
    <w:rsid w:val="00262FF7"/>
    <w:rsid w:val="00265DFC"/>
    <w:rsid w:val="00266315"/>
    <w:rsid w:val="00267A5B"/>
    <w:rsid w:val="002730EA"/>
    <w:rsid w:val="00276397"/>
    <w:rsid w:val="00277BE2"/>
    <w:rsid w:val="00282697"/>
    <w:rsid w:val="0028297C"/>
    <w:rsid w:val="00282C04"/>
    <w:rsid w:val="002836FA"/>
    <w:rsid w:val="00283BAB"/>
    <w:rsid w:val="00283C76"/>
    <w:rsid w:val="00284BE7"/>
    <w:rsid w:val="002853CF"/>
    <w:rsid w:val="002863C4"/>
    <w:rsid w:val="0028678F"/>
    <w:rsid w:val="00286B40"/>
    <w:rsid w:val="00286F3D"/>
    <w:rsid w:val="00294E53"/>
    <w:rsid w:val="002951DF"/>
    <w:rsid w:val="002A05B5"/>
    <w:rsid w:val="002A08BA"/>
    <w:rsid w:val="002A1E67"/>
    <w:rsid w:val="002A361E"/>
    <w:rsid w:val="002A3D09"/>
    <w:rsid w:val="002A42ED"/>
    <w:rsid w:val="002A47A9"/>
    <w:rsid w:val="002B56DA"/>
    <w:rsid w:val="002B5BD8"/>
    <w:rsid w:val="002C6660"/>
    <w:rsid w:val="002C709B"/>
    <w:rsid w:val="002C7C44"/>
    <w:rsid w:val="002D4453"/>
    <w:rsid w:val="002D52B2"/>
    <w:rsid w:val="002E1F77"/>
    <w:rsid w:val="002E340D"/>
    <w:rsid w:val="002F07C3"/>
    <w:rsid w:val="002F1C6F"/>
    <w:rsid w:val="002F2D5E"/>
    <w:rsid w:val="002F6494"/>
    <w:rsid w:val="002F75FF"/>
    <w:rsid w:val="00302571"/>
    <w:rsid w:val="0030598D"/>
    <w:rsid w:val="00305D56"/>
    <w:rsid w:val="00306B4A"/>
    <w:rsid w:val="00307B52"/>
    <w:rsid w:val="003114DF"/>
    <w:rsid w:val="00311A83"/>
    <w:rsid w:val="00314FC0"/>
    <w:rsid w:val="003235B2"/>
    <w:rsid w:val="00326B9D"/>
    <w:rsid w:val="00330DA5"/>
    <w:rsid w:val="00336E2F"/>
    <w:rsid w:val="0034291C"/>
    <w:rsid w:val="0034349F"/>
    <w:rsid w:val="003469C2"/>
    <w:rsid w:val="003473C8"/>
    <w:rsid w:val="00350C87"/>
    <w:rsid w:val="00352C1A"/>
    <w:rsid w:val="00354236"/>
    <w:rsid w:val="00354B14"/>
    <w:rsid w:val="003569E2"/>
    <w:rsid w:val="00360F7C"/>
    <w:rsid w:val="0036260D"/>
    <w:rsid w:val="003633BE"/>
    <w:rsid w:val="00365B27"/>
    <w:rsid w:val="00367923"/>
    <w:rsid w:val="00371A5C"/>
    <w:rsid w:val="00372CB5"/>
    <w:rsid w:val="00373885"/>
    <w:rsid w:val="003775F2"/>
    <w:rsid w:val="0038478F"/>
    <w:rsid w:val="003849F4"/>
    <w:rsid w:val="003873CC"/>
    <w:rsid w:val="003907A4"/>
    <w:rsid w:val="00392595"/>
    <w:rsid w:val="00396B1E"/>
    <w:rsid w:val="00396C56"/>
    <w:rsid w:val="00396C66"/>
    <w:rsid w:val="003A067A"/>
    <w:rsid w:val="003A27D1"/>
    <w:rsid w:val="003B0A8D"/>
    <w:rsid w:val="003B51DF"/>
    <w:rsid w:val="003D1E9A"/>
    <w:rsid w:val="003E2DDC"/>
    <w:rsid w:val="003E4290"/>
    <w:rsid w:val="003E5A50"/>
    <w:rsid w:val="003E6487"/>
    <w:rsid w:val="003E658C"/>
    <w:rsid w:val="003F41E5"/>
    <w:rsid w:val="003F601A"/>
    <w:rsid w:val="004032D6"/>
    <w:rsid w:val="004111B3"/>
    <w:rsid w:val="00415072"/>
    <w:rsid w:val="00422546"/>
    <w:rsid w:val="0042416A"/>
    <w:rsid w:val="0042647C"/>
    <w:rsid w:val="004267BF"/>
    <w:rsid w:val="00427D18"/>
    <w:rsid w:val="0043324D"/>
    <w:rsid w:val="004346AE"/>
    <w:rsid w:val="00434845"/>
    <w:rsid w:val="0043614B"/>
    <w:rsid w:val="00444852"/>
    <w:rsid w:val="004450DA"/>
    <w:rsid w:val="00445779"/>
    <w:rsid w:val="00450817"/>
    <w:rsid w:val="00452A41"/>
    <w:rsid w:val="004569CD"/>
    <w:rsid w:val="0046408D"/>
    <w:rsid w:val="004658D1"/>
    <w:rsid w:val="00467E2D"/>
    <w:rsid w:val="00467F69"/>
    <w:rsid w:val="00471A0F"/>
    <w:rsid w:val="00471B1F"/>
    <w:rsid w:val="004745F6"/>
    <w:rsid w:val="00476F46"/>
    <w:rsid w:val="00477E31"/>
    <w:rsid w:val="00480E98"/>
    <w:rsid w:val="00485FC2"/>
    <w:rsid w:val="004860D8"/>
    <w:rsid w:val="004933D8"/>
    <w:rsid w:val="004944FC"/>
    <w:rsid w:val="00494845"/>
    <w:rsid w:val="00494BFB"/>
    <w:rsid w:val="004962BC"/>
    <w:rsid w:val="00496BD3"/>
    <w:rsid w:val="004A1687"/>
    <w:rsid w:val="004A1E60"/>
    <w:rsid w:val="004A1F48"/>
    <w:rsid w:val="004A2016"/>
    <w:rsid w:val="004A3E06"/>
    <w:rsid w:val="004A66CB"/>
    <w:rsid w:val="004B2F95"/>
    <w:rsid w:val="004B54B5"/>
    <w:rsid w:val="004B5812"/>
    <w:rsid w:val="004C3948"/>
    <w:rsid w:val="004C3F4D"/>
    <w:rsid w:val="004C5754"/>
    <w:rsid w:val="004C6E68"/>
    <w:rsid w:val="004D01E6"/>
    <w:rsid w:val="004D0A39"/>
    <w:rsid w:val="004D5A76"/>
    <w:rsid w:val="004E0D49"/>
    <w:rsid w:val="004F53A2"/>
    <w:rsid w:val="00501460"/>
    <w:rsid w:val="00502480"/>
    <w:rsid w:val="0050405B"/>
    <w:rsid w:val="005053D8"/>
    <w:rsid w:val="00507C56"/>
    <w:rsid w:val="005110CA"/>
    <w:rsid w:val="00511AF4"/>
    <w:rsid w:val="005154E0"/>
    <w:rsid w:val="00516F54"/>
    <w:rsid w:val="00524518"/>
    <w:rsid w:val="00524CC9"/>
    <w:rsid w:val="00524CEB"/>
    <w:rsid w:val="00525870"/>
    <w:rsid w:val="00526FD9"/>
    <w:rsid w:val="00530533"/>
    <w:rsid w:val="00530DC3"/>
    <w:rsid w:val="005353BA"/>
    <w:rsid w:val="0054120B"/>
    <w:rsid w:val="005412E9"/>
    <w:rsid w:val="00543BC7"/>
    <w:rsid w:val="00544CFD"/>
    <w:rsid w:val="00555067"/>
    <w:rsid w:val="005571AF"/>
    <w:rsid w:val="0055720B"/>
    <w:rsid w:val="00557958"/>
    <w:rsid w:val="0056205B"/>
    <w:rsid w:val="005701FF"/>
    <w:rsid w:val="00572A4F"/>
    <w:rsid w:val="00573FF0"/>
    <w:rsid w:val="0058119F"/>
    <w:rsid w:val="0058389B"/>
    <w:rsid w:val="00586156"/>
    <w:rsid w:val="005949F3"/>
    <w:rsid w:val="00595CE1"/>
    <w:rsid w:val="005A0B7A"/>
    <w:rsid w:val="005A2E75"/>
    <w:rsid w:val="005B5CE0"/>
    <w:rsid w:val="005C414F"/>
    <w:rsid w:val="005C51A8"/>
    <w:rsid w:val="005C73EA"/>
    <w:rsid w:val="005D334E"/>
    <w:rsid w:val="005D3C5D"/>
    <w:rsid w:val="005D4E80"/>
    <w:rsid w:val="005D51BF"/>
    <w:rsid w:val="005E092A"/>
    <w:rsid w:val="005E102A"/>
    <w:rsid w:val="005E47D2"/>
    <w:rsid w:val="005E4A2F"/>
    <w:rsid w:val="005E4C5B"/>
    <w:rsid w:val="005E4EA4"/>
    <w:rsid w:val="005E69B1"/>
    <w:rsid w:val="005F0B6D"/>
    <w:rsid w:val="005F3166"/>
    <w:rsid w:val="005F36AF"/>
    <w:rsid w:val="005F40AA"/>
    <w:rsid w:val="005F60F7"/>
    <w:rsid w:val="005F7E21"/>
    <w:rsid w:val="00602909"/>
    <w:rsid w:val="00602AFF"/>
    <w:rsid w:val="00604874"/>
    <w:rsid w:val="00606565"/>
    <w:rsid w:val="00613A29"/>
    <w:rsid w:val="00624DA7"/>
    <w:rsid w:val="00625B91"/>
    <w:rsid w:val="006266B6"/>
    <w:rsid w:val="0062709B"/>
    <w:rsid w:val="00627D4A"/>
    <w:rsid w:val="00632B3E"/>
    <w:rsid w:val="00633E78"/>
    <w:rsid w:val="006343E0"/>
    <w:rsid w:val="00637EF5"/>
    <w:rsid w:val="006422FB"/>
    <w:rsid w:val="00642AD5"/>
    <w:rsid w:val="00644DCB"/>
    <w:rsid w:val="006457B5"/>
    <w:rsid w:val="00647A71"/>
    <w:rsid w:val="00650A68"/>
    <w:rsid w:val="00654392"/>
    <w:rsid w:val="00655FD2"/>
    <w:rsid w:val="006575A3"/>
    <w:rsid w:val="00664DDE"/>
    <w:rsid w:val="006661FD"/>
    <w:rsid w:val="00666C95"/>
    <w:rsid w:val="00670B03"/>
    <w:rsid w:val="00675BA0"/>
    <w:rsid w:val="006832B1"/>
    <w:rsid w:val="00685476"/>
    <w:rsid w:val="00695956"/>
    <w:rsid w:val="006A013A"/>
    <w:rsid w:val="006A30D6"/>
    <w:rsid w:val="006A5236"/>
    <w:rsid w:val="006B1B18"/>
    <w:rsid w:val="006B6CE5"/>
    <w:rsid w:val="006C1521"/>
    <w:rsid w:val="006C1D00"/>
    <w:rsid w:val="006C65C5"/>
    <w:rsid w:val="006D04C2"/>
    <w:rsid w:val="006D4A5D"/>
    <w:rsid w:val="006D528A"/>
    <w:rsid w:val="006D60B3"/>
    <w:rsid w:val="006D6AFE"/>
    <w:rsid w:val="006D714F"/>
    <w:rsid w:val="006D73C5"/>
    <w:rsid w:val="006E4E4B"/>
    <w:rsid w:val="006E5A24"/>
    <w:rsid w:val="006F2E0D"/>
    <w:rsid w:val="006F3626"/>
    <w:rsid w:val="006F4C74"/>
    <w:rsid w:val="006F51F4"/>
    <w:rsid w:val="006F5C16"/>
    <w:rsid w:val="00700502"/>
    <w:rsid w:val="00701AE4"/>
    <w:rsid w:val="00702134"/>
    <w:rsid w:val="00702CB3"/>
    <w:rsid w:val="00705329"/>
    <w:rsid w:val="007057C3"/>
    <w:rsid w:val="00707AB2"/>
    <w:rsid w:val="00713CA5"/>
    <w:rsid w:val="00715302"/>
    <w:rsid w:val="00716BC5"/>
    <w:rsid w:val="0072056F"/>
    <w:rsid w:val="00720CBB"/>
    <w:rsid w:val="0072208D"/>
    <w:rsid w:val="0073042B"/>
    <w:rsid w:val="00730F75"/>
    <w:rsid w:val="00732A17"/>
    <w:rsid w:val="00735AFE"/>
    <w:rsid w:val="00736A3E"/>
    <w:rsid w:val="00742607"/>
    <w:rsid w:val="007448C8"/>
    <w:rsid w:val="00744E86"/>
    <w:rsid w:val="00750516"/>
    <w:rsid w:val="007578FC"/>
    <w:rsid w:val="00761043"/>
    <w:rsid w:val="00772D1A"/>
    <w:rsid w:val="00775AD5"/>
    <w:rsid w:val="007823F5"/>
    <w:rsid w:val="0078556F"/>
    <w:rsid w:val="0078730E"/>
    <w:rsid w:val="00791537"/>
    <w:rsid w:val="007979FA"/>
    <w:rsid w:val="007A15D1"/>
    <w:rsid w:val="007A29AC"/>
    <w:rsid w:val="007A3DFF"/>
    <w:rsid w:val="007A543B"/>
    <w:rsid w:val="007A63AF"/>
    <w:rsid w:val="007A7501"/>
    <w:rsid w:val="007B7A75"/>
    <w:rsid w:val="007C0323"/>
    <w:rsid w:val="007C1B87"/>
    <w:rsid w:val="007C3535"/>
    <w:rsid w:val="007C54D5"/>
    <w:rsid w:val="007D133D"/>
    <w:rsid w:val="007D221D"/>
    <w:rsid w:val="007D384A"/>
    <w:rsid w:val="007D4DDD"/>
    <w:rsid w:val="007D61DF"/>
    <w:rsid w:val="007D6764"/>
    <w:rsid w:val="007D6F3A"/>
    <w:rsid w:val="007D7006"/>
    <w:rsid w:val="007D76F9"/>
    <w:rsid w:val="007E005B"/>
    <w:rsid w:val="007E43A6"/>
    <w:rsid w:val="007E5D09"/>
    <w:rsid w:val="007E6FEB"/>
    <w:rsid w:val="007E79B5"/>
    <w:rsid w:val="007F59D8"/>
    <w:rsid w:val="007F600E"/>
    <w:rsid w:val="007F6878"/>
    <w:rsid w:val="007F7117"/>
    <w:rsid w:val="00802685"/>
    <w:rsid w:val="00804B56"/>
    <w:rsid w:val="0081078D"/>
    <w:rsid w:val="00816D2A"/>
    <w:rsid w:val="008211F9"/>
    <w:rsid w:val="008227D6"/>
    <w:rsid w:val="0082449E"/>
    <w:rsid w:val="00827AF6"/>
    <w:rsid w:val="00830863"/>
    <w:rsid w:val="00830EC4"/>
    <w:rsid w:val="008332E4"/>
    <w:rsid w:val="00836354"/>
    <w:rsid w:val="00837522"/>
    <w:rsid w:val="00843911"/>
    <w:rsid w:val="00844E28"/>
    <w:rsid w:val="00845380"/>
    <w:rsid w:val="00845F74"/>
    <w:rsid w:val="00846EA1"/>
    <w:rsid w:val="0086194A"/>
    <w:rsid w:val="00861972"/>
    <w:rsid w:val="00862C80"/>
    <w:rsid w:val="00864CD6"/>
    <w:rsid w:val="00866C3A"/>
    <w:rsid w:val="00872539"/>
    <w:rsid w:val="00872800"/>
    <w:rsid w:val="0088477D"/>
    <w:rsid w:val="00884DF4"/>
    <w:rsid w:val="00886704"/>
    <w:rsid w:val="0089056D"/>
    <w:rsid w:val="00891A01"/>
    <w:rsid w:val="0089494D"/>
    <w:rsid w:val="00895CC2"/>
    <w:rsid w:val="008A4BEA"/>
    <w:rsid w:val="008A52C4"/>
    <w:rsid w:val="008A57B1"/>
    <w:rsid w:val="008A7B50"/>
    <w:rsid w:val="008A7FBC"/>
    <w:rsid w:val="008B0660"/>
    <w:rsid w:val="008B2F47"/>
    <w:rsid w:val="008B4E97"/>
    <w:rsid w:val="008C0976"/>
    <w:rsid w:val="008C0E27"/>
    <w:rsid w:val="008C62B4"/>
    <w:rsid w:val="008C6AC9"/>
    <w:rsid w:val="008C77A4"/>
    <w:rsid w:val="008C7AAF"/>
    <w:rsid w:val="008E3AF3"/>
    <w:rsid w:val="008E58EB"/>
    <w:rsid w:val="008E7458"/>
    <w:rsid w:val="008F1D9B"/>
    <w:rsid w:val="008F222C"/>
    <w:rsid w:val="008F44CB"/>
    <w:rsid w:val="008F5756"/>
    <w:rsid w:val="008F66F6"/>
    <w:rsid w:val="00900705"/>
    <w:rsid w:val="00903CFB"/>
    <w:rsid w:val="0091106D"/>
    <w:rsid w:val="0091298E"/>
    <w:rsid w:val="00912CBA"/>
    <w:rsid w:val="0091427C"/>
    <w:rsid w:val="009152FE"/>
    <w:rsid w:val="00915328"/>
    <w:rsid w:val="00915DD6"/>
    <w:rsid w:val="0091618F"/>
    <w:rsid w:val="0092256A"/>
    <w:rsid w:val="00922EE6"/>
    <w:rsid w:val="00924995"/>
    <w:rsid w:val="00924C7C"/>
    <w:rsid w:val="00924EFA"/>
    <w:rsid w:val="009349FF"/>
    <w:rsid w:val="00940A77"/>
    <w:rsid w:val="009410F1"/>
    <w:rsid w:val="009414A5"/>
    <w:rsid w:val="00942375"/>
    <w:rsid w:val="00944DFE"/>
    <w:rsid w:val="00950C2E"/>
    <w:rsid w:val="0095306A"/>
    <w:rsid w:val="00953C28"/>
    <w:rsid w:val="009544EE"/>
    <w:rsid w:val="00957143"/>
    <w:rsid w:val="009605BE"/>
    <w:rsid w:val="009617DF"/>
    <w:rsid w:val="00964EC7"/>
    <w:rsid w:val="00965EA5"/>
    <w:rsid w:val="00966312"/>
    <w:rsid w:val="00966534"/>
    <w:rsid w:val="00966E91"/>
    <w:rsid w:val="00967ACD"/>
    <w:rsid w:val="00967FED"/>
    <w:rsid w:val="009702C6"/>
    <w:rsid w:val="00970DC9"/>
    <w:rsid w:val="00971C76"/>
    <w:rsid w:val="009726AC"/>
    <w:rsid w:val="0097718D"/>
    <w:rsid w:val="0098292B"/>
    <w:rsid w:val="00983C00"/>
    <w:rsid w:val="009840CD"/>
    <w:rsid w:val="00985539"/>
    <w:rsid w:val="0098667C"/>
    <w:rsid w:val="009879E9"/>
    <w:rsid w:val="00990CCE"/>
    <w:rsid w:val="0099194E"/>
    <w:rsid w:val="009944F7"/>
    <w:rsid w:val="0099451A"/>
    <w:rsid w:val="00994AE5"/>
    <w:rsid w:val="00995D4D"/>
    <w:rsid w:val="009966C1"/>
    <w:rsid w:val="009A2555"/>
    <w:rsid w:val="009A5EA1"/>
    <w:rsid w:val="009B39E7"/>
    <w:rsid w:val="009B3D1C"/>
    <w:rsid w:val="009B3F26"/>
    <w:rsid w:val="009B7468"/>
    <w:rsid w:val="009C0082"/>
    <w:rsid w:val="009C2C8F"/>
    <w:rsid w:val="009C33AE"/>
    <w:rsid w:val="009C3E51"/>
    <w:rsid w:val="009D04F2"/>
    <w:rsid w:val="009D2BDF"/>
    <w:rsid w:val="009D3317"/>
    <w:rsid w:val="009D5160"/>
    <w:rsid w:val="009D5859"/>
    <w:rsid w:val="009D754D"/>
    <w:rsid w:val="009D775D"/>
    <w:rsid w:val="009E0F97"/>
    <w:rsid w:val="009E49C7"/>
    <w:rsid w:val="009E5509"/>
    <w:rsid w:val="009E68DF"/>
    <w:rsid w:val="009E6AB2"/>
    <w:rsid w:val="009E7AC3"/>
    <w:rsid w:val="009F03CB"/>
    <w:rsid w:val="009F17D7"/>
    <w:rsid w:val="009F1C3B"/>
    <w:rsid w:val="009F2186"/>
    <w:rsid w:val="009F26D5"/>
    <w:rsid w:val="009F2CAC"/>
    <w:rsid w:val="009F4368"/>
    <w:rsid w:val="00A00140"/>
    <w:rsid w:val="00A012E9"/>
    <w:rsid w:val="00A05200"/>
    <w:rsid w:val="00A104E8"/>
    <w:rsid w:val="00A14E60"/>
    <w:rsid w:val="00A15E75"/>
    <w:rsid w:val="00A21A79"/>
    <w:rsid w:val="00A23BDD"/>
    <w:rsid w:val="00A24B4B"/>
    <w:rsid w:val="00A255F6"/>
    <w:rsid w:val="00A26A11"/>
    <w:rsid w:val="00A26DD8"/>
    <w:rsid w:val="00A32268"/>
    <w:rsid w:val="00A328AC"/>
    <w:rsid w:val="00A340DF"/>
    <w:rsid w:val="00A34286"/>
    <w:rsid w:val="00A3604F"/>
    <w:rsid w:val="00A4040A"/>
    <w:rsid w:val="00A41477"/>
    <w:rsid w:val="00A41B3B"/>
    <w:rsid w:val="00A45AFB"/>
    <w:rsid w:val="00A473ED"/>
    <w:rsid w:val="00A50AE9"/>
    <w:rsid w:val="00A5165E"/>
    <w:rsid w:val="00A53499"/>
    <w:rsid w:val="00A605B3"/>
    <w:rsid w:val="00A60829"/>
    <w:rsid w:val="00A60A91"/>
    <w:rsid w:val="00A62212"/>
    <w:rsid w:val="00A62F42"/>
    <w:rsid w:val="00A644DF"/>
    <w:rsid w:val="00A6645F"/>
    <w:rsid w:val="00A70088"/>
    <w:rsid w:val="00A724D5"/>
    <w:rsid w:val="00AA205B"/>
    <w:rsid w:val="00AA23FC"/>
    <w:rsid w:val="00AA3E4E"/>
    <w:rsid w:val="00AA5285"/>
    <w:rsid w:val="00AB0D1F"/>
    <w:rsid w:val="00AB0D8E"/>
    <w:rsid w:val="00AB268D"/>
    <w:rsid w:val="00AB2953"/>
    <w:rsid w:val="00AB32ED"/>
    <w:rsid w:val="00AB43D1"/>
    <w:rsid w:val="00AC3FB4"/>
    <w:rsid w:val="00AC59CD"/>
    <w:rsid w:val="00AD0B04"/>
    <w:rsid w:val="00AD5A7D"/>
    <w:rsid w:val="00AE0864"/>
    <w:rsid w:val="00AE0BA4"/>
    <w:rsid w:val="00AE1BEC"/>
    <w:rsid w:val="00AE2019"/>
    <w:rsid w:val="00AE282C"/>
    <w:rsid w:val="00AE302A"/>
    <w:rsid w:val="00AE4C0C"/>
    <w:rsid w:val="00AE5616"/>
    <w:rsid w:val="00AE5E1D"/>
    <w:rsid w:val="00AE645C"/>
    <w:rsid w:val="00AE6739"/>
    <w:rsid w:val="00AE7663"/>
    <w:rsid w:val="00AE7E02"/>
    <w:rsid w:val="00AF39AB"/>
    <w:rsid w:val="00AF543F"/>
    <w:rsid w:val="00B004F5"/>
    <w:rsid w:val="00B02C72"/>
    <w:rsid w:val="00B06D87"/>
    <w:rsid w:val="00B07A6D"/>
    <w:rsid w:val="00B13370"/>
    <w:rsid w:val="00B1531C"/>
    <w:rsid w:val="00B22B74"/>
    <w:rsid w:val="00B259A5"/>
    <w:rsid w:val="00B25D9D"/>
    <w:rsid w:val="00B26A2C"/>
    <w:rsid w:val="00B277EF"/>
    <w:rsid w:val="00B311A4"/>
    <w:rsid w:val="00B31598"/>
    <w:rsid w:val="00B32A28"/>
    <w:rsid w:val="00B32D46"/>
    <w:rsid w:val="00B333DD"/>
    <w:rsid w:val="00B3492D"/>
    <w:rsid w:val="00B36AF2"/>
    <w:rsid w:val="00B37448"/>
    <w:rsid w:val="00B41B55"/>
    <w:rsid w:val="00B42970"/>
    <w:rsid w:val="00B46A9E"/>
    <w:rsid w:val="00B53145"/>
    <w:rsid w:val="00B57C1A"/>
    <w:rsid w:val="00B60AFA"/>
    <w:rsid w:val="00B61B6D"/>
    <w:rsid w:val="00B63A1E"/>
    <w:rsid w:val="00B64703"/>
    <w:rsid w:val="00B64B51"/>
    <w:rsid w:val="00B74FF6"/>
    <w:rsid w:val="00B7615E"/>
    <w:rsid w:val="00B7662E"/>
    <w:rsid w:val="00B80655"/>
    <w:rsid w:val="00B82E13"/>
    <w:rsid w:val="00B84037"/>
    <w:rsid w:val="00B8635D"/>
    <w:rsid w:val="00B86371"/>
    <w:rsid w:val="00B865AE"/>
    <w:rsid w:val="00B86AA0"/>
    <w:rsid w:val="00B872E3"/>
    <w:rsid w:val="00B9583C"/>
    <w:rsid w:val="00BA05F3"/>
    <w:rsid w:val="00BA2679"/>
    <w:rsid w:val="00BA5DC3"/>
    <w:rsid w:val="00BA5E92"/>
    <w:rsid w:val="00BA6284"/>
    <w:rsid w:val="00BB156B"/>
    <w:rsid w:val="00BB1CBA"/>
    <w:rsid w:val="00BB62AB"/>
    <w:rsid w:val="00BB79BC"/>
    <w:rsid w:val="00BC046D"/>
    <w:rsid w:val="00BC2A86"/>
    <w:rsid w:val="00BC3670"/>
    <w:rsid w:val="00BC79CD"/>
    <w:rsid w:val="00BD125C"/>
    <w:rsid w:val="00BD3E28"/>
    <w:rsid w:val="00BD47E1"/>
    <w:rsid w:val="00BE550B"/>
    <w:rsid w:val="00BE5F2A"/>
    <w:rsid w:val="00BE7128"/>
    <w:rsid w:val="00BE7BDF"/>
    <w:rsid w:val="00BF1A6F"/>
    <w:rsid w:val="00BF3AC3"/>
    <w:rsid w:val="00BF401C"/>
    <w:rsid w:val="00BF6BB9"/>
    <w:rsid w:val="00C108A9"/>
    <w:rsid w:val="00C10F47"/>
    <w:rsid w:val="00C14D6E"/>
    <w:rsid w:val="00C158BB"/>
    <w:rsid w:val="00C16DAC"/>
    <w:rsid w:val="00C17239"/>
    <w:rsid w:val="00C2070A"/>
    <w:rsid w:val="00C208DA"/>
    <w:rsid w:val="00C227E6"/>
    <w:rsid w:val="00C23CBF"/>
    <w:rsid w:val="00C243EC"/>
    <w:rsid w:val="00C245A9"/>
    <w:rsid w:val="00C336E4"/>
    <w:rsid w:val="00C34CC7"/>
    <w:rsid w:val="00C376A8"/>
    <w:rsid w:val="00C41C94"/>
    <w:rsid w:val="00C50C95"/>
    <w:rsid w:val="00C50CA7"/>
    <w:rsid w:val="00C50F4A"/>
    <w:rsid w:val="00C52570"/>
    <w:rsid w:val="00C53128"/>
    <w:rsid w:val="00C54BBC"/>
    <w:rsid w:val="00C60521"/>
    <w:rsid w:val="00C61287"/>
    <w:rsid w:val="00C618DA"/>
    <w:rsid w:val="00C628B6"/>
    <w:rsid w:val="00C63198"/>
    <w:rsid w:val="00C63B08"/>
    <w:rsid w:val="00C65754"/>
    <w:rsid w:val="00C66F58"/>
    <w:rsid w:val="00C71924"/>
    <w:rsid w:val="00C71F6B"/>
    <w:rsid w:val="00C75424"/>
    <w:rsid w:val="00C80D14"/>
    <w:rsid w:val="00C82170"/>
    <w:rsid w:val="00C85605"/>
    <w:rsid w:val="00C87904"/>
    <w:rsid w:val="00C92932"/>
    <w:rsid w:val="00C92B72"/>
    <w:rsid w:val="00CA02C3"/>
    <w:rsid w:val="00CA3588"/>
    <w:rsid w:val="00CA474E"/>
    <w:rsid w:val="00CA5371"/>
    <w:rsid w:val="00CA675D"/>
    <w:rsid w:val="00CB055B"/>
    <w:rsid w:val="00CB060F"/>
    <w:rsid w:val="00CB5DF1"/>
    <w:rsid w:val="00CB70B6"/>
    <w:rsid w:val="00CC0710"/>
    <w:rsid w:val="00CC0C67"/>
    <w:rsid w:val="00CC43EA"/>
    <w:rsid w:val="00CC44AD"/>
    <w:rsid w:val="00CD091F"/>
    <w:rsid w:val="00CD446B"/>
    <w:rsid w:val="00CD5508"/>
    <w:rsid w:val="00CD6444"/>
    <w:rsid w:val="00CD6600"/>
    <w:rsid w:val="00CD6C3A"/>
    <w:rsid w:val="00CE02E2"/>
    <w:rsid w:val="00CE0E91"/>
    <w:rsid w:val="00CE16B7"/>
    <w:rsid w:val="00CE3A39"/>
    <w:rsid w:val="00CE5DE3"/>
    <w:rsid w:val="00CE5F21"/>
    <w:rsid w:val="00CE5FF4"/>
    <w:rsid w:val="00CE675B"/>
    <w:rsid w:val="00CE7AB7"/>
    <w:rsid w:val="00CF0A2B"/>
    <w:rsid w:val="00D01E2A"/>
    <w:rsid w:val="00D02FD8"/>
    <w:rsid w:val="00D11DB4"/>
    <w:rsid w:val="00D1592C"/>
    <w:rsid w:val="00D1615C"/>
    <w:rsid w:val="00D16E1C"/>
    <w:rsid w:val="00D1720B"/>
    <w:rsid w:val="00D17554"/>
    <w:rsid w:val="00D31A39"/>
    <w:rsid w:val="00D333EC"/>
    <w:rsid w:val="00D337B9"/>
    <w:rsid w:val="00D33C94"/>
    <w:rsid w:val="00D34E64"/>
    <w:rsid w:val="00D35063"/>
    <w:rsid w:val="00D366ED"/>
    <w:rsid w:val="00D3676C"/>
    <w:rsid w:val="00D40191"/>
    <w:rsid w:val="00D471BF"/>
    <w:rsid w:val="00D50A3B"/>
    <w:rsid w:val="00D521CD"/>
    <w:rsid w:val="00D5573F"/>
    <w:rsid w:val="00D62223"/>
    <w:rsid w:val="00D648A7"/>
    <w:rsid w:val="00D714C2"/>
    <w:rsid w:val="00D80814"/>
    <w:rsid w:val="00D80D7E"/>
    <w:rsid w:val="00D828B9"/>
    <w:rsid w:val="00D82EF7"/>
    <w:rsid w:val="00D83478"/>
    <w:rsid w:val="00D83A76"/>
    <w:rsid w:val="00D847A1"/>
    <w:rsid w:val="00D84F06"/>
    <w:rsid w:val="00D84FDE"/>
    <w:rsid w:val="00D90C17"/>
    <w:rsid w:val="00D94BB3"/>
    <w:rsid w:val="00D961EF"/>
    <w:rsid w:val="00D9651C"/>
    <w:rsid w:val="00D96528"/>
    <w:rsid w:val="00D96E52"/>
    <w:rsid w:val="00D9700A"/>
    <w:rsid w:val="00D97713"/>
    <w:rsid w:val="00DA12A1"/>
    <w:rsid w:val="00DA4473"/>
    <w:rsid w:val="00DA4D48"/>
    <w:rsid w:val="00DA5AE2"/>
    <w:rsid w:val="00DA7370"/>
    <w:rsid w:val="00DB09DF"/>
    <w:rsid w:val="00DB33D0"/>
    <w:rsid w:val="00DB3CE9"/>
    <w:rsid w:val="00DB5AF3"/>
    <w:rsid w:val="00DB5C12"/>
    <w:rsid w:val="00DC1024"/>
    <w:rsid w:val="00DC1C9E"/>
    <w:rsid w:val="00DC2BC4"/>
    <w:rsid w:val="00DC5557"/>
    <w:rsid w:val="00DC5F24"/>
    <w:rsid w:val="00DC6389"/>
    <w:rsid w:val="00DC7B82"/>
    <w:rsid w:val="00DC7F51"/>
    <w:rsid w:val="00DD09F1"/>
    <w:rsid w:val="00DD1FF5"/>
    <w:rsid w:val="00DD3F56"/>
    <w:rsid w:val="00DD5600"/>
    <w:rsid w:val="00DD5BE9"/>
    <w:rsid w:val="00DE0E05"/>
    <w:rsid w:val="00DE28A5"/>
    <w:rsid w:val="00DE3422"/>
    <w:rsid w:val="00DE4EB8"/>
    <w:rsid w:val="00DE5AE8"/>
    <w:rsid w:val="00DF1C3C"/>
    <w:rsid w:val="00DF21A9"/>
    <w:rsid w:val="00DF2B95"/>
    <w:rsid w:val="00E005D5"/>
    <w:rsid w:val="00E05EC2"/>
    <w:rsid w:val="00E068AD"/>
    <w:rsid w:val="00E10175"/>
    <w:rsid w:val="00E11E65"/>
    <w:rsid w:val="00E14346"/>
    <w:rsid w:val="00E15C42"/>
    <w:rsid w:val="00E22D6E"/>
    <w:rsid w:val="00E22D7B"/>
    <w:rsid w:val="00E23B58"/>
    <w:rsid w:val="00E269FC"/>
    <w:rsid w:val="00E27047"/>
    <w:rsid w:val="00E30BF2"/>
    <w:rsid w:val="00E311E4"/>
    <w:rsid w:val="00E32150"/>
    <w:rsid w:val="00E33F95"/>
    <w:rsid w:val="00E3703D"/>
    <w:rsid w:val="00E42573"/>
    <w:rsid w:val="00E43ED4"/>
    <w:rsid w:val="00E43EF2"/>
    <w:rsid w:val="00E44078"/>
    <w:rsid w:val="00E455D5"/>
    <w:rsid w:val="00E478AA"/>
    <w:rsid w:val="00E5026B"/>
    <w:rsid w:val="00E53A53"/>
    <w:rsid w:val="00E57CB1"/>
    <w:rsid w:val="00E57DB7"/>
    <w:rsid w:val="00E628A6"/>
    <w:rsid w:val="00E672B5"/>
    <w:rsid w:val="00E73DE5"/>
    <w:rsid w:val="00E82215"/>
    <w:rsid w:val="00E83938"/>
    <w:rsid w:val="00E842CE"/>
    <w:rsid w:val="00E84DE8"/>
    <w:rsid w:val="00E87DD1"/>
    <w:rsid w:val="00E9102D"/>
    <w:rsid w:val="00E9137C"/>
    <w:rsid w:val="00E920CA"/>
    <w:rsid w:val="00E935CA"/>
    <w:rsid w:val="00E93E60"/>
    <w:rsid w:val="00E9771A"/>
    <w:rsid w:val="00EA170A"/>
    <w:rsid w:val="00EA29E2"/>
    <w:rsid w:val="00EA49B0"/>
    <w:rsid w:val="00EA7B68"/>
    <w:rsid w:val="00EB1534"/>
    <w:rsid w:val="00EB193F"/>
    <w:rsid w:val="00EB31F2"/>
    <w:rsid w:val="00EB41B9"/>
    <w:rsid w:val="00EB6898"/>
    <w:rsid w:val="00EC0F75"/>
    <w:rsid w:val="00EC1EF8"/>
    <w:rsid w:val="00EC3EA0"/>
    <w:rsid w:val="00EC4062"/>
    <w:rsid w:val="00EC53F7"/>
    <w:rsid w:val="00EC73F3"/>
    <w:rsid w:val="00EC7FEB"/>
    <w:rsid w:val="00ED4DE8"/>
    <w:rsid w:val="00ED5CAC"/>
    <w:rsid w:val="00EE186E"/>
    <w:rsid w:val="00EE3082"/>
    <w:rsid w:val="00EE47CC"/>
    <w:rsid w:val="00EE51A5"/>
    <w:rsid w:val="00EE5B48"/>
    <w:rsid w:val="00EE7BAF"/>
    <w:rsid w:val="00EF392F"/>
    <w:rsid w:val="00EF4C45"/>
    <w:rsid w:val="00EF5F9F"/>
    <w:rsid w:val="00EF6A3C"/>
    <w:rsid w:val="00F00581"/>
    <w:rsid w:val="00F00871"/>
    <w:rsid w:val="00F013FD"/>
    <w:rsid w:val="00F04764"/>
    <w:rsid w:val="00F10414"/>
    <w:rsid w:val="00F109E3"/>
    <w:rsid w:val="00F10E25"/>
    <w:rsid w:val="00F12041"/>
    <w:rsid w:val="00F13631"/>
    <w:rsid w:val="00F14052"/>
    <w:rsid w:val="00F1447C"/>
    <w:rsid w:val="00F2095A"/>
    <w:rsid w:val="00F23D30"/>
    <w:rsid w:val="00F2644B"/>
    <w:rsid w:val="00F33B5B"/>
    <w:rsid w:val="00F33E21"/>
    <w:rsid w:val="00F34261"/>
    <w:rsid w:val="00F408FB"/>
    <w:rsid w:val="00F40EA5"/>
    <w:rsid w:val="00F41FB7"/>
    <w:rsid w:val="00F4326F"/>
    <w:rsid w:val="00F44A04"/>
    <w:rsid w:val="00F44A1A"/>
    <w:rsid w:val="00F45488"/>
    <w:rsid w:val="00F463E2"/>
    <w:rsid w:val="00F47924"/>
    <w:rsid w:val="00F512DF"/>
    <w:rsid w:val="00F561C8"/>
    <w:rsid w:val="00F56D62"/>
    <w:rsid w:val="00F572DC"/>
    <w:rsid w:val="00F57AA4"/>
    <w:rsid w:val="00F60CBF"/>
    <w:rsid w:val="00F61754"/>
    <w:rsid w:val="00F6291A"/>
    <w:rsid w:val="00F64866"/>
    <w:rsid w:val="00F64E50"/>
    <w:rsid w:val="00F75D5F"/>
    <w:rsid w:val="00F765D4"/>
    <w:rsid w:val="00F802D6"/>
    <w:rsid w:val="00F80C4B"/>
    <w:rsid w:val="00F84049"/>
    <w:rsid w:val="00F84CB4"/>
    <w:rsid w:val="00F869E3"/>
    <w:rsid w:val="00F8722D"/>
    <w:rsid w:val="00F87EAE"/>
    <w:rsid w:val="00F9020B"/>
    <w:rsid w:val="00FA414C"/>
    <w:rsid w:val="00FA44CD"/>
    <w:rsid w:val="00FA4EFA"/>
    <w:rsid w:val="00FA52D5"/>
    <w:rsid w:val="00FB1801"/>
    <w:rsid w:val="00FB2697"/>
    <w:rsid w:val="00FC0CA5"/>
    <w:rsid w:val="00FC528A"/>
    <w:rsid w:val="00FC73AC"/>
    <w:rsid w:val="00FC777B"/>
    <w:rsid w:val="00FC7844"/>
    <w:rsid w:val="00FD104D"/>
    <w:rsid w:val="00FD6B4C"/>
    <w:rsid w:val="00FE0B76"/>
    <w:rsid w:val="00FE1910"/>
    <w:rsid w:val="00FE3AEE"/>
    <w:rsid w:val="00FE472D"/>
    <w:rsid w:val="00FE4E01"/>
    <w:rsid w:val="00FE79A5"/>
    <w:rsid w:val="00FF0475"/>
    <w:rsid w:val="00FF2C4D"/>
    <w:rsid w:val="00FF7759"/>
    <w:rsid w:val="00FF78F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1CBC0"/>
  <w15:docId w15:val="{CDDB17A1-D34E-4666-B00B-183133D5E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C68"/>
    <w:pPr>
      <w:spacing w:after="160" w:line="360" w:lineRule="auto"/>
    </w:pPr>
  </w:style>
  <w:style w:type="paragraph" w:styleId="Heading1">
    <w:name w:val="heading 1"/>
    <w:basedOn w:val="Normal"/>
    <w:next w:val="Normal"/>
    <w:link w:val="Heading1Char"/>
    <w:uiPriority w:val="9"/>
    <w:qFormat/>
    <w:rsid w:val="00CE3516"/>
    <w:pPr>
      <w:keepNext/>
      <w:keepLines/>
      <w:spacing w:before="12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CE3516"/>
    <w:pPr>
      <w:keepNext/>
      <w:keepLines/>
      <w:spacing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4B06C5"/>
    <w:pPr>
      <w:keepNext/>
      <w:keepLines/>
      <w:spacing w:before="40" w:after="0"/>
      <w:outlineLvl w:val="2"/>
    </w:pPr>
    <w:rPr>
      <w:rFonts w:asciiTheme="majorHAnsi" w:eastAsiaTheme="majorEastAsia" w:hAnsiTheme="majorHAnsi"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CE3516"/>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qFormat/>
    <w:rsid w:val="00CE3516"/>
    <w:rPr>
      <w:rFonts w:asciiTheme="majorHAnsi" w:eastAsiaTheme="majorEastAsia" w:hAnsiTheme="majorHAnsi" w:cstheme="majorBidi"/>
      <w:b/>
      <w:sz w:val="28"/>
      <w:szCs w:val="26"/>
    </w:rPr>
  </w:style>
  <w:style w:type="character" w:customStyle="1" w:styleId="TitleChar">
    <w:name w:val="Title Char"/>
    <w:basedOn w:val="DefaultParagraphFont"/>
    <w:link w:val="Title"/>
    <w:uiPriority w:val="10"/>
    <w:qFormat/>
    <w:rsid w:val="003F114A"/>
    <w:rPr>
      <w:rFonts w:asciiTheme="majorHAnsi" w:eastAsiaTheme="majorEastAsia" w:hAnsiTheme="majorHAnsi" w:cstheme="majorBidi"/>
      <w:spacing w:val="-10"/>
      <w:kern w:val="2"/>
      <w:sz w:val="40"/>
      <w:szCs w:val="56"/>
    </w:rPr>
  </w:style>
  <w:style w:type="character" w:styleId="CommentReference">
    <w:name w:val="annotation reference"/>
    <w:basedOn w:val="DefaultParagraphFont"/>
    <w:uiPriority w:val="99"/>
    <w:semiHidden/>
    <w:unhideWhenUsed/>
    <w:qFormat/>
    <w:rsid w:val="00D92532"/>
    <w:rPr>
      <w:sz w:val="16"/>
      <w:szCs w:val="16"/>
    </w:rPr>
  </w:style>
  <w:style w:type="character" w:customStyle="1" w:styleId="CommentTextChar">
    <w:name w:val="Comment Text Char"/>
    <w:basedOn w:val="DefaultParagraphFont"/>
    <w:link w:val="CommentText"/>
    <w:uiPriority w:val="99"/>
    <w:qFormat/>
    <w:rsid w:val="00D92532"/>
    <w:rPr>
      <w:sz w:val="20"/>
      <w:szCs w:val="20"/>
    </w:rPr>
  </w:style>
  <w:style w:type="character" w:customStyle="1" w:styleId="CommentSubjectChar">
    <w:name w:val="Comment Subject Char"/>
    <w:basedOn w:val="CommentTextChar"/>
    <w:link w:val="CommentSubject"/>
    <w:uiPriority w:val="99"/>
    <w:semiHidden/>
    <w:qFormat/>
    <w:rsid w:val="00D92532"/>
    <w:rPr>
      <w:b/>
      <w:bCs/>
      <w:sz w:val="20"/>
      <w:szCs w:val="20"/>
    </w:rPr>
  </w:style>
  <w:style w:type="character" w:customStyle="1" w:styleId="BalloonTextChar">
    <w:name w:val="Balloon Text Char"/>
    <w:basedOn w:val="DefaultParagraphFont"/>
    <w:link w:val="BalloonText"/>
    <w:uiPriority w:val="99"/>
    <w:semiHidden/>
    <w:qFormat/>
    <w:rsid w:val="00D92532"/>
    <w:rPr>
      <w:rFonts w:ascii="Segoe UI" w:hAnsi="Segoe UI" w:cs="Segoe UI"/>
      <w:sz w:val="18"/>
      <w:szCs w:val="18"/>
    </w:rPr>
  </w:style>
  <w:style w:type="character" w:customStyle="1" w:styleId="InternetLink">
    <w:name w:val="Internet Link"/>
    <w:basedOn w:val="DefaultParagraphFont"/>
    <w:uiPriority w:val="99"/>
    <w:unhideWhenUsed/>
    <w:rsid w:val="00A414A9"/>
    <w:rPr>
      <w:color w:val="0563C1" w:themeColor="hyperlink"/>
      <w:u w:val="single"/>
    </w:rPr>
  </w:style>
  <w:style w:type="character" w:styleId="UnresolvedMention">
    <w:name w:val="Unresolved Mention"/>
    <w:basedOn w:val="DefaultParagraphFont"/>
    <w:uiPriority w:val="99"/>
    <w:semiHidden/>
    <w:unhideWhenUsed/>
    <w:qFormat/>
    <w:rsid w:val="00A414A9"/>
    <w:rPr>
      <w:color w:val="605E5C"/>
      <w:shd w:val="clear" w:color="auto" w:fill="E1DFDD"/>
    </w:rPr>
  </w:style>
  <w:style w:type="character" w:customStyle="1" w:styleId="Heading3Char">
    <w:name w:val="Heading 3 Char"/>
    <w:basedOn w:val="DefaultParagraphFont"/>
    <w:link w:val="Heading3"/>
    <w:uiPriority w:val="9"/>
    <w:qFormat/>
    <w:rsid w:val="004B06C5"/>
    <w:rPr>
      <w:rFonts w:asciiTheme="majorHAnsi" w:eastAsiaTheme="majorEastAsia" w:hAnsiTheme="majorHAnsi" w:cstheme="majorBidi"/>
      <w:sz w:val="28"/>
      <w:szCs w:val="24"/>
    </w:rPr>
  </w:style>
  <w:style w:type="character" w:styleId="PlaceholderText">
    <w:name w:val="Placeholder Text"/>
    <w:basedOn w:val="DefaultParagraphFont"/>
    <w:uiPriority w:val="99"/>
    <w:semiHidden/>
    <w:qFormat/>
    <w:rsid w:val="00D43CBF"/>
    <w:rPr>
      <w:color w:val="808080"/>
    </w:rPr>
  </w:style>
  <w:style w:type="character" w:customStyle="1" w:styleId="normaltextrun">
    <w:name w:val="normaltextrun"/>
    <w:basedOn w:val="DefaultParagraphFont"/>
    <w:qFormat/>
    <w:rsid w:val="00412B5F"/>
  </w:style>
  <w:style w:type="character" w:customStyle="1" w:styleId="HeaderChar">
    <w:name w:val="Header Char"/>
    <w:basedOn w:val="DefaultParagraphFont"/>
    <w:link w:val="Header"/>
    <w:uiPriority w:val="99"/>
    <w:qFormat/>
    <w:rsid w:val="00A60C58"/>
  </w:style>
  <w:style w:type="character" w:customStyle="1" w:styleId="FooterChar">
    <w:name w:val="Footer Char"/>
    <w:basedOn w:val="DefaultParagraphFont"/>
    <w:link w:val="Footer"/>
    <w:uiPriority w:val="99"/>
    <w:qFormat/>
    <w:rsid w:val="00A60C58"/>
  </w:style>
  <w:style w:type="character" w:styleId="LineNumber">
    <w:name w:val="line number"/>
    <w:basedOn w:val="DefaultParagraphFont"/>
    <w:uiPriority w:val="99"/>
    <w:semiHidden/>
    <w:unhideWhenUsed/>
    <w:qFormat/>
    <w:rsid w:val="00C035D5"/>
  </w:style>
  <w:style w:type="character" w:customStyle="1" w:styleId="contextualspellingandgrammarerror">
    <w:name w:val="contextualspellingandgrammarerror"/>
    <w:basedOn w:val="DefaultParagraphFont"/>
    <w:qFormat/>
    <w:rsid w:val="00104C8C"/>
  </w:style>
  <w:style w:type="character" w:customStyle="1" w:styleId="spellingerror">
    <w:name w:val="spellingerror"/>
    <w:basedOn w:val="DefaultParagraphFont"/>
    <w:qFormat/>
    <w:rsid w:val="002727B2"/>
  </w:style>
  <w:style w:type="character" w:customStyle="1" w:styleId="eop">
    <w:name w:val="eop"/>
    <w:basedOn w:val="DefaultParagraphFont"/>
    <w:qFormat/>
    <w:rsid w:val="002727B2"/>
  </w:style>
  <w:style w:type="character" w:customStyle="1" w:styleId="gmail-normaltextrun">
    <w:name w:val="gmail-normaltextrun"/>
    <w:basedOn w:val="DefaultParagraphFont"/>
    <w:qFormat/>
    <w:rsid w:val="00F93953"/>
  </w:style>
  <w:style w:type="character" w:customStyle="1" w:styleId="gmail-eop">
    <w:name w:val="gmail-eop"/>
    <w:basedOn w:val="DefaultParagraphFont"/>
    <w:qFormat/>
    <w:rsid w:val="00F93953"/>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ascii="Calibri" w:eastAsia="Times New Roman" w:hAnsi="Calibri" w:cs="Calibri"/>
      <w:lang w:val="en-GB"/>
    </w:rPr>
  </w:style>
  <w:style w:type="character" w:customStyle="1" w:styleId="ListLabel25">
    <w:name w:val="ListLabel 25"/>
    <w:qFormat/>
  </w:style>
  <w:style w:type="character" w:customStyle="1" w:styleId="ListLabel26">
    <w:name w:val="ListLabel 26"/>
    <w:qFormat/>
    <w:rPr>
      <w:rFonts w:eastAsia="Times New Roma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next w:val="Normal"/>
    <w:uiPriority w:val="35"/>
    <w:unhideWhenUsed/>
    <w:qFormat/>
    <w:rsid w:val="00234C63"/>
    <w:pPr>
      <w:spacing w:before="200" w:after="200" w:line="240" w:lineRule="auto"/>
    </w:pPr>
    <w:rPr>
      <w:iCs/>
      <w:sz w:val="20"/>
      <w:szCs w:val="18"/>
    </w:rPr>
  </w:style>
  <w:style w:type="paragraph" w:customStyle="1" w:styleId="Index">
    <w:name w:val="Index"/>
    <w:basedOn w:val="Normal"/>
    <w:qFormat/>
    <w:pPr>
      <w:suppressLineNumbers/>
    </w:pPr>
    <w:rPr>
      <w:rFonts w:cs="Arial Unicode MS"/>
    </w:rPr>
  </w:style>
  <w:style w:type="paragraph" w:styleId="Title">
    <w:name w:val="Title"/>
    <w:basedOn w:val="Normal"/>
    <w:next w:val="Normal"/>
    <w:link w:val="TitleChar"/>
    <w:uiPriority w:val="10"/>
    <w:qFormat/>
    <w:rsid w:val="003F114A"/>
    <w:pPr>
      <w:spacing w:before="360" w:after="360" w:line="240" w:lineRule="auto"/>
      <w:contextualSpacing/>
    </w:pPr>
    <w:rPr>
      <w:rFonts w:asciiTheme="majorHAnsi" w:eastAsiaTheme="majorEastAsia" w:hAnsiTheme="majorHAnsi" w:cstheme="majorBidi"/>
      <w:spacing w:val="-10"/>
      <w:kern w:val="2"/>
      <w:sz w:val="40"/>
      <w:szCs w:val="56"/>
    </w:rPr>
  </w:style>
  <w:style w:type="paragraph" w:styleId="ListParagraph">
    <w:name w:val="List Paragraph"/>
    <w:basedOn w:val="Normal"/>
    <w:uiPriority w:val="34"/>
    <w:qFormat/>
    <w:rsid w:val="00514F76"/>
    <w:pPr>
      <w:ind w:left="720"/>
      <w:contextualSpacing/>
    </w:pPr>
  </w:style>
  <w:style w:type="paragraph" w:styleId="CommentText">
    <w:name w:val="annotation text"/>
    <w:basedOn w:val="Normal"/>
    <w:link w:val="CommentTextChar"/>
    <w:uiPriority w:val="99"/>
    <w:unhideWhenUsed/>
    <w:qFormat/>
    <w:rsid w:val="00D9253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D92532"/>
    <w:rPr>
      <w:b/>
      <w:bCs/>
    </w:rPr>
  </w:style>
  <w:style w:type="paragraph" w:styleId="BalloonText">
    <w:name w:val="Balloon Text"/>
    <w:basedOn w:val="Normal"/>
    <w:link w:val="BalloonTextChar"/>
    <w:uiPriority w:val="99"/>
    <w:semiHidden/>
    <w:unhideWhenUsed/>
    <w:qFormat/>
    <w:rsid w:val="00D92532"/>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A60C58"/>
    <w:pPr>
      <w:suppressLineNumbers/>
      <w:tabs>
        <w:tab w:val="center" w:pos="4513"/>
        <w:tab w:val="right" w:pos="9026"/>
      </w:tabs>
      <w:spacing w:after="0" w:line="240" w:lineRule="auto"/>
    </w:pPr>
  </w:style>
  <w:style w:type="paragraph" w:styleId="Footer">
    <w:name w:val="footer"/>
    <w:basedOn w:val="Normal"/>
    <w:link w:val="FooterChar"/>
    <w:uiPriority w:val="99"/>
    <w:unhideWhenUsed/>
    <w:rsid w:val="00A60C58"/>
    <w:pPr>
      <w:suppressLineNumbers/>
      <w:tabs>
        <w:tab w:val="center" w:pos="4513"/>
        <w:tab w:val="right" w:pos="9026"/>
      </w:tabs>
      <w:spacing w:after="0" w:line="240" w:lineRule="auto"/>
    </w:pPr>
  </w:style>
  <w:style w:type="paragraph" w:styleId="NormalWeb">
    <w:name w:val="Normal (Web)"/>
    <w:basedOn w:val="Normal"/>
    <w:uiPriority w:val="99"/>
    <w:semiHidden/>
    <w:unhideWhenUsed/>
    <w:qFormat/>
    <w:rsid w:val="00E476ED"/>
    <w:pPr>
      <w:spacing w:beforeAutospacing="1" w:afterAutospacing="1" w:line="240" w:lineRule="auto"/>
    </w:pPr>
    <w:rPr>
      <w:rFonts w:ascii="Times New Roman" w:eastAsia="Times New Roman" w:hAnsi="Times New Roman" w:cs="Times New Roman"/>
      <w:sz w:val="24"/>
      <w:szCs w:val="24"/>
    </w:rPr>
  </w:style>
  <w:style w:type="paragraph" w:styleId="Revision">
    <w:name w:val="Revision"/>
    <w:uiPriority w:val="99"/>
    <w:semiHidden/>
    <w:qFormat/>
    <w:rsid w:val="00844530"/>
  </w:style>
  <w:style w:type="character" w:styleId="Hyperlink">
    <w:name w:val="Hyperlink"/>
    <w:basedOn w:val="DefaultParagraphFont"/>
    <w:uiPriority w:val="99"/>
    <w:unhideWhenUsed/>
    <w:rsid w:val="009152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54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eur03.safelinks.protection.outlook.com/?url=https%3A%2F%2Fdoi.org%2F10.15454%2F1.5483264699193726E12&amp;data=05%7C01%7CHaben.Blondeel%40ugent.be%7Cad71ae6ae1784b8842eb08dad6e5f5ad%7Cd7811cdeecef496c8f91a1786241b99c%7C1%7C0%7C638058580754435394%7CUnknown%7CTWFpbGZsb3d8eyJWIjoiMC4wLjAwMDAiLCJQIjoiV2luMzIiLCJBTiI6Ik1haWwiLCJXVCI6Mn0%3D%7C3000%7C%7C%7C&amp;sdata=JNktX8ijhMblg3KML2MwqHHIabSyaYwERK1PXfxu%2Bjc%3D&amp;reserved=0"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reedivnet.ugent.be/"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ben.blondeel@ugent.be"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5dfbc3-8fd3-486f-9244-63b3572dd125" xsi:nil="true"/>
    <lcf76f155ced4ddcb4097134ff3c332f xmlns="6461f825-5aab-403c-83ab-b1564fa8722b">
      <Terms xmlns="http://schemas.microsoft.com/office/infopath/2007/PartnerControls"/>
    </lcf76f155ced4ddcb4097134ff3c332f>
    <Comment xmlns="6461f825-5aab-403c-83ab-b1564fa8722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EE6705EAEE8A40BC118E97084EDEA2" ma:contentTypeVersion="18" ma:contentTypeDescription="Een nieuw document maken." ma:contentTypeScope="" ma:versionID="bc94f87aa12f891d18617f149246913f">
  <xsd:schema xmlns:xsd="http://www.w3.org/2001/XMLSchema" xmlns:xs="http://www.w3.org/2001/XMLSchema" xmlns:p="http://schemas.microsoft.com/office/2006/metadata/properties" xmlns:ns2="6461f825-5aab-403c-83ab-b1564fa8722b" xmlns:ns3="3b5dfbc3-8fd3-486f-9244-63b3572dd125" targetNamespace="http://schemas.microsoft.com/office/2006/metadata/properties" ma:root="true" ma:fieldsID="5f66a77ec10406afee7e7bdf473acad4" ns2:_="" ns3:_="">
    <xsd:import namespace="6461f825-5aab-403c-83ab-b1564fa8722b"/>
    <xsd:import namespace="3b5dfbc3-8fd3-486f-9244-63b3572dd1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Comment"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61f825-5aab-403c-83ab-b1564fa87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b9bb814-139f-4039-9463-697760f06ab3" ma:termSetId="09814cd3-568e-fe90-9814-8d621ff8fb84" ma:anchorId="fba54fb3-c3e1-fe81-a776-ca4b69148c4d" ma:open="true" ma:isKeyword="false">
      <xsd:complexType>
        <xsd:sequence>
          <xsd:element ref="pc:Terms" minOccurs="0" maxOccurs="1"/>
        </xsd:sequence>
      </xsd:complexType>
    </xsd:element>
    <xsd:element name="Comment" ma:index="21" nillable="true" ma:displayName="Comment" ma:format="Dropdown" ma:internalName="Comment">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5dfbc3-8fd3-486f-9244-63b3572dd12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71542cb-9d27-4a01-99bf-d936b382c479}" ma:internalName="TaxCatchAll" ma:showField="CatchAllData" ma:web="3b5dfbc3-8fd3-486f-9244-63b3572dd125">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471D6F-A69D-4649-AB16-DFAA0F2F0380}">
  <ds:schemaRefs>
    <ds:schemaRef ds:uri="http://schemas.openxmlformats.org/officeDocument/2006/bibliography"/>
  </ds:schemaRefs>
</ds:datastoreItem>
</file>

<file path=customXml/itemProps2.xml><?xml version="1.0" encoding="utf-8"?>
<ds:datastoreItem xmlns:ds="http://schemas.openxmlformats.org/officeDocument/2006/customXml" ds:itemID="{E61A87AE-84B0-43E7-85B6-9E1D5E319FEC}">
  <ds:schemaRefs>
    <ds:schemaRef ds:uri="http://schemas.microsoft.com/office/2006/metadata/properties"/>
    <ds:schemaRef ds:uri="http://schemas.microsoft.com/office/infopath/2007/PartnerControls"/>
    <ds:schemaRef ds:uri="3b5dfbc3-8fd3-486f-9244-63b3572dd125"/>
    <ds:schemaRef ds:uri="6461f825-5aab-403c-83ab-b1564fa8722b"/>
  </ds:schemaRefs>
</ds:datastoreItem>
</file>

<file path=customXml/itemProps3.xml><?xml version="1.0" encoding="utf-8"?>
<ds:datastoreItem xmlns:ds="http://schemas.openxmlformats.org/officeDocument/2006/customXml" ds:itemID="{F36FAA2F-020A-4966-A452-F0DAF5CCD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61f825-5aab-403c-83ab-b1564fa8722b"/>
    <ds:schemaRef ds:uri="3b5dfbc3-8fd3-486f-9244-63b3572dd1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8ED05C-56B3-41BA-A877-836B26CF5B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31</Pages>
  <Words>106865</Words>
  <Characters>609132</Characters>
  <Application>Microsoft Office Word</Application>
  <DocSecurity>0</DocSecurity>
  <Lines>5076</Lines>
  <Paragraphs>1429</Paragraphs>
  <ScaleCrop>false</ScaleCrop>
  <HeadingPairs>
    <vt:vector size="2" baseType="variant">
      <vt:variant>
        <vt:lpstr>Title</vt:lpstr>
      </vt:variant>
      <vt:variant>
        <vt:i4>1</vt:i4>
      </vt:variant>
    </vt:vector>
  </HeadingPairs>
  <TitlesOfParts>
    <vt:vector size="1" baseType="lpstr">
      <vt:lpstr/>
    </vt:vector>
  </TitlesOfParts>
  <Company>UGent DepEnv</Company>
  <LinksUpToDate>false</LinksUpToDate>
  <CharactersWithSpaces>714568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Haben Blondeel</dc:creator>
  <dc:description/>
  <cp:lastModifiedBy>Haben Blondeel</cp:lastModifiedBy>
  <cp:revision>28</cp:revision>
  <dcterms:created xsi:type="dcterms:W3CDTF">2024-02-23T14:59:00Z</dcterms:created>
  <dcterms:modified xsi:type="dcterms:W3CDTF">2024-04-02T12:36:00Z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UGent DepEnv</vt:lpwstr>
  </property>
  <property fmtid="{D5CDD505-2E9C-101B-9397-08002B2CF9AE}" pid="4" name="ContentTypeId">
    <vt:lpwstr>0x010100E2EE6705EAEE8A40BC118E97084EDEA2</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MediaServiceImageTags">
    <vt:lpwstr/>
  </property>
  <property fmtid="{D5CDD505-2E9C-101B-9397-08002B2CF9AE}" pid="9" name="Mendeley Citation Style_1">
    <vt:lpwstr>http://www.zotero.org/styles/journal-of-ecology</vt:lpwstr>
  </property>
  <property fmtid="{D5CDD505-2E9C-101B-9397-08002B2CF9AE}" pid="10" name="Mendeley Document_1">
    <vt:lpwstr>True</vt:lpwstr>
  </property>
  <property fmtid="{D5CDD505-2E9C-101B-9397-08002B2CF9AE}" pid="11" name="Mendeley Recent Style Id 0_1">
    <vt:lpwstr>http://www.zotero.org/styles/american-sociological-association</vt:lpwstr>
  </property>
  <property fmtid="{D5CDD505-2E9C-101B-9397-08002B2CF9AE}" pid="12" name="Mendeley Recent Style Id 1_1">
    <vt:lpwstr>http://www.zotero.org/styles/chicago-author-date</vt:lpwstr>
  </property>
  <property fmtid="{D5CDD505-2E9C-101B-9397-08002B2CF9AE}" pid="13" name="Mendeley Recent Style Id 2_1">
    <vt:lpwstr>http://www.zotero.org/styles/harvard-cite-them-right</vt:lpwstr>
  </property>
  <property fmtid="{D5CDD505-2E9C-101B-9397-08002B2CF9AE}" pid="14" name="Mendeley Recent Style Id 3_1">
    <vt:lpwstr>http://www.zotero.org/styles/ieee</vt:lpwstr>
  </property>
  <property fmtid="{D5CDD505-2E9C-101B-9397-08002B2CF9AE}" pid="15" name="Mendeley Recent Style Id 4_1">
    <vt:lpwstr>http://www.zotero.org/styles/journal-of-ecology</vt:lpwstr>
  </property>
  <property fmtid="{D5CDD505-2E9C-101B-9397-08002B2CF9AE}" pid="16" name="Mendeley Recent Style Id 5_1">
    <vt:lpwstr>http://www.zotero.org/styles/methods-in-ecology-and-evolution</vt:lpwstr>
  </property>
  <property fmtid="{D5CDD505-2E9C-101B-9397-08002B2CF9AE}" pid="17" name="Mendeley Recent Style Id 6_1">
    <vt:lpwstr>http://www.zotero.org/styles/modern-humanities-research-association</vt:lpwstr>
  </property>
  <property fmtid="{D5CDD505-2E9C-101B-9397-08002B2CF9AE}" pid="18" name="Mendeley Recent Style Id 7_1">
    <vt:lpwstr>http://www.zotero.org/styles/plant-and-soil</vt:lpwstr>
  </property>
  <property fmtid="{D5CDD505-2E9C-101B-9397-08002B2CF9AE}" pid="19" name="Mendeley Recent Style Id 8_1">
    <vt:lpwstr>http://www.zotero.org/styles/science-of-the-total-environment</vt:lpwstr>
  </property>
  <property fmtid="{D5CDD505-2E9C-101B-9397-08002B2CF9AE}" pid="20" name="Mendeley Recent Style Id 9_1">
    <vt:lpwstr>http://www.zotero.org/styles/springer-vancouver</vt:lpwstr>
  </property>
  <property fmtid="{D5CDD505-2E9C-101B-9397-08002B2CF9AE}" pid="21" name="Mendeley Recent Style Name 0_1">
    <vt:lpwstr>American Sociological Association 6th edition</vt:lpwstr>
  </property>
  <property fmtid="{D5CDD505-2E9C-101B-9397-08002B2CF9AE}" pid="22" name="Mendeley Recent Style Name 1_1">
    <vt:lpwstr>Chicago Manual of Style 17th edition (author-date)</vt:lpwstr>
  </property>
  <property fmtid="{D5CDD505-2E9C-101B-9397-08002B2CF9AE}" pid="23" name="Mendeley Recent Style Name 2_1">
    <vt:lpwstr>Cite Them Right 10th edition - Harvard</vt:lpwstr>
  </property>
  <property fmtid="{D5CDD505-2E9C-101B-9397-08002B2CF9AE}" pid="24" name="Mendeley Recent Style Name 3_1">
    <vt:lpwstr>IEEE</vt:lpwstr>
  </property>
  <property fmtid="{D5CDD505-2E9C-101B-9397-08002B2CF9AE}" pid="25" name="Mendeley Recent Style Name 4_1">
    <vt:lpwstr>Journal of Ecology</vt:lpwstr>
  </property>
  <property fmtid="{D5CDD505-2E9C-101B-9397-08002B2CF9AE}" pid="26" name="Mendeley Recent Style Name 5_1">
    <vt:lpwstr>Methods in Ecology and Evolution</vt:lpwstr>
  </property>
  <property fmtid="{D5CDD505-2E9C-101B-9397-08002B2CF9AE}" pid="27" name="Mendeley Recent Style Name 6_1">
    <vt:lpwstr>Modern Humanities Research Association 3rd edition (note with bibliography)</vt:lpwstr>
  </property>
  <property fmtid="{D5CDD505-2E9C-101B-9397-08002B2CF9AE}" pid="28" name="Mendeley Recent Style Name 7_1">
    <vt:lpwstr>Plant and Soil</vt:lpwstr>
  </property>
  <property fmtid="{D5CDD505-2E9C-101B-9397-08002B2CF9AE}" pid="29" name="Mendeley Recent Style Name 8_1">
    <vt:lpwstr>Science of the Total Environment</vt:lpwstr>
  </property>
  <property fmtid="{D5CDD505-2E9C-101B-9397-08002B2CF9AE}" pid="30" name="Mendeley Recent Style Name 9_1">
    <vt:lpwstr>Springer - Vancouver</vt:lpwstr>
  </property>
  <property fmtid="{D5CDD505-2E9C-101B-9397-08002B2CF9AE}" pid="31" name="Mendeley Unique User Id_1">
    <vt:lpwstr>7e618186-483b-3899-abcc-2ee27b3b67fe</vt:lpwstr>
  </property>
  <property fmtid="{D5CDD505-2E9C-101B-9397-08002B2CF9AE}" pid="32" name="ScaleCrop">
    <vt:bool>false</vt:bool>
  </property>
  <property fmtid="{D5CDD505-2E9C-101B-9397-08002B2CF9AE}" pid="33" name="ShareDoc">
    <vt:bool>false</vt:bool>
  </property>
  <property fmtid="{D5CDD505-2E9C-101B-9397-08002B2CF9AE}" pid="34" name="MSIP_Label_034a106e-6316-442c-ad35-738afd673d2b_Enabled">
    <vt:lpwstr>true</vt:lpwstr>
  </property>
  <property fmtid="{D5CDD505-2E9C-101B-9397-08002B2CF9AE}" pid="35" name="MSIP_Label_034a106e-6316-442c-ad35-738afd673d2b_SetDate">
    <vt:lpwstr>2023-10-20T15:36:29Z</vt:lpwstr>
  </property>
  <property fmtid="{D5CDD505-2E9C-101B-9397-08002B2CF9AE}" pid="36" name="MSIP_Label_034a106e-6316-442c-ad35-738afd673d2b_Method">
    <vt:lpwstr>Standard</vt:lpwstr>
  </property>
  <property fmtid="{D5CDD505-2E9C-101B-9397-08002B2CF9AE}" pid="37" name="MSIP_Label_034a106e-6316-442c-ad35-738afd673d2b_Name">
    <vt:lpwstr>034a106e-6316-442c-ad35-738afd673d2b</vt:lpwstr>
  </property>
  <property fmtid="{D5CDD505-2E9C-101B-9397-08002B2CF9AE}" pid="38" name="MSIP_Label_034a106e-6316-442c-ad35-738afd673d2b_SiteId">
    <vt:lpwstr>cddc1229-ac2a-4b97-b78a-0e5cacb5865c</vt:lpwstr>
  </property>
  <property fmtid="{D5CDD505-2E9C-101B-9397-08002B2CF9AE}" pid="39" name="MSIP_Label_034a106e-6316-442c-ad35-738afd673d2b_ActionId">
    <vt:lpwstr>b1a9d8c3-e216-4b6e-9782-aa283c69e8bd</vt:lpwstr>
  </property>
  <property fmtid="{D5CDD505-2E9C-101B-9397-08002B2CF9AE}" pid="40" name="MSIP_Label_034a106e-6316-442c-ad35-738afd673d2b_ContentBits">
    <vt:lpwstr>0</vt:lpwstr>
  </property>
</Properties>
</file>