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AC44" w14:textId="77777777" w:rsidR="001C044F" w:rsidRDefault="001C044F" w:rsidP="009865D5">
      <w:pPr>
        <w:spacing w:line="360" w:lineRule="auto"/>
        <w:jc w:val="center"/>
        <w:rPr>
          <w:rFonts w:asciiTheme="majorHAnsi" w:hAnsiTheme="majorHAnsi" w:cstheme="majorHAnsi"/>
          <w:b/>
          <w:lang w:val="en-GB"/>
        </w:rPr>
      </w:pPr>
    </w:p>
    <w:p w14:paraId="7E2BFAC2" w14:textId="0065DDA2" w:rsidR="002510AA" w:rsidRDefault="002510AA" w:rsidP="00E24A9C">
      <w:pPr>
        <w:pBdr>
          <w:top w:val="single" w:sz="4" w:space="1" w:color="auto"/>
          <w:left w:val="single" w:sz="4" w:space="4" w:color="auto"/>
          <w:bottom w:val="single" w:sz="4" w:space="1" w:color="auto"/>
          <w:right w:val="single" w:sz="4" w:space="4" w:color="auto"/>
        </w:pBdr>
        <w:spacing w:line="360" w:lineRule="auto"/>
        <w:jc w:val="center"/>
      </w:pPr>
      <w:r>
        <w:rPr>
          <w:rFonts w:asciiTheme="majorHAnsi" w:hAnsiTheme="majorHAnsi" w:cstheme="majorHAnsi"/>
          <w:b/>
          <w:lang w:val="en-GB"/>
        </w:rPr>
        <w:t xml:space="preserve">Please cite this book chapter as follows: </w:t>
      </w:r>
      <w:r>
        <w:rPr>
          <w:color w:val="222222"/>
          <w:sz w:val="20"/>
          <w:szCs w:val="20"/>
          <w:shd w:val="clear" w:color="auto" w:fill="FFFFFF"/>
        </w:rPr>
        <w:t>De Bruyne, M. J., Khitous, F., &amp; Verleye, K. (2024). Engaging consumers and providers to make a beeline for circular economy: platforms as enablers?</w:t>
      </w:r>
      <w:r w:rsidR="006C5E29">
        <w:rPr>
          <w:color w:val="222222"/>
          <w:sz w:val="20"/>
          <w:szCs w:val="20"/>
          <w:shd w:val="clear" w:color="auto" w:fill="FFFFFF"/>
        </w:rPr>
        <w:t xml:space="preserve"> (pp. 361-377)</w:t>
      </w:r>
      <w:r>
        <w:rPr>
          <w:color w:val="222222"/>
          <w:sz w:val="20"/>
          <w:szCs w:val="20"/>
          <w:shd w:val="clear" w:color="auto" w:fill="FFFFFF"/>
        </w:rPr>
        <w:t>. In</w:t>
      </w:r>
      <w:r w:rsidR="009E74B1">
        <w:rPr>
          <w:color w:val="222222"/>
          <w:sz w:val="20"/>
          <w:szCs w:val="20"/>
          <w:shd w:val="clear" w:color="auto" w:fill="FFFFFF"/>
        </w:rPr>
        <w:t xml:space="preserve"> </w:t>
      </w:r>
      <w:proofErr w:type="spellStart"/>
      <w:r w:rsidR="009E74B1">
        <w:rPr>
          <w:color w:val="222222"/>
          <w:sz w:val="20"/>
          <w:szCs w:val="20"/>
          <w:shd w:val="clear" w:color="auto" w:fill="FFFFFF"/>
        </w:rPr>
        <w:t>Glinska</w:t>
      </w:r>
      <w:proofErr w:type="spellEnd"/>
      <w:r w:rsidR="009E74B1">
        <w:rPr>
          <w:color w:val="222222"/>
          <w:sz w:val="20"/>
          <w:szCs w:val="20"/>
          <w:shd w:val="clear" w:color="auto" w:fill="FFFFFF"/>
        </w:rPr>
        <w:t>-Newe</w:t>
      </w:r>
      <w:r w:rsidR="00FB1464">
        <w:rPr>
          <w:color w:val="222222"/>
          <w:sz w:val="20"/>
          <w:szCs w:val="20"/>
          <w:shd w:val="clear" w:color="auto" w:fill="FFFFFF"/>
        </w:rPr>
        <w:t>s, A., &amp; Ulkuniemi, P. (eds),</w:t>
      </w:r>
      <w:r>
        <w:rPr>
          <w:color w:val="222222"/>
          <w:sz w:val="20"/>
          <w:szCs w:val="20"/>
          <w:shd w:val="clear" w:color="auto" w:fill="FFFFFF"/>
        </w:rPr>
        <w:t> </w:t>
      </w:r>
      <w:r>
        <w:rPr>
          <w:i/>
          <w:iCs/>
          <w:color w:val="222222"/>
          <w:sz w:val="20"/>
          <w:szCs w:val="20"/>
          <w:shd w:val="clear" w:color="auto" w:fill="FFFFFF"/>
        </w:rPr>
        <w:t>The Human Dimension of the Circular Economy</w:t>
      </w:r>
      <w:r w:rsidR="00FB1464">
        <w:rPr>
          <w:i/>
          <w:iCs/>
          <w:color w:val="222222"/>
          <w:sz w:val="20"/>
          <w:szCs w:val="20"/>
          <w:shd w:val="clear" w:color="auto" w:fill="FFFFFF"/>
        </w:rPr>
        <w:t>,</w:t>
      </w:r>
      <w:r>
        <w:rPr>
          <w:color w:val="222222"/>
          <w:sz w:val="20"/>
          <w:szCs w:val="20"/>
          <w:shd w:val="clear" w:color="auto" w:fill="FFFFFF"/>
        </w:rPr>
        <w:t xml:space="preserve"> Edward Elgar Publishing.</w:t>
      </w:r>
      <w:r>
        <w:rPr>
          <w:color w:val="222222"/>
          <w:sz w:val="20"/>
          <w:szCs w:val="20"/>
          <w:shd w:val="clear" w:color="auto" w:fill="FFFFFF"/>
        </w:rPr>
        <w:t xml:space="preserve"> </w:t>
      </w:r>
      <w:hyperlink r:id="rId11" w:tgtFrame="_blank" w:history="1">
        <w:r w:rsidR="00E24A9C">
          <w:rPr>
            <w:rStyle w:val="Hyperlink"/>
            <w:rFonts w:ascii="Poppins" w:hAnsi="Poppins" w:cs="Poppins"/>
            <w:color w:val="0E6681"/>
            <w:sz w:val="18"/>
            <w:szCs w:val="18"/>
          </w:rPr>
          <w:t>https://doi.org/10.4337/9781035314225.00028</w:t>
        </w:r>
      </w:hyperlink>
    </w:p>
    <w:p w14:paraId="739FEDD2" w14:textId="77777777" w:rsidR="00E24A9C" w:rsidRDefault="00E24A9C" w:rsidP="009865D5">
      <w:pPr>
        <w:spacing w:line="360" w:lineRule="auto"/>
        <w:jc w:val="center"/>
      </w:pPr>
    </w:p>
    <w:p w14:paraId="1F01749E" w14:textId="77777777" w:rsidR="00204D81" w:rsidRDefault="00204D81">
      <w:pPr>
        <w:rPr>
          <w:rStyle w:val="creator-type-label"/>
        </w:rPr>
      </w:pPr>
      <w:r>
        <w:rPr>
          <w:rStyle w:val="creator-type-label"/>
        </w:rPr>
        <w:br w:type="page"/>
      </w:r>
    </w:p>
    <w:p w14:paraId="16635B3F" w14:textId="067DB124" w:rsidR="003F793F" w:rsidRPr="00B8660A" w:rsidRDefault="00C42D67" w:rsidP="009865D5">
      <w:pPr>
        <w:spacing w:line="360" w:lineRule="auto"/>
        <w:jc w:val="center"/>
        <w:rPr>
          <w:rFonts w:asciiTheme="majorHAnsi" w:hAnsiTheme="majorHAnsi" w:cstheme="majorHAnsi"/>
          <w:b/>
          <w:lang w:val="en-GB"/>
        </w:rPr>
      </w:pPr>
      <w:r w:rsidRPr="00B8660A">
        <w:rPr>
          <w:rFonts w:asciiTheme="majorHAnsi" w:hAnsiTheme="majorHAnsi" w:cstheme="majorHAnsi"/>
          <w:b/>
          <w:lang w:val="en-GB"/>
        </w:rPr>
        <w:lastRenderedPageBreak/>
        <w:t xml:space="preserve">Engaging Consumers and Providers to Make a Beeline for the Circular Economy: Platforms as Enablers? </w:t>
      </w:r>
    </w:p>
    <w:p w14:paraId="1C52CFDF" w14:textId="2FFD5A1B" w:rsidR="00C45AC0" w:rsidRPr="00B8660A" w:rsidRDefault="00C45AC0" w:rsidP="009865D5">
      <w:pPr>
        <w:spacing w:line="360" w:lineRule="auto"/>
        <w:jc w:val="center"/>
        <w:rPr>
          <w:rFonts w:asciiTheme="majorHAnsi" w:hAnsiTheme="majorHAnsi" w:cstheme="majorHAnsi"/>
          <w:b/>
          <w:lang w:val="en-GB"/>
        </w:rPr>
      </w:pPr>
    </w:p>
    <w:p w14:paraId="25768B36" w14:textId="5932198D" w:rsidR="00C45AC0" w:rsidRPr="00B8660A" w:rsidRDefault="00C45AC0" w:rsidP="009865D5">
      <w:pPr>
        <w:spacing w:line="360" w:lineRule="auto"/>
        <w:rPr>
          <w:rFonts w:asciiTheme="majorHAnsi" w:hAnsiTheme="majorHAnsi" w:cstheme="majorHAnsi"/>
          <w:b/>
          <w:lang w:val="en-GB"/>
        </w:rPr>
      </w:pPr>
      <w:r w:rsidRPr="00B8660A">
        <w:rPr>
          <w:rFonts w:asciiTheme="majorHAnsi" w:hAnsiTheme="majorHAnsi" w:cstheme="majorHAnsi"/>
          <w:b/>
          <w:lang w:val="en-GB"/>
        </w:rPr>
        <w:t>Abstract</w:t>
      </w:r>
    </w:p>
    <w:p w14:paraId="720B2CAE" w14:textId="3C86E5F0" w:rsidR="00C45AC0" w:rsidRPr="00B8660A" w:rsidRDefault="005A16DF"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Pressing grand challenges such as climate change and social inequality urge a transition from linear business models to circular business models. </w:t>
      </w:r>
      <w:r w:rsidR="00C45AC0" w:rsidRPr="00B8660A">
        <w:rPr>
          <w:rFonts w:asciiTheme="majorHAnsi" w:hAnsiTheme="majorHAnsi" w:cstheme="majorHAnsi"/>
          <w:lang w:val="en-GB"/>
        </w:rPr>
        <w:t>Researchers, practitioners and policymakers, however, point out that engaging actors with circular business models is a key challenge (Bocken et al., 2019</w:t>
      </w:r>
      <w:r w:rsidR="00E34771" w:rsidRPr="00B8660A">
        <w:rPr>
          <w:rFonts w:asciiTheme="majorHAnsi" w:hAnsiTheme="majorHAnsi" w:cstheme="majorHAnsi"/>
          <w:lang w:val="en-GB"/>
        </w:rPr>
        <w:t>a</w:t>
      </w:r>
      <w:r w:rsidR="00C45AC0" w:rsidRPr="00B8660A">
        <w:rPr>
          <w:rFonts w:asciiTheme="majorHAnsi" w:hAnsiTheme="majorHAnsi" w:cstheme="majorHAnsi"/>
          <w:lang w:val="en-GB"/>
        </w:rPr>
        <w:t xml:space="preserve">; Elzinga et al., 2020; European Commission, 2019). Therefore, efforts to uncover determinants of engagement with circular business models are strongly encouraged (Fehrer </w:t>
      </w:r>
      <w:r w:rsidR="009D5DD3" w:rsidRPr="00B8660A">
        <w:rPr>
          <w:rFonts w:asciiTheme="majorHAnsi" w:hAnsiTheme="majorHAnsi" w:cstheme="majorHAnsi"/>
          <w:lang w:val="en-GB"/>
        </w:rPr>
        <w:t>and</w:t>
      </w:r>
      <w:r w:rsidR="00C45AC0" w:rsidRPr="00B8660A">
        <w:rPr>
          <w:rFonts w:asciiTheme="majorHAnsi" w:hAnsiTheme="majorHAnsi" w:cstheme="majorHAnsi"/>
          <w:lang w:val="en-GB"/>
        </w:rPr>
        <w:t xml:space="preserve"> Wieland, 2021; Geissdoerfer and al., 2020; Khitous et al., 2020). To fill this gap, this chapter introduces the concepts “circular business models” and “actor engagement” before delving into </w:t>
      </w:r>
      <w:r w:rsidRPr="00B8660A">
        <w:rPr>
          <w:rFonts w:asciiTheme="majorHAnsi" w:hAnsiTheme="majorHAnsi" w:cstheme="majorHAnsi"/>
          <w:lang w:val="en-GB"/>
        </w:rPr>
        <w:t>the role of engagement platforms to stimulate actor engagement with circular business models</w:t>
      </w:r>
      <w:r w:rsidR="00C45AC0" w:rsidRPr="00B8660A">
        <w:rPr>
          <w:rFonts w:asciiTheme="majorHAnsi" w:hAnsiTheme="majorHAnsi" w:cstheme="majorHAnsi"/>
          <w:lang w:val="en-GB"/>
        </w:rPr>
        <w:t>.</w:t>
      </w:r>
      <w:r w:rsidRPr="00B8660A">
        <w:rPr>
          <w:rFonts w:asciiTheme="majorHAnsi" w:hAnsiTheme="majorHAnsi" w:cstheme="majorHAnsi"/>
          <w:lang w:val="en-GB"/>
        </w:rPr>
        <w:t xml:space="preserve"> This chapter helps circular business models to elicit demand-side as well as supply-side engagement so that these business models can realize their circular potential even more.</w:t>
      </w:r>
    </w:p>
    <w:p w14:paraId="33169991" w14:textId="050E2506" w:rsidR="009865D5" w:rsidRPr="00B8660A" w:rsidRDefault="009865D5" w:rsidP="009865D5">
      <w:pPr>
        <w:spacing w:line="360" w:lineRule="auto"/>
        <w:jc w:val="both"/>
        <w:rPr>
          <w:rFonts w:asciiTheme="majorHAnsi" w:hAnsiTheme="majorHAnsi" w:cstheme="majorHAnsi"/>
          <w:lang w:val="en-GB"/>
        </w:rPr>
      </w:pPr>
    </w:p>
    <w:p w14:paraId="0AAF0663" w14:textId="3334A17B" w:rsidR="009865D5" w:rsidRPr="00B8660A" w:rsidRDefault="009865D5" w:rsidP="009865D5">
      <w:pPr>
        <w:spacing w:line="360" w:lineRule="auto"/>
        <w:jc w:val="both"/>
        <w:rPr>
          <w:rFonts w:asciiTheme="majorHAnsi" w:hAnsiTheme="majorHAnsi" w:cstheme="majorHAnsi"/>
          <w:b/>
          <w:lang w:val="en-GB"/>
        </w:rPr>
      </w:pPr>
      <w:r w:rsidRPr="00B8660A">
        <w:rPr>
          <w:rFonts w:asciiTheme="majorHAnsi" w:hAnsiTheme="majorHAnsi" w:cstheme="majorHAnsi"/>
          <w:b/>
          <w:lang w:val="en-GB"/>
        </w:rPr>
        <w:t>Keywords</w:t>
      </w:r>
    </w:p>
    <w:p w14:paraId="0523BA70" w14:textId="125F7F18" w:rsidR="009865D5" w:rsidRPr="00B8660A" w:rsidRDefault="009865D5"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Circular business models; Actor engagement; Engagement platforms; Value propositions</w:t>
      </w:r>
    </w:p>
    <w:p w14:paraId="7CB043B2" w14:textId="77777777" w:rsidR="003F793F" w:rsidRPr="00B8660A" w:rsidRDefault="003F793F" w:rsidP="009865D5">
      <w:pPr>
        <w:spacing w:line="360" w:lineRule="auto"/>
        <w:rPr>
          <w:rFonts w:asciiTheme="majorHAnsi" w:hAnsiTheme="majorHAnsi" w:cstheme="majorHAnsi"/>
          <w:lang w:val="en-GB"/>
        </w:rPr>
      </w:pPr>
    </w:p>
    <w:p w14:paraId="1121EC44" w14:textId="17A26B7C" w:rsidR="003F793F" w:rsidRPr="00B8660A" w:rsidRDefault="00C42D67" w:rsidP="00AA49E2">
      <w:pPr>
        <w:spacing w:line="360" w:lineRule="auto"/>
        <w:rPr>
          <w:rFonts w:asciiTheme="majorHAnsi" w:hAnsiTheme="majorHAnsi" w:cstheme="majorHAnsi"/>
          <w:b/>
          <w:lang w:val="en-GB"/>
        </w:rPr>
      </w:pPr>
      <w:r w:rsidRPr="00B8660A">
        <w:rPr>
          <w:rFonts w:asciiTheme="majorHAnsi" w:hAnsiTheme="majorHAnsi" w:cstheme="majorHAnsi"/>
          <w:b/>
          <w:lang w:val="en-GB"/>
        </w:rPr>
        <w:t>The rise of a circular economy</w:t>
      </w:r>
    </w:p>
    <w:p w14:paraId="5D71B60E" w14:textId="77777777" w:rsidR="003F793F" w:rsidRPr="00B8660A" w:rsidRDefault="003F793F" w:rsidP="009865D5">
      <w:pPr>
        <w:spacing w:line="360" w:lineRule="auto"/>
        <w:rPr>
          <w:rFonts w:asciiTheme="majorHAnsi" w:hAnsiTheme="majorHAnsi" w:cstheme="majorHAnsi"/>
          <w:lang w:val="en-GB"/>
        </w:rPr>
      </w:pPr>
    </w:p>
    <w:p w14:paraId="6E62309E" w14:textId="7255A05D"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The current linear economy with “take-make-dispose” business models has become unsustainable at global scale. Indeed, these business models are at the heart of several negative phenomena, ranging from environmental pollution and global climate change </w:t>
      </w:r>
      <w:r w:rsidR="005A16DF" w:rsidRPr="00B8660A">
        <w:rPr>
          <w:rFonts w:asciiTheme="majorHAnsi" w:hAnsiTheme="majorHAnsi" w:cstheme="majorHAnsi"/>
          <w:lang w:val="en-GB"/>
        </w:rPr>
        <w:t xml:space="preserve">to social inequality </w:t>
      </w:r>
      <w:r w:rsidR="005D7016" w:rsidRPr="00B8660A">
        <w:rPr>
          <w:rFonts w:asciiTheme="majorHAnsi" w:hAnsiTheme="majorHAnsi" w:cstheme="majorHAnsi"/>
          <w:lang w:val="en-GB"/>
        </w:rPr>
        <w:t xml:space="preserve">and exclusion </w:t>
      </w:r>
      <w:r w:rsidRPr="00B8660A">
        <w:rPr>
          <w:rFonts w:asciiTheme="majorHAnsi" w:hAnsiTheme="majorHAnsi" w:cstheme="majorHAnsi"/>
          <w:lang w:val="en-GB"/>
        </w:rPr>
        <w:t xml:space="preserve">(Esposito et al., 2017). To transition to a more sustainable circular economy in which economic growth is decoupled from resource usage, new business models must be </w:t>
      </w:r>
      <w:r w:rsidR="000A60DC" w:rsidRPr="00B8660A">
        <w:rPr>
          <w:rFonts w:asciiTheme="majorHAnsi" w:hAnsiTheme="majorHAnsi" w:cstheme="majorHAnsi"/>
          <w:lang w:val="en-GB"/>
        </w:rPr>
        <w:t>developed,</w:t>
      </w:r>
      <w:r w:rsidRPr="00B8660A">
        <w:rPr>
          <w:rFonts w:asciiTheme="majorHAnsi" w:hAnsiTheme="majorHAnsi" w:cstheme="majorHAnsi"/>
          <w:lang w:val="en-GB"/>
        </w:rPr>
        <w:t xml:space="preserve"> and existing business models must be altered (Kirchherr et al., 2017; Ünal et al., 2019; Vijverman et al., 2019). By focusing on slowing down, narrowing or closing resource loops, these so-called circular business models not only allow for the generation of economic value but also environmental and/or social value and hence contribute to the transition to a circular economy (Geissdoerfer et al., 2020; Lüdeke‐Freund et al., 2019; Nußholz, 2017). </w:t>
      </w:r>
    </w:p>
    <w:p w14:paraId="47F00F11" w14:textId="77777777" w:rsidR="003F793F" w:rsidRPr="00B8660A" w:rsidRDefault="003F793F" w:rsidP="009865D5">
      <w:pPr>
        <w:spacing w:line="360" w:lineRule="auto"/>
        <w:jc w:val="both"/>
        <w:rPr>
          <w:rFonts w:asciiTheme="majorHAnsi" w:hAnsiTheme="majorHAnsi" w:cstheme="majorHAnsi"/>
          <w:lang w:val="en-GB"/>
        </w:rPr>
      </w:pPr>
    </w:p>
    <w:p w14:paraId="5F7EC7C8" w14:textId="10D7B2B8"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To date, the uptake of circular business models remains slow (Bocken et al., 2019a). An important catalyst in this adoption process is actor engagement,</w:t>
      </w:r>
      <w:r w:rsidRPr="00B8660A">
        <w:rPr>
          <w:rFonts w:asciiTheme="majorHAnsi" w:hAnsiTheme="majorHAnsi" w:cstheme="majorHAnsi"/>
          <w:i/>
          <w:iCs/>
          <w:lang w:val="en-GB"/>
        </w:rPr>
        <w:t xml:space="preserve"> </w:t>
      </w:r>
      <w:r w:rsidRPr="00B8660A">
        <w:rPr>
          <w:rFonts w:asciiTheme="majorHAnsi" w:hAnsiTheme="majorHAnsi" w:cstheme="majorHAnsi"/>
          <w:lang w:val="en-GB"/>
        </w:rPr>
        <w:t xml:space="preserve">that is </w:t>
      </w:r>
      <w:r w:rsidR="00441870" w:rsidRPr="00B8660A">
        <w:rPr>
          <w:rFonts w:asciiTheme="majorHAnsi" w:hAnsiTheme="majorHAnsi" w:cstheme="majorHAnsi"/>
          <w:lang w:val="en-GB"/>
        </w:rPr>
        <w:t xml:space="preserve">the psychological state of an actor in relation to a </w:t>
      </w:r>
      <w:r w:rsidR="007F14C6">
        <w:rPr>
          <w:rFonts w:asciiTheme="majorHAnsi" w:hAnsiTheme="majorHAnsi" w:cstheme="majorHAnsi"/>
          <w:lang w:val="en-GB"/>
        </w:rPr>
        <w:t>circular business model</w:t>
      </w:r>
      <w:r w:rsidR="00441870" w:rsidRPr="00B8660A">
        <w:rPr>
          <w:rFonts w:asciiTheme="majorHAnsi" w:hAnsiTheme="majorHAnsi" w:cstheme="majorHAnsi"/>
          <w:lang w:val="en-GB"/>
        </w:rPr>
        <w:t xml:space="preserve"> (e.g., Brodie et al., 2011; Hollebeek et al., 2014; van Doorn et al., 2010)</w:t>
      </w:r>
      <w:r w:rsidRPr="00B8660A">
        <w:rPr>
          <w:rFonts w:asciiTheme="majorHAnsi" w:hAnsiTheme="majorHAnsi" w:cstheme="majorHAnsi"/>
          <w:lang w:val="en-GB"/>
        </w:rPr>
        <w:t xml:space="preserve">. </w:t>
      </w:r>
      <w:r w:rsidR="00FB219E" w:rsidRPr="00B8660A">
        <w:rPr>
          <w:rFonts w:asciiTheme="majorHAnsi" w:hAnsiTheme="majorHAnsi" w:cstheme="majorHAnsi"/>
          <w:lang w:val="en-GB"/>
        </w:rPr>
        <w:t>This psychological state entails non-behavio</w:t>
      </w:r>
      <w:r w:rsidR="00DB6D03" w:rsidRPr="00B8660A">
        <w:rPr>
          <w:rFonts w:asciiTheme="majorHAnsi" w:hAnsiTheme="majorHAnsi" w:cstheme="majorHAnsi"/>
          <w:lang w:val="en-GB"/>
        </w:rPr>
        <w:t>u</w:t>
      </w:r>
      <w:r w:rsidR="00FB219E" w:rsidRPr="00B8660A">
        <w:rPr>
          <w:rFonts w:asciiTheme="majorHAnsi" w:hAnsiTheme="majorHAnsi" w:cstheme="majorHAnsi"/>
          <w:lang w:val="en-GB"/>
        </w:rPr>
        <w:t xml:space="preserve">ral manifestations (e.g., thinking and feeling positive about a </w:t>
      </w:r>
      <w:r w:rsidR="007F14C6">
        <w:rPr>
          <w:rFonts w:asciiTheme="majorHAnsi" w:hAnsiTheme="majorHAnsi" w:cstheme="majorHAnsi"/>
          <w:lang w:val="en-GB"/>
        </w:rPr>
        <w:lastRenderedPageBreak/>
        <w:t>circular business model</w:t>
      </w:r>
      <w:r w:rsidR="00FB219E" w:rsidRPr="00B8660A">
        <w:rPr>
          <w:rFonts w:asciiTheme="majorHAnsi" w:hAnsiTheme="majorHAnsi" w:cstheme="majorHAnsi"/>
          <w:lang w:val="en-GB"/>
        </w:rPr>
        <w:t>) as well as behavioural manifestations (e.g., using and recommending a</w:t>
      </w:r>
      <w:r w:rsidR="007F14C6">
        <w:rPr>
          <w:rFonts w:asciiTheme="majorHAnsi" w:hAnsiTheme="majorHAnsi" w:cstheme="majorHAnsi"/>
          <w:lang w:val="en-GB"/>
        </w:rPr>
        <w:t xml:space="preserve"> circular business model</w:t>
      </w:r>
      <w:r w:rsidR="00FB219E" w:rsidRPr="00B8660A">
        <w:rPr>
          <w:rFonts w:asciiTheme="majorHAnsi" w:hAnsiTheme="majorHAnsi" w:cstheme="majorHAnsi"/>
          <w:lang w:val="en-GB"/>
        </w:rPr>
        <w:t xml:space="preserve">). </w:t>
      </w:r>
      <w:r w:rsidRPr="00B8660A">
        <w:rPr>
          <w:rFonts w:asciiTheme="majorHAnsi" w:hAnsiTheme="majorHAnsi" w:cstheme="majorHAnsi"/>
          <w:lang w:val="en-GB"/>
        </w:rPr>
        <w:t xml:space="preserve">Indeed, several researchers, practitioners and policymakers point out that actively engaging different actors – such as consumers and providers – with circular business models is crucial to transition to a circular economy (European Commission, 2019; </w:t>
      </w:r>
      <w:r w:rsidR="00DB6D03" w:rsidRPr="00B8660A">
        <w:rPr>
          <w:rFonts w:asciiTheme="majorHAnsi" w:hAnsiTheme="majorHAnsi" w:cstheme="majorHAnsi"/>
          <w:lang w:val="en-GB"/>
        </w:rPr>
        <w:t>He et al., 2021</w:t>
      </w:r>
      <w:r w:rsidRPr="00B8660A">
        <w:rPr>
          <w:rFonts w:asciiTheme="majorHAnsi" w:hAnsiTheme="majorHAnsi" w:cstheme="majorHAnsi"/>
          <w:lang w:val="en-GB"/>
        </w:rPr>
        <w:t xml:space="preserve">; Vijverman et al., 2019). In recent years, academic research has devoted increasing attention to the topic of actor engagement with circular business models, such as </w:t>
      </w:r>
      <w:r w:rsidR="009F5C93" w:rsidRPr="00B8660A">
        <w:rPr>
          <w:rFonts w:asciiTheme="majorHAnsi" w:hAnsiTheme="majorHAnsi" w:cstheme="majorHAnsi"/>
          <w:lang w:val="en-GB"/>
        </w:rPr>
        <w:t>those oriented towards recycl</w:t>
      </w:r>
      <w:r w:rsidR="00D0718B" w:rsidRPr="00B8660A">
        <w:rPr>
          <w:rFonts w:asciiTheme="majorHAnsi" w:hAnsiTheme="majorHAnsi" w:cstheme="majorHAnsi"/>
          <w:lang w:val="en-GB"/>
        </w:rPr>
        <w:t>ed</w:t>
      </w:r>
      <w:r w:rsidR="00773F50" w:rsidRPr="00B8660A">
        <w:rPr>
          <w:rFonts w:asciiTheme="majorHAnsi" w:hAnsiTheme="majorHAnsi" w:cstheme="majorHAnsi"/>
          <w:lang w:val="en-GB"/>
        </w:rPr>
        <w:t>, refurbish</w:t>
      </w:r>
      <w:r w:rsidR="00D0718B" w:rsidRPr="00B8660A">
        <w:rPr>
          <w:rFonts w:asciiTheme="majorHAnsi" w:hAnsiTheme="majorHAnsi" w:cstheme="majorHAnsi"/>
          <w:lang w:val="en-GB"/>
        </w:rPr>
        <w:t>ed</w:t>
      </w:r>
      <w:r w:rsidR="00773F50" w:rsidRPr="00B8660A">
        <w:rPr>
          <w:rFonts w:asciiTheme="majorHAnsi" w:hAnsiTheme="majorHAnsi" w:cstheme="majorHAnsi"/>
          <w:lang w:val="en-GB"/>
        </w:rPr>
        <w:t xml:space="preserve"> and </w:t>
      </w:r>
      <w:r w:rsidRPr="00B8660A">
        <w:rPr>
          <w:rFonts w:asciiTheme="majorHAnsi" w:hAnsiTheme="majorHAnsi" w:cstheme="majorHAnsi"/>
          <w:lang w:val="en-GB"/>
        </w:rPr>
        <w:t xml:space="preserve">remanufactured products (e.g., van Weelden et al., 2016) and </w:t>
      </w:r>
      <w:r w:rsidR="007C7633" w:rsidRPr="00B8660A">
        <w:rPr>
          <w:rFonts w:asciiTheme="majorHAnsi" w:hAnsiTheme="majorHAnsi" w:cstheme="majorHAnsi"/>
          <w:lang w:val="en-GB"/>
        </w:rPr>
        <w:t xml:space="preserve">rental, </w:t>
      </w:r>
      <w:r w:rsidR="002A655F" w:rsidRPr="00B8660A">
        <w:rPr>
          <w:rFonts w:asciiTheme="majorHAnsi" w:hAnsiTheme="majorHAnsi" w:cstheme="majorHAnsi"/>
          <w:lang w:val="en-GB"/>
        </w:rPr>
        <w:t>r</w:t>
      </w:r>
      <w:r w:rsidR="007C7633" w:rsidRPr="00B8660A">
        <w:rPr>
          <w:rFonts w:asciiTheme="majorHAnsi" w:hAnsiTheme="majorHAnsi" w:cstheme="majorHAnsi"/>
          <w:lang w:val="en-GB"/>
        </w:rPr>
        <w:t>esale</w:t>
      </w:r>
      <w:r w:rsidRPr="00B8660A">
        <w:rPr>
          <w:rFonts w:asciiTheme="majorHAnsi" w:hAnsiTheme="majorHAnsi" w:cstheme="majorHAnsi"/>
          <w:lang w:val="en-GB"/>
        </w:rPr>
        <w:t xml:space="preserve"> and sharing services (e.g., Khitous et al., 2022). Yet, the ways to engage </w:t>
      </w:r>
      <w:r w:rsidR="002A655F" w:rsidRPr="00B8660A">
        <w:rPr>
          <w:rFonts w:asciiTheme="majorHAnsi" w:hAnsiTheme="majorHAnsi" w:cstheme="majorHAnsi"/>
          <w:lang w:val="en-GB"/>
        </w:rPr>
        <w:t>actors</w:t>
      </w:r>
      <w:r w:rsidRPr="00B8660A">
        <w:rPr>
          <w:rFonts w:asciiTheme="majorHAnsi" w:hAnsiTheme="majorHAnsi" w:cstheme="majorHAnsi"/>
          <w:lang w:val="en-GB"/>
        </w:rPr>
        <w:t xml:space="preserve"> with different types of circular business models in a circular economy are not well-understood.</w:t>
      </w:r>
    </w:p>
    <w:p w14:paraId="1DC31DDF" w14:textId="77777777" w:rsidR="003F793F" w:rsidRPr="00B8660A" w:rsidRDefault="003F793F" w:rsidP="009865D5">
      <w:pPr>
        <w:spacing w:line="360" w:lineRule="auto"/>
        <w:jc w:val="both"/>
        <w:rPr>
          <w:rFonts w:asciiTheme="majorHAnsi" w:hAnsiTheme="majorHAnsi" w:cstheme="majorHAnsi"/>
          <w:lang w:val="en-GB"/>
        </w:rPr>
      </w:pPr>
    </w:p>
    <w:p w14:paraId="2E329819" w14:textId="66753783" w:rsidR="003F793F" w:rsidRPr="00B8660A" w:rsidRDefault="00862DBF" w:rsidP="00862DBF">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Therefore, this chapter aims to offer a framework that provides insight into engaging actors in the roles of consumers and providers with circular business models, along with illustrative examples. In doing so, specific attention is directed to (1) the different types of business models in a circular economy, (2) the benefits of engaging with those business models, (3) the role of engagement platforms, and (4) the ways to boost the engagement potential of these platforms. </w:t>
      </w:r>
    </w:p>
    <w:p w14:paraId="39DF8E8E" w14:textId="77777777" w:rsidR="00862DBF" w:rsidRPr="00B8660A" w:rsidRDefault="00862DBF" w:rsidP="009865D5">
      <w:pPr>
        <w:spacing w:line="360" w:lineRule="auto"/>
        <w:rPr>
          <w:rFonts w:asciiTheme="majorHAnsi" w:hAnsiTheme="majorHAnsi" w:cstheme="majorHAnsi"/>
          <w:lang w:val="en-GB"/>
        </w:rPr>
      </w:pPr>
    </w:p>
    <w:p w14:paraId="6601B139" w14:textId="120C4C42" w:rsidR="003F793F" w:rsidRPr="00B8660A" w:rsidRDefault="00C42D67" w:rsidP="000729A2">
      <w:pPr>
        <w:spacing w:line="360" w:lineRule="auto"/>
        <w:rPr>
          <w:rFonts w:asciiTheme="majorHAnsi" w:hAnsiTheme="majorHAnsi" w:cstheme="majorHAnsi"/>
          <w:b/>
          <w:lang w:val="en-GB"/>
        </w:rPr>
      </w:pPr>
      <w:r w:rsidRPr="00B8660A">
        <w:rPr>
          <w:rFonts w:asciiTheme="majorHAnsi" w:hAnsiTheme="majorHAnsi" w:cstheme="majorHAnsi"/>
          <w:b/>
          <w:lang w:val="en-GB"/>
        </w:rPr>
        <w:t>Types of business models in a circular economy</w:t>
      </w:r>
    </w:p>
    <w:p w14:paraId="69F8D61C" w14:textId="77777777" w:rsidR="003F793F" w:rsidRPr="00B8660A" w:rsidRDefault="003F793F" w:rsidP="009865D5">
      <w:pPr>
        <w:spacing w:line="360" w:lineRule="auto"/>
        <w:rPr>
          <w:rFonts w:asciiTheme="majorHAnsi" w:hAnsiTheme="majorHAnsi" w:cstheme="majorHAnsi"/>
          <w:lang w:val="en-GB"/>
        </w:rPr>
      </w:pPr>
    </w:p>
    <w:p w14:paraId="0A3ADA6C" w14:textId="6A1BFBEE"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Circular business models are business models (i.e.</w:t>
      </w:r>
      <w:r w:rsidR="002A655F" w:rsidRPr="00B8660A">
        <w:rPr>
          <w:rFonts w:asciiTheme="majorHAnsi" w:hAnsiTheme="majorHAnsi" w:cstheme="majorHAnsi"/>
          <w:lang w:val="en-GB"/>
        </w:rPr>
        <w:t>,</w:t>
      </w:r>
      <w:r w:rsidRPr="00B8660A">
        <w:rPr>
          <w:rFonts w:asciiTheme="majorHAnsi" w:hAnsiTheme="majorHAnsi" w:cstheme="majorHAnsi"/>
          <w:lang w:val="en-GB"/>
        </w:rPr>
        <w:t xml:space="preserve"> sets of decision variables that describe how businesses use and coordinate their resources to create and deliver value to consumers and other stakeholders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Fehrer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Wieland, 2021) that embrace the principles of the circular economy: (1) preserving natural systems, (2) retaining products and materials, and (3) eliminating waste and pollution (Ellen MacArthur Foundation, 2013; Vijverman et al., 2019). In this chapter, we contend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in line with the work of Verleye et al. (2023)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that circular business models may vary in terms of their level of servitization and their level of collectivity (see Figure 1). </w:t>
      </w:r>
    </w:p>
    <w:p w14:paraId="0EDA2A71" w14:textId="77777777" w:rsidR="003F793F" w:rsidRPr="00B8660A" w:rsidRDefault="003F793F" w:rsidP="009865D5">
      <w:pPr>
        <w:spacing w:line="360" w:lineRule="auto"/>
        <w:jc w:val="both"/>
        <w:rPr>
          <w:rFonts w:asciiTheme="majorHAnsi" w:hAnsiTheme="majorHAnsi" w:cstheme="majorHAnsi"/>
          <w:lang w:val="en-GB"/>
        </w:rPr>
      </w:pPr>
    </w:p>
    <w:p w14:paraId="629AF648" w14:textId="674F2791" w:rsidR="003F793F" w:rsidRPr="00B8660A" w:rsidRDefault="00610D85" w:rsidP="009865D5">
      <w:pPr>
        <w:spacing w:line="360" w:lineRule="auto"/>
        <w:jc w:val="center"/>
        <w:rPr>
          <w:rFonts w:asciiTheme="majorHAnsi" w:hAnsiTheme="majorHAnsi" w:cstheme="majorHAnsi"/>
          <w:lang w:val="en-GB"/>
        </w:rPr>
      </w:pPr>
      <w:r w:rsidRPr="00B8660A">
        <w:rPr>
          <w:rFonts w:asciiTheme="majorHAnsi" w:hAnsiTheme="majorHAnsi" w:cstheme="majorHAnsi"/>
          <w:noProof/>
          <w:lang w:val="en-GB"/>
        </w:rPr>
        <w:lastRenderedPageBreak/>
        <w:drawing>
          <wp:inline distT="0" distB="0" distL="0" distR="0" wp14:anchorId="1D05419A" wp14:editId="7CAA4FDB">
            <wp:extent cx="4046400" cy="375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6400" cy="3751200"/>
                    </a:xfrm>
                    <a:prstGeom prst="rect">
                      <a:avLst/>
                    </a:prstGeom>
                    <a:noFill/>
                  </pic:spPr>
                </pic:pic>
              </a:graphicData>
            </a:graphic>
          </wp:inline>
        </w:drawing>
      </w:r>
    </w:p>
    <w:p w14:paraId="02A86A72" w14:textId="27940D7D" w:rsidR="003F793F" w:rsidRPr="00B8660A" w:rsidRDefault="00C42D67" w:rsidP="009865D5">
      <w:pPr>
        <w:spacing w:line="360" w:lineRule="auto"/>
        <w:jc w:val="center"/>
        <w:rPr>
          <w:rFonts w:asciiTheme="majorHAnsi" w:hAnsiTheme="majorHAnsi" w:cstheme="majorHAnsi"/>
          <w:i/>
          <w:lang w:val="en-GB"/>
        </w:rPr>
      </w:pPr>
      <w:r w:rsidRPr="00B8660A">
        <w:rPr>
          <w:rFonts w:asciiTheme="majorHAnsi" w:hAnsiTheme="majorHAnsi" w:cstheme="majorHAnsi"/>
          <w:i/>
          <w:lang w:val="en-GB"/>
        </w:rPr>
        <w:t xml:space="preserve">Figure 1 </w:t>
      </w:r>
      <w:r w:rsidR="00AC6703" w:rsidRPr="00B8660A">
        <w:rPr>
          <w:rFonts w:asciiTheme="majorHAnsi" w:hAnsiTheme="majorHAnsi" w:cstheme="majorHAnsi"/>
          <w:lang w:val="en-GB"/>
        </w:rPr>
        <w:t>–</w:t>
      </w:r>
      <w:r w:rsidRPr="00B8660A">
        <w:rPr>
          <w:rFonts w:asciiTheme="majorHAnsi" w:hAnsiTheme="majorHAnsi" w:cstheme="majorHAnsi"/>
          <w:i/>
          <w:lang w:val="en-GB"/>
        </w:rPr>
        <w:t xml:space="preserve"> Different types of circular business models</w:t>
      </w:r>
      <w:r w:rsidR="00D80C67" w:rsidRPr="00B8660A">
        <w:rPr>
          <w:rFonts w:asciiTheme="majorHAnsi" w:hAnsiTheme="majorHAnsi" w:cstheme="majorHAnsi"/>
          <w:i/>
          <w:lang w:val="en-GB"/>
        </w:rPr>
        <w:t xml:space="preserve"> </w:t>
      </w:r>
      <w:r w:rsidR="00862DBF" w:rsidRPr="00B8660A">
        <w:rPr>
          <w:rFonts w:asciiTheme="majorHAnsi" w:hAnsiTheme="majorHAnsi" w:cstheme="majorHAnsi"/>
          <w:i/>
          <w:lang w:val="en-GB"/>
        </w:rPr>
        <w:t>(own source)</w:t>
      </w:r>
    </w:p>
    <w:p w14:paraId="648F6E98" w14:textId="77777777" w:rsidR="003F793F" w:rsidRPr="00B8660A" w:rsidRDefault="003F793F" w:rsidP="009865D5">
      <w:pPr>
        <w:spacing w:line="360" w:lineRule="auto"/>
        <w:jc w:val="both"/>
        <w:rPr>
          <w:rFonts w:asciiTheme="majorHAnsi" w:hAnsiTheme="majorHAnsi" w:cstheme="majorHAnsi"/>
          <w:lang w:val="en-GB"/>
        </w:rPr>
      </w:pPr>
    </w:p>
    <w:p w14:paraId="6D92A571" w14:textId="354BEF8D"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The level of </w:t>
      </w:r>
      <w:r w:rsidRPr="00B8660A">
        <w:rPr>
          <w:rFonts w:asciiTheme="majorHAnsi" w:hAnsiTheme="majorHAnsi" w:cstheme="majorHAnsi"/>
          <w:b/>
          <w:i/>
          <w:lang w:val="en-GB"/>
        </w:rPr>
        <w:t xml:space="preserve">servitization </w:t>
      </w:r>
      <w:r w:rsidRPr="00B8660A">
        <w:rPr>
          <w:rFonts w:asciiTheme="majorHAnsi" w:hAnsiTheme="majorHAnsi" w:cstheme="majorHAnsi"/>
          <w:lang w:val="en-GB"/>
        </w:rPr>
        <w:t xml:space="preserve">refers to the extent to which the circular business model embraces a service (rather than a product) as a unit of exchange (Verleye et al., 2023). Circular business models are low in servitization when their focus is still on the product as a unit of exchange. Think, for instance, about recycled, refurbished or remanufactured products or products whose lifecycle is extended by investing in their durability and longevity. The level of servitization increases when circular business models focus on increasing the utilization rate of products by providing consumers with repair services for products. Alternatively, consumers can interact with product-service systems like rental, leasing, and access-based services (De Bruyne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Verleye, 2022; Khitous et al., 2022). In those situations, there is a medium level of servitization, as consumers can no longer have full ownership over products yet they only have temporary access to products. The highest levels of servitization, in turn, emerge when there is no longer a transfer of product ownership from the provider to the consumer</w:t>
      </w:r>
      <w:r w:rsidR="00847891" w:rsidRPr="00B8660A">
        <w:rPr>
          <w:rFonts w:asciiTheme="majorHAnsi" w:hAnsiTheme="majorHAnsi" w:cstheme="majorHAnsi"/>
          <w:lang w:val="en-GB"/>
        </w:rPr>
        <w:t xml:space="preserve"> through the </w:t>
      </w:r>
      <w:r w:rsidR="00C71ECE" w:rsidRPr="00B8660A">
        <w:rPr>
          <w:rFonts w:asciiTheme="majorHAnsi" w:hAnsiTheme="majorHAnsi" w:cstheme="majorHAnsi"/>
          <w:lang w:val="en-GB"/>
        </w:rPr>
        <w:t xml:space="preserve">circular </w:t>
      </w:r>
      <w:r w:rsidR="00847891" w:rsidRPr="00B8660A">
        <w:rPr>
          <w:rFonts w:asciiTheme="majorHAnsi" w:hAnsiTheme="majorHAnsi" w:cstheme="majorHAnsi"/>
          <w:lang w:val="en-GB"/>
        </w:rPr>
        <w:t>business model</w:t>
      </w:r>
      <w:r w:rsidRPr="00B8660A">
        <w:rPr>
          <w:rFonts w:asciiTheme="majorHAnsi" w:hAnsiTheme="majorHAnsi" w:cstheme="majorHAnsi"/>
          <w:lang w:val="en-GB"/>
        </w:rPr>
        <w:t xml:space="preserve">. This occurs when circular business models focus on offering platforms through which </w:t>
      </w:r>
      <w:r w:rsidR="00426262" w:rsidRPr="00B8660A">
        <w:rPr>
          <w:rFonts w:asciiTheme="majorHAnsi" w:hAnsiTheme="majorHAnsi" w:cstheme="majorHAnsi"/>
          <w:lang w:val="en-GB"/>
        </w:rPr>
        <w:t>consumers and providers</w:t>
      </w:r>
      <w:r w:rsidRPr="00B8660A">
        <w:rPr>
          <w:rFonts w:asciiTheme="majorHAnsi" w:hAnsiTheme="majorHAnsi" w:cstheme="majorHAnsi"/>
          <w:lang w:val="en-GB"/>
        </w:rPr>
        <w:t xml:space="preserve"> can connect with one another (</w:t>
      </w:r>
      <w:r w:rsidR="00D217B2" w:rsidRPr="00B8660A">
        <w:rPr>
          <w:rFonts w:asciiTheme="majorHAnsi" w:hAnsiTheme="majorHAnsi" w:cstheme="majorHAnsi"/>
          <w:lang w:val="en-GB"/>
        </w:rPr>
        <w:t xml:space="preserve">Brodie et al., 2019; </w:t>
      </w:r>
      <w:r w:rsidRPr="00B8660A">
        <w:rPr>
          <w:rFonts w:asciiTheme="majorHAnsi" w:hAnsiTheme="majorHAnsi" w:cstheme="majorHAnsi"/>
          <w:lang w:val="en-GB"/>
        </w:rPr>
        <w:t xml:space="preserve">Fehrer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Wieland, 2021). Think about organizers of swapping events or apps through which peers can </w:t>
      </w:r>
      <w:r w:rsidR="00D2770E" w:rsidRPr="00B8660A">
        <w:rPr>
          <w:rFonts w:asciiTheme="majorHAnsi" w:hAnsiTheme="majorHAnsi" w:cstheme="majorHAnsi"/>
          <w:lang w:val="en-GB"/>
        </w:rPr>
        <w:t>sell</w:t>
      </w:r>
      <w:r w:rsidRPr="00B8660A">
        <w:rPr>
          <w:rFonts w:asciiTheme="majorHAnsi" w:hAnsiTheme="majorHAnsi" w:cstheme="majorHAnsi"/>
          <w:lang w:val="en-GB"/>
        </w:rPr>
        <w:t xml:space="preserve"> products </w:t>
      </w:r>
      <w:r w:rsidR="00D2770E" w:rsidRPr="00B8660A">
        <w:rPr>
          <w:rFonts w:asciiTheme="majorHAnsi" w:hAnsiTheme="majorHAnsi" w:cstheme="majorHAnsi"/>
          <w:lang w:val="en-GB"/>
        </w:rPr>
        <w:t xml:space="preserve">among </w:t>
      </w:r>
      <w:r w:rsidRPr="00B8660A">
        <w:rPr>
          <w:rFonts w:asciiTheme="majorHAnsi" w:hAnsiTheme="majorHAnsi" w:cstheme="majorHAnsi"/>
          <w:lang w:val="en-GB"/>
        </w:rPr>
        <w:t>one another.</w:t>
      </w:r>
    </w:p>
    <w:p w14:paraId="36570593" w14:textId="77777777" w:rsidR="003F793F" w:rsidRPr="00B8660A" w:rsidRDefault="003F793F" w:rsidP="009865D5">
      <w:pPr>
        <w:spacing w:line="360" w:lineRule="auto"/>
        <w:jc w:val="both"/>
        <w:rPr>
          <w:rFonts w:asciiTheme="majorHAnsi" w:hAnsiTheme="majorHAnsi" w:cstheme="majorHAnsi"/>
          <w:lang w:val="en-GB"/>
        </w:rPr>
      </w:pPr>
    </w:p>
    <w:p w14:paraId="4D3AB41A" w14:textId="71197BC3" w:rsidR="00AD2CAF" w:rsidRPr="00B8660A" w:rsidRDefault="00C42D67" w:rsidP="00B364E1">
      <w:pPr>
        <w:spacing w:line="360" w:lineRule="auto"/>
        <w:jc w:val="both"/>
        <w:rPr>
          <w:rFonts w:asciiTheme="majorHAnsi" w:hAnsiTheme="majorHAnsi" w:cstheme="majorHAnsi"/>
          <w:lang w:val="en-GB"/>
        </w:rPr>
      </w:pPr>
      <w:r w:rsidRPr="00B8660A">
        <w:rPr>
          <w:rFonts w:asciiTheme="majorHAnsi" w:hAnsiTheme="majorHAnsi" w:cstheme="majorHAnsi"/>
          <w:lang w:val="en-GB"/>
        </w:rPr>
        <w:lastRenderedPageBreak/>
        <w:t xml:space="preserve">The level of </w:t>
      </w:r>
      <w:r w:rsidRPr="00B8660A">
        <w:rPr>
          <w:rFonts w:asciiTheme="majorHAnsi" w:hAnsiTheme="majorHAnsi" w:cstheme="majorHAnsi"/>
          <w:b/>
          <w:i/>
          <w:lang w:val="en-GB"/>
        </w:rPr>
        <w:t xml:space="preserve">collectivity </w:t>
      </w:r>
      <w:r w:rsidRPr="00B8660A">
        <w:rPr>
          <w:rFonts w:asciiTheme="majorHAnsi" w:hAnsiTheme="majorHAnsi" w:cstheme="majorHAnsi"/>
          <w:lang w:val="en-GB"/>
        </w:rPr>
        <w:t xml:space="preserve">refers to the extent to which the circular business model requires collective action and collaboration (Verleye et al., 2023). Circular business models with a low, medium, and high level of servitization always require the involvement of </w:t>
      </w:r>
      <w:r w:rsidR="00426262" w:rsidRPr="00B8660A">
        <w:rPr>
          <w:rFonts w:asciiTheme="majorHAnsi" w:hAnsiTheme="majorHAnsi" w:cstheme="majorHAnsi"/>
          <w:lang w:val="en-GB"/>
        </w:rPr>
        <w:t xml:space="preserve">consumers and </w:t>
      </w:r>
      <w:r w:rsidRPr="00B8660A">
        <w:rPr>
          <w:rFonts w:asciiTheme="majorHAnsi" w:hAnsiTheme="majorHAnsi" w:cstheme="majorHAnsi"/>
          <w:lang w:val="en-GB"/>
        </w:rPr>
        <w:t xml:space="preserve">providers yet collective action and collaboration with more actors might also be necessary. As a matter of fact, we contend that higher levels of servitization go along with an increased need for collective action and collaboration. Indeed, one of the key characteristics of services is that they are consumed when being delivered (Vargo and Lusch, 2016, 2017). Meanwhile, a number of scholars also call for upscaling different types of circular business models (e.g., Fehrer and Wieland, 2021). This can only be achieved when a multitude of actors engage in collective action and collaboration, going from individual consumers and providers to social movements and industries to governmental systems (Verleye et al., 2023). For example, the Flemish Green Deal Renting and Sharing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which aims to accelerate the transition to a circular economy by encouraging renting and sharing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relies upon intense collaboration between consumers, non-profit organizations, for-profit organizations and the government. </w:t>
      </w:r>
    </w:p>
    <w:p w14:paraId="269E7E06" w14:textId="77777777" w:rsidR="003F793F" w:rsidRPr="00B8660A" w:rsidRDefault="003F793F" w:rsidP="009865D5">
      <w:pPr>
        <w:spacing w:line="360" w:lineRule="auto"/>
        <w:jc w:val="both"/>
        <w:rPr>
          <w:rFonts w:asciiTheme="majorHAnsi" w:hAnsiTheme="majorHAnsi" w:cstheme="majorHAnsi"/>
          <w:lang w:val="en-GB"/>
        </w:rPr>
      </w:pPr>
    </w:p>
    <w:p w14:paraId="2955638E" w14:textId="62986AF2" w:rsidR="003F793F" w:rsidRPr="00B8660A" w:rsidRDefault="007902E9" w:rsidP="000729A2">
      <w:pPr>
        <w:spacing w:line="360" w:lineRule="auto"/>
        <w:jc w:val="both"/>
        <w:rPr>
          <w:rFonts w:asciiTheme="majorHAnsi" w:hAnsiTheme="majorHAnsi" w:cstheme="majorHAnsi"/>
          <w:b/>
          <w:lang w:val="en-GB"/>
        </w:rPr>
      </w:pPr>
      <w:r>
        <w:rPr>
          <w:rFonts w:asciiTheme="majorHAnsi" w:hAnsiTheme="majorHAnsi" w:cstheme="majorHAnsi"/>
          <w:b/>
          <w:lang w:val="en-GB"/>
        </w:rPr>
        <w:t>Types of</w:t>
      </w:r>
      <w:r w:rsidR="00C42D67" w:rsidRPr="00B8660A">
        <w:rPr>
          <w:rFonts w:asciiTheme="majorHAnsi" w:hAnsiTheme="majorHAnsi" w:cstheme="majorHAnsi"/>
          <w:b/>
          <w:lang w:val="en-GB"/>
        </w:rPr>
        <w:t xml:space="preserve"> </w:t>
      </w:r>
      <w:r w:rsidR="00C42D67" w:rsidRPr="001339A9">
        <w:rPr>
          <w:rFonts w:asciiTheme="majorHAnsi" w:hAnsiTheme="majorHAnsi" w:cstheme="majorHAnsi"/>
          <w:b/>
          <w:lang w:val="en-GB"/>
        </w:rPr>
        <w:t xml:space="preserve">benefits </w:t>
      </w:r>
      <w:r w:rsidR="001339A9" w:rsidRPr="001339A9">
        <w:rPr>
          <w:rFonts w:asciiTheme="majorHAnsi" w:hAnsiTheme="majorHAnsi" w:cstheme="majorHAnsi"/>
          <w:b/>
          <w:lang w:val="en-GB"/>
        </w:rPr>
        <w:t>for circular economy engagement</w:t>
      </w:r>
    </w:p>
    <w:p w14:paraId="5E213218" w14:textId="77777777" w:rsidR="003F793F" w:rsidRPr="00B8660A" w:rsidRDefault="003F793F" w:rsidP="009865D5">
      <w:pPr>
        <w:spacing w:line="360" w:lineRule="auto"/>
        <w:rPr>
          <w:rFonts w:asciiTheme="majorHAnsi" w:hAnsiTheme="majorHAnsi" w:cstheme="majorHAnsi"/>
          <w:lang w:val="en-GB"/>
        </w:rPr>
      </w:pPr>
    </w:p>
    <w:p w14:paraId="349A7AAC" w14:textId="172A97D9"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Circular business models </w:t>
      </w:r>
      <w:r w:rsidR="007576EF">
        <w:rPr>
          <w:rFonts w:asciiTheme="majorHAnsi" w:hAnsiTheme="majorHAnsi" w:cstheme="majorHAnsi"/>
          <w:lang w:val="en-GB"/>
        </w:rPr>
        <w:t xml:space="preserve">may </w:t>
      </w:r>
      <w:r w:rsidRPr="00B8660A">
        <w:rPr>
          <w:rFonts w:asciiTheme="majorHAnsi" w:hAnsiTheme="majorHAnsi" w:cstheme="majorHAnsi"/>
          <w:lang w:val="en-GB"/>
        </w:rPr>
        <w:t xml:space="preserve">vary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as also shown in Figure 1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in terms of servitization (i.e., the unit of exchange) and collectivity (i.e., the need for collective action and collaboration). Yet, the success of any type of circular business model depends on the engagement of individual actors to realize the transition to a circular economy (Elzinga et al., 2020; Köhler et al., 2019; Urbinati et al., 2017). </w:t>
      </w:r>
      <w:r w:rsidR="000353E6">
        <w:rPr>
          <w:rFonts w:asciiTheme="majorHAnsi" w:hAnsiTheme="majorHAnsi" w:cstheme="majorHAnsi"/>
          <w:lang w:val="en-GB"/>
        </w:rPr>
        <w:t>Here</w:t>
      </w:r>
      <w:r w:rsidR="002A655F" w:rsidRPr="00B8660A">
        <w:rPr>
          <w:rFonts w:asciiTheme="majorHAnsi" w:hAnsiTheme="majorHAnsi" w:cstheme="majorHAnsi"/>
          <w:lang w:val="en-GB"/>
        </w:rPr>
        <w:t>, a</w:t>
      </w:r>
      <w:r w:rsidRPr="00B8660A">
        <w:rPr>
          <w:rFonts w:asciiTheme="majorHAnsi" w:hAnsiTheme="majorHAnsi" w:cstheme="majorHAnsi"/>
          <w:lang w:val="en-GB"/>
        </w:rPr>
        <w:t xml:space="preserve">ctor engagement represents </w:t>
      </w:r>
      <w:r w:rsidR="002A655F" w:rsidRPr="00B8660A">
        <w:rPr>
          <w:rFonts w:asciiTheme="majorHAnsi" w:hAnsiTheme="majorHAnsi" w:cstheme="majorHAnsi"/>
          <w:lang w:val="en-GB"/>
        </w:rPr>
        <w:t>the</w:t>
      </w:r>
      <w:r w:rsidRPr="00B8660A">
        <w:rPr>
          <w:rFonts w:asciiTheme="majorHAnsi" w:hAnsiTheme="majorHAnsi" w:cstheme="majorHAnsi"/>
          <w:lang w:val="en-GB"/>
        </w:rPr>
        <w:t xml:space="preserve"> </w:t>
      </w:r>
      <w:r w:rsidR="00E83924" w:rsidRPr="00B8660A">
        <w:rPr>
          <w:rFonts w:asciiTheme="majorHAnsi" w:hAnsiTheme="majorHAnsi" w:cstheme="majorHAnsi"/>
          <w:lang w:val="en-GB"/>
        </w:rPr>
        <w:t xml:space="preserve">psychological </w:t>
      </w:r>
      <w:r w:rsidRPr="00B8660A">
        <w:rPr>
          <w:rFonts w:asciiTheme="majorHAnsi" w:hAnsiTheme="majorHAnsi" w:cstheme="majorHAnsi"/>
          <w:lang w:val="en-GB"/>
        </w:rPr>
        <w:t xml:space="preserve">state </w:t>
      </w:r>
      <w:r w:rsidR="002A655F" w:rsidRPr="00B8660A">
        <w:rPr>
          <w:rFonts w:asciiTheme="majorHAnsi" w:hAnsiTheme="majorHAnsi" w:cstheme="majorHAnsi"/>
          <w:lang w:val="en-GB"/>
        </w:rPr>
        <w:t>of an actor in relation to a circular business model, which entails</w:t>
      </w:r>
      <w:r w:rsidRPr="00B8660A">
        <w:rPr>
          <w:rFonts w:asciiTheme="majorHAnsi" w:hAnsiTheme="majorHAnsi" w:cstheme="majorHAnsi"/>
          <w:lang w:val="en-GB"/>
        </w:rPr>
        <w:t xml:space="preserve"> non-</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and </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manifestations (e.g., Brodie et al., 2011; Hollebeek et al., 2014; </w:t>
      </w:r>
      <w:r w:rsidR="002976D8" w:rsidRPr="00B8660A">
        <w:rPr>
          <w:rFonts w:asciiTheme="majorHAnsi" w:hAnsiTheme="majorHAnsi" w:cstheme="majorHAnsi"/>
          <w:lang w:val="en-GB"/>
        </w:rPr>
        <w:t xml:space="preserve">2023; </w:t>
      </w:r>
      <w:r w:rsidRPr="00B8660A">
        <w:rPr>
          <w:rFonts w:asciiTheme="majorHAnsi" w:hAnsiTheme="majorHAnsi" w:cstheme="majorHAnsi"/>
          <w:lang w:val="en-GB"/>
        </w:rPr>
        <w:t xml:space="preserve">van Doorn et al., 2010). In the context of the circular transition, individual actors, whether they </w:t>
      </w:r>
      <w:r w:rsidR="00640B37" w:rsidRPr="00B8660A">
        <w:rPr>
          <w:rFonts w:asciiTheme="majorHAnsi" w:hAnsiTheme="majorHAnsi" w:cstheme="majorHAnsi"/>
          <w:lang w:val="en-GB"/>
        </w:rPr>
        <w:t>fulfil</w:t>
      </w:r>
      <w:r w:rsidRPr="00B8660A">
        <w:rPr>
          <w:rFonts w:asciiTheme="majorHAnsi" w:hAnsiTheme="majorHAnsi" w:cstheme="majorHAnsi"/>
          <w:lang w:val="en-GB"/>
        </w:rPr>
        <w:t xml:space="preserve"> the role of consumers or providers, should engage with not only </w:t>
      </w:r>
      <w:r w:rsidR="00C616B8" w:rsidRPr="00B8660A">
        <w:rPr>
          <w:rFonts w:asciiTheme="majorHAnsi" w:hAnsiTheme="majorHAnsi" w:cstheme="majorHAnsi"/>
          <w:lang w:val="en-GB"/>
        </w:rPr>
        <w:t xml:space="preserve">the </w:t>
      </w:r>
      <w:r w:rsidR="007675AB" w:rsidRPr="00B8660A">
        <w:rPr>
          <w:rFonts w:asciiTheme="majorHAnsi" w:hAnsiTheme="majorHAnsi" w:cstheme="majorHAnsi"/>
          <w:lang w:val="en-GB"/>
        </w:rPr>
        <w:t>circular</w:t>
      </w:r>
      <w:r w:rsidRPr="00B8660A">
        <w:rPr>
          <w:rFonts w:asciiTheme="majorHAnsi" w:hAnsiTheme="majorHAnsi" w:cstheme="majorHAnsi"/>
          <w:lang w:val="en-GB"/>
        </w:rPr>
        <w:t xml:space="preserve"> business models but also with the circular economy principles. Indeed, engagement with circular business models does not automatically promote a more sustainable circular economy</w:t>
      </w:r>
      <w:r w:rsidR="00151ACE" w:rsidRPr="00B8660A">
        <w:rPr>
          <w:rFonts w:asciiTheme="majorHAnsi" w:hAnsiTheme="majorHAnsi" w:cstheme="majorHAnsi"/>
          <w:lang w:val="en-GB"/>
        </w:rPr>
        <w:t xml:space="preserve"> (</w:t>
      </w:r>
      <w:r w:rsidR="00D26376" w:rsidRPr="00B8660A">
        <w:rPr>
          <w:rFonts w:asciiTheme="majorHAnsi" w:hAnsiTheme="majorHAnsi" w:cstheme="majorHAnsi"/>
          <w:lang w:val="en-GB"/>
        </w:rPr>
        <w:t xml:space="preserve">Bocken </w:t>
      </w:r>
      <w:r w:rsidR="009D5DD3" w:rsidRPr="00B8660A">
        <w:rPr>
          <w:rFonts w:asciiTheme="majorHAnsi" w:hAnsiTheme="majorHAnsi" w:cstheme="majorHAnsi"/>
          <w:lang w:val="en-GB"/>
        </w:rPr>
        <w:t>and</w:t>
      </w:r>
      <w:r w:rsidR="00D26376" w:rsidRPr="00B8660A">
        <w:rPr>
          <w:rFonts w:asciiTheme="majorHAnsi" w:hAnsiTheme="majorHAnsi" w:cstheme="majorHAnsi"/>
          <w:lang w:val="en-GB"/>
        </w:rPr>
        <w:t xml:space="preserve"> Short, 2020; </w:t>
      </w:r>
      <w:r w:rsidR="00151ACE" w:rsidRPr="00B8660A">
        <w:rPr>
          <w:rFonts w:asciiTheme="majorHAnsi" w:hAnsiTheme="majorHAnsi" w:cstheme="majorHAnsi"/>
          <w:lang w:val="en-GB"/>
        </w:rPr>
        <w:t>Phipps</w:t>
      </w:r>
      <w:r w:rsidR="00D26376" w:rsidRPr="00B8660A">
        <w:rPr>
          <w:rFonts w:asciiTheme="majorHAnsi" w:hAnsiTheme="majorHAnsi" w:cstheme="majorHAnsi"/>
          <w:lang w:val="en-GB"/>
        </w:rPr>
        <w:t xml:space="preserve"> et al., 2013; Prothero et al., 2011)</w:t>
      </w:r>
      <w:r w:rsidRPr="00B8660A">
        <w:rPr>
          <w:rFonts w:asciiTheme="majorHAnsi" w:hAnsiTheme="majorHAnsi" w:cstheme="majorHAnsi"/>
          <w:lang w:val="en-GB"/>
        </w:rPr>
        <w:t xml:space="preserve">. For example, </w:t>
      </w:r>
      <w:r w:rsidR="00FB243D" w:rsidRPr="00B8660A">
        <w:rPr>
          <w:rFonts w:asciiTheme="majorHAnsi" w:hAnsiTheme="majorHAnsi" w:cstheme="majorHAnsi"/>
          <w:lang w:val="en-GB"/>
        </w:rPr>
        <w:t xml:space="preserve">business models oriented towards </w:t>
      </w:r>
      <w:r w:rsidRPr="00B8660A">
        <w:rPr>
          <w:rFonts w:asciiTheme="majorHAnsi" w:hAnsiTheme="majorHAnsi" w:cstheme="majorHAnsi"/>
          <w:lang w:val="en-GB"/>
        </w:rPr>
        <w:t xml:space="preserve">refurbished </w:t>
      </w:r>
      <w:r w:rsidR="00FB243D" w:rsidRPr="00B8660A">
        <w:rPr>
          <w:rFonts w:asciiTheme="majorHAnsi" w:hAnsiTheme="majorHAnsi" w:cstheme="majorHAnsi"/>
          <w:lang w:val="en-GB"/>
        </w:rPr>
        <w:t xml:space="preserve">products </w:t>
      </w:r>
      <w:r w:rsidRPr="00B8660A">
        <w:rPr>
          <w:rFonts w:asciiTheme="majorHAnsi" w:hAnsiTheme="majorHAnsi" w:cstheme="majorHAnsi"/>
          <w:lang w:val="en-GB"/>
        </w:rPr>
        <w:t xml:space="preserve">may result in less material and energy usage but cheaper phone prices may result in additional sales and thus more material and energy usage in case engagement with the circular economy principles is lacking. Or, car sharing may result in social cohesion but may also increase car usage and emissions as a result of lack of engagement with the circular economy principles (Acquier et al., 2017; Laukkanen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Tura, 2020). Hence, both engagement </w:t>
      </w:r>
      <w:r w:rsidRPr="00B8660A">
        <w:rPr>
          <w:rFonts w:asciiTheme="majorHAnsi" w:hAnsiTheme="majorHAnsi" w:cstheme="majorHAnsi"/>
          <w:lang w:val="en-GB"/>
        </w:rPr>
        <w:lastRenderedPageBreak/>
        <w:t xml:space="preserve">with </w:t>
      </w:r>
      <w:r w:rsidR="00C616B8" w:rsidRPr="00B8660A">
        <w:rPr>
          <w:rFonts w:asciiTheme="majorHAnsi" w:hAnsiTheme="majorHAnsi" w:cstheme="majorHAnsi"/>
          <w:lang w:val="en-GB"/>
        </w:rPr>
        <w:t xml:space="preserve">the </w:t>
      </w:r>
      <w:r w:rsidRPr="00B8660A">
        <w:rPr>
          <w:rFonts w:asciiTheme="majorHAnsi" w:hAnsiTheme="majorHAnsi" w:cstheme="majorHAnsi"/>
          <w:lang w:val="en-GB"/>
        </w:rPr>
        <w:t xml:space="preserve">circular business models and engagement with the circular economy principles are necessary for a circular economy without rebound effects (Bocken et al., 2019b; Laukkanen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Tura, 2020). </w:t>
      </w:r>
    </w:p>
    <w:p w14:paraId="2560E7AF" w14:textId="77777777" w:rsidR="003F793F" w:rsidRPr="00B8660A" w:rsidRDefault="003F793F" w:rsidP="009865D5">
      <w:pPr>
        <w:spacing w:line="360" w:lineRule="auto"/>
        <w:jc w:val="both"/>
        <w:rPr>
          <w:rFonts w:asciiTheme="majorHAnsi" w:hAnsiTheme="majorHAnsi" w:cstheme="majorHAnsi"/>
          <w:lang w:val="en-GB"/>
        </w:rPr>
      </w:pPr>
    </w:p>
    <w:p w14:paraId="1877526E" w14:textId="2118E693"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Against the aforementioned background, we define circular economy engagement as an actor’s </w:t>
      </w:r>
      <w:r w:rsidR="00E83924" w:rsidRPr="00B8660A">
        <w:rPr>
          <w:rFonts w:asciiTheme="majorHAnsi" w:hAnsiTheme="majorHAnsi" w:cstheme="majorHAnsi"/>
          <w:lang w:val="en-GB"/>
        </w:rPr>
        <w:t xml:space="preserve">psychological </w:t>
      </w:r>
      <w:r w:rsidRPr="00B8660A">
        <w:rPr>
          <w:rFonts w:asciiTheme="majorHAnsi" w:hAnsiTheme="majorHAnsi" w:cstheme="majorHAnsi"/>
          <w:lang w:val="en-GB"/>
        </w:rPr>
        <w:t>state in relation to the circular business models</w:t>
      </w:r>
      <w:r w:rsidR="00C616B8" w:rsidRPr="00B8660A">
        <w:rPr>
          <w:rFonts w:asciiTheme="majorHAnsi" w:hAnsiTheme="majorHAnsi" w:cstheme="majorHAnsi"/>
          <w:lang w:val="en-GB"/>
        </w:rPr>
        <w:t xml:space="preserve"> </w:t>
      </w:r>
      <w:r w:rsidRPr="00B8660A">
        <w:rPr>
          <w:rFonts w:asciiTheme="majorHAnsi" w:hAnsiTheme="majorHAnsi" w:cstheme="majorHAnsi"/>
          <w:lang w:val="en-GB"/>
        </w:rPr>
        <w:t xml:space="preserve">and principles, which can have </w:t>
      </w:r>
      <w:r w:rsidR="002C4696" w:rsidRPr="00B8660A">
        <w:rPr>
          <w:rFonts w:asciiTheme="majorHAnsi" w:hAnsiTheme="majorHAnsi" w:cstheme="majorHAnsi"/>
          <w:lang w:val="en-GB"/>
        </w:rPr>
        <w:t>non-</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and </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manifestations (</w:t>
      </w:r>
      <w:r w:rsidR="003758B3" w:rsidRPr="00B8660A">
        <w:rPr>
          <w:rFonts w:asciiTheme="majorHAnsi" w:hAnsiTheme="majorHAnsi" w:cstheme="majorHAnsi"/>
          <w:lang w:val="en-GB"/>
        </w:rPr>
        <w:t xml:space="preserve">Brodie et al., 2019; </w:t>
      </w:r>
      <w:r w:rsidRPr="00B8660A">
        <w:rPr>
          <w:rFonts w:asciiTheme="majorHAnsi" w:hAnsiTheme="majorHAnsi" w:cstheme="majorHAnsi"/>
          <w:lang w:val="en-GB"/>
        </w:rPr>
        <w:t xml:space="preserve">Verleye et al., 2023). </w:t>
      </w:r>
      <w:r w:rsidR="00736CC1" w:rsidRPr="00B8660A">
        <w:rPr>
          <w:rFonts w:asciiTheme="majorHAnsi" w:hAnsiTheme="majorHAnsi" w:cstheme="majorHAnsi"/>
          <w:lang w:val="en-GB"/>
        </w:rPr>
        <w:t xml:space="preserve">For example, consumers may think and feel positive about circular business models, and principles (cf. non-behavioural manifestations) and also use circular business models, recommend circular business models and live by the circular economy principles (cf. behavioural manifestations). Providers, in turn, may think and feel positive about circular business models and (cf. non-behavioural manifestations) and enthusiastically serve consumers in compliance with the circular economy principles (cf. behavioural manifestations). </w:t>
      </w:r>
      <w:r w:rsidRPr="00B8660A">
        <w:rPr>
          <w:rFonts w:asciiTheme="majorHAnsi" w:hAnsiTheme="majorHAnsi" w:cstheme="majorHAnsi"/>
          <w:lang w:val="en-GB"/>
        </w:rPr>
        <w:t xml:space="preserve">To elicit circular economy engagement, several researchers stress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in line with social exchange theory (Blau 1964) </w:t>
      </w:r>
      <w:r w:rsidR="00AC6703" w:rsidRPr="00B8660A">
        <w:rPr>
          <w:rFonts w:asciiTheme="majorHAnsi" w:hAnsiTheme="majorHAnsi" w:cstheme="majorHAnsi"/>
          <w:lang w:val="en-GB"/>
        </w:rPr>
        <w:t>–</w:t>
      </w:r>
      <w:r w:rsidRPr="00B8660A">
        <w:rPr>
          <w:rFonts w:asciiTheme="majorHAnsi" w:hAnsiTheme="majorHAnsi" w:cstheme="majorHAnsi"/>
          <w:lang w:val="en-GB"/>
        </w:rPr>
        <w:t xml:space="preserve"> the importance of expected and/or perceived benefits (Verleye, 2015). Indeed, social exchange theory posits that actors’ non-</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and </w:t>
      </w:r>
      <w:r w:rsidR="00640B37" w:rsidRPr="00B8660A">
        <w:rPr>
          <w:rFonts w:asciiTheme="majorHAnsi" w:hAnsiTheme="majorHAnsi" w:cstheme="majorHAnsi"/>
          <w:lang w:val="en-GB"/>
        </w:rPr>
        <w:t>behavioural</w:t>
      </w:r>
      <w:r w:rsidRPr="00B8660A">
        <w:rPr>
          <w:rFonts w:asciiTheme="majorHAnsi" w:hAnsiTheme="majorHAnsi" w:cstheme="majorHAnsi"/>
          <w:lang w:val="en-GB"/>
        </w:rPr>
        <w:t xml:space="preserve"> engagement with circular business models</w:t>
      </w:r>
      <w:r w:rsidR="00C616B8" w:rsidRPr="00B8660A">
        <w:rPr>
          <w:rFonts w:asciiTheme="majorHAnsi" w:hAnsiTheme="majorHAnsi" w:cstheme="majorHAnsi"/>
          <w:lang w:val="en-GB"/>
        </w:rPr>
        <w:t xml:space="preserve"> </w:t>
      </w:r>
      <w:r w:rsidRPr="00B8660A">
        <w:rPr>
          <w:rFonts w:asciiTheme="majorHAnsi" w:hAnsiTheme="majorHAnsi" w:cstheme="majorHAnsi"/>
          <w:lang w:val="en-GB"/>
        </w:rPr>
        <w:t>and principles is motivated by the extent to which these actors get benefits in return (Blau 1964; Harrigan et al., 2018). Building upon extant research</w:t>
      </w:r>
      <w:r w:rsidR="00F27DD3" w:rsidRPr="00B8660A">
        <w:rPr>
          <w:rFonts w:asciiTheme="majorHAnsi" w:hAnsiTheme="majorHAnsi" w:cstheme="majorHAnsi"/>
          <w:lang w:val="en-GB"/>
        </w:rPr>
        <w:t xml:space="preserve"> (Anderson et al., 2013; Blocker and Barrios, 2015; Khitous et al., 2022; Leroi-Werelds, 2019; Verleye, 2015)</w:t>
      </w:r>
      <w:r w:rsidRPr="00B8660A">
        <w:rPr>
          <w:rFonts w:asciiTheme="majorHAnsi" w:hAnsiTheme="majorHAnsi" w:cstheme="majorHAnsi"/>
          <w:lang w:val="en-GB"/>
        </w:rPr>
        <w:t xml:space="preserve">, we contend that benefits which stimulate circular economy engagement can be divided into four categories: (1) short-term individual benefits, (2) long-term individual benefits, (3) short-term collective benefits, and (4) long-term collective benefits (see Figure 2). </w:t>
      </w:r>
    </w:p>
    <w:p w14:paraId="34A21311" w14:textId="77777777" w:rsidR="003F793F" w:rsidRPr="00B8660A" w:rsidRDefault="003F793F" w:rsidP="009865D5">
      <w:pPr>
        <w:spacing w:line="360" w:lineRule="auto"/>
        <w:jc w:val="both"/>
        <w:rPr>
          <w:rFonts w:asciiTheme="majorHAnsi" w:hAnsiTheme="majorHAnsi" w:cstheme="majorHAnsi"/>
          <w:lang w:val="en-GB"/>
        </w:rPr>
      </w:pPr>
    </w:p>
    <w:p w14:paraId="48C23A22" w14:textId="3DF47EEF" w:rsidR="003F793F" w:rsidRPr="00B8660A" w:rsidRDefault="00DE6F58" w:rsidP="00862DBF">
      <w:pPr>
        <w:spacing w:line="360" w:lineRule="auto"/>
        <w:jc w:val="center"/>
        <w:rPr>
          <w:rFonts w:asciiTheme="majorHAnsi" w:hAnsiTheme="majorHAnsi" w:cstheme="majorHAnsi"/>
          <w:lang w:val="en-GB"/>
        </w:rPr>
      </w:pPr>
      <w:r>
        <w:rPr>
          <w:rFonts w:asciiTheme="majorHAnsi" w:hAnsiTheme="majorHAnsi" w:cstheme="majorHAnsi"/>
          <w:noProof/>
          <w:lang w:val="en-GB"/>
        </w:rPr>
        <w:lastRenderedPageBreak/>
        <w:drawing>
          <wp:inline distT="0" distB="0" distL="0" distR="0" wp14:anchorId="0D5C6396" wp14:editId="67B676E1">
            <wp:extent cx="4953600" cy="351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600" cy="3513600"/>
                    </a:xfrm>
                    <a:prstGeom prst="rect">
                      <a:avLst/>
                    </a:prstGeom>
                    <a:noFill/>
                  </pic:spPr>
                </pic:pic>
              </a:graphicData>
            </a:graphic>
          </wp:inline>
        </w:drawing>
      </w:r>
    </w:p>
    <w:p w14:paraId="5E3D04B7" w14:textId="75B721CB" w:rsidR="003F793F" w:rsidRPr="00B8660A" w:rsidRDefault="00C42D67" w:rsidP="009865D5">
      <w:pPr>
        <w:spacing w:line="360" w:lineRule="auto"/>
        <w:jc w:val="center"/>
        <w:rPr>
          <w:rFonts w:asciiTheme="majorHAnsi" w:hAnsiTheme="majorHAnsi" w:cstheme="majorHAnsi"/>
          <w:i/>
          <w:lang w:val="en-GB"/>
        </w:rPr>
      </w:pPr>
      <w:r w:rsidRPr="00B8660A">
        <w:rPr>
          <w:rFonts w:asciiTheme="majorHAnsi" w:hAnsiTheme="majorHAnsi" w:cstheme="majorHAnsi"/>
          <w:i/>
          <w:lang w:val="en-GB"/>
        </w:rPr>
        <w:t xml:space="preserve">Figure 2 </w:t>
      </w:r>
      <w:r w:rsidR="00AC6703" w:rsidRPr="00B8660A">
        <w:rPr>
          <w:rFonts w:asciiTheme="majorHAnsi" w:hAnsiTheme="majorHAnsi" w:cstheme="majorHAnsi"/>
          <w:lang w:val="en-GB"/>
        </w:rPr>
        <w:t>–</w:t>
      </w:r>
      <w:r w:rsidRPr="00B8660A">
        <w:rPr>
          <w:rFonts w:asciiTheme="majorHAnsi" w:hAnsiTheme="majorHAnsi" w:cstheme="majorHAnsi"/>
          <w:i/>
          <w:lang w:val="en-GB"/>
        </w:rPr>
        <w:t xml:space="preserve"> Different types of benefits that stimulate circular economy engagement</w:t>
      </w:r>
      <w:r w:rsidR="00D80C67" w:rsidRPr="00B8660A">
        <w:rPr>
          <w:rFonts w:asciiTheme="majorHAnsi" w:hAnsiTheme="majorHAnsi" w:cstheme="majorHAnsi"/>
          <w:i/>
          <w:lang w:val="en-GB"/>
        </w:rPr>
        <w:t xml:space="preserve"> </w:t>
      </w:r>
      <w:r w:rsidR="00862DBF" w:rsidRPr="00B8660A">
        <w:rPr>
          <w:rFonts w:asciiTheme="majorHAnsi" w:hAnsiTheme="majorHAnsi" w:cstheme="majorHAnsi"/>
          <w:i/>
          <w:lang w:val="en-GB"/>
        </w:rPr>
        <w:t>(own source)</w:t>
      </w:r>
    </w:p>
    <w:p w14:paraId="65EABC91" w14:textId="77777777" w:rsidR="003F793F" w:rsidRPr="00B8660A" w:rsidRDefault="003F793F" w:rsidP="009865D5">
      <w:pPr>
        <w:spacing w:line="360" w:lineRule="auto"/>
        <w:jc w:val="both"/>
        <w:rPr>
          <w:rFonts w:asciiTheme="majorHAnsi" w:hAnsiTheme="majorHAnsi" w:cstheme="majorHAnsi"/>
          <w:lang w:val="en-GB"/>
        </w:rPr>
      </w:pPr>
    </w:p>
    <w:p w14:paraId="7950E994" w14:textId="612D609C" w:rsidR="003F793F" w:rsidRPr="00B8660A" w:rsidRDefault="00F27DD3"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S</w:t>
      </w:r>
      <w:r w:rsidR="00C42D67" w:rsidRPr="00B8660A">
        <w:rPr>
          <w:rFonts w:asciiTheme="majorHAnsi" w:hAnsiTheme="majorHAnsi" w:cstheme="majorHAnsi"/>
          <w:lang w:val="en-GB"/>
        </w:rPr>
        <w:t xml:space="preserve">hort-term individual benefits are expected and/or perceived benefits that (almost) immediately accrue to the actor who shows engagement. </w:t>
      </w:r>
      <w:r w:rsidRPr="00B8660A">
        <w:rPr>
          <w:rFonts w:asciiTheme="majorHAnsi" w:hAnsiTheme="majorHAnsi" w:cstheme="majorHAnsi"/>
          <w:lang w:val="en-GB"/>
        </w:rPr>
        <w:t>T</w:t>
      </w:r>
      <w:r w:rsidR="00C42D67" w:rsidRPr="00B8660A">
        <w:rPr>
          <w:rFonts w:asciiTheme="majorHAnsi" w:hAnsiTheme="majorHAnsi" w:cstheme="majorHAnsi"/>
          <w:lang w:val="en-GB"/>
        </w:rPr>
        <w:t>his category of benefits</w:t>
      </w:r>
      <w:r w:rsidR="00125876" w:rsidRPr="00B8660A">
        <w:rPr>
          <w:rFonts w:asciiTheme="majorHAnsi" w:hAnsiTheme="majorHAnsi" w:cstheme="majorHAnsi"/>
          <w:lang w:val="en-GB"/>
        </w:rPr>
        <w:t xml:space="preserve"> </w:t>
      </w:r>
      <w:r w:rsidR="00C42D67" w:rsidRPr="00B8660A">
        <w:rPr>
          <w:rFonts w:asciiTheme="majorHAnsi" w:hAnsiTheme="majorHAnsi" w:cstheme="majorHAnsi"/>
          <w:lang w:val="en-GB"/>
        </w:rPr>
        <w:t xml:space="preserve">entails </w:t>
      </w:r>
      <w:r w:rsidR="00807DF0" w:rsidRPr="00B8660A">
        <w:rPr>
          <w:rFonts w:asciiTheme="majorHAnsi" w:hAnsiTheme="majorHAnsi" w:cstheme="majorHAnsi"/>
          <w:lang w:val="en-GB"/>
        </w:rPr>
        <w:t>cognitive benefits (i.e., acquiring new knowledge and/or skills)</w:t>
      </w:r>
      <w:r w:rsidR="00807DF0">
        <w:rPr>
          <w:rFonts w:asciiTheme="majorHAnsi" w:hAnsiTheme="majorHAnsi" w:cstheme="majorHAnsi"/>
          <w:lang w:val="en-GB"/>
        </w:rPr>
        <w:t xml:space="preserve">, </w:t>
      </w:r>
      <w:r w:rsidR="00C42D67" w:rsidRPr="00B8660A">
        <w:rPr>
          <w:rFonts w:asciiTheme="majorHAnsi" w:hAnsiTheme="majorHAnsi" w:cstheme="majorHAnsi"/>
          <w:lang w:val="en-GB"/>
        </w:rPr>
        <w:t xml:space="preserve">economic benefits (i.e., receiving monetary compensation </w:t>
      </w:r>
      <w:r w:rsidR="005C76A3">
        <w:rPr>
          <w:rFonts w:asciiTheme="majorHAnsi" w:hAnsiTheme="majorHAnsi" w:cstheme="majorHAnsi"/>
          <w:lang w:val="en-GB"/>
        </w:rPr>
        <w:t>consistent</w:t>
      </w:r>
      <w:r w:rsidR="00C42D67" w:rsidRPr="00B8660A">
        <w:rPr>
          <w:rFonts w:asciiTheme="majorHAnsi" w:hAnsiTheme="majorHAnsi" w:cstheme="majorHAnsi"/>
          <w:lang w:val="en-GB"/>
        </w:rPr>
        <w:t xml:space="preserve"> with effort made),</w:t>
      </w:r>
      <w:r w:rsidR="00807DF0">
        <w:rPr>
          <w:rFonts w:asciiTheme="majorHAnsi" w:hAnsiTheme="majorHAnsi" w:cstheme="majorHAnsi"/>
          <w:lang w:val="en-GB"/>
        </w:rPr>
        <w:t xml:space="preserve"> </w:t>
      </w:r>
      <w:r w:rsidR="00807DF0" w:rsidRPr="00B8660A">
        <w:rPr>
          <w:rFonts w:asciiTheme="majorHAnsi" w:hAnsiTheme="majorHAnsi" w:cstheme="majorHAnsi"/>
          <w:lang w:val="en-GB"/>
        </w:rPr>
        <w:t>hedonic benefits (i.e., having fun experiences)</w:t>
      </w:r>
      <w:r w:rsidR="00C42D67" w:rsidRPr="00B8660A">
        <w:rPr>
          <w:rFonts w:asciiTheme="majorHAnsi" w:hAnsiTheme="majorHAnsi" w:cstheme="majorHAnsi"/>
          <w:lang w:val="en-GB"/>
        </w:rPr>
        <w:t>, personal benefits (i.e., gaining status and/or recognition)</w:t>
      </w:r>
      <w:r w:rsidR="00807DF0">
        <w:rPr>
          <w:rFonts w:asciiTheme="majorHAnsi" w:hAnsiTheme="majorHAnsi" w:cstheme="majorHAnsi"/>
          <w:lang w:val="en-GB"/>
        </w:rPr>
        <w:t xml:space="preserve"> and </w:t>
      </w:r>
      <w:r w:rsidR="00807DF0" w:rsidRPr="00B8660A">
        <w:rPr>
          <w:rFonts w:asciiTheme="majorHAnsi" w:hAnsiTheme="majorHAnsi" w:cstheme="majorHAnsi"/>
          <w:lang w:val="en-GB"/>
        </w:rPr>
        <w:t>pragmatic benefits (i.e., getting high quality in a convenient way)</w:t>
      </w:r>
      <w:r w:rsidR="00C42D67" w:rsidRPr="00B8660A">
        <w:rPr>
          <w:rFonts w:asciiTheme="majorHAnsi" w:hAnsiTheme="majorHAnsi" w:cstheme="majorHAnsi"/>
          <w:lang w:val="en-GB"/>
        </w:rPr>
        <w:t>. Short-term collective benefits are (almost) immediately shared among multiple actors and include the social benefits that are expected and/or perceived (i.e., being able to connect with other actors</w:t>
      </w:r>
      <w:r w:rsidRPr="00B8660A">
        <w:rPr>
          <w:rFonts w:asciiTheme="majorHAnsi" w:hAnsiTheme="majorHAnsi" w:cstheme="majorHAnsi"/>
          <w:lang w:val="en-GB"/>
        </w:rPr>
        <w:t>)</w:t>
      </w:r>
      <w:r w:rsidR="00C42D67" w:rsidRPr="00B8660A">
        <w:rPr>
          <w:rFonts w:asciiTheme="majorHAnsi" w:hAnsiTheme="majorHAnsi" w:cstheme="majorHAnsi"/>
          <w:lang w:val="en-GB"/>
        </w:rPr>
        <w:t xml:space="preserve">. </w:t>
      </w:r>
      <w:r w:rsidR="00450ACA" w:rsidRPr="00B8660A">
        <w:rPr>
          <w:rFonts w:asciiTheme="majorHAnsi" w:hAnsiTheme="majorHAnsi" w:cstheme="majorHAnsi"/>
          <w:lang w:val="en-GB"/>
        </w:rPr>
        <w:t>L</w:t>
      </w:r>
      <w:r w:rsidR="00C42D67" w:rsidRPr="00B8660A">
        <w:rPr>
          <w:rFonts w:asciiTheme="majorHAnsi" w:hAnsiTheme="majorHAnsi" w:cstheme="majorHAnsi"/>
          <w:lang w:val="en-GB"/>
        </w:rPr>
        <w:t xml:space="preserve">ong-term individual benefits accrue to individual actors over time and refer to the wellbeing benefits that are expected and/or perceived (i.e., feeling satisfied in life). Finally, long-term collective benefits entail expected and/or perceived benefits that are shared among multiple actors over time, namely environmental benefits (i.e., being able to protect the environment) and societal benefits (i.e., being able to protect other actors). </w:t>
      </w:r>
    </w:p>
    <w:p w14:paraId="787CEC00" w14:textId="77777777" w:rsidR="003F793F" w:rsidRPr="00B8660A" w:rsidRDefault="003F793F" w:rsidP="009865D5">
      <w:pPr>
        <w:spacing w:line="360" w:lineRule="auto"/>
        <w:jc w:val="both"/>
        <w:rPr>
          <w:rFonts w:asciiTheme="majorHAnsi" w:hAnsiTheme="majorHAnsi" w:cstheme="majorHAnsi"/>
          <w:lang w:val="en-GB"/>
        </w:rPr>
      </w:pPr>
    </w:p>
    <w:p w14:paraId="6B76C617" w14:textId="4D022978" w:rsidR="003F793F" w:rsidRPr="00B8660A" w:rsidRDefault="00C42D67" w:rsidP="000729A2">
      <w:pPr>
        <w:spacing w:line="360" w:lineRule="auto"/>
        <w:jc w:val="both"/>
        <w:rPr>
          <w:rFonts w:asciiTheme="majorHAnsi" w:hAnsiTheme="majorHAnsi" w:cstheme="majorHAnsi"/>
          <w:b/>
          <w:lang w:val="en-GB"/>
        </w:rPr>
      </w:pPr>
      <w:bookmarkStart w:id="0" w:name="_Hlk133232198"/>
      <w:r w:rsidRPr="00B8660A">
        <w:rPr>
          <w:rFonts w:asciiTheme="majorHAnsi" w:hAnsiTheme="majorHAnsi" w:cstheme="majorHAnsi"/>
          <w:b/>
          <w:lang w:val="en-GB"/>
        </w:rPr>
        <w:t xml:space="preserve">The role of engagement platforms for </w:t>
      </w:r>
      <w:r w:rsidR="001339A9">
        <w:rPr>
          <w:rFonts w:asciiTheme="majorHAnsi" w:hAnsiTheme="majorHAnsi" w:cstheme="majorHAnsi"/>
          <w:b/>
          <w:lang w:val="en-GB"/>
        </w:rPr>
        <w:t xml:space="preserve">circular economy </w:t>
      </w:r>
      <w:r w:rsidRPr="00B8660A">
        <w:rPr>
          <w:rFonts w:asciiTheme="majorHAnsi" w:hAnsiTheme="majorHAnsi" w:cstheme="majorHAnsi"/>
          <w:b/>
          <w:lang w:val="en-GB"/>
        </w:rPr>
        <w:t>engagement</w:t>
      </w:r>
      <w:bookmarkEnd w:id="0"/>
    </w:p>
    <w:p w14:paraId="469A5791" w14:textId="77777777" w:rsidR="003F793F" w:rsidRPr="00B8660A" w:rsidRDefault="003F793F" w:rsidP="009865D5">
      <w:pPr>
        <w:spacing w:line="360" w:lineRule="auto"/>
        <w:jc w:val="both"/>
        <w:rPr>
          <w:rFonts w:asciiTheme="majorHAnsi" w:hAnsiTheme="majorHAnsi" w:cstheme="majorHAnsi"/>
          <w:lang w:val="en-GB"/>
        </w:rPr>
      </w:pPr>
    </w:p>
    <w:p w14:paraId="2A1E2F37" w14:textId="755C36B2"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Circular economy engagement emerges in return for benefits</w:t>
      </w:r>
      <w:r w:rsidR="00426262" w:rsidRPr="00B8660A">
        <w:rPr>
          <w:rFonts w:asciiTheme="majorHAnsi" w:hAnsiTheme="majorHAnsi" w:cstheme="majorHAnsi"/>
          <w:lang w:val="en-GB"/>
        </w:rPr>
        <w:t>,</w:t>
      </w:r>
      <w:r w:rsidRPr="00B8660A">
        <w:rPr>
          <w:rFonts w:asciiTheme="majorHAnsi" w:hAnsiTheme="majorHAnsi" w:cstheme="majorHAnsi"/>
          <w:lang w:val="en-GB"/>
        </w:rPr>
        <w:t xml:space="preserve"> yet, </w:t>
      </w:r>
      <w:r w:rsidR="00722DF3" w:rsidRPr="00B8660A">
        <w:rPr>
          <w:rFonts w:asciiTheme="majorHAnsi" w:hAnsiTheme="majorHAnsi" w:cstheme="majorHAnsi"/>
          <w:lang w:val="en-GB"/>
        </w:rPr>
        <w:t xml:space="preserve">circular business models should allow </w:t>
      </w:r>
      <w:r w:rsidRPr="00B8660A">
        <w:rPr>
          <w:rFonts w:asciiTheme="majorHAnsi" w:hAnsiTheme="majorHAnsi" w:cstheme="majorHAnsi"/>
          <w:lang w:val="en-GB"/>
        </w:rPr>
        <w:t xml:space="preserve">individual actors in the roles of </w:t>
      </w:r>
      <w:r w:rsidR="00426262" w:rsidRPr="00B8660A">
        <w:rPr>
          <w:rFonts w:asciiTheme="majorHAnsi" w:hAnsiTheme="majorHAnsi" w:cstheme="majorHAnsi"/>
          <w:lang w:val="en-GB"/>
        </w:rPr>
        <w:t xml:space="preserve">consumers and </w:t>
      </w:r>
      <w:r w:rsidRPr="00B8660A">
        <w:rPr>
          <w:rFonts w:asciiTheme="majorHAnsi" w:hAnsiTheme="majorHAnsi" w:cstheme="majorHAnsi"/>
          <w:lang w:val="en-GB"/>
        </w:rPr>
        <w:t>providers to connect with one another. Th</w:t>
      </w:r>
      <w:r w:rsidR="00426262" w:rsidRPr="00B8660A">
        <w:rPr>
          <w:rFonts w:asciiTheme="majorHAnsi" w:hAnsiTheme="majorHAnsi" w:cstheme="majorHAnsi"/>
          <w:lang w:val="en-GB"/>
        </w:rPr>
        <w:t>is</w:t>
      </w:r>
      <w:r w:rsidRPr="00B8660A">
        <w:rPr>
          <w:rFonts w:asciiTheme="majorHAnsi" w:hAnsiTheme="majorHAnsi" w:cstheme="majorHAnsi"/>
          <w:lang w:val="en-GB"/>
        </w:rPr>
        <w:t xml:space="preserve"> is where </w:t>
      </w:r>
      <w:r w:rsidRPr="00B8660A">
        <w:rPr>
          <w:rFonts w:asciiTheme="majorHAnsi" w:hAnsiTheme="majorHAnsi" w:cstheme="majorHAnsi"/>
          <w:lang w:val="en-GB"/>
        </w:rPr>
        <w:lastRenderedPageBreak/>
        <w:t xml:space="preserve">engagement platforms </w:t>
      </w:r>
      <w:r w:rsidR="00D10ADC" w:rsidRPr="00B8660A">
        <w:rPr>
          <w:rFonts w:asciiTheme="majorHAnsi" w:hAnsiTheme="majorHAnsi" w:cstheme="majorHAnsi"/>
          <w:lang w:val="en-GB"/>
        </w:rPr>
        <w:t>come into play</w:t>
      </w:r>
      <w:r w:rsidRPr="00B8660A">
        <w:rPr>
          <w:rFonts w:asciiTheme="majorHAnsi" w:hAnsiTheme="majorHAnsi" w:cstheme="majorHAnsi"/>
          <w:lang w:val="en-GB"/>
        </w:rPr>
        <w:t xml:space="preserve"> (Storbacka et al. 2016; Vijverman et al., 20</w:t>
      </w:r>
      <w:r w:rsidR="00CA0EFC" w:rsidRPr="00B8660A">
        <w:rPr>
          <w:rFonts w:asciiTheme="majorHAnsi" w:hAnsiTheme="majorHAnsi" w:cstheme="majorHAnsi"/>
          <w:lang w:val="en-GB"/>
        </w:rPr>
        <w:t>19</w:t>
      </w:r>
      <w:r w:rsidR="002B14E9" w:rsidRPr="00B8660A">
        <w:rPr>
          <w:rFonts w:asciiTheme="majorHAnsi" w:hAnsiTheme="majorHAnsi" w:cstheme="majorHAnsi"/>
          <w:lang w:val="en-GB"/>
        </w:rPr>
        <w:t>; Brodie et al., 2019</w:t>
      </w:r>
      <w:r w:rsidRPr="00B8660A">
        <w:rPr>
          <w:rFonts w:asciiTheme="majorHAnsi" w:hAnsiTheme="majorHAnsi" w:cstheme="majorHAnsi"/>
          <w:lang w:val="en-GB"/>
        </w:rPr>
        <w:t xml:space="preserve">). Engagement platforms are defined as “physical or virtual touch points designed to provide structural support for the exchange and integration of resources, and thereby co-creation of value, between actors in a service system” (Breidbach et al., 2014, p. 596). This definition stresses several characteristics of engagement platforms. First, engagement platforms cover physical as well as digital realms. Yet, digital engagement platforms are gaining popularity because of the rise of digital technologies. Second, engagement platforms enable the exchange and integration of resources, which involves both tangible resources (e.g., cars and clothes) and intangible resources (e.g., information and ratings). Third, engagement platforms act as intermediaries in the process of connecting multiple actors with one another (e.g., consumers and providers). In other words, they orchestrate the collaboration between interdependent actors in service ecosystems (Blasco-Arcas et al., 2016; Breidbach et al., 2014; Breidbach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Brodie, 2017). As multiple actors interact through physical or digital engagement platforms to exchange resources, these platforms foster </w:t>
      </w:r>
      <w:r w:rsidR="00A44731" w:rsidRPr="00B8660A">
        <w:rPr>
          <w:rFonts w:asciiTheme="majorHAnsi" w:hAnsiTheme="majorHAnsi" w:cstheme="majorHAnsi"/>
          <w:lang w:val="en-GB"/>
        </w:rPr>
        <w:t xml:space="preserve">circular economy </w:t>
      </w:r>
      <w:r w:rsidRPr="00B8660A">
        <w:rPr>
          <w:rFonts w:asciiTheme="majorHAnsi" w:hAnsiTheme="majorHAnsi" w:cstheme="majorHAnsi"/>
          <w:lang w:val="en-GB"/>
        </w:rPr>
        <w:t xml:space="preserve">engagement and value co-creation in service ecosystems. In other words, engagement platforms have the potential to create significant economic, environmental and social value for multiple actors in the transition to a more sustainable circular economy. Table 1 includes examples of engagement platforms for each circular business model type. </w:t>
      </w:r>
    </w:p>
    <w:p w14:paraId="63062D24" w14:textId="77777777" w:rsidR="003F793F" w:rsidRPr="00B8660A" w:rsidRDefault="003F793F" w:rsidP="009865D5">
      <w:pPr>
        <w:spacing w:line="360" w:lineRule="auto"/>
        <w:jc w:val="both"/>
        <w:rPr>
          <w:rFonts w:asciiTheme="majorHAnsi" w:hAnsiTheme="majorHAnsi" w:cstheme="majorHAnsi"/>
          <w:lang w:val="en-GB"/>
        </w:rPr>
      </w:pPr>
    </w:p>
    <w:p w14:paraId="7EFEA7F3" w14:textId="77777777" w:rsidR="00607520" w:rsidRPr="00B8660A" w:rsidRDefault="00607520" w:rsidP="009865D5">
      <w:pPr>
        <w:spacing w:line="360" w:lineRule="auto"/>
        <w:rPr>
          <w:rFonts w:asciiTheme="majorHAnsi" w:hAnsiTheme="majorHAnsi" w:cstheme="majorHAnsi"/>
          <w:i/>
          <w:lang w:val="en-GB"/>
        </w:rPr>
      </w:pPr>
      <w:r w:rsidRPr="00B8660A">
        <w:rPr>
          <w:rFonts w:asciiTheme="majorHAnsi" w:hAnsiTheme="majorHAnsi" w:cstheme="majorHAnsi"/>
          <w:i/>
          <w:lang w:val="en-GB"/>
        </w:rPr>
        <w:br w:type="page"/>
      </w:r>
    </w:p>
    <w:p w14:paraId="0A7E085F" w14:textId="5EBA5FF3" w:rsidR="003F793F" w:rsidRPr="00B8660A" w:rsidRDefault="00C42D67" w:rsidP="009865D5">
      <w:pPr>
        <w:spacing w:line="360" w:lineRule="auto"/>
        <w:jc w:val="center"/>
        <w:rPr>
          <w:rFonts w:asciiTheme="majorHAnsi" w:hAnsiTheme="majorHAnsi" w:cstheme="majorHAnsi"/>
          <w:i/>
          <w:iCs/>
          <w:lang w:val="en-GB"/>
        </w:rPr>
      </w:pPr>
      <w:r w:rsidRPr="00B8660A">
        <w:rPr>
          <w:rFonts w:asciiTheme="majorHAnsi" w:hAnsiTheme="majorHAnsi" w:cstheme="majorHAnsi"/>
          <w:i/>
          <w:lang w:val="en-GB"/>
        </w:rPr>
        <w:lastRenderedPageBreak/>
        <w:t xml:space="preserve">Table 1 </w:t>
      </w:r>
      <w:r w:rsidR="00AC6703" w:rsidRPr="00B8660A">
        <w:rPr>
          <w:rFonts w:asciiTheme="majorHAnsi" w:hAnsiTheme="majorHAnsi" w:cstheme="majorHAnsi"/>
          <w:lang w:val="en-GB"/>
        </w:rPr>
        <w:t>–</w:t>
      </w:r>
      <w:r w:rsidRPr="00B8660A">
        <w:rPr>
          <w:rFonts w:asciiTheme="majorHAnsi" w:hAnsiTheme="majorHAnsi" w:cstheme="majorHAnsi"/>
          <w:i/>
          <w:lang w:val="en-GB"/>
        </w:rPr>
        <w:t xml:space="preserve"> Examples of engagement platforms</w:t>
      </w:r>
      <w:r w:rsidR="00B40033" w:rsidRPr="00B8660A">
        <w:rPr>
          <w:rFonts w:asciiTheme="majorHAnsi" w:hAnsiTheme="majorHAnsi" w:cstheme="majorHAnsi"/>
          <w:i/>
          <w:lang w:val="en-GB"/>
        </w:rPr>
        <w:t xml:space="preserve"> </w:t>
      </w:r>
      <w:r w:rsidR="00B40033" w:rsidRPr="00B8660A">
        <w:rPr>
          <w:rFonts w:asciiTheme="majorHAnsi" w:hAnsiTheme="majorHAnsi" w:cstheme="majorHAnsi"/>
          <w:i/>
          <w:iCs/>
          <w:lang w:val="en-GB"/>
        </w:rPr>
        <w:t>for each circular business model type</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287"/>
        <w:gridCol w:w="6099"/>
      </w:tblGrid>
      <w:tr w:rsidR="003F793F" w:rsidRPr="00B8660A" w14:paraId="42A1EB85" w14:textId="77777777" w:rsidTr="002F5043">
        <w:trPr>
          <w:trHeight w:val="357"/>
          <w:jc w:val="center"/>
        </w:trPr>
        <w:tc>
          <w:tcPr>
            <w:tcW w:w="1751" w:type="pct"/>
            <w:shd w:val="clear" w:color="auto" w:fill="auto"/>
            <w:tcMar>
              <w:top w:w="100" w:type="dxa"/>
              <w:left w:w="100" w:type="dxa"/>
              <w:bottom w:w="100" w:type="dxa"/>
              <w:right w:w="100" w:type="dxa"/>
            </w:tcMar>
          </w:tcPr>
          <w:p w14:paraId="2013D7FD" w14:textId="77777777" w:rsidR="003F793F" w:rsidRPr="00B8660A" w:rsidRDefault="00C42D67" w:rsidP="009865D5">
            <w:pPr>
              <w:widowControl w:val="0"/>
              <w:pBdr>
                <w:top w:val="nil"/>
                <w:left w:val="nil"/>
                <w:bottom w:val="nil"/>
                <w:right w:val="nil"/>
                <w:between w:val="nil"/>
              </w:pBdr>
              <w:spacing w:line="360" w:lineRule="auto"/>
              <w:rPr>
                <w:rFonts w:asciiTheme="majorHAnsi" w:hAnsiTheme="majorHAnsi" w:cstheme="majorHAnsi"/>
                <w:b/>
                <w:lang w:val="en-GB"/>
              </w:rPr>
            </w:pPr>
            <w:r w:rsidRPr="00B8660A">
              <w:rPr>
                <w:rFonts w:asciiTheme="majorHAnsi" w:hAnsiTheme="majorHAnsi" w:cstheme="majorHAnsi"/>
                <w:b/>
                <w:lang w:val="en-GB"/>
              </w:rPr>
              <w:t>Circular business model type</w:t>
            </w:r>
          </w:p>
        </w:tc>
        <w:tc>
          <w:tcPr>
            <w:tcW w:w="3249" w:type="pct"/>
            <w:shd w:val="clear" w:color="auto" w:fill="auto"/>
            <w:tcMar>
              <w:top w:w="100" w:type="dxa"/>
              <w:left w:w="100" w:type="dxa"/>
              <w:bottom w:w="100" w:type="dxa"/>
              <w:right w:w="100" w:type="dxa"/>
            </w:tcMar>
          </w:tcPr>
          <w:p w14:paraId="3451D695" w14:textId="77777777" w:rsidR="003F793F" w:rsidRPr="00B8660A" w:rsidRDefault="00C42D67" w:rsidP="009865D5">
            <w:pPr>
              <w:widowControl w:val="0"/>
              <w:pBdr>
                <w:top w:val="nil"/>
                <w:left w:val="nil"/>
                <w:bottom w:val="nil"/>
                <w:right w:val="nil"/>
                <w:between w:val="nil"/>
              </w:pBdr>
              <w:spacing w:line="360" w:lineRule="auto"/>
              <w:rPr>
                <w:rFonts w:asciiTheme="majorHAnsi" w:hAnsiTheme="majorHAnsi" w:cstheme="majorHAnsi"/>
                <w:b/>
                <w:lang w:val="en-GB"/>
              </w:rPr>
            </w:pPr>
            <w:r w:rsidRPr="00B8660A">
              <w:rPr>
                <w:rFonts w:asciiTheme="majorHAnsi" w:hAnsiTheme="majorHAnsi" w:cstheme="majorHAnsi"/>
                <w:b/>
                <w:lang w:val="en-GB"/>
              </w:rPr>
              <w:t>Examples of engagement platforms</w:t>
            </w:r>
          </w:p>
        </w:tc>
      </w:tr>
      <w:tr w:rsidR="003F793F" w:rsidRPr="00B8660A" w14:paraId="3FB1AFF5" w14:textId="77777777" w:rsidTr="002F5043">
        <w:trPr>
          <w:jc w:val="center"/>
        </w:trPr>
        <w:tc>
          <w:tcPr>
            <w:tcW w:w="1751" w:type="pct"/>
            <w:shd w:val="clear" w:color="auto" w:fill="auto"/>
            <w:tcMar>
              <w:top w:w="100" w:type="dxa"/>
              <w:left w:w="100" w:type="dxa"/>
              <w:bottom w:w="100" w:type="dxa"/>
              <w:right w:w="100" w:type="dxa"/>
            </w:tcMar>
          </w:tcPr>
          <w:p w14:paraId="58D51B8A" w14:textId="3D1D0347" w:rsidR="003F793F" w:rsidRPr="00B8660A" w:rsidRDefault="00C42D67"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Recycl</w:t>
            </w:r>
            <w:r w:rsidR="00F773AC" w:rsidRPr="00B8660A">
              <w:rPr>
                <w:rFonts w:asciiTheme="majorHAnsi" w:hAnsiTheme="majorHAnsi" w:cstheme="majorHAnsi"/>
                <w:lang w:val="en-GB"/>
              </w:rPr>
              <w:t>ing</w:t>
            </w:r>
          </w:p>
        </w:tc>
        <w:tc>
          <w:tcPr>
            <w:tcW w:w="3249" w:type="pct"/>
            <w:shd w:val="clear" w:color="auto" w:fill="auto"/>
            <w:tcMar>
              <w:top w:w="100" w:type="dxa"/>
              <w:left w:w="100" w:type="dxa"/>
              <w:bottom w:w="100" w:type="dxa"/>
              <w:right w:w="100" w:type="dxa"/>
            </w:tcMar>
          </w:tcPr>
          <w:p w14:paraId="028E6F41" w14:textId="74A27016" w:rsidR="003F793F" w:rsidRPr="00B8660A" w:rsidRDefault="00C42D67" w:rsidP="009865D5">
            <w:pPr>
              <w:numPr>
                <w:ilvl w:val="0"/>
                <w:numId w:val="2"/>
              </w:numPr>
              <w:spacing w:line="360" w:lineRule="auto"/>
              <w:rPr>
                <w:rFonts w:asciiTheme="majorHAnsi" w:hAnsiTheme="majorHAnsi" w:cstheme="majorHAnsi"/>
                <w:lang w:val="en-GB"/>
              </w:rPr>
            </w:pPr>
            <w:r w:rsidRPr="00B8660A">
              <w:rPr>
                <w:rFonts w:asciiTheme="majorHAnsi" w:hAnsiTheme="majorHAnsi" w:cstheme="majorHAnsi"/>
                <w:lang w:val="en-GB"/>
              </w:rPr>
              <w:t xml:space="preserve">Green Toys Inc. manufactures toys from milk jugs and sells these toys in stores across the United States but also by means of an online store. </w:t>
            </w:r>
            <w:r w:rsidR="00DE4F97" w:rsidRPr="00B8660A">
              <w:rPr>
                <w:rFonts w:asciiTheme="majorHAnsi" w:hAnsiTheme="majorHAnsi" w:cstheme="majorHAnsi"/>
                <w:lang w:val="en-GB"/>
              </w:rPr>
              <w:t>(</w:t>
            </w:r>
            <w:hyperlink r:id="rId14" w:history="1">
              <w:r w:rsidR="00DE4F97" w:rsidRPr="00B8660A">
                <w:rPr>
                  <w:rStyle w:val="Hyperlink"/>
                  <w:rFonts w:asciiTheme="majorHAnsi" w:hAnsiTheme="majorHAnsi" w:cstheme="majorHAnsi"/>
                  <w:lang w:val="en-GB"/>
                </w:rPr>
                <w:t>https://www.greentoys.com/</w:t>
              </w:r>
            </w:hyperlink>
            <w:r w:rsidR="00DE4F97" w:rsidRPr="00B8660A">
              <w:rPr>
                <w:rFonts w:asciiTheme="majorHAnsi" w:hAnsiTheme="majorHAnsi" w:cstheme="majorHAnsi"/>
                <w:lang w:val="en-GB"/>
              </w:rPr>
              <w:t>)</w:t>
            </w:r>
          </w:p>
          <w:p w14:paraId="2D4EB63B" w14:textId="75DB3A10" w:rsidR="003F793F" w:rsidRPr="00B8660A" w:rsidRDefault="00C42D67" w:rsidP="009865D5">
            <w:pPr>
              <w:numPr>
                <w:ilvl w:val="0"/>
                <w:numId w:val="2"/>
              </w:numPr>
              <w:spacing w:line="360" w:lineRule="auto"/>
              <w:rPr>
                <w:rFonts w:asciiTheme="majorHAnsi" w:hAnsiTheme="majorHAnsi" w:cstheme="majorHAnsi"/>
                <w:lang w:val="en-GB"/>
              </w:rPr>
            </w:pPr>
            <w:r w:rsidRPr="00B8660A">
              <w:rPr>
                <w:rFonts w:asciiTheme="majorHAnsi" w:hAnsiTheme="majorHAnsi" w:cstheme="majorHAnsi"/>
                <w:lang w:val="en-GB"/>
              </w:rPr>
              <w:t xml:space="preserve">The Recycled Shop sells a range of recycled products by means of an online shop. </w:t>
            </w:r>
            <w:r w:rsidR="00891A8C" w:rsidRPr="00B8660A">
              <w:rPr>
                <w:rFonts w:asciiTheme="majorHAnsi" w:hAnsiTheme="majorHAnsi" w:cstheme="majorHAnsi"/>
                <w:lang w:val="en-GB"/>
              </w:rPr>
              <w:t>(</w:t>
            </w:r>
            <w:hyperlink r:id="rId15" w:history="1">
              <w:r w:rsidR="00891A8C" w:rsidRPr="00B8660A">
                <w:rPr>
                  <w:rStyle w:val="Hyperlink"/>
                  <w:rFonts w:asciiTheme="majorHAnsi" w:hAnsiTheme="majorHAnsi" w:cstheme="majorHAnsi"/>
                  <w:lang w:val="en-GB"/>
                </w:rPr>
                <w:t>https://www.therecycledshop.com/</w:t>
              </w:r>
            </w:hyperlink>
            <w:r w:rsidR="00891A8C" w:rsidRPr="00B8660A">
              <w:rPr>
                <w:rFonts w:asciiTheme="majorHAnsi" w:hAnsiTheme="majorHAnsi" w:cstheme="majorHAnsi"/>
                <w:lang w:val="en-GB"/>
              </w:rPr>
              <w:t xml:space="preserve">) </w:t>
            </w:r>
          </w:p>
        </w:tc>
      </w:tr>
      <w:tr w:rsidR="003F793F" w:rsidRPr="00B8660A" w14:paraId="688836DA" w14:textId="77777777" w:rsidTr="002F5043">
        <w:trPr>
          <w:jc w:val="center"/>
        </w:trPr>
        <w:tc>
          <w:tcPr>
            <w:tcW w:w="1751" w:type="pct"/>
            <w:shd w:val="clear" w:color="auto" w:fill="auto"/>
            <w:tcMar>
              <w:top w:w="100" w:type="dxa"/>
              <w:left w:w="100" w:type="dxa"/>
              <w:bottom w:w="100" w:type="dxa"/>
              <w:right w:w="100" w:type="dxa"/>
            </w:tcMar>
          </w:tcPr>
          <w:p w14:paraId="1EB80F2A" w14:textId="1D139D8D" w:rsidR="003F793F" w:rsidRPr="00B8660A" w:rsidRDefault="00C42D67"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Repair</w:t>
            </w:r>
            <w:r w:rsidR="00F773AC" w:rsidRPr="00B8660A">
              <w:rPr>
                <w:rFonts w:asciiTheme="majorHAnsi" w:hAnsiTheme="majorHAnsi" w:cstheme="majorHAnsi"/>
                <w:lang w:val="en-GB"/>
              </w:rPr>
              <w:t>ing</w:t>
            </w:r>
            <w:r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162A8AD6" w14:textId="59930A24" w:rsidR="003F793F" w:rsidRPr="00B8660A" w:rsidRDefault="00C42D67" w:rsidP="009865D5">
            <w:pPr>
              <w:numPr>
                <w:ilvl w:val="0"/>
                <w:numId w:val="7"/>
              </w:numPr>
              <w:spacing w:line="360" w:lineRule="auto"/>
              <w:rPr>
                <w:rFonts w:asciiTheme="majorHAnsi" w:hAnsiTheme="majorHAnsi" w:cstheme="majorHAnsi"/>
                <w:lang w:val="en-GB"/>
              </w:rPr>
            </w:pPr>
            <w:r w:rsidRPr="00B8660A">
              <w:rPr>
                <w:rFonts w:asciiTheme="majorHAnsi" w:hAnsiTheme="majorHAnsi" w:cstheme="majorHAnsi"/>
                <w:lang w:val="en-GB"/>
              </w:rPr>
              <w:t xml:space="preserve">iRepairShop offers repair services for electronic devices in physical stores across Belgium but also by means of an online website. </w:t>
            </w:r>
            <w:r w:rsidR="00036318" w:rsidRPr="00B8660A">
              <w:rPr>
                <w:rFonts w:asciiTheme="majorHAnsi" w:hAnsiTheme="majorHAnsi" w:cstheme="majorHAnsi"/>
                <w:lang w:val="en-GB"/>
              </w:rPr>
              <w:t>(</w:t>
            </w:r>
            <w:hyperlink r:id="rId16" w:history="1">
              <w:r w:rsidR="00036318" w:rsidRPr="00B8660A">
                <w:rPr>
                  <w:rStyle w:val="Hyperlink"/>
                  <w:rFonts w:asciiTheme="majorHAnsi" w:hAnsiTheme="majorHAnsi" w:cstheme="majorHAnsi"/>
                  <w:lang w:val="en-GB"/>
                </w:rPr>
                <w:t>https://www.irepairshop.be/</w:t>
              </w:r>
            </w:hyperlink>
            <w:r w:rsidR="00036318" w:rsidRPr="00B8660A">
              <w:rPr>
                <w:rFonts w:asciiTheme="majorHAnsi" w:hAnsiTheme="majorHAnsi" w:cstheme="majorHAnsi"/>
                <w:lang w:val="en-GB"/>
              </w:rPr>
              <w:t xml:space="preserve">) </w:t>
            </w:r>
          </w:p>
          <w:p w14:paraId="791CFFA4" w14:textId="71BC3A20" w:rsidR="003F793F" w:rsidRPr="00B8660A" w:rsidRDefault="00C42D67" w:rsidP="009865D5">
            <w:pPr>
              <w:numPr>
                <w:ilvl w:val="0"/>
                <w:numId w:val="7"/>
              </w:numPr>
              <w:spacing w:line="360" w:lineRule="auto"/>
              <w:rPr>
                <w:rFonts w:asciiTheme="majorHAnsi" w:hAnsiTheme="majorHAnsi" w:cstheme="majorHAnsi"/>
                <w:lang w:val="en-GB"/>
              </w:rPr>
            </w:pPr>
            <w:r w:rsidRPr="00B8660A">
              <w:rPr>
                <w:rFonts w:asciiTheme="majorHAnsi" w:hAnsiTheme="majorHAnsi" w:cstheme="majorHAnsi"/>
                <w:lang w:val="en-GB"/>
              </w:rPr>
              <w:t>RepairMyStuff.ie connects consumers with professional providers of repair services by means of an online website.</w:t>
            </w:r>
            <w:r w:rsidR="009427A2" w:rsidRPr="00B8660A">
              <w:rPr>
                <w:rFonts w:asciiTheme="majorHAnsi" w:hAnsiTheme="majorHAnsi" w:cstheme="majorHAnsi"/>
                <w:lang w:val="en-GB"/>
              </w:rPr>
              <w:t xml:space="preserve"> (</w:t>
            </w:r>
            <w:hyperlink r:id="rId17" w:history="1">
              <w:r w:rsidR="009427A2" w:rsidRPr="00B8660A">
                <w:rPr>
                  <w:rStyle w:val="Hyperlink"/>
                  <w:rFonts w:asciiTheme="majorHAnsi" w:hAnsiTheme="majorHAnsi" w:cstheme="majorHAnsi"/>
                  <w:lang w:val="en-GB"/>
                </w:rPr>
                <w:t>https://www.repairmystuff.ie/</w:t>
              </w:r>
            </w:hyperlink>
            <w:r w:rsidR="009427A2" w:rsidRPr="00B8660A">
              <w:rPr>
                <w:rFonts w:asciiTheme="majorHAnsi" w:hAnsiTheme="majorHAnsi" w:cstheme="majorHAnsi"/>
                <w:lang w:val="en-GB"/>
              </w:rPr>
              <w:t xml:space="preserve">) </w:t>
            </w:r>
          </w:p>
        </w:tc>
      </w:tr>
      <w:tr w:rsidR="003F793F" w:rsidRPr="00B8660A" w14:paraId="7A887BB8" w14:textId="77777777" w:rsidTr="002F5043">
        <w:trPr>
          <w:jc w:val="center"/>
        </w:trPr>
        <w:tc>
          <w:tcPr>
            <w:tcW w:w="1751" w:type="pct"/>
            <w:shd w:val="clear" w:color="auto" w:fill="auto"/>
            <w:tcMar>
              <w:top w:w="100" w:type="dxa"/>
              <w:left w:w="100" w:type="dxa"/>
              <w:bottom w:w="100" w:type="dxa"/>
              <w:right w:w="100" w:type="dxa"/>
            </w:tcMar>
          </w:tcPr>
          <w:p w14:paraId="12287498" w14:textId="2485A40E" w:rsidR="003F793F" w:rsidRPr="00B8660A" w:rsidRDefault="00C42D67"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Rent</w:t>
            </w:r>
            <w:r w:rsidR="003173E8" w:rsidRPr="00B8660A">
              <w:rPr>
                <w:rFonts w:asciiTheme="majorHAnsi" w:hAnsiTheme="majorHAnsi" w:cstheme="majorHAnsi"/>
                <w:lang w:val="en-GB"/>
              </w:rPr>
              <w:t>ing</w:t>
            </w:r>
            <w:r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350D945B" w14:textId="7B706427" w:rsidR="003F793F" w:rsidRPr="00B8660A" w:rsidRDefault="00C42D67" w:rsidP="009865D5">
            <w:pPr>
              <w:numPr>
                <w:ilvl w:val="0"/>
                <w:numId w:val="5"/>
              </w:numPr>
              <w:spacing w:line="360" w:lineRule="auto"/>
              <w:rPr>
                <w:rFonts w:asciiTheme="majorHAnsi" w:hAnsiTheme="majorHAnsi" w:cstheme="majorHAnsi"/>
                <w:lang w:val="en-GB"/>
              </w:rPr>
            </w:pPr>
            <w:r w:rsidRPr="00B8660A">
              <w:rPr>
                <w:rFonts w:asciiTheme="majorHAnsi" w:hAnsiTheme="majorHAnsi" w:cstheme="majorHAnsi"/>
                <w:lang w:val="en-GB"/>
              </w:rPr>
              <w:t xml:space="preserve">A.S.Adventure offers equipment rental services in several of their brick-and-mortar shops in Belgium. </w:t>
            </w:r>
            <w:r w:rsidR="009427A2" w:rsidRPr="00B8660A">
              <w:rPr>
                <w:rFonts w:asciiTheme="majorHAnsi" w:hAnsiTheme="majorHAnsi" w:cstheme="majorHAnsi"/>
                <w:lang w:val="en-GB"/>
              </w:rPr>
              <w:t>(</w:t>
            </w:r>
            <w:hyperlink r:id="rId18" w:history="1">
              <w:r w:rsidR="009427A2" w:rsidRPr="00B8660A">
                <w:rPr>
                  <w:rStyle w:val="Hyperlink"/>
                  <w:rFonts w:asciiTheme="majorHAnsi" w:hAnsiTheme="majorHAnsi" w:cstheme="majorHAnsi"/>
                  <w:lang w:val="en-GB"/>
                </w:rPr>
                <w:t>https://www.asadventure.com/</w:t>
              </w:r>
            </w:hyperlink>
            <w:r w:rsidR="009427A2" w:rsidRPr="00B8660A">
              <w:rPr>
                <w:rFonts w:asciiTheme="majorHAnsi" w:hAnsiTheme="majorHAnsi" w:cstheme="majorHAnsi"/>
                <w:lang w:val="en-GB"/>
              </w:rPr>
              <w:t xml:space="preserve">) </w:t>
            </w:r>
          </w:p>
          <w:p w14:paraId="6501362E" w14:textId="79C98224" w:rsidR="003F793F" w:rsidRPr="00B8660A" w:rsidRDefault="00C42D67" w:rsidP="009865D5">
            <w:pPr>
              <w:numPr>
                <w:ilvl w:val="0"/>
                <w:numId w:val="5"/>
              </w:numPr>
              <w:spacing w:line="360" w:lineRule="auto"/>
              <w:rPr>
                <w:rFonts w:asciiTheme="majorHAnsi" w:hAnsiTheme="majorHAnsi" w:cstheme="majorHAnsi"/>
                <w:lang w:val="en-GB"/>
              </w:rPr>
            </w:pPr>
            <w:r w:rsidRPr="00B8660A">
              <w:rPr>
                <w:rFonts w:asciiTheme="majorHAnsi" w:hAnsiTheme="majorHAnsi" w:cstheme="majorHAnsi"/>
                <w:lang w:val="en-GB"/>
              </w:rPr>
              <w:t>Hertz facilitates car rental services at locations all around the world yet also by means of a digital platform.</w:t>
            </w:r>
            <w:r w:rsidR="00DA48A4" w:rsidRPr="00B8660A">
              <w:rPr>
                <w:rFonts w:asciiTheme="majorHAnsi" w:hAnsiTheme="majorHAnsi" w:cstheme="majorHAnsi"/>
                <w:lang w:val="en-GB"/>
              </w:rPr>
              <w:t xml:space="preserve"> (</w:t>
            </w:r>
            <w:hyperlink r:id="rId19" w:history="1">
              <w:r w:rsidR="002D3F78" w:rsidRPr="00B8660A">
                <w:rPr>
                  <w:rStyle w:val="Hyperlink"/>
                  <w:rFonts w:asciiTheme="majorHAnsi" w:hAnsiTheme="majorHAnsi" w:cstheme="majorHAnsi"/>
                  <w:lang w:val="en-GB"/>
                </w:rPr>
                <w:t>https://www.hertz.com/</w:t>
              </w:r>
            </w:hyperlink>
            <w:r w:rsidR="002D3F78" w:rsidRPr="00B8660A">
              <w:rPr>
                <w:rFonts w:asciiTheme="majorHAnsi" w:hAnsiTheme="majorHAnsi" w:cstheme="majorHAnsi"/>
                <w:lang w:val="en-GB"/>
              </w:rPr>
              <w:t xml:space="preserve">) </w:t>
            </w:r>
          </w:p>
        </w:tc>
      </w:tr>
      <w:tr w:rsidR="003173E8" w:rsidRPr="00B8660A" w14:paraId="46AA98B4" w14:textId="77777777" w:rsidTr="002F5043">
        <w:trPr>
          <w:jc w:val="center"/>
        </w:trPr>
        <w:tc>
          <w:tcPr>
            <w:tcW w:w="1751" w:type="pct"/>
            <w:shd w:val="clear" w:color="auto" w:fill="auto"/>
            <w:tcMar>
              <w:top w:w="100" w:type="dxa"/>
              <w:left w:w="100" w:type="dxa"/>
              <w:bottom w:w="100" w:type="dxa"/>
              <w:right w:w="100" w:type="dxa"/>
            </w:tcMar>
          </w:tcPr>
          <w:p w14:paraId="238C0AE7" w14:textId="28789EDE" w:rsidR="003173E8" w:rsidRPr="00B8660A" w:rsidRDefault="003173E8" w:rsidP="003173E8">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 xml:space="preserve">Reselling </w:t>
            </w:r>
          </w:p>
        </w:tc>
        <w:tc>
          <w:tcPr>
            <w:tcW w:w="3249" w:type="pct"/>
            <w:shd w:val="clear" w:color="auto" w:fill="auto"/>
            <w:tcMar>
              <w:top w:w="100" w:type="dxa"/>
              <w:left w:w="100" w:type="dxa"/>
              <w:bottom w:w="100" w:type="dxa"/>
              <w:right w:w="100" w:type="dxa"/>
            </w:tcMar>
          </w:tcPr>
          <w:p w14:paraId="36736073" w14:textId="61A4BFC1" w:rsidR="003173E8" w:rsidRPr="00B8660A" w:rsidRDefault="003173E8" w:rsidP="003173E8">
            <w:pPr>
              <w:numPr>
                <w:ilvl w:val="0"/>
                <w:numId w:val="4"/>
              </w:numPr>
              <w:spacing w:line="360" w:lineRule="auto"/>
              <w:rPr>
                <w:rFonts w:asciiTheme="majorHAnsi" w:hAnsiTheme="majorHAnsi" w:cstheme="majorHAnsi"/>
                <w:lang w:val="en-GB"/>
              </w:rPr>
            </w:pPr>
            <w:r w:rsidRPr="00B8660A">
              <w:rPr>
                <w:rFonts w:asciiTheme="majorHAnsi" w:hAnsiTheme="majorHAnsi" w:cstheme="majorHAnsi"/>
                <w:lang w:val="en-GB"/>
              </w:rPr>
              <w:t>Skibörse sells new and second-hand winter sports equipment in several cities in Austria, Germany and Switzerland.</w:t>
            </w:r>
            <w:r w:rsidR="0021531F" w:rsidRPr="00B8660A">
              <w:rPr>
                <w:rFonts w:asciiTheme="majorHAnsi" w:hAnsiTheme="majorHAnsi" w:cstheme="majorHAnsi"/>
                <w:lang w:val="en-GB"/>
              </w:rPr>
              <w:t xml:space="preserve"> (</w:t>
            </w:r>
            <w:hyperlink r:id="rId20" w:history="1">
              <w:r w:rsidR="0021531F" w:rsidRPr="00B8660A">
                <w:rPr>
                  <w:rStyle w:val="Hyperlink"/>
                  <w:rFonts w:asciiTheme="majorHAnsi" w:hAnsiTheme="majorHAnsi" w:cstheme="majorHAnsi"/>
                  <w:lang w:val="en-GB"/>
                </w:rPr>
                <w:t>https://www.skiboerse.info/</w:t>
              </w:r>
            </w:hyperlink>
            <w:r w:rsidR="0021531F" w:rsidRPr="00B8660A">
              <w:rPr>
                <w:rFonts w:asciiTheme="majorHAnsi" w:hAnsiTheme="majorHAnsi" w:cstheme="majorHAnsi"/>
                <w:lang w:val="en-GB"/>
              </w:rPr>
              <w:t xml:space="preserve">) </w:t>
            </w:r>
          </w:p>
          <w:p w14:paraId="4E8B0779" w14:textId="69A67164" w:rsidR="003173E8" w:rsidRPr="00B8660A" w:rsidRDefault="003173E8" w:rsidP="003173E8">
            <w:pPr>
              <w:numPr>
                <w:ilvl w:val="0"/>
                <w:numId w:val="5"/>
              </w:numPr>
              <w:spacing w:line="360" w:lineRule="auto"/>
              <w:rPr>
                <w:rFonts w:asciiTheme="majorHAnsi" w:hAnsiTheme="majorHAnsi" w:cstheme="majorHAnsi"/>
                <w:lang w:val="en-GB"/>
              </w:rPr>
            </w:pPr>
            <w:r w:rsidRPr="00B8660A">
              <w:rPr>
                <w:rFonts w:asciiTheme="majorHAnsi" w:hAnsiTheme="majorHAnsi" w:cstheme="majorHAnsi"/>
                <w:lang w:val="en-GB"/>
              </w:rPr>
              <w:t>Unclaimed Baggage offers in-store as well as online resale services of lost airline baggage.</w:t>
            </w:r>
            <w:r w:rsidR="002B1CCB" w:rsidRPr="00B8660A">
              <w:rPr>
                <w:rFonts w:asciiTheme="majorHAnsi" w:hAnsiTheme="majorHAnsi" w:cstheme="majorHAnsi"/>
                <w:lang w:val="en-GB"/>
              </w:rPr>
              <w:t xml:space="preserve"> (</w:t>
            </w:r>
            <w:hyperlink r:id="rId21" w:history="1">
              <w:r w:rsidR="002B1CCB" w:rsidRPr="00B8660A">
                <w:rPr>
                  <w:rStyle w:val="Hyperlink"/>
                  <w:rFonts w:asciiTheme="majorHAnsi" w:hAnsiTheme="majorHAnsi" w:cstheme="majorHAnsi"/>
                  <w:lang w:val="en-GB"/>
                </w:rPr>
                <w:t>https://www.unclaimedbaggage.com/</w:t>
              </w:r>
            </w:hyperlink>
            <w:r w:rsidR="002B1CCB" w:rsidRPr="00B8660A">
              <w:rPr>
                <w:rFonts w:asciiTheme="majorHAnsi" w:hAnsiTheme="majorHAnsi" w:cstheme="majorHAnsi"/>
                <w:lang w:val="en-GB"/>
              </w:rPr>
              <w:t xml:space="preserve">) </w:t>
            </w:r>
          </w:p>
        </w:tc>
      </w:tr>
      <w:tr w:rsidR="003173E8" w:rsidRPr="00B8660A" w14:paraId="608BDEC5" w14:textId="77777777" w:rsidTr="002F5043">
        <w:trPr>
          <w:jc w:val="center"/>
        </w:trPr>
        <w:tc>
          <w:tcPr>
            <w:tcW w:w="1751" w:type="pct"/>
            <w:shd w:val="clear" w:color="auto" w:fill="auto"/>
            <w:tcMar>
              <w:top w:w="100" w:type="dxa"/>
              <w:left w:w="100" w:type="dxa"/>
              <w:bottom w:w="100" w:type="dxa"/>
              <w:right w:w="100" w:type="dxa"/>
            </w:tcMar>
          </w:tcPr>
          <w:p w14:paraId="3E01A92E" w14:textId="40D42F1B" w:rsidR="003173E8" w:rsidRPr="00B8660A" w:rsidRDefault="003173E8" w:rsidP="003173E8">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lastRenderedPageBreak/>
              <w:t xml:space="preserve">Swapping </w:t>
            </w:r>
          </w:p>
        </w:tc>
        <w:tc>
          <w:tcPr>
            <w:tcW w:w="3249" w:type="pct"/>
            <w:shd w:val="clear" w:color="auto" w:fill="auto"/>
            <w:tcMar>
              <w:top w:w="100" w:type="dxa"/>
              <w:left w:w="100" w:type="dxa"/>
              <w:bottom w:w="100" w:type="dxa"/>
              <w:right w:w="100" w:type="dxa"/>
            </w:tcMar>
          </w:tcPr>
          <w:p w14:paraId="271FF547" w14:textId="4D8ACF85" w:rsidR="003173E8" w:rsidRPr="00B8660A" w:rsidRDefault="003173E8" w:rsidP="003173E8">
            <w:pPr>
              <w:numPr>
                <w:ilvl w:val="0"/>
                <w:numId w:val="3"/>
              </w:numPr>
              <w:spacing w:line="360" w:lineRule="auto"/>
              <w:rPr>
                <w:rFonts w:asciiTheme="majorHAnsi" w:hAnsiTheme="majorHAnsi" w:cstheme="majorHAnsi"/>
                <w:lang w:val="en-GB"/>
              </w:rPr>
            </w:pPr>
            <w:r w:rsidRPr="00B8660A">
              <w:rPr>
                <w:rFonts w:asciiTheme="majorHAnsi" w:hAnsiTheme="majorHAnsi" w:cstheme="majorHAnsi"/>
                <w:lang w:val="en-GB"/>
              </w:rPr>
              <w:t xml:space="preserve">Don't Shop, Swap facilitates the swapping of fashion items by means of an online website. </w:t>
            </w:r>
            <w:r w:rsidR="0065285A" w:rsidRPr="00B8660A">
              <w:rPr>
                <w:rFonts w:asciiTheme="majorHAnsi" w:hAnsiTheme="majorHAnsi" w:cstheme="majorHAnsi"/>
                <w:lang w:val="en-GB"/>
              </w:rPr>
              <w:t>(</w:t>
            </w:r>
            <w:hyperlink r:id="rId22" w:history="1">
              <w:r w:rsidR="0065285A" w:rsidRPr="00B8660A">
                <w:rPr>
                  <w:rStyle w:val="Hyperlink"/>
                  <w:rFonts w:asciiTheme="majorHAnsi" w:hAnsiTheme="majorHAnsi" w:cstheme="majorHAnsi"/>
                  <w:lang w:val="en-GB"/>
                </w:rPr>
                <w:t>https://www.dontshopswap.co.uk/</w:t>
              </w:r>
            </w:hyperlink>
            <w:r w:rsidR="0065285A" w:rsidRPr="00B8660A">
              <w:rPr>
                <w:rFonts w:asciiTheme="majorHAnsi" w:hAnsiTheme="majorHAnsi" w:cstheme="majorHAnsi"/>
                <w:lang w:val="en-GB"/>
              </w:rPr>
              <w:t xml:space="preserve">) </w:t>
            </w:r>
          </w:p>
          <w:p w14:paraId="60C429FE" w14:textId="67706EEF" w:rsidR="003173E8" w:rsidRPr="00B8660A" w:rsidRDefault="003173E8" w:rsidP="003173E8">
            <w:pPr>
              <w:numPr>
                <w:ilvl w:val="0"/>
                <w:numId w:val="4"/>
              </w:numPr>
              <w:spacing w:line="360" w:lineRule="auto"/>
              <w:rPr>
                <w:rFonts w:asciiTheme="majorHAnsi" w:hAnsiTheme="majorHAnsi" w:cstheme="majorHAnsi"/>
                <w:lang w:val="en-GB"/>
              </w:rPr>
            </w:pPr>
            <w:r w:rsidRPr="00B8660A">
              <w:rPr>
                <w:rFonts w:asciiTheme="majorHAnsi" w:hAnsiTheme="majorHAnsi" w:cstheme="majorHAnsi"/>
                <w:lang w:val="en-GB"/>
              </w:rPr>
              <w:t xml:space="preserve">The Swapshop offers in-store as well as online swapping of fashion items. </w:t>
            </w:r>
            <w:r w:rsidR="00B81806" w:rsidRPr="00B8660A">
              <w:rPr>
                <w:rFonts w:asciiTheme="majorHAnsi" w:hAnsiTheme="majorHAnsi" w:cstheme="majorHAnsi"/>
                <w:lang w:val="en-GB"/>
              </w:rPr>
              <w:t>(</w:t>
            </w:r>
            <w:hyperlink r:id="rId23" w:history="1">
              <w:r w:rsidR="00B81806" w:rsidRPr="00B8660A">
                <w:rPr>
                  <w:rStyle w:val="Hyperlink"/>
                  <w:rFonts w:asciiTheme="majorHAnsi" w:hAnsiTheme="majorHAnsi" w:cstheme="majorHAnsi"/>
                  <w:lang w:val="en-GB"/>
                </w:rPr>
                <w:t>https://www.the-swapshop.com/</w:t>
              </w:r>
            </w:hyperlink>
            <w:r w:rsidR="00B81806" w:rsidRPr="00B8660A">
              <w:rPr>
                <w:rFonts w:asciiTheme="majorHAnsi" w:hAnsiTheme="majorHAnsi" w:cstheme="majorHAnsi"/>
                <w:lang w:val="en-GB"/>
              </w:rPr>
              <w:t xml:space="preserve">) </w:t>
            </w:r>
          </w:p>
        </w:tc>
      </w:tr>
    </w:tbl>
    <w:p w14:paraId="60FF2918" w14:textId="6BD81BCB" w:rsidR="003F793F" w:rsidRPr="00B8660A" w:rsidRDefault="008D6BEB" w:rsidP="009865D5">
      <w:pPr>
        <w:spacing w:line="360" w:lineRule="auto"/>
        <w:jc w:val="both"/>
        <w:rPr>
          <w:rFonts w:asciiTheme="majorHAnsi" w:hAnsiTheme="majorHAnsi" w:cstheme="majorHAnsi"/>
          <w:lang w:val="en-GB"/>
        </w:rPr>
      </w:pPr>
      <w:r w:rsidRPr="00B8660A">
        <w:rPr>
          <w:rFonts w:asciiTheme="majorHAnsi" w:hAnsiTheme="majorHAnsi" w:cstheme="majorHAnsi"/>
          <w:i/>
          <w:lang w:val="en-GB"/>
        </w:rPr>
        <w:t>Note.</w:t>
      </w:r>
      <w:r w:rsidRPr="00B8660A">
        <w:rPr>
          <w:rFonts w:asciiTheme="majorHAnsi" w:hAnsiTheme="majorHAnsi" w:cstheme="majorHAnsi"/>
          <w:lang w:val="en-GB"/>
        </w:rPr>
        <w:t xml:space="preserve"> All website</w:t>
      </w:r>
      <w:r w:rsidR="00086F82" w:rsidRPr="00B8660A">
        <w:rPr>
          <w:rFonts w:asciiTheme="majorHAnsi" w:hAnsiTheme="majorHAnsi" w:cstheme="majorHAnsi"/>
          <w:lang w:val="en-GB"/>
        </w:rPr>
        <w:t>s</w:t>
      </w:r>
      <w:r w:rsidRPr="00B8660A">
        <w:rPr>
          <w:rFonts w:asciiTheme="majorHAnsi" w:hAnsiTheme="majorHAnsi" w:cstheme="majorHAnsi"/>
          <w:lang w:val="en-GB"/>
        </w:rPr>
        <w:t xml:space="preserve"> </w:t>
      </w:r>
      <w:r w:rsidR="00481AF8" w:rsidRPr="00B8660A">
        <w:rPr>
          <w:rFonts w:asciiTheme="majorHAnsi" w:hAnsiTheme="majorHAnsi" w:cstheme="majorHAnsi"/>
          <w:lang w:val="en-GB"/>
        </w:rPr>
        <w:t>were</w:t>
      </w:r>
      <w:r w:rsidRPr="00B8660A">
        <w:rPr>
          <w:rFonts w:asciiTheme="majorHAnsi" w:hAnsiTheme="majorHAnsi" w:cstheme="majorHAnsi"/>
          <w:lang w:val="en-GB"/>
        </w:rPr>
        <w:t xml:space="preserve"> accessed on February </w:t>
      </w:r>
      <w:r w:rsidR="0018709E" w:rsidRPr="00B8660A">
        <w:rPr>
          <w:rFonts w:asciiTheme="majorHAnsi" w:hAnsiTheme="majorHAnsi" w:cstheme="majorHAnsi"/>
          <w:lang w:val="en-GB"/>
        </w:rPr>
        <w:t>9</w:t>
      </w:r>
      <w:r w:rsidRPr="00B8660A">
        <w:rPr>
          <w:rFonts w:asciiTheme="majorHAnsi" w:hAnsiTheme="majorHAnsi" w:cstheme="majorHAnsi"/>
          <w:lang w:val="en-GB"/>
        </w:rPr>
        <w:t>, 2023</w:t>
      </w:r>
      <w:r w:rsidR="00B81806" w:rsidRPr="00B8660A">
        <w:rPr>
          <w:rFonts w:asciiTheme="majorHAnsi" w:hAnsiTheme="majorHAnsi" w:cstheme="majorHAnsi"/>
          <w:lang w:val="en-GB"/>
        </w:rPr>
        <w:t>.</w:t>
      </w:r>
    </w:p>
    <w:p w14:paraId="72557DDB" w14:textId="77777777" w:rsidR="008D6BEB" w:rsidRPr="00B8660A" w:rsidRDefault="008D6BEB" w:rsidP="009865D5">
      <w:pPr>
        <w:spacing w:line="360" w:lineRule="auto"/>
        <w:jc w:val="both"/>
        <w:rPr>
          <w:rFonts w:asciiTheme="majorHAnsi" w:hAnsiTheme="majorHAnsi" w:cstheme="majorHAnsi"/>
          <w:lang w:val="en-GB"/>
        </w:rPr>
      </w:pPr>
    </w:p>
    <w:p w14:paraId="37D8633F" w14:textId="77777777" w:rsidR="00607520" w:rsidRPr="00B8660A" w:rsidRDefault="00607520"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As illustrated by the examples in Table 1, an engagement platform can connect actors to facilitate the exchange and integration of resources. Though the engagement platform aspires to bring actors together, tensions may arise in case there exists a mismatch between the expected and/or perceived benefits of circular economy engagement among actors. For example, an engagement platform with the ambition to generate long-term collectivity benefits (e.g., Too Good To Go) may benefit from connecting actors who expect environmental (e.g., reducing food waste) and societal benefits (e.g., supporting local businesses). In case (some) actors engage to get short-term individual benefits (e.g., hand-picked fresh meals), the engagement platform may not realize its ambition. Therefore, it is crucial that engagement platforms accurately set the expectations of the actors they aim to bring together. </w:t>
      </w:r>
    </w:p>
    <w:p w14:paraId="03644673" w14:textId="77777777" w:rsidR="00607520" w:rsidRPr="00B8660A" w:rsidRDefault="00607520" w:rsidP="009865D5">
      <w:pPr>
        <w:spacing w:line="360" w:lineRule="auto"/>
        <w:jc w:val="both"/>
        <w:rPr>
          <w:rFonts w:asciiTheme="majorHAnsi" w:hAnsiTheme="majorHAnsi" w:cstheme="majorHAnsi"/>
          <w:lang w:val="en-GB"/>
        </w:rPr>
      </w:pPr>
    </w:p>
    <w:p w14:paraId="38EF6618" w14:textId="6CEAD168" w:rsidR="00607520"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To </w:t>
      </w:r>
      <w:r w:rsidR="00607520" w:rsidRPr="00B8660A">
        <w:rPr>
          <w:rFonts w:asciiTheme="majorHAnsi" w:hAnsiTheme="majorHAnsi" w:cstheme="majorHAnsi"/>
          <w:lang w:val="en-GB"/>
        </w:rPr>
        <w:t>set the right expectations in relation to circular economy engagement, however</w:t>
      </w:r>
      <w:r w:rsidRPr="00B8660A">
        <w:rPr>
          <w:rFonts w:asciiTheme="majorHAnsi" w:hAnsiTheme="majorHAnsi" w:cstheme="majorHAnsi"/>
          <w:lang w:val="en-GB"/>
        </w:rPr>
        <w:t xml:space="preserve">, </w:t>
      </w:r>
      <w:r w:rsidR="00607520" w:rsidRPr="00B8660A">
        <w:rPr>
          <w:rFonts w:asciiTheme="majorHAnsi" w:hAnsiTheme="majorHAnsi" w:cstheme="majorHAnsi"/>
          <w:lang w:val="en-GB"/>
        </w:rPr>
        <w:t>a number of studies contend that</w:t>
      </w:r>
      <w:r w:rsidRPr="00B8660A">
        <w:rPr>
          <w:rFonts w:asciiTheme="majorHAnsi" w:hAnsiTheme="majorHAnsi" w:cstheme="majorHAnsi"/>
          <w:lang w:val="en-GB"/>
        </w:rPr>
        <w:t xml:space="preserve"> engagement platforms need to have a strong value proposition, that is a clear message as to what benefits actors can expect when engaging with the platform (</w:t>
      </w:r>
      <w:r w:rsidR="00607520" w:rsidRPr="00B8660A">
        <w:rPr>
          <w:rFonts w:asciiTheme="majorHAnsi" w:hAnsiTheme="majorHAnsi" w:cstheme="majorHAnsi"/>
          <w:lang w:val="en-GB"/>
        </w:rPr>
        <w:t xml:space="preserve">Payne et al. 2017; Piepponen et al., 2022; Ranta et al., 2020, Rintamäki and Saarijärvi, 2021; </w:t>
      </w:r>
      <w:r w:rsidRPr="00B8660A">
        <w:rPr>
          <w:rFonts w:asciiTheme="majorHAnsi" w:hAnsiTheme="majorHAnsi" w:cstheme="majorHAnsi"/>
          <w:lang w:val="en-GB"/>
        </w:rPr>
        <w:t xml:space="preserve">Leroi-Werelds et al., 2021). </w:t>
      </w:r>
      <w:r w:rsidR="00607520" w:rsidRPr="00B8660A">
        <w:rPr>
          <w:rFonts w:asciiTheme="majorHAnsi" w:hAnsiTheme="majorHAnsi" w:cstheme="majorHAnsi"/>
          <w:lang w:val="en-GB"/>
        </w:rPr>
        <w:t>A</w:t>
      </w:r>
      <w:r w:rsidRPr="00B8660A">
        <w:rPr>
          <w:rFonts w:asciiTheme="majorHAnsi" w:hAnsiTheme="majorHAnsi" w:cstheme="majorHAnsi"/>
          <w:lang w:val="en-GB"/>
        </w:rPr>
        <w:t xml:space="preserve"> value proposition </w:t>
      </w:r>
      <w:r w:rsidR="00607520" w:rsidRPr="00B8660A">
        <w:rPr>
          <w:rFonts w:asciiTheme="majorHAnsi" w:hAnsiTheme="majorHAnsi" w:cstheme="majorHAnsi"/>
          <w:lang w:val="en-GB"/>
        </w:rPr>
        <w:t xml:space="preserve">namely </w:t>
      </w:r>
      <w:r w:rsidRPr="00B8660A">
        <w:rPr>
          <w:rFonts w:asciiTheme="majorHAnsi" w:hAnsiTheme="majorHAnsi" w:cstheme="majorHAnsi"/>
          <w:lang w:val="en-GB"/>
        </w:rPr>
        <w:t>allows engagement platforms to communicate the benefits they offer to a variety of actors in their ecosystem</w:t>
      </w:r>
      <w:r w:rsidR="004F6E13" w:rsidRPr="00B8660A">
        <w:rPr>
          <w:rFonts w:asciiTheme="majorHAnsi" w:hAnsiTheme="majorHAnsi" w:cstheme="majorHAnsi"/>
          <w:lang w:val="en-GB"/>
        </w:rPr>
        <w:t>, as illustrated by the examples in Table 2</w:t>
      </w:r>
      <w:r w:rsidRPr="00B8660A">
        <w:rPr>
          <w:rFonts w:asciiTheme="majorHAnsi" w:hAnsiTheme="majorHAnsi" w:cstheme="majorHAnsi"/>
          <w:lang w:val="en-GB"/>
        </w:rPr>
        <w:t xml:space="preserve"> (Verleye </w:t>
      </w:r>
      <w:r w:rsidR="009D5DD3" w:rsidRPr="00B8660A">
        <w:rPr>
          <w:rFonts w:asciiTheme="majorHAnsi" w:hAnsiTheme="majorHAnsi" w:cstheme="majorHAnsi"/>
          <w:lang w:val="en-GB"/>
        </w:rPr>
        <w:t>and</w:t>
      </w:r>
      <w:r w:rsidRPr="00B8660A">
        <w:rPr>
          <w:rFonts w:asciiTheme="majorHAnsi" w:hAnsiTheme="majorHAnsi" w:cstheme="majorHAnsi"/>
          <w:lang w:val="en-GB"/>
        </w:rPr>
        <w:t xml:space="preserve"> Reber, 2022; Wruk et al., 2019). </w:t>
      </w:r>
    </w:p>
    <w:p w14:paraId="0938B725" w14:textId="77777777" w:rsidR="00441870" w:rsidRPr="00B8660A" w:rsidRDefault="00441870" w:rsidP="009865D5">
      <w:pPr>
        <w:spacing w:line="360" w:lineRule="auto"/>
        <w:jc w:val="both"/>
        <w:rPr>
          <w:rFonts w:asciiTheme="majorHAnsi" w:hAnsiTheme="majorHAnsi" w:cstheme="majorHAnsi"/>
          <w:lang w:val="en-GB"/>
        </w:rPr>
      </w:pPr>
    </w:p>
    <w:p w14:paraId="5907DD74" w14:textId="3B69B582" w:rsidR="00607520" w:rsidRPr="00B8660A" w:rsidRDefault="00607520" w:rsidP="009865D5">
      <w:pPr>
        <w:spacing w:line="360" w:lineRule="auto"/>
        <w:jc w:val="center"/>
        <w:rPr>
          <w:rFonts w:asciiTheme="majorHAnsi" w:hAnsiTheme="majorHAnsi" w:cstheme="majorHAnsi"/>
          <w:i/>
          <w:lang w:val="en-GB"/>
        </w:rPr>
      </w:pPr>
      <w:r w:rsidRPr="00B8660A">
        <w:rPr>
          <w:rFonts w:asciiTheme="majorHAnsi" w:hAnsiTheme="majorHAnsi" w:cstheme="majorHAnsi"/>
          <w:i/>
          <w:lang w:val="en-GB"/>
        </w:rPr>
        <w:t xml:space="preserve">Table 2 </w:t>
      </w:r>
      <w:r w:rsidR="00AC6703" w:rsidRPr="00B8660A">
        <w:rPr>
          <w:rFonts w:asciiTheme="majorHAnsi" w:hAnsiTheme="majorHAnsi" w:cstheme="majorHAnsi"/>
          <w:lang w:val="en-GB"/>
        </w:rPr>
        <w:t>–</w:t>
      </w:r>
      <w:r w:rsidRPr="00B8660A">
        <w:rPr>
          <w:rFonts w:asciiTheme="majorHAnsi" w:hAnsiTheme="majorHAnsi" w:cstheme="majorHAnsi"/>
          <w:i/>
          <w:lang w:val="en-GB"/>
        </w:rPr>
        <w:t xml:space="preserve"> Examples of value propositions of engagement platforms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287"/>
        <w:gridCol w:w="6099"/>
      </w:tblGrid>
      <w:tr w:rsidR="001F71DB" w:rsidRPr="00B8660A" w14:paraId="0CAC3813" w14:textId="77777777" w:rsidTr="00EC15D9">
        <w:trPr>
          <w:trHeight w:val="357"/>
          <w:jc w:val="center"/>
        </w:trPr>
        <w:tc>
          <w:tcPr>
            <w:tcW w:w="1751" w:type="pct"/>
            <w:shd w:val="clear" w:color="auto" w:fill="auto"/>
            <w:tcMar>
              <w:top w:w="100" w:type="dxa"/>
              <w:left w:w="100" w:type="dxa"/>
              <w:bottom w:w="100" w:type="dxa"/>
              <w:right w:w="100" w:type="dxa"/>
            </w:tcMar>
          </w:tcPr>
          <w:p w14:paraId="1DC79CE2" w14:textId="77777777" w:rsidR="00607520" w:rsidRPr="00B8660A" w:rsidRDefault="00607520" w:rsidP="009865D5">
            <w:pPr>
              <w:widowControl w:val="0"/>
              <w:pBdr>
                <w:top w:val="nil"/>
                <w:left w:val="nil"/>
                <w:bottom w:val="nil"/>
                <w:right w:val="nil"/>
                <w:between w:val="nil"/>
              </w:pBdr>
              <w:spacing w:line="360" w:lineRule="auto"/>
              <w:rPr>
                <w:rFonts w:asciiTheme="majorHAnsi" w:hAnsiTheme="majorHAnsi" w:cstheme="majorHAnsi"/>
                <w:b/>
                <w:lang w:val="en-GB"/>
              </w:rPr>
            </w:pPr>
            <w:r w:rsidRPr="00B8660A">
              <w:rPr>
                <w:rFonts w:asciiTheme="majorHAnsi" w:hAnsiTheme="majorHAnsi" w:cstheme="majorHAnsi"/>
                <w:b/>
                <w:lang w:val="en-GB"/>
              </w:rPr>
              <w:t>Engagement platform</w:t>
            </w:r>
          </w:p>
        </w:tc>
        <w:tc>
          <w:tcPr>
            <w:tcW w:w="3249" w:type="pct"/>
            <w:shd w:val="clear" w:color="auto" w:fill="auto"/>
            <w:tcMar>
              <w:top w:w="100" w:type="dxa"/>
              <w:left w:w="100" w:type="dxa"/>
              <w:bottom w:w="100" w:type="dxa"/>
              <w:right w:w="100" w:type="dxa"/>
            </w:tcMar>
          </w:tcPr>
          <w:p w14:paraId="0DDA599B" w14:textId="77777777" w:rsidR="00607520" w:rsidRPr="00B8660A" w:rsidRDefault="00607520" w:rsidP="009865D5">
            <w:pPr>
              <w:widowControl w:val="0"/>
              <w:pBdr>
                <w:top w:val="nil"/>
                <w:left w:val="nil"/>
                <w:bottom w:val="nil"/>
                <w:right w:val="nil"/>
                <w:between w:val="nil"/>
              </w:pBdr>
              <w:spacing w:line="360" w:lineRule="auto"/>
              <w:rPr>
                <w:rFonts w:asciiTheme="majorHAnsi" w:hAnsiTheme="majorHAnsi" w:cstheme="majorHAnsi"/>
                <w:b/>
                <w:lang w:val="en-GB"/>
              </w:rPr>
            </w:pPr>
            <w:r w:rsidRPr="00B8660A">
              <w:rPr>
                <w:rFonts w:asciiTheme="majorHAnsi" w:hAnsiTheme="majorHAnsi" w:cstheme="majorHAnsi"/>
                <w:b/>
                <w:lang w:val="en-GB"/>
              </w:rPr>
              <w:t>Value proposition</w:t>
            </w:r>
          </w:p>
        </w:tc>
      </w:tr>
      <w:tr w:rsidR="001F71DB" w:rsidRPr="00B8660A" w14:paraId="49C1C488" w14:textId="77777777" w:rsidTr="00EC15D9">
        <w:trPr>
          <w:jc w:val="center"/>
        </w:trPr>
        <w:tc>
          <w:tcPr>
            <w:tcW w:w="1751" w:type="pct"/>
            <w:shd w:val="clear" w:color="auto" w:fill="auto"/>
            <w:tcMar>
              <w:top w:w="100" w:type="dxa"/>
              <w:left w:w="100" w:type="dxa"/>
              <w:bottom w:w="100" w:type="dxa"/>
              <w:right w:w="100" w:type="dxa"/>
            </w:tcMar>
          </w:tcPr>
          <w:p w14:paraId="45EFDD2F" w14:textId="17D8CB98" w:rsidR="00607520" w:rsidRPr="00B8660A" w:rsidRDefault="00EC15D9" w:rsidP="009865D5">
            <w:pPr>
              <w:widowControl w:val="0"/>
              <w:pBdr>
                <w:top w:val="nil"/>
                <w:left w:val="nil"/>
                <w:bottom w:val="nil"/>
                <w:right w:val="nil"/>
                <w:between w:val="nil"/>
              </w:pBdr>
              <w:spacing w:line="360" w:lineRule="auto"/>
              <w:rPr>
                <w:rFonts w:asciiTheme="majorHAnsi" w:hAnsiTheme="majorHAnsi" w:cstheme="majorHAnsi"/>
                <w:i/>
                <w:lang w:val="en-GB"/>
              </w:rPr>
            </w:pPr>
            <w:r w:rsidRPr="00B8660A">
              <w:rPr>
                <w:rFonts w:asciiTheme="majorHAnsi" w:hAnsiTheme="majorHAnsi" w:cstheme="majorHAnsi"/>
                <w:lang w:val="en-GB"/>
              </w:rPr>
              <w:t>Refurbed is an online marketplace for refurbished electronic devices.</w:t>
            </w:r>
            <w:r w:rsidR="00C87328" w:rsidRPr="00B8660A">
              <w:rPr>
                <w:rFonts w:asciiTheme="majorHAnsi" w:hAnsiTheme="majorHAnsi" w:cstheme="majorHAnsi"/>
                <w:lang w:val="en-GB"/>
              </w:rPr>
              <w:t xml:space="preserve"> (</w:t>
            </w:r>
            <w:hyperlink r:id="rId24" w:history="1">
              <w:r w:rsidR="00117027" w:rsidRPr="00B8660A">
                <w:rPr>
                  <w:rStyle w:val="Hyperlink"/>
                  <w:rFonts w:asciiTheme="majorHAnsi" w:hAnsiTheme="majorHAnsi" w:cstheme="majorHAnsi"/>
                  <w:lang w:val="en-GB"/>
                </w:rPr>
                <w:t>https://www.refurbed.ie/</w:t>
              </w:r>
            </w:hyperlink>
            <w:r w:rsidR="00117027" w:rsidRPr="00B8660A">
              <w:rPr>
                <w:rFonts w:asciiTheme="majorHAnsi" w:hAnsiTheme="majorHAnsi" w:cstheme="majorHAnsi"/>
                <w:lang w:val="en-GB"/>
              </w:rPr>
              <w:t>)</w:t>
            </w:r>
          </w:p>
        </w:tc>
        <w:tc>
          <w:tcPr>
            <w:tcW w:w="3249" w:type="pct"/>
            <w:shd w:val="clear" w:color="auto" w:fill="auto"/>
            <w:tcMar>
              <w:top w:w="100" w:type="dxa"/>
              <w:left w:w="100" w:type="dxa"/>
              <w:bottom w:w="100" w:type="dxa"/>
              <w:right w:w="100" w:type="dxa"/>
            </w:tcMar>
          </w:tcPr>
          <w:p w14:paraId="1E053B54" w14:textId="041A327B" w:rsidR="00B9758F" w:rsidRPr="00B8660A" w:rsidRDefault="00EC15D9" w:rsidP="00117027">
            <w:pPr>
              <w:spacing w:line="360" w:lineRule="auto"/>
              <w:rPr>
                <w:rFonts w:asciiTheme="majorHAnsi" w:hAnsiTheme="majorHAnsi" w:cstheme="majorHAnsi"/>
                <w:lang w:val="en-GB"/>
              </w:rPr>
            </w:pPr>
            <w:r w:rsidRPr="00B8660A">
              <w:rPr>
                <w:rFonts w:asciiTheme="majorHAnsi" w:hAnsiTheme="majorHAnsi" w:cstheme="majorHAnsi"/>
                <w:lang w:val="en-GB"/>
              </w:rPr>
              <w:t xml:space="preserve">“We offer renewed electronic devices that look and work like new. You save up to 40% and buy 100% more sustainable products. All refurbed™ devices are refurbished, reconditioned </w:t>
            </w:r>
            <w:r w:rsidRPr="00B8660A">
              <w:rPr>
                <w:rFonts w:asciiTheme="majorHAnsi" w:hAnsiTheme="majorHAnsi" w:cstheme="majorHAnsi"/>
                <w:lang w:val="en-GB"/>
              </w:rPr>
              <w:lastRenderedPageBreak/>
              <w:t>and thoroughly tested by experts.”</w:t>
            </w:r>
            <w:r w:rsidR="00117027" w:rsidRPr="00B8660A">
              <w:rPr>
                <w:rFonts w:asciiTheme="majorHAnsi" w:hAnsiTheme="majorHAnsi" w:cstheme="majorHAnsi"/>
                <w:lang w:val="en-GB"/>
              </w:rPr>
              <w:t xml:space="preserve"> (</w:t>
            </w:r>
            <w:hyperlink r:id="rId25" w:history="1">
              <w:r w:rsidR="00B9758F" w:rsidRPr="00B8660A">
                <w:rPr>
                  <w:rStyle w:val="Hyperlink"/>
                  <w:rFonts w:asciiTheme="majorHAnsi" w:hAnsiTheme="majorHAnsi" w:cstheme="majorHAnsi"/>
                  <w:lang w:val="en-GB"/>
                </w:rPr>
                <w:t>https://www.refurbed.ie/advantages/</w:t>
              </w:r>
            </w:hyperlink>
            <w:r w:rsidR="00117027" w:rsidRPr="00B8660A">
              <w:rPr>
                <w:rFonts w:asciiTheme="majorHAnsi" w:hAnsiTheme="majorHAnsi" w:cstheme="majorHAnsi"/>
                <w:lang w:val="en-GB"/>
              </w:rPr>
              <w:t>)</w:t>
            </w:r>
          </w:p>
        </w:tc>
      </w:tr>
      <w:tr w:rsidR="001F71DB" w:rsidRPr="00B8660A" w14:paraId="7CBE87C9" w14:textId="77777777" w:rsidTr="00EC15D9">
        <w:trPr>
          <w:jc w:val="center"/>
        </w:trPr>
        <w:tc>
          <w:tcPr>
            <w:tcW w:w="1751" w:type="pct"/>
            <w:shd w:val="clear" w:color="auto" w:fill="auto"/>
            <w:tcMar>
              <w:top w:w="100" w:type="dxa"/>
              <w:left w:w="100" w:type="dxa"/>
              <w:bottom w:w="100" w:type="dxa"/>
              <w:right w:w="100" w:type="dxa"/>
            </w:tcMar>
          </w:tcPr>
          <w:p w14:paraId="299D6608" w14:textId="06992F89" w:rsidR="00607520" w:rsidRPr="00B8660A" w:rsidRDefault="00C3595F"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lastRenderedPageBreak/>
              <w:t>First Serve UK offers domestic appliance repairs by means of an online website.</w:t>
            </w:r>
            <w:r w:rsidR="004C6CA7" w:rsidRPr="00B8660A">
              <w:rPr>
                <w:rFonts w:asciiTheme="majorHAnsi" w:hAnsiTheme="majorHAnsi" w:cstheme="majorHAnsi"/>
                <w:lang w:val="en-GB"/>
              </w:rPr>
              <w:t xml:space="preserve"> (</w:t>
            </w:r>
            <w:hyperlink r:id="rId26" w:history="1">
              <w:r w:rsidR="004C6CA7" w:rsidRPr="00B8660A">
                <w:rPr>
                  <w:rStyle w:val="Hyperlink"/>
                  <w:rFonts w:asciiTheme="majorHAnsi" w:hAnsiTheme="majorHAnsi" w:cstheme="majorHAnsi"/>
                  <w:lang w:val="en-GB"/>
                </w:rPr>
                <w:t>https://firstserveuk.co.uk/</w:t>
              </w:r>
            </w:hyperlink>
            <w:r w:rsidR="004C6CA7"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16600578" w14:textId="4F7DD85A" w:rsidR="00C3595F" w:rsidRPr="00B8660A" w:rsidRDefault="00B97015" w:rsidP="009865D5">
            <w:pPr>
              <w:spacing w:line="360" w:lineRule="auto"/>
              <w:rPr>
                <w:rFonts w:asciiTheme="majorHAnsi" w:hAnsiTheme="majorHAnsi" w:cstheme="majorHAnsi"/>
                <w:lang w:val="en-GB"/>
              </w:rPr>
            </w:pPr>
            <w:r w:rsidRPr="00B8660A">
              <w:rPr>
                <w:rFonts w:asciiTheme="majorHAnsi" w:hAnsiTheme="majorHAnsi" w:cstheme="majorHAnsi"/>
                <w:lang w:val="en-GB"/>
              </w:rPr>
              <w:t>“[…] it has been our belief that our customers deserve to get top quality service and repairs at affordable prices. We aim to serve every customer with a world-class service experience and we guarantee all work undertaken.</w:t>
            </w:r>
            <w:r w:rsidR="00C3595F" w:rsidRPr="00B8660A">
              <w:rPr>
                <w:rFonts w:asciiTheme="majorHAnsi" w:hAnsiTheme="majorHAnsi" w:cstheme="majorHAnsi"/>
                <w:lang w:val="en-GB"/>
              </w:rPr>
              <w:t>”</w:t>
            </w:r>
            <w:r w:rsidR="004C6CA7" w:rsidRPr="00B8660A">
              <w:rPr>
                <w:rFonts w:asciiTheme="majorHAnsi" w:hAnsiTheme="majorHAnsi" w:cstheme="majorHAnsi"/>
                <w:lang w:val="en-GB"/>
              </w:rPr>
              <w:t xml:space="preserve"> (</w:t>
            </w:r>
            <w:hyperlink r:id="rId27" w:history="1">
              <w:r w:rsidR="004C6CA7" w:rsidRPr="00B8660A">
                <w:rPr>
                  <w:rStyle w:val="Hyperlink"/>
                  <w:rFonts w:asciiTheme="majorHAnsi" w:hAnsiTheme="majorHAnsi" w:cstheme="majorHAnsi"/>
                  <w:lang w:val="en-GB"/>
                </w:rPr>
                <w:t>https://firstserveuk.co.uk/</w:t>
              </w:r>
            </w:hyperlink>
            <w:r w:rsidR="004C6CA7" w:rsidRPr="00B8660A">
              <w:rPr>
                <w:rFonts w:asciiTheme="majorHAnsi" w:hAnsiTheme="majorHAnsi" w:cstheme="majorHAnsi"/>
                <w:lang w:val="en-GB"/>
              </w:rPr>
              <w:t xml:space="preserve">) </w:t>
            </w:r>
          </w:p>
        </w:tc>
      </w:tr>
      <w:tr w:rsidR="001F71DB" w:rsidRPr="00B8660A" w14:paraId="5480F0B5" w14:textId="77777777" w:rsidTr="00EC15D9">
        <w:trPr>
          <w:jc w:val="center"/>
        </w:trPr>
        <w:tc>
          <w:tcPr>
            <w:tcW w:w="1751" w:type="pct"/>
            <w:shd w:val="clear" w:color="auto" w:fill="auto"/>
            <w:tcMar>
              <w:top w:w="100" w:type="dxa"/>
              <w:left w:w="100" w:type="dxa"/>
              <w:bottom w:w="100" w:type="dxa"/>
              <w:right w:w="100" w:type="dxa"/>
            </w:tcMar>
          </w:tcPr>
          <w:p w14:paraId="346C16E4" w14:textId="795E8D8F" w:rsidR="00607520" w:rsidRPr="00B8660A" w:rsidRDefault="00EC15D9"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Swap</w:t>
            </w:r>
            <w:r w:rsidR="00AF72FB" w:rsidRPr="00B8660A">
              <w:rPr>
                <w:rFonts w:asciiTheme="majorHAnsi" w:hAnsiTheme="majorHAnsi" w:cstheme="majorHAnsi"/>
                <w:lang w:val="en-GB"/>
              </w:rPr>
              <w:t xml:space="preserve"> Society facilitates the swapping of fashion items by means of an online website.</w:t>
            </w:r>
            <w:r w:rsidR="001F71DB" w:rsidRPr="00B8660A">
              <w:rPr>
                <w:rFonts w:asciiTheme="majorHAnsi" w:hAnsiTheme="majorHAnsi" w:cstheme="majorHAnsi"/>
                <w:lang w:val="en-GB"/>
              </w:rPr>
              <w:t xml:space="preserve"> (</w:t>
            </w:r>
            <w:hyperlink r:id="rId28" w:history="1">
              <w:r w:rsidR="001F71DB" w:rsidRPr="00B8660A">
                <w:rPr>
                  <w:rStyle w:val="Hyperlink"/>
                  <w:rFonts w:asciiTheme="majorHAnsi" w:hAnsiTheme="majorHAnsi" w:cstheme="majorHAnsi"/>
                  <w:lang w:val="en-GB"/>
                </w:rPr>
                <w:t>https://www.swapsociety.co/</w:t>
              </w:r>
            </w:hyperlink>
            <w:r w:rsidR="001F71DB"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31B6FFD2" w14:textId="73FA8C67" w:rsidR="00B9758F" w:rsidRPr="00B8660A" w:rsidRDefault="00DE5BF6" w:rsidP="009865D5">
            <w:pPr>
              <w:spacing w:line="360" w:lineRule="auto"/>
              <w:rPr>
                <w:rFonts w:asciiTheme="majorHAnsi" w:hAnsiTheme="majorHAnsi" w:cstheme="majorHAnsi"/>
                <w:lang w:val="en-GB"/>
              </w:rPr>
            </w:pPr>
            <w:r w:rsidRPr="00B8660A">
              <w:rPr>
                <w:rFonts w:asciiTheme="majorHAnsi" w:hAnsiTheme="majorHAnsi" w:cstheme="majorHAnsi"/>
                <w:lang w:val="en-GB"/>
              </w:rPr>
              <w:t>“Swap Society is an online clothing swap that makes it easy and affordable to mix up your wardrobe sustainably.”</w:t>
            </w:r>
            <w:r w:rsidR="002C0E25" w:rsidRPr="00B8660A">
              <w:rPr>
                <w:rFonts w:asciiTheme="majorHAnsi" w:hAnsiTheme="majorHAnsi" w:cstheme="majorHAnsi"/>
                <w:lang w:val="en-GB"/>
              </w:rPr>
              <w:t xml:space="preserve"> (</w:t>
            </w:r>
            <w:r w:rsidR="001F71DB" w:rsidRPr="00B8660A">
              <w:rPr>
                <w:rStyle w:val="Hyperlink"/>
                <w:rFonts w:asciiTheme="majorHAnsi" w:hAnsiTheme="majorHAnsi" w:cstheme="majorHAnsi"/>
                <w:lang w:val="en-GB"/>
              </w:rPr>
              <w:t>https://www.swapsociety.co/pages/about</w:t>
            </w:r>
            <w:r w:rsidR="002C0E25" w:rsidRPr="00B8660A">
              <w:rPr>
                <w:rFonts w:asciiTheme="majorHAnsi" w:hAnsiTheme="majorHAnsi" w:cstheme="majorHAnsi"/>
                <w:lang w:val="en-GB"/>
              </w:rPr>
              <w:t>)</w:t>
            </w:r>
          </w:p>
        </w:tc>
      </w:tr>
      <w:tr w:rsidR="001F71DB" w:rsidRPr="00B8660A" w14:paraId="0FD0516F" w14:textId="77777777" w:rsidTr="00EC15D9">
        <w:trPr>
          <w:jc w:val="center"/>
        </w:trPr>
        <w:tc>
          <w:tcPr>
            <w:tcW w:w="1751" w:type="pct"/>
            <w:shd w:val="clear" w:color="auto" w:fill="auto"/>
            <w:tcMar>
              <w:top w:w="100" w:type="dxa"/>
              <w:left w:w="100" w:type="dxa"/>
              <w:bottom w:w="100" w:type="dxa"/>
              <w:right w:w="100" w:type="dxa"/>
            </w:tcMar>
          </w:tcPr>
          <w:p w14:paraId="719F2C4A" w14:textId="668FF743" w:rsidR="00607520" w:rsidRPr="00B8660A" w:rsidRDefault="00F940BC" w:rsidP="009865D5">
            <w:pPr>
              <w:widowControl w:val="0"/>
              <w:pBdr>
                <w:top w:val="nil"/>
                <w:left w:val="nil"/>
                <w:bottom w:val="nil"/>
                <w:right w:val="nil"/>
                <w:between w:val="nil"/>
              </w:pBdr>
              <w:spacing w:line="360" w:lineRule="auto"/>
              <w:rPr>
                <w:rFonts w:asciiTheme="majorHAnsi" w:hAnsiTheme="majorHAnsi" w:cstheme="majorHAnsi"/>
                <w:lang w:val="en-GB"/>
              </w:rPr>
            </w:pPr>
            <w:r w:rsidRPr="00B8660A">
              <w:rPr>
                <w:rFonts w:asciiTheme="majorHAnsi" w:hAnsiTheme="majorHAnsi" w:cstheme="majorHAnsi"/>
                <w:lang w:val="en-GB"/>
              </w:rPr>
              <w:t>Skibörse sells new and second-hand winter sports equipment in several cities in Austria, Germany and Switzerland.</w:t>
            </w:r>
            <w:r w:rsidR="006F46C9" w:rsidRPr="00B8660A">
              <w:rPr>
                <w:rFonts w:asciiTheme="majorHAnsi" w:hAnsiTheme="majorHAnsi" w:cstheme="majorHAnsi"/>
                <w:lang w:val="en-GB"/>
              </w:rPr>
              <w:t xml:space="preserve"> (</w:t>
            </w:r>
            <w:hyperlink r:id="rId29" w:history="1">
              <w:r w:rsidR="006F46C9" w:rsidRPr="00B8660A">
                <w:rPr>
                  <w:rStyle w:val="Hyperlink"/>
                  <w:rFonts w:asciiTheme="majorHAnsi" w:hAnsiTheme="majorHAnsi" w:cstheme="majorHAnsi"/>
                  <w:lang w:val="en-GB"/>
                </w:rPr>
                <w:t>https://www.skiboerse.info/</w:t>
              </w:r>
            </w:hyperlink>
            <w:r w:rsidR="006F46C9"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63B8847F" w14:textId="4F705A3F" w:rsidR="00607520" w:rsidRPr="00B8660A" w:rsidRDefault="00F940BC" w:rsidP="009865D5">
            <w:pPr>
              <w:spacing w:line="360" w:lineRule="auto"/>
              <w:rPr>
                <w:rFonts w:asciiTheme="majorHAnsi" w:hAnsiTheme="majorHAnsi" w:cstheme="majorHAnsi"/>
                <w:lang w:val="en-GB"/>
              </w:rPr>
            </w:pPr>
            <w:r w:rsidRPr="00B8660A">
              <w:rPr>
                <w:rFonts w:asciiTheme="majorHAnsi" w:hAnsiTheme="majorHAnsi" w:cstheme="majorHAnsi"/>
                <w:lang w:val="en-GB"/>
              </w:rPr>
              <w:t>“New &amp; 2nd-hand ski, snowboard &amp; ski touring equipment as well as new winter clothing: top brands at strongly reduced prices</w:t>
            </w:r>
            <w:r w:rsidR="00C0562C" w:rsidRPr="00B8660A">
              <w:rPr>
                <w:rFonts w:asciiTheme="majorHAnsi" w:hAnsiTheme="majorHAnsi" w:cstheme="majorHAnsi"/>
                <w:lang w:val="en-GB"/>
              </w:rPr>
              <w:t>.</w:t>
            </w:r>
            <w:r w:rsidRPr="00B8660A">
              <w:rPr>
                <w:rFonts w:asciiTheme="majorHAnsi" w:hAnsiTheme="majorHAnsi" w:cstheme="majorHAnsi"/>
                <w:lang w:val="en-GB"/>
              </w:rPr>
              <w:t>”</w:t>
            </w:r>
            <w:r w:rsidR="006F46C9" w:rsidRPr="00B8660A">
              <w:rPr>
                <w:rFonts w:asciiTheme="majorHAnsi" w:hAnsiTheme="majorHAnsi" w:cstheme="majorHAnsi"/>
                <w:lang w:val="en-GB"/>
              </w:rPr>
              <w:t xml:space="preserve"> (</w:t>
            </w:r>
            <w:hyperlink r:id="rId30" w:history="1">
              <w:r w:rsidR="006F46C9" w:rsidRPr="00B8660A">
                <w:rPr>
                  <w:rStyle w:val="Hyperlink"/>
                  <w:rFonts w:asciiTheme="majorHAnsi" w:hAnsiTheme="majorHAnsi" w:cstheme="majorHAnsi"/>
                  <w:lang w:val="en-GB"/>
                </w:rPr>
                <w:t>https://www.skiboerse.info/</w:t>
              </w:r>
            </w:hyperlink>
            <w:r w:rsidR="006F46C9" w:rsidRPr="00B8660A">
              <w:rPr>
                <w:rFonts w:asciiTheme="majorHAnsi" w:hAnsiTheme="majorHAnsi" w:cstheme="majorHAnsi"/>
                <w:lang w:val="en-GB"/>
              </w:rPr>
              <w:t xml:space="preserve">) </w:t>
            </w:r>
          </w:p>
          <w:p w14:paraId="0272F93D" w14:textId="4666C96F" w:rsidR="00F940BC" w:rsidRPr="00B8660A" w:rsidRDefault="00F940BC" w:rsidP="009865D5">
            <w:pPr>
              <w:spacing w:line="360" w:lineRule="auto"/>
              <w:rPr>
                <w:rFonts w:asciiTheme="majorHAnsi" w:hAnsiTheme="majorHAnsi" w:cstheme="majorHAnsi"/>
                <w:lang w:val="en-GB"/>
              </w:rPr>
            </w:pPr>
          </w:p>
        </w:tc>
      </w:tr>
      <w:tr w:rsidR="001F71DB" w:rsidRPr="00B8660A" w14:paraId="05FD9810" w14:textId="77777777" w:rsidTr="00EC15D9">
        <w:trPr>
          <w:jc w:val="center"/>
        </w:trPr>
        <w:tc>
          <w:tcPr>
            <w:tcW w:w="1751" w:type="pct"/>
            <w:shd w:val="clear" w:color="auto" w:fill="auto"/>
            <w:tcMar>
              <w:top w:w="100" w:type="dxa"/>
              <w:left w:w="100" w:type="dxa"/>
              <w:bottom w:w="100" w:type="dxa"/>
              <w:right w:w="100" w:type="dxa"/>
            </w:tcMar>
          </w:tcPr>
          <w:p w14:paraId="45D0D29D" w14:textId="699C9B2F" w:rsidR="00607520" w:rsidRPr="00B8660A" w:rsidRDefault="00674B5C" w:rsidP="009865D5">
            <w:pPr>
              <w:widowControl w:val="0"/>
              <w:pBdr>
                <w:top w:val="nil"/>
                <w:left w:val="nil"/>
                <w:bottom w:val="nil"/>
                <w:right w:val="nil"/>
                <w:between w:val="nil"/>
              </w:pBdr>
              <w:spacing w:line="360" w:lineRule="auto"/>
              <w:rPr>
                <w:rFonts w:asciiTheme="majorHAnsi" w:hAnsiTheme="majorHAnsi" w:cstheme="majorHAnsi"/>
                <w:i/>
                <w:lang w:val="en-GB"/>
              </w:rPr>
            </w:pPr>
            <w:r w:rsidRPr="00B8660A">
              <w:rPr>
                <w:rFonts w:asciiTheme="majorHAnsi" w:hAnsiTheme="majorHAnsi" w:cstheme="majorHAnsi"/>
                <w:lang w:val="en-GB"/>
              </w:rPr>
              <w:t>Haverdash offers fashion rental services</w:t>
            </w:r>
            <w:r w:rsidR="00EC15D9" w:rsidRPr="00B8660A">
              <w:rPr>
                <w:rFonts w:asciiTheme="majorHAnsi" w:hAnsiTheme="majorHAnsi" w:cstheme="majorHAnsi"/>
                <w:lang w:val="en-GB"/>
              </w:rPr>
              <w:t xml:space="preserve"> by means of a digital platform.</w:t>
            </w:r>
            <w:r w:rsidR="006F46C9" w:rsidRPr="00B8660A">
              <w:rPr>
                <w:rFonts w:asciiTheme="majorHAnsi" w:hAnsiTheme="majorHAnsi" w:cstheme="majorHAnsi"/>
                <w:lang w:val="en-GB"/>
              </w:rPr>
              <w:t xml:space="preserve"> (</w:t>
            </w:r>
            <w:hyperlink r:id="rId31" w:history="1">
              <w:r w:rsidR="006F46C9" w:rsidRPr="00B8660A">
                <w:rPr>
                  <w:rStyle w:val="Hyperlink"/>
                  <w:rFonts w:asciiTheme="majorHAnsi" w:hAnsiTheme="majorHAnsi" w:cstheme="majorHAnsi"/>
                  <w:lang w:val="en-GB"/>
                </w:rPr>
                <w:t>https://www.haverdash.com/</w:t>
              </w:r>
            </w:hyperlink>
            <w:r w:rsidR="006F46C9" w:rsidRPr="00B8660A">
              <w:rPr>
                <w:rFonts w:asciiTheme="majorHAnsi" w:hAnsiTheme="majorHAnsi" w:cstheme="majorHAnsi"/>
                <w:lang w:val="en-GB"/>
              </w:rPr>
              <w:t xml:space="preserve">) </w:t>
            </w:r>
          </w:p>
        </w:tc>
        <w:tc>
          <w:tcPr>
            <w:tcW w:w="3249" w:type="pct"/>
            <w:shd w:val="clear" w:color="auto" w:fill="auto"/>
            <w:tcMar>
              <w:top w:w="100" w:type="dxa"/>
              <w:left w:w="100" w:type="dxa"/>
              <w:bottom w:w="100" w:type="dxa"/>
              <w:right w:w="100" w:type="dxa"/>
            </w:tcMar>
          </w:tcPr>
          <w:p w14:paraId="772C9FDB" w14:textId="28567480" w:rsidR="00B9758F" w:rsidRPr="00B8660A" w:rsidRDefault="00EC15D9" w:rsidP="009865D5">
            <w:pPr>
              <w:spacing w:line="360" w:lineRule="auto"/>
              <w:rPr>
                <w:rFonts w:asciiTheme="majorHAnsi" w:hAnsiTheme="majorHAnsi" w:cstheme="majorHAnsi"/>
                <w:lang w:val="en-GB"/>
              </w:rPr>
            </w:pPr>
            <w:r w:rsidRPr="00B8660A">
              <w:rPr>
                <w:rFonts w:asciiTheme="majorHAnsi" w:hAnsiTheme="majorHAnsi" w:cstheme="majorHAnsi"/>
                <w:lang w:val="en-GB"/>
              </w:rPr>
              <w:t>“Haverdash is the new, fun and easy way to get dressed. No more pressure to wear something multiple times and multiple ways. No more compromises between the practical and the fabulous. Experience all the new trends you’ve wanted to try, or the go-to-styles you love. Wear them once, or as many times as you like. Return them for something new, or keep them forever.</w:t>
            </w:r>
            <w:r w:rsidR="00674B5C" w:rsidRPr="00B8660A">
              <w:rPr>
                <w:rFonts w:asciiTheme="majorHAnsi" w:hAnsiTheme="majorHAnsi" w:cstheme="majorHAnsi"/>
                <w:lang w:val="en-GB"/>
              </w:rPr>
              <w:t>”</w:t>
            </w:r>
            <w:r w:rsidR="006F46C9" w:rsidRPr="00B8660A">
              <w:rPr>
                <w:rFonts w:asciiTheme="majorHAnsi" w:hAnsiTheme="majorHAnsi" w:cstheme="majorHAnsi"/>
                <w:lang w:val="en-GB"/>
              </w:rPr>
              <w:t xml:space="preserve"> (</w:t>
            </w:r>
            <w:hyperlink r:id="rId32" w:history="1">
              <w:r w:rsidR="006F46C9" w:rsidRPr="00B8660A">
                <w:rPr>
                  <w:rStyle w:val="Hyperlink"/>
                  <w:rFonts w:asciiTheme="majorHAnsi" w:hAnsiTheme="majorHAnsi" w:cstheme="majorHAnsi"/>
                  <w:lang w:val="en-GB"/>
                </w:rPr>
                <w:t>https://www.haverdash.com/pages/about-us</w:t>
              </w:r>
            </w:hyperlink>
            <w:r w:rsidR="006F46C9" w:rsidRPr="00B8660A">
              <w:rPr>
                <w:rFonts w:asciiTheme="majorHAnsi" w:hAnsiTheme="majorHAnsi" w:cstheme="majorHAnsi"/>
                <w:lang w:val="en-GB"/>
              </w:rPr>
              <w:t xml:space="preserve">) </w:t>
            </w:r>
          </w:p>
        </w:tc>
      </w:tr>
    </w:tbl>
    <w:p w14:paraId="767D125F" w14:textId="063B81A4" w:rsidR="00A565D7" w:rsidRPr="00B8660A" w:rsidRDefault="00A565D7" w:rsidP="00A565D7">
      <w:pPr>
        <w:spacing w:line="360" w:lineRule="auto"/>
        <w:jc w:val="both"/>
        <w:rPr>
          <w:rFonts w:asciiTheme="majorHAnsi" w:hAnsiTheme="majorHAnsi" w:cstheme="majorHAnsi"/>
          <w:lang w:val="en-GB"/>
        </w:rPr>
      </w:pPr>
      <w:r w:rsidRPr="00B8660A">
        <w:rPr>
          <w:rFonts w:asciiTheme="majorHAnsi" w:hAnsiTheme="majorHAnsi" w:cstheme="majorHAnsi"/>
          <w:i/>
          <w:lang w:val="en-GB"/>
        </w:rPr>
        <w:t>Note.</w:t>
      </w:r>
      <w:r w:rsidRPr="00B8660A">
        <w:rPr>
          <w:rFonts w:asciiTheme="majorHAnsi" w:hAnsiTheme="majorHAnsi" w:cstheme="majorHAnsi"/>
          <w:lang w:val="en-GB"/>
        </w:rPr>
        <w:t xml:space="preserve"> All websites </w:t>
      </w:r>
      <w:r w:rsidR="00084634" w:rsidRPr="00B8660A">
        <w:rPr>
          <w:rFonts w:asciiTheme="majorHAnsi" w:hAnsiTheme="majorHAnsi" w:cstheme="majorHAnsi"/>
          <w:lang w:val="en-GB"/>
        </w:rPr>
        <w:t>were</w:t>
      </w:r>
      <w:r w:rsidRPr="00B8660A">
        <w:rPr>
          <w:rFonts w:asciiTheme="majorHAnsi" w:hAnsiTheme="majorHAnsi" w:cstheme="majorHAnsi"/>
          <w:lang w:val="en-GB"/>
        </w:rPr>
        <w:t xml:space="preserve"> accessed on February </w:t>
      </w:r>
      <w:r w:rsidR="0018709E" w:rsidRPr="00B8660A">
        <w:rPr>
          <w:rFonts w:asciiTheme="majorHAnsi" w:hAnsiTheme="majorHAnsi" w:cstheme="majorHAnsi"/>
          <w:lang w:val="en-GB"/>
        </w:rPr>
        <w:t>9</w:t>
      </w:r>
      <w:r w:rsidRPr="00B8660A">
        <w:rPr>
          <w:rFonts w:asciiTheme="majorHAnsi" w:hAnsiTheme="majorHAnsi" w:cstheme="majorHAnsi"/>
          <w:lang w:val="en-GB"/>
        </w:rPr>
        <w:t>, 2023.</w:t>
      </w:r>
    </w:p>
    <w:p w14:paraId="0B22C2C1" w14:textId="77777777" w:rsidR="003F79DF" w:rsidRPr="00B8660A" w:rsidRDefault="003F79DF" w:rsidP="009865D5">
      <w:pPr>
        <w:spacing w:line="360" w:lineRule="auto"/>
        <w:jc w:val="both"/>
        <w:rPr>
          <w:rFonts w:asciiTheme="majorHAnsi" w:hAnsiTheme="majorHAnsi" w:cstheme="majorHAnsi"/>
          <w:lang w:val="en-GB"/>
        </w:rPr>
      </w:pPr>
    </w:p>
    <w:p w14:paraId="6CBF48E5" w14:textId="762C7303" w:rsidR="003F793F" w:rsidRPr="00B8660A" w:rsidRDefault="00607520"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With the help of a clear value proposition</w:t>
      </w:r>
      <w:r w:rsidR="00C42D67" w:rsidRPr="00B8660A">
        <w:rPr>
          <w:rFonts w:asciiTheme="majorHAnsi" w:hAnsiTheme="majorHAnsi" w:cstheme="majorHAnsi"/>
          <w:lang w:val="en-GB"/>
        </w:rPr>
        <w:t xml:space="preserve">, the engagement platform </w:t>
      </w:r>
      <w:r w:rsidRPr="00B8660A">
        <w:rPr>
          <w:rFonts w:asciiTheme="majorHAnsi" w:hAnsiTheme="majorHAnsi" w:cstheme="majorHAnsi"/>
          <w:lang w:val="en-GB"/>
        </w:rPr>
        <w:t>can set</w:t>
      </w:r>
      <w:r w:rsidR="00C42D67" w:rsidRPr="00B8660A">
        <w:rPr>
          <w:rFonts w:asciiTheme="majorHAnsi" w:hAnsiTheme="majorHAnsi" w:cstheme="majorHAnsi"/>
          <w:lang w:val="en-GB"/>
        </w:rPr>
        <w:t xml:space="preserve"> the expectations of actors who (intend to) engage with one another through this platform (Lepak et al. 2007; Wruk et al., 2019</w:t>
      </w:r>
      <w:r w:rsidR="009D0035" w:rsidRPr="00B8660A">
        <w:rPr>
          <w:rFonts w:asciiTheme="majorHAnsi" w:hAnsiTheme="majorHAnsi" w:cstheme="majorHAnsi"/>
          <w:lang w:val="en-GB"/>
        </w:rPr>
        <w:t>)</w:t>
      </w:r>
      <w:r w:rsidR="00C42D67" w:rsidRPr="00B8660A">
        <w:rPr>
          <w:rFonts w:asciiTheme="majorHAnsi" w:hAnsiTheme="majorHAnsi" w:cstheme="majorHAnsi"/>
          <w:lang w:val="en-GB"/>
        </w:rPr>
        <w:t xml:space="preserve">. </w:t>
      </w:r>
      <w:r w:rsidRPr="00B8660A">
        <w:rPr>
          <w:rFonts w:asciiTheme="majorHAnsi" w:hAnsiTheme="majorHAnsi" w:cstheme="majorHAnsi"/>
          <w:lang w:val="en-GB"/>
        </w:rPr>
        <w:t xml:space="preserve">Yet, engagement platforms need – in accordance with the Gaps Model </w:t>
      </w:r>
      <w:r w:rsidR="00390DC0" w:rsidRPr="00B8660A">
        <w:rPr>
          <w:rFonts w:asciiTheme="majorHAnsi" w:hAnsiTheme="majorHAnsi" w:cstheme="majorHAnsi"/>
          <w:lang w:val="en-GB"/>
        </w:rPr>
        <w:t xml:space="preserve">of </w:t>
      </w:r>
      <w:r w:rsidR="00390DC0" w:rsidRPr="00B8660A">
        <w:rPr>
          <w:rFonts w:asciiTheme="majorHAnsi" w:hAnsiTheme="majorHAnsi" w:cstheme="majorHAnsi"/>
          <w:shd w:val="clear" w:color="auto" w:fill="FFFFFF"/>
          <w:lang w:val="en-GB"/>
        </w:rPr>
        <w:t>Parasuraman et al.</w:t>
      </w:r>
      <w:r w:rsidR="00390DC0" w:rsidRPr="00B8660A">
        <w:rPr>
          <w:rFonts w:asciiTheme="majorHAnsi" w:hAnsiTheme="majorHAnsi" w:cstheme="majorHAnsi"/>
          <w:lang w:val="en-GB"/>
        </w:rPr>
        <w:t xml:space="preserve"> (1985) </w:t>
      </w:r>
      <w:r w:rsidRPr="00B8660A">
        <w:rPr>
          <w:rFonts w:asciiTheme="majorHAnsi" w:hAnsiTheme="majorHAnsi" w:cstheme="majorHAnsi"/>
          <w:lang w:val="en-GB"/>
        </w:rPr>
        <w:t xml:space="preserve">– </w:t>
      </w:r>
      <w:r w:rsidR="003F79DF" w:rsidRPr="00B8660A">
        <w:rPr>
          <w:rFonts w:asciiTheme="majorHAnsi" w:hAnsiTheme="majorHAnsi" w:cstheme="majorHAnsi"/>
          <w:lang w:val="en-GB"/>
        </w:rPr>
        <w:t xml:space="preserve">to </w:t>
      </w:r>
      <w:r w:rsidRPr="00B8660A">
        <w:rPr>
          <w:rFonts w:asciiTheme="majorHAnsi" w:hAnsiTheme="majorHAnsi" w:cstheme="majorHAnsi"/>
          <w:lang w:val="en-GB"/>
        </w:rPr>
        <w:t>make sure that the expected benefits of circular economy engagement are also perceived when engaging with the platform (</w:t>
      </w:r>
      <w:r w:rsidR="004D3FAD" w:rsidRPr="00B8660A">
        <w:rPr>
          <w:rFonts w:asciiTheme="majorHAnsi" w:hAnsiTheme="majorHAnsi" w:cstheme="majorHAnsi"/>
          <w:color w:val="222222"/>
          <w:shd w:val="clear" w:color="auto" w:fill="FFFFFF"/>
          <w:lang w:val="en-GB"/>
        </w:rPr>
        <w:t>Parasuraman</w:t>
      </w:r>
      <w:r w:rsidR="004D3FAD" w:rsidRPr="00B8660A">
        <w:rPr>
          <w:rFonts w:asciiTheme="majorHAnsi" w:hAnsiTheme="majorHAnsi" w:cstheme="majorHAnsi"/>
          <w:lang w:val="en-GB"/>
        </w:rPr>
        <w:t xml:space="preserve"> et al., 1985; </w:t>
      </w:r>
      <w:r w:rsidRPr="00B8660A">
        <w:rPr>
          <w:rFonts w:asciiTheme="majorHAnsi" w:hAnsiTheme="majorHAnsi" w:cstheme="majorHAnsi"/>
          <w:lang w:val="en-GB"/>
        </w:rPr>
        <w:t xml:space="preserve">Zeithaml et al., 1990). Put differently, when interacting with the </w:t>
      </w:r>
      <w:r w:rsidRPr="00B8660A">
        <w:rPr>
          <w:rFonts w:asciiTheme="majorHAnsi" w:hAnsiTheme="majorHAnsi" w:cstheme="majorHAnsi"/>
          <w:lang w:val="en-GB"/>
        </w:rPr>
        <w:lastRenderedPageBreak/>
        <w:t xml:space="preserve">engagement platform, it is important for actors to get the expected benefits. If not, a gap emerges between the expected and perceived benefits, which may have negative repercussions for the extent to which the platform achieves to engage its </w:t>
      </w:r>
      <w:r w:rsidR="00426262" w:rsidRPr="00B8660A">
        <w:rPr>
          <w:rFonts w:asciiTheme="majorHAnsi" w:hAnsiTheme="majorHAnsi" w:cstheme="majorHAnsi"/>
          <w:lang w:val="en-GB"/>
        </w:rPr>
        <w:t xml:space="preserve">consumers and </w:t>
      </w:r>
      <w:r w:rsidRPr="00B8660A">
        <w:rPr>
          <w:rFonts w:asciiTheme="majorHAnsi" w:hAnsiTheme="majorHAnsi" w:cstheme="majorHAnsi"/>
          <w:lang w:val="en-GB"/>
        </w:rPr>
        <w:t xml:space="preserve">providers in the long-run and hence can realize its economic, environmental, and/or </w:t>
      </w:r>
      <w:r w:rsidR="00AF3583" w:rsidRPr="00B8660A">
        <w:rPr>
          <w:rFonts w:asciiTheme="majorHAnsi" w:hAnsiTheme="majorHAnsi" w:cstheme="majorHAnsi"/>
          <w:lang w:val="en-GB"/>
        </w:rPr>
        <w:t>social</w:t>
      </w:r>
      <w:r w:rsidRPr="00B8660A">
        <w:rPr>
          <w:rFonts w:asciiTheme="majorHAnsi" w:hAnsiTheme="majorHAnsi" w:cstheme="majorHAnsi"/>
          <w:lang w:val="en-GB"/>
        </w:rPr>
        <w:t xml:space="preserve"> ambition. </w:t>
      </w:r>
      <w:r w:rsidR="003F79DF" w:rsidRPr="00B8660A">
        <w:rPr>
          <w:rFonts w:asciiTheme="majorHAnsi" w:hAnsiTheme="majorHAnsi" w:cstheme="majorHAnsi"/>
          <w:lang w:val="en-GB"/>
        </w:rPr>
        <w:t xml:space="preserve">Table 3 includes examples of consumer and provider reviews that indicate a match (respectively, mismatch) between the expected benefits </w:t>
      </w:r>
      <w:r w:rsidR="00D73D76" w:rsidRPr="00B8660A">
        <w:rPr>
          <w:rFonts w:asciiTheme="majorHAnsi" w:hAnsiTheme="majorHAnsi" w:cstheme="majorHAnsi"/>
          <w:lang w:val="en-GB"/>
        </w:rPr>
        <w:t>resulting from the value</w:t>
      </w:r>
      <w:r w:rsidR="003F79DF" w:rsidRPr="00B8660A">
        <w:rPr>
          <w:rFonts w:asciiTheme="majorHAnsi" w:hAnsiTheme="majorHAnsi" w:cstheme="majorHAnsi"/>
          <w:lang w:val="en-GB"/>
        </w:rPr>
        <w:t xml:space="preserve"> proposition and the perceived benefits</w:t>
      </w:r>
      <w:r w:rsidR="00D73D76" w:rsidRPr="00B8660A">
        <w:rPr>
          <w:rFonts w:asciiTheme="majorHAnsi" w:hAnsiTheme="majorHAnsi" w:cstheme="majorHAnsi"/>
          <w:lang w:val="en-GB"/>
        </w:rPr>
        <w:t xml:space="preserve"> resulting from</w:t>
      </w:r>
      <w:r w:rsidR="003F79DF" w:rsidRPr="00B8660A">
        <w:rPr>
          <w:rFonts w:asciiTheme="majorHAnsi" w:hAnsiTheme="majorHAnsi" w:cstheme="majorHAnsi"/>
          <w:lang w:val="en-GB"/>
        </w:rPr>
        <w:t xml:space="preserve"> the experience.</w:t>
      </w:r>
    </w:p>
    <w:p w14:paraId="3660CFCD" w14:textId="77777777" w:rsidR="00441870" w:rsidRPr="00B8660A" w:rsidRDefault="00441870" w:rsidP="009865D5">
      <w:pPr>
        <w:spacing w:line="360" w:lineRule="auto"/>
        <w:jc w:val="both"/>
        <w:rPr>
          <w:rFonts w:asciiTheme="majorHAnsi" w:hAnsiTheme="majorHAnsi" w:cstheme="majorHAnsi"/>
          <w:lang w:val="en-GB"/>
        </w:rPr>
      </w:pPr>
    </w:p>
    <w:p w14:paraId="5076AE5F" w14:textId="2DFB4DE2" w:rsidR="00274726" w:rsidRPr="00B8660A" w:rsidRDefault="00274726" w:rsidP="009865D5">
      <w:pPr>
        <w:spacing w:line="360" w:lineRule="auto"/>
        <w:jc w:val="center"/>
        <w:rPr>
          <w:rFonts w:asciiTheme="majorHAnsi" w:eastAsia="Times New Roman" w:hAnsiTheme="majorHAnsi" w:cstheme="majorHAnsi"/>
          <w:lang w:val="en-GB"/>
        </w:rPr>
      </w:pPr>
      <w:r w:rsidRPr="00B8660A">
        <w:rPr>
          <w:rFonts w:asciiTheme="majorHAnsi" w:eastAsia="Times New Roman" w:hAnsiTheme="majorHAnsi" w:cstheme="majorHAnsi"/>
          <w:i/>
          <w:iCs/>
          <w:color w:val="000000"/>
          <w:lang w:val="en-GB"/>
        </w:rPr>
        <w:t xml:space="preserve">Table </w:t>
      </w:r>
      <w:r w:rsidR="003F79DF" w:rsidRPr="00B8660A">
        <w:rPr>
          <w:rFonts w:asciiTheme="majorHAnsi" w:eastAsia="Times New Roman" w:hAnsiTheme="majorHAnsi" w:cstheme="majorHAnsi"/>
          <w:i/>
          <w:iCs/>
          <w:color w:val="000000"/>
          <w:lang w:val="en-GB"/>
        </w:rPr>
        <w:t>3</w:t>
      </w:r>
      <w:r w:rsidRPr="00B8660A">
        <w:rPr>
          <w:rFonts w:asciiTheme="majorHAnsi" w:eastAsia="Times New Roman" w:hAnsiTheme="majorHAnsi" w:cstheme="majorHAnsi"/>
          <w:i/>
          <w:iCs/>
          <w:color w:val="000000"/>
          <w:lang w:val="en-GB"/>
        </w:rPr>
        <w:t xml:space="preserve"> </w:t>
      </w:r>
      <w:r w:rsidR="00AC6703" w:rsidRPr="00B8660A">
        <w:rPr>
          <w:rFonts w:asciiTheme="majorHAnsi" w:hAnsiTheme="majorHAnsi" w:cstheme="majorHAnsi"/>
          <w:lang w:val="en-GB"/>
        </w:rPr>
        <w:t>–</w:t>
      </w:r>
      <w:r w:rsidRPr="00B8660A">
        <w:rPr>
          <w:rFonts w:asciiTheme="majorHAnsi" w:eastAsia="Times New Roman" w:hAnsiTheme="majorHAnsi" w:cstheme="majorHAnsi"/>
          <w:i/>
          <w:iCs/>
          <w:color w:val="000000"/>
          <w:lang w:val="en-GB"/>
        </w:rPr>
        <w:t xml:space="preserve"> Expected and/or perceived benefits in return for circular economy engagement</w:t>
      </w:r>
    </w:p>
    <w:tbl>
      <w:tblPr>
        <w:tblW w:w="0" w:type="auto"/>
        <w:tblCellMar>
          <w:top w:w="15" w:type="dxa"/>
          <w:left w:w="15" w:type="dxa"/>
          <w:bottom w:w="15" w:type="dxa"/>
          <w:right w:w="15" w:type="dxa"/>
        </w:tblCellMar>
        <w:tblLook w:val="04A0" w:firstRow="1" w:lastRow="0" w:firstColumn="1" w:lastColumn="0" w:noHBand="0" w:noVBand="1"/>
      </w:tblPr>
      <w:tblGrid>
        <w:gridCol w:w="3028"/>
        <w:gridCol w:w="3179"/>
        <w:gridCol w:w="3179"/>
      </w:tblGrid>
      <w:tr w:rsidR="00947B16" w:rsidRPr="00B8660A" w14:paraId="0C48BEED" w14:textId="77777777" w:rsidTr="00E90A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C4B13" w14:textId="77777777" w:rsidR="00274726" w:rsidRPr="00B8660A" w:rsidRDefault="00274726" w:rsidP="009865D5">
            <w:pPr>
              <w:spacing w:line="360" w:lineRule="auto"/>
              <w:rPr>
                <w:rFonts w:asciiTheme="majorHAnsi" w:eastAsia="Times New Roman" w:hAnsiTheme="majorHAnsi" w:cstheme="majorHAnsi"/>
                <w:lang w:val="en-GB"/>
              </w:rPr>
            </w:pPr>
            <w:r w:rsidRPr="00B8660A">
              <w:rPr>
                <w:rFonts w:asciiTheme="majorHAnsi" w:eastAsia="Times New Roman" w:hAnsiTheme="majorHAnsi" w:cstheme="majorHAnsi"/>
                <w:b/>
                <w:bCs/>
                <w:lang w:val="en-GB"/>
              </w:rPr>
              <w:t>Value proposition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6C804" w14:textId="4B82E0DC" w:rsidR="00953B68" w:rsidRPr="00B8660A" w:rsidRDefault="00953B68" w:rsidP="009865D5">
            <w:pPr>
              <w:spacing w:line="360" w:lineRule="auto"/>
              <w:rPr>
                <w:rFonts w:asciiTheme="majorHAnsi" w:eastAsia="Times New Roman" w:hAnsiTheme="majorHAnsi" w:cstheme="majorHAnsi"/>
                <w:b/>
                <w:bCs/>
                <w:lang w:val="en-GB"/>
              </w:rPr>
            </w:pPr>
            <w:r w:rsidRPr="00B8660A">
              <w:rPr>
                <w:rFonts w:asciiTheme="majorHAnsi" w:eastAsia="Times New Roman" w:hAnsiTheme="majorHAnsi" w:cstheme="majorHAnsi"/>
                <w:b/>
                <w:bCs/>
                <w:lang w:val="en-GB"/>
              </w:rPr>
              <w:t>V</w:t>
            </w:r>
            <w:r w:rsidR="00274726" w:rsidRPr="00B8660A">
              <w:rPr>
                <w:rFonts w:asciiTheme="majorHAnsi" w:eastAsia="Times New Roman" w:hAnsiTheme="majorHAnsi" w:cstheme="majorHAnsi"/>
                <w:b/>
                <w:bCs/>
                <w:lang w:val="en-GB"/>
              </w:rPr>
              <w:t xml:space="preserve">alue </w:t>
            </w:r>
            <w:r w:rsidRPr="00B8660A">
              <w:rPr>
                <w:rFonts w:asciiTheme="majorHAnsi" w:eastAsia="Times New Roman" w:hAnsiTheme="majorHAnsi" w:cstheme="majorHAnsi"/>
                <w:b/>
                <w:bCs/>
                <w:lang w:val="en-GB"/>
              </w:rPr>
              <w:t xml:space="preserve">proposition </w:t>
            </w:r>
            <w:r w:rsidR="00274726" w:rsidRPr="00B8660A">
              <w:rPr>
                <w:rFonts w:asciiTheme="majorHAnsi" w:eastAsia="Times New Roman" w:hAnsiTheme="majorHAnsi" w:cstheme="majorHAnsi"/>
                <w:b/>
                <w:bCs/>
                <w:lang w:val="en-GB"/>
              </w:rPr>
              <w:t xml:space="preserve">perceived </w:t>
            </w:r>
          </w:p>
          <w:p w14:paraId="16A91808" w14:textId="66876C68" w:rsidR="00274726" w:rsidRPr="00B8660A" w:rsidRDefault="00274726" w:rsidP="009865D5">
            <w:pPr>
              <w:spacing w:line="360" w:lineRule="auto"/>
              <w:rPr>
                <w:rFonts w:asciiTheme="majorHAnsi" w:eastAsia="Times New Roman" w:hAnsiTheme="majorHAnsi" w:cstheme="majorHAnsi"/>
                <w:lang w:val="en-GB"/>
              </w:rPr>
            </w:pPr>
            <w:r w:rsidRPr="00B8660A">
              <w:rPr>
                <w:rFonts w:asciiTheme="majorHAnsi" w:eastAsia="Times New Roman" w:hAnsiTheme="majorHAnsi" w:cstheme="majorHAnsi"/>
                <w:b/>
                <w:bCs/>
                <w:lang w:val="en-GB"/>
              </w:rPr>
              <w:t>by 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E924B" w14:textId="77777777" w:rsidR="00953B68" w:rsidRPr="00B8660A" w:rsidRDefault="00953B68" w:rsidP="009865D5">
            <w:pPr>
              <w:spacing w:line="360" w:lineRule="auto"/>
              <w:rPr>
                <w:rFonts w:asciiTheme="majorHAnsi" w:eastAsia="Times New Roman" w:hAnsiTheme="majorHAnsi" w:cstheme="majorHAnsi"/>
                <w:b/>
                <w:bCs/>
                <w:lang w:val="en-GB"/>
              </w:rPr>
            </w:pPr>
            <w:r w:rsidRPr="00B8660A">
              <w:rPr>
                <w:rFonts w:asciiTheme="majorHAnsi" w:eastAsia="Times New Roman" w:hAnsiTheme="majorHAnsi" w:cstheme="majorHAnsi"/>
                <w:b/>
                <w:bCs/>
                <w:lang w:val="en-GB"/>
              </w:rPr>
              <w:t xml:space="preserve">Value proposition </w:t>
            </w:r>
          </w:p>
          <w:p w14:paraId="74E17E19" w14:textId="4F02AE04" w:rsidR="00953B68" w:rsidRPr="00B8660A" w:rsidRDefault="00274726" w:rsidP="009865D5">
            <w:pPr>
              <w:spacing w:line="360" w:lineRule="auto"/>
              <w:rPr>
                <w:rFonts w:asciiTheme="majorHAnsi" w:eastAsia="Times New Roman" w:hAnsiTheme="majorHAnsi" w:cstheme="majorHAnsi"/>
                <w:b/>
                <w:bCs/>
                <w:lang w:val="en-GB"/>
              </w:rPr>
            </w:pPr>
            <w:r w:rsidRPr="00B8660A">
              <w:rPr>
                <w:rFonts w:asciiTheme="majorHAnsi" w:eastAsia="Times New Roman" w:hAnsiTheme="majorHAnsi" w:cstheme="majorHAnsi"/>
                <w:b/>
                <w:bCs/>
                <w:lang w:val="en-GB"/>
              </w:rPr>
              <w:t xml:space="preserve">not perceived </w:t>
            </w:r>
          </w:p>
          <w:p w14:paraId="700BB5C2" w14:textId="728F0C8D" w:rsidR="00274726" w:rsidRPr="00B8660A" w:rsidRDefault="00274726" w:rsidP="009865D5">
            <w:pPr>
              <w:spacing w:line="360" w:lineRule="auto"/>
              <w:rPr>
                <w:rFonts w:asciiTheme="majorHAnsi" w:eastAsia="Times New Roman" w:hAnsiTheme="majorHAnsi" w:cstheme="majorHAnsi"/>
                <w:lang w:val="en-GB"/>
              </w:rPr>
            </w:pPr>
            <w:r w:rsidRPr="00B8660A">
              <w:rPr>
                <w:rFonts w:asciiTheme="majorHAnsi" w:eastAsia="Times New Roman" w:hAnsiTheme="majorHAnsi" w:cstheme="majorHAnsi"/>
                <w:b/>
                <w:bCs/>
                <w:lang w:val="en-GB"/>
              </w:rPr>
              <w:t>by actor</w:t>
            </w:r>
          </w:p>
        </w:tc>
      </w:tr>
      <w:tr w:rsidR="00947B16" w:rsidRPr="00B8660A" w14:paraId="06F1AAF5" w14:textId="77777777" w:rsidTr="00E90A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9F6EA" w14:textId="3C199275" w:rsidR="002F5043" w:rsidRPr="00B8660A" w:rsidRDefault="002F5043" w:rsidP="009865D5">
            <w:pPr>
              <w:spacing w:line="360" w:lineRule="auto"/>
              <w:rPr>
                <w:rFonts w:asciiTheme="majorHAnsi" w:hAnsiTheme="majorHAnsi" w:cstheme="majorHAnsi"/>
                <w:lang w:val="en-GB"/>
              </w:rPr>
            </w:pPr>
            <w:r w:rsidRPr="00B8660A">
              <w:rPr>
                <w:rFonts w:asciiTheme="majorHAnsi" w:hAnsiTheme="majorHAnsi" w:cstheme="majorHAnsi"/>
                <w:lang w:val="en-GB"/>
              </w:rPr>
              <w:t>Refurbed is an online marketplace for refurbished electronic devices. Refurbed stresses several advantages, among others, Like new, only better [cf., pragmatic benefits]; Up to 40% cheaper [cf., economic benefits]; and 100% more sustainable [cf., environmental benefits].</w:t>
            </w:r>
            <w:r w:rsidR="00EE5CEA" w:rsidRPr="00B8660A">
              <w:rPr>
                <w:rFonts w:asciiTheme="majorHAnsi" w:hAnsiTheme="majorHAnsi" w:cstheme="majorHAnsi"/>
                <w:lang w:val="en-GB"/>
              </w:rPr>
              <w:t xml:space="preserve"> </w:t>
            </w:r>
            <w:r w:rsidR="00B86A44" w:rsidRPr="00B8660A">
              <w:rPr>
                <w:rFonts w:asciiTheme="majorHAnsi" w:hAnsiTheme="majorHAnsi" w:cstheme="majorHAnsi"/>
                <w:lang w:val="en-GB"/>
              </w:rPr>
              <w:t>(</w:t>
            </w:r>
            <w:hyperlink r:id="rId33" w:history="1">
              <w:r w:rsidR="00B86A44" w:rsidRPr="00B8660A">
                <w:rPr>
                  <w:rStyle w:val="Hyperlink"/>
                  <w:rFonts w:asciiTheme="majorHAnsi" w:hAnsiTheme="majorHAnsi" w:cstheme="majorHAnsi"/>
                  <w:lang w:val="en-GB"/>
                </w:rPr>
                <w:t>https://www.refurbed.ie/</w:t>
              </w:r>
            </w:hyperlink>
            <w:r w:rsidR="00B86A44" w:rsidRPr="00B8660A">
              <w:rPr>
                <w:rFonts w:asciiTheme="majorHAnsi" w:hAnsiTheme="majorHAnsi" w:cstheme="majorHAnsi"/>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59F25" w14:textId="643ADE6C" w:rsidR="002F5043" w:rsidRPr="00B8660A" w:rsidRDefault="00E83924" w:rsidP="009865D5">
            <w:pPr>
              <w:spacing w:line="360" w:lineRule="auto"/>
              <w:rPr>
                <w:rFonts w:asciiTheme="majorHAnsi" w:hAnsiTheme="majorHAnsi" w:cstheme="majorHAnsi"/>
                <w:lang w:val="en-GB"/>
              </w:rPr>
            </w:pPr>
            <w:r w:rsidRPr="00B8660A">
              <w:rPr>
                <w:rFonts w:asciiTheme="majorHAnsi" w:hAnsiTheme="majorHAnsi" w:cstheme="majorHAnsi"/>
                <w:lang w:val="en-GB"/>
              </w:rPr>
              <w:t xml:space="preserve">Consumer </w:t>
            </w:r>
            <w:r w:rsidR="00597CD7" w:rsidRPr="00B8660A">
              <w:rPr>
                <w:rFonts w:asciiTheme="majorHAnsi" w:hAnsiTheme="majorHAnsi" w:cstheme="majorHAnsi"/>
                <w:lang w:val="en-GB"/>
              </w:rPr>
              <w:t xml:space="preserve">review </w:t>
            </w:r>
            <w:r w:rsidRPr="00B8660A">
              <w:rPr>
                <w:rFonts w:asciiTheme="majorHAnsi" w:hAnsiTheme="majorHAnsi" w:cstheme="majorHAnsi"/>
                <w:lang w:val="en-GB"/>
              </w:rPr>
              <w:t>on Trustpilot (</w:t>
            </w:r>
            <w:r w:rsidR="00597CD7" w:rsidRPr="00B8660A">
              <w:rPr>
                <w:rFonts w:asciiTheme="majorHAnsi" w:hAnsiTheme="majorHAnsi" w:cstheme="majorHAnsi"/>
                <w:lang w:val="en-GB"/>
              </w:rPr>
              <w:t>January 27, 2023</w:t>
            </w:r>
            <w:r w:rsidRPr="00B8660A">
              <w:rPr>
                <w:rFonts w:asciiTheme="majorHAnsi" w:hAnsiTheme="majorHAnsi" w:cstheme="majorHAnsi"/>
                <w:lang w:val="en-GB"/>
              </w:rPr>
              <w:t>)</w:t>
            </w:r>
            <w:r w:rsidR="00597CD7" w:rsidRPr="00B8660A">
              <w:rPr>
                <w:rFonts w:asciiTheme="majorHAnsi" w:hAnsiTheme="majorHAnsi" w:cstheme="majorHAnsi"/>
                <w:lang w:val="en-GB"/>
              </w:rPr>
              <w:t xml:space="preserve">: </w:t>
            </w:r>
            <w:r w:rsidR="002F5043" w:rsidRPr="00B8660A">
              <w:rPr>
                <w:rFonts w:asciiTheme="majorHAnsi" w:hAnsiTheme="majorHAnsi" w:cstheme="majorHAnsi"/>
                <w:lang w:val="en-GB"/>
              </w:rPr>
              <w:t>“Ordered two iPhones for myself and my wife, price was very competitive [cf., economic benefits], arrived quite quickly, was very impressed with the quality and condition of the iPhone that I bought [cf., pragmatic benefits].</w:t>
            </w:r>
          </w:p>
          <w:p w14:paraId="3F02112D" w14:textId="0D93F473" w:rsidR="002F5043" w:rsidRPr="00B8660A" w:rsidRDefault="002F5043" w:rsidP="00586CA4">
            <w:pPr>
              <w:spacing w:line="360" w:lineRule="auto"/>
              <w:rPr>
                <w:rFonts w:asciiTheme="majorHAnsi" w:eastAsia="Times New Roman" w:hAnsiTheme="majorHAnsi" w:cstheme="majorHAnsi"/>
                <w:b/>
                <w:bCs/>
                <w:lang w:val="en-GB"/>
              </w:rPr>
            </w:pPr>
            <w:r w:rsidRPr="00B8660A">
              <w:rPr>
                <w:rFonts w:asciiTheme="majorHAnsi" w:hAnsiTheme="majorHAnsi" w:cstheme="majorHAnsi"/>
                <w:lang w:val="en-GB"/>
              </w:rPr>
              <w:t>Finally I subscribe to the idea of sustainability that’s why I buy from Refurbed [cf., environmental benefits]. [...]”</w:t>
            </w:r>
            <w:r w:rsidR="00586CA4" w:rsidRPr="00B8660A">
              <w:rPr>
                <w:rFonts w:asciiTheme="majorHAnsi" w:hAnsiTheme="majorHAnsi" w:cstheme="majorHAnsi"/>
                <w:lang w:val="en-GB"/>
              </w:rPr>
              <w:t xml:space="preserve"> </w:t>
            </w:r>
            <w:r w:rsidR="00D65FC7" w:rsidRPr="00B8660A">
              <w:rPr>
                <w:rFonts w:asciiTheme="majorHAnsi" w:hAnsiTheme="majorHAnsi" w:cstheme="majorHAnsi"/>
                <w:lang w:val="en-GB"/>
              </w:rPr>
              <w:t>(</w:t>
            </w:r>
            <w:hyperlink r:id="rId34" w:history="1">
              <w:r w:rsidR="00D65FC7" w:rsidRPr="00B8660A">
                <w:rPr>
                  <w:rStyle w:val="Hyperlink"/>
                  <w:rFonts w:asciiTheme="majorHAnsi" w:hAnsiTheme="majorHAnsi" w:cstheme="majorHAnsi"/>
                  <w:lang w:val="en-GB"/>
                </w:rPr>
                <w:t>https://www.trustpilot.com/</w:t>
              </w:r>
            </w:hyperlink>
            <w:r w:rsidR="00D65FC7" w:rsidRPr="00B8660A">
              <w:rPr>
                <w:rFonts w:asciiTheme="majorHAnsi" w:hAnsiTheme="majorHAnsi" w:cstheme="majorHAnsi"/>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9BE98" w14:textId="27745FD6" w:rsidR="002F5043" w:rsidRPr="00B8660A" w:rsidRDefault="00E83924" w:rsidP="00586CA4">
            <w:pPr>
              <w:spacing w:line="360" w:lineRule="auto"/>
              <w:rPr>
                <w:rFonts w:asciiTheme="majorHAnsi" w:eastAsia="Times New Roman" w:hAnsiTheme="majorHAnsi" w:cstheme="majorHAnsi"/>
                <w:b/>
                <w:bCs/>
                <w:lang w:val="en-GB"/>
              </w:rPr>
            </w:pPr>
            <w:r w:rsidRPr="00B8660A">
              <w:rPr>
                <w:rFonts w:asciiTheme="majorHAnsi" w:hAnsiTheme="majorHAnsi" w:cstheme="majorHAnsi"/>
                <w:lang w:val="en-GB"/>
              </w:rPr>
              <w:t xml:space="preserve">Consumer </w:t>
            </w:r>
            <w:r w:rsidR="00D65FC7" w:rsidRPr="00B8660A">
              <w:rPr>
                <w:rFonts w:asciiTheme="majorHAnsi" w:hAnsiTheme="majorHAnsi" w:cstheme="majorHAnsi"/>
                <w:lang w:val="en-GB"/>
              </w:rPr>
              <w:t xml:space="preserve">review on </w:t>
            </w:r>
            <w:r w:rsidRPr="00B8660A">
              <w:rPr>
                <w:rFonts w:asciiTheme="majorHAnsi" w:hAnsiTheme="majorHAnsi" w:cstheme="majorHAnsi"/>
                <w:lang w:val="en-GB"/>
              </w:rPr>
              <w:t>Trustpilot (</w:t>
            </w:r>
            <w:r w:rsidR="00D65FC7" w:rsidRPr="00B8660A">
              <w:rPr>
                <w:rFonts w:asciiTheme="majorHAnsi" w:hAnsiTheme="majorHAnsi" w:cstheme="majorHAnsi"/>
                <w:lang w:val="en-GB"/>
              </w:rPr>
              <w:t>December 16, 2022</w:t>
            </w:r>
            <w:r w:rsidRPr="00B8660A">
              <w:rPr>
                <w:rFonts w:asciiTheme="majorHAnsi" w:hAnsiTheme="majorHAnsi" w:cstheme="majorHAnsi"/>
                <w:lang w:val="en-GB"/>
              </w:rPr>
              <w:t>)</w:t>
            </w:r>
            <w:r w:rsidR="00D65FC7" w:rsidRPr="00B8660A">
              <w:rPr>
                <w:rFonts w:asciiTheme="majorHAnsi" w:hAnsiTheme="majorHAnsi" w:cstheme="majorHAnsi"/>
                <w:lang w:val="en-GB"/>
              </w:rPr>
              <w:t xml:space="preserve">: </w:t>
            </w:r>
            <w:r w:rsidR="002F5043" w:rsidRPr="00B8660A">
              <w:rPr>
                <w:rFonts w:asciiTheme="majorHAnsi" w:hAnsiTheme="majorHAnsi" w:cstheme="majorHAnsi"/>
                <w:lang w:val="en-GB"/>
              </w:rPr>
              <w:t>“[...] The glue job is pretty poor and one can clearly see that it’s not original [cf., pragmatic benefits]. For 560€ I just don’t feel like I got what it should be [cf., economic benefits] and then a 1 year warranty feels risky. Not for me. Honestly I think spending a bit more is ultimately more sustainable than this [cf., environmental benefits].”</w:t>
            </w:r>
            <w:r w:rsidR="00586CA4" w:rsidRPr="00B8660A">
              <w:rPr>
                <w:rFonts w:asciiTheme="majorHAnsi" w:hAnsiTheme="majorHAnsi" w:cstheme="majorHAnsi"/>
                <w:lang w:val="en-GB"/>
              </w:rPr>
              <w:t xml:space="preserve"> </w:t>
            </w:r>
            <w:r w:rsidR="00D65FC7" w:rsidRPr="00B8660A">
              <w:rPr>
                <w:rFonts w:asciiTheme="majorHAnsi" w:hAnsiTheme="majorHAnsi" w:cstheme="majorHAnsi"/>
                <w:lang w:val="en-GB"/>
              </w:rPr>
              <w:t>(</w:t>
            </w:r>
            <w:hyperlink r:id="rId35" w:history="1">
              <w:r w:rsidR="00D65FC7" w:rsidRPr="00B8660A">
                <w:rPr>
                  <w:rStyle w:val="Hyperlink"/>
                  <w:rFonts w:asciiTheme="majorHAnsi" w:hAnsiTheme="majorHAnsi" w:cstheme="majorHAnsi"/>
                  <w:lang w:val="en-GB"/>
                </w:rPr>
                <w:t>https://www.trustpilot.com/</w:t>
              </w:r>
            </w:hyperlink>
            <w:r w:rsidR="00D65FC7" w:rsidRPr="00B8660A">
              <w:rPr>
                <w:rFonts w:asciiTheme="majorHAnsi" w:hAnsiTheme="majorHAnsi" w:cstheme="majorHAnsi"/>
                <w:lang w:val="en-GB"/>
              </w:rPr>
              <w:t>)</w:t>
            </w:r>
          </w:p>
        </w:tc>
      </w:tr>
      <w:tr w:rsidR="00947B16" w:rsidRPr="00B8660A" w14:paraId="59602D93" w14:textId="77777777" w:rsidTr="00E90A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663B9" w14:textId="74F2FC14" w:rsidR="00632831" w:rsidRPr="00B8660A" w:rsidRDefault="00274726" w:rsidP="009865D5">
            <w:pPr>
              <w:spacing w:line="360" w:lineRule="auto"/>
              <w:rPr>
                <w:rFonts w:asciiTheme="majorHAnsi" w:hAnsiTheme="majorHAnsi" w:cstheme="majorHAnsi"/>
                <w:lang w:val="en-GB"/>
              </w:rPr>
            </w:pPr>
            <w:r w:rsidRPr="00B8660A">
              <w:rPr>
                <w:rFonts w:asciiTheme="majorHAnsi" w:hAnsiTheme="majorHAnsi" w:cstheme="majorHAnsi"/>
                <w:lang w:val="en-GB"/>
              </w:rPr>
              <w:t xml:space="preserve">Tred is an online marketplace that facilitates </w:t>
            </w:r>
            <w:r w:rsidR="00EA0113" w:rsidRPr="00B8660A">
              <w:rPr>
                <w:rFonts w:asciiTheme="majorHAnsi" w:hAnsiTheme="majorHAnsi" w:cstheme="majorHAnsi"/>
                <w:lang w:val="en-GB"/>
              </w:rPr>
              <w:t>the buying and selling of used cars</w:t>
            </w:r>
            <w:r w:rsidRPr="00B8660A">
              <w:rPr>
                <w:rFonts w:asciiTheme="majorHAnsi" w:hAnsiTheme="majorHAnsi" w:cstheme="majorHAnsi"/>
                <w:lang w:val="en-GB"/>
              </w:rPr>
              <w:t xml:space="preserve">. On its website, Tred stresses </w:t>
            </w:r>
            <w:r w:rsidR="00135244" w:rsidRPr="00B8660A">
              <w:rPr>
                <w:rFonts w:asciiTheme="majorHAnsi" w:hAnsiTheme="majorHAnsi" w:cstheme="majorHAnsi"/>
                <w:lang w:val="en-GB"/>
              </w:rPr>
              <w:t xml:space="preserve">several elements of value for </w:t>
            </w:r>
            <w:r w:rsidRPr="00B8660A">
              <w:rPr>
                <w:rFonts w:asciiTheme="majorHAnsi" w:hAnsiTheme="majorHAnsi" w:cstheme="majorHAnsi"/>
                <w:lang w:val="en-GB"/>
              </w:rPr>
              <w:t xml:space="preserve">individual </w:t>
            </w:r>
            <w:r w:rsidRPr="00B8660A">
              <w:rPr>
                <w:rFonts w:asciiTheme="majorHAnsi" w:hAnsiTheme="majorHAnsi" w:cstheme="majorHAnsi"/>
                <w:lang w:val="en-GB"/>
              </w:rPr>
              <w:lastRenderedPageBreak/>
              <w:t>car sellers</w:t>
            </w:r>
            <w:r w:rsidR="00135244" w:rsidRPr="00B8660A">
              <w:rPr>
                <w:rFonts w:asciiTheme="majorHAnsi" w:hAnsiTheme="majorHAnsi" w:cstheme="majorHAnsi"/>
                <w:lang w:val="en-GB"/>
              </w:rPr>
              <w:t xml:space="preserve">, among others, </w:t>
            </w:r>
            <w:r w:rsidRPr="00B8660A">
              <w:rPr>
                <w:rFonts w:asciiTheme="majorHAnsi" w:hAnsiTheme="majorHAnsi" w:cstheme="majorHAnsi"/>
                <w:lang w:val="en-GB"/>
              </w:rPr>
              <w:t xml:space="preserve">more money </w:t>
            </w:r>
            <w:r w:rsidR="00EA0113" w:rsidRPr="00B8660A">
              <w:rPr>
                <w:rFonts w:asciiTheme="majorHAnsi" w:hAnsiTheme="majorHAnsi" w:cstheme="majorHAnsi"/>
                <w:lang w:val="en-GB"/>
              </w:rPr>
              <w:t xml:space="preserve">[cf., economic benefits] </w:t>
            </w:r>
            <w:r w:rsidRPr="00B8660A">
              <w:rPr>
                <w:rFonts w:asciiTheme="majorHAnsi" w:hAnsiTheme="majorHAnsi" w:cstheme="majorHAnsi"/>
                <w:lang w:val="en-GB"/>
              </w:rPr>
              <w:t>and a simple process</w:t>
            </w:r>
            <w:r w:rsidR="00EA0113" w:rsidRPr="00B8660A">
              <w:rPr>
                <w:rFonts w:asciiTheme="majorHAnsi" w:hAnsiTheme="majorHAnsi" w:cstheme="majorHAnsi"/>
                <w:lang w:val="en-GB"/>
              </w:rPr>
              <w:t xml:space="preserve"> [cf., pragmatic benefits]</w:t>
            </w:r>
            <w:r w:rsidRPr="00B8660A">
              <w:rPr>
                <w:rFonts w:asciiTheme="majorHAnsi" w:hAnsiTheme="majorHAnsi" w:cstheme="majorHAnsi"/>
                <w:lang w:val="en-GB"/>
              </w:rPr>
              <w:t>. </w:t>
            </w:r>
            <w:r w:rsidR="007D1560" w:rsidRPr="00B8660A">
              <w:rPr>
                <w:rFonts w:asciiTheme="majorHAnsi" w:hAnsiTheme="majorHAnsi" w:cstheme="majorHAnsi"/>
                <w:lang w:val="en-GB"/>
              </w:rPr>
              <w:t>(</w:t>
            </w:r>
            <w:hyperlink r:id="rId36" w:history="1">
              <w:r w:rsidR="007D1560" w:rsidRPr="00B8660A">
                <w:rPr>
                  <w:rStyle w:val="Hyperlink"/>
                  <w:rFonts w:asciiTheme="majorHAnsi" w:hAnsiTheme="majorHAnsi" w:cstheme="majorHAnsi"/>
                  <w:lang w:val="en-GB"/>
                </w:rPr>
                <w:t>https://www.tred.com/</w:t>
              </w:r>
            </w:hyperlink>
            <w:r w:rsidR="007D1560" w:rsidRPr="00B8660A">
              <w:rPr>
                <w:rFonts w:asciiTheme="majorHAnsi" w:hAnsiTheme="majorHAnsi" w:cstheme="majorHAnsi"/>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E862B" w14:textId="368D5688" w:rsidR="00274726" w:rsidRPr="00B8660A" w:rsidRDefault="00E83924" w:rsidP="00586CA4">
            <w:pPr>
              <w:spacing w:line="360" w:lineRule="auto"/>
              <w:rPr>
                <w:rFonts w:asciiTheme="majorHAnsi" w:hAnsiTheme="majorHAnsi" w:cstheme="majorHAnsi"/>
                <w:lang w:val="en-GB"/>
              </w:rPr>
            </w:pPr>
            <w:r w:rsidRPr="00B8660A">
              <w:rPr>
                <w:rFonts w:asciiTheme="majorHAnsi" w:hAnsiTheme="majorHAnsi" w:cstheme="majorHAnsi"/>
                <w:lang w:val="en-GB"/>
              </w:rPr>
              <w:lastRenderedPageBreak/>
              <w:t xml:space="preserve">Provider review on </w:t>
            </w:r>
            <w:r w:rsidR="00D65FC7" w:rsidRPr="00B8660A">
              <w:rPr>
                <w:rFonts w:asciiTheme="majorHAnsi" w:hAnsiTheme="majorHAnsi" w:cstheme="majorHAnsi"/>
                <w:lang w:val="en-GB"/>
              </w:rPr>
              <w:t xml:space="preserve">ConsumerAffairs </w:t>
            </w:r>
            <w:r w:rsidRPr="00B8660A">
              <w:rPr>
                <w:rFonts w:asciiTheme="majorHAnsi" w:hAnsiTheme="majorHAnsi" w:cstheme="majorHAnsi"/>
                <w:lang w:val="en-GB"/>
              </w:rPr>
              <w:t>(</w:t>
            </w:r>
            <w:r w:rsidR="00D65FC7" w:rsidRPr="00B8660A">
              <w:rPr>
                <w:rFonts w:asciiTheme="majorHAnsi" w:hAnsiTheme="majorHAnsi" w:cstheme="majorHAnsi"/>
                <w:lang w:val="en-GB"/>
              </w:rPr>
              <w:t>July 21, 2020</w:t>
            </w:r>
            <w:r w:rsidRPr="00B8660A">
              <w:rPr>
                <w:rFonts w:asciiTheme="majorHAnsi" w:hAnsiTheme="majorHAnsi" w:cstheme="majorHAnsi"/>
                <w:lang w:val="en-GB"/>
              </w:rPr>
              <w:t>)</w:t>
            </w:r>
            <w:r w:rsidR="00D65FC7" w:rsidRPr="00B8660A">
              <w:rPr>
                <w:rFonts w:asciiTheme="majorHAnsi" w:hAnsiTheme="majorHAnsi" w:cstheme="majorHAnsi"/>
                <w:lang w:val="en-GB"/>
              </w:rPr>
              <w:t xml:space="preserve">: </w:t>
            </w:r>
            <w:r w:rsidR="00274726" w:rsidRPr="00B8660A">
              <w:rPr>
                <w:rFonts w:asciiTheme="majorHAnsi" w:hAnsiTheme="majorHAnsi" w:cstheme="majorHAnsi"/>
                <w:lang w:val="en-GB"/>
              </w:rPr>
              <w:t>“I have now sold two vehicles through TRED.com and been able to get top dollar for them</w:t>
            </w:r>
            <w:r w:rsidR="00EA0113" w:rsidRPr="00B8660A">
              <w:rPr>
                <w:rFonts w:asciiTheme="majorHAnsi" w:hAnsiTheme="majorHAnsi" w:cstheme="majorHAnsi"/>
                <w:lang w:val="en-GB"/>
              </w:rPr>
              <w:t xml:space="preserve"> </w:t>
            </w:r>
            <w:r w:rsidR="00EA0113" w:rsidRPr="00B8660A">
              <w:rPr>
                <w:rFonts w:asciiTheme="majorHAnsi" w:hAnsiTheme="majorHAnsi" w:cstheme="majorHAnsi"/>
                <w:lang w:val="en-GB"/>
              </w:rPr>
              <w:lastRenderedPageBreak/>
              <w:t>[cf., economic benefits]</w:t>
            </w:r>
            <w:r w:rsidR="00274726" w:rsidRPr="00B8660A">
              <w:rPr>
                <w:rFonts w:asciiTheme="majorHAnsi" w:hAnsiTheme="majorHAnsi" w:cstheme="majorHAnsi"/>
                <w:lang w:val="en-GB"/>
              </w:rPr>
              <w:t>. The website is extremely easy to use, features you in several different advertisements and even provides the carfax report</w:t>
            </w:r>
            <w:r w:rsidR="00FD2E4C" w:rsidRPr="00B8660A">
              <w:rPr>
                <w:rFonts w:asciiTheme="majorHAnsi" w:hAnsiTheme="majorHAnsi" w:cstheme="majorHAnsi"/>
                <w:lang w:val="en-GB"/>
              </w:rPr>
              <w:t xml:space="preserve"> [cf., pragmatic benefits]</w:t>
            </w:r>
            <w:r w:rsidR="00274726" w:rsidRPr="00B8660A">
              <w:rPr>
                <w:rFonts w:asciiTheme="majorHAnsi" w:hAnsiTheme="majorHAnsi" w:cstheme="majorHAnsi"/>
                <w:lang w:val="en-GB"/>
              </w:rPr>
              <w:t>. Once your vehicle sells they handle all of the lien and DMV paperwork for you! The service fee is extremely reasonable. I will definitely use them again. Thank you TRED!”</w:t>
            </w:r>
            <w:r w:rsidR="00D65FC7" w:rsidRPr="00B8660A">
              <w:rPr>
                <w:rFonts w:asciiTheme="majorHAnsi" w:hAnsiTheme="majorHAnsi" w:cstheme="majorHAnsi"/>
                <w:lang w:val="en-GB"/>
              </w:rPr>
              <w:t xml:space="preserve"> (</w:t>
            </w:r>
            <w:hyperlink r:id="rId37" w:history="1">
              <w:r w:rsidR="00D65FC7" w:rsidRPr="00B8660A">
                <w:rPr>
                  <w:rStyle w:val="Hyperlink"/>
                  <w:rFonts w:asciiTheme="majorHAnsi" w:hAnsiTheme="majorHAnsi" w:cstheme="majorHAnsi"/>
                  <w:lang w:val="en-GB"/>
                </w:rPr>
                <w:t>https://www.consumeraffairs.com/</w:t>
              </w:r>
            </w:hyperlink>
            <w:r w:rsidR="00D65FC7" w:rsidRPr="00B8660A">
              <w:rPr>
                <w:rFonts w:asciiTheme="majorHAnsi" w:hAnsiTheme="majorHAnsi" w:cstheme="majorHAnsi"/>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E109E" w14:textId="63733B6C" w:rsidR="00632831" w:rsidRPr="00B8660A" w:rsidRDefault="00E83924" w:rsidP="00586CA4">
            <w:pPr>
              <w:spacing w:line="360" w:lineRule="auto"/>
              <w:rPr>
                <w:rFonts w:asciiTheme="majorHAnsi" w:hAnsiTheme="majorHAnsi" w:cstheme="majorHAnsi"/>
                <w:lang w:val="en-GB"/>
              </w:rPr>
            </w:pPr>
            <w:r w:rsidRPr="00B8660A">
              <w:rPr>
                <w:rFonts w:asciiTheme="majorHAnsi" w:hAnsiTheme="majorHAnsi" w:cstheme="majorHAnsi"/>
                <w:lang w:val="en-GB"/>
              </w:rPr>
              <w:lastRenderedPageBreak/>
              <w:t>Provid</w:t>
            </w:r>
            <w:r w:rsidR="00B8660A">
              <w:rPr>
                <w:rFonts w:asciiTheme="majorHAnsi" w:hAnsiTheme="majorHAnsi" w:cstheme="majorHAnsi"/>
                <w:lang w:val="en-GB"/>
              </w:rPr>
              <w:t>e</w:t>
            </w:r>
            <w:r w:rsidRPr="00B8660A">
              <w:rPr>
                <w:rFonts w:asciiTheme="majorHAnsi" w:hAnsiTheme="majorHAnsi" w:cstheme="majorHAnsi"/>
                <w:lang w:val="en-GB"/>
              </w:rPr>
              <w:t xml:space="preserve">r review on </w:t>
            </w:r>
            <w:r w:rsidR="00D65FC7" w:rsidRPr="00B8660A">
              <w:rPr>
                <w:rFonts w:asciiTheme="majorHAnsi" w:hAnsiTheme="majorHAnsi" w:cstheme="majorHAnsi"/>
                <w:lang w:val="en-GB"/>
              </w:rPr>
              <w:t xml:space="preserve">ConsumerAffairs </w:t>
            </w:r>
            <w:r w:rsidRPr="00B8660A">
              <w:rPr>
                <w:rFonts w:asciiTheme="majorHAnsi" w:hAnsiTheme="majorHAnsi" w:cstheme="majorHAnsi"/>
                <w:lang w:val="en-GB"/>
              </w:rPr>
              <w:t>(</w:t>
            </w:r>
            <w:r w:rsidR="00D65FC7" w:rsidRPr="00B8660A">
              <w:rPr>
                <w:rFonts w:asciiTheme="majorHAnsi" w:hAnsiTheme="majorHAnsi" w:cstheme="majorHAnsi"/>
                <w:lang w:val="en-GB"/>
              </w:rPr>
              <w:t>June 5, 2020</w:t>
            </w:r>
            <w:r w:rsidRPr="00B8660A">
              <w:rPr>
                <w:rFonts w:asciiTheme="majorHAnsi" w:hAnsiTheme="majorHAnsi" w:cstheme="majorHAnsi"/>
                <w:lang w:val="en-GB"/>
              </w:rPr>
              <w:t>)</w:t>
            </w:r>
            <w:r w:rsidR="00D65FC7" w:rsidRPr="00B8660A">
              <w:rPr>
                <w:rFonts w:asciiTheme="majorHAnsi" w:hAnsiTheme="majorHAnsi" w:cstheme="majorHAnsi"/>
                <w:lang w:val="en-GB"/>
              </w:rPr>
              <w:t xml:space="preserve">: </w:t>
            </w:r>
            <w:r w:rsidR="006C37F0" w:rsidRPr="00B8660A">
              <w:rPr>
                <w:rFonts w:asciiTheme="majorHAnsi" w:hAnsiTheme="majorHAnsi" w:cstheme="majorHAnsi"/>
                <w:lang w:val="en-GB"/>
              </w:rPr>
              <w:t xml:space="preserve">“Attempted to use their services to sell my vehicle. Paid the initial $19.00. Their listings generated </w:t>
            </w:r>
            <w:r w:rsidR="006C37F0" w:rsidRPr="00B8660A">
              <w:rPr>
                <w:rFonts w:asciiTheme="majorHAnsi" w:hAnsiTheme="majorHAnsi" w:cstheme="majorHAnsi"/>
                <w:lang w:val="en-GB"/>
              </w:rPr>
              <w:lastRenderedPageBreak/>
              <w:t>very little interest</w:t>
            </w:r>
            <w:r w:rsidR="00FD2E4C" w:rsidRPr="00B8660A">
              <w:rPr>
                <w:rFonts w:asciiTheme="majorHAnsi" w:hAnsiTheme="majorHAnsi" w:cstheme="majorHAnsi"/>
                <w:lang w:val="en-GB"/>
              </w:rPr>
              <w:t xml:space="preserve"> [cf., pragmatic benefits]</w:t>
            </w:r>
            <w:r w:rsidR="006C37F0" w:rsidRPr="00B8660A">
              <w:rPr>
                <w:rFonts w:asciiTheme="majorHAnsi" w:hAnsiTheme="majorHAnsi" w:cstheme="majorHAnsi"/>
                <w:lang w:val="en-GB"/>
              </w:rPr>
              <w:t>. Their portal never gave me a trade in amount for the vehicle as they had advertised</w:t>
            </w:r>
            <w:r w:rsidR="00EA0113" w:rsidRPr="00B8660A">
              <w:rPr>
                <w:rFonts w:asciiTheme="majorHAnsi" w:hAnsiTheme="majorHAnsi" w:cstheme="majorHAnsi"/>
                <w:lang w:val="en-GB"/>
              </w:rPr>
              <w:t xml:space="preserve"> [cf., economic benefits]</w:t>
            </w:r>
            <w:r w:rsidR="00FD2E4C" w:rsidRPr="00B8660A">
              <w:rPr>
                <w:rFonts w:asciiTheme="majorHAnsi" w:hAnsiTheme="majorHAnsi" w:cstheme="majorHAnsi"/>
                <w:lang w:val="en-GB"/>
              </w:rPr>
              <w:t>. […]</w:t>
            </w:r>
            <w:r w:rsidR="006C37F0" w:rsidRPr="00B8660A">
              <w:rPr>
                <w:rFonts w:asciiTheme="majorHAnsi" w:hAnsiTheme="majorHAnsi" w:cstheme="majorHAnsi"/>
                <w:lang w:val="en-GB"/>
              </w:rPr>
              <w:t>”</w:t>
            </w:r>
            <w:r w:rsidR="00D65FC7" w:rsidRPr="00B8660A">
              <w:rPr>
                <w:rFonts w:asciiTheme="majorHAnsi" w:hAnsiTheme="majorHAnsi" w:cstheme="majorHAnsi"/>
                <w:lang w:val="en-GB"/>
              </w:rPr>
              <w:t xml:space="preserve"> (</w:t>
            </w:r>
            <w:hyperlink r:id="rId38" w:history="1">
              <w:r w:rsidR="00D65FC7" w:rsidRPr="00B8660A">
                <w:rPr>
                  <w:rStyle w:val="Hyperlink"/>
                  <w:rFonts w:asciiTheme="majorHAnsi" w:hAnsiTheme="majorHAnsi" w:cstheme="majorHAnsi"/>
                  <w:lang w:val="en-GB"/>
                </w:rPr>
                <w:t>https://www.consumeraffairs.com/</w:t>
              </w:r>
            </w:hyperlink>
            <w:r w:rsidR="00D65FC7" w:rsidRPr="00B8660A">
              <w:rPr>
                <w:rFonts w:asciiTheme="majorHAnsi" w:hAnsiTheme="majorHAnsi" w:cstheme="majorHAnsi"/>
                <w:lang w:val="en-GB"/>
              </w:rPr>
              <w:t xml:space="preserve">) </w:t>
            </w:r>
          </w:p>
        </w:tc>
      </w:tr>
      <w:tr w:rsidR="00947B16" w:rsidRPr="00B8660A" w14:paraId="10EDD99F" w14:textId="77777777" w:rsidTr="00E90A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6E33C" w14:textId="7E48EB28" w:rsidR="002F5043" w:rsidRPr="00B8660A" w:rsidRDefault="002F5043" w:rsidP="009865D5">
            <w:pPr>
              <w:spacing w:line="360" w:lineRule="auto"/>
              <w:rPr>
                <w:rFonts w:asciiTheme="majorHAnsi" w:hAnsiTheme="majorHAnsi" w:cstheme="majorHAnsi"/>
                <w:lang w:val="en-GB"/>
              </w:rPr>
            </w:pPr>
            <w:r w:rsidRPr="00B8660A">
              <w:rPr>
                <w:rFonts w:asciiTheme="majorHAnsi" w:hAnsiTheme="majorHAnsi" w:cstheme="majorHAnsi"/>
                <w:lang w:val="en-GB"/>
              </w:rPr>
              <w:lastRenderedPageBreak/>
              <w:t>Haverdash offers fashion rental services. Haverdash introduces itself as “Haverdash is the new, fun [cf., hedonic benefits] and easy [cf., pragmatic benefits] way to get dressed. […] Experience all the new trends you’ve wanted to try, or the go-to-styles you love [cf., cognitive benefits]. Wear them once, or as many times as you like. Return them for something new, or keep them forever.”</w:t>
            </w:r>
            <w:r w:rsidR="00B86A44" w:rsidRPr="00B8660A">
              <w:rPr>
                <w:rFonts w:asciiTheme="majorHAnsi" w:hAnsiTheme="majorHAnsi" w:cstheme="majorHAnsi"/>
                <w:lang w:val="en-GB"/>
              </w:rPr>
              <w:t xml:space="preserve"> (</w:t>
            </w:r>
            <w:hyperlink r:id="rId39" w:history="1">
              <w:r w:rsidR="00B86A44" w:rsidRPr="00B8660A">
                <w:rPr>
                  <w:rStyle w:val="Hyperlink"/>
                  <w:rFonts w:asciiTheme="majorHAnsi" w:hAnsiTheme="majorHAnsi" w:cstheme="majorHAnsi"/>
                  <w:lang w:val="en-GB"/>
                </w:rPr>
                <w:t>https://www.haverdash.com/</w:t>
              </w:r>
            </w:hyperlink>
            <w:r w:rsidR="00B86A44" w:rsidRPr="00B8660A">
              <w:rPr>
                <w:rFonts w:asciiTheme="majorHAnsi" w:hAnsiTheme="majorHAnsi" w:cstheme="majorHAnsi"/>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86A36" w14:textId="56BB7BE5" w:rsidR="002F5043" w:rsidRPr="00B8660A" w:rsidRDefault="00E83924" w:rsidP="00586CA4">
            <w:pPr>
              <w:spacing w:line="360" w:lineRule="auto"/>
              <w:rPr>
                <w:rFonts w:asciiTheme="majorHAnsi" w:hAnsiTheme="majorHAnsi" w:cstheme="majorHAnsi"/>
                <w:lang w:val="en-GB"/>
              </w:rPr>
            </w:pPr>
            <w:r w:rsidRPr="00B8660A">
              <w:rPr>
                <w:rFonts w:asciiTheme="majorHAnsi" w:eastAsia="Times New Roman" w:hAnsiTheme="majorHAnsi" w:cstheme="majorHAnsi"/>
                <w:lang w:val="en-GB"/>
              </w:rPr>
              <w:t xml:space="preserve">Consumer review on </w:t>
            </w:r>
            <w:r w:rsidR="00D65FC7" w:rsidRPr="00B8660A">
              <w:rPr>
                <w:rFonts w:asciiTheme="majorHAnsi" w:eastAsia="Times New Roman" w:hAnsiTheme="majorHAnsi" w:cstheme="majorHAnsi"/>
                <w:lang w:val="en-GB"/>
              </w:rPr>
              <w:t xml:space="preserve">Trustpilot </w:t>
            </w:r>
            <w:r w:rsidRPr="00B8660A">
              <w:rPr>
                <w:rFonts w:asciiTheme="majorHAnsi" w:eastAsia="Times New Roman" w:hAnsiTheme="majorHAnsi" w:cstheme="majorHAnsi"/>
                <w:lang w:val="en-GB"/>
              </w:rPr>
              <w:t>(</w:t>
            </w:r>
            <w:r w:rsidR="00D65FC7" w:rsidRPr="00B8660A">
              <w:rPr>
                <w:rFonts w:asciiTheme="majorHAnsi" w:eastAsia="Times New Roman" w:hAnsiTheme="majorHAnsi" w:cstheme="majorHAnsi"/>
                <w:lang w:val="en-GB"/>
              </w:rPr>
              <w:t xml:space="preserve">September 12, 2019): </w:t>
            </w:r>
            <w:r w:rsidR="002F5043" w:rsidRPr="00B8660A">
              <w:rPr>
                <w:rFonts w:asciiTheme="majorHAnsi" w:hAnsiTheme="majorHAnsi" w:cstheme="majorHAnsi"/>
                <w:lang w:val="en-GB"/>
              </w:rPr>
              <w:t>“[...] What a great experience to receive fun [cf., hedonic benefits], fashion-forward clothing options [cf., cognitive benefits] in a hassle-free renting experience [cf., pragmatic benefits]. Lots of seasonally appropriate options updated regularly- wow! I get lots of compliments [cf., personal benefits] and lots more ladies asking ‘is that a rental!?’ YES, it is! And I’m proud of it!!”</w:t>
            </w:r>
            <w:r w:rsidR="00D65FC7" w:rsidRPr="00B8660A">
              <w:rPr>
                <w:rFonts w:asciiTheme="majorHAnsi" w:hAnsiTheme="majorHAnsi" w:cstheme="majorHAnsi"/>
                <w:lang w:val="en-GB"/>
              </w:rPr>
              <w:t xml:space="preserve"> (</w:t>
            </w:r>
            <w:hyperlink r:id="rId40" w:history="1">
              <w:r w:rsidR="00D65FC7" w:rsidRPr="00B8660A">
                <w:rPr>
                  <w:rStyle w:val="Hyperlink"/>
                  <w:rFonts w:asciiTheme="majorHAnsi" w:hAnsiTheme="majorHAnsi" w:cstheme="majorHAnsi"/>
                  <w:lang w:val="en-GB"/>
                </w:rPr>
                <w:t>https://www.trustpilot.com/</w:t>
              </w:r>
            </w:hyperlink>
            <w:r w:rsidR="00D65FC7" w:rsidRPr="00B8660A">
              <w:rPr>
                <w:rFonts w:asciiTheme="majorHAnsi" w:hAnsiTheme="majorHAnsi" w:cstheme="majorHAnsi"/>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F654B" w14:textId="718CDBFA" w:rsidR="002F5043" w:rsidRPr="00B8660A" w:rsidRDefault="00E83924" w:rsidP="00586CA4">
            <w:pPr>
              <w:spacing w:line="360" w:lineRule="auto"/>
              <w:rPr>
                <w:rFonts w:asciiTheme="majorHAnsi" w:hAnsiTheme="majorHAnsi" w:cstheme="majorHAnsi"/>
                <w:lang w:val="en-GB"/>
              </w:rPr>
            </w:pPr>
            <w:r w:rsidRPr="00B8660A">
              <w:rPr>
                <w:rFonts w:asciiTheme="majorHAnsi" w:hAnsiTheme="majorHAnsi" w:cstheme="majorHAnsi"/>
                <w:lang w:val="en-GB"/>
              </w:rPr>
              <w:t xml:space="preserve">Consumer review on </w:t>
            </w:r>
            <w:r w:rsidR="00D65FC7" w:rsidRPr="00B8660A">
              <w:rPr>
                <w:rFonts w:asciiTheme="majorHAnsi" w:hAnsiTheme="majorHAnsi" w:cstheme="majorHAnsi"/>
                <w:lang w:val="en-GB"/>
              </w:rPr>
              <w:t>Trustpilot rev</w:t>
            </w:r>
            <w:r w:rsidRPr="00B8660A">
              <w:rPr>
                <w:rFonts w:asciiTheme="majorHAnsi" w:hAnsiTheme="majorHAnsi" w:cstheme="majorHAnsi"/>
                <w:lang w:val="en-GB"/>
              </w:rPr>
              <w:t>(</w:t>
            </w:r>
            <w:r w:rsidR="00D65FC7" w:rsidRPr="00B8660A">
              <w:rPr>
                <w:rFonts w:asciiTheme="majorHAnsi" w:hAnsiTheme="majorHAnsi" w:cstheme="majorHAnsi"/>
                <w:lang w:val="en-GB"/>
              </w:rPr>
              <w:t>January 21, 2020</w:t>
            </w:r>
            <w:r w:rsidRPr="00B8660A">
              <w:rPr>
                <w:rFonts w:asciiTheme="majorHAnsi" w:hAnsiTheme="majorHAnsi" w:cstheme="majorHAnsi"/>
                <w:lang w:val="en-GB"/>
              </w:rPr>
              <w:t>)</w:t>
            </w:r>
            <w:r w:rsidR="00D65FC7" w:rsidRPr="00B8660A">
              <w:rPr>
                <w:rFonts w:asciiTheme="majorHAnsi" w:hAnsiTheme="majorHAnsi" w:cstheme="majorHAnsi"/>
                <w:lang w:val="en-GB"/>
              </w:rPr>
              <w:t xml:space="preserve">: </w:t>
            </w:r>
            <w:r w:rsidR="002F5043" w:rsidRPr="00B8660A">
              <w:rPr>
                <w:rFonts w:asciiTheme="majorHAnsi" w:hAnsiTheme="majorHAnsi" w:cstheme="majorHAnsi"/>
                <w:lang w:val="en-GB"/>
              </w:rPr>
              <w:t xml:space="preserve">“So many things...The clothes are not very good quality [cf., pragmatic benefits]. The selection is awful, AWFUL. Very similar items could be purchased for cheaper than it cost to rent them from stores like Forever 21 or Target [cf., economic benefits]. </w:t>
            </w:r>
            <w:r w:rsidR="008A08E7" w:rsidRPr="00B8660A">
              <w:rPr>
                <w:rFonts w:asciiTheme="majorHAnsi" w:hAnsiTheme="majorHAnsi" w:cstheme="majorHAnsi"/>
                <w:lang w:val="en-GB"/>
              </w:rPr>
              <w:t>[…]</w:t>
            </w:r>
            <w:r w:rsidR="002F5043" w:rsidRPr="00B8660A">
              <w:rPr>
                <w:rFonts w:asciiTheme="majorHAnsi" w:hAnsiTheme="majorHAnsi" w:cstheme="majorHAnsi"/>
                <w:lang w:val="en-GB"/>
              </w:rPr>
              <w:t xml:space="preserve"> I was excited about this, what a bummer [cf., hedonic benefits]! [...]”</w:t>
            </w:r>
            <w:r w:rsidR="00D65FC7" w:rsidRPr="00B8660A">
              <w:rPr>
                <w:rFonts w:asciiTheme="majorHAnsi" w:hAnsiTheme="majorHAnsi" w:cstheme="majorHAnsi"/>
                <w:lang w:val="en-GB"/>
              </w:rPr>
              <w:t xml:space="preserve"> (</w:t>
            </w:r>
            <w:hyperlink r:id="rId41" w:history="1">
              <w:r w:rsidR="00D65FC7" w:rsidRPr="00B8660A">
                <w:rPr>
                  <w:rStyle w:val="Hyperlink"/>
                  <w:rFonts w:asciiTheme="majorHAnsi" w:hAnsiTheme="majorHAnsi" w:cstheme="majorHAnsi"/>
                  <w:lang w:val="en-GB"/>
                </w:rPr>
                <w:t>https://www.trustpilot.com/</w:t>
              </w:r>
            </w:hyperlink>
            <w:r w:rsidR="00D65FC7" w:rsidRPr="00B8660A">
              <w:rPr>
                <w:rFonts w:asciiTheme="majorHAnsi" w:hAnsiTheme="majorHAnsi" w:cstheme="majorHAnsi"/>
                <w:lang w:val="en-GB"/>
              </w:rPr>
              <w:t>)</w:t>
            </w:r>
          </w:p>
        </w:tc>
      </w:tr>
    </w:tbl>
    <w:p w14:paraId="203240D2" w14:textId="56B62367" w:rsidR="00D6093E" w:rsidRPr="00B8660A" w:rsidRDefault="00D6093E" w:rsidP="00D6093E">
      <w:pPr>
        <w:spacing w:line="360" w:lineRule="auto"/>
        <w:jc w:val="both"/>
        <w:rPr>
          <w:rFonts w:asciiTheme="majorHAnsi" w:hAnsiTheme="majorHAnsi" w:cstheme="majorHAnsi"/>
          <w:lang w:val="en-GB"/>
        </w:rPr>
      </w:pPr>
      <w:r w:rsidRPr="00B8660A">
        <w:rPr>
          <w:rFonts w:asciiTheme="majorHAnsi" w:hAnsiTheme="majorHAnsi" w:cstheme="majorHAnsi"/>
          <w:i/>
          <w:lang w:val="en-GB"/>
        </w:rPr>
        <w:t>Note.</w:t>
      </w:r>
      <w:r w:rsidRPr="00B8660A">
        <w:rPr>
          <w:rFonts w:asciiTheme="majorHAnsi" w:hAnsiTheme="majorHAnsi" w:cstheme="majorHAnsi"/>
          <w:lang w:val="en-GB"/>
        </w:rPr>
        <w:t xml:space="preserve"> All websites </w:t>
      </w:r>
      <w:r w:rsidR="00084634" w:rsidRPr="00B8660A">
        <w:rPr>
          <w:rFonts w:asciiTheme="majorHAnsi" w:hAnsiTheme="majorHAnsi" w:cstheme="majorHAnsi"/>
          <w:lang w:val="en-GB"/>
        </w:rPr>
        <w:t>were</w:t>
      </w:r>
      <w:r w:rsidRPr="00B8660A">
        <w:rPr>
          <w:rFonts w:asciiTheme="majorHAnsi" w:hAnsiTheme="majorHAnsi" w:cstheme="majorHAnsi"/>
          <w:lang w:val="en-GB"/>
        </w:rPr>
        <w:t xml:space="preserve"> accessed on February 9, 2023.</w:t>
      </w:r>
    </w:p>
    <w:p w14:paraId="3DA4CD6C" w14:textId="77777777" w:rsidR="003F793F" w:rsidRPr="00B8660A" w:rsidRDefault="003F793F" w:rsidP="009865D5">
      <w:pPr>
        <w:spacing w:line="360" w:lineRule="auto"/>
        <w:jc w:val="both"/>
        <w:rPr>
          <w:rFonts w:asciiTheme="majorHAnsi" w:hAnsiTheme="majorHAnsi" w:cstheme="majorHAnsi"/>
          <w:lang w:val="en-GB"/>
        </w:rPr>
      </w:pPr>
    </w:p>
    <w:p w14:paraId="76698717" w14:textId="77E91A5E" w:rsidR="003F793F" w:rsidRPr="00B8660A" w:rsidRDefault="00607520" w:rsidP="000729A2">
      <w:pPr>
        <w:spacing w:line="360" w:lineRule="auto"/>
        <w:jc w:val="both"/>
        <w:rPr>
          <w:rFonts w:asciiTheme="majorHAnsi" w:hAnsiTheme="majorHAnsi" w:cstheme="majorHAnsi"/>
          <w:b/>
          <w:lang w:val="en-GB"/>
        </w:rPr>
      </w:pPr>
      <w:r w:rsidRPr="00B8660A">
        <w:rPr>
          <w:rFonts w:asciiTheme="majorHAnsi" w:hAnsiTheme="majorHAnsi" w:cstheme="majorHAnsi"/>
          <w:b/>
          <w:lang w:val="en-GB"/>
        </w:rPr>
        <w:lastRenderedPageBreak/>
        <w:t>Towards more engaging platforms in the transition to a circular economy</w:t>
      </w:r>
    </w:p>
    <w:p w14:paraId="49707BE9" w14:textId="77777777" w:rsidR="00607520" w:rsidRPr="00B8660A" w:rsidRDefault="00607520" w:rsidP="009865D5">
      <w:pPr>
        <w:spacing w:line="360" w:lineRule="auto"/>
        <w:jc w:val="both"/>
        <w:rPr>
          <w:rFonts w:asciiTheme="majorHAnsi" w:hAnsiTheme="majorHAnsi" w:cstheme="majorHAnsi"/>
          <w:lang w:val="en-GB"/>
        </w:rPr>
      </w:pPr>
    </w:p>
    <w:p w14:paraId="7B4E6B8A" w14:textId="029BE308" w:rsidR="00607520" w:rsidRPr="00B8660A" w:rsidRDefault="00607520"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 xml:space="preserve">To ensure that the expected and perceived benefits of circular economy engagement do not differ too much from one another when interacting with an engagement platform, we call – inspired by the Gaps Model of </w:t>
      </w:r>
      <w:r w:rsidR="004D3FAD" w:rsidRPr="00B8660A">
        <w:rPr>
          <w:rFonts w:asciiTheme="majorHAnsi" w:hAnsiTheme="majorHAnsi" w:cstheme="majorHAnsi"/>
          <w:shd w:val="clear" w:color="auto" w:fill="FFFFFF"/>
          <w:lang w:val="en-GB"/>
        </w:rPr>
        <w:t>Parasuraman et al.</w:t>
      </w:r>
      <w:r w:rsidRPr="00B8660A">
        <w:rPr>
          <w:rFonts w:asciiTheme="majorHAnsi" w:hAnsiTheme="majorHAnsi" w:cstheme="majorHAnsi"/>
          <w:lang w:val="en-GB"/>
        </w:rPr>
        <w:t xml:space="preserve"> (19</w:t>
      </w:r>
      <w:r w:rsidR="004D3FAD" w:rsidRPr="00B8660A">
        <w:rPr>
          <w:rFonts w:asciiTheme="majorHAnsi" w:hAnsiTheme="majorHAnsi" w:cstheme="majorHAnsi"/>
          <w:lang w:val="en-GB"/>
        </w:rPr>
        <w:t>85</w:t>
      </w:r>
      <w:r w:rsidRPr="00B8660A">
        <w:rPr>
          <w:rFonts w:asciiTheme="majorHAnsi" w:hAnsiTheme="majorHAnsi" w:cstheme="majorHAnsi"/>
          <w:lang w:val="en-GB"/>
        </w:rPr>
        <w:t>) – for (1) generating a better understanding of the expectations that actors have when engaging with the platform</w:t>
      </w:r>
      <w:r w:rsidR="00214119" w:rsidRPr="00B8660A">
        <w:rPr>
          <w:rFonts w:asciiTheme="majorHAnsi" w:hAnsiTheme="majorHAnsi" w:cstheme="majorHAnsi"/>
          <w:lang w:val="en-GB"/>
        </w:rPr>
        <w:t xml:space="preserve"> (cf., GAP 1)</w:t>
      </w:r>
      <w:r w:rsidRPr="00B8660A">
        <w:rPr>
          <w:rFonts w:asciiTheme="majorHAnsi" w:hAnsiTheme="majorHAnsi" w:cstheme="majorHAnsi"/>
          <w:lang w:val="en-GB"/>
        </w:rPr>
        <w:t xml:space="preserve">, (2) translating </w:t>
      </w:r>
      <w:r w:rsidR="00CB372A" w:rsidRPr="00B8660A">
        <w:rPr>
          <w:rFonts w:asciiTheme="majorHAnsi" w:hAnsiTheme="majorHAnsi" w:cstheme="majorHAnsi"/>
          <w:lang w:val="en-GB"/>
        </w:rPr>
        <w:t xml:space="preserve">and meeting </w:t>
      </w:r>
      <w:r w:rsidRPr="00B8660A">
        <w:rPr>
          <w:rFonts w:asciiTheme="majorHAnsi" w:hAnsiTheme="majorHAnsi" w:cstheme="majorHAnsi"/>
          <w:lang w:val="en-GB"/>
        </w:rPr>
        <w:t xml:space="preserve">these </w:t>
      </w:r>
      <w:r w:rsidR="00A44731" w:rsidRPr="00B8660A">
        <w:rPr>
          <w:rFonts w:asciiTheme="majorHAnsi" w:hAnsiTheme="majorHAnsi" w:cstheme="majorHAnsi"/>
          <w:lang w:val="en-GB"/>
        </w:rPr>
        <w:t xml:space="preserve">expectations </w:t>
      </w:r>
      <w:r w:rsidR="00CB372A" w:rsidRPr="00B8660A">
        <w:rPr>
          <w:rFonts w:asciiTheme="majorHAnsi" w:hAnsiTheme="majorHAnsi" w:cstheme="majorHAnsi"/>
          <w:lang w:val="en-GB"/>
        </w:rPr>
        <w:t xml:space="preserve">through </w:t>
      </w:r>
      <w:r w:rsidRPr="00B8660A">
        <w:rPr>
          <w:rFonts w:asciiTheme="majorHAnsi" w:hAnsiTheme="majorHAnsi" w:cstheme="majorHAnsi"/>
          <w:lang w:val="en-GB"/>
        </w:rPr>
        <w:t>the way in which the engagement platform facilitates the exchange and integration of resources among actors</w:t>
      </w:r>
      <w:r w:rsidR="00214119" w:rsidRPr="00B8660A">
        <w:rPr>
          <w:rFonts w:asciiTheme="majorHAnsi" w:hAnsiTheme="majorHAnsi" w:cstheme="majorHAnsi"/>
          <w:lang w:val="en-GB"/>
        </w:rPr>
        <w:t xml:space="preserve"> (cf., GAP 2)</w:t>
      </w:r>
      <w:r w:rsidRPr="00B8660A">
        <w:rPr>
          <w:rFonts w:asciiTheme="majorHAnsi" w:hAnsiTheme="majorHAnsi" w:cstheme="majorHAnsi"/>
          <w:lang w:val="en-GB"/>
        </w:rPr>
        <w:t>, and (3) reflecting upon what benefits to emphasize when launching a value proposition for the engagement platform</w:t>
      </w:r>
      <w:r w:rsidR="00214119" w:rsidRPr="00B8660A">
        <w:rPr>
          <w:rFonts w:asciiTheme="majorHAnsi" w:hAnsiTheme="majorHAnsi" w:cstheme="majorHAnsi"/>
          <w:lang w:val="en-GB"/>
        </w:rPr>
        <w:t xml:space="preserve"> (cf., GAP </w:t>
      </w:r>
      <w:r w:rsidR="00C51595" w:rsidRPr="00B8660A">
        <w:rPr>
          <w:rFonts w:asciiTheme="majorHAnsi" w:hAnsiTheme="majorHAnsi" w:cstheme="majorHAnsi"/>
          <w:lang w:val="en-GB"/>
        </w:rPr>
        <w:t>3</w:t>
      </w:r>
      <w:r w:rsidR="00214119" w:rsidRPr="00B8660A">
        <w:rPr>
          <w:rFonts w:asciiTheme="majorHAnsi" w:hAnsiTheme="majorHAnsi" w:cstheme="majorHAnsi"/>
          <w:lang w:val="en-GB"/>
        </w:rPr>
        <w:t>)</w:t>
      </w:r>
      <w:r w:rsidRPr="00B8660A">
        <w:rPr>
          <w:rFonts w:asciiTheme="majorHAnsi" w:hAnsiTheme="majorHAnsi" w:cstheme="majorHAnsi"/>
          <w:lang w:val="en-GB"/>
        </w:rPr>
        <w:t xml:space="preserve">. Figure 3 summarizes these conditions for circular economy engagement with the help of platforms. </w:t>
      </w:r>
    </w:p>
    <w:p w14:paraId="0A807B6E" w14:textId="77777777" w:rsidR="00607520" w:rsidRPr="00B8660A" w:rsidRDefault="00607520" w:rsidP="009865D5">
      <w:pPr>
        <w:spacing w:line="360" w:lineRule="auto"/>
        <w:jc w:val="both"/>
        <w:rPr>
          <w:rFonts w:asciiTheme="majorHAnsi" w:hAnsiTheme="majorHAnsi" w:cstheme="majorHAnsi"/>
          <w:lang w:val="en-GB"/>
        </w:rPr>
      </w:pPr>
    </w:p>
    <w:p w14:paraId="7E0BECD2" w14:textId="2A703723" w:rsidR="00607520" w:rsidRPr="00B8660A" w:rsidRDefault="00761396" w:rsidP="009865D5">
      <w:pPr>
        <w:spacing w:line="360" w:lineRule="auto"/>
        <w:jc w:val="center"/>
        <w:rPr>
          <w:rFonts w:asciiTheme="majorHAnsi" w:hAnsiTheme="majorHAnsi" w:cstheme="majorHAnsi"/>
          <w:i/>
          <w:lang w:val="en-GB"/>
        </w:rPr>
      </w:pPr>
      <w:r>
        <w:rPr>
          <w:rFonts w:asciiTheme="majorHAnsi" w:hAnsiTheme="majorHAnsi" w:cstheme="majorHAnsi"/>
          <w:i/>
          <w:noProof/>
          <w:lang w:val="en-GB"/>
        </w:rPr>
        <w:drawing>
          <wp:anchor distT="0" distB="0" distL="114300" distR="114300" simplePos="0" relativeHeight="251658240" behindDoc="0" locked="0" layoutInCell="1" allowOverlap="1" wp14:anchorId="1F32D755" wp14:editId="0D945076">
            <wp:simplePos x="0" y="0"/>
            <wp:positionH relativeFrom="margin">
              <wp:align>center</wp:align>
            </wp:positionH>
            <wp:positionV relativeFrom="paragraph">
              <wp:posOffset>1270</wp:posOffset>
            </wp:positionV>
            <wp:extent cx="6663600" cy="2869200"/>
            <wp:effectExtent l="0" t="0" r="444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63600" cy="2869200"/>
                    </a:xfrm>
                    <a:prstGeom prst="rect">
                      <a:avLst/>
                    </a:prstGeom>
                    <a:noFill/>
                  </pic:spPr>
                </pic:pic>
              </a:graphicData>
            </a:graphic>
            <wp14:sizeRelH relativeFrom="page">
              <wp14:pctWidth>0</wp14:pctWidth>
            </wp14:sizeRelH>
            <wp14:sizeRelV relativeFrom="page">
              <wp14:pctHeight>0</wp14:pctHeight>
            </wp14:sizeRelV>
          </wp:anchor>
        </w:drawing>
      </w:r>
    </w:p>
    <w:p w14:paraId="3AF756DB" w14:textId="77777777" w:rsidR="00862DBF" w:rsidRPr="00B8660A" w:rsidRDefault="00607520" w:rsidP="009865D5">
      <w:pPr>
        <w:spacing w:line="360" w:lineRule="auto"/>
        <w:jc w:val="center"/>
        <w:rPr>
          <w:rFonts w:asciiTheme="majorHAnsi" w:hAnsiTheme="majorHAnsi" w:cstheme="majorHAnsi"/>
          <w:i/>
          <w:lang w:val="en-GB"/>
        </w:rPr>
      </w:pPr>
      <w:r w:rsidRPr="00B8660A">
        <w:rPr>
          <w:rFonts w:asciiTheme="majorHAnsi" w:hAnsiTheme="majorHAnsi" w:cstheme="majorHAnsi"/>
          <w:i/>
          <w:lang w:val="en-GB"/>
        </w:rPr>
        <w:t xml:space="preserve">Figure 3 </w:t>
      </w:r>
      <w:r w:rsidR="00AC6703" w:rsidRPr="00B8660A">
        <w:rPr>
          <w:rFonts w:asciiTheme="majorHAnsi" w:hAnsiTheme="majorHAnsi" w:cstheme="majorHAnsi"/>
          <w:lang w:val="en-GB"/>
        </w:rPr>
        <w:t>–</w:t>
      </w:r>
      <w:r w:rsidR="0031675D" w:rsidRPr="00B8660A">
        <w:rPr>
          <w:rFonts w:asciiTheme="majorHAnsi" w:hAnsiTheme="majorHAnsi" w:cstheme="majorHAnsi"/>
          <w:lang w:val="en-GB"/>
        </w:rPr>
        <w:t xml:space="preserve"> C</w:t>
      </w:r>
      <w:r w:rsidRPr="00B8660A">
        <w:rPr>
          <w:rFonts w:asciiTheme="majorHAnsi" w:hAnsiTheme="majorHAnsi" w:cstheme="majorHAnsi"/>
          <w:i/>
          <w:lang w:val="en-GB"/>
        </w:rPr>
        <w:t xml:space="preserve">onditions for </w:t>
      </w:r>
      <w:r w:rsidR="001B3C6D" w:rsidRPr="00B8660A">
        <w:rPr>
          <w:rFonts w:asciiTheme="majorHAnsi" w:hAnsiTheme="majorHAnsi" w:cstheme="majorHAnsi"/>
          <w:i/>
          <w:lang w:val="en-GB"/>
        </w:rPr>
        <w:t>c</w:t>
      </w:r>
      <w:r w:rsidRPr="00B8660A">
        <w:rPr>
          <w:rFonts w:asciiTheme="majorHAnsi" w:hAnsiTheme="majorHAnsi" w:cstheme="majorHAnsi"/>
          <w:i/>
          <w:lang w:val="en-GB"/>
        </w:rPr>
        <w:t xml:space="preserve">ircular </w:t>
      </w:r>
      <w:r w:rsidR="001B3C6D" w:rsidRPr="00B8660A">
        <w:rPr>
          <w:rFonts w:asciiTheme="majorHAnsi" w:hAnsiTheme="majorHAnsi" w:cstheme="majorHAnsi"/>
          <w:i/>
          <w:lang w:val="en-GB"/>
        </w:rPr>
        <w:t>e</w:t>
      </w:r>
      <w:r w:rsidRPr="00B8660A">
        <w:rPr>
          <w:rFonts w:asciiTheme="majorHAnsi" w:hAnsiTheme="majorHAnsi" w:cstheme="majorHAnsi"/>
          <w:i/>
          <w:lang w:val="en-GB"/>
        </w:rPr>
        <w:t xml:space="preserve">conomy </w:t>
      </w:r>
      <w:r w:rsidR="001B3C6D" w:rsidRPr="00B8660A">
        <w:rPr>
          <w:rFonts w:asciiTheme="majorHAnsi" w:hAnsiTheme="majorHAnsi" w:cstheme="majorHAnsi"/>
          <w:i/>
          <w:lang w:val="en-GB"/>
        </w:rPr>
        <w:t>e</w:t>
      </w:r>
      <w:r w:rsidRPr="00B8660A">
        <w:rPr>
          <w:rFonts w:asciiTheme="majorHAnsi" w:hAnsiTheme="majorHAnsi" w:cstheme="majorHAnsi"/>
          <w:i/>
          <w:lang w:val="en-GB"/>
        </w:rPr>
        <w:t xml:space="preserve">ngagement with the </w:t>
      </w:r>
      <w:r w:rsidR="001B3C6D" w:rsidRPr="00B8660A">
        <w:rPr>
          <w:rFonts w:asciiTheme="majorHAnsi" w:hAnsiTheme="majorHAnsi" w:cstheme="majorHAnsi"/>
          <w:i/>
          <w:lang w:val="en-GB"/>
        </w:rPr>
        <w:t>h</w:t>
      </w:r>
      <w:r w:rsidRPr="00B8660A">
        <w:rPr>
          <w:rFonts w:asciiTheme="majorHAnsi" w:hAnsiTheme="majorHAnsi" w:cstheme="majorHAnsi"/>
          <w:i/>
          <w:lang w:val="en-GB"/>
        </w:rPr>
        <w:t xml:space="preserve">elp of </w:t>
      </w:r>
      <w:r w:rsidR="001B3C6D" w:rsidRPr="00B8660A">
        <w:rPr>
          <w:rFonts w:asciiTheme="majorHAnsi" w:hAnsiTheme="majorHAnsi" w:cstheme="majorHAnsi"/>
          <w:i/>
          <w:lang w:val="en-GB"/>
        </w:rPr>
        <w:t>engagement p</w:t>
      </w:r>
      <w:r w:rsidRPr="00B8660A">
        <w:rPr>
          <w:rFonts w:asciiTheme="majorHAnsi" w:hAnsiTheme="majorHAnsi" w:cstheme="majorHAnsi"/>
          <w:i/>
          <w:lang w:val="en-GB"/>
        </w:rPr>
        <w:t>latforms</w:t>
      </w:r>
      <w:r w:rsidR="00C02841" w:rsidRPr="00B8660A">
        <w:rPr>
          <w:rFonts w:asciiTheme="majorHAnsi" w:hAnsiTheme="majorHAnsi" w:cstheme="majorHAnsi"/>
          <w:i/>
          <w:lang w:val="en-GB"/>
        </w:rPr>
        <w:t xml:space="preserve"> </w:t>
      </w:r>
    </w:p>
    <w:p w14:paraId="2A892788" w14:textId="016C8357" w:rsidR="00607520" w:rsidRPr="00B8660A" w:rsidRDefault="00C02841" w:rsidP="009865D5">
      <w:pPr>
        <w:spacing w:line="360" w:lineRule="auto"/>
        <w:jc w:val="center"/>
        <w:rPr>
          <w:rFonts w:asciiTheme="majorHAnsi" w:hAnsiTheme="majorHAnsi" w:cstheme="majorHAnsi"/>
          <w:i/>
          <w:lang w:val="en-GB"/>
        </w:rPr>
      </w:pPr>
      <w:r w:rsidRPr="00B8660A">
        <w:rPr>
          <w:rFonts w:asciiTheme="majorHAnsi" w:hAnsiTheme="majorHAnsi" w:cstheme="majorHAnsi"/>
          <w:i/>
          <w:lang w:val="en-GB"/>
        </w:rPr>
        <w:t>(</w:t>
      </w:r>
      <w:r w:rsidR="00CE2B90" w:rsidRPr="00B8660A">
        <w:rPr>
          <w:rFonts w:asciiTheme="majorHAnsi" w:hAnsiTheme="majorHAnsi" w:cstheme="majorHAnsi"/>
          <w:i/>
          <w:lang w:val="en-GB"/>
        </w:rPr>
        <w:t>adapted from</w:t>
      </w:r>
      <w:r w:rsidR="00E83924" w:rsidRPr="00B8660A">
        <w:rPr>
          <w:rFonts w:asciiTheme="majorHAnsi" w:hAnsiTheme="majorHAnsi" w:cstheme="majorHAnsi"/>
          <w:i/>
          <w:lang w:val="en-GB"/>
        </w:rPr>
        <w:t xml:space="preserve"> Parasuraman et al., 1985</w:t>
      </w:r>
      <w:r w:rsidRPr="00B8660A">
        <w:rPr>
          <w:rFonts w:asciiTheme="majorHAnsi" w:hAnsiTheme="majorHAnsi" w:cstheme="majorHAnsi"/>
          <w:i/>
          <w:lang w:val="en-GB"/>
        </w:rPr>
        <w:t>)</w:t>
      </w:r>
    </w:p>
    <w:p w14:paraId="6ABE4DF7" w14:textId="77777777" w:rsidR="00607520" w:rsidRPr="00B8660A" w:rsidRDefault="00607520" w:rsidP="009865D5">
      <w:pPr>
        <w:spacing w:line="360" w:lineRule="auto"/>
        <w:jc w:val="both"/>
        <w:rPr>
          <w:rFonts w:asciiTheme="majorHAnsi" w:hAnsiTheme="majorHAnsi" w:cstheme="majorHAnsi"/>
          <w:lang w:val="en-GB"/>
        </w:rPr>
      </w:pPr>
    </w:p>
    <w:p w14:paraId="391DF123" w14:textId="53A8FA8E" w:rsidR="00274726" w:rsidRPr="00B8660A" w:rsidRDefault="002E0BD6"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When it relates to gaining insight into the expectations that actors have when engaging with the platform (cf., GAP 1), it is important to note that the context in which actors are embedded may exert an influence on their expectations and perceptions. The socio-cultural group to which you belong, for instance, may shape your expectations (De Bruyne et al., 2022). Other researchers have shown that other contextual factors – such as sector or industry characteristics and governmental regulations – may shape actor expectations (De Keyser et al., 2020). </w:t>
      </w:r>
      <w:r w:rsidR="0033416A">
        <w:rPr>
          <w:rFonts w:asciiTheme="majorHAnsi" w:hAnsiTheme="majorHAnsi" w:cstheme="majorHAnsi"/>
          <w:lang w:val="en-GB"/>
        </w:rPr>
        <w:t>Alternatively</w:t>
      </w:r>
      <w:r w:rsidR="00FB444F" w:rsidRPr="00B8660A">
        <w:rPr>
          <w:rFonts w:asciiTheme="majorHAnsi" w:hAnsiTheme="majorHAnsi" w:cstheme="majorHAnsi"/>
          <w:lang w:val="en-GB"/>
        </w:rPr>
        <w:t xml:space="preserve">, </w:t>
      </w:r>
      <w:r w:rsidR="003D11AD" w:rsidRPr="00B8660A">
        <w:rPr>
          <w:rFonts w:asciiTheme="majorHAnsi" w:hAnsiTheme="majorHAnsi" w:cstheme="majorHAnsi"/>
          <w:lang w:val="en-GB"/>
        </w:rPr>
        <w:t xml:space="preserve">the </w:t>
      </w:r>
      <w:r w:rsidR="001B6D6D">
        <w:rPr>
          <w:rFonts w:asciiTheme="majorHAnsi" w:hAnsiTheme="majorHAnsi" w:cstheme="majorHAnsi"/>
          <w:lang w:val="en-GB"/>
        </w:rPr>
        <w:t xml:space="preserve">actor </w:t>
      </w:r>
      <w:r w:rsidR="00577F4A">
        <w:rPr>
          <w:rFonts w:asciiTheme="majorHAnsi" w:hAnsiTheme="majorHAnsi" w:cstheme="majorHAnsi"/>
          <w:lang w:val="en-GB"/>
        </w:rPr>
        <w:t>expectations and perceptions</w:t>
      </w:r>
      <w:r w:rsidR="005A073D" w:rsidRPr="00B8660A">
        <w:rPr>
          <w:rFonts w:asciiTheme="majorHAnsi" w:hAnsiTheme="majorHAnsi" w:cstheme="majorHAnsi"/>
          <w:lang w:val="en-GB"/>
        </w:rPr>
        <w:t xml:space="preserve"> </w:t>
      </w:r>
      <w:r w:rsidR="001B6D6D">
        <w:rPr>
          <w:rFonts w:asciiTheme="majorHAnsi" w:hAnsiTheme="majorHAnsi" w:cstheme="majorHAnsi"/>
          <w:lang w:val="en-GB"/>
        </w:rPr>
        <w:t xml:space="preserve">in </w:t>
      </w:r>
      <w:r w:rsidR="006D7F2D">
        <w:rPr>
          <w:rFonts w:asciiTheme="majorHAnsi" w:hAnsiTheme="majorHAnsi" w:cstheme="majorHAnsi"/>
          <w:lang w:val="en-GB"/>
        </w:rPr>
        <w:t>developed</w:t>
      </w:r>
      <w:r w:rsidR="009020F6" w:rsidRPr="00B8660A">
        <w:rPr>
          <w:rFonts w:asciiTheme="majorHAnsi" w:hAnsiTheme="majorHAnsi" w:cstheme="majorHAnsi"/>
          <w:lang w:val="en-GB"/>
        </w:rPr>
        <w:t xml:space="preserve"> </w:t>
      </w:r>
      <w:r w:rsidR="005A073D" w:rsidRPr="00B8660A">
        <w:rPr>
          <w:rFonts w:asciiTheme="majorHAnsi" w:hAnsiTheme="majorHAnsi" w:cstheme="majorHAnsi"/>
          <w:lang w:val="en-GB"/>
        </w:rPr>
        <w:lastRenderedPageBreak/>
        <w:t>countries</w:t>
      </w:r>
      <w:r w:rsidR="00D81FAF" w:rsidRPr="00B8660A">
        <w:rPr>
          <w:rFonts w:asciiTheme="majorHAnsi" w:hAnsiTheme="majorHAnsi" w:cstheme="majorHAnsi"/>
          <w:lang w:val="en-GB"/>
        </w:rPr>
        <w:t xml:space="preserve"> </w:t>
      </w:r>
      <w:r w:rsidR="009D0779">
        <w:rPr>
          <w:rFonts w:asciiTheme="majorHAnsi" w:hAnsiTheme="majorHAnsi" w:cstheme="majorHAnsi"/>
          <w:lang w:val="en-GB"/>
        </w:rPr>
        <w:t xml:space="preserve">may differ from those in </w:t>
      </w:r>
      <w:r w:rsidR="006D7F2D">
        <w:rPr>
          <w:rFonts w:asciiTheme="majorHAnsi" w:hAnsiTheme="majorHAnsi" w:cstheme="majorHAnsi"/>
          <w:lang w:val="en-GB"/>
        </w:rPr>
        <w:t>developing</w:t>
      </w:r>
      <w:r w:rsidR="00D81FAF" w:rsidRPr="00B8660A">
        <w:rPr>
          <w:rFonts w:asciiTheme="majorHAnsi" w:hAnsiTheme="majorHAnsi" w:cstheme="majorHAnsi"/>
          <w:lang w:val="en-GB"/>
        </w:rPr>
        <w:t xml:space="preserve"> countries</w:t>
      </w:r>
      <w:r w:rsidR="009D0779">
        <w:rPr>
          <w:rFonts w:asciiTheme="majorHAnsi" w:hAnsiTheme="majorHAnsi" w:cstheme="majorHAnsi"/>
          <w:lang w:val="en-GB"/>
        </w:rPr>
        <w:t>, which</w:t>
      </w:r>
      <w:r w:rsidR="00D81FAF" w:rsidRPr="00B8660A">
        <w:rPr>
          <w:rFonts w:asciiTheme="majorHAnsi" w:hAnsiTheme="majorHAnsi" w:cstheme="majorHAnsi"/>
          <w:lang w:val="en-GB"/>
        </w:rPr>
        <w:t xml:space="preserve"> </w:t>
      </w:r>
      <w:r w:rsidR="005A073D" w:rsidRPr="00B8660A">
        <w:rPr>
          <w:rFonts w:asciiTheme="majorHAnsi" w:hAnsiTheme="majorHAnsi" w:cstheme="majorHAnsi"/>
          <w:lang w:val="en-GB"/>
        </w:rPr>
        <w:t xml:space="preserve">could have significant effects on the success </w:t>
      </w:r>
      <w:r w:rsidR="009020F6" w:rsidRPr="00B8660A">
        <w:rPr>
          <w:rFonts w:asciiTheme="majorHAnsi" w:hAnsiTheme="majorHAnsi" w:cstheme="majorHAnsi"/>
          <w:lang w:val="en-GB"/>
        </w:rPr>
        <w:t xml:space="preserve">of circular </w:t>
      </w:r>
      <w:r w:rsidR="00A9709F">
        <w:rPr>
          <w:rFonts w:asciiTheme="majorHAnsi" w:hAnsiTheme="majorHAnsi" w:cstheme="majorHAnsi"/>
          <w:lang w:val="en-GB"/>
        </w:rPr>
        <w:t xml:space="preserve">business models </w:t>
      </w:r>
      <w:r w:rsidR="00D81FAF" w:rsidRPr="00B8660A">
        <w:rPr>
          <w:rFonts w:asciiTheme="majorHAnsi" w:hAnsiTheme="majorHAnsi" w:cstheme="majorHAnsi"/>
          <w:lang w:val="en-GB"/>
        </w:rPr>
        <w:t>(</w:t>
      </w:r>
      <w:r w:rsidR="0041578B" w:rsidRPr="00B8660A">
        <w:rPr>
          <w:rFonts w:asciiTheme="majorHAnsi" w:hAnsiTheme="majorHAnsi" w:cstheme="majorHAnsi"/>
          <w:lang w:val="en-GB"/>
        </w:rPr>
        <w:t>Rodríguez-Espíndola et al., 2022; Do et al., 2022</w:t>
      </w:r>
      <w:r w:rsidR="00D81FAF" w:rsidRPr="00B8660A">
        <w:rPr>
          <w:rFonts w:asciiTheme="majorHAnsi" w:hAnsiTheme="majorHAnsi" w:cstheme="majorHAnsi"/>
          <w:lang w:val="en-GB"/>
        </w:rPr>
        <w:t>)</w:t>
      </w:r>
      <w:r w:rsidR="0041578B" w:rsidRPr="00B8660A">
        <w:rPr>
          <w:rFonts w:asciiTheme="majorHAnsi" w:hAnsiTheme="majorHAnsi" w:cstheme="majorHAnsi"/>
          <w:lang w:val="en-GB"/>
        </w:rPr>
        <w:t xml:space="preserve">. </w:t>
      </w:r>
      <w:r w:rsidRPr="00B8660A">
        <w:rPr>
          <w:rFonts w:asciiTheme="majorHAnsi" w:hAnsiTheme="majorHAnsi" w:cstheme="majorHAnsi"/>
          <w:lang w:val="en-GB"/>
        </w:rPr>
        <w:t xml:space="preserve">Therefore, future research is necessary to better understand how the context in which actors are embedded shapes their expectations in relation to circular business models and the engagement platforms upon </w:t>
      </w:r>
      <w:r w:rsidR="00CD1D07" w:rsidRPr="00B8660A">
        <w:rPr>
          <w:rFonts w:asciiTheme="majorHAnsi" w:hAnsiTheme="majorHAnsi" w:cstheme="majorHAnsi"/>
          <w:lang w:val="en-GB"/>
        </w:rPr>
        <w:t xml:space="preserve">which </w:t>
      </w:r>
      <w:r w:rsidRPr="00B8660A">
        <w:rPr>
          <w:rFonts w:asciiTheme="majorHAnsi" w:hAnsiTheme="majorHAnsi" w:cstheme="majorHAnsi"/>
          <w:lang w:val="en-GB"/>
        </w:rPr>
        <w:t>they rely.</w:t>
      </w:r>
      <w:r w:rsidR="00846D26" w:rsidRPr="00B8660A">
        <w:rPr>
          <w:rFonts w:asciiTheme="majorHAnsi" w:hAnsiTheme="majorHAnsi" w:cstheme="majorHAnsi"/>
          <w:lang w:val="en-GB"/>
        </w:rPr>
        <w:t xml:space="preserve"> </w:t>
      </w:r>
      <w:r w:rsidR="00D35746">
        <w:rPr>
          <w:rFonts w:asciiTheme="majorHAnsi" w:hAnsiTheme="majorHAnsi" w:cstheme="majorHAnsi"/>
          <w:lang w:val="en-GB"/>
        </w:rPr>
        <w:t>In addition</w:t>
      </w:r>
      <w:r w:rsidR="00B80177" w:rsidRPr="00B8660A">
        <w:rPr>
          <w:rFonts w:asciiTheme="majorHAnsi" w:hAnsiTheme="majorHAnsi" w:cstheme="majorHAnsi"/>
          <w:lang w:val="en-GB"/>
        </w:rPr>
        <w:t xml:space="preserve">, </w:t>
      </w:r>
      <w:r w:rsidR="00AD2CAF" w:rsidRPr="00B8660A">
        <w:rPr>
          <w:rFonts w:asciiTheme="majorHAnsi" w:hAnsiTheme="majorHAnsi" w:cstheme="majorHAnsi"/>
          <w:lang w:val="en-GB"/>
        </w:rPr>
        <w:t xml:space="preserve">managers need to understand the context of </w:t>
      </w:r>
      <w:r w:rsidR="00B8660A">
        <w:rPr>
          <w:rFonts w:asciiTheme="majorHAnsi" w:hAnsiTheme="majorHAnsi" w:cstheme="majorHAnsi"/>
          <w:lang w:val="en-GB"/>
        </w:rPr>
        <w:t xml:space="preserve">the actors in </w:t>
      </w:r>
      <w:r w:rsidR="00AD2CAF" w:rsidRPr="00B8660A">
        <w:rPr>
          <w:rFonts w:asciiTheme="majorHAnsi" w:hAnsiTheme="majorHAnsi" w:cstheme="majorHAnsi"/>
          <w:lang w:val="en-GB"/>
        </w:rPr>
        <w:t xml:space="preserve">their </w:t>
      </w:r>
      <w:r w:rsidR="00B8660A">
        <w:rPr>
          <w:rFonts w:asciiTheme="majorHAnsi" w:hAnsiTheme="majorHAnsi" w:cstheme="majorHAnsi"/>
          <w:lang w:val="en-GB"/>
        </w:rPr>
        <w:t>ecosystem</w:t>
      </w:r>
      <w:r w:rsidR="00AD2CAF" w:rsidRPr="00B8660A">
        <w:rPr>
          <w:rFonts w:asciiTheme="majorHAnsi" w:hAnsiTheme="majorHAnsi" w:cstheme="majorHAnsi"/>
          <w:lang w:val="en-GB"/>
        </w:rPr>
        <w:t xml:space="preserve">. </w:t>
      </w:r>
      <w:r w:rsidR="00937C7C" w:rsidRPr="00B8660A">
        <w:rPr>
          <w:rFonts w:asciiTheme="majorHAnsi" w:hAnsiTheme="majorHAnsi" w:cstheme="majorHAnsi"/>
          <w:lang w:val="en-GB"/>
        </w:rPr>
        <w:t xml:space="preserve"> </w:t>
      </w:r>
      <w:r w:rsidR="00F50DDE" w:rsidRPr="00B8660A">
        <w:rPr>
          <w:rFonts w:asciiTheme="majorHAnsi" w:hAnsiTheme="majorHAnsi" w:cstheme="majorHAnsi"/>
          <w:lang w:val="en-GB"/>
        </w:rPr>
        <w:t xml:space="preserve"> </w:t>
      </w:r>
      <w:r w:rsidR="00846D26" w:rsidRPr="00B8660A">
        <w:rPr>
          <w:rFonts w:asciiTheme="majorHAnsi" w:hAnsiTheme="majorHAnsi" w:cstheme="majorHAnsi"/>
          <w:lang w:val="en-GB"/>
        </w:rPr>
        <w:t xml:space="preserve"> </w:t>
      </w:r>
    </w:p>
    <w:p w14:paraId="4FB9DAE8" w14:textId="77777777" w:rsidR="002E0BD6" w:rsidRPr="00B8660A" w:rsidRDefault="002E0BD6" w:rsidP="009865D5">
      <w:pPr>
        <w:spacing w:line="360" w:lineRule="auto"/>
        <w:jc w:val="both"/>
        <w:rPr>
          <w:rFonts w:asciiTheme="majorHAnsi" w:hAnsiTheme="majorHAnsi" w:cstheme="majorHAnsi"/>
          <w:lang w:val="en-GB"/>
        </w:rPr>
      </w:pPr>
    </w:p>
    <w:p w14:paraId="5F1C33A4" w14:textId="3AD0E196" w:rsidR="00274726" w:rsidRDefault="00DA45F3"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To ensure that</w:t>
      </w:r>
      <w:r w:rsidR="00274726" w:rsidRPr="00B8660A">
        <w:rPr>
          <w:rFonts w:asciiTheme="majorHAnsi" w:hAnsiTheme="majorHAnsi" w:cstheme="majorHAnsi"/>
          <w:lang w:val="en-GB"/>
        </w:rPr>
        <w:t xml:space="preserve"> </w:t>
      </w:r>
      <w:r w:rsidR="00CE0F5D" w:rsidRPr="00B8660A">
        <w:rPr>
          <w:rFonts w:asciiTheme="majorHAnsi" w:hAnsiTheme="majorHAnsi" w:cstheme="majorHAnsi"/>
          <w:lang w:val="en-GB"/>
        </w:rPr>
        <w:t xml:space="preserve">the </w:t>
      </w:r>
      <w:r w:rsidR="00DC089F" w:rsidRPr="00B8660A">
        <w:rPr>
          <w:rFonts w:asciiTheme="majorHAnsi" w:hAnsiTheme="majorHAnsi" w:cstheme="majorHAnsi"/>
          <w:lang w:val="en-GB"/>
        </w:rPr>
        <w:t xml:space="preserve">expectations </w:t>
      </w:r>
      <w:r w:rsidR="00CE0F5D" w:rsidRPr="00B8660A">
        <w:rPr>
          <w:rFonts w:asciiTheme="majorHAnsi" w:hAnsiTheme="majorHAnsi" w:cstheme="majorHAnsi"/>
          <w:lang w:val="en-GB"/>
        </w:rPr>
        <w:t xml:space="preserve">of actors </w:t>
      </w:r>
      <w:r w:rsidR="001E3A51" w:rsidRPr="00B8660A">
        <w:rPr>
          <w:rFonts w:asciiTheme="majorHAnsi" w:hAnsiTheme="majorHAnsi" w:cstheme="majorHAnsi"/>
          <w:lang w:val="en-GB"/>
        </w:rPr>
        <w:t>are met when engaging</w:t>
      </w:r>
      <w:r w:rsidR="00CE0F5D" w:rsidRPr="00B8660A">
        <w:rPr>
          <w:rFonts w:asciiTheme="majorHAnsi" w:hAnsiTheme="majorHAnsi" w:cstheme="majorHAnsi"/>
          <w:lang w:val="en-GB"/>
        </w:rPr>
        <w:t xml:space="preserve"> </w:t>
      </w:r>
      <w:r w:rsidR="00DC089F" w:rsidRPr="00B8660A">
        <w:rPr>
          <w:rFonts w:asciiTheme="majorHAnsi" w:hAnsiTheme="majorHAnsi" w:cstheme="majorHAnsi"/>
          <w:lang w:val="en-GB"/>
        </w:rPr>
        <w:t xml:space="preserve">in </w:t>
      </w:r>
      <w:r w:rsidR="0006377C" w:rsidRPr="00B8660A">
        <w:rPr>
          <w:rFonts w:asciiTheme="majorHAnsi" w:hAnsiTheme="majorHAnsi" w:cstheme="majorHAnsi"/>
          <w:lang w:val="en-GB"/>
        </w:rPr>
        <w:t xml:space="preserve">a </w:t>
      </w:r>
      <w:r w:rsidR="007E7A9A" w:rsidRPr="00B8660A">
        <w:rPr>
          <w:rFonts w:asciiTheme="majorHAnsi" w:hAnsiTheme="majorHAnsi" w:cstheme="majorHAnsi"/>
          <w:lang w:val="en-GB"/>
        </w:rPr>
        <w:t xml:space="preserve">circular </w:t>
      </w:r>
      <w:r w:rsidR="0006377C" w:rsidRPr="00B8660A">
        <w:rPr>
          <w:rFonts w:asciiTheme="majorHAnsi" w:hAnsiTheme="majorHAnsi" w:cstheme="majorHAnsi"/>
          <w:lang w:val="en-GB"/>
        </w:rPr>
        <w:t>platform</w:t>
      </w:r>
      <w:r w:rsidR="001E3A51" w:rsidRPr="00B8660A">
        <w:rPr>
          <w:rFonts w:asciiTheme="majorHAnsi" w:hAnsiTheme="majorHAnsi" w:cstheme="majorHAnsi"/>
          <w:lang w:val="en-GB"/>
        </w:rPr>
        <w:t xml:space="preserve"> </w:t>
      </w:r>
      <w:r w:rsidR="007A3408" w:rsidRPr="00B8660A">
        <w:rPr>
          <w:rFonts w:asciiTheme="majorHAnsi" w:hAnsiTheme="majorHAnsi" w:cstheme="majorHAnsi"/>
          <w:lang w:val="en-GB"/>
        </w:rPr>
        <w:t>(cf., GAP 2</w:t>
      </w:r>
      <w:r w:rsidR="00C51595" w:rsidRPr="00B8660A">
        <w:rPr>
          <w:rFonts w:asciiTheme="majorHAnsi" w:hAnsiTheme="majorHAnsi" w:cstheme="majorHAnsi"/>
          <w:lang w:val="en-GB"/>
        </w:rPr>
        <w:t>)</w:t>
      </w:r>
      <w:r w:rsidR="00DC089F" w:rsidRPr="00B8660A">
        <w:rPr>
          <w:rFonts w:asciiTheme="majorHAnsi" w:hAnsiTheme="majorHAnsi" w:cstheme="majorHAnsi"/>
          <w:lang w:val="en-GB"/>
        </w:rPr>
        <w:t xml:space="preserve">, </w:t>
      </w:r>
      <w:r w:rsidR="007E7A9A" w:rsidRPr="00B8660A">
        <w:rPr>
          <w:rFonts w:asciiTheme="majorHAnsi" w:hAnsiTheme="majorHAnsi" w:cstheme="majorHAnsi"/>
          <w:lang w:val="en-GB"/>
        </w:rPr>
        <w:t xml:space="preserve">it is important that the underlying business model </w:t>
      </w:r>
      <w:r w:rsidR="004534EF" w:rsidRPr="00B8660A">
        <w:rPr>
          <w:rFonts w:asciiTheme="majorHAnsi" w:hAnsiTheme="majorHAnsi" w:cstheme="majorHAnsi"/>
          <w:lang w:val="en-GB"/>
        </w:rPr>
        <w:t>corresponds with</w:t>
      </w:r>
      <w:r w:rsidR="009C36C9" w:rsidRPr="00B8660A">
        <w:rPr>
          <w:rFonts w:asciiTheme="majorHAnsi" w:hAnsiTheme="majorHAnsi" w:cstheme="majorHAnsi"/>
          <w:lang w:val="en-GB"/>
        </w:rPr>
        <w:t xml:space="preserve"> their circular economy engagement. Since </w:t>
      </w:r>
      <w:r w:rsidR="00303888" w:rsidRPr="00B8660A">
        <w:rPr>
          <w:rFonts w:asciiTheme="majorHAnsi" w:hAnsiTheme="majorHAnsi" w:cstheme="majorHAnsi"/>
          <w:lang w:val="en-GB"/>
        </w:rPr>
        <w:t xml:space="preserve">business models </w:t>
      </w:r>
      <w:r w:rsidR="00640169" w:rsidRPr="00B8660A">
        <w:rPr>
          <w:rFonts w:asciiTheme="majorHAnsi" w:hAnsiTheme="majorHAnsi" w:cstheme="majorHAnsi"/>
          <w:lang w:val="en-GB"/>
        </w:rPr>
        <w:t xml:space="preserve">may </w:t>
      </w:r>
      <w:r w:rsidR="00303888" w:rsidRPr="00B8660A">
        <w:rPr>
          <w:rFonts w:asciiTheme="majorHAnsi" w:hAnsiTheme="majorHAnsi" w:cstheme="majorHAnsi"/>
          <w:lang w:val="en-GB"/>
        </w:rPr>
        <w:t>vary</w:t>
      </w:r>
      <w:r w:rsidR="00197FD8" w:rsidRPr="00B8660A">
        <w:rPr>
          <w:rFonts w:asciiTheme="majorHAnsi" w:hAnsiTheme="majorHAnsi" w:cstheme="majorHAnsi"/>
          <w:lang w:val="en-GB"/>
        </w:rPr>
        <w:t xml:space="preserve"> </w:t>
      </w:r>
      <w:r w:rsidR="00452406" w:rsidRPr="00B8660A">
        <w:rPr>
          <w:rFonts w:asciiTheme="majorHAnsi" w:hAnsiTheme="majorHAnsi" w:cstheme="majorHAnsi"/>
          <w:lang w:val="en-GB"/>
        </w:rPr>
        <w:t xml:space="preserve">in terms of servitization and collectivity (cf., </w:t>
      </w:r>
      <w:r w:rsidR="00197FD8" w:rsidRPr="00B8660A">
        <w:rPr>
          <w:rFonts w:asciiTheme="majorHAnsi" w:hAnsiTheme="majorHAnsi" w:cstheme="majorHAnsi"/>
          <w:lang w:val="en-GB"/>
        </w:rPr>
        <w:t>Figure 1)</w:t>
      </w:r>
      <w:r w:rsidR="00303888" w:rsidRPr="00B8660A">
        <w:rPr>
          <w:rFonts w:asciiTheme="majorHAnsi" w:hAnsiTheme="majorHAnsi" w:cstheme="majorHAnsi"/>
          <w:lang w:val="en-GB"/>
        </w:rPr>
        <w:t xml:space="preserve">, future research may investigate how different types of circular business models affect the engagement of </w:t>
      </w:r>
      <w:r w:rsidR="008E15EF" w:rsidRPr="00B8660A">
        <w:rPr>
          <w:rFonts w:asciiTheme="majorHAnsi" w:hAnsiTheme="majorHAnsi" w:cstheme="majorHAnsi"/>
          <w:lang w:val="en-GB"/>
        </w:rPr>
        <w:t>consumers and providers</w:t>
      </w:r>
      <w:r w:rsidR="00786F15" w:rsidRPr="00B8660A">
        <w:rPr>
          <w:rFonts w:asciiTheme="majorHAnsi" w:hAnsiTheme="majorHAnsi" w:cstheme="majorHAnsi"/>
          <w:lang w:val="en-GB"/>
        </w:rPr>
        <w:t xml:space="preserve"> </w:t>
      </w:r>
      <w:r w:rsidR="008275C7" w:rsidRPr="00B8660A">
        <w:rPr>
          <w:rFonts w:asciiTheme="majorHAnsi" w:hAnsiTheme="majorHAnsi" w:cstheme="majorHAnsi"/>
          <w:lang w:val="en-GB"/>
        </w:rPr>
        <w:t xml:space="preserve">through the engagement </w:t>
      </w:r>
      <w:r w:rsidR="00786F15" w:rsidRPr="00B8660A">
        <w:rPr>
          <w:rFonts w:asciiTheme="majorHAnsi" w:hAnsiTheme="majorHAnsi" w:cstheme="majorHAnsi"/>
          <w:lang w:val="en-GB"/>
        </w:rPr>
        <w:t>platform</w:t>
      </w:r>
      <w:r w:rsidR="00452406" w:rsidRPr="00B8660A">
        <w:rPr>
          <w:rFonts w:asciiTheme="majorHAnsi" w:hAnsiTheme="majorHAnsi" w:cstheme="majorHAnsi"/>
          <w:lang w:val="en-GB"/>
        </w:rPr>
        <w:t xml:space="preserve">. </w:t>
      </w:r>
      <w:r w:rsidR="00786F15" w:rsidRPr="00B8660A">
        <w:rPr>
          <w:rFonts w:asciiTheme="majorHAnsi" w:hAnsiTheme="majorHAnsi" w:cstheme="majorHAnsi"/>
          <w:lang w:val="en-GB"/>
        </w:rPr>
        <w:t xml:space="preserve">Moreover, </w:t>
      </w:r>
      <w:r w:rsidR="005C692A" w:rsidRPr="00B8660A">
        <w:rPr>
          <w:rFonts w:asciiTheme="majorHAnsi" w:hAnsiTheme="majorHAnsi" w:cstheme="majorHAnsi"/>
          <w:lang w:val="en-GB"/>
        </w:rPr>
        <w:t xml:space="preserve">engagement platforms may embrace different </w:t>
      </w:r>
      <w:r w:rsidR="00197FD8" w:rsidRPr="00B8660A">
        <w:rPr>
          <w:rFonts w:asciiTheme="majorHAnsi" w:hAnsiTheme="majorHAnsi" w:cstheme="majorHAnsi"/>
          <w:lang w:val="en-GB"/>
        </w:rPr>
        <w:t>business model</w:t>
      </w:r>
      <w:r w:rsidR="005C692A" w:rsidRPr="00B8660A">
        <w:rPr>
          <w:rFonts w:asciiTheme="majorHAnsi" w:hAnsiTheme="majorHAnsi" w:cstheme="majorHAnsi"/>
          <w:lang w:val="en-GB"/>
        </w:rPr>
        <w:t xml:space="preserve">s at the same time as well as over time (De Bruyne </w:t>
      </w:r>
      <w:r w:rsidR="009D5DD3" w:rsidRPr="00B8660A">
        <w:rPr>
          <w:rFonts w:asciiTheme="majorHAnsi" w:hAnsiTheme="majorHAnsi" w:cstheme="majorHAnsi"/>
          <w:lang w:val="en-GB"/>
        </w:rPr>
        <w:t>and</w:t>
      </w:r>
      <w:r w:rsidR="005C692A" w:rsidRPr="00B8660A">
        <w:rPr>
          <w:rFonts w:asciiTheme="majorHAnsi" w:hAnsiTheme="majorHAnsi" w:cstheme="majorHAnsi"/>
          <w:lang w:val="en-GB"/>
        </w:rPr>
        <w:t xml:space="preserve"> Verleye, 2022; Guyader </w:t>
      </w:r>
      <w:r w:rsidR="009D5DD3" w:rsidRPr="00B8660A">
        <w:rPr>
          <w:rFonts w:asciiTheme="majorHAnsi" w:hAnsiTheme="majorHAnsi" w:cstheme="majorHAnsi"/>
          <w:lang w:val="en-GB"/>
        </w:rPr>
        <w:t>and</w:t>
      </w:r>
      <w:r w:rsidR="005C692A" w:rsidRPr="00B8660A">
        <w:rPr>
          <w:rFonts w:asciiTheme="majorHAnsi" w:hAnsiTheme="majorHAnsi" w:cstheme="majorHAnsi"/>
          <w:lang w:val="en-GB"/>
        </w:rPr>
        <w:t xml:space="preserve"> Piscicelli, 2019).</w:t>
      </w:r>
      <w:r w:rsidR="00197FD8" w:rsidRPr="00B8660A">
        <w:rPr>
          <w:rFonts w:asciiTheme="majorHAnsi" w:hAnsiTheme="majorHAnsi" w:cstheme="majorHAnsi"/>
          <w:lang w:val="en-GB"/>
        </w:rPr>
        <w:t xml:space="preserve"> </w:t>
      </w:r>
      <w:r w:rsidR="005C692A" w:rsidRPr="00B8660A">
        <w:rPr>
          <w:rFonts w:asciiTheme="majorHAnsi" w:hAnsiTheme="majorHAnsi" w:cstheme="majorHAnsi"/>
          <w:lang w:val="en-GB"/>
        </w:rPr>
        <w:t xml:space="preserve">In this regard, further research should </w:t>
      </w:r>
      <w:r w:rsidR="00141310" w:rsidRPr="00B8660A">
        <w:rPr>
          <w:rFonts w:asciiTheme="majorHAnsi" w:hAnsiTheme="majorHAnsi" w:cstheme="majorHAnsi"/>
          <w:lang w:val="en-GB"/>
        </w:rPr>
        <w:t>also</w:t>
      </w:r>
      <w:r w:rsidR="005C692A" w:rsidRPr="00B8660A">
        <w:rPr>
          <w:rFonts w:asciiTheme="majorHAnsi" w:hAnsiTheme="majorHAnsi" w:cstheme="majorHAnsi"/>
          <w:lang w:val="en-GB"/>
        </w:rPr>
        <w:t xml:space="preserve"> investigate how circular business model diversification and dynamism affect </w:t>
      </w:r>
      <w:r w:rsidR="00ED7A6C" w:rsidRPr="00B8660A">
        <w:rPr>
          <w:rFonts w:asciiTheme="majorHAnsi" w:hAnsiTheme="majorHAnsi" w:cstheme="majorHAnsi"/>
          <w:lang w:val="en-GB"/>
        </w:rPr>
        <w:t>circular economy engagement</w:t>
      </w:r>
      <w:r w:rsidR="005C692A" w:rsidRPr="00B8660A">
        <w:rPr>
          <w:rFonts w:asciiTheme="majorHAnsi" w:hAnsiTheme="majorHAnsi" w:cstheme="majorHAnsi"/>
          <w:lang w:val="en-GB"/>
        </w:rPr>
        <w:t>.</w:t>
      </w:r>
      <w:r w:rsidR="00D64DD8" w:rsidRPr="00B8660A">
        <w:rPr>
          <w:rFonts w:asciiTheme="majorHAnsi" w:hAnsiTheme="majorHAnsi" w:cstheme="majorHAnsi"/>
          <w:lang w:val="en-GB"/>
        </w:rPr>
        <w:t xml:space="preserve"> </w:t>
      </w:r>
      <w:r w:rsidR="00AD2CAF" w:rsidRPr="00B8660A">
        <w:rPr>
          <w:rFonts w:asciiTheme="majorHAnsi" w:hAnsiTheme="majorHAnsi" w:cstheme="majorHAnsi"/>
          <w:lang w:val="en-GB"/>
        </w:rPr>
        <w:t xml:space="preserve">For managers, understanding </w:t>
      </w:r>
      <w:r w:rsidR="00B8660A">
        <w:rPr>
          <w:rFonts w:asciiTheme="majorHAnsi" w:hAnsiTheme="majorHAnsi" w:cstheme="majorHAnsi"/>
          <w:lang w:val="en-GB"/>
        </w:rPr>
        <w:t>consumers’ and providers’</w:t>
      </w:r>
      <w:r w:rsidR="00AD2CAF" w:rsidRPr="00B8660A">
        <w:rPr>
          <w:rFonts w:asciiTheme="majorHAnsi" w:hAnsiTheme="majorHAnsi" w:cstheme="majorHAnsi"/>
          <w:lang w:val="en-GB"/>
        </w:rPr>
        <w:t xml:space="preserve"> expectations is a first step towards designing </w:t>
      </w:r>
      <w:r w:rsidR="00164D28" w:rsidRPr="00B8660A">
        <w:rPr>
          <w:rFonts w:asciiTheme="majorHAnsi" w:hAnsiTheme="majorHAnsi" w:cstheme="majorHAnsi"/>
          <w:lang w:val="en-GB"/>
        </w:rPr>
        <w:t>circular business model</w:t>
      </w:r>
      <w:r w:rsidR="00B8660A">
        <w:rPr>
          <w:rFonts w:asciiTheme="majorHAnsi" w:hAnsiTheme="majorHAnsi" w:cstheme="majorHAnsi"/>
          <w:lang w:val="en-GB"/>
        </w:rPr>
        <w:t>s and delivering on these expectations</w:t>
      </w:r>
      <w:r w:rsidR="00AD2CAF" w:rsidRPr="00B8660A">
        <w:rPr>
          <w:rFonts w:asciiTheme="majorHAnsi" w:hAnsiTheme="majorHAnsi" w:cstheme="majorHAnsi"/>
          <w:lang w:val="en-GB"/>
        </w:rPr>
        <w:t>.</w:t>
      </w:r>
    </w:p>
    <w:p w14:paraId="7A6B147A" w14:textId="77777777" w:rsidR="00B8660A" w:rsidRPr="00B8660A" w:rsidRDefault="00B8660A" w:rsidP="009865D5">
      <w:pPr>
        <w:spacing w:line="360" w:lineRule="auto"/>
        <w:jc w:val="both"/>
        <w:rPr>
          <w:rFonts w:asciiTheme="majorHAnsi" w:hAnsiTheme="majorHAnsi" w:cstheme="majorHAnsi"/>
          <w:lang w:val="en-GB"/>
        </w:rPr>
      </w:pPr>
    </w:p>
    <w:p w14:paraId="64BBDA35" w14:textId="7047918A" w:rsidR="00AD2CAF" w:rsidRPr="00B8660A" w:rsidRDefault="00370F1E" w:rsidP="009865D5">
      <w:pPr>
        <w:spacing w:line="360" w:lineRule="auto"/>
        <w:jc w:val="both"/>
        <w:rPr>
          <w:rFonts w:asciiTheme="majorHAnsi" w:hAnsiTheme="majorHAnsi" w:cstheme="majorHAnsi"/>
          <w:lang w:val="en-GB"/>
        </w:rPr>
      </w:pPr>
      <w:r w:rsidRPr="00B8660A">
        <w:rPr>
          <w:rFonts w:asciiTheme="majorHAnsi" w:hAnsiTheme="majorHAnsi" w:cstheme="majorHAnsi"/>
          <w:lang w:val="en-GB"/>
        </w:rPr>
        <w:t>When it relates to external communications about the engagement platform through value propositions (cf., GAP 3), a key challenge revolves around what benefits to emphasize and how to communicate about these benefits (Verleye and Reber, 2022; Reczek et al., 2018). Some scholars call for accompanying circular business models by value propositions that highlight the environmental benefits (Bocken and Short, 2016; Freudenreich and Schaltegger, 2020) while others point out that communicating about environmental benefits may not stimulate circular economy engagement through its negatively impact on other expectations like the expected pragmatic benefits (Luchs et al., 2010; Falchi et al., 2021). Additionally, expected benefits are heterogenous and dynamic (Böcker and Meelen, 2017; Palmatier &amp; Crecelius, 2019</w:t>
      </w:r>
      <w:r w:rsidR="00E20147" w:rsidRPr="00B8660A">
        <w:rPr>
          <w:rFonts w:asciiTheme="majorHAnsi" w:hAnsiTheme="majorHAnsi" w:cstheme="majorHAnsi"/>
          <w:lang w:val="en-GB"/>
        </w:rPr>
        <w:t>; Khitous et al., 2022</w:t>
      </w:r>
      <w:r w:rsidRPr="00B8660A">
        <w:rPr>
          <w:rFonts w:asciiTheme="majorHAnsi" w:hAnsiTheme="majorHAnsi" w:cstheme="majorHAnsi"/>
          <w:lang w:val="en-GB"/>
        </w:rPr>
        <w:t>), which calls for tailoring the communication to different actors in the ecosystem. Hence, more research is needed to better understand how circular economy engagement is shaped by external communication</w:t>
      </w:r>
      <w:r w:rsidR="00D16C70">
        <w:rPr>
          <w:rFonts w:asciiTheme="majorHAnsi" w:hAnsiTheme="majorHAnsi" w:cstheme="majorHAnsi"/>
          <w:lang w:val="en-GB"/>
        </w:rPr>
        <w:t>s</w:t>
      </w:r>
      <w:r w:rsidRPr="00B8660A">
        <w:rPr>
          <w:rFonts w:asciiTheme="majorHAnsi" w:hAnsiTheme="majorHAnsi" w:cstheme="majorHAnsi"/>
          <w:lang w:val="en-GB"/>
        </w:rPr>
        <w:t xml:space="preserve"> through value propositions.</w:t>
      </w:r>
      <w:r w:rsidR="00E76A26" w:rsidRPr="00B8660A">
        <w:rPr>
          <w:rFonts w:asciiTheme="majorHAnsi" w:hAnsiTheme="majorHAnsi" w:cstheme="majorHAnsi"/>
          <w:lang w:val="en-GB"/>
        </w:rPr>
        <w:t xml:space="preserve"> </w:t>
      </w:r>
      <w:r w:rsidR="00AD2CAF" w:rsidRPr="00B8660A">
        <w:rPr>
          <w:rFonts w:asciiTheme="majorHAnsi" w:hAnsiTheme="majorHAnsi" w:cstheme="majorHAnsi"/>
          <w:lang w:val="en-GB"/>
        </w:rPr>
        <w:t xml:space="preserve">Similarly, managers should have a detailed understanding of the benefits that consumers seek, and endeavour to reflect those benefits in the value proposition of </w:t>
      </w:r>
      <w:r w:rsidR="00D16C70">
        <w:rPr>
          <w:rFonts w:asciiTheme="majorHAnsi" w:hAnsiTheme="majorHAnsi" w:cstheme="majorHAnsi"/>
          <w:lang w:val="en-GB"/>
        </w:rPr>
        <w:t>their</w:t>
      </w:r>
      <w:r w:rsidR="00AD2CAF" w:rsidRPr="00B8660A">
        <w:rPr>
          <w:rFonts w:asciiTheme="majorHAnsi" w:hAnsiTheme="majorHAnsi" w:cstheme="majorHAnsi"/>
          <w:lang w:val="en-GB"/>
        </w:rPr>
        <w:t xml:space="preserve"> </w:t>
      </w:r>
      <w:r w:rsidR="00164D28" w:rsidRPr="00B8660A">
        <w:rPr>
          <w:rFonts w:asciiTheme="majorHAnsi" w:hAnsiTheme="majorHAnsi" w:cstheme="majorHAnsi"/>
          <w:lang w:val="en-GB"/>
        </w:rPr>
        <w:t>circular business models</w:t>
      </w:r>
      <w:r w:rsidR="00AD2CAF" w:rsidRPr="00B8660A">
        <w:rPr>
          <w:rFonts w:asciiTheme="majorHAnsi" w:hAnsiTheme="majorHAnsi" w:cstheme="majorHAnsi"/>
          <w:lang w:val="en-GB"/>
        </w:rPr>
        <w:t xml:space="preserve">.  </w:t>
      </w:r>
    </w:p>
    <w:p w14:paraId="1BEBF665" w14:textId="77777777" w:rsidR="00370F1E" w:rsidRPr="00B8660A" w:rsidRDefault="00370F1E" w:rsidP="009865D5">
      <w:pPr>
        <w:spacing w:line="360" w:lineRule="auto"/>
        <w:jc w:val="both"/>
        <w:rPr>
          <w:rFonts w:asciiTheme="majorHAnsi" w:hAnsiTheme="majorHAnsi" w:cstheme="majorHAnsi"/>
          <w:lang w:val="en-GB"/>
        </w:rPr>
      </w:pPr>
    </w:p>
    <w:p w14:paraId="51946CA9" w14:textId="77777777" w:rsidR="003F793F" w:rsidRPr="00B8660A" w:rsidRDefault="00C42D67" w:rsidP="009865D5">
      <w:pPr>
        <w:spacing w:line="360" w:lineRule="auto"/>
        <w:jc w:val="both"/>
        <w:rPr>
          <w:rFonts w:asciiTheme="majorHAnsi" w:hAnsiTheme="majorHAnsi" w:cstheme="majorHAnsi"/>
          <w:lang w:val="en-GB"/>
        </w:rPr>
      </w:pPr>
      <w:r w:rsidRPr="00B8660A">
        <w:rPr>
          <w:rFonts w:asciiTheme="majorHAnsi" w:hAnsiTheme="majorHAnsi" w:cstheme="majorHAnsi"/>
          <w:b/>
          <w:lang w:val="en-GB"/>
        </w:rPr>
        <w:t>References</w:t>
      </w:r>
    </w:p>
    <w:p w14:paraId="4619736D" w14:textId="67D31C6B"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lastRenderedPageBreak/>
        <w:t xml:space="preserve">Acquier, A., Daudigeos, T., &amp; Pinkse, J. (2017). Promises and paradoxes of the sharing economy: An organizing framework. </w:t>
      </w:r>
      <w:r w:rsidRPr="00B8660A">
        <w:rPr>
          <w:rFonts w:asciiTheme="majorHAnsi" w:hAnsiTheme="majorHAnsi" w:cstheme="majorHAnsi"/>
          <w:i/>
          <w:highlight w:val="white"/>
          <w:lang w:val="en-GB"/>
        </w:rPr>
        <w:t>Technological Forecasting and Social Change</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125</w:t>
      </w:r>
      <w:r w:rsidRPr="00B8660A">
        <w:rPr>
          <w:rFonts w:asciiTheme="majorHAnsi" w:hAnsiTheme="majorHAnsi" w:cstheme="majorHAnsi"/>
          <w:highlight w:val="white"/>
          <w:lang w:val="en-GB"/>
        </w:rPr>
        <w:t>, 1-10.</w:t>
      </w:r>
    </w:p>
    <w:p w14:paraId="596DEE58"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Anderson, L., Ostrom, A. L., Corus, C., Fisk, R. P., Gallan, A. S., Giraldo, M., ... &amp; Williams, J. D. (2013). Transformative service research: An agenda for the future. </w:t>
      </w:r>
      <w:r w:rsidRPr="00B8660A">
        <w:rPr>
          <w:rFonts w:asciiTheme="majorHAnsi" w:hAnsiTheme="majorHAnsi" w:cstheme="majorHAnsi"/>
          <w:i/>
          <w:lang w:val="en-GB"/>
        </w:rPr>
        <w:t>Journal of Business Research</w:t>
      </w:r>
      <w:r w:rsidRPr="00B8660A">
        <w:rPr>
          <w:rFonts w:asciiTheme="majorHAnsi" w:hAnsiTheme="majorHAnsi" w:cstheme="majorHAnsi"/>
          <w:lang w:val="en-GB"/>
        </w:rPr>
        <w:t xml:space="preserve">, </w:t>
      </w:r>
      <w:r w:rsidRPr="00B8660A">
        <w:rPr>
          <w:rFonts w:asciiTheme="majorHAnsi" w:hAnsiTheme="majorHAnsi" w:cstheme="majorHAnsi"/>
          <w:i/>
          <w:lang w:val="en-GB"/>
        </w:rPr>
        <w:t>66</w:t>
      </w:r>
      <w:r w:rsidRPr="00B8660A">
        <w:rPr>
          <w:rFonts w:asciiTheme="majorHAnsi" w:hAnsiTheme="majorHAnsi" w:cstheme="majorHAnsi"/>
          <w:lang w:val="en-GB"/>
        </w:rPr>
        <w:t>(8), 1203-1210.</w:t>
      </w:r>
    </w:p>
    <w:p w14:paraId="695D8653" w14:textId="77777777"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D16C70">
        <w:rPr>
          <w:rFonts w:asciiTheme="majorHAnsi" w:hAnsiTheme="majorHAnsi" w:cstheme="majorHAnsi"/>
          <w:highlight w:val="white"/>
          <w:lang w:val="en-GB"/>
        </w:rPr>
        <w:t xml:space="preserve">Blasco-Arcas, L., Hernandez-Ortega, B. I., &amp; Jimenez-Martinez, J. (2016). </w:t>
      </w:r>
      <w:r w:rsidRPr="00B8660A">
        <w:rPr>
          <w:rFonts w:asciiTheme="majorHAnsi" w:hAnsiTheme="majorHAnsi" w:cstheme="majorHAnsi"/>
          <w:highlight w:val="white"/>
          <w:lang w:val="en-GB"/>
        </w:rPr>
        <w:t xml:space="preserve">Engagement platforms: The role of emotions in fostering customer engagement and brand image in interactive media. </w:t>
      </w:r>
      <w:r w:rsidRPr="00B8660A">
        <w:rPr>
          <w:rFonts w:asciiTheme="majorHAnsi" w:hAnsiTheme="majorHAnsi" w:cstheme="majorHAnsi"/>
          <w:i/>
          <w:highlight w:val="white"/>
          <w:lang w:val="en-GB"/>
        </w:rPr>
        <w:t>Journal of Service Theory and Practice</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26</w:t>
      </w:r>
      <w:r w:rsidRPr="00B8660A">
        <w:rPr>
          <w:rFonts w:asciiTheme="majorHAnsi" w:hAnsiTheme="majorHAnsi" w:cstheme="majorHAnsi"/>
          <w:highlight w:val="white"/>
          <w:lang w:val="en-GB"/>
        </w:rPr>
        <w:t>(5), 559-589.</w:t>
      </w:r>
    </w:p>
    <w:p w14:paraId="43F70E9F"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highlight w:val="white"/>
          <w:lang w:val="en-GB"/>
        </w:rPr>
        <w:t xml:space="preserve">Blau, P. M. (1964). </w:t>
      </w:r>
      <w:r w:rsidRPr="00B8660A">
        <w:rPr>
          <w:rFonts w:asciiTheme="majorHAnsi" w:hAnsiTheme="majorHAnsi" w:cstheme="majorHAnsi"/>
          <w:i/>
          <w:highlight w:val="white"/>
          <w:lang w:val="en-GB"/>
        </w:rPr>
        <w:t>Exchange and power in social life</w:t>
      </w:r>
      <w:r w:rsidRPr="00B8660A">
        <w:rPr>
          <w:rFonts w:asciiTheme="majorHAnsi" w:hAnsiTheme="majorHAnsi" w:cstheme="majorHAnsi"/>
          <w:highlight w:val="white"/>
          <w:lang w:val="en-GB"/>
        </w:rPr>
        <w:t>. Wiley.</w:t>
      </w:r>
    </w:p>
    <w:p w14:paraId="77F8B5E3"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Blocker, C. P., &amp; Barrios, A. (2015). The transformative value of a service experience. </w:t>
      </w:r>
      <w:r w:rsidRPr="00B8660A">
        <w:rPr>
          <w:rFonts w:asciiTheme="majorHAnsi" w:hAnsiTheme="majorHAnsi" w:cstheme="majorHAnsi"/>
          <w:i/>
          <w:lang w:val="en-GB"/>
        </w:rPr>
        <w:t>Journal of Service Research</w:t>
      </w:r>
      <w:r w:rsidRPr="00B8660A">
        <w:rPr>
          <w:rFonts w:asciiTheme="majorHAnsi" w:hAnsiTheme="majorHAnsi" w:cstheme="majorHAnsi"/>
          <w:lang w:val="en-GB"/>
        </w:rPr>
        <w:t xml:space="preserve">, </w:t>
      </w:r>
      <w:r w:rsidRPr="00B8660A">
        <w:rPr>
          <w:rFonts w:asciiTheme="majorHAnsi" w:hAnsiTheme="majorHAnsi" w:cstheme="majorHAnsi"/>
          <w:i/>
          <w:lang w:val="en-GB"/>
        </w:rPr>
        <w:t>18</w:t>
      </w:r>
      <w:r w:rsidRPr="00B8660A">
        <w:rPr>
          <w:rFonts w:asciiTheme="majorHAnsi" w:hAnsiTheme="majorHAnsi" w:cstheme="majorHAnsi"/>
          <w:lang w:val="en-GB"/>
        </w:rPr>
        <w:t>(3), 265-283.</w:t>
      </w:r>
    </w:p>
    <w:p w14:paraId="1B66B449"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Bocken, N., Strupeit, L., Whalen, K., &amp; Nußholz, J. (2019a). A review and evaluation of circular business model innovation tools. </w:t>
      </w:r>
      <w:r w:rsidRPr="00B8660A">
        <w:rPr>
          <w:rFonts w:asciiTheme="majorHAnsi" w:hAnsiTheme="majorHAnsi" w:cstheme="majorHAnsi"/>
          <w:i/>
          <w:lang w:val="en-GB"/>
        </w:rPr>
        <w:t>Sustainability</w:t>
      </w:r>
      <w:r w:rsidRPr="00B8660A">
        <w:rPr>
          <w:rFonts w:asciiTheme="majorHAnsi" w:hAnsiTheme="majorHAnsi" w:cstheme="majorHAnsi"/>
          <w:lang w:val="en-GB"/>
        </w:rPr>
        <w:t xml:space="preserve">, </w:t>
      </w:r>
      <w:r w:rsidRPr="00B8660A">
        <w:rPr>
          <w:rFonts w:asciiTheme="majorHAnsi" w:hAnsiTheme="majorHAnsi" w:cstheme="majorHAnsi"/>
          <w:i/>
          <w:lang w:val="en-GB"/>
        </w:rPr>
        <w:t>11</w:t>
      </w:r>
      <w:r w:rsidRPr="00B8660A">
        <w:rPr>
          <w:rFonts w:asciiTheme="majorHAnsi" w:hAnsiTheme="majorHAnsi" w:cstheme="majorHAnsi"/>
          <w:lang w:val="en-GB"/>
        </w:rPr>
        <w:t>(8), 2210.</w:t>
      </w:r>
    </w:p>
    <w:p w14:paraId="4E1F20DF" w14:textId="5FDB463C"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Bocken, N., Boons, F., &amp; Baldassarre, B. (2019b). Sustainable business model experimentation by understanding ecologies of business models. </w:t>
      </w:r>
      <w:r w:rsidRPr="00B8660A">
        <w:rPr>
          <w:rFonts w:asciiTheme="majorHAnsi" w:hAnsiTheme="majorHAnsi" w:cstheme="majorHAnsi"/>
          <w:i/>
          <w:highlight w:val="white"/>
          <w:lang w:val="en-GB"/>
        </w:rPr>
        <w:t>Journal of Cleaner Production</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208</w:t>
      </w:r>
      <w:r w:rsidRPr="00B8660A">
        <w:rPr>
          <w:rFonts w:asciiTheme="majorHAnsi" w:hAnsiTheme="majorHAnsi" w:cstheme="majorHAnsi"/>
          <w:highlight w:val="white"/>
          <w:lang w:val="en-GB"/>
        </w:rPr>
        <w:t>, 1498-1512.</w:t>
      </w:r>
    </w:p>
    <w:p w14:paraId="14AC3A38" w14:textId="51E97FF0" w:rsidR="003C1F5F" w:rsidRPr="00D16C70" w:rsidRDefault="003C1F5F" w:rsidP="009865D5">
      <w:pPr>
        <w:spacing w:line="360" w:lineRule="auto"/>
        <w:ind w:left="720" w:hanging="720"/>
        <w:jc w:val="both"/>
        <w:rPr>
          <w:rFonts w:asciiTheme="majorHAnsi" w:hAnsiTheme="majorHAnsi" w:cstheme="majorHAnsi"/>
          <w:color w:val="222222"/>
          <w:szCs w:val="20"/>
          <w:shd w:val="clear" w:color="auto" w:fill="FFFFFF"/>
          <w:lang w:val="en-GB"/>
        </w:rPr>
      </w:pPr>
      <w:r w:rsidRPr="00D16C70">
        <w:rPr>
          <w:rFonts w:asciiTheme="majorHAnsi" w:hAnsiTheme="majorHAnsi" w:cstheme="majorHAnsi"/>
          <w:color w:val="222222"/>
          <w:szCs w:val="20"/>
          <w:shd w:val="clear" w:color="auto" w:fill="FFFFFF"/>
          <w:lang w:val="en-GB"/>
        </w:rPr>
        <w:t>Bocken, N. M., &amp; Short, S. W. (2016). Towards a sufficiency-driven business model: Experiences and opportunities. </w:t>
      </w:r>
      <w:r w:rsidRPr="00D16C70">
        <w:rPr>
          <w:rFonts w:asciiTheme="majorHAnsi" w:hAnsiTheme="majorHAnsi" w:cstheme="majorHAnsi"/>
          <w:i/>
          <w:iCs/>
          <w:color w:val="222222"/>
          <w:szCs w:val="20"/>
          <w:shd w:val="clear" w:color="auto" w:fill="FFFFFF"/>
          <w:lang w:val="en-GB"/>
        </w:rPr>
        <w:t xml:space="preserve">Environmental </w:t>
      </w:r>
      <w:r w:rsidR="00066792" w:rsidRPr="00D16C70">
        <w:rPr>
          <w:rFonts w:asciiTheme="majorHAnsi" w:hAnsiTheme="majorHAnsi" w:cstheme="majorHAnsi"/>
          <w:i/>
          <w:iCs/>
          <w:color w:val="222222"/>
          <w:szCs w:val="20"/>
          <w:shd w:val="clear" w:color="auto" w:fill="FFFFFF"/>
          <w:lang w:val="en-GB"/>
        </w:rPr>
        <w:t>I</w:t>
      </w:r>
      <w:r w:rsidRPr="00D16C70">
        <w:rPr>
          <w:rFonts w:asciiTheme="majorHAnsi" w:hAnsiTheme="majorHAnsi" w:cstheme="majorHAnsi"/>
          <w:i/>
          <w:iCs/>
          <w:color w:val="222222"/>
          <w:szCs w:val="20"/>
          <w:shd w:val="clear" w:color="auto" w:fill="FFFFFF"/>
          <w:lang w:val="en-GB"/>
        </w:rPr>
        <w:t xml:space="preserve">nnovation and </w:t>
      </w:r>
      <w:r w:rsidR="00066792" w:rsidRPr="00D16C70">
        <w:rPr>
          <w:rFonts w:asciiTheme="majorHAnsi" w:hAnsiTheme="majorHAnsi" w:cstheme="majorHAnsi"/>
          <w:i/>
          <w:iCs/>
          <w:color w:val="222222"/>
          <w:szCs w:val="20"/>
          <w:shd w:val="clear" w:color="auto" w:fill="FFFFFF"/>
          <w:lang w:val="en-GB"/>
        </w:rPr>
        <w:t>S</w:t>
      </w:r>
      <w:r w:rsidRPr="00D16C70">
        <w:rPr>
          <w:rFonts w:asciiTheme="majorHAnsi" w:hAnsiTheme="majorHAnsi" w:cstheme="majorHAnsi"/>
          <w:i/>
          <w:iCs/>
          <w:color w:val="222222"/>
          <w:szCs w:val="20"/>
          <w:shd w:val="clear" w:color="auto" w:fill="FFFFFF"/>
          <w:lang w:val="en-GB"/>
        </w:rPr>
        <w:t xml:space="preserve">ocietal </w:t>
      </w:r>
      <w:r w:rsidR="00066792" w:rsidRPr="00D16C70">
        <w:rPr>
          <w:rFonts w:asciiTheme="majorHAnsi" w:hAnsiTheme="majorHAnsi" w:cstheme="majorHAnsi"/>
          <w:i/>
          <w:iCs/>
          <w:color w:val="222222"/>
          <w:szCs w:val="20"/>
          <w:shd w:val="clear" w:color="auto" w:fill="FFFFFF"/>
          <w:lang w:val="en-GB"/>
        </w:rPr>
        <w:t>T</w:t>
      </w:r>
      <w:r w:rsidRPr="00D16C70">
        <w:rPr>
          <w:rFonts w:asciiTheme="majorHAnsi" w:hAnsiTheme="majorHAnsi" w:cstheme="majorHAnsi"/>
          <w:i/>
          <w:iCs/>
          <w:color w:val="222222"/>
          <w:szCs w:val="20"/>
          <w:shd w:val="clear" w:color="auto" w:fill="FFFFFF"/>
          <w:lang w:val="en-GB"/>
        </w:rPr>
        <w:t>ransitions</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18</w:t>
      </w:r>
      <w:r w:rsidRPr="00D16C70">
        <w:rPr>
          <w:rFonts w:asciiTheme="majorHAnsi" w:hAnsiTheme="majorHAnsi" w:cstheme="majorHAnsi"/>
          <w:color w:val="222222"/>
          <w:szCs w:val="20"/>
          <w:shd w:val="clear" w:color="auto" w:fill="FFFFFF"/>
          <w:lang w:val="en-GB"/>
        </w:rPr>
        <w:t>, 41-61.</w:t>
      </w:r>
    </w:p>
    <w:p w14:paraId="7A22633B" w14:textId="5545A853" w:rsidR="00D26376" w:rsidRPr="00B8660A" w:rsidRDefault="00D26376"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color w:val="222222"/>
          <w:shd w:val="clear" w:color="auto" w:fill="FFFFFF"/>
          <w:lang w:val="en-GB"/>
        </w:rPr>
        <w:t>Bocken, N. M., &amp; Short, S. W. (2020). Transforming business models: towards a sufficiency-based circular economy. In </w:t>
      </w:r>
      <w:r w:rsidRPr="00B8660A">
        <w:rPr>
          <w:rFonts w:asciiTheme="majorHAnsi" w:hAnsiTheme="majorHAnsi" w:cstheme="majorHAnsi"/>
          <w:i/>
          <w:iCs/>
          <w:color w:val="222222"/>
          <w:shd w:val="clear" w:color="auto" w:fill="FFFFFF"/>
          <w:lang w:val="en-GB"/>
        </w:rPr>
        <w:t xml:space="preserve">Handbook of the </w:t>
      </w:r>
      <w:r w:rsidR="00066792" w:rsidRPr="00B8660A">
        <w:rPr>
          <w:rFonts w:asciiTheme="majorHAnsi" w:hAnsiTheme="majorHAnsi" w:cstheme="majorHAnsi"/>
          <w:i/>
          <w:iCs/>
          <w:color w:val="222222"/>
          <w:shd w:val="clear" w:color="auto" w:fill="FFFFFF"/>
          <w:lang w:val="en-GB"/>
        </w:rPr>
        <w:t>C</w:t>
      </w:r>
      <w:r w:rsidRPr="00B8660A">
        <w:rPr>
          <w:rFonts w:asciiTheme="majorHAnsi" w:hAnsiTheme="majorHAnsi" w:cstheme="majorHAnsi"/>
          <w:i/>
          <w:iCs/>
          <w:color w:val="222222"/>
          <w:shd w:val="clear" w:color="auto" w:fill="FFFFFF"/>
          <w:lang w:val="en-GB"/>
        </w:rPr>
        <w:t xml:space="preserve">ircular </w:t>
      </w:r>
      <w:r w:rsidR="00066792" w:rsidRPr="00B8660A">
        <w:rPr>
          <w:rFonts w:asciiTheme="majorHAnsi" w:hAnsiTheme="majorHAnsi" w:cstheme="majorHAnsi"/>
          <w:i/>
          <w:iCs/>
          <w:color w:val="222222"/>
          <w:shd w:val="clear" w:color="auto" w:fill="FFFFFF"/>
          <w:lang w:val="en-GB"/>
        </w:rPr>
        <w:t>E</w:t>
      </w:r>
      <w:r w:rsidRPr="00B8660A">
        <w:rPr>
          <w:rFonts w:asciiTheme="majorHAnsi" w:hAnsiTheme="majorHAnsi" w:cstheme="majorHAnsi"/>
          <w:i/>
          <w:iCs/>
          <w:color w:val="222222"/>
          <w:shd w:val="clear" w:color="auto" w:fill="FFFFFF"/>
          <w:lang w:val="en-GB"/>
        </w:rPr>
        <w:t>conomy</w:t>
      </w:r>
      <w:r w:rsidRPr="00B8660A">
        <w:rPr>
          <w:rFonts w:asciiTheme="majorHAnsi" w:hAnsiTheme="majorHAnsi" w:cstheme="majorHAnsi"/>
          <w:color w:val="222222"/>
          <w:shd w:val="clear" w:color="auto" w:fill="FFFFFF"/>
          <w:lang w:val="en-GB"/>
        </w:rPr>
        <w:t> (pp. 250-265). Edward Elgar Publishing.</w:t>
      </w:r>
    </w:p>
    <w:p w14:paraId="440CEBB8" w14:textId="77777777" w:rsidR="00857288" w:rsidRPr="00B8660A" w:rsidRDefault="00857288" w:rsidP="009865D5">
      <w:pPr>
        <w:spacing w:line="360" w:lineRule="auto"/>
        <w:ind w:left="720" w:hanging="720"/>
        <w:jc w:val="both"/>
        <w:rPr>
          <w:rFonts w:asciiTheme="majorHAnsi" w:hAnsiTheme="majorHAnsi" w:cstheme="majorHAnsi"/>
          <w:color w:val="222222"/>
          <w:shd w:val="clear" w:color="auto" w:fill="FFFFFF"/>
          <w:lang w:val="en-GB"/>
        </w:rPr>
      </w:pPr>
      <w:r w:rsidRPr="00B8660A">
        <w:rPr>
          <w:rFonts w:asciiTheme="majorHAnsi" w:hAnsiTheme="majorHAnsi" w:cstheme="majorHAnsi"/>
          <w:color w:val="222222"/>
          <w:shd w:val="clear" w:color="auto" w:fill="FFFFFF"/>
          <w:lang w:val="en-GB"/>
        </w:rPr>
        <w:t>Böcker, L., &amp; Meelen, T. (2017). Sharing for people, planet or profit? Analysing motivations for intended sharing economy participation. </w:t>
      </w:r>
      <w:r w:rsidRPr="00B8660A">
        <w:rPr>
          <w:rFonts w:asciiTheme="majorHAnsi" w:hAnsiTheme="majorHAnsi" w:cstheme="majorHAnsi"/>
          <w:i/>
          <w:iCs/>
          <w:color w:val="222222"/>
          <w:shd w:val="clear" w:color="auto" w:fill="FFFFFF"/>
          <w:lang w:val="en-GB"/>
        </w:rPr>
        <w:t>Environmental Innovation and Societal Transitions</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23</w:t>
      </w:r>
      <w:r w:rsidRPr="00B8660A">
        <w:rPr>
          <w:rFonts w:asciiTheme="majorHAnsi" w:hAnsiTheme="majorHAnsi" w:cstheme="majorHAnsi"/>
          <w:color w:val="222222"/>
          <w:shd w:val="clear" w:color="auto" w:fill="FFFFFF"/>
          <w:lang w:val="en-GB"/>
        </w:rPr>
        <w:t>, 28-39.</w:t>
      </w:r>
    </w:p>
    <w:p w14:paraId="1B3CE860" w14:textId="3911206D"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Breidbach, C. F., Brodie, R., &amp; Hollebeek, L. (2014). Beyond virtuality: from engagement platforms to engagement ecosystems. </w:t>
      </w:r>
      <w:r w:rsidRPr="00B8660A">
        <w:rPr>
          <w:rFonts w:asciiTheme="majorHAnsi" w:hAnsiTheme="majorHAnsi" w:cstheme="majorHAnsi"/>
          <w:i/>
          <w:highlight w:val="white"/>
          <w:lang w:val="en-GB"/>
        </w:rPr>
        <w:t>Managing Service Quality</w:t>
      </w:r>
      <w:r w:rsidR="00C17F16" w:rsidRPr="00B8660A">
        <w:rPr>
          <w:rFonts w:asciiTheme="majorHAnsi" w:hAnsiTheme="majorHAnsi" w:cstheme="majorHAnsi"/>
          <w:i/>
          <w:highlight w:val="white"/>
          <w:lang w:val="en-GB"/>
        </w:rPr>
        <w:t xml:space="preserve">, </w:t>
      </w:r>
      <w:r w:rsidR="00501443" w:rsidRPr="00B8660A">
        <w:rPr>
          <w:rFonts w:asciiTheme="majorHAnsi" w:hAnsiTheme="majorHAnsi" w:cstheme="majorHAnsi"/>
          <w:i/>
          <w:highlight w:val="white"/>
          <w:lang w:val="en-GB"/>
        </w:rPr>
        <w:t>24</w:t>
      </w:r>
      <w:r w:rsidR="00501443" w:rsidRPr="00B8660A">
        <w:rPr>
          <w:rFonts w:asciiTheme="majorHAnsi" w:hAnsiTheme="majorHAnsi" w:cstheme="majorHAnsi"/>
          <w:highlight w:val="white"/>
          <w:lang w:val="en-GB"/>
        </w:rPr>
        <w:t>(6)</w:t>
      </w:r>
      <w:r w:rsidR="00D92659" w:rsidRPr="00B8660A">
        <w:rPr>
          <w:rFonts w:asciiTheme="majorHAnsi" w:hAnsiTheme="majorHAnsi" w:cstheme="majorHAnsi"/>
          <w:highlight w:val="white"/>
          <w:lang w:val="en-GB"/>
        </w:rPr>
        <w:t xml:space="preserve">, </w:t>
      </w:r>
      <w:r w:rsidR="00350CD2" w:rsidRPr="00B8660A">
        <w:rPr>
          <w:rFonts w:asciiTheme="majorHAnsi" w:hAnsiTheme="majorHAnsi" w:cstheme="majorHAnsi"/>
          <w:highlight w:val="white"/>
          <w:lang w:val="en-GB"/>
        </w:rPr>
        <w:t>592-611</w:t>
      </w:r>
      <w:r w:rsidRPr="00B8660A">
        <w:rPr>
          <w:rFonts w:asciiTheme="majorHAnsi" w:hAnsiTheme="majorHAnsi" w:cstheme="majorHAnsi"/>
          <w:highlight w:val="white"/>
          <w:lang w:val="en-GB"/>
        </w:rPr>
        <w:t>.</w:t>
      </w:r>
    </w:p>
    <w:p w14:paraId="0AAB6ACB" w14:textId="0184EDFD"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Breidbach, C. F., &amp; Brodie, R. J. (2017). Engagement platforms in the sharing economy: conceptual foundations and research directions. </w:t>
      </w:r>
      <w:r w:rsidRPr="00B8660A">
        <w:rPr>
          <w:rFonts w:asciiTheme="majorHAnsi" w:hAnsiTheme="majorHAnsi" w:cstheme="majorHAnsi"/>
          <w:i/>
          <w:highlight w:val="white"/>
          <w:lang w:val="en-GB"/>
        </w:rPr>
        <w:t>Journal of Service Theory and Practice</w:t>
      </w:r>
      <w:r w:rsidR="00501443" w:rsidRPr="00B8660A">
        <w:rPr>
          <w:rFonts w:asciiTheme="majorHAnsi" w:hAnsiTheme="majorHAnsi" w:cstheme="majorHAnsi"/>
          <w:i/>
          <w:highlight w:val="white"/>
          <w:lang w:val="en-GB"/>
        </w:rPr>
        <w:t>, 27</w:t>
      </w:r>
      <w:r w:rsidR="00501443" w:rsidRPr="00B8660A">
        <w:rPr>
          <w:rFonts w:asciiTheme="majorHAnsi" w:hAnsiTheme="majorHAnsi" w:cstheme="majorHAnsi"/>
          <w:highlight w:val="white"/>
          <w:lang w:val="en-GB"/>
        </w:rPr>
        <w:t>(4)</w:t>
      </w:r>
      <w:r w:rsidR="00D92659" w:rsidRPr="00B8660A">
        <w:rPr>
          <w:rFonts w:asciiTheme="majorHAnsi" w:hAnsiTheme="majorHAnsi" w:cstheme="majorHAnsi"/>
          <w:highlight w:val="white"/>
          <w:lang w:val="en-GB"/>
        </w:rPr>
        <w:t>, 761-777</w:t>
      </w:r>
      <w:r w:rsidRPr="00B8660A">
        <w:rPr>
          <w:rFonts w:asciiTheme="majorHAnsi" w:hAnsiTheme="majorHAnsi" w:cstheme="majorHAnsi"/>
          <w:highlight w:val="white"/>
          <w:lang w:val="en-GB"/>
        </w:rPr>
        <w:t>.</w:t>
      </w:r>
    </w:p>
    <w:p w14:paraId="3D4D73D4" w14:textId="77777777" w:rsidR="004618FC" w:rsidRPr="00D16C70" w:rsidRDefault="004618FC" w:rsidP="004618FC">
      <w:pPr>
        <w:widowControl w:val="0"/>
        <w:autoSpaceDE w:val="0"/>
        <w:autoSpaceDN w:val="0"/>
        <w:adjustRightInd w:val="0"/>
        <w:spacing w:line="480" w:lineRule="auto"/>
        <w:ind w:left="720" w:hanging="720"/>
        <w:rPr>
          <w:rFonts w:asciiTheme="majorHAnsi" w:hAnsiTheme="majorHAnsi" w:cstheme="majorHAnsi"/>
          <w:szCs w:val="24"/>
          <w:lang w:val="en-GB"/>
        </w:rPr>
      </w:pPr>
      <w:r w:rsidRPr="00D16C70">
        <w:rPr>
          <w:rFonts w:asciiTheme="majorHAnsi" w:hAnsiTheme="majorHAnsi" w:cstheme="majorHAnsi"/>
          <w:szCs w:val="24"/>
          <w:lang w:val="en-GB"/>
        </w:rPr>
        <w:t xml:space="preserve">Brodie, R. J., Fehrer, J. A., Jaakkola, E., &amp; Conduit, J. (2019). Actor Engagement in Networks: Defining the Conceptual Domain. </w:t>
      </w:r>
      <w:r w:rsidRPr="00D16C70">
        <w:rPr>
          <w:rFonts w:asciiTheme="majorHAnsi" w:hAnsiTheme="majorHAnsi" w:cstheme="majorHAnsi"/>
          <w:i/>
          <w:iCs/>
          <w:szCs w:val="24"/>
          <w:lang w:val="en-GB"/>
        </w:rPr>
        <w:t>Journal of Service Research</w:t>
      </w:r>
      <w:r w:rsidRPr="00D16C70">
        <w:rPr>
          <w:rFonts w:asciiTheme="majorHAnsi" w:hAnsiTheme="majorHAnsi" w:cstheme="majorHAnsi"/>
          <w:szCs w:val="24"/>
          <w:lang w:val="en-GB"/>
        </w:rPr>
        <w:t xml:space="preserve">, </w:t>
      </w:r>
      <w:r w:rsidRPr="00D16C70">
        <w:rPr>
          <w:rFonts w:asciiTheme="majorHAnsi" w:hAnsiTheme="majorHAnsi" w:cstheme="majorHAnsi"/>
          <w:i/>
          <w:iCs/>
          <w:szCs w:val="24"/>
          <w:lang w:val="en-GB"/>
        </w:rPr>
        <w:t>22</w:t>
      </w:r>
      <w:r w:rsidRPr="00D16C70">
        <w:rPr>
          <w:rFonts w:asciiTheme="majorHAnsi" w:hAnsiTheme="majorHAnsi" w:cstheme="majorHAnsi"/>
          <w:szCs w:val="24"/>
          <w:lang w:val="en-GB"/>
        </w:rPr>
        <w:t>(2), 173–188. https://doi.org/10.1177/1094670519827385</w:t>
      </w:r>
    </w:p>
    <w:p w14:paraId="6D2C9EE6" w14:textId="67387239"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Brodie, R. J., Hollebeek, L. D., Jurić, B., &amp; Ilić, A. (2011). Customer </w:t>
      </w:r>
      <w:r w:rsidR="009F6045" w:rsidRPr="00B8660A">
        <w:rPr>
          <w:rFonts w:asciiTheme="majorHAnsi" w:hAnsiTheme="majorHAnsi" w:cstheme="majorHAnsi"/>
          <w:lang w:val="en-GB"/>
        </w:rPr>
        <w:t>e</w:t>
      </w:r>
      <w:r w:rsidRPr="00B8660A">
        <w:rPr>
          <w:rFonts w:asciiTheme="majorHAnsi" w:hAnsiTheme="majorHAnsi" w:cstheme="majorHAnsi"/>
          <w:lang w:val="en-GB"/>
        </w:rPr>
        <w:t xml:space="preserve">ngagement: Conceptual </w:t>
      </w:r>
      <w:r w:rsidR="009F6045" w:rsidRPr="00B8660A">
        <w:rPr>
          <w:rFonts w:asciiTheme="majorHAnsi" w:hAnsiTheme="majorHAnsi" w:cstheme="majorHAnsi"/>
          <w:lang w:val="en-GB"/>
        </w:rPr>
        <w:t>d</w:t>
      </w:r>
      <w:r w:rsidRPr="00B8660A">
        <w:rPr>
          <w:rFonts w:asciiTheme="majorHAnsi" w:hAnsiTheme="majorHAnsi" w:cstheme="majorHAnsi"/>
          <w:lang w:val="en-GB"/>
        </w:rPr>
        <w:t xml:space="preserve">omain, </w:t>
      </w:r>
      <w:r w:rsidR="009F6045" w:rsidRPr="00B8660A">
        <w:rPr>
          <w:rFonts w:asciiTheme="majorHAnsi" w:hAnsiTheme="majorHAnsi" w:cstheme="majorHAnsi"/>
          <w:lang w:val="en-GB"/>
        </w:rPr>
        <w:t>f</w:t>
      </w:r>
      <w:r w:rsidRPr="00B8660A">
        <w:rPr>
          <w:rFonts w:asciiTheme="majorHAnsi" w:hAnsiTheme="majorHAnsi" w:cstheme="majorHAnsi"/>
          <w:lang w:val="en-GB"/>
        </w:rPr>
        <w:t xml:space="preserve">undamental </w:t>
      </w:r>
      <w:r w:rsidR="009F6045" w:rsidRPr="00B8660A">
        <w:rPr>
          <w:rFonts w:asciiTheme="majorHAnsi" w:hAnsiTheme="majorHAnsi" w:cstheme="majorHAnsi"/>
          <w:lang w:val="en-GB"/>
        </w:rPr>
        <w:t>p</w:t>
      </w:r>
      <w:r w:rsidRPr="00B8660A">
        <w:rPr>
          <w:rFonts w:asciiTheme="majorHAnsi" w:hAnsiTheme="majorHAnsi" w:cstheme="majorHAnsi"/>
          <w:lang w:val="en-GB"/>
        </w:rPr>
        <w:t xml:space="preserve">ropositions, and </w:t>
      </w:r>
      <w:r w:rsidR="009F6045" w:rsidRPr="00B8660A">
        <w:rPr>
          <w:rFonts w:asciiTheme="majorHAnsi" w:hAnsiTheme="majorHAnsi" w:cstheme="majorHAnsi"/>
          <w:lang w:val="en-GB"/>
        </w:rPr>
        <w:t>i</w:t>
      </w:r>
      <w:r w:rsidRPr="00B8660A">
        <w:rPr>
          <w:rFonts w:asciiTheme="majorHAnsi" w:hAnsiTheme="majorHAnsi" w:cstheme="majorHAnsi"/>
          <w:lang w:val="en-GB"/>
        </w:rPr>
        <w:t xml:space="preserve">mplications for </w:t>
      </w:r>
      <w:r w:rsidR="009F6045" w:rsidRPr="00B8660A">
        <w:rPr>
          <w:rFonts w:asciiTheme="majorHAnsi" w:hAnsiTheme="majorHAnsi" w:cstheme="majorHAnsi"/>
          <w:lang w:val="en-GB"/>
        </w:rPr>
        <w:t>r</w:t>
      </w:r>
      <w:r w:rsidRPr="00B8660A">
        <w:rPr>
          <w:rFonts w:asciiTheme="majorHAnsi" w:hAnsiTheme="majorHAnsi" w:cstheme="majorHAnsi"/>
          <w:lang w:val="en-GB"/>
        </w:rPr>
        <w:t xml:space="preserve">esearch. </w:t>
      </w:r>
      <w:r w:rsidRPr="00B8660A">
        <w:rPr>
          <w:rFonts w:asciiTheme="majorHAnsi" w:hAnsiTheme="majorHAnsi" w:cstheme="majorHAnsi"/>
          <w:i/>
          <w:lang w:val="en-GB"/>
        </w:rPr>
        <w:t>Journal of Service Research</w:t>
      </w:r>
      <w:r w:rsidRPr="00B8660A">
        <w:rPr>
          <w:rFonts w:asciiTheme="majorHAnsi" w:hAnsiTheme="majorHAnsi" w:cstheme="majorHAnsi"/>
          <w:lang w:val="en-GB"/>
        </w:rPr>
        <w:t xml:space="preserve">, </w:t>
      </w:r>
      <w:r w:rsidRPr="00B8660A">
        <w:rPr>
          <w:rFonts w:asciiTheme="majorHAnsi" w:hAnsiTheme="majorHAnsi" w:cstheme="majorHAnsi"/>
          <w:i/>
          <w:lang w:val="en-GB"/>
        </w:rPr>
        <w:t>14</w:t>
      </w:r>
      <w:r w:rsidRPr="00B8660A">
        <w:rPr>
          <w:rFonts w:asciiTheme="majorHAnsi" w:hAnsiTheme="majorHAnsi" w:cstheme="majorHAnsi"/>
          <w:lang w:val="en-GB"/>
        </w:rPr>
        <w:t>(3), 252–271. https://doi.org/10.1177/1094670511411703</w:t>
      </w:r>
    </w:p>
    <w:p w14:paraId="0CE66518" w14:textId="50A392BB"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D16C70">
        <w:rPr>
          <w:rFonts w:asciiTheme="majorHAnsi" w:hAnsiTheme="majorHAnsi" w:cstheme="majorHAnsi"/>
          <w:highlight w:val="white"/>
          <w:lang w:val="en-GB"/>
        </w:rPr>
        <w:lastRenderedPageBreak/>
        <w:t>De Bruyne, M.</w:t>
      </w:r>
      <w:r w:rsidR="00EA15FD" w:rsidRPr="00D16C70">
        <w:rPr>
          <w:rFonts w:asciiTheme="majorHAnsi" w:hAnsiTheme="majorHAnsi" w:cstheme="majorHAnsi"/>
          <w:highlight w:val="white"/>
          <w:lang w:val="en-GB"/>
        </w:rPr>
        <w:t>-</w:t>
      </w:r>
      <w:r w:rsidRPr="00D16C70">
        <w:rPr>
          <w:rFonts w:asciiTheme="majorHAnsi" w:hAnsiTheme="majorHAnsi" w:cstheme="majorHAnsi"/>
          <w:highlight w:val="white"/>
          <w:lang w:val="en-GB"/>
        </w:rPr>
        <w:t xml:space="preserve">J., &amp; Verleye, K. (2022). </w:t>
      </w:r>
      <w:r w:rsidRPr="00B8660A">
        <w:rPr>
          <w:rFonts w:asciiTheme="majorHAnsi" w:hAnsiTheme="majorHAnsi" w:cstheme="majorHAnsi"/>
          <w:highlight w:val="white"/>
          <w:lang w:val="en-GB"/>
        </w:rPr>
        <w:t xml:space="preserve">Realizing the economic and circular potential of sharing business models by engaging consumers. </w:t>
      </w:r>
      <w:r w:rsidRPr="00B8660A">
        <w:rPr>
          <w:rFonts w:asciiTheme="majorHAnsi" w:hAnsiTheme="majorHAnsi" w:cstheme="majorHAnsi"/>
          <w:i/>
          <w:highlight w:val="white"/>
          <w:lang w:val="en-GB"/>
        </w:rPr>
        <w:t>Journal of Service Management</w:t>
      </w:r>
      <w:r w:rsidRPr="00B8660A">
        <w:rPr>
          <w:rFonts w:asciiTheme="majorHAnsi" w:hAnsiTheme="majorHAnsi" w:cstheme="majorHAnsi"/>
          <w:highlight w:val="white"/>
          <w:lang w:val="en-GB"/>
        </w:rPr>
        <w:t>, (ahead-of-print).</w:t>
      </w:r>
    </w:p>
    <w:p w14:paraId="7DC1134B" w14:textId="77777777"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De Bruyne, M.-J., Verleye, K., Slabbinck, H., &amp; Crucke, S. (2022). Full throttle! Engaging ethnic minority and majority consumers in car sharing. </w:t>
      </w:r>
      <w:r w:rsidRPr="00B8660A">
        <w:rPr>
          <w:rFonts w:asciiTheme="majorHAnsi" w:hAnsiTheme="majorHAnsi" w:cstheme="majorHAnsi"/>
          <w:i/>
          <w:highlight w:val="white"/>
          <w:lang w:val="en-GB"/>
        </w:rPr>
        <w:t>Academy of Management Proceedings</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2022</w:t>
      </w:r>
      <w:r w:rsidRPr="00B8660A">
        <w:rPr>
          <w:rFonts w:asciiTheme="majorHAnsi" w:hAnsiTheme="majorHAnsi" w:cstheme="majorHAnsi"/>
          <w:highlight w:val="white"/>
          <w:lang w:val="en-GB"/>
        </w:rPr>
        <w:t>(1).</w:t>
      </w:r>
    </w:p>
    <w:p w14:paraId="730E32AF" w14:textId="77777777"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De Keyser, A., Verleye, K., Lemon, K. N., Keiningham, T. L., &amp; Klaus, P. (2020). Moving the customer experience field forward: introducing the touchpoints, context, qualities (TCQ) nomenclature. </w:t>
      </w:r>
      <w:r w:rsidRPr="00B8660A">
        <w:rPr>
          <w:rFonts w:asciiTheme="majorHAnsi" w:hAnsiTheme="majorHAnsi" w:cstheme="majorHAnsi"/>
          <w:i/>
          <w:highlight w:val="white"/>
          <w:lang w:val="en-GB"/>
        </w:rPr>
        <w:t>Journal of Service Research</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23</w:t>
      </w:r>
      <w:r w:rsidRPr="00B8660A">
        <w:rPr>
          <w:rFonts w:asciiTheme="majorHAnsi" w:hAnsiTheme="majorHAnsi" w:cstheme="majorHAnsi"/>
          <w:highlight w:val="white"/>
          <w:lang w:val="en-GB"/>
        </w:rPr>
        <w:t>(4), 433-455.</w:t>
      </w:r>
    </w:p>
    <w:p w14:paraId="263E3756" w14:textId="77777777" w:rsidR="004618FC" w:rsidRPr="00D16C70" w:rsidRDefault="004618FC" w:rsidP="004618FC">
      <w:pPr>
        <w:widowControl w:val="0"/>
        <w:autoSpaceDE w:val="0"/>
        <w:autoSpaceDN w:val="0"/>
        <w:adjustRightInd w:val="0"/>
        <w:spacing w:line="480" w:lineRule="auto"/>
        <w:ind w:left="720" w:hanging="720"/>
        <w:rPr>
          <w:rFonts w:asciiTheme="majorHAnsi" w:hAnsiTheme="majorHAnsi" w:cstheme="majorHAnsi"/>
          <w:szCs w:val="24"/>
          <w:lang w:val="en-GB"/>
        </w:rPr>
      </w:pPr>
      <w:r w:rsidRPr="00D16C70">
        <w:rPr>
          <w:rFonts w:asciiTheme="majorHAnsi" w:hAnsiTheme="majorHAnsi" w:cstheme="majorHAnsi"/>
          <w:szCs w:val="24"/>
          <w:lang w:val="en-GB"/>
        </w:rPr>
        <w:t xml:space="preserve">Do, Q., Mishra, N., Colicchia, C., Creazza, A., &amp; Ramudhin, A. (2022). An extended institutional theory perspective on the adoption of circular economy practices: Insights from the seafood industry. </w:t>
      </w:r>
      <w:r w:rsidRPr="00D16C70">
        <w:rPr>
          <w:rFonts w:asciiTheme="majorHAnsi" w:hAnsiTheme="majorHAnsi" w:cstheme="majorHAnsi"/>
          <w:i/>
          <w:iCs/>
          <w:szCs w:val="24"/>
          <w:lang w:val="en-GB"/>
        </w:rPr>
        <w:t>International Journal of Production Economics</w:t>
      </w:r>
      <w:r w:rsidRPr="00D16C70">
        <w:rPr>
          <w:rFonts w:asciiTheme="majorHAnsi" w:hAnsiTheme="majorHAnsi" w:cstheme="majorHAnsi"/>
          <w:szCs w:val="24"/>
          <w:lang w:val="en-GB"/>
        </w:rPr>
        <w:t xml:space="preserve">, </w:t>
      </w:r>
      <w:r w:rsidRPr="00D16C70">
        <w:rPr>
          <w:rFonts w:asciiTheme="majorHAnsi" w:hAnsiTheme="majorHAnsi" w:cstheme="majorHAnsi"/>
          <w:i/>
          <w:iCs/>
          <w:szCs w:val="24"/>
          <w:lang w:val="en-GB"/>
        </w:rPr>
        <w:t>247</w:t>
      </w:r>
      <w:r w:rsidRPr="00D16C70">
        <w:rPr>
          <w:rFonts w:asciiTheme="majorHAnsi" w:hAnsiTheme="majorHAnsi" w:cstheme="majorHAnsi"/>
          <w:szCs w:val="24"/>
          <w:lang w:val="en-GB"/>
        </w:rPr>
        <w:t>, 108400. https://doi.org/10.1016/j.ijpe.2021.108400</w:t>
      </w:r>
    </w:p>
    <w:p w14:paraId="02BB48F5"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Ellen MacArthur Foundation. (2013). </w:t>
      </w:r>
      <w:r w:rsidRPr="00B8660A">
        <w:rPr>
          <w:rFonts w:asciiTheme="majorHAnsi" w:hAnsiTheme="majorHAnsi" w:cstheme="majorHAnsi"/>
          <w:i/>
          <w:lang w:val="en-GB"/>
        </w:rPr>
        <w:t>Towards the Circular Economy</w:t>
      </w:r>
      <w:r w:rsidRPr="00B8660A">
        <w:rPr>
          <w:rFonts w:asciiTheme="majorHAnsi" w:hAnsiTheme="majorHAnsi" w:cstheme="majorHAnsi"/>
          <w:lang w:val="en-GB"/>
        </w:rPr>
        <w:t>.</w:t>
      </w:r>
    </w:p>
    <w:p w14:paraId="65EA8956"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Elzinga, R., Reike, D., Negro, S. O., &amp; Boon, W. P. (2020). Consumer acceptance of circular business models. </w:t>
      </w:r>
      <w:r w:rsidRPr="00B8660A">
        <w:rPr>
          <w:rFonts w:asciiTheme="majorHAnsi" w:hAnsiTheme="majorHAnsi" w:cstheme="majorHAnsi"/>
          <w:i/>
          <w:lang w:val="en-GB"/>
        </w:rPr>
        <w:t>Journal of Cleaner Production</w:t>
      </w:r>
      <w:r w:rsidRPr="00B8660A">
        <w:rPr>
          <w:rFonts w:asciiTheme="majorHAnsi" w:hAnsiTheme="majorHAnsi" w:cstheme="majorHAnsi"/>
          <w:lang w:val="en-GB"/>
        </w:rPr>
        <w:t xml:space="preserve">, </w:t>
      </w:r>
      <w:r w:rsidRPr="00B8660A">
        <w:rPr>
          <w:rFonts w:asciiTheme="majorHAnsi" w:hAnsiTheme="majorHAnsi" w:cstheme="majorHAnsi"/>
          <w:i/>
          <w:lang w:val="en-GB"/>
        </w:rPr>
        <w:t>254</w:t>
      </w:r>
      <w:r w:rsidRPr="00B8660A">
        <w:rPr>
          <w:rFonts w:asciiTheme="majorHAnsi" w:hAnsiTheme="majorHAnsi" w:cstheme="majorHAnsi"/>
          <w:lang w:val="en-GB"/>
        </w:rPr>
        <w:t>, 119988.</w:t>
      </w:r>
    </w:p>
    <w:p w14:paraId="71A39A22" w14:textId="5926FC8C"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Esposito, M., Tse, T., &amp; Soufani, K. (2017). Is the </w:t>
      </w:r>
      <w:r w:rsidR="00487EE3" w:rsidRPr="00B8660A">
        <w:rPr>
          <w:rFonts w:asciiTheme="majorHAnsi" w:hAnsiTheme="majorHAnsi" w:cstheme="majorHAnsi"/>
          <w:lang w:val="en-GB"/>
        </w:rPr>
        <w:t>c</w:t>
      </w:r>
      <w:r w:rsidRPr="00B8660A">
        <w:rPr>
          <w:rFonts w:asciiTheme="majorHAnsi" w:hAnsiTheme="majorHAnsi" w:cstheme="majorHAnsi"/>
          <w:lang w:val="en-GB"/>
        </w:rPr>
        <w:t xml:space="preserve">ircular </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conomy a </w:t>
      </w:r>
      <w:r w:rsidR="00487EE3" w:rsidRPr="00B8660A">
        <w:rPr>
          <w:rFonts w:asciiTheme="majorHAnsi" w:hAnsiTheme="majorHAnsi" w:cstheme="majorHAnsi"/>
          <w:lang w:val="en-GB"/>
        </w:rPr>
        <w:t>n</w:t>
      </w:r>
      <w:r w:rsidRPr="00B8660A">
        <w:rPr>
          <w:rFonts w:asciiTheme="majorHAnsi" w:hAnsiTheme="majorHAnsi" w:cstheme="majorHAnsi"/>
          <w:lang w:val="en-GB"/>
        </w:rPr>
        <w:t xml:space="preserve">ew </w:t>
      </w:r>
      <w:r w:rsidR="00487EE3" w:rsidRPr="00B8660A">
        <w:rPr>
          <w:rFonts w:asciiTheme="majorHAnsi" w:hAnsiTheme="majorHAnsi" w:cstheme="majorHAnsi"/>
          <w:lang w:val="en-GB"/>
        </w:rPr>
        <w:t>f</w:t>
      </w:r>
      <w:r w:rsidRPr="00B8660A">
        <w:rPr>
          <w:rFonts w:asciiTheme="majorHAnsi" w:hAnsiTheme="majorHAnsi" w:cstheme="majorHAnsi"/>
          <w:lang w:val="en-GB"/>
        </w:rPr>
        <w:t>ast-</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xpanding </w:t>
      </w:r>
      <w:r w:rsidR="00487EE3" w:rsidRPr="00B8660A">
        <w:rPr>
          <w:rFonts w:asciiTheme="majorHAnsi" w:hAnsiTheme="majorHAnsi" w:cstheme="majorHAnsi"/>
          <w:lang w:val="en-GB"/>
        </w:rPr>
        <w:t>m</w:t>
      </w:r>
      <w:r w:rsidRPr="00B8660A">
        <w:rPr>
          <w:rFonts w:asciiTheme="majorHAnsi" w:hAnsiTheme="majorHAnsi" w:cstheme="majorHAnsi"/>
          <w:lang w:val="en-GB"/>
        </w:rPr>
        <w:t xml:space="preserve">arket? </w:t>
      </w:r>
      <w:r w:rsidRPr="00B8660A">
        <w:rPr>
          <w:rFonts w:asciiTheme="majorHAnsi" w:hAnsiTheme="majorHAnsi" w:cstheme="majorHAnsi"/>
          <w:i/>
          <w:lang w:val="en-GB"/>
        </w:rPr>
        <w:t>Thunderbird International Business Review</w:t>
      </w:r>
      <w:r w:rsidRPr="00B8660A">
        <w:rPr>
          <w:rFonts w:asciiTheme="majorHAnsi" w:hAnsiTheme="majorHAnsi" w:cstheme="majorHAnsi"/>
          <w:lang w:val="en-GB"/>
        </w:rPr>
        <w:t xml:space="preserve">, </w:t>
      </w:r>
      <w:r w:rsidRPr="00B8660A">
        <w:rPr>
          <w:rFonts w:asciiTheme="majorHAnsi" w:hAnsiTheme="majorHAnsi" w:cstheme="majorHAnsi"/>
          <w:i/>
          <w:lang w:val="en-GB"/>
        </w:rPr>
        <w:t>59</w:t>
      </w:r>
      <w:r w:rsidRPr="00B8660A">
        <w:rPr>
          <w:rFonts w:asciiTheme="majorHAnsi" w:hAnsiTheme="majorHAnsi" w:cstheme="majorHAnsi"/>
          <w:lang w:val="en-GB"/>
        </w:rPr>
        <w:t>(1), 9–14. https://doi.org/10.1002/tie.21764</w:t>
      </w:r>
    </w:p>
    <w:p w14:paraId="2C5CFECB"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European Commission. (2019). </w:t>
      </w:r>
      <w:r w:rsidRPr="00B8660A">
        <w:rPr>
          <w:rFonts w:asciiTheme="majorHAnsi" w:hAnsiTheme="majorHAnsi" w:cstheme="majorHAnsi"/>
          <w:i/>
          <w:lang w:val="en-GB"/>
        </w:rPr>
        <w:t>REPORT FROM THE COMMISSION TO THE EUROPEAN PARLIAMENT, THE COUNCIL, THE EUROPEAN ECONOMIC AND SOCIAL COMMITTEE AND THE COMMITTEE OF THE REGIONS on the implementation of the Circular Economy Action Plan</w:t>
      </w:r>
      <w:r w:rsidRPr="00B8660A">
        <w:rPr>
          <w:rFonts w:asciiTheme="majorHAnsi" w:hAnsiTheme="majorHAnsi" w:cstheme="majorHAnsi"/>
          <w:lang w:val="en-GB"/>
        </w:rPr>
        <w:t xml:space="preserve"> (COM/2019/190 final). https://eur-lex.europa.eu/legal-content/EN/TXT/?qid=1551871195772&amp;uri=CELEX:52019DC0190</w:t>
      </w:r>
    </w:p>
    <w:p w14:paraId="2FB3EE6C" w14:textId="77777777" w:rsidR="00857288" w:rsidRPr="00B8660A" w:rsidRDefault="00857288" w:rsidP="009865D5">
      <w:pPr>
        <w:spacing w:line="360" w:lineRule="auto"/>
        <w:ind w:left="720" w:hanging="720"/>
        <w:jc w:val="both"/>
        <w:rPr>
          <w:rFonts w:asciiTheme="majorHAnsi" w:hAnsiTheme="majorHAnsi" w:cstheme="majorHAnsi"/>
          <w:color w:val="222222"/>
          <w:shd w:val="clear" w:color="auto" w:fill="FFFFFF"/>
          <w:lang w:val="en-GB"/>
        </w:rPr>
      </w:pPr>
      <w:proofErr w:type="spellStart"/>
      <w:r w:rsidRPr="004375CB">
        <w:rPr>
          <w:rFonts w:asciiTheme="majorHAnsi" w:hAnsiTheme="majorHAnsi" w:cstheme="majorHAnsi"/>
          <w:color w:val="222222"/>
          <w:shd w:val="clear" w:color="auto" w:fill="FFFFFF"/>
          <w:lang w:val="fr-BE"/>
        </w:rPr>
        <w:t>Falchi</w:t>
      </w:r>
      <w:proofErr w:type="spellEnd"/>
      <w:r w:rsidRPr="004375CB">
        <w:rPr>
          <w:rFonts w:asciiTheme="majorHAnsi" w:hAnsiTheme="majorHAnsi" w:cstheme="majorHAnsi"/>
          <w:color w:val="222222"/>
          <w:shd w:val="clear" w:color="auto" w:fill="FFFFFF"/>
          <w:lang w:val="fr-BE"/>
        </w:rPr>
        <w:t xml:space="preserve">, A., Grolleau, G., &amp; </w:t>
      </w:r>
      <w:proofErr w:type="spellStart"/>
      <w:r w:rsidRPr="004375CB">
        <w:rPr>
          <w:rFonts w:asciiTheme="majorHAnsi" w:hAnsiTheme="majorHAnsi" w:cstheme="majorHAnsi"/>
          <w:color w:val="222222"/>
          <w:shd w:val="clear" w:color="auto" w:fill="FFFFFF"/>
          <w:lang w:val="fr-BE"/>
        </w:rPr>
        <w:t>Mzoughi</w:t>
      </w:r>
      <w:proofErr w:type="spellEnd"/>
      <w:r w:rsidRPr="004375CB">
        <w:rPr>
          <w:rFonts w:asciiTheme="majorHAnsi" w:hAnsiTheme="majorHAnsi" w:cstheme="majorHAnsi"/>
          <w:color w:val="222222"/>
          <w:shd w:val="clear" w:color="auto" w:fill="FFFFFF"/>
          <w:lang w:val="fr-BE"/>
        </w:rPr>
        <w:t xml:space="preserve">, N. (2022). </w:t>
      </w:r>
      <w:r w:rsidRPr="00B8660A">
        <w:rPr>
          <w:rFonts w:asciiTheme="majorHAnsi" w:hAnsiTheme="majorHAnsi" w:cstheme="majorHAnsi"/>
          <w:color w:val="222222"/>
          <w:shd w:val="clear" w:color="auto" w:fill="FFFFFF"/>
          <w:lang w:val="en-GB"/>
        </w:rPr>
        <w:t>Why companies might under‐communicate their efforts for sustainable development and what can be done?. </w:t>
      </w:r>
      <w:r w:rsidRPr="00B8660A">
        <w:rPr>
          <w:rFonts w:asciiTheme="majorHAnsi" w:hAnsiTheme="majorHAnsi" w:cstheme="majorHAnsi"/>
          <w:i/>
          <w:iCs/>
          <w:color w:val="222222"/>
          <w:shd w:val="clear" w:color="auto" w:fill="FFFFFF"/>
          <w:lang w:val="en-GB"/>
        </w:rPr>
        <w:t>Business Strategy and the Environment</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31</w:t>
      </w:r>
      <w:r w:rsidRPr="00B8660A">
        <w:rPr>
          <w:rFonts w:asciiTheme="majorHAnsi" w:hAnsiTheme="majorHAnsi" w:cstheme="majorHAnsi"/>
          <w:color w:val="222222"/>
          <w:shd w:val="clear" w:color="auto" w:fill="FFFFFF"/>
          <w:lang w:val="en-GB"/>
        </w:rPr>
        <w:t>(5), 1938-1946.</w:t>
      </w:r>
    </w:p>
    <w:p w14:paraId="06A76FB7" w14:textId="7D5136E5"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Fehrer, J. A., &amp; Wieland, H. (2021). A systemic logic for circular business models. </w:t>
      </w:r>
      <w:r w:rsidRPr="00B8660A">
        <w:rPr>
          <w:rFonts w:asciiTheme="majorHAnsi" w:hAnsiTheme="majorHAnsi" w:cstheme="majorHAnsi"/>
          <w:i/>
          <w:lang w:val="en-GB"/>
        </w:rPr>
        <w:t>Journal of Business Research</w:t>
      </w:r>
      <w:r w:rsidRPr="00B8660A">
        <w:rPr>
          <w:rFonts w:asciiTheme="majorHAnsi" w:hAnsiTheme="majorHAnsi" w:cstheme="majorHAnsi"/>
          <w:lang w:val="en-GB"/>
        </w:rPr>
        <w:t xml:space="preserve">, </w:t>
      </w:r>
      <w:r w:rsidRPr="00B8660A">
        <w:rPr>
          <w:rFonts w:asciiTheme="majorHAnsi" w:hAnsiTheme="majorHAnsi" w:cstheme="majorHAnsi"/>
          <w:i/>
          <w:lang w:val="en-GB"/>
        </w:rPr>
        <w:t>125</w:t>
      </w:r>
      <w:r w:rsidRPr="00B8660A">
        <w:rPr>
          <w:rFonts w:asciiTheme="majorHAnsi" w:hAnsiTheme="majorHAnsi" w:cstheme="majorHAnsi"/>
          <w:lang w:val="en-GB"/>
        </w:rPr>
        <w:t>, 609–620. https://doi.org/10.1016/j.jbusres.2020.02.010</w:t>
      </w:r>
    </w:p>
    <w:p w14:paraId="771294D9" w14:textId="77777777" w:rsidR="007E596C" w:rsidRPr="00D16C70" w:rsidRDefault="007E596C" w:rsidP="009865D5">
      <w:pPr>
        <w:spacing w:line="360" w:lineRule="auto"/>
        <w:ind w:left="720" w:hanging="720"/>
        <w:jc w:val="both"/>
        <w:rPr>
          <w:rFonts w:asciiTheme="majorHAnsi" w:hAnsiTheme="majorHAnsi" w:cstheme="majorHAnsi"/>
          <w:color w:val="222222"/>
          <w:szCs w:val="20"/>
          <w:shd w:val="clear" w:color="auto" w:fill="FFFFFF"/>
          <w:lang w:val="en-GB"/>
        </w:rPr>
      </w:pPr>
      <w:r w:rsidRPr="00D16C70">
        <w:rPr>
          <w:rFonts w:asciiTheme="majorHAnsi" w:hAnsiTheme="majorHAnsi" w:cstheme="majorHAnsi"/>
          <w:color w:val="222222"/>
          <w:szCs w:val="20"/>
          <w:shd w:val="clear" w:color="auto" w:fill="FFFFFF"/>
          <w:lang w:val="en-GB"/>
        </w:rPr>
        <w:t>Freudenreich, B., &amp; Schaltegger, S. (2020). Developing sufficiency-oriented offerings for clothing users: Business approaches to support consumption reduction. </w:t>
      </w:r>
      <w:r w:rsidRPr="00D16C70">
        <w:rPr>
          <w:rFonts w:asciiTheme="majorHAnsi" w:hAnsiTheme="majorHAnsi" w:cstheme="majorHAnsi"/>
          <w:i/>
          <w:iCs/>
          <w:color w:val="222222"/>
          <w:szCs w:val="20"/>
          <w:shd w:val="clear" w:color="auto" w:fill="FFFFFF"/>
          <w:lang w:val="en-GB"/>
        </w:rPr>
        <w:t>Journal of Cleaner Production</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247</w:t>
      </w:r>
      <w:r w:rsidRPr="00D16C70">
        <w:rPr>
          <w:rFonts w:asciiTheme="majorHAnsi" w:hAnsiTheme="majorHAnsi" w:cstheme="majorHAnsi"/>
          <w:color w:val="222222"/>
          <w:szCs w:val="20"/>
          <w:shd w:val="clear" w:color="auto" w:fill="FFFFFF"/>
          <w:lang w:val="en-GB"/>
        </w:rPr>
        <w:t>, 119589.</w:t>
      </w:r>
    </w:p>
    <w:p w14:paraId="263D9A1A"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lastRenderedPageBreak/>
        <w:t xml:space="preserve">Geissdoerfer, M., Pieroni, M. P. P., Pigosso, D. C. A., &amp; Soufani, K. (2020). Circular business models: A review. </w:t>
      </w:r>
      <w:r w:rsidRPr="00B8660A">
        <w:rPr>
          <w:rFonts w:asciiTheme="majorHAnsi" w:hAnsiTheme="majorHAnsi" w:cstheme="majorHAnsi"/>
          <w:i/>
          <w:lang w:val="en-GB"/>
        </w:rPr>
        <w:t>Journal of Cleaner Production</w:t>
      </w:r>
      <w:r w:rsidRPr="00B8660A">
        <w:rPr>
          <w:rFonts w:asciiTheme="majorHAnsi" w:hAnsiTheme="majorHAnsi" w:cstheme="majorHAnsi"/>
          <w:lang w:val="en-GB"/>
        </w:rPr>
        <w:t xml:space="preserve">, </w:t>
      </w:r>
      <w:r w:rsidRPr="00B8660A">
        <w:rPr>
          <w:rFonts w:asciiTheme="majorHAnsi" w:hAnsiTheme="majorHAnsi" w:cstheme="majorHAnsi"/>
          <w:i/>
          <w:lang w:val="en-GB"/>
        </w:rPr>
        <w:t>277</w:t>
      </w:r>
      <w:r w:rsidRPr="00B8660A">
        <w:rPr>
          <w:rFonts w:asciiTheme="majorHAnsi" w:hAnsiTheme="majorHAnsi" w:cstheme="majorHAnsi"/>
          <w:lang w:val="en-GB"/>
        </w:rPr>
        <w:t>, 123741. https://doi.org/10.1016/j.jclepro.2020.123741</w:t>
      </w:r>
    </w:p>
    <w:p w14:paraId="17CA663F" w14:textId="01453795" w:rsidR="005C692A" w:rsidRPr="00B8660A" w:rsidRDefault="005C692A" w:rsidP="009865D5">
      <w:pPr>
        <w:spacing w:line="360" w:lineRule="auto"/>
        <w:ind w:left="720" w:hanging="720"/>
        <w:jc w:val="both"/>
        <w:rPr>
          <w:rFonts w:asciiTheme="majorHAnsi" w:hAnsiTheme="majorHAnsi" w:cstheme="majorHAnsi"/>
          <w:sz w:val="24"/>
          <w:highlight w:val="white"/>
          <w:lang w:val="en-GB"/>
        </w:rPr>
      </w:pPr>
      <w:r w:rsidRPr="00D16C70">
        <w:rPr>
          <w:rFonts w:asciiTheme="majorHAnsi" w:hAnsiTheme="majorHAnsi" w:cstheme="majorHAnsi"/>
          <w:color w:val="222222"/>
          <w:szCs w:val="20"/>
          <w:shd w:val="clear" w:color="auto" w:fill="FFFFFF"/>
          <w:lang w:val="en-GB"/>
        </w:rPr>
        <w:t>Guyader, H., &amp; Piscicelli, L. (2019). Business model diversification in the sharing economy: The case of GoMore. </w:t>
      </w:r>
      <w:r w:rsidRPr="00D16C70">
        <w:rPr>
          <w:rFonts w:asciiTheme="majorHAnsi" w:hAnsiTheme="majorHAnsi" w:cstheme="majorHAnsi"/>
          <w:i/>
          <w:iCs/>
          <w:color w:val="222222"/>
          <w:szCs w:val="20"/>
          <w:shd w:val="clear" w:color="auto" w:fill="FFFFFF"/>
          <w:lang w:val="en-GB"/>
        </w:rPr>
        <w:t xml:space="preserve">Journal of </w:t>
      </w:r>
      <w:r w:rsidR="006E6997" w:rsidRPr="00D16C70">
        <w:rPr>
          <w:rFonts w:asciiTheme="majorHAnsi" w:hAnsiTheme="majorHAnsi" w:cstheme="majorHAnsi"/>
          <w:i/>
          <w:iCs/>
          <w:color w:val="222222"/>
          <w:szCs w:val="20"/>
          <w:shd w:val="clear" w:color="auto" w:fill="FFFFFF"/>
          <w:lang w:val="en-GB"/>
        </w:rPr>
        <w:t>C</w:t>
      </w:r>
      <w:r w:rsidRPr="00D16C70">
        <w:rPr>
          <w:rFonts w:asciiTheme="majorHAnsi" w:hAnsiTheme="majorHAnsi" w:cstheme="majorHAnsi"/>
          <w:i/>
          <w:iCs/>
          <w:color w:val="222222"/>
          <w:szCs w:val="20"/>
          <w:shd w:val="clear" w:color="auto" w:fill="FFFFFF"/>
          <w:lang w:val="en-GB"/>
        </w:rPr>
        <w:t xml:space="preserve">leaner </w:t>
      </w:r>
      <w:r w:rsidR="006E6997" w:rsidRPr="00D16C70">
        <w:rPr>
          <w:rFonts w:asciiTheme="majorHAnsi" w:hAnsiTheme="majorHAnsi" w:cstheme="majorHAnsi"/>
          <w:i/>
          <w:iCs/>
          <w:color w:val="222222"/>
          <w:szCs w:val="20"/>
          <w:shd w:val="clear" w:color="auto" w:fill="FFFFFF"/>
          <w:lang w:val="en-GB"/>
        </w:rPr>
        <w:t>P</w:t>
      </w:r>
      <w:r w:rsidRPr="00D16C70">
        <w:rPr>
          <w:rFonts w:asciiTheme="majorHAnsi" w:hAnsiTheme="majorHAnsi" w:cstheme="majorHAnsi"/>
          <w:i/>
          <w:iCs/>
          <w:color w:val="222222"/>
          <w:szCs w:val="20"/>
          <w:shd w:val="clear" w:color="auto" w:fill="FFFFFF"/>
          <w:lang w:val="en-GB"/>
        </w:rPr>
        <w:t>roduction</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215</w:t>
      </w:r>
      <w:r w:rsidRPr="00D16C70">
        <w:rPr>
          <w:rFonts w:asciiTheme="majorHAnsi" w:hAnsiTheme="majorHAnsi" w:cstheme="majorHAnsi"/>
          <w:color w:val="222222"/>
          <w:szCs w:val="20"/>
          <w:shd w:val="clear" w:color="auto" w:fill="FFFFFF"/>
          <w:lang w:val="en-GB"/>
        </w:rPr>
        <w:t>, 1059-1069.</w:t>
      </w:r>
      <w:r w:rsidRPr="00B8660A">
        <w:rPr>
          <w:rFonts w:asciiTheme="majorHAnsi" w:hAnsiTheme="majorHAnsi" w:cstheme="majorHAnsi"/>
          <w:sz w:val="24"/>
          <w:highlight w:val="white"/>
          <w:lang w:val="en-GB"/>
        </w:rPr>
        <w:t xml:space="preserve"> </w:t>
      </w:r>
    </w:p>
    <w:p w14:paraId="244DA8E5" w14:textId="06FFA0D9"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Harrigan, P., Evers, U., Miles, M. P., &amp; Daly, T. (2018). Customer engagement and the relationship between involvement, engagement, self-brand connection and brand usage intent. </w:t>
      </w:r>
      <w:r w:rsidRPr="00B8660A">
        <w:rPr>
          <w:rFonts w:asciiTheme="majorHAnsi" w:hAnsiTheme="majorHAnsi" w:cstheme="majorHAnsi"/>
          <w:i/>
          <w:highlight w:val="white"/>
          <w:lang w:val="en-GB"/>
        </w:rPr>
        <w:t>Journal of Business Research</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88</w:t>
      </w:r>
      <w:r w:rsidRPr="00B8660A">
        <w:rPr>
          <w:rFonts w:asciiTheme="majorHAnsi" w:hAnsiTheme="majorHAnsi" w:cstheme="majorHAnsi"/>
          <w:highlight w:val="white"/>
          <w:lang w:val="en-GB"/>
        </w:rPr>
        <w:t>, 388-396.</w:t>
      </w:r>
    </w:p>
    <w:p w14:paraId="56E630DB" w14:textId="77777777" w:rsidR="00603092" w:rsidRPr="00B8660A" w:rsidRDefault="00603092" w:rsidP="00603092">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He, L., Sopjani, L., &amp; Laurenti, R. (2021). User participation dilemmas in the circular economy: An empirical study of Scandinavia’s largest peer-to-peer product sharing platform. </w:t>
      </w:r>
      <w:r w:rsidRPr="00B8660A">
        <w:rPr>
          <w:rFonts w:asciiTheme="majorHAnsi" w:hAnsiTheme="majorHAnsi" w:cstheme="majorHAnsi"/>
          <w:i/>
          <w:lang w:val="en-GB"/>
        </w:rPr>
        <w:t>Sustainable Production and Consumption</w:t>
      </w:r>
      <w:r w:rsidRPr="00B8660A">
        <w:rPr>
          <w:rFonts w:asciiTheme="majorHAnsi" w:hAnsiTheme="majorHAnsi" w:cstheme="majorHAnsi"/>
          <w:lang w:val="en-GB"/>
        </w:rPr>
        <w:t xml:space="preserve">, 27, 975–985. https://doi.org/10.1016/j.spc.2021.02.027 </w:t>
      </w:r>
    </w:p>
    <w:p w14:paraId="52551DAD" w14:textId="286D0F44"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Hollebeek, L. D., Glynn, M. S., &amp; Brodie, R. J. (2014). Consumer </w:t>
      </w:r>
      <w:r w:rsidR="00487EE3" w:rsidRPr="00B8660A">
        <w:rPr>
          <w:rFonts w:asciiTheme="majorHAnsi" w:hAnsiTheme="majorHAnsi" w:cstheme="majorHAnsi"/>
          <w:lang w:val="en-GB"/>
        </w:rPr>
        <w:t>b</w:t>
      </w:r>
      <w:r w:rsidRPr="00B8660A">
        <w:rPr>
          <w:rFonts w:asciiTheme="majorHAnsi" w:hAnsiTheme="majorHAnsi" w:cstheme="majorHAnsi"/>
          <w:lang w:val="en-GB"/>
        </w:rPr>
        <w:t xml:space="preserve">rand </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ngagement in </w:t>
      </w:r>
      <w:r w:rsidR="00487EE3" w:rsidRPr="00B8660A">
        <w:rPr>
          <w:rFonts w:asciiTheme="majorHAnsi" w:hAnsiTheme="majorHAnsi" w:cstheme="majorHAnsi"/>
          <w:lang w:val="en-GB"/>
        </w:rPr>
        <w:t>s</w:t>
      </w:r>
      <w:r w:rsidRPr="00B8660A">
        <w:rPr>
          <w:rFonts w:asciiTheme="majorHAnsi" w:hAnsiTheme="majorHAnsi" w:cstheme="majorHAnsi"/>
          <w:lang w:val="en-GB"/>
        </w:rPr>
        <w:t xml:space="preserve">ocial </w:t>
      </w:r>
      <w:r w:rsidR="00487EE3" w:rsidRPr="00B8660A">
        <w:rPr>
          <w:rFonts w:asciiTheme="majorHAnsi" w:hAnsiTheme="majorHAnsi" w:cstheme="majorHAnsi"/>
          <w:lang w:val="en-GB"/>
        </w:rPr>
        <w:t>m</w:t>
      </w:r>
      <w:r w:rsidRPr="00B8660A">
        <w:rPr>
          <w:rFonts w:asciiTheme="majorHAnsi" w:hAnsiTheme="majorHAnsi" w:cstheme="majorHAnsi"/>
          <w:lang w:val="en-GB"/>
        </w:rPr>
        <w:t xml:space="preserve">edia: Conceptualization, </w:t>
      </w:r>
      <w:r w:rsidR="00487EE3" w:rsidRPr="00B8660A">
        <w:rPr>
          <w:rFonts w:asciiTheme="majorHAnsi" w:hAnsiTheme="majorHAnsi" w:cstheme="majorHAnsi"/>
          <w:lang w:val="en-GB"/>
        </w:rPr>
        <w:t>s</w:t>
      </w:r>
      <w:r w:rsidRPr="00B8660A">
        <w:rPr>
          <w:rFonts w:asciiTheme="majorHAnsi" w:hAnsiTheme="majorHAnsi" w:cstheme="majorHAnsi"/>
          <w:lang w:val="en-GB"/>
        </w:rPr>
        <w:t xml:space="preserve">cale </w:t>
      </w:r>
      <w:r w:rsidR="00487EE3" w:rsidRPr="00B8660A">
        <w:rPr>
          <w:rFonts w:asciiTheme="majorHAnsi" w:hAnsiTheme="majorHAnsi" w:cstheme="majorHAnsi"/>
          <w:lang w:val="en-GB"/>
        </w:rPr>
        <w:t>d</w:t>
      </w:r>
      <w:r w:rsidRPr="00B8660A">
        <w:rPr>
          <w:rFonts w:asciiTheme="majorHAnsi" w:hAnsiTheme="majorHAnsi" w:cstheme="majorHAnsi"/>
          <w:lang w:val="en-GB"/>
        </w:rPr>
        <w:t xml:space="preserve">evelopment and </w:t>
      </w:r>
      <w:r w:rsidR="00487EE3" w:rsidRPr="00B8660A">
        <w:rPr>
          <w:rFonts w:asciiTheme="majorHAnsi" w:hAnsiTheme="majorHAnsi" w:cstheme="majorHAnsi"/>
          <w:lang w:val="en-GB"/>
        </w:rPr>
        <w:t>v</w:t>
      </w:r>
      <w:r w:rsidRPr="00B8660A">
        <w:rPr>
          <w:rFonts w:asciiTheme="majorHAnsi" w:hAnsiTheme="majorHAnsi" w:cstheme="majorHAnsi"/>
          <w:lang w:val="en-GB"/>
        </w:rPr>
        <w:t xml:space="preserve">alidation. </w:t>
      </w:r>
      <w:r w:rsidRPr="00B8660A">
        <w:rPr>
          <w:rFonts w:asciiTheme="majorHAnsi" w:hAnsiTheme="majorHAnsi" w:cstheme="majorHAnsi"/>
          <w:i/>
          <w:lang w:val="en-GB"/>
        </w:rPr>
        <w:t>Journal of Interactive Marketing</w:t>
      </w:r>
      <w:r w:rsidRPr="00B8660A">
        <w:rPr>
          <w:rFonts w:asciiTheme="majorHAnsi" w:hAnsiTheme="majorHAnsi" w:cstheme="majorHAnsi"/>
          <w:lang w:val="en-GB"/>
        </w:rPr>
        <w:t xml:space="preserve">, </w:t>
      </w:r>
      <w:r w:rsidRPr="00B8660A">
        <w:rPr>
          <w:rFonts w:asciiTheme="majorHAnsi" w:hAnsiTheme="majorHAnsi" w:cstheme="majorHAnsi"/>
          <w:i/>
          <w:lang w:val="en-GB"/>
        </w:rPr>
        <w:t>28</w:t>
      </w:r>
      <w:r w:rsidRPr="00B8660A">
        <w:rPr>
          <w:rFonts w:asciiTheme="majorHAnsi" w:hAnsiTheme="majorHAnsi" w:cstheme="majorHAnsi"/>
          <w:lang w:val="en-GB"/>
        </w:rPr>
        <w:t xml:space="preserve">(2), 149–165. </w:t>
      </w:r>
      <w:r w:rsidR="003E74BC" w:rsidRPr="00B8660A">
        <w:rPr>
          <w:rFonts w:asciiTheme="majorHAnsi" w:hAnsiTheme="majorHAnsi" w:cstheme="majorHAnsi"/>
          <w:lang w:val="en-GB"/>
        </w:rPr>
        <w:t>https://doi.org/10.1016/j.intmar.2013.12.002</w:t>
      </w:r>
    </w:p>
    <w:p w14:paraId="22465BC4" w14:textId="1658F431" w:rsidR="003E74BC" w:rsidRPr="00B8660A" w:rsidRDefault="003E74BC" w:rsidP="009865D5">
      <w:pPr>
        <w:spacing w:line="360" w:lineRule="auto"/>
        <w:ind w:left="720" w:hanging="720"/>
        <w:jc w:val="both"/>
        <w:rPr>
          <w:rFonts w:asciiTheme="majorHAnsi" w:hAnsiTheme="majorHAnsi" w:cstheme="majorHAnsi"/>
          <w:sz w:val="24"/>
          <w:lang w:val="en-GB"/>
        </w:rPr>
      </w:pPr>
      <w:r w:rsidRPr="00B8660A">
        <w:rPr>
          <w:rFonts w:asciiTheme="majorHAnsi" w:hAnsiTheme="majorHAnsi" w:cstheme="majorHAnsi"/>
          <w:color w:val="222222"/>
          <w:szCs w:val="20"/>
          <w:shd w:val="clear" w:color="auto" w:fill="FFFFFF"/>
          <w:lang w:val="en-GB"/>
        </w:rPr>
        <w:t xml:space="preserve">Hollebeek, L. D., Sarstedt, M., Menidjel, C., Sprott, D. E., &amp; Urbonavicius, S. (2023). </w:t>
      </w:r>
      <w:r w:rsidRPr="00D16C70">
        <w:rPr>
          <w:rFonts w:asciiTheme="majorHAnsi" w:hAnsiTheme="majorHAnsi" w:cstheme="majorHAnsi"/>
          <w:color w:val="222222"/>
          <w:szCs w:val="20"/>
          <w:shd w:val="clear" w:color="auto" w:fill="FFFFFF"/>
          <w:lang w:val="en-GB"/>
        </w:rPr>
        <w:t>Hallmarks and potential pitfalls of customer‐and consumer engagement scales: A systematic review. </w:t>
      </w:r>
      <w:r w:rsidRPr="00D16C70">
        <w:rPr>
          <w:rFonts w:asciiTheme="majorHAnsi" w:hAnsiTheme="majorHAnsi" w:cstheme="majorHAnsi"/>
          <w:i/>
          <w:iCs/>
          <w:color w:val="222222"/>
          <w:szCs w:val="20"/>
          <w:shd w:val="clear" w:color="auto" w:fill="FFFFFF"/>
          <w:lang w:val="en-GB"/>
        </w:rPr>
        <w:t>Psychology &amp; Marketing</w:t>
      </w:r>
      <w:r w:rsidRPr="00D16C70">
        <w:rPr>
          <w:rFonts w:asciiTheme="majorHAnsi" w:hAnsiTheme="majorHAnsi" w:cstheme="majorHAnsi"/>
          <w:color w:val="222222"/>
          <w:szCs w:val="20"/>
          <w:shd w:val="clear" w:color="auto" w:fill="FFFFFF"/>
          <w:lang w:val="en-GB"/>
        </w:rPr>
        <w:t>.</w:t>
      </w:r>
    </w:p>
    <w:p w14:paraId="26605070" w14:textId="7CC4EB45"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Khitous, F., Strozzi, F., Urbinati, A., &amp; Alberti, F. (2020). A </w:t>
      </w:r>
      <w:r w:rsidR="00487EE3" w:rsidRPr="00B8660A">
        <w:rPr>
          <w:rFonts w:asciiTheme="majorHAnsi" w:hAnsiTheme="majorHAnsi" w:cstheme="majorHAnsi"/>
          <w:lang w:val="en-GB"/>
        </w:rPr>
        <w:t>s</w:t>
      </w:r>
      <w:r w:rsidRPr="00B8660A">
        <w:rPr>
          <w:rFonts w:asciiTheme="majorHAnsi" w:hAnsiTheme="majorHAnsi" w:cstheme="majorHAnsi"/>
          <w:lang w:val="en-GB"/>
        </w:rPr>
        <w:t xml:space="preserve">ystematic </w:t>
      </w:r>
      <w:r w:rsidR="00487EE3" w:rsidRPr="00B8660A">
        <w:rPr>
          <w:rFonts w:asciiTheme="majorHAnsi" w:hAnsiTheme="majorHAnsi" w:cstheme="majorHAnsi"/>
          <w:lang w:val="en-GB"/>
        </w:rPr>
        <w:t>l</w:t>
      </w:r>
      <w:r w:rsidRPr="00B8660A">
        <w:rPr>
          <w:rFonts w:asciiTheme="majorHAnsi" w:hAnsiTheme="majorHAnsi" w:cstheme="majorHAnsi"/>
          <w:lang w:val="en-GB"/>
        </w:rPr>
        <w:t xml:space="preserve">iterature </w:t>
      </w:r>
      <w:r w:rsidR="00487EE3" w:rsidRPr="00B8660A">
        <w:rPr>
          <w:rFonts w:asciiTheme="majorHAnsi" w:hAnsiTheme="majorHAnsi" w:cstheme="majorHAnsi"/>
          <w:lang w:val="en-GB"/>
        </w:rPr>
        <w:t>n</w:t>
      </w:r>
      <w:r w:rsidRPr="00B8660A">
        <w:rPr>
          <w:rFonts w:asciiTheme="majorHAnsi" w:hAnsiTheme="majorHAnsi" w:cstheme="majorHAnsi"/>
          <w:lang w:val="en-GB"/>
        </w:rPr>
        <w:t xml:space="preserve">etwork </w:t>
      </w:r>
      <w:r w:rsidR="00487EE3" w:rsidRPr="00B8660A">
        <w:rPr>
          <w:rFonts w:asciiTheme="majorHAnsi" w:hAnsiTheme="majorHAnsi" w:cstheme="majorHAnsi"/>
          <w:lang w:val="en-GB"/>
        </w:rPr>
        <w:t>a</w:t>
      </w:r>
      <w:r w:rsidRPr="00B8660A">
        <w:rPr>
          <w:rFonts w:asciiTheme="majorHAnsi" w:hAnsiTheme="majorHAnsi" w:cstheme="majorHAnsi"/>
          <w:lang w:val="en-GB"/>
        </w:rPr>
        <w:t xml:space="preserve">nalysis of </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xisting </w:t>
      </w:r>
      <w:r w:rsidR="00487EE3" w:rsidRPr="00B8660A">
        <w:rPr>
          <w:rFonts w:asciiTheme="majorHAnsi" w:hAnsiTheme="majorHAnsi" w:cstheme="majorHAnsi"/>
          <w:lang w:val="en-GB"/>
        </w:rPr>
        <w:t>t</w:t>
      </w:r>
      <w:r w:rsidRPr="00B8660A">
        <w:rPr>
          <w:rFonts w:asciiTheme="majorHAnsi" w:hAnsiTheme="majorHAnsi" w:cstheme="majorHAnsi"/>
          <w:lang w:val="en-GB"/>
        </w:rPr>
        <w:t xml:space="preserve">hemes and </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merging </w:t>
      </w:r>
      <w:r w:rsidR="00487EE3" w:rsidRPr="00B8660A">
        <w:rPr>
          <w:rFonts w:asciiTheme="majorHAnsi" w:hAnsiTheme="majorHAnsi" w:cstheme="majorHAnsi"/>
          <w:lang w:val="en-GB"/>
        </w:rPr>
        <w:t>r</w:t>
      </w:r>
      <w:r w:rsidRPr="00B8660A">
        <w:rPr>
          <w:rFonts w:asciiTheme="majorHAnsi" w:hAnsiTheme="majorHAnsi" w:cstheme="majorHAnsi"/>
          <w:lang w:val="en-GB"/>
        </w:rPr>
        <w:t xml:space="preserve">esearch </w:t>
      </w:r>
      <w:r w:rsidR="00487EE3" w:rsidRPr="00B8660A">
        <w:rPr>
          <w:rFonts w:asciiTheme="majorHAnsi" w:hAnsiTheme="majorHAnsi" w:cstheme="majorHAnsi"/>
          <w:lang w:val="en-GB"/>
        </w:rPr>
        <w:t>t</w:t>
      </w:r>
      <w:r w:rsidRPr="00B8660A">
        <w:rPr>
          <w:rFonts w:asciiTheme="majorHAnsi" w:hAnsiTheme="majorHAnsi" w:cstheme="majorHAnsi"/>
          <w:lang w:val="en-GB"/>
        </w:rPr>
        <w:t xml:space="preserve">rends in </w:t>
      </w:r>
      <w:r w:rsidR="00487EE3" w:rsidRPr="00B8660A">
        <w:rPr>
          <w:rFonts w:asciiTheme="majorHAnsi" w:hAnsiTheme="majorHAnsi" w:cstheme="majorHAnsi"/>
          <w:lang w:val="en-GB"/>
        </w:rPr>
        <w:t>c</w:t>
      </w:r>
      <w:r w:rsidRPr="00B8660A">
        <w:rPr>
          <w:rFonts w:asciiTheme="majorHAnsi" w:hAnsiTheme="majorHAnsi" w:cstheme="majorHAnsi"/>
          <w:lang w:val="en-GB"/>
        </w:rPr>
        <w:t xml:space="preserve">ircular </w:t>
      </w:r>
      <w:r w:rsidR="00487EE3" w:rsidRPr="00B8660A">
        <w:rPr>
          <w:rFonts w:asciiTheme="majorHAnsi" w:hAnsiTheme="majorHAnsi" w:cstheme="majorHAnsi"/>
          <w:lang w:val="en-GB"/>
        </w:rPr>
        <w:t>e</w:t>
      </w:r>
      <w:r w:rsidRPr="00B8660A">
        <w:rPr>
          <w:rFonts w:asciiTheme="majorHAnsi" w:hAnsiTheme="majorHAnsi" w:cstheme="majorHAnsi"/>
          <w:lang w:val="en-GB"/>
        </w:rPr>
        <w:t xml:space="preserve">conomy. </w:t>
      </w:r>
      <w:r w:rsidRPr="00B8660A">
        <w:rPr>
          <w:rFonts w:asciiTheme="majorHAnsi" w:hAnsiTheme="majorHAnsi" w:cstheme="majorHAnsi"/>
          <w:i/>
          <w:lang w:val="en-GB"/>
        </w:rPr>
        <w:t>Sustainability</w:t>
      </w:r>
      <w:r w:rsidRPr="00B8660A">
        <w:rPr>
          <w:rFonts w:asciiTheme="majorHAnsi" w:hAnsiTheme="majorHAnsi" w:cstheme="majorHAnsi"/>
          <w:lang w:val="en-GB"/>
        </w:rPr>
        <w:t xml:space="preserve">, </w:t>
      </w:r>
      <w:r w:rsidRPr="00B8660A">
        <w:rPr>
          <w:rFonts w:asciiTheme="majorHAnsi" w:hAnsiTheme="majorHAnsi" w:cstheme="majorHAnsi"/>
          <w:i/>
          <w:lang w:val="en-GB"/>
        </w:rPr>
        <w:t>12</w:t>
      </w:r>
      <w:r w:rsidRPr="00B8660A">
        <w:rPr>
          <w:rFonts w:asciiTheme="majorHAnsi" w:hAnsiTheme="majorHAnsi" w:cstheme="majorHAnsi"/>
          <w:lang w:val="en-GB"/>
        </w:rPr>
        <w:t>(4), 1633. https://doi.org/10.3390/su12041633</w:t>
      </w:r>
    </w:p>
    <w:p w14:paraId="57FAA351" w14:textId="77777777" w:rsidR="003F793F" w:rsidRPr="00B8660A" w:rsidRDefault="00C42D67" w:rsidP="009865D5">
      <w:pPr>
        <w:spacing w:line="360" w:lineRule="auto"/>
        <w:ind w:left="720" w:hanging="720"/>
        <w:jc w:val="both"/>
        <w:rPr>
          <w:rFonts w:asciiTheme="majorHAnsi" w:hAnsiTheme="majorHAnsi" w:cstheme="majorHAnsi"/>
          <w:lang w:val="en-GB"/>
        </w:rPr>
      </w:pPr>
      <w:r w:rsidRPr="00D16C70">
        <w:rPr>
          <w:rFonts w:asciiTheme="majorHAnsi" w:hAnsiTheme="majorHAnsi" w:cstheme="majorHAnsi"/>
          <w:lang w:val="en-GB"/>
        </w:rPr>
        <w:t xml:space="preserve">Khitous, F., Urbinati, A., &amp; Verleye, K. (2022). </w:t>
      </w:r>
      <w:r w:rsidRPr="00B8660A">
        <w:rPr>
          <w:rFonts w:asciiTheme="majorHAnsi" w:hAnsiTheme="majorHAnsi" w:cstheme="majorHAnsi"/>
          <w:lang w:val="en-GB"/>
        </w:rPr>
        <w:t xml:space="preserve">Product-Service Systems: A customer engagement perspective in the fashion industry. </w:t>
      </w:r>
      <w:r w:rsidRPr="00B8660A">
        <w:rPr>
          <w:rFonts w:asciiTheme="majorHAnsi" w:hAnsiTheme="majorHAnsi" w:cstheme="majorHAnsi"/>
          <w:i/>
          <w:lang w:val="en-GB"/>
        </w:rPr>
        <w:t>Journal of Cleaner Production</w:t>
      </w:r>
      <w:r w:rsidRPr="00B8660A">
        <w:rPr>
          <w:rFonts w:asciiTheme="majorHAnsi" w:hAnsiTheme="majorHAnsi" w:cstheme="majorHAnsi"/>
          <w:lang w:val="en-GB"/>
        </w:rPr>
        <w:t xml:space="preserve">, </w:t>
      </w:r>
      <w:r w:rsidRPr="00B8660A">
        <w:rPr>
          <w:rFonts w:asciiTheme="majorHAnsi" w:hAnsiTheme="majorHAnsi" w:cstheme="majorHAnsi"/>
          <w:i/>
          <w:lang w:val="en-GB"/>
        </w:rPr>
        <w:t>336</w:t>
      </w:r>
      <w:r w:rsidRPr="00B8660A">
        <w:rPr>
          <w:rFonts w:asciiTheme="majorHAnsi" w:hAnsiTheme="majorHAnsi" w:cstheme="majorHAnsi"/>
          <w:lang w:val="en-GB"/>
        </w:rPr>
        <w:t>, 130394. https://doi.org/10.1016/j.jclepro.2022.130394</w:t>
      </w:r>
    </w:p>
    <w:p w14:paraId="455830F8"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Kirchherr, J., Reike, D., &amp; Hekkert, M. (2017). Conceptualizing the circular economy: An analysis of 114 definitions. </w:t>
      </w:r>
      <w:r w:rsidRPr="00B8660A">
        <w:rPr>
          <w:rFonts w:asciiTheme="majorHAnsi" w:hAnsiTheme="majorHAnsi" w:cstheme="majorHAnsi"/>
          <w:i/>
          <w:lang w:val="en-GB"/>
        </w:rPr>
        <w:t>Resources, Conservation and Recycling</w:t>
      </w:r>
      <w:r w:rsidRPr="00B8660A">
        <w:rPr>
          <w:rFonts w:asciiTheme="majorHAnsi" w:hAnsiTheme="majorHAnsi" w:cstheme="majorHAnsi"/>
          <w:lang w:val="en-GB"/>
        </w:rPr>
        <w:t xml:space="preserve">, </w:t>
      </w:r>
      <w:r w:rsidRPr="00B8660A">
        <w:rPr>
          <w:rFonts w:asciiTheme="majorHAnsi" w:hAnsiTheme="majorHAnsi" w:cstheme="majorHAnsi"/>
          <w:i/>
          <w:lang w:val="en-GB"/>
        </w:rPr>
        <w:t>127</w:t>
      </w:r>
      <w:r w:rsidRPr="00B8660A">
        <w:rPr>
          <w:rFonts w:asciiTheme="majorHAnsi" w:hAnsiTheme="majorHAnsi" w:cstheme="majorHAnsi"/>
          <w:lang w:val="en-GB"/>
        </w:rPr>
        <w:t>, 221–232. https://doi.org/10.1016/j.resconrec.2017.09.005</w:t>
      </w:r>
    </w:p>
    <w:p w14:paraId="635B6C10"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Köhler, J., Geels, F. W., Kern, F., Markard, J., Onsongo, E., Wieczorek, A., Alkemade, F., Avelino, F., Bergek, A., &amp; Boons, F. (2019). An agenda for sustainability transitions research: State of the art and future directions. </w:t>
      </w:r>
      <w:r w:rsidRPr="00B8660A">
        <w:rPr>
          <w:rFonts w:asciiTheme="majorHAnsi" w:hAnsiTheme="majorHAnsi" w:cstheme="majorHAnsi"/>
          <w:i/>
          <w:lang w:val="en-GB"/>
        </w:rPr>
        <w:t>Environmental Innovation and Societal Transitions</w:t>
      </w:r>
      <w:r w:rsidRPr="00B8660A">
        <w:rPr>
          <w:rFonts w:asciiTheme="majorHAnsi" w:hAnsiTheme="majorHAnsi" w:cstheme="majorHAnsi"/>
          <w:lang w:val="en-GB"/>
        </w:rPr>
        <w:t xml:space="preserve">, </w:t>
      </w:r>
      <w:r w:rsidRPr="00B8660A">
        <w:rPr>
          <w:rFonts w:asciiTheme="majorHAnsi" w:hAnsiTheme="majorHAnsi" w:cstheme="majorHAnsi"/>
          <w:i/>
          <w:lang w:val="en-GB"/>
        </w:rPr>
        <w:t>31</w:t>
      </w:r>
      <w:r w:rsidRPr="00B8660A">
        <w:rPr>
          <w:rFonts w:asciiTheme="majorHAnsi" w:hAnsiTheme="majorHAnsi" w:cstheme="majorHAnsi"/>
          <w:lang w:val="en-GB"/>
        </w:rPr>
        <w:t>, 1–32.</w:t>
      </w:r>
    </w:p>
    <w:p w14:paraId="4CA99802" w14:textId="4B4DEC51"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Laukkanen, M., &amp; Tura, N. (2020). The potential of sharing economy business models for sustainable value creation. </w:t>
      </w:r>
      <w:r w:rsidRPr="00B8660A">
        <w:rPr>
          <w:rFonts w:asciiTheme="majorHAnsi" w:hAnsiTheme="majorHAnsi" w:cstheme="majorHAnsi"/>
          <w:i/>
          <w:highlight w:val="white"/>
          <w:lang w:val="en-GB"/>
        </w:rPr>
        <w:t xml:space="preserve">Journal of Cleaner </w:t>
      </w:r>
      <w:r w:rsidR="006E6997" w:rsidRPr="00B8660A">
        <w:rPr>
          <w:rFonts w:asciiTheme="majorHAnsi" w:hAnsiTheme="majorHAnsi" w:cstheme="majorHAnsi"/>
          <w:i/>
          <w:highlight w:val="white"/>
          <w:lang w:val="en-GB"/>
        </w:rPr>
        <w:t>P</w:t>
      </w:r>
      <w:r w:rsidRPr="00B8660A">
        <w:rPr>
          <w:rFonts w:asciiTheme="majorHAnsi" w:hAnsiTheme="majorHAnsi" w:cstheme="majorHAnsi"/>
          <w:i/>
          <w:highlight w:val="white"/>
          <w:lang w:val="en-GB"/>
        </w:rPr>
        <w:t>roduction</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253</w:t>
      </w:r>
      <w:r w:rsidRPr="00B8660A">
        <w:rPr>
          <w:rFonts w:asciiTheme="majorHAnsi" w:hAnsiTheme="majorHAnsi" w:cstheme="majorHAnsi"/>
          <w:highlight w:val="white"/>
          <w:lang w:val="en-GB"/>
        </w:rPr>
        <w:t>, 120004.</w:t>
      </w:r>
    </w:p>
    <w:p w14:paraId="658F1A18" w14:textId="4935531C" w:rsidR="00371D05" w:rsidRPr="00D16C70" w:rsidRDefault="00371D05" w:rsidP="009865D5">
      <w:pPr>
        <w:spacing w:line="360" w:lineRule="auto"/>
        <w:ind w:left="720" w:hanging="720"/>
        <w:jc w:val="both"/>
        <w:rPr>
          <w:rFonts w:asciiTheme="majorHAnsi" w:hAnsiTheme="majorHAnsi" w:cstheme="majorHAnsi"/>
          <w:color w:val="222222"/>
          <w:szCs w:val="20"/>
          <w:shd w:val="clear" w:color="auto" w:fill="FFFFFF"/>
          <w:lang w:val="en-GB"/>
        </w:rPr>
      </w:pPr>
      <w:r w:rsidRPr="00D16C70">
        <w:rPr>
          <w:rFonts w:asciiTheme="majorHAnsi" w:hAnsiTheme="majorHAnsi" w:cstheme="majorHAnsi"/>
          <w:color w:val="222222"/>
          <w:szCs w:val="20"/>
          <w:shd w:val="clear" w:color="auto" w:fill="FFFFFF"/>
          <w:lang w:val="en-GB"/>
        </w:rPr>
        <w:lastRenderedPageBreak/>
        <w:t>Lepak, D. P., Smith, K. G., &amp; Taylor, M. S. (2007). Value creation and value capture: A multilevel perspective. </w:t>
      </w:r>
      <w:r w:rsidRPr="00D16C70">
        <w:rPr>
          <w:rFonts w:asciiTheme="majorHAnsi" w:hAnsiTheme="majorHAnsi" w:cstheme="majorHAnsi"/>
          <w:i/>
          <w:iCs/>
          <w:color w:val="222222"/>
          <w:szCs w:val="20"/>
          <w:shd w:val="clear" w:color="auto" w:fill="FFFFFF"/>
          <w:lang w:val="en-GB"/>
        </w:rPr>
        <w:t xml:space="preserve">Academy of </w:t>
      </w:r>
      <w:r w:rsidR="006E6997" w:rsidRPr="00D16C70">
        <w:rPr>
          <w:rFonts w:asciiTheme="majorHAnsi" w:hAnsiTheme="majorHAnsi" w:cstheme="majorHAnsi"/>
          <w:i/>
          <w:iCs/>
          <w:color w:val="222222"/>
          <w:szCs w:val="20"/>
          <w:shd w:val="clear" w:color="auto" w:fill="FFFFFF"/>
          <w:lang w:val="en-GB"/>
        </w:rPr>
        <w:t>M</w:t>
      </w:r>
      <w:r w:rsidRPr="00D16C70">
        <w:rPr>
          <w:rFonts w:asciiTheme="majorHAnsi" w:hAnsiTheme="majorHAnsi" w:cstheme="majorHAnsi"/>
          <w:i/>
          <w:iCs/>
          <w:color w:val="222222"/>
          <w:szCs w:val="20"/>
          <w:shd w:val="clear" w:color="auto" w:fill="FFFFFF"/>
          <w:lang w:val="en-GB"/>
        </w:rPr>
        <w:t xml:space="preserve">anagement </w:t>
      </w:r>
      <w:r w:rsidR="006E6997" w:rsidRPr="00D16C70">
        <w:rPr>
          <w:rFonts w:asciiTheme="majorHAnsi" w:hAnsiTheme="majorHAnsi" w:cstheme="majorHAnsi"/>
          <w:i/>
          <w:iCs/>
          <w:color w:val="222222"/>
          <w:szCs w:val="20"/>
          <w:shd w:val="clear" w:color="auto" w:fill="FFFFFF"/>
          <w:lang w:val="en-GB"/>
        </w:rPr>
        <w:t>R</w:t>
      </w:r>
      <w:r w:rsidRPr="00D16C70">
        <w:rPr>
          <w:rFonts w:asciiTheme="majorHAnsi" w:hAnsiTheme="majorHAnsi" w:cstheme="majorHAnsi"/>
          <w:i/>
          <w:iCs/>
          <w:color w:val="222222"/>
          <w:szCs w:val="20"/>
          <w:shd w:val="clear" w:color="auto" w:fill="FFFFFF"/>
          <w:lang w:val="en-GB"/>
        </w:rPr>
        <w:t>eview</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32</w:t>
      </w:r>
      <w:r w:rsidRPr="00D16C70">
        <w:rPr>
          <w:rFonts w:asciiTheme="majorHAnsi" w:hAnsiTheme="majorHAnsi" w:cstheme="majorHAnsi"/>
          <w:color w:val="222222"/>
          <w:szCs w:val="20"/>
          <w:shd w:val="clear" w:color="auto" w:fill="FFFFFF"/>
          <w:lang w:val="en-GB"/>
        </w:rPr>
        <w:t>(1), 180-194.</w:t>
      </w:r>
    </w:p>
    <w:p w14:paraId="213951FB" w14:textId="2F803C1E" w:rsidR="003F793F" w:rsidRPr="00B8660A" w:rsidRDefault="00C42D67" w:rsidP="009865D5">
      <w:pPr>
        <w:spacing w:line="360" w:lineRule="auto"/>
        <w:ind w:left="720" w:hanging="720"/>
        <w:jc w:val="both"/>
        <w:rPr>
          <w:rFonts w:asciiTheme="majorHAnsi" w:hAnsiTheme="majorHAnsi" w:cstheme="majorHAnsi"/>
          <w:color w:val="222222"/>
          <w:highlight w:val="white"/>
          <w:lang w:val="en-GB"/>
        </w:rPr>
      </w:pPr>
      <w:r w:rsidRPr="00B8660A">
        <w:rPr>
          <w:rFonts w:asciiTheme="majorHAnsi" w:hAnsiTheme="majorHAnsi" w:cstheme="majorHAnsi"/>
          <w:color w:val="222222"/>
          <w:highlight w:val="white"/>
          <w:lang w:val="en-GB"/>
        </w:rPr>
        <w:t xml:space="preserve">Leroi-Werelds, S. (2019). An update on customer value: state of the art, revised typology, and research agenda. </w:t>
      </w:r>
      <w:r w:rsidRPr="00B8660A">
        <w:rPr>
          <w:rFonts w:asciiTheme="majorHAnsi" w:hAnsiTheme="majorHAnsi" w:cstheme="majorHAnsi"/>
          <w:i/>
          <w:color w:val="222222"/>
          <w:highlight w:val="white"/>
          <w:lang w:val="en-GB"/>
        </w:rPr>
        <w:t>Journal of Service Management</w:t>
      </w:r>
      <w:r w:rsidRPr="00B8660A">
        <w:rPr>
          <w:rFonts w:asciiTheme="majorHAnsi" w:hAnsiTheme="majorHAnsi" w:cstheme="majorHAnsi"/>
          <w:color w:val="222222"/>
          <w:highlight w:val="white"/>
          <w:lang w:val="en-GB"/>
        </w:rPr>
        <w:t xml:space="preserve">, </w:t>
      </w:r>
      <w:r w:rsidRPr="00B8660A">
        <w:rPr>
          <w:rFonts w:asciiTheme="majorHAnsi" w:hAnsiTheme="majorHAnsi" w:cstheme="majorHAnsi"/>
          <w:i/>
          <w:color w:val="222222"/>
          <w:highlight w:val="white"/>
          <w:lang w:val="en-GB"/>
        </w:rPr>
        <w:t>30</w:t>
      </w:r>
      <w:r w:rsidRPr="00B8660A">
        <w:rPr>
          <w:rFonts w:asciiTheme="majorHAnsi" w:hAnsiTheme="majorHAnsi" w:cstheme="majorHAnsi"/>
          <w:color w:val="222222"/>
          <w:highlight w:val="white"/>
          <w:lang w:val="en-GB"/>
        </w:rPr>
        <w:t>(5), 650-680.</w:t>
      </w:r>
    </w:p>
    <w:p w14:paraId="4A20E48B" w14:textId="07C08DB0" w:rsidR="00426262" w:rsidRPr="00B8660A" w:rsidRDefault="00426262" w:rsidP="009865D5">
      <w:pPr>
        <w:spacing w:line="360" w:lineRule="auto"/>
        <w:ind w:left="720" w:hanging="720"/>
        <w:jc w:val="both"/>
        <w:rPr>
          <w:rFonts w:asciiTheme="majorHAnsi" w:hAnsiTheme="majorHAnsi" w:cstheme="majorHAnsi"/>
          <w:color w:val="222222"/>
          <w:highlight w:val="white"/>
          <w:lang w:val="en-GB"/>
        </w:rPr>
      </w:pPr>
      <w:r w:rsidRPr="00B8660A">
        <w:rPr>
          <w:rFonts w:asciiTheme="majorHAnsi" w:hAnsiTheme="majorHAnsi" w:cstheme="majorHAnsi"/>
          <w:color w:val="222222"/>
          <w:shd w:val="clear" w:color="auto" w:fill="FFFFFF"/>
          <w:lang w:val="en-GB"/>
        </w:rPr>
        <w:t>Leroi-Werelds, S., Verleye, K., Line, N., &amp; Bove, L. (2021). Value proposition dynamics in response to external event triggers. </w:t>
      </w:r>
      <w:r w:rsidRPr="00B8660A">
        <w:rPr>
          <w:rFonts w:asciiTheme="majorHAnsi" w:hAnsiTheme="majorHAnsi" w:cstheme="majorHAnsi"/>
          <w:i/>
          <w:iCs/>
          <w:color w:val="222222"/>
          <w:shd w:val="clear" w:color="auto" w:fill="FFFFFF"/>
          <w:lang w:val="en-GB"/>
        </w:rPr>
        <w:t>Journal of Business Research</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136</w:t>
      </w:r>
      <w:r w:rsidRPr="00B8660A">
        <w:rPr>
          <w:rFonts w:asciiTheme="majorHAnsi" w:hAnsiTheme="majorHAnsi" w:cstheme="majorHAnsi"/>
          <w:color w:val="222222"/>
          <w:shd w:val="clear" w:color="auto" w:fill="FFFFFF"/>
          <w:lang w:val="en-GB"/>
        </w:rPr>
        <w:t>, 274-283.</w:t>
      </w:r>
    </w:p>
    <w:p w14:paraId="48531BC2" w14:textId="77777777" w:rsidR="00E808EA" w:rsidRPr="00B8660A" w:rsidRDefault="00E808EA" w:rsidP="009865D5">
      <w:pPr>
        <w:spacing w:line="360" w:lineRule="auto"/>
        <w:ind w:left="720" w:hanging="720"/>
        <w:jc w:val="both"/>
        <w:rPr>
          <w:rFonts w:asciiTheme="majorHAnsi" w:hAnsiTheme="majorHAnsi" w:cstheme="majorHAnsi"/>
          <w:color w:val="222222"/>
          <w:shd w:val="clear" w:color="auto" w:fill="FFFFFF"/>
          <w:lang w:val="en-GB"/>
        </w:rPr>
      </w:pPr>
      <w:r w:rsidRPr="00B8660A">
        <w:rPr>
          <w:rFonts w:asciiTheme="majorHAnsi" w:hAnsiTheme="majorHAnsi" w:cstheme="majorHAnsi"/>
          <w:color w:val="222222"/>
          <w:shd w:val="clear" w:color="auto" w:fill="FFFFFF"/>
          <w:lang w:val="en-GB"/>
        </w:rPr>
        <w:t>Luchs, M. G., Naylor, R. W., Irwin, J. R., &amp; Raghunathan, R. (2010). The sustainability liability: Potential negative effects of ethicality on product preference. </w:t>
      </w:r>
      <w:r w:rsidRPr="00B8660A">
        <w:rPr>
          <w:rFonts w:asciiTheme="majorHAnsi" w:hAnsiTheme="majorHAnsi" w:cstheme="majorHAnsi"/>
          <w:i/>
          <w:iCs/>
          <w:color w:val="222222"/>
          <w:shd w:val="clear" w:color="auto" w:fill="FFFFFF"/>
          <w:lang w:val="en-GB"/>
        </w:rPr>
        <w:t>Journal of Marketing</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74</w:t>
      </w:r>
      <w:r w:rsidRPr="00B8660A">
        <w:rPr>
          <w:rFonts w:asciiTheme="majorHAnsi" w:hAnsiTheme="majorHAnsi" w:cstheme="majorHAnsi"/>
          <w:color w:val="222222"/>
          <w:shd w:val="clear" w:color="auto" w:fill="FFFFFF"/>
          <w:lang w:val="en-GB"/>
        </w:rPr>
        <w:t>(5), 18-31.</w:t>
      </w:r>
    </w:p>
    <w:p w14:paraId="2F0AC813" w14:textId="4EB3BDEB"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Lüdeke‐Freund, F., Gold, S., &amp; Bocken, N. M. P. (2019). A </w:t>
      </w:r>
      <w:r w:rsidR="00FD7A2F" w:rsidRPr="00B8660A">
        <w:rPr>
          <w:rFonts w:asciiTheme="majorHAnsi" w:hAnsiTheme="majorHAnsi" w:cstheme="majorHAnsi"/>
          <w:lang w:val="en-GB"/>
        </w:rPr>
        <w:t>r</w:t>
      </w:r>
      <w:r w:rsidRPr="00B8660A">
        <w:rPr>
          <w:rFonts w:asciiTheme="majorHAnsi" w:hAnsiTheme="majorHAnsi" w:cstheme="majorHAnsi"/>
          <w:lang w:val="en-GB"/>
        </w:rPr>
        <w:t xml:space="preserve">eview and </w:t>
      </w:r>
      <w:r w:rsidR="00FD7A2F" w:rsidRPr="00B8660A">
        <w:rPr>
          <w:rFonts w:asciiTheme="majorHAnsi" w:hAnsiTheme="majorHAnsi" w:cstheme="majorHAnsi"/>
          <w:lang w:val="en-GB"/>
        </w:rPr>
        <w:t>t</w:t>
      </w:r>
      <w:r w:rsidRPr="00B8660A">
        <w:rPr>
          <w:rFonts w:asciiTheme="majorHAnsi" w:hAnsiTheme="majorHAnsi" w:cstheme="majorHAnsi"/>
          <w:lang w:val="en-GB"/>
        </w:rPr>
        <w:t xml:space="preserve">ypology of </w:t>
      </w:r>
      <w:r w:rsidR="00FD7A2F" w:rsidRPr="00B8660A">
        <w:rPr>
          <w:rFonts w:asciiTheme="majorHAnsi" w:hAnsiTheme="majorHAnsi" w:cstheme="majorHAnsi"/>
          <w:lang w:val="en-GB"/>
        </w:rPr>
        <w:t>c</w:t>
      </w:r>
      <w:r w:rsidRPr="00B8660A">
        <w:rPr>
          <w:rFonts w:asciiTheme="majorHAnsi" w:hAnsiTheme="majorHAnsi" w:cstheme="majorHAnsi"/>
          <w:lang w:val="en-GB"/>
        </w:rPr>
        <w:t xml:space="preserve">ircular </w:t>
      </w:r>
      <w:r w:rsidR="00FD7A2F" w:rsidRPr="00B8660A">
        <w:rPr>
          <w:rFonts w:asciiTheme="majorHAnsi" w:hAnsiTheme="majorHAnsi" w:cstheme="majorHAnsi"/>
          <w:lang w:val="en-GB"/>
        </w:rPr>
        <w:t>e</w:t>
      </w:r>
      <w:r w:rsidRPr="00B8660A">
        <w:rPr>
          <w:rFonts w:asciiTheme="majorHAnsi" w:hAnsiTheme="majorHAnsi" w:cstheme="majorHAnsi"/>
          <w:lang w:val="en-GB"/>
        </w:rPr>
        <w:t xml:space="preserve">conomy </w:t>
      </w:r>
      <w:r w:rsidR="00FD7A2F" w:rsidRPr="00B8660A">
        <w:rPr>
          <w:rFonts w:asciiTheme="majorHAnsi" w:hAnsiTheme="majorHAnsi" w:cstheme="majorHAnsi"/>
          <w:lang w:val="en-GB"/>
        </w:rPr>
        <w:t>b</w:t>
      </w:r>
      <w:r w:rsidRPr="00B8660A">
        <w:rPr>
          <w:rFonts w:asciiTheme="majorHAnsi" w:hAnsiTheme="majorHAnsi" w:cstheme="majorHAnsi"/>
          <w:lang w:val="en-GB"/>
        </w:rPr>
        <w:t xml:space="preserve">usiness </w:t>
      </w:r>
      <w:r w:rsidR="00FD7A2F" w:rsidRPr="00B8660A">
        <w:rPr>
          <w:rFonts w:asciiTheme="majorHAnsi" w:hAnsiTheme="majorHAnsi" w:cstheme="majorHAnsi"/>
          <w:lang w:val="en-GB"/>
        </w:rPr>
        <w:t>m</w:t>
      </w:r>
      <w:r w:rsidRPr="00B8660A">
        <w:rPr>
          <w:rFonts w:asciiTheme="majorHAnsi" w:hAnsiTheme="majorHAnsi" w:cstheme="majorHAnsi"/>
          <w:lang w:val="en-GB"/>
        </w:rPr>
        <w:t xml:space="preserve">odel </w:t>
      </w:r>
      <w:r w:rsidR="00FD7A2F" w:rsidRPr="00B8660A">
        <w:rPr>
          <w:rFonts w:asciiTheme="majorHAnsi" w:hAnsiTheme="majorHAnsi" w:cstheme="majorHAnsi"/>
          <w:lang w:val="en-GB"/>
        </w:rPr>
        <w:t>p</w:t>
      </w:r>
      <w:r w:rsidRPr="00B8660A">
        <w:rPr>
          <w:rFonts w:asciiTheme="majorHAnsi" w:hAnsiTheme="majorHAnsi" w:cstheme="majorHAnsi"/>
          <w:lang w:val="en-GB"/>
        </w:rPr>
        <w:t xml:space="preserve">atterns. </w:t>
      </w:r>
      <w:r w:rsidRPr="00B8660A">
        <w:rPr>
          <w:rFonts w:asciiTheme="majorHAnsi" w:hAnsiTheme="majorHAnsi" w:cstheme="majorHAnsi"/>
          <w:i/>
          <w:lang w:val="en-GB"/>
        </w:rPr>
        <w:t>Journal of Industrial Ecology</w:t>
      </w:r>
      <w:r w:rsidRPr="00B8660A">
        <w:rPr>
          <w:rFonts w:asciiTheme="majorHAnsi" w:hAnsiTheme="majorHAnsi" w:cstheme="majorHAnsi"/>
          <w:lang w:val="en-GB"/>
        </w:rPr>
        <w:t xml:space="preserve">, </w:t>
      </w:r>
      <w:r w:rsidRPr="00B8660A">
        <w:rPr>
          <w:rFonts w:asciiTheme="majorHAnsi" w:hAnsiTheme="majorHAnsi" w:cstheme="majorHAnsi"/>
          <w:i/>
          <w:lang w:val="en-GB"/>
        </w:rPr>
        <w:t>23</w:t>
      </w:r>
      <w:r w:rsidRPr="00B8660A">
        <w:rPr>
          <w:rFonts w:asciiTheme="majorHAnsi" w:hAnsiTheme="majorHAnsi" w:cstheme="majorHAnsi"/>
          <w:lang w:val="en-GB"/>
        </w:rPr>
        <w:t>(1), 36–61. https://doi.org/10.1111/jiec.12763</w:t>
      </w:r>
    </w:p>
    <w:p w14:paraId="619BBA5E"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Nußholz, J. L. (2017). Circular business models: Defining a concept and framing an emerging research field. </w:t>
      </w:r>
      <w:r w:rsidRPr="00B8660A">
        <w:rPr>
          <w:rFonts w:asciiTheme="majorHAnsi" w:hAnsiTheme="majorHAnsi" w:cstheme="majorHAnsi"/>
          <w:i/>
          <w:lang w:val="en-GB"/>
        </w:rPr>
        <w:t>Sustainability</w:t>
      </w:r>
      <w:r w:rsidRPr="00B8660A">
        <w:rPr>
          <w:rFonts w:asciiTheme="majorHAnsi" w:hAnsiTheme="majorHAnsi" w:cstheme="majorHAnsi"/>
          <w:lang w:val="en-GB"/>
        </w:rPr>
        <w:t xml:space="preserve">, </w:t>
      </w:r>
      <w:r w:rsidRPr="00B8660A">
        <w:rPr>
          <w:rFonts w:asciiTheme="majorHAnsi" w:hAnsiTheme="majorHAnsi" w:cstheme="majorHAnsi"/>
          <w:i/>
          <w:lang w:val="en-GB"/>
        </w:rPr>
        <w:t>9</w:t>
      </w:r>
      <w:r w:rsidRPr="00B8660A">
        <w:rPr>
          <w:rFonts w:asciiTheme="majorHAnsi" w:hAnsiTheme="majorHAnsi" w:cstheme="majorHAnsi"/>
          <w:lang w:val="en-GB"/>
        </w:rPr>
        <w:t>(10), 1810.</w:t>
      </w:r>
    </w:p>
    <w:p w14:paraId="63B71FA2" w14:textId="77777777" w:rsidR="003070F4" w:rsidRPr="00B8660A" w:rsidRDefault="003070F4" w:rsidP="009865D5">
      <w:pPr>
        <w:spacing w:line="360" w:lineRule="auto"/>
        <w:ind w:left="720" w:hanging="720"/>
        <w:jc w:val="both"/>
        <w:rPr>
          <w:rFonts w:asciiTheme="majorHAnsi" w:hAnsiTheme="majorHAnsi" w:cstheme="majorHAnsi"/>
          <w:color w:val="222222"/>
          <w:sz w:val="24"/>
          <w:shd w:val="clear" w:color="auto" w:fill="FFFFFF"/>
          <w:lang w:val="en-GB"/>
        </w:rPr>
      </w:pPr>
      <w:r w:rsidRPr="00D16C70">
        <w:rPr>
          <w:rFonts w:asciiTheme="majorHAnsi" w:hAnsiTheme="majorHAnsi" w:cstheme="majorHAnsi"/>
          <w:color w:val="222222"/>
          <w:szCs w:val="20"/>
          <w:shd w:val="clear" w:color="auto" w:fill="FFFFFF"/>
          <w:lang w:val="en-GB"/>
        </w:rPr>
        <w:t>Palmatier, R. W., &amp; Crecelius, A. T. (2019). The “first principles” of marketing strategy. </w:t>
      </w:r>
      <w:r w:rsidRPr="00D16C70">
        <w:rPr>
          <w:rFonts w:asciiTheme="majorHAnsi" w:hAnsiTheme="majorHAnsi" w:cstheme="majorHAnsi"/>
          <w:i/>
          <w:iCs/>
          <w:color w:val="222222"/>
          <w:szCs w:val="20"/>
          <w:shd w:val="clear" w:color="auto" w:fill="FFFFFF"/>
          <w:lang w:val="en-GB"/>
        </w:rPr>
        <w:t>Ams Review</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9</w:t>
      </w:r>
      <w:r w:rsidRPr="00D16C70">
        <w:rPr>
          <w:rFonts w:asciiTheme="majorHAnsi" w:hAnsiTheme="majorHAnsi" w:cstheme="majorHAnsi"/>
          <w:color w:val="222222"/>
          <w:szCs w:val="20"/>
          <w:shd w:val="clear" w:color="auto" w:fill="FFFFFF"/>
          <w:lang w:val="en-GB"/>
        </w:rPr>
        <w:t>, 5-26.</w:t>
      </w:r>
      <w:r w:rsidRPr="00B8660A">
        <w:rPr>
          <w:rFonts w:asciiTheme="majorHAnsi" w:hAnsiTheme="majorHAnsi" w:cstheme="majorHAnsi"/>
          <w:color w:val="222222"/>
          <w:sz w:val="24"/>
          <w:shd w:val="clear" w:color="auto" w:fill="FFFFFF"/>
          <w:lang w:val="en-GB"/>
        </w:rPr>
        <w:t xml:space="preserve"> </w:t>
      </w:r>
    </w:p>
    <w:p w14:paraId="438B359B" w14:textId="4AADB1EA" w:rsidR="004D3FAD" w:rsidRPr="00B8660A" w:rsidRDefault="004D3FAD" w:rsidP="009865D5">
      <w:pPr>
        <w:spacing w:line="360" w:lineRule="auto"/>
        <w:ind w:left="720" w:hanging="720"/>
        <w:jc w:val="both"/>
        <w:rPr>
          <w:rFonts w:asciiTheme="majorHAnsi" w:hAnsiTheme="majorHAnsi" w:cstheme="majorHAnsi"/>
          <w:color w:val="222222"/>
          <w:shd w:val="clear" w:color="auto" w:fill="FFFFFF"/>
          <w:lang w:val="en-GB"/>
        </w:rPr>
      </w:pPr>
      <w:r w:rsidRPr="00B8660A">
        <w:rPr>
          <w:rFonts w:asciiTheme="majorHAnsi" w:hAnsiTheme="majorHAnsi" w:cstheme="majorHAnsi"/>
          <w:color w:val="222222"/>
          <w:shd w:val="clear" w:color="auto" w:fill="FFFFFF"/>
          <w:lang w:val="en-GB"/>
        </w:rPr>
        <w:t>Parasuraman, A., Zeithaml, V. A., &amp; Berry, L. L. (1985). A conceptual model of service quality and its implications for future research. </w:t>
      </w:r>
      <w:r w:rsidRPr="00B8660A">
        <w:rPr>
          <w:rFonts w:asciiTheme="majorHAnsi" w:hAnsiTheme="majorHAnsi" w:cstheme="majorHAnsi"/>
          <w:i/>
          <w:iCs/>
          <w:color w:val="222222"/>
          <w:shd w:val="clear" w:color="auto" w:fill="FFFFFF"/>
          <w:lang w:val="en-GB"/>
        </w:rPr>
        <w:t xml:space="preserve">Journal of </w:t>
      </w:r>
      <w:r w:rsidR="00AB6717" w:rsidRPr="00B8660A">
        <w:rPr>
          <w:rFonts w:asciiTheme="majorHAnsi" w:hAnsiTheme="majorHAnsi" w:cstheme="majorHAnsi"/>
          <w:i/>
          <w:iCs/>
          <w:color w:val="222222"/>
          <w:shd w:val="clear" w:color="auto" w:fill="FFFFFF"/>
          <w:lang w:val="en-GB"/>
        </w:rPr>
        <w:t>M</w:t>
      </w:r>
      <w:r w:rsidRPr="00B8660A">
        <w:rPr>
          <w:rFonts w:asciiTheme="majorHAnsi" w:hAnsiTheme="majorHAnsi" w:cstheme="majorHAnsi"/>
          <w:i/>
          <w:iCs/>
          <w:color w:val="222222"/>
          <w:shd w:val="clear" w:color="auto" w:fill="FFFFFF"/>
          <w:lang w:val="en-GB"/>
        </w:rPr>
        <w:t>arketing</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49</w:t>
      </w:r>
      <w:r w:rsidRPr="00B8660A">
        <w:rPr>
          <w:rFonts w:asciiTheme="majorHAnsi" w:hAnsiTheme="majorHAnsi" w:cstheme="majorHAnsi"/>
          <w:color w:val="222222"/>
          <w:shd w:val="clear" w:color="auto" w:fill="FFFFFF"/>
          <w:lang w:val="en-GB"/>
        </w:rPr>
        <w:t>(4), 41-50.</w:t>
      </w:r>
    </w:p>
    <w:p w14:paraId="315260F3" w14:textId="77777777" w:rsidR="004618FC" w:rsidRPr="00D16C70" w:rsidRDefault="004618FC" w:rsidP="004618FC">
      <w:pPr>
        <w:widowControl w:val="0"/>
        <w:autoSpaceDE w:val="0"/>
        <w:autoSpaceDN w:val="0"/>
        <w:adjustRightInd w:val="0"/>
        <w:spacing w:line="480" w:lineRule="auto"/>
        <w:ind w:left="720" w:hanging="720"/>
        <w:rPr>
          <w:rFonts w:asciiTheme="majorHAnsi" w:hAnsiTheme="majorHAnsi" w:cstheme="majorHAnsi"/>
          <w:szCs w:val="24"/>
          <w:lang w:val="en-GB"/>
        </w:rPr>
      </w:pPr>
      <w:r w:rsidRPr="00D16C70">
        <w:rPr>
          <w:rFonts w:asciiTheme="majorHAnsi" w:hAnsiTheme="majorHAnsi" w:cstheme="majorHAnsi"/>
          <w:szCs w:val="24"/>
          <w:lang w:val="en-GB"/>
        </w:rPr>
        <w:t xml:space="preserve">Parida, V., Burström, T., Visnjic, I., &amp; Wincent, J. (2019). Orchestrating industrial ecosystem in circular economy: A two-stage transformation model for large manufacturing companies. </w:t>
      </w:r>
      <w:r w:rsidRPr="00D16C70">
        <w:rPr>
          <w:rFonts w:asciiTheme="majorHAnsi" w:hAnsiTheme="majorHAnsi" w:cstheme="majorHAnsi"/>
          <w:i/>
          <w:iCs/>
          <w:szCs w:val="24"/>
          <w:lang w:val="en-GB"/>
        </w:rPr>
        <w:t>Journal of Business Research</w:t>
      </w:r>
      <w:r w:rsidRPr="00D16C70">
        <w:rPr>
          <w:rFonts w:asciiTheme="majorHAnsi" w:hAnsiTheme="majorHAnsi" w:cstheme="majorHAnsi"/>
          <w:szCs w:val="24"/>
          <w:lang w:val="en-GB"/>
        </w:rPr>
        <w:t xml:space="preserve">, </w:t>
      </w:r>
      <w:r w:rsidRPr="00D16C70">
        <w:rPr>
          <w:rFonts w:asciiTheme="majorHAnsi" w:hAnsiTheme="majorHAnsi" w:cstheme="majorHAnsi"/>
          <w:i/>
          <w:iCs/>
          <w:szCs w:val="24"/>
          <w:lang w:val="en-GB"/>
        </w:rPr>
        <w:t>101</w:t>
      </w:r>
      <w:r w:rsidRPr="00D16C70">
        <w:rPr>
          <w:rFonts w:asciiTheme="majorHAnsi" w:hAnsiTheme="majorHAnsi" w:cstheme="majorHAnsi"/>
          <w:szCs w:val="24"/>
          <w:lang w:val="en-GB"/>
        </w:rPr>
        <w:t>, 715–725. https://doi.org/10.1016/j.jbusres.2019.01.006</w:t>
      </w:r>
    </w:p>
    <w:p w14:paraId="2E498416" w14:textId="176CC9ED" w:rsidR="003F793F" w:rsidRPr="00B8660A" w:rsidRDefault="00C42D67" w:rsidP="009865D5">
      <w:pPr>
        <w:spacing w:line="360" w:lineRule="auto"/>
        <w:ind w:left="720" w:hanging="720"/>
        <w:jc w:val="both"/>
        <w:rPr>
          <w:rFonts w:asciiTheme="majorHAnsi" w:hAnsiTheme="majorHAnsi" w:cstheme="majorHAnsi"/>
          <w:color w:val="222222"/>
          <w:highlight w:val="white"/>
          <w:lang w:val="en-GB"/>
        </w:rPr>
      </w:pPr>
      <w:r w:rsidRPr="00B8660A">
        <w:rPr>
          <w:rFonts w:asciiTheme="majorHAnsi" w:hAnsiTheme="majorHAnsi" w:cstheme="majorHAnsi"/>
          <w:color w:val="222222"/>
          <w:highlight w:val="white"/>
          <w:lang w:val="en-GB"/>
        </w:rPr>
        <w:t xml:space="preserve">Payne, A., Frow, P., &amp; Eggert, A. (2017). The customer value proposition: evolution, development, and application in marketing. </w:t>
      </w:r>
      <w:r w:rsidRPr="00B8660A">
        <w:rPr>
          <w:rFonts w:asciiTheme="majorHAnsi" w:hAnsiTheme="majorHAnsi" w:cstheme="majorHAnsi"/>
          <w:i/>
          <w:color w:val="222222"/>
          <w:highlight w:val="white"/>
          <w:lang w:val="en-GB"/>
        </w:rPr>
        <w:t>Journal of the Academy of Marketing Science</w:t>
      </w:r>
      <w:r w:rsidRPr="00B8660A">
        <w:rPr>
          <w:rFonts w:asciiTheme="majorHAnsi" w:hAnsiTheme="majorHAnsi" w:cstheme="majorHAnsi"/>
          <w:color w:val="222222"/>
          <w:highlight w:val="white"/>
          <w:lang w:val="en-GB"/>
        </w:rPr>
        <w:t xml:space="preserve">, </w:t>
      </w:r>
      <w:r w:rsidRPr="00B8660A">
        <w:rPr>
          <w:rFonts w:asciiTheme="majorHAnsi" w:hAnsiTheme="majorHAnsi" w:cstheme="majorHAnsi"/>
          <w:i/>
          <w:color w:val="222222"/>
          <w:highlight w:val="white"/>
          <w:lang w:val="en-GB"/>
        </w:rPr>
        <w:t>45</w:t>
      </w:r>
      <w:r w:rsidRPr="00B8660A">
        <w:rPr>
          <w:rFonts w:asciiTheme="majorHAnsi" w:hAnsiTheme="majorHAnsi" w:cstheme="majorHAnsi"/>
          <w:color w:val="222222"/>
          <w:highlight w:val="white"/>
          <w:lang w:val="en-GB"/>
        </w:rPr>
        <w:t>, 467-489.</w:t>
      </w:r>
    </w:p>
    <w:p w14:paraId="53966287" w14:textId="77777777" w:rsidR="00D26376" w:rsidRPr="00B8660A" w:rsidRDefault="00D26376" w:rsidP="009865D5">
      <w:pPr>
        <w:spacing w:line="360" w:lineRule="auto"/>
        <w:ind w:left="720" w:hanging="720"/>
        <w:jc w:val="both"/>
        <w:rPr>
          <w:rFonts w:asciiTheme="majorHAnsi" w:hAnsiTheme="majorHAnsi" w:cstheme="majorHAnsi"/>
          <w:color w:val="222222"/>
          <w:shd w:val="clear" w:color="auto" w:fill="FFFFFF"/>
          <w:lang w:val="en-GB"/>
        </w:rPr>
      </w:pPr>
      <w:r w:rsidRPr="00B8660A">
        <w:rPr>
          <w:rFonts w:asciiTheme="majorHAnsi" w:hAnsiTheme="majorHAnsi" w:cstheme="majorHAnsi"/>
          <w:color w:val="222222"/>
          <w:shd w:val="clear" w:color="auto" w:fill="FFFFFF"/>
          <w:lang w:val="en-GB"/>
        </w:rPr>
        <w:t>Phipps, M., Ozanne, L. K., Luchs, M. G., Subrahmanyan, S., Kapitan, S., Catlin, J. R., ... &amp; Weaver, T. (2013). Understanding the inherent complexity of sustainable consumption: A social cognitive framework. </w:t>
      </w:r>
      <w:r w:rsidRPr="00B8660A">
        <w:rPr>
          <w:rFonts w:asciiTheme="majorHAnsi" w:hAnsiTheme="majorHAnsi" w:cstheme="majorHAnsi"/>
          <w:i/>
          <w:iCs/>
          <w:color w:val="222222"/>
          <w:shd w:val="clear" w:color="auto" w:fill="FFFFFF"/>
          <w:lang w:val="en-GB"/>
        </w:rPr>
        <w:t>Journal of Business Research</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66</w:t>
      </w:r>
      <w:r w:rsidRPr="00B8660A">
        <w:rPr>
          <w:rFonts w:asciiTheme="majorHAnsi" w:hAnsiTheme="majorHAnsi" w:cstheme="majorHAnsi"/>
          <w:color w:val="222222"/>
          <w:shd w:val="clear" w:color="auto" w:fill="FFFFFF"/>
          <w:lang w:val="en-GB"/>
        </w:rPr>
        <w:t>(8), 1227-1234.</w:t>
      </w:r>
    </w:p>
    <w:p w14:paraId="555D14F6" w14:textId="4B4EC2E3" w:rsidR="003F793F" w:rsidRPr="00B8660A" w:rsidRDefault="00C42D67" w:rsidP="009865D5">
      <w:pPr>
        <w:spacing w:line="360" w:lineRule="auto"/>
        <w:ind w:left="720" w:hanging="720"/>
        <w:jc w:val="both"/>
        <w:rPr>
          <w:rFonts w:asciiTheme="majorHAnsi" w:hAnsiTheme="majorHAnsi" w:cstheme="majorHAnsi"/>
          <w:color w:val="222222"/>
          <w:highlight w:val="white"/>
          <w:lang w:val="en-GB"/>
        </w:rPr>
      </w:pPr>
      <w:r w:rsidRPr="00B8660A">
        <w:rPr>
          <w:rFonts w:asciiTheme="majorHAnsi" w:hAnsiTheme="majorHAnsi" w:cstheme="majorHAnsi"/>
          <w:color w:val="222222"/>
          <w:highlight w:val="white"/>
          <w:lang w:val="en-GB"/>
        </w:rPr>
        <w:t xml:space="preserve">Piepponen, A., Ritala, P., Keränen, J., &amp; Maijanen, P. (2022). Digital transformation of the value proposition: A single case study in the media industry. </w:t>
      </w:r>
      <w:r w:rsidRPr="00B8660A">
        <w:rPr>
          <w:rFonts w:asciiTheme="majorHAnsi" w:hAnsiTheme="majorHAnsi" w:cstheme="majorHAnsi"/>
          <w:i/>
          <w:color w:val="222222"/>
          <w:highlight w:val="white"/>
          <w:lang w:val="en-GB"/>
        </w:rPr>
        <w:t>Journal of Business Research</w:t>
      </w:r>
      <w:r w:rsidRPr="00B8660A">
        <w:rPr>
          <w:rFonts w:asciiTheme="majorHAnsi" w:hAnsiTheme="majorHAnsi" w:cstheme="majorHAnsi"/>
          <w:color w:val="222222"/>
          <w:highlight w:val="white"/>
          <w:lang w:val="en-GB"/>
        </w:rPr>
        <w:t xml:space="preserve">, </w:t>
      </w:r>
      <w:r w:rsidRPr="00B8660A">
        <w:rPr>
          <w:rFonts w:asciiTheme="majorHAnsi" w:hAnsiTheme="majorHAnsi" w:cstheme="majorHAnsi"/>
          <w:i/>
          <w:color w:val="222222"/>
          <w:highlight w:val="white"/>
          <w:lang w:val="en-GB"/>
        </w:rPr>
        <w:t>150</w:t>
      </w:r>
      <w:r w:rsidRPr="00B8660A">
        <w:rPr>
          <w:rFonts w:asciiTheme="majorHAnsi" w:hAnsiTheme="majorHAnsi" w:cstheme="majorHAnsi"/>
          <w:color w:val="222222"/>
          <w:highlight w:val="white"/>
          <w:lang w:val="en-GB"/>
        </w:rPr>
        <w:t>, 311-325.</w:t>
      </w:r>
    </w:p>
    <w:p w14:paraId="2797633F" w14:textId="4B784426" w:rsidR="00D26376" w:rsidRPr="00B8660A" w:rsidRDefault="00D26376"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color w:val="222222"/>
          <w:shd w:val="clear" w:color="auto" w:fill="FFFFFF"/>
          <w:lang w:val="en-GB"/>
        </w:rPr>
        <w:t>Prothero, A., Dobscha, S., Freund, J., Kilbourne, W. E., Luchs, M. G., Ozanne, L. K., &amp; Thøgersen, J. (2011). Sustainable consumption: Opportunities for consumer research and public policy. </w:t>
      </w:r>
      <w:r w:rsidRPr="00B8660A">
        <w:rPr>
          <w:rFonts w:asciiTheme="majorHAnsi" w:hAnsiTheme="majorHAnsi" w:cstheme="majorHAnsi"/>
          <w:i/>
          <w:iCs/>
          <w:color w:val="222222"/>
          <w:shd w:val="clear" w:color="auto" w:fill="FFFFFF"/>
          <w:lang w:val="en-GB"/>
        </w:rPr>
        <w:t>Journal of Public Policy &amp; Marketing</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30</w:t>
      </w:r>
      <w:r w:rsidRPr="00B8660A">
        <w:rPr>
          <w:rFonts w:asciiTheme="majorHAnsi" w:hAnsiTheme="majorHAnsi" w:cstheme="majorHAnsi"/>
          <w:color w:val="222222"/>
          <w:shd w:val="clear" w:color="auto" w:fill="FFFFFF"/>
          <w:lang w:val="en-GB"/>
        </w:rPr>
        <w:t>(1), 31-38.</w:t>
      </w:r>
    </w:p>
    <w:p w14:paraId="08835B45" w14:textId="77777777" w:rsidR="00426262" w:rsidRPr="00B8660A" w:rsidRDefault="00426262" w:rsidP="009865D5">
      <w:pPr>
        <w:spacing w:line="360" w:lineRule="auto"/>
        <w:ind w:left="720" w:hanging="720"/>
        <w:jc w:val="both"/>
        <w:rPr>
          <w:rFonts w:asciiTheme="majorHAnsi" w:hAnsiTheme="majorHAnsi" w:cstheme="majorHAnsi"/>
          <w:color w:val="222222"/>
          <w:shd w:val="clear" w:color="auto" w:fill="FFFFFF"/>
          <w:lang w:val="en-GB"/>
        </w:rPr>
      </w:pPr>
      <w:r w:rsidRPr="004375CB">
        <w:rPr>
          <w:rFonts w:asciiTheme="majorHAnsi" w:hAnsiTheme="majorHAnsi" w:cstheme="majorHAnsi"/>
          <w:color w:val="222222"/>
          <w:shd w:val="clear" w:color="auto" w:fill="FFFFFF"/>
          <w:lang w:val="fi-FI"/>
        </w:rPr>
        <w:lastRenderedPageBreak/>
        <w:t xml:space="preserve">Ranta, V., Keränen, J., &amp; Aarikka-Stenroos, L. (2020). </w:t>
      </w:r>
      <w:r w:rsidRPr="00B8660A">
        <w:rPr>
          <w:rFonts w:asciiTheme="majorHAnsi" w:hAnsiTheme="majorHAnsi" w:cstheme="majorHAnsi"/>
          <w:color w:val="222222"/>
          <w:shd w:val="clear" w:color="auto" w:fill="FFFFFF"/>
          <w:lang w:val="en-GB"/>
        </w:rPr>
        <w:t>How B2B suppliers articulate customer value propositions in the circular economy: Four innovation-driven value creation logics. </w:t>
      </w:r>
      <w:r w:rsidRPr="00B8660A">
        <w:rPr>
          <w:rFonts w:asciiTheme="majorHAnsi" w:hAnsiTheme="majorHAnsi" w:cstheme="majorHAnsi"/>
          <w:i/>
          <w:iCs/>
          <w:color w:val="222222"/>
          <w:shd w:val="clear" w:color="auto" w:fill="FFFFFF"/>
          <w:lang w:val="en-GB"/>
        </w:rPr>
        <w:t>Industrial Marketing Management</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87</w:t>
      </w:r>
      <w:r w:rsidRPr="00B8660A">
        <w:rPr>
          <w:rFonts w:asciiTheme="majorHAnsi" w:hAnsiTheme="majorHAnsi" w:cstheme="majorHAnsi"/>
          <w:color w:val="222222"/>
          <w:shd w:val="clear" w:color="auto" w:fill="FFFFFF"/>
          <w:lang w:val="en-GB"/>
        </w:rPr>
        <w:t>, 291-305.</w:t>
      </w:r>
    </w:p>
    <w:p w14:paraId="1F85608C" w14:textId="77777777" w:rsidR="00E661FD" w:rsidRPr="00D16C70" w:rsidRDefault="00E661FD" w:rsidP="009865D5">
      <w:pPr>
        <w:spacing w:line="360" w:lineRule="auto"/>
        <w:ind w:left="720" w:hanging="720"/>
        <w:jc w:val="both"/>
        <w:rPr>
          <w:rFonts w:asciiTheme="majorHAnsi" w:hAnsiTheme="majorHAnsi" w:cstheme="majorHAnsi"/>
          <w:color w:val="222222"/>
          <w:szCs w:val="20"/>
          <w:shd w:val="clear" w:color="auto" w:fill="FFFFFF"/>
          <w:lang w:val="en-GB"/>
        </w:rPr>
      </w:pPr>
      <w:r w:rsidRPr="00D16C70">
        <w:rPr>
          <w:rFonts w:asciiTheme="majorHAnsi" w:hAnsiTheme="majorHAnsi" w:cstheme="majorHAnsi"/>
          <w:color w:val="222222"/>
          <w:szCs w:val="20"/>
          <w:shd w:val="clear" w:color="auto" w:fill="FFFFFF"/>
          <w:lang w:val="en-GB"/>
        </w:rPr>
        <w:t>Reczek, R. W., Trudel, R., &amp; White, K. (2018). Focusing on the forest or the trees: How abstract versus concrete construal level predicts responses to eco-friendly products. </w:t>
      </w:r>
      <w:r w:rsidRPr="00D16C70">
        <w:rPr>
          <w:rFonts w:asciiTheme="majorHAnsi" w:hAnsiTheme="majorHAnsi" w:cstheme="majorHAnsi"/>
          <w:i/>
          <w:iCs/>
          <w:color w:val="222222"/>
          <w:szCs w:val="20"/>
          <w:shd w:val="clear" w:color="auto" w:fill="FFFFFF"/>
          <w:lang w:val="en-GB"/>
        </w:rPr>
        <w:t>Journal of Environmental Psychology</w:t>
      </w:r>
      <w:r w:rsidRPr="00D16C70">
        <w:rPr>
          <w:rFonts w:asciiTheme="majorHAnsi" w:hAnsiTheme="majorHAnsi" w:cstheme="majorHAnsi"/>
          <w:color w:val="222222"/>
          <w:szCs w:val="20"/>
          <w:shd w:val="clear" w:color="auto" w:fill="FFFFFF"/>
          <w:lang w:val="en-GB"/>
        </w:rPr>
        <w:t>, </w:t>
      </w:r>
      <w:r w:rsidRPr="00D16C70">
        <w:rPr>
          <w:rFonts w:asciiTheme="majorHAnsi" w:hAnsiTheme="majorHAnsi" w:cstheme="majorHAnsi"/>
          <w:i/>
          <w:iCs/>
          <w:color w:val="222222"/>
          <w:szCs w:val="20"/>
          <w:shd w:val="clear" w:color="auto" w:fill="FFFFFF"/>
          <w:lang w:val="en-GB"/>
        </w:rPr>
        <w:t>57</w:t>
      </w:r>
      <w:r w:rsidRPr="00D16C70">
        <w:rPr>
          <w:rFonts w:asciiTheme="majorHAnsi" w:hAnsiTheme="majorHAnsi" w:cstheme="majorHAnsi"/>
          <w:color w:val="222222"/>
          <w:szCs w:val="20"/>
          <w:shd w:val="clear" w:color="auto" w:fill="FFFFFF"/>
          <w:lang w:val="en-GB"/>
        </w:rPr>
        <w:t>, 87-98.</w:t>
      </w:r>
    </w:p>
    <w:p w14:paraId="756EE25D" w14:textId="4FDAFF6A" w:rsidR="00426262" w:rsidRPr="00B8660A" w:rsidRDefault="00426262" w:rsidP="009865D5">
      <w:pPr>
        <w:spacing w:line="360" w:lineRule="auto"/>
        <w:ind w:left="720" w:hanging="720"/>
        <w:jc w:val="both"/>
        <w:rPr>
          <w:rFonts w:asciiTheme="majorHAnsi" w:hAnsiTheme="majorHAnsi" w:cstheme="majorHAnsi"/>
          <w:color w:val="222222"/>
          <w:shd w:val="clear" w:color="auto" w:fill="FFFFFF"/>
          <w:lang w:val="en-GB"/>
        </w:rPr>
      </w:pPr>
      <w:r w:rsidRPr="00B8660A">
        <w:rPr>
          <w:rFonts w:asciiTheme="majorHAnsi" w:hAnsiTheme="majorHAnsi" w:cstheme="majorHAnsi"/>
          <w:color w:val="222222"/>
          <w:shd w:val="clear" w:color="auto" w:fill="FFFFFF"/>
          <w:lang w:val="en-GB"/>
        </w:rPr>
        <w:t>Rintamäki, T., &amp; Saarijärvi, H. (2021). An integrative framework for managing customer value propositions. </w:t>
      </w:r>
      <w:r w:rsidRPr="00B8660A">
        <w:rPr>
          <w:rFonts w:asciiTheme="majorHAnsi" w:hAnsiTheme="majorHAnsi" w:cstheme="majorHAnsi"/>
          <w:i/>
          <w:iCs/>
          <w:color w:val="222222"/>
          <w:shd w:val="clear" w:color="auto" w:fill="FFFFFF"/>
          <w:lang w:val="en-GB"/>
        </w:rPr>
        <w:t>Journal of Business Research</w:t>
      </w:r>
      <w:r w:rsidRPr="00B8660A">
        <w:rPr>
          <w:rFonts w:asciiTheme="majorHAnsi" w:hAnsiTheme="majorHAnsi" w:cstheme="majorHAnsi"/>
          <w:color w:val="222222"/>
          <w:shd w:val="clear" w:color="auto" w:fill="FFFFFF"/>
          <w:lang w:val="en-GB"/>
        </w:rPr>
        <w:t>, </w:t>
      </w:r>
      <w:r w:rsidRPr="00B8660A">
        <w:rPr>
          <w:rFonts w:asciiTheme="majorHAnsi" w:hAnsiTheme="majorHAnsi" w:cstheme="majorHAnsi"/>
          <w:i/>
          <w:iCs/>
          <w:color w:val="222222"/>
          <w:shd w:val="clear" w:color="auto" w:fill="FFFFFF"/>
          <w:lang w:val="en-GB"/>
        </w:rPr>
        <w:t>134</w:t>
      </w:r>
      <w:r w:rsidRPr="00B8660A">
        <w:rPr>
          <w:rFonts w:asciiTheme="majorHAnsi" w:hAnsiTheme="majorHAnsi" w:cstheme="majorHAnsi"/>
          <w:color w:val="222222"/>
          <w:shd w:val="clear" w:color="auto" w:fill="FFFFFF"/>
          <w:lang w:val="en-GB"/>
        </w:rPr>
        <w:t>, 754-764.</w:t>
      </w:r>
    </w:p>
    <w:p w14:paraId="28BA432C" w14:textId="77777777" w:rsidR="004618FC" w:rsidRPr="00D16C70" w:rsidRDefault="004618FC" w:rsidP="004618FC">
      <w:pPr>
        <w:widowControl w:val="0"/>
        <w:autoSpaceDE w:val="0"/>
        <w:autoSpaceDN w:val="0"/>
        <w:adjustRightInd w:val="0"/>
        <w:spacing w:line="480" w:lineRule="auto"/>
        <w:ind w:left="720" w:hanging="720"/>
        <w:rPr>
          <w:rFonts w:asciiTheme="majorHAnsi" w:hAnsiTheme="majorHAnsi" w:cstheme="majorHAnsi"/>
          <w:szCs w:val="24"/>
          <w:lang w:val="en-GB"/>
        </w:rPr>
      </w:pPr>
      <w:r w:rsidRPr="00D16C70">
        <w:rPr>
          <w:rFonts w:asciiTheme="majorHAnsi" w:hAnsiTheme="majorHAnsi" w:cstheme="majorHAnsi"/>
          <w:szCs w:val="24"/>
          <w:lang w:val="en-GB"/>
        </w:rPr>
        <w:t xml:space="preserve">Rodríguez-Espíndola, O., Cuevas-Romo, A., Chowdhury, S., Díaz-Acevedo, N., Albores, P., Despoudi, S., Malesios, C., &amp; Dey, P. (2022). The role of circular economy principles and sustainable-oriented innovation to enhance social, economic and environmental performance: Evidence from Mexican SMEs. </w:t>
      </w:r>
      <w:r w:rsidRPr="00D16C70">
        <w:rPr>
          <w:rFonts w:asciiTheme="majorHAnsi" w:hAnsiTheme="majorHAnsi" w:cstheme="majorHAnsi"/>
          <w:i/>
          <w:iCs/>
          <w:szCs w:val="24"/>
          <w:lang w:val="en-GB"/>
        </w:rPr>
        <w:t>International Journal of Production Economics</w:t>
      </w:r>
      <w:r w:rsidRPr="00D16C70">
        <w:rPr>
          <w:rFonts w:asciiTheme="majorHAnsi" w:hAnsiTheme="majorHAnsi" w:cstheme="majorHAnsi"/>
          <w:szCs w:val="24"/>
          <w:lang w:val="en-GB"/>
        </w:rPr>
        <w:t xml:space="preserve">, </w:t>
      </w:r>
      <w:r w:rsidRPr="00D16C70">
        <w:rPr>
          <w:rFonts w:asciiTheme="majorHAnsi" w:hAnsiTheme="majorHAnsi" w:cstheme="majorHAnsi"/>
          <w:i/>
          <w:iCs/>
          <w:szCs w:val="24"/>
          <w:lang w:val="en-GB"/>
        </w:rPr>
        <w:t>248</w:t>
      </w:r>
      <w:r w:rsidRPr="00D16C70">
        <w:rPr>
          <w:rFonts w:asciiTheme="majorHAnsi" w:hAnsiTheme="majorHAnsi" w:cstheme="majorHAnsi"/>
          <w:szCs w:val="24"/>
          <w:lang w:val="en-GB"/>
        </w:rPr>
        <w:t>, 108495. https://doi.org/10.1016/j.ijpe.2022.108495</w:t>
      </w:r>
    </w:p>
    <w:p w14:paraId="6EF9FA74" w14:textId="2EA47024"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Storbacka, K., Brodie, R. J., Böhmann, T., Maglio, P. P., &amp; Nenonen, S. (2016). Actor engagement as a microfoundation for value co-creation. </w:t>
      </w:r>
      <w:r w:rsidRPr="00B8660A">
        <w:rPr>
          <w:rFonts w:asciiTheme="majorHAnsi" w:hAnsiTheme="majorHAnsi" w:cstheme="majorHAnsi"/>
          <w:i/>
          <w:lang w:val="en-GB"/>
        </w:rPr>
        <w:t>Journal of Business Research</w:t>
      </w:r>
      <w:r w:rsidRPr="00B8660A">
        <w:rPr>
          <w:rFonts w:asciiTheme="majorHAnsi" w:hAnsiTheme="majorHAnsi" w:cstheme="majorHAnsi"/>
          <w:lang w:val="en-GB"/>
        </w:rPr>
        <w:t xml:space="preserve">, </w:t>
      </w:r>
      <w:r w:rsidRPr="00B8660A">
        <w:rPr>
          <w:rFonts w:asciiTheme="majorHAnsi" w:hAnsiTheme="majorHAnsi" w:cstheme="majorHAnsi"/>
          <w:i/>
          <w:lang w:val="en-GB"/>
        </w:rPr>
        <w:t>69</w:t>
      </w:r>
      <w:r w:rsidRPr="00B8660A">
        <w:rPr>
          <w:rFonts w:asciiTheme="majorHAnsi" w:hAnsiTheme="majorHAnsi" w:cstheme="majorHAnsi"/>
          <w:lang w:val="en-GB"/>
        </w:rPr>
        <w:t>(8), 3008–3017. https://doi.org/10.1016/j.jbusres.2016.02.034</w:t>
      </w:r>
    </w:p>
    <w:p w14:paraId="070A3339" w14:textId="6B039CD4" w:rsidR="003F793F" w:rsidRPr="00B8660A" w:rsidRDefault="00C42D67" w:rsidP="009865D5">
      <w:pPr>
        <w:spacing w:line="360" w:lineRule="auto"/>
        <w:ind w:left="720" w:hanging="720"/>
        <w:jc w:val="both"/>
        <w:rPr>
          <w:rFonts w:asciiTheme="majorHAnsi" w:hAnsiTheme="majorHAnsi" w:cstheme="majorHAnsi"/>
          <w:lang w:val="en-GB"/>
        </w:rPr>
      </w:pPr>
      <w:proofErr w:type="spellStart"/>
      <w:r w:rsidRPr="004375CB">
        <w:rPr>
          <w:rFonts w:asciiTheme="majorHAnsi" w:hAnsiTheme="majorHAnsi" w:cstheme="majorHAnsi"/>
          <w:lang w:val="fr-BE"/>
        </w:rPr>
        <w:t>Ünal</w:t>
      </w:r>
      <w:proofErr w:type="spellEnd"/>
      <w:r w:rsidRPr="004375CB">
        <w:rPr>
          <w:rFonts w:asciiTheme="majorHAnsi" w:hAnsiTheme="majorHAnsi" w:cstheme="majorHAnsi"/>
          <w:lang w:val="fr-BE"/>
        </w:rPr>
        <w:t xml:space="preserve">, E., Urbinati, A., </w:t>
      </w:r>
      <w:proofErr w:type="spellStart"/>
      <w:r w:rsidRPr="004375CB">
        <w:rPr>
          <w:rFonts w:asciiTheme="majorHAnsi" w:hAnsiTheme="majorHAnsi" w:cstheme="majorHAnsi"/>
          <w:lang w:val="fr-BE"/>
        </w:rPr>
        <w:t>Chiaroni</w:t>
      </w:r>
      <w:proofErr w:type="spellEnd"/>
      <w:r w:rsidRPr="004375CB">
        <w:rPr>
          <w:rFonts w:asciiTheme="majorHAnsi" w:hAnsiTheme="majorHAnsi" w:cstheme="majorHAnsi"/>
          <w:lang w:val="fr-BE"/>
        </w:rPr>
        <w:t xml:space="preserve">, D., &amp; Manzini, R. (2019). </w:t>
      </w:r>
      <w:r w:rsidRPr="00B8660A">
        <w:rPr>
          <w:rFonts w:asciiTheme="majorHAnsi" w:hAnsiTheme="majorHAnsi" w:cstheme="majorHAnsi"/>
          <w:lang w:val="en-GB"/>
        </w:rPr>
        <w:t xml:space="preserve">Value </w:t>
      </w:r>
      <w:r w:rsidR="00FD7A2F" w:rsidRPr="00B8660A">
        <w:rPr>
          <w:rFonts w:asciiTheme="majorHAnsi" w:hAnsiTheme="majorHAnsi" w:cstheme="majorHAnsi"/>
          <w:lang w:val="en-GB"/>
        </w:rPr>
        <w:t>c</w:t>
      </w:r>
      <w:r w:rsidRPr="00B8660A">
        <w:rPr>
          <w:rFonts w:asciiTheme="majorHAnsi" w:hAnsiTheme="majorHAnsi" w:cstheme="majorHAnsi"/>
          <w:lang w:val="en-GB"/>
        </w:rPr>
        <w:t xml:space="preserve">reation in </w:t>
      </w:r>
      <w:r w:rsidR="00FD7A2F" w:rsidRPr="00B8660A">
        <w:rPr>
          <w:rFonts w:asciiTheme="majorHAnsi" w:hAnsiTheme="majorHAnsi" w:cstheme="majorHAnsi"/>
          <w:lang w:val="en-GB"/>
        </w:rPr>
        <w:t>c</w:t>
      </w:r>
      <w:r w:rsidRPr="00B8660A">
        <w:rPr>
          <w:rFonts w:asciiTheme="majorHAnsi" w:hAnsiTheme="majorHAnsi" w:cstheme="majorHAnsi"/>
          <w:lang w:val="en-GB"/>
        </w:rPr>
        <w:t xml:space="preserve">ircular </w:t>
      </w:r>
      <w:r w:rsidR="00FD7A2F" w:rsidRPr="00B8660A">
        <w:rPr>
          <w:rFonts w:asciiTheme="majorHAnsi" w:hAnsiTheme="majorHAnsi" w:cstheme="majorHAnsi"/>
          <w:lang w:val="en-GB"/>
        </w:rPr>
        <w:t>b</w:t>
      </w:r>
      <w:r w:rsidRPr="00B8660A">
        <w:rPr>
          <w:rFonts w:asciiTheme="majorHAnsi" w:hAnsiTheme="majorHAnsi" w:cstheme="majorHAnsi"/>
          <w:lang w:val="en-GB"/>
        </w:rPr>
        <w:t xml:space="preserve">usiness </w:t>
      </w:r>
      <w:r w:rsidR="00FD7A2F" w:rsidRPr="00B8660A">
        <w:rPr>
          <w:rFonts w:asciiTheme="majorHAnsi" w:hAnsiTheme="majorHAnsi" w:cstheme="majorHAnsi"/>
          <w:lang w:val="en-GB"/>
        </w:rPr>
        <w:t>m</w:t>
      </w:r>
      <w:r w:rsidRPr="00B8660A">
        <w:rPr>
          <w:rFonts w:asciiTheme="majorHAnsi" w:hAnsiTheme="majorHAnsi" w:cstheme="majorHAnsi"/>
          <w:lang w:val="en-GB"/>
        </w:rPr>
        <w:t xml:space="preserve">odels: The case of a US small medium enterprise in the building sector. </w:t>
      </w:r>
      <w:r w:rsidRPr="00B8660A">
        <w:rPr>
          <w:rFonts w:asciiTheme="majorHAnsi" w:hAnsiTheme="majorHAnsi" w:cstheme="majorHAnsi"/>
          <w:i/>
          <w:lang w:val="en-GB"/>
        </w:rPr>
        <w:t>Resources, Conservation and Recycling</w:t>
      </w:r>
      <w:r w:rsidRPr="00B8660A">
        <w:rPr>
          <w:rFonts w:asciiTheme="majorHAnsi" w:hAnsiTheme="majorHAnsi" w:cstheme="majorHAnsi"/>
          <w:lang w:val="en-GB"/>
        </w:rPr>
        <w:t xml:space="preserve">, </w:t>
      </w:r>
      <w:r w:rsidRPr="00B8660A">
        <w:rPr>
          <w:rFonts w:asciiTheme="majorHAnsi" w:hAnsiTheme="majorHAnsi" w:cstheme="majorHAnsi"/>
          <w:i/>
          <w:lang w:val="en-GB"/>
        </w:rPr>
        <w:t>146</w:t>
      </w:r>
      <w:r w:rsidRPr="00B8660A">
        <w:rPr>
          <w:rFonts w:asciiTheme="majorHAnsi" w:hAnsiTheme="majorHAnsi" w:cstheme="majorHAnsi"/>
          <w:lang w:val="en-GB"/>
        </w:rPr>
        <w:t>, 291–307. https://doi.org/10.1016/j.resconrec.2018.12.034</w:t>
      </w:r>
    </w:p>
    <w:p w14:paraId="2D5BC795"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Urbinati, A., Chiaroni, D., &amp; Chiesa, V. (2017). Towards a new taxonomy of circular economy business models. </w:t>
      </w:r>
      <w:r w:rsidRPr="00B8660A">
        <w:rPr>
          <w:rFonts w:asciiTheme="majorHAnsi" w:hAnsiTheme="majorHAnsi" w:cstheme="majorHAnsi"/>
          <w:i/>
          <w:lang w:val="en-GB"/>
        </w:rPr>
        <w:t>Journal of Cleaner Production</w:t>
      </w:r>
      <w:r w:rsidRPr="00B8660A">
        <w:rPr>
          <w:rFonts w:asciiTheme="majorHAnsi" w:hAnsiTheme="majorHAnsi" w:cstheme="majorHAnsi"/>
          <w:lang w:val="en-GB"/>
        </w:rPr>
        <w:t xml:space="preserve">, </w:t>
      </w:r>
      <w:r w:rsidRPr="00B8660A">
        <w:rPr>
          <w:rFonts w:asciiTheme="majorHAnsi" w:hAnsiTheme="majorHAnsi" w:cstheme="majorHAnsi"/>
          <w:i/>
          <w:lang w:val="en-GB"/>
        </w:rPr>
        <w:t>168</w:t>
      </w:r>
      <w:r w:rsidRPr="00B8660A">
        <w:rPr>
          <w:rFonts w:asciiTheme="majorHAnsi" w:hAnsiTheme="majorHAnsi" w:cstheme="majorHAnsi"/>
          <w:lang w:val="en-GB"/>
        </w:rPr>
        <w:t>, 487–498. https://doi.org/10.1016/j.jclepro.2017.09.047</w:t>
      </w:r>
    </w:p>
    <w:p w14:paraId="3504699C" w14:textId="01B1AEBE"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B8660A">
        <w:rPr>
          <w:rFonts w:asciiTheme="majorHAnsi" w:hAnsiTheme="majorHAnsi" w:cstheme="majorHAnsi"/>
          <w:highlight w:val="white"/>
          <w:lang w:val="en-GB"/>
        </w:rPr>
        <w:t xml:space="preserve">Van Doorn, J., Lemon, K. N., Mittal, V., Nass, S., Pick, D., Pirner, P., &amp; Verhoef, P. C. (2010). Customer engagement behavior: Theoretical foundations and research directions. </w:t>
      </w:r>
      <w:r w:rsidRPr="00B8660A">
        <w:rPr>
          <w:rFonts w:asciiTheme="majorHAnsi" w:hAnsiTheme="majorHAnsi" w:cstheme="majorHAnsi"/>
          <w:i/>
          <w:highlight w:val="white"/>
          <w:lang w:val="en-GB"/>
        </w:rPr>
        <w:t xml:space="preserve">Journal of </w:t>
      </w:r>
      <w:r w:rsidR="00AB6717" w:rsidRPr="00B8660A">
        <w:rPr>
          <w:rFonts w:asciiTheme="majorHAnsi" w:hAnsiTheme="majorHAnsi" w:cstheme="majorHAnsi"/>
          <w:i/>
          <w:highlight w:val="white"/>
          <w:lang w:val="en-GB"/>
        </w:rPr>
        <w:t>S</w:t>
      </w:r>
      <w:r w:rsidRPr="00B8660A">
        <w:rPr>
          <w:rFonts w:asciiTheme="majorHAnsi" w:hAnsiTheme="majorHAnsi" w:cstheme="majorHAnsi"/>
          <w:i/>
          <w:highlight w:val="white"/>
          <w:lang w:val="en-GB"/>
        </w:rPr>
        <w:t xml:space="preserve">ervice </w:t>
      </w:r>
      <w:r w:rsidR="00AB6717" w:rsidRPr="00B8660A">
        <w:rPr>
          <w:rFonts w:asciiTheme="majorHAnsi" w:hAnsiTheme="majorHAnsi" w:cstheme="majorHAnsi"/>
          <w:i/>
          <w:highlight w:val="white"/>
          <w:lang w:val="en-GB"/>
        </w:rPr>
        <w:t>R</w:t>
      </w:r>
      <w:r w:rsidRPr="00B8660A">
        <w:rPr>
          <w:rFonts w:asciiTheme="majorHAnsi" w:hAnsiTheme="majorHAnsi" w:cstheme="majorHAnsi"/>
          <w:i/>
          <w:highlight w:val="white"/>
          <w:lang w:val="en-GB"/>
        </w:rPr>
        <w:t>esearch</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13</w:t>
      </w:r>
      <w:r w:rsidRPr="00B8660A">
        <w:rPr>
          <w:rFonts w:asciiTheme="majorHAnsi" w:hAnsiTheme="majorHAnsi" w:cstheme="majorHAnsi"/>
          <w:highlight w:val="white"/>
          <w:lang w:val="en-GB"/>
        </w:rPr>
        <w:t>(3), 253-266.</w:t>
      </w:r>
    </w:p>
    <w:p w14:paraId="05544E48" w14:textId="77777777" w:rsidR="003F793F" w:rsidRPr="00B8660A" w:rsidRDefault="00C42D67" w:rsidP="009865D5">
      <w:pPr>
        <w:spacing w:line="360" w:lineRule="auto"/>
        <w:ind w:left="720" w:hanging="720"/>
        <w:jc w:val="both"/>
        <w:rPr>
          <w:rFonts w:asciiTheme="majorHAnsi" w:hAnsiTheme="majorHAnsi" w:cstheme="majorHAnsi"/>
          <w:highlight w:val="white"/>
          <w:lang w:val="en-GB"/>
        </w:rPr>
      </w:pPr>
      <w:r w:rsidRPr="00880271">
        <w:rPr>
          <w:rFonts w:asciiTheme="majorHAnsi" w:hAnsiTheme="majorHAnsi" w:cstheme="majorHAnsi"/>
          <w:highlight w:val="white"/>
          <w:lang w:val="nl-BE"/>
        </w:rPr>
        <w:t xml:space="preserve">Van Weelden, E., Mugge, R., &amp; Bakker, C. (2016). </w:t>
      </w:r>
      <w:r w:rsidRPr="00B8660A">
        <w:rPr>
          <w:rFonts w:asciiTheme="majorHAnsi" w:hAnsiTheme="majorHAnsi" w:cstheme="majorHAnsi"/>
          <w:highlight w:val="white"/>
          <w:lang w:val="en-GB"/>
        </w:rPr>
        <w:t xml:space="preserve">Paving the way towards circular consumption: exploring consumer acceptance of refurbished mobile phones in the Dutch market. </w:t>
      </w:r>
      <w:r w:rsidRPr="00B8660A">
        <w:rPr>
          <w:rFonts w:asciiTheme="majorHAnsi" w:hAnsiTheme="majorHAnsi" w:cstheme="majorHAnsi"/>
          <w:i/>
          <w:highlight w:val="white"/>
          <w:lang w:val="en-GB"/>
        </w:rPr>
        <w:t>Journal of Cleaner Production</w:t>
      </w:r>
      <w:r w:rsidRPr="00B8660A">
        <w:rPr>
          <w:rFonts w:asciiTheme="majorHAnsi" w:hAnsiTheme="majorHAnsi" w:cstheme="majorHAnsi"/>
          <w:highlight w:val="white"/>
          <w:lang w:val="en-GB"/>
        </w:rPr>
        <w:t xml:space="preserve">, </w:t>
      </w:r>
      <w:r w:rsidRPr="00B8660A">
        <w:rPr>
          <w:rFonts w:asciiTheme="majorHAnsi" w:hAnsiTheme="majorHAnsi" w:cstheme="majorHAnsi"/>
          <w:i/>
          <w:highlight w:val="white"/>
          <w:lang w:val="en-GB"/>
        </w:rPr>
        <w:t>113</w:t>
      </w:r>
      <w:r w:rsidRPr="00B8660A">
        <w:rPr>
          <w:rFonts w:asciiTheme="majorHAnsi" w:hAnsiTheme="majorHAnsi" w:cstheme="majorHAnsi"/>
          <w:highlight w:val="white"/>
          <w:lang w:val="en-GB"/>
        </w:rPr>
        <w:t>, 743-754.</w:t>
      </w:r>
    </w:p>
    <w:p w14:paraId="0E4BD403"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Vargo, S. L., &amp; Lusch, R. F. (2016). Institutions and axioms: An extension and update of service-dominant logic. </w:t>
      </w:r>
      <w:r w:rsidRPr="00B8660A">
        <w:rPr>
          <w:rFonts w:asciiTheme="majorHAnsi" w:hAnsiTheme="majorHAnsi" w:cstheme="majorHAnsi"/>
          <w:i/>
          <w:lang w:val="en-GB"/>
        </w:rPr>
        <w:t>Journal of the Academy of Marketing Science</w:t>
      </w:r>
      <w:r w:rsidRPr="00B8660A">
        <w:rPr>
          <w:rFonts w:asciiTheme="majorHAnsi" w:hAnsiTheme="majorHAnsi" w:cstheme="majorHAnsi"/>
          <w:lang w:val="en-GB"/>
        </w:rPr>
        <w:t xml:space="preserve">, </w:t>
      </w:r>
      <w:r w:rsidRPr="00B8660A">
        <w:rPr>
          <w:rFonts w:asciiTheme="majorHAnsi" w:hAnsiTheme="majorHAnsi" w:cstheme="majorHAnsi"/>
          <w:i/>
          <w:lang w:val="en-GB"/>
        </w:rPr>
        <w:t>44</w:t>
      </w:r>
      <w:r w:rsidRPr="00B8660A">
        <w:rPr>
          <w:rFonts w:asciiTheme="majorHAnsi" w:hAnsiTheme="majorHAnsi" w:cstheme="majorHAnsi"/>
          <w:lang w:val="en-GB"/>
        </w:rPr>
        <w:t>(1), 5–23.</w:t>
      </w:r>
    </w:p>
    <w:p w14:paraId="0E111EE1"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lastRenderedPageBreak/>
        <w:t xml:space="preserve">Vargo, S. L., &amp; Lusch, R. F. (2017). Service-dominant logic 2025. </w:t>
      </w:r>
      <w:r w:rsidRPr="00B8660A">
        <w:rPr>
          <w:rFonts w:asciiTheme="majorHAnsi" w:hAnsiTheme="majorHAnsi" w:cstheme="majorHAnsi"/>
          <w:i/>
          <w:lang w:val="en-GB"/>
        </w:rPr>
        <w:t>International Journal of Research in Marketing</w:t>
      </w:r>
      <w:r w:rsidRPr="00B8660A">
        <w:rPr>
          <w:rFonts w:asciiTheme="majorHAnsi" w:hAnsiTheme="majorHAnsi" w:cstheme="majorHAnsi"/>
          <w:lang w:val="en-GB"/>
        </w:rPr>
        <w:t xml:space="preserve">, </w:t>
      </w:r>
      <w:r w:rsidRPr="00B8660A">
        <w:rPr>
          <w:rFonts w:asciiTheme="majorHAnsi" w:hAnsiTheme="majorHAnsi" w:cstheme="majorHAnsi"/>
          <w:i/>
          <w:lang w:val="en-GB"/>
        </w:rPr>
        <w:t>34</w:t>
      </w:r>
      <w:r w:rsidRPr="00B8660A">
        <w:rPr>
          <w:rFonts w:asciiTheme="majorHAnsi" w:hAnsiTheme="majorHAnsi" w:cstheme="majorHAnsi"/>
          <w:lang w:val="en-GB"/>
        </w:rPr>
        <w:t>(1), 46–67.</w:t>
      </w:r>
    </w:p>
    <w:p w14:paraId="41DA6286" w14:textId="77777777" w:rsidR="003F793F" w:rsidRPr="00B8660A" w:rsidRDefault="00C42D67"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highlight w:val="white"/>
          <w:lang w:val="en-GB"/>
        </w:rPr>
        <w:t xml:space="preserve">Verleye, K. (2015). The co-creation experience from the customer perspective: its measurement and determinants. </w:t>
      </w:r>
      <w:r w:rsidRPr="00B8660A">
        <w:rPr>
          <w:rFonts w:asciiTheme="majorHAnsi" w:hAnsiTheme="majorHAnsi" w:cstheme="majorHAnsi"/>
          <w:i/>
          <w:highlight w:val="white"/>
          <w:lang w:val="en-GB"/>
        </w:rPr>
        <w:t>Journal of Service Management</w:t>
      </w:r>
      <w:r w:rsidRPr="00B8660A">
        <w:rPr>
          <w:rFonts w:asciiTheme="majorHAnsi" w:hAnsiTheme="majorHAnsi" w:cstheme="majorHAnsi"/>
          <w:highlight w:val="white"/>
          <w:lang w:val="en-GB"/>
        </w:rPr>
        <w:t>.</w:t>
      </w:r>
    </w:p>
    <w:p w14:paraId="72027EC6" w14:textId="77777777" w:rsidR="003F793F" w:rsidRPr="00B8660A" w:rsidRDefault="00C42D67" w:rsidP="009865D5">
      <w:pPr>
        <w:spacing w:line="360" w:lineRule="auto"/>
        <w:ind w:left="720" w:hanging="720"/>
        <w:jc w:val="both"/>
        <w:rPr>
          <w:rFonts w:asciiTheme="majorHAnsi" w:hAnsiTheme="majorHAnsi" w:cstheme="majorHAnsi"/>
          <w:color w:val="222222"/>
          <w:highlight w:val="white"/>
          <w:lang w:val="en-GB"/>
        </w:rPr>
      </w:pPr>
      <w:r w:rsidRPr="00B8660A">
        <w:rPr>
          <w:rFonts w:asciiTheme="majorHAnsi" w:hAnsiTheme="majorHAnsi" w:cstheme="majorHAnsi"/>
          <w:color w:val="222222"/>
          <w:highlight w:val="white"/>
          <w:lang w:val="en-GB"/>
        </w:rPr>
        <w:t xml:space="preserve">Verleye, K., &amp; Reber, B. (2022). Communication in service ecosystems through value propositions: dilemmas and future research avenues. </w:t>
      </w:r>
      <w:r w:rsidRPr="00B8660A">
        <w:rPr>
          <w:rFonts w:asciiTheme="majorHAnsi" w:hAnsiTheme="majorHAnsi" w:cstheme="majorHAnsi"/>
          <w:i/>
          <w:color w:val="222222"/>
          <w:highlight w:val="white"/>
          <w:lang w:val="en-GB"/>
        </w:rPr>
        <w:t>Journal of Service Management</w:t>
      </w:r>
      <w:r w:rsidRPr="00B8660A">
        <w:rPr>
          <w:rFonts w:asciiTheme="majorHAnsi" w:hAnsiTheme="majorHAnsi" w:cstheme="majorHAnsi"/>
          <w:color w:val="222222"/>
          <w:highlight w:val="white"/>
          <w:lang w:val="en-GB"/>
        </w:rPr>
        <w:t>, (ahead-of-print).</w:t>
      </w:r>
    </w:p>
    <w:p w14:paraId="5CFF2B23" w14:textId="246FB552" w:rsidR="00752D56" w:rsidRPr="00D16C70" w:rsidRDefault="00752D56" w:rsidP="00752D56">
      <w:pPr>
        <w:spacing w:line="360" w:lineRule="auto"/>
        <w:ind w:left="284" w:hanging="284"/>
        <w:jc w:val="both"/>
        <w:rPr>
          <w:rFonts w:asciiTheme="majorHAnsi" w:hAnsiTheme="majorHAnsi" w:cstheme="majorHAnsi"/>
          <w:szCs w:val="20"/>
          <w:lang w:val="en-GB"/>
        </w:rPr>
      </w:pPr>
      <w:r w:rsidRPr="00D16C70">
        <w:rPr>
          <w:rFonts w:asciiTheme="majorHAnsi" w:hAnsiTheme="majorHAnsi" w:cstheme="majorHAnsi"/>
          <w:szCs w:val="20"/>
          <w:lang w:val="en-GB"/>
        </w:rPr>
        <w:t xml:space="preserve">Verleye, K., De Keyser, A., Raassens, N., Alblas, A., Lit, F., Huijben, B. (2023). Pushing </w:t>
      </w:r>
      <w:r w:rsidR="00CD2FEE" w:rsidRPr="00D16C70">
        <w:rPr>
          <w:rFonts w:asciiTheme="majorHAnsi" w:hAnsiTheme="majorHAnsi" w:cstheme="majorHAnsi"/>
          <w:szCs w:val="20"/>
          <w:lang w:val="en-GB"/>
        </w:rPr>
        <w:t>f</w:t>
      </w:r>
      <w:r w:rsidRPr="00D16C70">
        <w:rPr>
          <w:rFonts w:asciiTheme="majorHAnsi" w:hAnsiTheme="majorHAnsi" w:cstheme="majorHAnsi"/>
          <w:szCs w:val="20"/>
          <w:lang w:val="en-GB"/>
        </w:rPr>
        <w:t xml:space="preserve">orward the </w:t>
      </w:r>
      <w:r w:rsidR="00CD2FEE" w:rsidRPr="00D16C70">
        <w:rPr>
          <w:rFonts w:asciiTheme="majorHAnsi" w:hAnsiTheme="majorHAnsi" w:cstheme="majorHAnsi"/>
          <w:szCs w:val="20"/>
          <w:lang w:val="en-GB"/>
        </w:rPr>
        <w:t>t</w:t>
      </w:r>
      <w:r w:rsidRPr="00D16C70">
        <w:rPr>
          <w:rFonts w:asciiTheme="majorHAnsi" w:hAnsiTheme="majorHAnsi" w:cstheme="majorHAnsi"/>
          <w:szCs w:val="20"/>
          <w:lang w:val="en-GB"/>
        </w:rPr>
        <w:t xml:space="preserve">ransition to a </w:t>
      </w:r>
      <w:r w:rsidR="00CD2FEE" w:rsidRPr="00D16C70">
        <w:rPr>
          <w:rFonts w:asciiTheme="majorHAnsi" w:hAnsiTheme="majorHAnsi" w:cstheme="majorHAnsi"/>
          <w:szCs w:val="20"/>
          <w:lang w:val="en-GB"/>
        </w:rPr>
        <w:t>c</w:t>
      </w:r>
      <w:r w:rsidRPr="00D16C70">
        <w:rPr>
          <w:rFonts w:asciiTheme="majorHAnsi" w:hAnsiTheme="majorHAnsi" w:cstheme="majorHAnsi"/>
          <w:szCs w:val="20"/>
          <w:lang w:val="en-GB"/>
        </w:rPr>
        <w:t xml:space="preserve">ircular </w:t>
      </w:r>
      <w:r w:rsidR="00CD2FEE" w:rsidRPr="00D16C70">
        <w:rPr>
          <w:rFonts w:asciiTheme="majorHAnsi" w:hAnsiTheme="majorHAnsi" w:cstheme="majorHAnsi"/>
          <w:szCs w:val="20"/>
          <w:lang w:val="en-GB"/>
        </w:rPr>
        <w:t>e</w:t>
      </w:r>
      <w:r w:rsidRPr="00D16C70">
        <w:rPr>
          <w:rFonts w:asciiTheme="majorHAnsi" w:hAnsiTheme="majorHAnsi" w:cstheme="majorHAnsi"/>
          <w:szCs w:val="20"/>
          <w:lang w:val="en-GB"/>
        </w:rPr>
        <w:t xml:space="preserve">conomy by </w:t>
      </w:r>
      <w:r w:rsidR="00CD2FEE" w:rsidRPr="00D16C70">
        <w:rPr>
          <w:rFonts w:asciiTheme="majorHAnsi" w:hAnsiTheme="majorHAnsi" w:cstheme="majorHAnsi"/>
          <w:szCs w:val="20"/>
          <w:lang w:val="en-GB"/>
        </w:rPr>
        <w:t>a</w:t>
      </w:r>
      <w:r w:rsidRPr="00D16C70">
        <w:rPr>
          <w:rFonts w:asciiTheme="majorHAnsi" w:hAnsiTheme="majorHAnsi" w:cstheme="majorHAnsi"/>
          <w:szCs w:val="20"/>
          <w:lang w:val="en-GB"/>
        </w:rPr>
        <w:t xml:space="preserve">dopting an </w:t>
      </w:r>
      <w:r w:rsidR="00CD2FEE" w:rsidRPr="00D16C70">
        <w:rPr>
          <w:rFonts w:asciiTheme="majorHAnsi" w:hAnsiTheme="majorHAnsi" w:cstheme="majorHAnsi"/>
          <w:szCs w:val="20"/>
          <w:lang w:val="en-GB"/>
        </w:rPr>
        <w:t>a</w:t>
      </w:r>
      <w:r w:rsidRPr="00D16C70">
        <w:rPr>
          <w:rFonts w:asciiTheme="majorHAnsi" w:hAnsiTheme="majorHAnsi" w:cstheme="majorHAnsi"/>
          <w:szCs w:val="20"/>
          <w:lang w:val="en-GB"/>
        </w:rPr>
        <w:t xml:space="preserve">ctor </w:t>
      </w:r>
      <w:r w:rsidR="00CD2FEE" w:rsidRPr="00D16C70">
        <w:rPr>
          <w:rFonts w:asciiTheme="majorHAnsi" w:hAnsiTheme="majorHAnsi" w:cstheme="majorHAnsi"/>
          <w:szCs w:val="20"/>
          <w:lang w:val="en-GB"/>
        </w:rPr>
        <w:t>e</w:t>
      </w:r>
      <w:r w:rsidRPr="00D16C70">
        <w:rPr>
          <w:rFonts w:asciiTheme="majorHAnsi" w:hAnsiTheme="majorHAnsi" w:cstheme="majorHAnsi"/>
          <w:szCs w:val="20"/>
          <w:lang w:val="en-GB"/>
        </w:rPr>
        <w:t xml:space="preserve">ngagement </w:t>
      </w:r>
      <w:r w:rsidR="00CD2FEE" w:rsidRPr="00D16C70">
        <w:rPr>
          <w:rFonts w:asciiTheme="majorHAnsi" w:hAnsiTheme="majorHAnsi" w:cstheme="majorHAnsi"/>
          <w:szCs w:val="20"/>
          <w:lang w:val="en-GB"/>
        </w:rPr>
        <w:t>l</w:t>
      </w:r>
      <w:r w:rsidRPr="00D16C70">
        <w:rPr>
          <w:rFonts w:asciiTheme="majorHAnsi" w:hAnsiTheme="majorHAnsi" w:cstheme="majorHAnsi"/>
          <w:szCs w:val="20"/>
          <w:lang w:val="en-GB"/>
        </w:rPr>
        <w:t xml:space="preserve">ens. </w:t>
      </w:r>
      <w:r w:rsidRPr="00D16C70">
        <w:rPr>
          <w:rFonts w:asciiTheme="majorHAnsi" w:hAnsiTheme="majorHAnsi" w:cstheme="majorHAnsi"/>
          <w:i/>
          <w:szCs w:val="20"/>
          <w:lang w:val="en-GB"/>
        </w:rPr>
        <w:t>Journal of Service Research</w:t>
      </w:r>
      <w:r w:rsidRPr="00D16C70">
        <w:rPr>
          <w:rFonts w:asciiTheme="majorHAnsi" w:hAnsiTheme="majorHAnsi" w:cstheme="majorHAnsi"/>
          <w:szCs w:val="20"/>
          <w:lang w:val="en-GB"/>
        </w:rPr>
        <w:t>.</w:t>
      </w:r>
    </w:p>
    <w:p w14:paraId="64C678CC" w14:textId="2093FDD5" w:rsidR="003F793F" w:rsidRPr="004375CB" w:rsidRDefault="00C42D67" w:rsidP="009865D5">
      <w:pPr>
        <w:spacing w:line="360" w:lineRule="auto"/>
        <w:ind w:left="720" w:hanging="720"/>
        <w:jc w:val="both"/>
        <w:rPr>
          <w:rFonts w:asciiTheme="majorHAnsi" w:hAnsiTheme="majorHAnsi" w:cstheme="majorHAnsi"/>
          <w:color w:val="222222"/>
          <w:highlight w:val="white"/>
          <w:lang w:val="fr-BE"/>
        </w:rPr>
      </w:pPr>
      <w:r w:rsidRPr="00D16C70">
        <w:rPr>
          <w:rFonts w:asciiTheme="majorHAnsi" w:hAnsiTheme="majorHAnsi" w:cstheme="majorHAnsi"/>
          <w:lang w:val="en-GB"/>
        </w:rPr>
        <w:t xml:space="preserve">Vijverman, N., Henkens, B., &amp; Verleye, K. (2019). </w:t>
      </w:r>
      <w:r w:rsidRPr="00B8660A">
        <w:rPr>
          <w:rFonts w:asciiTheme="majorHAnsi" w:hAnsiTheme="majorHAnsi" w:cstheme="majorHAnsi"/>
          <w:lang w:val="en-GB"/>
        </w:rPr>
        <w:t xml:space="preserve">Engagement and technology as key enablers for a circular economy. In </w:t>
      </w:r>
      <w:r w:rsidRPr="00B8660A">
        <w:rPr>
          <w:rFonts w:asciiTheme="majorHAnsi" w:hAnsiTheme="majorHAnsi" w:cstheme="majorHAnsi"/>
          <w:i/>
          <w:lang w:val="en-GB"/>
        </w:rPr>
        <w:t xml:space="preserve">Handbook of </w:t>
      </w:r>
      <w:r w:rsidR="00716A65" w:rsidRPr="00B8660A">
        <w:rPr>
          <w:rFonts w:asciiTheme="majorHAnsi" w:hAnsiTheme="majorHAnsi" w:cstheme="majorHAnsi"/>
          <w:i/>
          <w:lang w:val="en-GB"/>
        </w:rPr>
        <w:t>R</w:t>
      </w:r>
      <w:r w:rsidRPr="00B8660A">
        <w:rPr>
          <w:rFonts w:asciiTheme="majorHAnsi" w:hAnsiTheme="majorHAnsi" w:cstheme="majorHAnsi"/>
          <w:i/>
          <w:lang w:val="en-GB"/>
        </w:rPr>
        <w:t xml:space="preserve">esearch on </w:t>
      </w:r>
      <w:r w:rsidR="00716A65" w:rsidRPr="00B8660A">
        <w:rPr>
          <w:rFonts w:asciiTheme="majorHAnsi" w:hAnsiTheme="majorHAnsi" w:cstheme="majorHAnsi"/>
          <w:i/>
          <w:lang w:val="en-GB"/>
        </w:rPr>
        <w:t>C</w:t>
      </w:r>
      <w:r w:rsidRPr="00B8660A">
        <w:rPr>
          <w:rFonts w:asciiTheme="majorHAnsi" w:hAnsiTheme="majorHAnsi" w:cstheme="majorHAnsi"/>
          <w:i/>
          <w:lang w:val="en-GB"/>
        </w:rPr>
        <w:t xml:space="preserve">ustomer </w:t>
      </w:r>
      <w:r w:rsidR="00716A65" w:rsidRPr="00B8660A">
        <w:rPr>
          <w:rFonts w:asciiTheme="majorHAnsi" w:hAnsiTheme="majorHAnsi" w:cstheme="majorHAnsi"/>
          <w:i/>
          <w:lang w:val="en-GB"/>
        </w:rPr>
        <w:t>E</w:t>
      </w:r>
      <w:r w:rsidRPr="00B8660A">
        <w:rPr>
          <w:rFonts w:asciiTheme="majorHAnsi" w:hAnsiTheme="majorHAnsi" w:cstheme="majorHAnsi"/>
          <w:i/>
          <w:lang w:val="en-GB"/>
        </w:rPr>
        <w:t>ngagement</w:t>
      </w:r>
      <w:r w:rsidRPr="00B8660A">
        <w:rPr>
          <w:rFonts w:asciiTheme="majorHAnsi" w:hAnsiTheme="majorHAnsi" w:cstheme="majorHAnsi"/>
          <w:lang w:val="en-GB"/>
        </w:rPr>
        <w:t xml:space="preserve"> (pp. 97–113). Edward Elgar. </w:t>
      </w:r>
      <w:hyperlink r:id="rId43">
        <w:r w:rsidRPr="004375CB">
          <w:rPr>
            <w:rFonts w:asciiTheme="majorHAnsi" w:hAnsiTheme="majorHAnsi" w:cstheme="majorHAnsi"/>
            <w:lang w:val="fr-BE"/>
          </w:rPr>
          <w:t>http://hdl.handle.net/1854/LU-8606643</w:t>
        </w:r>
      </w:hyperlink>
    </w:p>
    <w:p w14:paraId="2D152884" w14:textId="69A81178" w:rsidR="003F793F" w:rsidRPr="00B8660A" w:rsidRDefault="00C42D67" w:rsidP="009865D5">
      <w:pPr>
        <w:spacing w:line="360" w:lineRule="auto"/>
        <w:ind w:left="720" w:hanging="720"/>
        <w:jc w:val="both"/>
        <w:rPr>
          <w:rFonts w:asciiTheme="majorHAnsi" w:hAnsiTheme="majorHAnsi" w:cstheme="majorHAnsi"/>
          <w:color w:val="222222"/>
          <w:highlight w:val="white"/>
          <w:lang w:val="en-GB"/>
        </w:rPr>
      </w:pPr>
      <w:proofErr w:type="spellStart"/>
      <w:r w:rsidRPr="004375CB">
        <w:rPr>
          <w:rFonts w:asciiTheme="majorHAnsi" w:hAnsiTheme="majorHAnsi" w:cstheme="majorHAnsi"/>
          <w:color w:val="222222"/>
          <w:highlight w:val="white"/>
          <w:lang w:val="fr-BE"/>
        </w:rPr>
        <w:t>Wruk</w:t>
      </w:r>
      <w:proofErr w:type="spellEnd"/>
      <w:r w:rsidRPr="004375CB">
        <w:rPr>
          <w:rFonts w:asciiTheme="majorHAnsi" w:hAnsiTheme="majorHAnsi" w:cstheme="majorHAnsi"/>
          <w:color w:val="222222"/>
          <w:highlight w:val="white"/>
          <w:lang w:val="fr-BE"/>
        </w:rPr>
        <w:t xml:space="preserve">, D., </w:t>
      </w:r>
      <w:proofErr w:type="spellStart"/>
      <w:r w:rsidRPr="004375CB">
        <w:rPr>
          <w:rFonts w:asciiTheme="majorHAnsi" w:hAnsiTheme="majorHAnsi" w:cstheme="majorHAnsi"/>
          <w:color w:val="222222"/>
          <w:highlight w:val="white"/>
          <w:lang w:val="fr-BE"/>
        </w:rPr>
        <w:t>Oberg</w:t>
      </w:r>
      <w:proofErr w:type="spellEnd"/>
      <w:r w:rsidRPr="004375CB">
        <w:rPr>
          <w:rFonts w:asciiTheme="majorHAnsi" w:hAnsiTheme="majorHAnsi" w:cstheme="majorHAnsi"/>
          <w:color w:val="222222"/>
          <w:highlight w:val="white"/>
          <w:lang w:val="fr-BE"/>
        </w:rPr>
        <w:t xml:space="preserve">, A., </w:t>
      </w:r>
      <w:proofErr w:type="spellStart"/>
      <w:r w:rsidRPr="004375CB">
        <w:rPr>
          <w:rFonts w:asciiTheme="majorHAnsi" w:hAnsiTheme="majorHAnsi" w:cstheme="majorHAnsi"/>
          <w:color w:val="222222"/>
          <w:highlight w:val="white"/>
          <w:lang w:val="fr-BE"/>
        </w:rPr>
        <w:t>Klutt</w:t>
      </w:r>
      <w:proofErr w:type="spellEnd"/>
      <w:r w:rsidRPr="004375CB">
        <w:rPr>
          <w:rFonts w:asciiTheme="majorHAnsi" w:hAnsiTheme="majorHAnsi" w:cstheme="majorHAnsi"/>
          <w:color w:val="222222"/>
          <w:highlight w:val="white"/>
          <w:lang w:val="fr-BE"/>
        </w:rPr>
        <w:t xml:space="preserve">, J., &amp; Maurer, I. (2019). </w:t>
      </w:r>
      <w:r w:rsidRPr="00B8660A">
        <w:rPr>
          <w:rFonts w:asciiTheme="majorHAnsi" w:hAnsiTheme="majorHAnsi" w:cstheme="majorHAnsi"/>
          <w:color w:val="222222"/>
          <w:highlight w:val="white"/>
          <w:lang w:val="en-GB"/>
        </w:rPr>
        <w:t xml:space="preserve">The presentation of self as good and right: How value propositions and business model features are linked in the sharing economy. </w:t>
      </w:r>
      <w:r w:rsidRPr="00B8660A">
        <w:rPr>
          <w:rFonts w:asciiTheme="majorHAnsi" w:hAnsiTheme="majorHAnsi" w:cstheme="majorHAnsi"/>
          <w:i/>
          <w:color w:val="222222"/>
          <w:highlight w:val="white"/>
          <w:lang w:val="en-GB"/>
        </w:rPr>
        <w:t>Journal of Business Ethics</w:t>
      </w:r>
      <w:r w:rsidRPr="00B8660A">
        <w:rPr>
          <w:rFonts w:asciiTheme="majorHAnsi" w:hAnsiTheme="majorHAnsi" w:cstheme="majorHAnsi"/>
          <w:color w:val="222222"/>
          <w:highlight w:val="white"/>
          <w:lang w:val="en-GB"/>
        </w:rPr>
        <w:t xml:space="preserve">, </w:t>
      </w:r>
      <w:r w:rsidRPr="00B8660A">
        <w:rPr>
          <w:rFonts w:asciiTheme="majorHAnsi" w:hAnsiTheme="majorHAnsi" w:cstheme="majorHAnsi"/>
          <w:i/>
          <w:color w:val="222222"/>
          <w:highlight w:val="white"/>
          <w:lang w:val="en-GB"/>
        </w:rPr>
        <w:t>159</w:t>
      </w:r>
      <w:r w:rsidRPr="00B8660A">
        <w:rPr>
          <w:rFonts w:asciiTheme="majorHAnsi" w:hAnsiTheme="majorHAnsi" w:cstheme="majorHAnsi"/>
          <w:color w:val="222222"/>
          <w:highlight w:val="white"/>
          <w:lang w:val="en-GB"/>
        </w:rPr>
        <w:t>, 997-1021.</w:t>
      </w:r>
    </w:p>
    <w:p w14:paraId="4FDE018F" w14:textId="18A9E9AE" w:rsidR="004618FC" w:rsidRPr="00B8660A" w:rsidRDefault="00003488" w:rsidP="009865D5">
      <w:pPr>
        <w:spacing w:line="360" w:lineRule="auto"/>
        <w:ind w:left="720" w:hanging="720"/>
        <w:jc w:val="both"/>
        <w:rPr>
          <w:rFonts w:asciiTheme="majorHAnsi" w:hAnsiTheme="majorHAnsi" w:cstheme="majorHAnsi"/>
          <w:lang w:val="en-GB"/>
        </w:rPr>
      </w:pPr>
      <w:r w:rsidRPr="00B8660A">
        <w:rPr>
          <w:rFonts w:asciiTheme="majorHAnsi" w:hAnsiTheme="majorHAnsi" w:cstheme="majorHAnsi"/>
          <w:lang w:val="en-GB"/>
        </w:rPr>
        <w:t xml:space="preserve">Zeithaml, V.A., Parasuraman, A. and Berry, L.L. (1990), </w:t>
      </w:r>
      <w:r w:rsidRPr="00B8660A">
        <w:rPr>
          <w:rFonts w:asciiTheme="majorHAnsi" w:hAnsiTheme="majorHAnsi" w:cstheme="majorHAnsi"/>
          <w:i/>
          <w:lang w:val="en-GB"/>
        </w:rPr>
        <w:t>Delivering Quality Service. Balancing Customer Perceptions and Expectations</w:t>
      </w:r>
      <w:r w:rsidRPr="00B8660A">
        <w:rPr>
          <w:rFonts w:asciiTheme="majorHAnsi" w:hAnsiTheme="majorHAnsi" w:cstheme="majorHAnsi"/>
          <w:lang w:val="en-GB"/>
        </w:rPr>
        <w:t>, The Free Press, New York, NY.</w:t>
      </w:r>
    </w:p>
    <w:sectPr w:rsidR="004618FC" w:rsidRPr="00B8660A" w:rsidSect="00AD20B0">
      <w:footerReference w:type="default" r:id="rId44"/>
      <w:pgSz w:w="12240" w:h="15840"/>
      <w:pgMar w:top="1417" w:right="1417" w:bottom="1417" w:left="141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56A8" w14:textId="77777777" w:rsidR="00AD20B0" w:rsidRDefault="00AD20B0">
      <w:pPr>
        <w:spacing w:line="240" w:lineRule="auto"/>
      </w:pPr>
      <w:r>
        <w:separator/>
      </w:r>
    </w:p>
  </w:endnote>
  <w:endnote w:type="continuationSeparator" w:id="0">
    <w:p w14:paraId="5648B05E" w14:textId="77777777" w:rsidR="00AD20B0" w:rsidRDefault="00AD20B0">
      <w:pPr>
        <w:spacing w:line="240" w:lineRule="auto"/>
      </w:pPr>
      <w:r>
        <w:continuationSeparator/>
      </w:r>
    </w:p>
  </w:endnote>
  <w:endnote w:type="continuationNotice" w:id="1">
    <w:p w14:paraId="2E3B0A47" w14:textId="77777777" w:rsidR="00AD20B0" w:rsidRDefault="00AD2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FDLK P+ Gullive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073D" w14:textId="77777777" w:rsidR="00C550E3" w:rsidRPr="0096275B" w:rsidRDefault="00C550E3">
    <w:pPr>
      <w:jc w:val="right"/>
      <w:rPr>
        <w:rFonts w:asciiTheme="majorHAnsi" w:hAnsiTheme="majorHAnsi" w:cstheme="majorHAnsi"/>
      </w:rPr>
    </w:pPr>
    <w:r w:rsidRPr="0096275B">
      <w:rPr>
        <w:rFonts w:asciiTheme="majorHAnsi" w:hAnsiTheme="majorHAnsi" w:cstheme="majorHAnsi"/>
      </w:rPr>
      <w:fldChar w:fldCharType="begin"/>
    </w:r>
    <w:r w:rsidRPr="0096275B">
      <w:rPr>
        <w:rFonts w:asciiTheme="majorHAnsi" w:hAnsiTheme="majorHAnsi" w:cstheme="majorHAnsi"/>
      </w:rPr>
      <w:instrText>PAGE</w:instrText>
    </w:r>
    <w:r w:rsidRPr="0096275B">
      <w:rPr>
        <w:rFonts w:asciiTheme="majorHAnsi" w:hAnsiTheme="majorHAnsi" w:cstheme="majorHAnsi"/>
      </w:rPr>
      <w:fldChar w:fldCharType="separate"/>
    </w:r>
    <w:r w:rsidRPr="0096275B">
      <w:rPr>
        <w:rFonts w:asciiTheme="majorHAnsi" w:hAnsiTheme="majorHAnsi" w:cstheme="majorHAnsi"/>
        <w:noProof/>
      </w:rPr>
      <w:t>1</w:t>
    </w:r>
    <w:r w:rsidRPr="0096275B">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CF2F" w14:textId="77777777" w:rsidR="00AD20B0" w:rsidRDefault="00AD20B0">
      <w:pPr>
        <w:spacing w:line="240" w:lineRule="auto"/>
      </w:pPr>
      <w:r>
        <w:separator/>
      </w:r>
    </w:p>
  </w:footnote>
  <w:footnote w:type="continuationSeparator" w:id="0">
    <w:p w14:paraId="4B5FA761" w14:textId="77777777" w:rsidR="00AD20B0" w:rsidRDefault="00AD20B0">
      <w:pPr>
        <w:spacing w:line="240" w:lineRule="auto"/>
      </w:pPr>
      <w:r>
        <w:continuationSeparator/>
      </w:r>
    </w:p>
  </w:footnote>
  <w:footnote w:type="continuationNotice" w:id="1">
    <w:p w14:paraId="6A5C03F6" w14:textId="77777777" w:rsidR="00AD20B0" w:rsidRDefault="00AD20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716"/>
    <w:multiLevelType w:val="multilevel"/>
    <w:tmpl w:val="F7B81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D48F4"/>
    <w:multiLevelType w:val="multilevel"/>
    <w:tmpl w:val="E67EE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B50DD"/>
    <w:multiLevelType w:val="multilevel"/>
    <w:tmpl w:val="CDBAE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3957CF"/>
    <w:multiLevelType w:val="multilevel"/>
    <w:tmpl w:val="E92E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8A7A4C"/>
    <w:multiLevelType w:val="multilevel"/>
    <w:tmpl w:val="F70E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4C01F2"/>
    <w:multiLevelType w:val="multilevel"/>
    <w:tmpl w:val="AD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DA7A1D"/>
    <w:multiLevelType w:val="multilevel"/>
    <w:tmpl w:val="DEC01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1097039">
    <w:abstractNumId w:val="6"/>
  </w:num>
  <w:num w:numId="2" w16cid:durableId="1338657396">
    <w:abstractNumId w:val="4"/>
  </w:num>
  <w:num w:numId="3" w16cid:durableId="1592815468">
    <w:abstractNumId w:val="3"/>
  </w:num>
  <w:num w:numId="4" w16cid:durableId="2040010102">
    <w:abstractNumId w:val="0"/>
  </w:num>
  <w:num w:numId="5" w16cid:durableId="1199001808">
    <w:abstractNumId w:val="1"/>
  </w:num>
  <w:num w:numId="6" w16cid:durableId="625694357">
    <w:abstractNumId w:val="5"/>
  </w:num>
  <w:num w:numId="7" w16cid:durableId="205469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3F"/>
    <w:rsid w:val="000012B2"/>
    <w:rsid w:val="00003488"/>
    <w:rsid w:val="000346AE"/>
    <w:rsid w:val="00035104"/>
    <w:rsid w:val="000353E6"/>
    <w:rsid w:val="00035D82"/>
    <w:rsid w:val="00036318"/>
    <w:rsid w:val="00041745"/>
    <w:rsid w:val="00054AF0"/>
    <w:rsid w:val="000574D6"/>
    <w:rsid w:val="0006377C"/>
    <w:rsid w:val="00064591"/>
    <w:rsid w:val="00064C01"/>
    <w:rsid w:val="00066792"/>
    <w:rsid w:val="000709D2"/>
    <w:rsid w:val="00071773"/>
    <w:rsid w:val="000729A2"/>
    <w:rsid w:val="0007626E"/>
    <w:rsid w:val="000824CE"/>
    <w:rsid w:val="00083A5F"/>
    <w:rsid w:val="00084634"/>
    <w:rsid w:val="00084B97"/>
    <w:rsid w:val="0008561F"/>
    <w:rsid w:val="00086F82"/>
    <w:rsid w:val="00095478"/>
    <w:rsid w:val="00095BCB"/>
    <w:rsid w:val="000963A9"/>
    <w:rsid w:val="000A0513"/>
    <w:rsid w:val="000A29BB"/>
    <w:rsid w:val="000A60DC"/>
    <w:rsid w:val="000B3417"/>
    <w:rsid w:val="000B3BB1"/>
    <w:rsid w:val="000D0AEC"/>
    <w:rsid w:val="000E2D60"/>
    <w:rsid w:val="000E33BF"/>
    <w:rsid w:val="000F4FFE"/>
    <w:rsid w:val="0010018C"/>
    <w:rsid w:val="00117027"/>
    <w:rsid w:val="00122C2B"/>
    <w:rsid w:val="00125876"/>
    <w:rsid w:val="00130FD6"/>
    <w:rsid w:val="001339A9"/>
    <w:rsid w:val="00134D73"/>
    <w:rsid w:val="00135244"/>
    <w:rsid w:val="00141310"/>
    <w:rsid w:val="001446EA"/>
    <w:rsid w:val="001450CC"/>
    <w:rsid w:val="00145D1F"/>
    <w:rsid w:val="00146224"/>
    <w:rsid w:val="00147652"/>
    <w:rsid w:val="00151ACE"/>
    <w:rsid w:val="00154D3E"/>
    <w:rsid w:val="001562C2"/>
    <w:rsid w:val="00164D28"/>
    <w:rsid w:val="00171ACD"/>
    <w:rsid w:val="00171AFB"/>
    <w:rsid w:val="00172DDA"/>
    <w:rsid w:val="0017729A"/>
    <w:rsid w:val="00177AD8"/>
    <w:rsid w:val="001801BB"/>
    <w:rsid w:val="0018709E"/>
    <w:rsid w:val="00192629"/>
    <w:rsid w:val="00193100"/>
    <w:rsid w:val="00197FD8"/>
    <w:rsid w:val="001A1A75"/>
    <w:rsid w:val="001A2B57"/>
    <w:rsid w:val="001A3160"/>
    <w:rsid w:val="001A3FE8"/>
    <w:rsid w:val="001A5263"/>
    <w:rsid w:val="001B3C6D"/>
    <w:rsid w:val="001B6D6D"/>
    <w:rsid w:val="001C044F"/>
    <w:rsid w:val="001C6F42"/>
    <w:rsid w:val="001D7D8B"/>
    <w:rsid w:val="001E1965"/>
    <w:rsid w:val="001E19F6"/>
    <w:rsid w:val="001E2289"/>
    <w:rsid w:val="001E3A51"/>
    <w:rsid w:val="001F71DB"/>
    <w:rsid w:val="00202DF6"/>
    <w:rsid w:val="002044E2"/>
    <w:rsid w:val="00204D81"/>
    <w:rsid w:val="00205ECF"/>
    <w:rsid w:val="002061D5"/>
    <w:rsid w:val="002117F2"/>
    <w:rsid w:val="00214119"/>
    <w:rsid w:val="0021531F"/>
    <w:rsid w:val="00216AE4"/>
    <w:rsid w:val="00220D38"/>
    <w:rsid w:val="00231F44"/>
    <w:rsid w:val="00234B4B"/>
    <w:rsid w:val="0023552D"/>
    <w:rsid w:val="0023629A"/>
    <w:rsid w:val="002510AA"/>
    <w:rsid w:val="00274726"/>
    <w:rsid w:val="00280AB4"/>
    <w:rsid w:val="00286AF8"/>
    <w:rsid w:val="00291E70"/>
    <w:rsid w:val="0029247C"/>
    <w:rsid w:val="002976D8"/>
    <w:rsid w:val="002A655F"/>
    <w:rsid w:val="002B14E9"/>
    <w:rsid w:val="002B1CCB"/>
    <w:rsid w:val="002C0E25"/>
    <w:rsid w:val="002C4696"/>
    <w:rsid w:val="002D3154"/>
    <w:rsid w:val="002D3F78"/>
    <w:rsid w:val="002D4861"/>
    <w:rsid w:val="002D653F"/>
    <w:rsid w:val="002E0BD6"/>
    <w:rsid w:val="002E449B"/>
    <w:rsid w:val="002F43F4"/>
    <w:rsid w:val="002F5043"/>
    <w:rsid w:val="00300D2E"/>
    <w:rsid w:val="003018C5"/>
    <w:rsid w:val="00303888"/>
    <w:rsid w:val="003070F4"/>
    <w:rsid w:val="003157CA"/>
    <w:rsid w:val="0031675D"/>
    <w:rsid w:val="003173E8"/>
    <w:rsid w:val="0033096A"/>
    <w:rsid w:val="00333926"/>
    <w:rsid w:val="0033416A"/>
    <w:rsid w:val="0033789B"/>
    <w:rsid w:val="00350CD2"/>
    <w:rsid w:val="0035567F"/>
    <w:rsid w:val="00356856"/>
    <w:rsid w:val="00370F1E"/>
    <w:rsid w:val="00371D05"/>
    <w:rsid w:val="00372689"/>
    <w:rsid w:val="003758B3"/>
    <w:rsid w:val="003761B0"/>
    <w:rsid w:val="00377E46"/>
    <w:rsid w:val="003858E4"/>
    <w:rsid w:val="00387A1C"/>
    <w:rsid w:val="00390DC0"/>
    <w:rsid w:val="00393D7F"/>
    <w:rsid w:val="003A4555"/>
    <w:rsid w:val="003A78C3"/>
    <w:rsid w:val="003B1883"/>
    <w:rsid w:val="003B3D09"/>
    <w:rsid w:val="003B49D0"/>
    <w:rsid w:val="003C1626"/>
    <w:rsid w:val="003C1F5F"/>
    <w:rsid w:val="003D11AD"/>
    <w:rsid w:val="003E34E1"/>
    <w:rsid w:val="003E74BC"/>
    <w:rsid w:val="003F1545"/>
    <w:rsid w:val="003F4FA7"/>
    <w:rsid w:val="003F5ED1"/>
    <w:rsid w:val="003F793F"/>
    <w:rsid w:val="003F79DF"/>
    <w:rsid w:val="00400D9B"/>
    <w:rsid w:val="00403E1B"/>
    <w:rsid w:val="00410E4E"/>
    <w:rsid w:val="0041578B"/>
    <w:rsid w:val="00415BE2"/>
    <w:rsid w:val="004250EE"/>
    <w:rsid w:val="00426262"/>
    <w:rsid w:val="00431464"/>
    <w:rsid w:val="004357CC"/>
    <w:rsid w:val="004375CB"/>
    <w:rsid w:val="004414D7"/>
    <w:rsid w:val="00441870"/>
    <w:rsid w:val="00442D2C"/>
    <w:rsid w:val="00450ACA"/>
    <w:rsid w:val="00452406"/>
    <w:rsid w:val="004534EF"/>
    <w:rsid w:val="00453EB9"/>
    <w:rsid w:val="00455DAE"/>
    <w:rsid w:val="00456E78"/>
    <w:rsid w:val="004618FC"/>
    <w:rsid w:val="004742D1"/>
    <w:rsid w:val="004744F7"/>
    <w:rsid w:val="00477722"/>
    <w:rsid w:val="00481AF8"/>
    <w:rsid w:val="00484E34"/>
    <w:rsid w:val="00487EE3"/>
    <w:rsid w:val="00494C8F"/>
    <w:rsid w:val="004B55AE"/>
    <w:rsid w:val="004B6F88"/>
    <w:rsid w:val="004C6CA7"/>
    <w:rsid w:val="004D26F3"/>
    <w:rsid w:val="004D3BF3"/>
    <w:rsid w:val="004D3FAD"/>
    <w:rsid w:val="004F4E09"/>
    <w:rsid w:val="004F6E13"/>
    <w:rsid w:val="004F724F"/>
    <w:rsid w:val="004F728D"/>
    <w:rsid w:val="00500885"/>
    <w:rsid w:val="00501443"/>
    <w:rsid w:val="005121E8"/>
    <w:rsid w:val="00513163"/>
    <w:rsid w:val="00514A42"/>
    <w:rsid w:val="005450EA"/>
    <w:rsid w:val="005568F8"/>
    <w:rsid w:val="00557AF7"/>
    <w:rsid w:val="005665D5"/>
    <w:rsid w:val="00566AF1"/>
    <w:rsid w:val="005725FB"/>
    <w:rsid w:val="00577F4A"/>
    <w:rsid w:val="005811BE"/>
    <w:rsid w:val="005853CF"/>
    <w:rsid w:val="00586CA4"/>
    <w:rsid w:val="005927E8"/>
    <w:rsid w:val="00597CD7"/>
    <w:rsid w:val="005A073D"/>
    <w:rsid w:val="005A16DF"/>
    <w:rsid w:val="005A3291"/>
    <w:rsid w:val="005A7707"/>
    <w:rsid w:val="005A7CFF"/>
    <w:rsid w:val="005B39AB"/>
    <w:rsid w:val="005B7E36"/>
    <w:rsid w:val="005C23CD"/>
    <w:rsid w:val="005C692A"/>
    <w:rsid w:val="005C76A3"/>
    <w:rsid w:val="005D2D4B"/>
    <w:rsid w:val="005D7016"/>
    <w:rsid w:val="005E3B75"/>
    <w:rsid w:val="005E4D84"/>
    <w:rsid w:val="005F507D"/>
    <w:rsid w:val="00603092"/>
    <w:rsid w:val="00604D0B"/>
    <w:rsid w:val="00607520"/>
    <w:rsid w:val="00610D85"/>
    <w:rsid w:val="00613175"/>
    <w:rsid w:val="006138AE"/>
    <w:rsid w:val="006241D0"/>
    <w:rsid w:val="00632831"/>
    <w:rsid w:val="00636B94"/>
    <w:rsid w:val="00640169"/>
    <w:rsid w:val="00640B37"/>
    <w:rsid w:val="006421C3"/>
    <w:rsid w:val="0065285A"/>
    <w:rsid w:val="006732B2"/>
    <w:rsid w:val="00674B5C"/>
    <w:rsid w:val="00674CA1"/>
    <w:rsid w:val="00687DF5"/>
    <w:rsid w:val="00693CA9"/>
    <w:rsid w:val="00697C2D"/>
    <w:rsid w:val="006A1F12"/>
    <w:rsid w:val="006A2871"/>
    <w:rsid w:val="006A2A52"/>
    <w:rsid w:val="006A6E0F"/>
    <w:rsid w:val="006C37F0"/>
    <w:rsid w:val="006C5E29"/>
    <w:rsid w:val="006C7D16"/>
    <w:rsid w:val="006D0130"/>
    <w:rsid w:val="006D7F2D"/>
    <w:rsid w:val="006E1E08"/>
    <w:rsid w:val="006E32B2"/>
    <w:rsid w:val="006E6997"/>
    <w:rsid w:val="006F46C9"/>
    <w:rsid w:val="006F6252"/>
    <w:rsid w:val="00700341"/>
    <w:rsid w:val="0070266D"/>
    <w:rsid w:val="00702873"/>
    <w:rsid w:val="00716A65"/>
    <w:rsid w:val="00722DF3"/>
    <w:rsid w:val="00730F48"/>
    <w:rsid w:val="00731A3E"/>
    <w:rsid w:val="00736CC1"/>
    <w:rsid w:val="0074331E"/>
    <w:rsid w:val="0074515A"/>
    <w:rsid w:val="007512EF"/>
    <w:rsid w:val="00752D56"/>
    <w:rsid w:val="007552F3"/>
    <w:rsid w:val="007576EF"/>
    <w:rsid w:val="00761396"/>
    <w:rsid w:val="007675AB"/>
    <w:rsid w:val="0077246E"/>
    <w:rsid w:val="00773B24"/>
    <w:rsid w:val="00773F50"/>
    <w:rsid w:val="00774DC3"/>
    <w:rsid w:val="00783E2F"/>
    <w:rsid w:val="00786F15"/>
    <w:rsid w:val="007902E9"/>
    <w:rsid w:val="007A285E"/>
    <w:rsid w:val="007A3408"/>
    <w:rsid w:val="007B0981"/>
    <w:rsid w:val="007B4128"/>
    <w:rsid w:val="007B46A5"/>
    <w:rsid w:val="007B6419"/>
    <w:rsid w:val="007B70B6"/>
    <w:rsid w:val="007C2DC3"/>
    <w:rsid w:val="007C7455"/>
    <w:rsid w:val="007C7633"/>
    <w:rsid w:val="007D1560"/>
    <w:rsid w:val="007D37BE"/>
    <w:rsid w:val="007D4A25"/>
    <w:rsid w:val="007D570C"/>
    <w:rsid w:val="007E1499"/>
    <w:rsid w:val="007E596C"/>
    <w:rsid w:val="007E74CF"/>
    <w:rsid w:val="007E7A9A"/>
    <w:rsid w:val="007F14C6"/>
    <w:rsid w:val="007F7F6D"/>
    <w:rsid w:val="00802849"/>
    <w:rsid w:val="00802FED"/>
    <w:rsid w:val="00807DF0"/>
    <w:rsid w:val="00810B16"/>
    <w:rsid w:val="008275C7"/>
    <w:rsid w:val="00831982"/>
    <w:rsid w:val="00846D26"/>
    <w:rsid w:val="00847891"/>
    <w:rsid w:val="00857288"/>
    <w:rsid w:val="00862DBF"/>
    <w:rsid w:val="00863652"/>
    <w:rsid w:val="00865D24"/>
    <w:rsid w:val="00880271"/>
    <w:rsid w:val="00881412"/>
    <w:rsid w:val="00890403"/>
    <w:rsid w:val="00891A8C"/>
    <w:rsid w:val="00896CEE"/>
    <w:rsid w:val="008A08E7"/>
    <w:rsid w:val="008A0CFE"/>
    <w:rsid w:val="008A7C33"/>
    <w:rsid w:val="008D6BEB"/>
    <w:rsid w:val="008E15EF"/>
    <w:rsid w:val="008E5337"/>
    <w:rsid w:val="008E5691"/>
    <w:rsid w:val="008E7ED1"/>
    <w:rsid w:val="00901519"/>
    <w:rsid w:val="009020F6"/>
    <w:rsid w:val="00905149"/>
    <w:rsid w:val="00907E68"/>
    <w:rsid w:val="0091638D"/>
    <w:rsid w:val="00922F87"/>
    <w:rsid w:val="00927875"/>
    <w:rsid w:val="00927BAB"/>
    <w:rsid w:val="00927C74"/>
    <w:rsid w:val="0093298E"/>
    <w:rsid w:val="00934982"/>
    <w:rsid w:val="00937C7C"/>
    <w:rsid w:val="009427A2"/>
    <w:rsid w:val="00947B16"/>
    <w:rsid w:val="00951310"/>
    <w:rsid w:val="00953B68"/>
    <w:rsid w:val="0096275B"/>
    <w:rsid w:val="00965E37"/>
    <w:rsid w:val="00972BDE"/>
    <w:rsid w:val="00982E13"/>
    <w:rsid w:val="009865D5"/>
    <w:rsid w:val="00987ABA"/>
    <w:rsid w:val="00996ACD"/>
    <w:rsid w:val="009A5E9C"/>
    <w:rsid w:val="009C2B2E"/>
    <w:rsid w:val="009C36C9"/>
    <w:rsid w:val="009C7BF1"/>
    <w:rsid w:val="009D0035"/>
    <w:rsid w:val="009D0779"/>
    <w:rsid w:val="009D5A39"/>
    <w:rsid w:val="009D5DD3"/>
    <w:rsid w:val="009E74B1"/>
    <w:rsid w:val="009F47AC"/>
    <w:rsid w:val="009F5C93"/>
    <w:rsid w:val="009F6045"/>
    <w:rsid w:val="00A23B7E"/>
    <w:rsid w:val="00A27133"/>
    <w:rsid w:val="00A323B1"/>
    <w:rsid w:val="00A33F19"/>
    <w:rsid w:val="00A44731"/>
    <w:rsid w:val="00A51E9A"/>
    <w:rsid w:val="00A54028"/>
    <w:rsid w:val="00A565D7"/>
    <w:rsid w:val="00A64388"/>
    <w:rsid w:val="00A67BE9"/>
    <w:rsid w:val="00A96A10"/>
    <w:rsid w:val="00A9709F"/>
    <w:rsid w:val="00AA49E2"/>
    <w:rsid w:val="00AB2AD4"/>
    <w:rsid w:val="00AB6717"/>
    <w:rsid w:val="00AB75E9"/>
    <w:rsid w:val="00AC6703"/>
    <w:rsid w:val="00AC6C7C"/>
    <w:rsid w:val="00AD20B0"/>
    <w:rsid w:val="00AD2CAF"/>
    <w:rsid w:val="00AD2EF2"/>
    <w:rsid w:val="00AE530E"/>
    <w:rsid w:val="00AF1FDC"/>
    <w:rsid w:val="00AF349A"/>
    <w:rsid w:val="00AF3583"/>
    <w:rsid w:val="00AF72FB"/>
    <w:rsid w:val="00B0075A"/>
    <w:rsid w:val="00B0533E"/>
    <w:rsid w:val="00B13331"/>
    <w:rsid w:val="00B15400"/>
    <w:rsid w:val="00B25A46"/>
    <w:rsid w:val="00B32B30"/>
    <w:rsid w:val="00B364E1"/>
    <w:rsid w:val="00B40033"/>
    <w:rsid w:val="00B401B1"/>
    <w:rsid w:val="00B47625"/>
    <w:rsid w:val="00B71183"/>
    <w:rsid w:val="00B75D9E"/>
    <w:rsid w:val="00B80177"/>
    <w:rsid w:val="00B81806"/>
    <w:rsid w:val="00B8437B"/>
    <w:rsid w:val="00B8660A"/>
    <w:rsid w:val="00B86A44"/>
    <w:rsid w:val="00B97015"/>
    <w:rsid w:val="00B9758F"/>
    <w:rsid w:val="00BA0814"/>
    <w:rsid w:val="00BA24EE"/>
    <w:rsid w:val="00BA6757"/>
    <w:rsid w:val="00BA6EC5"/>
    <w:rsid w:val="00BB4723"/>
    <w:rsid w:val="00BC494B"/>
    <w:rsid w:val="00BD4EF2"/>
    <w:rsid w:val="00BD627E"/>
    <w:rsid w:val="00BE1413"/>
    <w:rsid w:val="00BF4CD1"/>
    <w:rsid w:val="00C011C0"/>
    <w:rsid w:val="00C013D4"/>
    <w:rsid w:val="00C027D8"/>
    <w:rsid w:val="00C02841"/>
    <w:rsid w:val="00C03D5B"/>
    <w:rsid w:val="00C03F01"/>
    <w:rsid w:val="00C0562C"/>
    <w:rsid w:val="00C1507F"/>
    <w:rsid w:val="00C17F16"/>
    <w:rsid w:val="00C3595F"/>
    <w:rsid w:val="00C40A55"/>
    <w:rsid w:val="00C42028"/>
    <w:rsid w:val="00C42D67"/>
    <w:rsid w:val="00C45AC0"/>
    <w:rsid w:val="00C51595"/>
    <w:rsid w:val="00C548E0"/>
    <w:rsid w:val="00C550E3"/>
    <w:rsid w:val="00C616B8"/>
    <w:rsid w:val="00C70B44"/>
    <w:rsid w:val="00C71ECE"/>
    <w:rsid w:val="00C7274C"/>
    <w:rsid w:val="00C72938"/>
    <w:rsid w:val="00C7500B"/>
    <w:rsid w:val="00C77126"/>
    <w:rsid w:val="00C8183A"/>
    <w:rsid w:val="00C87328"/>
    <w:rsid w:val="00C87D02"/>
    <w:rsid w:val="00CA0EFC"/>
    <w:rsid w:val="00CA165D"/>
    <w:rsid w:val="00CA258B"/>
    <w:rsid w:val="00CA3CA3"/>
    <w:rsid w:val="00CA3F5D"/>
    <w:rsid w:val="00CB2E0F"/>
    <w:rsid w:val="00CB372A"/>
    <w:rsid w:val="00CB6D2F"/>
    <w:rsid w:val="00CC24CB"/>
    <w:rsid w:val="00CC3B6B"/>
    <w:rsid w:val="00CC5558"/>
    <w:rsid w:val="00CD1D07"/>
    <w:rsid w:val="00CD2FEE"/>
    <w:rsid w:val="00CE0F5D"/>
    <w:rsid w:val="00CE2B90"/>
    <w:rsid w:val="00CE6319"/>
    <w:rsid w:val="00CE672B"/>
    <w:rsid w:val="00CF3F90"/>
    <w:rsid w:val="00D0653D"/>
    <w:rsid w:val="00D0718B"/>
    <w:rsid w:val="00D07F07"/>
    <w:rsid w:val="00D10ADC"/>
    <w:rsid w:val="00D140DC"/>
    <w:rsid w:val="00D16C70"/>
    <w:rsid w:val="00D217B2"/>
    <w:rsid w:val="00D26376"/>
    <w:rsid w:val="00D2770E"/>
    <w:rsid w:val="00D30364"/>
    <w:rsid w:val="00D35746"/>
    <w:rsid w:val="00D377CD"/>
    <w:rsid w:val="00D409C8"/>
    <w:rsid w:val="00D46537"/>
    <w:rsid w:val="00D567D1"/>
    <w:rsid w:val="00D6093E"/>
    <w:rsid w:val="00D611D0"/>
    <w:rsid w:val="00D64DD8"/>
    <w:rsid w:val="00D65FC7"/>
    <w:rsid w:val="00D67478"/>
    <w:rsid w:val="00D71A26"/>
    <w:rsid w:val="00D73D76"/>
    <w:rsid w:val="00D77D5D"/>
    <w:rsid w:val="00D80C67"/>
    <w:rsid w:val="00D80FD5"/>
    <w:rsid w:val="00D81FAF"/>
    <w:rsid w:val="00D845AC"/>
    <w:rsid w:val="00D908EF"/>
    <w:rsid w:val="00D92659"/>
    <w:rsid w:val="00DA45F3"/>
    <w:rsid w:val="00DA48A4"/>
    <w:rsid w:val="00DA54EB"/>
    <w:rsid w:val="00DB178C"/>
    <w:rsid w:val="00DB6D03"/>
    <w:rsid w:val="00DC089F"/>
    <w:rsid w:val="00DC1B95"/>
    <w:rsid w:val="00DC525D"/>
    <w:rsid w:val="00DC7D9D"/>
    <w:rsid w:val="00DD36DD"/>
    <w:rsid w:val="00DD3D7D"/>
    <w:rsid w:val="00DE4F97"/>
    <w:rsid w:val="00DE5BF6"/>
    <w:rsid w:val="00DE6F58"/>
    <w:rsid w:val="00DE74C0"/>
    <w:rsid w:val="00DE7CCD"/>
    <w:rsid w:val="00DF1CFD"/>
    <w:rsid w:val="00E047E1"/>
    <w:rsid w:val="00E1484B"/>
    <w:rsid w:val="00E20147"/>
    <w:rsid w:val="00E24A9C"/>
    <w:rsid w:val="00E258B5"/>
    <w:rsid w:val="00E27957"/>
    <w:rsid w:val="00E34771"/>
    <w:rsid w:val="00E36660"/>
    <w:rsid w:val="00E36855"/>
    <w:rsid w:val="00E4635F"/>
    <w:rsid w:val="00E5425C"/>
    <w:rsid w:val="00E575ED"/>
    <w:rsid w:val="00E661FD"/>
    <w:rsid w:val="00E706B7"/>
    <w:rsid w:val="00E76A26"/>
    <w:rsid w:val="00E8024F"/>
    <w:rsid w:val="00E808EA"/>
    <w:rsid w:val="00E82479"/>
    <w:rsid w:val="00E83924"/>
    <w:rsid w:val="00E84A9A"/>
    <w:rsid w:val="00E90A2E"/>
    <w:rsid w:val="00E97484"/>
    <w:rsid w:val="00EA0113"/>
    <w:rsid w:val="00EA0A11"/>
    <w:rsid w:val="00EA15FD"/>
    <w:rsid w:val="00EA7061"/>
    <w:rsid w:val="00EC15D9"/>
    <w:rsid w:val="00EC3A5F"/>
    <w:rsid w:val="00ED3C9E"/>
    <w:rsid w:val="00ED6411"/>
    <w:rsid w:val="00ED7057"/>
    <w:rsid w:val="00ED7A6C"/>
    <w:rsid w:val="00EE5CEA"/>
    <w:rsid w:val="00EE72CE"/>
    <w:rsid w:val="00F00BCB"/>
    <w:rsid w:val="00F050D6"/>
    <w:rsid w:val="00F12478"/>
    <w:rsid w:val="00F12E49"/>
    <w:rsid w:val="00F1709A"/>
    <w:rsid w:val="00F23F9B"/>
    <w:rsid w:val="00F27DD3"/>
    <w:rsid w:val="00F308C0"/>
    <w:rsid w:val="00F30ACD"/>
    <w:rsid w:val="00F50DDE"/>
    <w:rsid w:val="00F56032"/>
    <w:rsid w:val="00F574E8"/>
    <w:rsid w:val="00F6754C"/>
    <w:rsid w:val="00F773AC"/>
    <w:rsid w:val="00F940BC"/>
    <w:rsid w:val="00F9596E"/>
    <w:rsid w:val="00FA2E6B"/>
    <w:rsid w:val="00FA3754"/>
    <w:rsid w:val="00FB1464"/>
    <w:rsid w:val="00FB1E41"/>
    <w:rsid w:val="00FB219E"/>
    <w:rsid w:val="00FB243D"/>
    <w:rsid w:val="00FB444F"/>
    <w:rsid w:val="00FB71F9"/>
    <w:rsid w:val="00FD2E4C"/>
    <w:rsid w:val="00FD7A2F"/>
    <w:rsid w:val="00FE32CB"/>
    <w:rsid w:val="00FE4F4A"/>
    <w:rsid w:val="00FE5D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4D87"/>
  <w15:docId w15:val="{932660D7-81E5-4712-A49D-421692A3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5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520"/>
    <w:rPr>
      <w:rFonts w:ascii="Segoe UI" w:hAnsi="Segoe UI" w:cs="Segoe UI"/>
      <w:sz w:val="18"/>
      <w:szCs w:val="18"/>
    </w:rPr>
  </w:style>
  <w:style w:type="paragraph" w:styleId="ListParagraph">
    <w:name w:val="List Paragraph"/>
    <w:basedOn w:val="Normal"/>
    <w:uiPriority w:val="34"/>
    <w:qFormat/>
    <w:rsid w:val="00607520"/>
    <w:pPr>
      <w:ind w:left="720"/>
      <w:contextualSpacing/>
    </w:pPr>
  </w:style>
  <w:style w:type="paragraph" w:styleId="CommentSubject">
    <w:name w:val="annotation subject"/>
    <w:basedOn w:val="CommentText"/>
    <w:next w:val="CommentText"/>
    <w:link w:val="CommentSubjectChar"/>
    <w:uiPriority w:val="99"/>
    <w:semiHidden/>
    <w:unhideWhenUsed/>
    <w:rsid w:val="00607520"/>
    <w:rPr>
      <w:b/>
      <w:bCs/>
    </w:rPr>
  </w:style>
  <w:style w:type="character" w:customStyle="1" w:styleId="CommentSubjectChar">
    <w:name w:val="Comment Subject Char"/>
    <w:basedOn w:val="CommentTextChar"/>
    <w:link w:val="CommentSubject"/>
    <w:uiPriority w:val="99"/>
    <w:semiHidden/>
    <w:rsid w:val="00607520"/>
    <w:rPr>
      <w:b/>
      <w:bCs/>
      <w:sz w:val="20"/>
      <w:szCs w:val="20"/>
    </w:rPr>
  </w:style>
  <w:style w:type="paragraph" w:styleId="NormalWeb">
    <w:name w:val="Normal (Web)"/>
    <w:basedOn w:val="Normal"/>
    <w:uiPriority w:val="99"/>
    <w:semiHidden/>
    <w:unhideWhenUsed/>
    <w:rsid w:val="00274726"/>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Hyperlink">
    <w:name w:val="Hyperlink"/>
    <w:basedOn w:val="DefaultParagraphFont"/>
    <w:uiPriority w:val="99"/>
    <w:unhideWhenUsed/>
    <w:rsid w:val="00953B68"/>
    <w:rPr>
      <w:color w:val="0000FF" w:themeColor="hyperlink"/>
      <w:u w:val="single"/>
    </w:rPr>
  </w:style>
  <w:style w:type="character" w:styleId="UnresolvedMention">
    <w:name w:val="Unresolved Mention"/>
    <w:basedOn w:val="DefaultParagraphFont"/>
    <w:uiPriority w:val="99"/>
    <w:semiHidden/>
    <w:unhideWhenUsed/>
    <w:rsid w:val="00953B68"/>
    <w:rPr>
      <w:color w:val="605E5C"/>
      <w:shd w:val="clear" w:color="auto" w:fill="E1DFDD"/>
    </w:rPr>
  </w:style>
  <w:style w:type="paragraph" w:styleId="Header">
    <w:name w:val="header"/>
    <w:basedOn w:val="Normal"/>
    <w:link w:val="HeaderChar"/>
    <w:uiPriority w:val="99"/>
    <w:unhideWhenUsed/>
    <w:rsid w:val="0096275B"/>
    <w:pPr>
      <w:tabs>
        <w:tab w:val="center" w:pos="4536"/>
        <w:tab w:val="right" w:pos="9072"/>
      </w:tabs>
      <w:spacing w:line="240" w:lineRule="auto"/>
    </w:pPr>
  </w:style>
  <w:style w:type="character" w:customStyle="1" w:styleId="HeaderChar">
    <w:name w:val="Header Char"/>
    <w:basedOn w:val="DefaultParagraphFont"/>
    <w:link w:val="Header"/>
    <w:uiPriority w:val="99"/>
    <w:rsid w:val="0096275B"/>
  </w:style>
  <w:style w:type="paragraph" w:styleId="Footer">
    <w:name w:val="footer"/>
    <w:basedOn w:val="Normal"/>
    <w:link w:val="FooterChar"/>
    <w:uiPriority w:val="99"/>
    <w:unhideWhenUsed/>
    <w:rsid w:val="0096275B"/>
    <w:pPr>
      <w:tabs>
        <w:tab w:val="center" w:pos="4536"/>
        <w:tab w:val="right" w:pos="9072"/>
      </w:tabs>
      <w:spacing w:line="240" w:lineRule="auto"/>
    </w:pPr>
  </w:style>
  <w:style w:type="character" w:customStyle="1" w:styleId="FooterChar">
    <w:name w:val="Footer Char"/>
    <w:basedOn w:val="DefaultParagraphFont"/>
    <w:link w:val="Footer"/>
    <w:uiPriority w:val="99"/>
    <w:rsid w:val="0096275B"/>
  </w:style>
  <w:style w:type="paragraph" w:styleId="Revision">
    <w:name w:val="Revision"/>
    <w:hidden/>
    <w:uiPriority w:val="99"/>
    <w:semiHidden/>
    <w:rsid w:val="00C550E3"/>
    <w:pPr>
      <w:spacing w:line="240" w:lineRule="auto"/>
    </w:pPr>
  </w:style>
  <w:style w:type="paragraph" w:styleId="FootnoteText">
    <w:name w:val="footnote text"/>
    <w:basedOn w:val="Normal"/>
    <w:link w:val="FootnoteTextChar"/>
    <w:uiPriority w:val="99"/>
    <w:semiHidden/>
    <w:unhideWhenUsed/>
    <w:rsid w:val="002B1CCB"/>
    <w:pPr>
      <w:spacing w:line="240" w:lineRule="auto"/>
    </w:pPr>
    <w:rPr>
      <w:sz w:val="20"/>
      <w:szCs w:val="20"/>
    </w:rPr>
  </w:style>
  <w:style w:type="character" w:customStyle="1" w:styleId="FootnoteTextChar">
    <w:name w:val="Footnote Text Char"/>
    <w:basedOn w:val="DefaultParagraphFont"/>
    <w:link w:val="FootnoteText"/>
    <w:uiPriority w:val="99"/>
    <w:semiHidden/>
    <w:rsid w:val="002B1CCB"/>
    <w:rPr>
      <w:sz w:val="20"/>
      <w:szCs w:val="20"/>
    </w:rPr>
  </w:style>
  <w:style w:type="character" w:styleId="FootnoteReference">
    <w:name w:val="footnote reference"/>
    <w:basedOn w:val="DefaultParagraphFont"/>
    <w:uiPriority w:val="99"/>
    <w:semiHidden/>
    <w:unhideWhenUsed/>
    <w:rsid w:val="002B1CCB"/>
    <w:rPr>
      <w:vertAlign w:val="superscript"/>
    </w:rPr>
  </w:style>
  <w:style w:type="character" w:styleId="FollowedHyperlink">
    <w:name w:val="FollowedHyperlink"/>
    <w:basedOn w:val="DefaultParagraphFont"/>
    <w:uiPriority w:val="99"/>
    <w:semiHidden/>
    <w:unhideWhenUsed/>
    <w:rsid w:val="00B75D9E"/>
    <w:rPr>
      <w:color w:val="800080" w:themeColor="followedHyperlink"/>
      <w:u w:val="single"/>
    </w:rPr>
  </w:style>
  <w:style w:type="paragraph" w:customStyle="1" w:styleId="Default">
    <w:name w:val="Default"/>
    <w:rsid w:val="004F728D"/>
    <w:pPr>
      <w:autoSpaceDE w:val="0"/>
      <w:autoSpaceDN w:val="0"/>
      <w:adjustRightInd w:val="0"/>
      <w:spacing w:line="240" w:lineRule="auto"/>
    </w:pPr>
    <w:rPr>
      <w:rFonts w:ascii="LFDLK P+ Gulliver" w:hAnsi="LFDLK P+ Gulliver" w:cs="LFDLK P+ Gulliver"/>
      <w:color w:val="000000"/>
      <w:sz w:val="24"/>
      <w:szCs w:val="24"/>
      <w:lang w:val="en-US"/>
    </w:rPr>
  </w:style>
  <w:style w:type="character" w:customStyle="1" w:styleId="creator-type-label">
    <w:name w:val="creator-type-label"/>
    <w:basedOn w:val="DefaultParagraphFont"/>
    <w:rsid w:val="009E74B1"/>
  </w:style>
  <w:style w:type="character" w:customStyle="1" w:styleId="contributor-unlinked">
    <w:name w:val="contributor-unlinked"/>
    <w:basedOn w:val="DefaultParagraphFont"/>
    <w:rsid w:val="009E74B1"/>
  </w:style>
  <w:style w:type="character" w:customStyle="1" w:styleId="contributor-separator">
    <w:name w:val="contributor-separator"/>
    <w:basedOn w:val="DefaultParagraphFont"/>
    <w:rsid w:val="009E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87529">
      <w:bodyDiv w:val="1"/>
      <w:marLeft w:val="0"/>
      <w:marRight w:val="0"/>
      <w:marTop w:val="0"/>
      <w:marBottom w:val="0"/>
      <w:divBdr>
        <w:top w:val="none" w:sz="0" w:space="0" w:color="auto"/>
        <w:left w:val="none" w:sz="0" w:space="0" w:color="auto"/>
        <w:bottom w:val="none" w:sz="0" w:space="0" w:color="auto"/>
        <w:right w:val="none" w:sz="0" w:space="0" w:color="auto"/>
      </w:divBdr>
    </w:div>
    <w:div w:id="1039745934">
      <w:bodyDiv w:val="1"/>
      <w:marLeft w:val="0"/>
      <w:marRight w:val="0"/>
      <w:marTop w:val="0"/>
      <w:marBottom w:val="0"/>
      <w:divBdr>
        <w:top w:val="none" w:sz="0" w:space="0" w:color="auto"/>
        <w:left w:val="none" w:sz="0" w:space="0" w:color="auto"/>
        <w:bottom w:val="none" w:sz="0" w:space="0" w:color="auto"/>
        <w:right w:val="none" w:sz="0" w:space="0" w:color="auto"/>
      </w:divBdr>
      <w:divsChild>
        <w:div w:id="648634633">
          <w:marLeft w:val="0"/>
          <w:marRight w:val="0"/>
          <w:marTop w:val="0"/>
          <w:marBottom w:val="0"/>
          <w:divBdr>
            <w:top w:val="none" w:sz="0" w:space="0" w:color="auto"/>
            <w:left w:val="none" w:sz="0" w:space="0" w:color="auto"/>
            <w:bottom w:val="none" w:sz="0" w:space="0" w:color="auto"/>
            <w:right w:val="none" w:sz="0" w:space="0" w:color="auto"/>
          </w:divBdr>
        </w:div>
      </w:divsChild>
    </w:div>
    <w:div w:id="2103141112">
      <w:bodyDiv w:val="1"/>
      <w:marLeft w:val="0"/>
      <w:marRight w:val="0"/>
      <w:marTop w:val="0"/>
      <w:marBottom w:val="0"/>
      <w:divBdr>
        <w:top w:val="none" w:sz="0" w:space="0" w:color="auto"/>
        <w:left w:val="none" w:sz="0" w:space="0" w:color="auto"/>
        <w:bottom w:val="none" w:sz="0" w:space="0" w:color="auto"/>
        <w:right w:val="none" w:sz="0" w:space="0" w:color="auto"/>
      </w:divBdr>
      <w:divsChild>
        <w:div w:id="1033966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sadventure.com/" TargetMode="External"/><Relationship Id="rId26" Type="http://schemas.openxmlformats.org/officeDocument/2006/relationships/hyperlink" Target="https://firstserveuk.co.uk/" TargetMode="External"/><Relationship Id="rId39" Type="http://schemas.openxmlformats.org/officeDocument/2006/relationships/hyperlink" Target="https://www.haverdash.com/" TargetMode="External"/><Relationship Id="rId21" Type="http://schemas.openxmlformats.org/officeDocument/2006/relationships/hyperlink" Target="https://www.unclaimedbaggage.com/" TargetMode="External"/><Relationship Id="rId34" Type="http://schemas.openxmlformats.org/officeDocument/2006/relationships/hyperlink" Target="https://www.trustpilot.com/" TargetMode="External"/><Relationship Id="rId42"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repairshop.be/" TargetMode="External"/><Relationship Id="rId29" Type="http://schemas.openxmlformats.org/officeDocument/2006/relationships/hyperlink" Target="https://www.skiboerse.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337/9781035314225.00028" TargetMode="External"/><Relationship Id="rId24" Type="http://schemas.openxmlformats.org/officeDocument/2006/relationships/hyperlink" Target="https://www.refurbed.ie/" TargetMode="External"/><Relationship Id="rId32" Type="http://schemas.openxmlformats.org/officeDocument/2006/relationships/hyperlink" Target="https://www.haverdash.com/pages/about-us" TargetMode="External"/><Relationship Id="rId37" Type="http://schemas.openxmlformats.org/officeDocument/2006/relationships/hyperlink" Target="https://www.consumeraffairs.com/" TargetMode="External"/><Relationship Id="rId40" Type="http://schemas.openxmlformats.org/officeDocument/2006/relationships/hyperlink" Target="https://www.trustpilot.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recycledshop.com/" TargetMode="External"/><Relationship Id="rId23" Type="http://schemas.openxmlformats.org/officeDocument/2006/relationships/hyperlink" Target="https://www.the-swapshop.com/" TargetMode="External"/><Relationship Id="rId28" Type="http://schemas.openxmlformats.org/officeDocument/2006/relationships/hyperlink" Target="https://www.swapsociety.co/" TargetMode="External"/><Relationship Id="rId36" Type="http://schemas.openxmlformats.org/officeDocument/2006/relationships/hyperlink" Target="https://www.tred.com/" TargetMode="External"/><Relationship Id="rId10" Type="http://schemas.openxmlformats.org/officeDocument/2006/relationships/endnotes" Target="endnotes.xml"/><Relationship Id="rId19" Type="http://schemas.openxmlformats.org/officeDocument/2006/relationships/hyperlink" Target="https://www.hertz.com/" TargetMode="External"/><Relationship Id="rId31" Type="http://schemas.openxmlformats.org/officeDocument/2006/relationships/hyperlink" Target="https://www.haverdash.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toys.com/" TargetMode="External"/><Relationship Id="rId22" Type="http://schemas.openxmlformats.org/officeDocument/2006/relationships/hyperlink" Target="https://www.dontshopswap.co.uk/" TargetMode="External"/><Relationship Id="rId27" Type="http://schemas.openxmlformats.org/officeDocument/2006/relationships/hyperlink" Target="https://firstserveuk.co.uk/" TargetMode="External"/><Relationship Id="rId30" Type="http://schemas.openxmlformats.org/officeDocument/2006/relationships/hyperlink" Target="https://www.skiboerse.info/" TargetMode="External"/><Relationship Id="rId35" Type="http://schemas.openxmlformats.org/officeDocument/2006/relationships/hyperlink" Target="https://www.trustpilot.com/" TargetMode="External"/><Relationship Id="rId43" Type="http://schemas.openxmlformats.org/officeDocument/2006/relationships/hyperlink" Target="http://hdl.handle.net/1854/LU-860664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repairmystuff.ie/" TargetMode="External"/><Relationship Id="rId25" Type="http://schemas.openxmlformats.org/officeDocument/2006/relationships/hyperlink" Target="https://www.refurbed.ie/advantages/" TargetMode="External"/><Relationship Id="rId33" Type="http://schemas.openxmlformats.org/officeDocument/2006/relationships/hyperlink" Target="https://www.refurbed.ie/" TargetMode="External"/><Relationship Id="rId38" Type="http://schemas.openxmlformats.org/officeDocument/2006/relationships/hyperlink" Target="https://www.consumeraffairs.com/" TargetMode="External"/><Relationship Id="rId46" Type="http://schemas.openxmlformats.org/officeDocument/2006/relationships/theme" Target="theme/theme1.xml"/><Relationship Id="rId20" Type="http://schemas.openxmlformats.org/officeDocument/2006/relationships/hyperlink" Target="https://www.skiboerse.info/" TargetMode="External"/><Relationship Id="rId41" Type="http://schemas.openxmlformats.org/officeDocument/2006/relationships/hyperlink" Target="https://www.trustpil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69b691-7ff2-406d-ae89-27550ce6aa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2F4C6F71B2A54F825DAE3726AE79A0" ma:contentTypeVersion="15" ma:contentTypeDescription="Een nieuw document maken." ma:contentTypeScope="" ma:versionID="1abcd717aa4b761c2e880c9ecb1552ae">
  <xsd:schema xmlns:xsd="http://www.w3.org/2001/XMLSchema" xmlns:xs="http://www.w3.org/2001/XMLSchema" xmlns:p="http://schemas.microsoft.com/office/2006/metadata/properties" xmlns:ns3="6a261a2e-c55b-44c7-9ce3-b5ec4f8209b3" xmlns:ns4="f669b691-7ff2-406d-ae89-27550ce6aa7d" targetNamespace="http://schemas.microsoft.com/office/2006/metadata/properties" ma:root="true" ma:fieldsID="5b8304207440d3fe01211f91a92c1a38" ns3:_="" ns4:_="">
    <xsd:import namespace="6a261a2e-c55b-44c7-9ce3-b5ec4f8209b3"/>
    <xsd:import namespace="f669b691-7ff2-406d-ae89-27550ce6a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61a2e-c55b-44c7-9ce3-b5ec4f8209b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9b691-7ff2-406d-ae89-27550ce6a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AC504-D16C-472B-AD86-754131E61586}">
  <ds:schemaRefs>
    <ds:schemaRef ds:uri="http://schemas.microsoft.com/office/2006/metadata/properties"/>
    <ds:schemaRef ds:uri="http://schemas.microsoft.com/office/infopath/2007/PartnerControls"/>
    <ds:schemaRef ds:uri="f669b691-7ff2-406d-ae89-27550ce6aa7d"/>
  </ds:schemaRefs>
</ds:datastoreItem>
</file>

<file path=customXml/itemProps2.xml><?xml version="1.0" encoding="utf-8"?>
<ds:datastoreItem xmlns:ds="http://schemas.openxmlformats.org/officeDocument/2006/customXml" ds:itemID="{F67364E1-B843-4481-9A0A-9B3887B2134F}">
  <ds:schemaRefs>
    <ds:schemaRef ds:uri="http://schemas.openxmlformats.org/officeDocument/2006/bibliography"/>
  </ds:schemaRefs>
</ds:datastoreItem>
</file>

<file path=customXml/itemProps3.xml><?xml version="1.0" encoding="utf-8"?>
<ds:datastoreItem xmlns:ds="http://schemas.openxmlformats.org/officeDocument/2006/customXml" ds:itemID="{7E9CAA97-DB6C-4ADD-9250-96B4719299D3}">
  <ds:schemaRefs>
    <ds:schemaRef ds:uri="http://schemas.microsoft.com/sharepoint/v3/contenttype/forms"/>
  </ds:schemaRefs>
</ds:datastoreItem>
</file>

<file path=customXml/itemProps4.xml><?xml version="1.0" encoding="utf-8"?>
<ds:datastoreItem xmlns:ds="http://schemas.openxmlformats.org/officeDocument/2006/customXml" ds:itemID="{7704A275-6B27-4914-B36E-B622D4DC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61a2e-c55b-44c7-9ce3-b5ec4f8209b3"/>
    <ds:schemaRef ds:uri="f669b691-7ff2-406d-ae89-27550ce6a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Katrien Verleye</dc:creator>
  <cp:lastModifiedBy>Katrien Verleye</cp:lastModifiedBy>
  <cp:revision>11</cp:revision>
  <dcterms:created xsi:type="dcterms:W3CDTF">2024-03-20T13:31:00Z</dcterms:created>
  <dcterms:modified xsi:type="dcterms:W3CDTF">2024-03-20T14:20:00Z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0x010100092F4C6F71B2A54F825DAE3726AE79A0</vt:lpwstr>
  </property>
</Properties>
</file>