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302C3" w14:textId="02F96C65" w:rsidR="005A7211" w:rsidRDefault="00CC626C">
      <w:pPr>
        <w:rPr>
          <w:b/>
          <w:bCs/>
          <w:sz w:val="36"/>
          <w:szCs w:val="36"/>
        </w:rPr>
      </w:pPr>
      <w:r w:rsidRPr="00CC626C">
        <w:rPr>
          <w:b/>
          <w:bCs/>
          <w:sz w:val="36"/>
          <w:szCs w:val="36"/>
        </w:rPr>
        <w:t>Kroniek onderwijsrecht 202</w:t>
      </w:r>
      <w:r w:rsidR="00487D31">
        <w:rPr>
          <w:b/>
          <w:bCs/>
          <w:sz w:val="36"/>
          <w:szCs w:val="36"/>
        </w:rPr>
        <w:t>2</w:t>
      </w:r>
      <w:r w:rsidRPr="00CC626C">
        <w:rPr>
          <w:b/>
          <w:bCs/>
          <w:sz w:val="36"/>
          <w:szCs w:val="36"/>
        </w:rPr>
        <w:t>-202</w:t>
      </w:r>
      <w:r w:rsidR="00487D31">
        <w:rPr>
          <w:b/>
          <w:bCs/>
          <w:sz w:val="36"/>
          <w:szCs w:val="36"/>
        </w:rPr>
        <w:t>3</w:t>
      </w:r>
    </w:p>
    <w:p w14:paraId="51F91B22" w14:textId="63B98728" w:rsidR="00CC626C" w:rsidRPr="00CC626C" w:rsidRDefault="005A7211">
      <w:pPr>
        <w:rPr>
          <w:b/>
          <w:bCs/>
          <w:sz w:val="36"/>
          <w:szCs w:val="36"/>
        </w:rPr>
      </w:pPr>
      <w:r>
        <w:rPr>
          <w:b/>
          <w:bCs/>
          <w:sz w:val="36"/>
          <w:szCs w:val="36"/>
        </w:rPr>
        <w:t>Nieuw, nieuw en nieuw: Vlaamse toetsen, het Leersteundecreet en onderwijsinternaten</w:t>
      </w:r>
    </w:p>
    <w:p w14:paraId="0769EF9F" w14:textId="71EBFA3D" w:rsidR="0064248A" w:rsidRDefault="00DD4F12" w:rsidP="005124D0">
      <w:pPr>
        <w:pStyle w:val="Lijstalinea"/>
        <w:numPr>
          <w:ilvl w:val="0"/>
          <w:numId w:val="2"/>
        </w:numPr>
        <w:ind w:left="0" w:firstLine="0"/>
        <w:contextualSpacing w:val="0"/>
        <w:jc w:val="both"/>
      </w:pPr>
      <w:r>
        <w:t>2022-2023 was het laatste volledige school</w:t>
      </w:r>
      <w:r w:rsidR="00B06E19">
        <w:t>- en academie</w:t>
      </w:r>
      <w:r>
        <w:t>jaar voor de volgende verkiezingen voor het Vlaams Parlement</w:t>
      </w:r>
      <w:r w:rsidR="00B06E19">
        <w:t xml:space="preserve">. </w:t>
      </w:r>
      <w:r w:rsidR="00DD7DE2">
        <w:t xml:space="preserve">Dat </w:t>
      </w:r>
      <w:r w:rsidR="00A81981">
        <w:t>brengt met</w:t>
      </w:r>
      <w:r w:rsidR="00DD7DE2">
        <w:t xml:space="preserve"> zich </w:t>
      </w:r>
      <w:r w:rsidR="00A81981">
        <w:t xml:space="preserve">dat </w:t>
      </w:r>
      <w:r w:rsidR="00DD7DE2">
        <w:t>in het afgelopen jaar</w:t>
      </w:r>
      <w:r w:rsidR="00A81981">
        <w:t xml:space="preserve"> een aantal belangrijke decretale dossiers zijn goedgekeurd</w:t>
      </w:r>
      <w:r w:rsidR="00DD7DE2">
        <w:t xml:space="preserve">. Zo keurde </w:t>
      </w:r>
      <w:r w:rsidR="00C31032">
        <w:t>het Vlaamse Parlement de ‘Vlaamse toetsen’ goed. Dit zijn genormeerde, gecentraliseerde en gestandaardiseerde toetsen die leerlingen op verschillende momenten tijdens hun schoolloopbaan zullen moeten afleggen. Ze zijn een nieuw kwaliteitsinstrument voor de overheid en scholen.</w:t>
      </w:r>
      <w:r w:rsidR="00714CBE">
        <w:t xml:space="preserve"> </w:t>
      </w:r>
      <w:r w:rsidR="00C31032">
        <w:t xml:space="preserve">Het parlement verving ook het M-decreet door een nieuw Leersteundecreet dat </w:t>
      </w:r>
      <w:r w:rsidR="00747718">
        <w:t>een nieuw model bevat voor de ondersteuning van leerlingen met zorgnoden. Verder werd een nieuw niveaudecreet aangenomen, een voor de onderwijsinternaten. Dit decreet voert een uniform statuut in voor alle internaten en beoogt een schaalvergroting om de goede werking van de onderwijsinternaten te verzekeren.</w:t>
      </w:r>
      <w:r w:rsidR="003A4240">
        <w:t xml:space="preserve"> Deze decreten en nog veertien andere</w:t>
      </w:r>
      <w:r w:rsidR="005124D0">
        <w:t xml:space="preserve"> komen aan bod in deze kroniek. </w:t>
      </w:r>
      <w:r w:rsidR="0064248A">
        <w:t xml:space="preserve">We bespreken de verschillende decreten in volgorde van </w:t>
      </w:r>
      <w:r>
        <w:t>bekrachtiging</w:t>
      </w:r>
      <w:r w:rsidR="0064248A">
        <w:t xml:space="preserve"> door </w:t>
      </w:r>
      <w:r>
        <w:t>de</w:t>
      </w:r>
      <w:r w:rsidR="0064248A">
        <w:t xml:space="preserve"> Vlaams</w:t>
      </w:r>
      <w:r>
        <w:t>e</w:t>
      </w:r>
      <w:r w:rsidR="0064248A">
        <w:t xml:space="preserve"> </w:t>
      </w:r>
      <w:r>
        <w:t>Regering</w:t>
      </w:r>
      <w:r w:rsidR="0064248A">
        <w:t xml:space="preserve">. </w:t>
      </w:r>
      <w:r w:rsidR="00425EAB">
        <w:t>Bepalingen van financiële</w:t>
      </w:r>
      <w:r w:rsidR="00790BB6">
        <w:t xml:space="preserve"> aard, bijvoorbeeld berekeningswijzen voor de verdeling van middelen, en gedetailleerde aspecten van regelingen laten we </w:t>
      </w:r>
      <w:r w:rsidR="00DE5D39">
        <w:t>in beginsel buiten beschouwing.</w:t>
      </w:r>
    </w:p>
    <w:p w14:paraId="18864C9B" w14:textId="77777777" w:rsidR="004F716D" w:rsidRDefault="004F716D" w:rsidP="00757841">
      <w:pPr>
        <w:jc w:val="both"/>
      </w:pPr>
    </w:p>
    <w:p w14:paraId="3B59A6B9" w14:textId="316C3CBC" w:rsidR="00442943" w:rsidRDefault="00D80EBC" w:rsidP="00D80EBC">
      <w:pPr>
        <w:pStyle w:val="Kop1"/>
      </w:pPr>
      <w:r>
        <w:t xml:space="preserve">Inschrijvingsrecht voor voorrangsgroepen </w:t>
      </w:r>
      <w:r w:rsidR="00BD0443">
        <w:t>voor leerlingen met een voortraject in het Nederlandstalig basis</w:t>
      </w:r>
      <w:r>
        <w:t>onderwijs (</w:t>
      </w:r>
      <w:r w:rsidR="00442943">
        <w:t>28 oktober 2022)</w:t>
      </w:r>
    </w:p>
    <w:p w14:paraId="0067F046" w14:textId="085A9EB2" w:rsidR="00AE78CD" w:rsidRDefault="00AE78CD">
      <w:pPr>
        <w:pStyle w:val="Lijstalinea"/>
        <w:numPr>
          <w:ilvl w:val="0"/>
          <w:numId w:val="2"/>
        </w:numPr>
        <w:ind w:left="0" w:firstLine="0"/>
        <w:contextualSpacing w:val="0"/>
        <w:jc w:val="both"/>
      </w:pPr>
      <w:r>
        <w:t>H</w:t>
      </w:r>
      <w:r w:rsidR="00F34102">
        <w:t xml:space="preserve">et Grondwettelijk Hof </w:t>
      </w:r>
      <w:r>
        <w:t xml:space="preserve">vernietigde bij arrest </w:t>
      </w:r>
      <w:r w:rsidR="00F34102">
        <w:t xml:space="preserve">van 14 juli 2022 </w:t>
      </w:r>
      <w:r>
        <w:t xml:space="preserve">de </w:t>
      </w:r>
      <w:r w:rsidR="00F239E5">
        <w:t>regeling</w:t>
      </w:r>
      <w:r>
        <w:t xml:space="preserve"> </w:t>
      </w:r>
      <w:r w:rsidR="0002255D">
        <w:t xml:space="preserve">voor inschrijvingen </w:t>
      </w:r>
      <w:r w:rsidR="00F239E5">
        <w:t xml:space="preserve">bij voorrang </w:t>
      </w:r>
      <w:r w:rsidR="0002255D">
        <w:t xml:space="preserve">in </w:t>
      </w:r>
      <w:r w:rsidR="00B51FB2">
        <w:t xml:space="preserve">scholen van </w:t>
      </w:r>
      <w:r w:rsidR="0002255D">
        <w:t>het secundair onderwijs</w:t>
      </w:r>
      <w:r w:rsidR="00B51FB2">
        <w:t xml:space="preserve"> in het tweetalige gebied Brussel-Hoofdstad</w:t>
      </w:r>
      <w:r w:rsidR="00A81981">
        <w:t xml:space="preserve"> </w:t>
      </w:r>
      <w:r w:rsidR="00A81981">
        <w:t>voor leerlingen die negen jaar Nederlandstalig basisonderwijs hadden gevolgd</w:t>
      </w:r>
      <w:r w:rsidR="0002255D">
        <w:t>.</w:t>
      </w:r>
      <w:r w:rsidR="0002255D">
        <w:rPr>
          <w:rStyle w:val="Voetnootmarkering"/>
        </w:rPr>
        <w:footnoteReference w:id="1"/>
      </w:r>
      <w:r w:rsidR="007D39CF">
        <w:t xml:space="preserve"> </w:t>
      </w:r>
      <w:r w:rsidR="00693B61">
        <w:t>Deze s</w:t>
      </w:r>
      <w:r w:rsidR="009279DA">
        <w:t xml:space="preserve">cholen dienden te streven naar een aandeel van 15% van leerlingen die </w:t>
      </w:r>
      <w:r w:rsidR="00B51FB2">
        <w:t xml:space="preserve">negen jaar Nederlandstalig basisonderwijs hadden gevolgd, </w:t>
      </w:r>
      <w:r w:rsidR="00693B61">
        <w:t xml:space="preserve">maar het Hof meende </w:t>
      </w:r>
      <w:r w:rsidR="00D20C87">
        <w:t>dat deze termijn van negen jaar onevenredig lang was</w:t>
      </w:r>
      <w:r w:rsidR="00693B61">
        <w:t>.</w:t>
      </w:r>
      <w:r w:rsidR="00693B61">
        <w:rPr>
          <w:rStyle w:val="Voetnootmarkering"/>
        </w:rPr>
        <w:footnoteReference w:id="2"/>
      </w:r>
      <w:r w:rsidR="00D20C87">
        <w:t xml:space="preserve"> Om die reden kort de decreetgever deze termijn in </w:t>
      </w:r>
      <w:r w:rsidR="00E46FA9">
        <w:t>en laat deze aanvangen vanaf de start van de leerplicht.</w:t>
      </w:r>
      <w:r w:rsidR="002C2B95">
        <w:rPr>
          <w:rStyle w:val="Voetnootmarkering"/>
        </w:rPr>
        <w:footnoteReference w:id="3"/>
      </w:r>
    </w:p>
    <w:p w14:paraId="041B0634" w14:textId="2CAB1BE0" w:rsidR="00442943" w:rsidRDefault="00E46FA9">
      <w:pPr>
        <w:pStyle w:val="Lijstalinea"/>
        <w:numPr>
          <w:ilvl w:val="0"/>
          <w:numId w:val="2"/>
        </w:numPr>
        <w:ind w:left="0" w:firstLine="0"/>
        <w:contextualSpacing w:val="0"/>
        <w:jc w:val="both"/>
      </w:pPr>
      <w:r>
        <w:t xml:space="preserve">Bij decreet van </w:t>
      </w:r>
      <w:r w:rsidR="002C2B95">
        <w:t>18 februari 2022 voorzag de decreetgever in een vergelijkbare voorrangsregeling in gemeenten aangeduid door de Vlaamse Regering.</w:t>
      </w:r>
      <w:r w:rsidR="002C2B95">
        <w:rPr>
          <w:rStyle w:val="Voetnootmarkering"/>
        </w:rPr>
        <w:footnoteReference w:id="4"/>
      </w:r>
      <w:r w:rsidR="002C2B95">
        <w:t xml:space="preserve"> Ook in deze regeling wordt </w:t>
      </w:r>
      <w:r w:rsidR="002C2B95">
        <w:lastRenderedPageBreak/>
        <w:t>de periode die een leerling in het Nederlandstalig basisonderwijs moet hebben gezeten, ingekort van ‘vanaf de leertijd van drie jaar’ naar ‘vanaf de start van de leerplicht’.</w:t>
      </w:r>
      <w:r w:rsidR="00BD0443">
        <w:rPr>
          <w:rStyle w:val="Voetnootmarkering"/>
        </w:rPr>
        <w:footnoteReference w:id="5"/>
      </w:r>
    </w:p>
    <w:p w14:paraId="4E590251" w14:textId="1BC9BBA7" w:rsidR="00560C16" w:rsidRDefault="00560C16" w:rsidP="00442943">
      <w:pPr>
        <w:pStyle w:val="Lijstalinea"/>
        <w:ind w:left="0"/>
        <w:contextualSpacing w:val="0"/>
        <w:jc w:val="both"/>
      </w:pPr>
    </w:p>
    <w:p w14:paraId="0F148C55" w14:textId="683BDF6B" w:rsidR="00BA7AFB" w:rsidRDefault="00BA7AFB" w:rsidP="00442943">
      <w:pPr>
        <w:pStyle w:val="Kop1"/>
      </w:pPr>
      <w:r>
        <w:t>Nooddecreten Oekraïne</w:t>
      </w:r>
    </w:p>
    <w:p w14:paraId="3C78CA9E" w14:textId="1786B97B" w:rsidR="001E3F40" w:rsidRDefault="001E3F40">
      <w:pPr>
        <w:pStyle w:val="Lijstalinea"/>
        <w:numPr>
          <w:ilvl w:val="0"/>
          <w:numId w:val="2"/>
        </w:numPr>
        <w:ind w:left="0" w:firstLine="0"/>
        <w:contextualSpacing w:val="0"/>
        <w:jc w:val="both"/>
      </w:pPr>
      <w:r>
        <w:t>Zoals bij de bespreking van de vorige Oekraïne-nooddecreten</w:t>
      </w:r>
      <w:r w:rsidR="00F239E5">
        <w:t xml:space="preserve"> in de kroniek van vorig jaar</w:t>
      </w:r>
      <w:r>
        <w:t>, beperken we ons hier tot de bepalingen met een inhoudelijke draagwijdte en laten we de louter technische bepalingen of deze betrekking hebbende op financiële maatregelen buiten beschouwing.</w:t>
      </w:r>
    </w:p>
    <w:p w14:paraId="6C70BFBE" w14:textId="77777777" w:rsidR="001E3F40" w:rsidRPr="001E3F40" w:rsidRDefault="001E3F40" w:rsidP="001E3F40"/>
    <w:p w14:paraId="5BACAA5F" w14:textId="5BF6FE49" w:rsidR="00442943" w:rsidRDefault="00442943" w:rsidP="00BA7AFB">
      <w:pPr>
        <w:pStyle w:val="Kop2"/>
      </w:pPr>
      <w:r>
        <w:t>Nooddecreet IV (23 december 2022)</w:t>
      </w:r>
    </w:p>
    <w:p w14:paraId="15DE52E9" w14:textId="0B4ECB9F" w:rsidR="004C1930" w:rsidRDefault="00517933">
      <w:pPr>
        <w:pStyle w:val="Lijstalinea"/>
        <w:numPr>
          <w:ilvl w:val="0"/>
          <w:numId w:val="2"/>
        </w:numPr>
        <w:ind w:left="0" w:firstLine="0"/>
        <w:contextualSpacing w:val="0"/>
        <w:jc w:val="both"/>
      </w:pPr>
      <w:r>
        <w:t xml:space="preserve">Het vierde Oekraïne-nooddecreet </w:t>
      </w:r>
      <w:r w:rsidR="00F764AA">
        <w:t>bepaalt vooreerst dat lokale besturen</w:t>
      </w:r>
      <w:r w:rsidR="00E43F0E">
        <w:t xml:space="preserve"> </w:t>
      </w:r>
      <w:r w:rsidR="009D2FE6">
        <w:t xml:space="preserve">die een nooddorp inrichten </w:t>
      </w:r>
      <w:r w:rsidR="004C1930">
        <w:t xml:space="preserve">de toelating </w:t>
      </w:r>
      <w:r w:rsidR="00E43F0E">
        <w:t xml:space="preserve">krijgen </w:t>
      </w:r>
      <w:r w:rsidR="004C1930">
        <w:t xml:space="preserve">om collectief huisonderwijs te </w:t>
      </w:r>
      <w:r w:rsidR="009D2FE6">
        <w:t>organiseren</w:t>
      </w:r>
      <w:r w:rsidR="00F239E5">
        <w:t xml:space="preserve"> voor</w:t>
      </w:r>
      <w:r w:rsidR="004C1930">
        <w:t xml:space="preserve"> leerlingen die </w:t>
      </w:r>
      <w:r w:rsidR="00E43F0E">
        <w:t>ressorteren onder een uitvoeringsbesluit van richtlijn 2001/55/EG van de Raad van 20 juli 2001 – zijnde de kinderen van de Oekraïense vluchtelingen –</w:t>
      </w:r>
      <w:r w:rsidR="009D2FE6">
        <w:t xml:space="preserve"> ongeacht of deze leerlingen al dan </w:t>
      </w:r>
      <w:r w:rsidR="004C1930">
        <w:t>niet leerplicht</w:t>
      </w:r>
      <w:r w:rsidR="00A81981">
        <w:t>ig</w:t>
      </w:r>
      <w:r w:rsidR="004C1930">
        <w:t xml:space="preserve"> zijn</w:t>
      </w:r>
      <w:r w:rsidR="00E43F0E">
        <w:t xml:space="preserve"> </w:t>
      </w:r>
      <w:r w:rsidR="00E43F0E">
        <w:rPr>
          <w:rStyle w:val="Voetnootmarkering"/>
        </w:rPr>
        <w:footnoteReference w:id="6"/>
      </w:r>
    </w:p>
    <w:p w14:paraId="47FFC77C" w14:textId="55644E35" w:rsidR="00442943" w:rsidRDefault="00911B2B">
      <w:pPr>
        <w:pStyle w:val="Lijstalinea"/>
        <w:numPr>
          <w:ilvl w:val="0"/>
          <w:numId w:val="2"/>
        </w:numPr>
        <w:ind w:left="0" w:firstLine="0"/>
        <w:contextualSpacing w:val="0"/>
        <w:jc w:val="both"/>
      </w:pPr>
      <w:r>
        <w:t>T</w:t>
      </w:r>
      <w:r w:rsidR="00F239E5">
        <w:t xml:space="preserve">en tweede </w:t>
      </w:r>
      <w:r>
        <w:t xml:space="preserve">beperkt het decreet de afwijkingsmogelijkheid voor schoolbesturen om anderstalige nieuwkomers in te schrijven op </w:t>
      </w:r>
      <w:r w:rsidR="00F33370">
        <w:t xml:space="preserve">basis van leeftijd in het secundair onderwijs. Een besluit van de </w:t>
      </w:r>
      <w:r w:rsidR="00264FAD">
        <w:t xml:space="preserve"> </w:t>
      </w:r>
      <w:r w:rsidR="00F33370">
        <w:t>Vlaamse Regering laat in principe toe dat voor inschrijvingen in het secundair onderwijs in beginsel wordt afgeweken van de voorwaarde dat de OKAN-leerling minstens twaalf jaar moet zijn.</w:t>
      </w:r>
      <w:r w:rsidR="00FB5F4D">
        <w:rPr>
          <w:rStyle w:val="Voetnootmarkering"/>
        </w:rPr>
        <w:footnoteReference w:id="7"/>
      </w:r>
      <w:r w:rsidR="00F33370">
        <w:t xml:space="preserve"> Deze mogelijkheid bestaat voor de Oekraïense leerlingen slechts indien ze elf jaar geworden zijn op het einde van het kalenderjaar waarin het betrokken schooljaar startte en de lesbijwoning start na de krokusvakantie.</w:t>
      </w:r>
      <w:r w:rsidR="00F33370">
        <w:rPr>
          <w:rStyle w:val="Voetnootmarkering"/>
        </w:rPr>
        <w:footnoteReference w:id="8"/>
      </w:r>
    </w:p>
    <w:p w14:paraId="4C43ADE2" w14:textId="77777777" w:rsidR="00BA7AFB" w:rsidRDefault="00BA7AFB" w:rsidP="00BA7AFB">
      <w:pPr>
        <w:pStyle w:val="Lijstalinea"/>
        <w:ind w:left="0"/>
        <w:contextualSpacing w:val="0"/>
        <w:jc w:val="both"/>
      </w:pPr>
    </w:p>
    <w:p w14:paraId="55B93904" w14:textId="47015082" w:rsidR="00BA7AFB" w:rsidRDefault="00BA7AFB" w:rsidP="00BA7AFB">
      <w:pPr>
        <w:pStyle w:val="Kop2"/>
      </w:pPr>
      <w:r>
        <w:t>Nooddecreet V (7 juli 2023)</w:t>
      </w:r>
    </w:p>
    <w:p w14:paraId="0D47F2EA" w14:textId="14FAD5B4" w:rsidR="00BA7AFB" w:rsidRDefault="00875DC7">
      <w:pPr>
        <w:pStyle w:val="Lijstalinea"/>
        <w:numPr>
          <w:ilvl w:val="0"/>
          <w:numId w:val="2"/>
        </w:numPr>
        <w:ind w:left="0" w:firstLine="0"/>
        <w:contextualSpacing w:val="0"/>
        <w:jc w:val="both"/>
      </w:pPr>
      <w:r>
        <w:t>Het vijfde Oekraïne-nooddecreet kent louter bepalingen die betrekking hebben op financiële maatregelen</w:t>
      </w:r>
      <w:r w:rsidR="00A81981">
        <w:t>, op een uitzondering na</w:t>
      </w:r>
      <w:r w:rsidR="003E558F">
        <w:t>.</w:t>
      </w:r>
      <w:r>
        <w:t xml:space="preserve"> </w:t>
      </w:r>
      <w:r w:rsidR="00A81981">
        <w:t>Deze maatregel houdt in dat w</w:t>
      </w:r>
      <w:r w:rsidR="007E52F2">
        <w:t>anneer de klassenraad wil afwijken van de leeftijdsvoorwaarden voor OKAN-leerlingen, ze dat ook</w:t>
      </w:r>
      <w:r w:rsidR="00A81981">
        <w:t xml:space="preserve"> kan</w:t>
      </w:r>
      <w:r w:rsidR="007E52F2">
        <w:t xml:space="preserve"> voor leerlingen die </w:t>
      </w:r>
      <w:r w:rsidR="005F4FB1">
        <w:t xml:space="preserve">reeds meerderjarig zijn. </w:t>
      </w:r>
      <w:r w:rsidR="007E52F2">
        <w:t>L</w:t>
      </w:r>
      <w:r>
        <w:t>eerlingen</w:t>
      </w:r>
      <w:r w:rsidR="007E52F2">
        <w:t xml:space="preserve"> die uiterlijk op 31 december van het lopende schooljaar achttien jaar </w:t>
      </w:r>
      <w:r w:rsidR="007E52F2">
        <w:lastRenderedPageBreak/>
        <w:t>geworden zijn en</w:t>
      </w:r>
      <w:r>
        <w:t xml:space="preserve"> die gestart zijn met een traject in het onthaalonderwijs</w:t>
      </w:r>
      <w:r w:rsidR="007E52F2">
        <w:t xml:space="preserve"> in het voorgaande</w:t>
      </w:r>
      <w:r w:rsidR="00F239E5">
        <w:t xml:space="preserve"> schooljaar</w:t>
      </w:r>
      <w:r w:rsidR="007E52F2">
        <w:t xml:space="preserve">, kunnen door de klassenraad toegelaten worden om dat traject </w:t>
      </w:r>
      <w:r w:rsidR="005F4FB1">
        <w:t>verder te zetten.</w:t>
      </w:r>
      <w:r w:rsidR="005F4FB1">
        <w:rPr>
          <w:rStyle w:val="Voetnootmarkering"/>
        </w:rPr>
        <w:footnoteReference w:id="9"/>
      </w:r>
    </w:p>
    <w:p w14:paraId="7797C087" w14:textId="77777777" w:rsidR="00442943" w:rsidRDefault="00442943" w:rsidP="00442943">
      <w:pPr>
        <w:pStyle w:val="Lijstalinea"/>
        <w:ind w:left="0"/>
        <w:contextualSpacing w:val="0"/>
        <w:jc w:val="both"/>
      </w:pPr>
    </w:p>
    <w:p w14:paraId="6B38A900" w14:textId="5B37638C" w:rsidR="004E546F" w:rsidRDefault="007D2479" w:rsidP="004E546F">
      <w:pPr>
        <w:pStyle w:val="Kop1"/>
      </w:pPr>
      <w:r>
        <w:t>Leerlingenpremie alternerende opleiding (23 december 2023)</w:t>
      </w:r>
    </w:p>
    <w:p w14:paraId="77224FF7" w14:textId="28351749" w:rsidR="004E546F" w:rsidRDefault="007D2479">
      <w:pPr>
        <w:pStyle w:val="Lijstalinea"/>
        <w:numPr>
          <w:ilvl w:val="0"/>
          <w:numId w:val="2"/>
        </w:numPr>
        <w:ind w:left="0" w:firstLine="0"/>
        <w:contextualSpacing w:val="0"/>
        <w:jc w:val="both"/>
      </w:pPr>
      <w:r>
        <w:t>Bij decreet van 23 december 2023 heeft de Vlaamse decreetgever de incentives voor ondernemingen in het kader van het werkplekleren vereenvoudigd. Verschillende incentives worden opgeheven (de start- en stagebonus, de mentorkorting en, de doelgroepenverminderingen voor leerlingen alternerende opleiding en deze voor deeltijds werkende jongeren uit het deeltijds beroepsonderwijs</w:t>
      </w:r>
      <w:r w:rsidR="00F239E5">
        <w:t>)</w:t>
      </w:r>
      <w:r>
        <w:t xml:space="preserve">. Op deze bepalingen gaan we niet nader in. Het decreet voert daarnaast voor leerlingen </w:t>
      </w:r>
      <w:r w:rsidR="00675066">
        <w:t xml:space="preserve">een leerlingenpremie alternerende opleiding in. </w:t>
      </w:r>
      <w:r w:rsidR="00F838A6">
        <w:t xml:space="preserve">Een leerling </w:t>
      </w:r>
      <w:r w:rsidR="00507849">
        <w:t xml:space="preserve">maakt aanspraak op de premie indien </w:t>
      </w:r>
      <w:r w:rsidR="00F838A6">
        <w:t>die zijn hoofdverblijfplaats heeft in het Vlaams Gewest</w:t>
      </w:r>
      <w:r w:rsidR="00507849">
        <w:t xml:space="preserve">, een overeenkomst heeft van een alternerende opleiding, gedurende minstens vier maanden in een schooljaar op de werkplek </w:t>
      </w:r>
      <w:r w:rsidR="00A81981">
        <w:t xml:space="preserve">is </w:t>
      </w:r>
      <w:r w:rsidR="00507849">
        <w:t>en</w:t>
      </w:r>
      <w:r w:rsidR="004A476A">
        <w:t>,</w:t>
      </w:r>
      <w:r w:rsidR="00507849">
        <w:t xml:space="preserve"> maximaal twee</w:t>
      </w:r>
      <w:r w:rsidR="004A476A">
        <w:t xml:space="preserve"> keer een leerlingenpremie alternerende opleiding of een startbonus heeft ontvangen.</w:t>
      </w:r>
      <w:r w:rsidR="004E546F">
        <w:rPr>
          <w:rStyle w:val="Voetnootmarkering"/>
        </w:rPr>
        <w:footnoteReference w:id="10"/>
      </w:r>
    </w:p>
    <w:p w14:paraId="73A88055" w14:textId="77777777" w:rsidR="004E546F" w:rsidRDefault="004E546F" w:rsidP="00442943">
      <w:pPr>
        <w:pStyle w:val="Lijstalinea"/>
        <w:ind w:left="0"/>
        <w:contextualSpacing w:val="0"/>
        <w:jc w:val="both"/>
      </w:pPr>
    </w:p>
    <w:p w14:paraId="14D8E5BD" w14:textId="50292ECD" w:rsidR="00442943" w:rsidRDefault="00442943" w:rsidP="00442943">
      <w:pPr>
        <w:pStyle w:val="Kop1"/>
      </w:pPr>
      <w:r>
        <w:t>Leerlingenbegeleiding in het basisonderwijs (3 februari 2023)</w:t>
      </w:r>
    </w:p>
    <w:p w14:paraId="6BE09860" w14:textId="51B5268D" w:rsidR="00442943" w:rsidRDefault="008121E5">
      <w:pPr>
        <w:pStyle w:val="Lijstalinea"/>
        <w:numPr>
          <w:ilvl w:val="0"/>
          <w:numId w:val="2"/>
        </w:numPr>
        <w:ind w:left="0" w:firstLine="0"/>
        <w:contextualSpacing w:val="0"/>
        <w:jc w:val="both"/>
      </w:pPr>
      <w:r>
        <w:t xml:space="preserve">Het decreet van 3 februari 2023 schrapt een aantal verplichte </w:t>
      </w:r>
      <w:r w:rsidR="00A81981">
        <w:t>tussenkomsten</w:t>
      </w:r>
      <w:r>
        <w:t xml:space="preserve"> of adviezen van </w:t>
      </w:r>
      <w:r w:rsidR="00F239E5">
        <w:t>de</w:t>
      </w:r>
      <w:r>
        <w:t xml:space="preserve"> centr</w:t>
      </w:r>
      <w:r w:rsidR="00F239E5">
        <w:t>a</w:t>
      </w:r>
      <w:r>
        <w:t xml:space="preserve"> voor leerlingenbegeleiding</w:t>
      </w:r>
      <w:r w:rsidR="00AE476B">
        <w:t xml:space="preserve"> (CLB)</w:t>
      </w:r>
      <w:r>
        <w:t xml:space="preserve"> in de context van het lager onderwijs:</w:t>
      </w:r>
    </w:p>
    <w:p w14:paraId="0D2560BE" w14:textId="115EAAB7" w:rsidR="008121E5" w:rsidRDefault="008121E5">
      <w:pPr>
        <w:pStyle w:val="Lijstalinea"/>
        <w:numPr>
          <w:ilvl w:val="0"/>
          <w:numId w:val="3"/>
        </w:numPr>
        <w:contextualSpacing w:val="0"/>
        <w:jc w:val="both"/>
      </w:pPr>
      <w:r>
        <w:t xml:space="preserve">Wanneer een school besluit om het leerproces van een leerling te onderbreken – </w:t>
      </w:r>
      <w:r>
        <w:rPr>
          <w:i/>
          <w:iCs/>
        </w:rPr>
        <w:t>i.e.</w:t>
      </w:r>
      <w:r>
        <w:t xml:space="preserve"> de leerlingen een jaar laten overdoen – dan moet niet meer overlegd worden </w:t>
      </w:r>
      <w:r w:rsidR="00AE476B">
        <w:t>met het CLB.</w:t>
      </w:r>
    </w:p>
    <w:p w14:paraId="1942E13E" w14:textId="412260FD" w:rsidR="00AE476B" w:rsidRDefault="00AE476B">
      <w:pPr>
        <w:pStyle w:val="Lijstalinea"/>
        <w:numPr>
          <w:ilvl w:val="0"/>
          <w:numId w:val="3"/>
        </w:numPr>
        <w:contextualSpacing w:val="0"/>
        <w:jc w:val="both"/>
      </w:pPr>
      <w:r>
        <w:t xml:space="preserve">Wanneer een leerling langer moet blijven in het gewoon of buitengewoon </w:t>
      </w:r>
      <w:r w:rsidR="003D138B">
        <w:t>kleuter</w:t>
      </w:r>
      <w:r>
        <w:t>onderwijs, is geen advies van het CLB meer nodig.</w:t>
      </w:r>
    </w:p>
    <w:p w14:paraId="5291DD57" w14:textId="17B9AE76" w:rsidR="00AE476B" w:rsidRDefault="004C227C">
      <w:pPr>
        <w:pStyle w:val="Lijstalinea"/>
        <w:numPr>
          <w:ilvl w:val="0"/>
          <w:numId w:val="3"/>
        </w:numPr>
        <w:contextualSpacing w:val="0"/>
        <w:jc w:val="both"/>
      </w:pPr>
      <w:r>
        <w:t>E</w:t>
      </w:r>
      <w:r w:rsidR="00AE476B">
        <w:t>en leerling die zes jaar wordt voor 1 januari van het lopende schooljaar en in het vorige schooljaar niet ingeschreven was in een erkende school voor gewoon of buitengewoon kleuteronderwijs, kan nog een jaar ingeschreven worden in het kleuteronderwijs zonder advies van het CLB.</w:t>
      </w:r>
    </w:p>
    <w:p w14:paraId="465AC24B" w14:textId="12C254A8" w:rsidR="004C227C" w:rsidRDefault="004C227C">
      <w:pPr>
        <w:pStyle w:val="Lijstalinea"/>
        <w:numPr>
          <w:ilvl w:val="0"/>
          <w:numId w:val="3"/>
        </w:numPr>
        <w:contextualSpacing w:val="0"/>
        <w:jc w:val="both"/>
      </w:pPr>
      <w:r>
        <w:t>Een leerling die de leeftijd van zes jaar niet bereikt heeft voor 1 januari van het lopende schooljaar, kan worden toegelaten tot het gewoon of buitengewoon lager onderwijs zonder advies van het CLB.</w:t>
      </w:r>
    </w:p>
    <w:p w14:paraId="77CB8919" w14:textId="1A75AE5C" w:rsidR="004C227C" w:rsidRDefault="004C227C">
      <w:pPr>
        <w:pStyle w:val="Lijstalinea"/>
        <w:numPr>
          <w:ilvl w:val="0"/>
          <w:numId w:val="3"/>
        </w:numPr>
        <w:contextualSpacing w:val="0"/>
        <w:jc w:val="both"/>
      </w:pPr>
      <w:r>
        <w:lastRenderedPageBreak/>
        <w:t>Een leerling die veertien jaar wordt voor 1 januari van het lopende schooljaar, kan nog een jaar gewoon of buitengewoon lager onderwijs volgen zonder advies van het CLB.</w:t>
      </w:r>
      <w:r>
        <w:rPr>
          <w:rStyle w:val="Voetnootmarkering"/>
        </w:rPr>
        <w:footnoteReference w:id="11"/>
      </w:r>
    </w:p>
    <w:p w14:paraId="4A049A4C" w14:textId="77777777" w:rsidR="00442943" w:rsidRDefault="00442943" w:rsidP="00442943">
      <w:pPr>
        <w:pStyle w:val="Lijstalinea"/>
        <w:ind w:left="0"/>
        <w:contextualSpacing w:val="0"/>
        <w:jc w:val="both"/>
      </w:pPr>
    </w:p>
    <w:p w14:paraId="77F35DDF" w14:textId="4BA87BAA" w:rsidR="00442943" w:rsidRDefault="00D515E3" w:rsidP="00BA79E2">
      <w:pPr>
        <w:pStyle w:val="Kop1"/>
      </w:pPr>
      <w:r>
        <w:t>Integratie</w:t>
      </w:r>
      <w:r w:rsidR="00442943">
        <w:t xml:space="preserve"> van de Raad voor Betwistingen inzake Studievoortgangsbeslissingen</w:t>
      </w:r>
      <w:r w:rsidR="00551CA3">
        <w:t xml:space="preserve"> in de DBRC</w:t>
      </w:r>
      <w:r w:rsidR="00442943">
        <w:t xml:space="preserve"> (17 maart 2023)</w:t>
      </w:r>
    </w:p>
    <w:p w14:paraId="5B67675D" w14:textId="7B9C723B" w:rsidR="00BA79E2" w:rsidRDefault="00ED253F" w:rsidP="00A81981">
      <w:pPr>
        <w:pStyle w:val="Lijstalinea"/>
        <w:numPr>
          <w:ilvl w:val="0"/>
          <w:numId w:val="2"/>
        </w:numPr>
        <w:ind w:left="0" w:firstLine="0"/>
        <w:contextualSpacing w:val="0"/>
        <w:jc w:val="both"/>
      </w:pPr>
      <w:r>
        <w:t xml:space="preserve">Dat de Raad voor Betwistingen inzake Studievoortgangsbeslissingen (hierna: de Raad) zou </w:t>
      </w:r>
      <w:r w:rsidR="00D515E3">
        <w:t>geïntegreerd</w:t>
      </w:r>
      <w:r>
        <w:t xml:space="preserve"> worden in de Dienst van de Bestuursrechtscolleges (DBRC) was aangekondigd in het Vlaamse Regeerakkoord 2019-2024.</w:t>
      </w:r>
      <w:r w:rsidR="00153754">
        <w:t xml:space="preserve"> In het afgelopen jaar is die politieke aankondiging ook verwezenlijkt</w:t>
      </w:r>
      <w:r w:rsidR="00A81981">
        <w:t xml:space="preserve">. </w:t>
      </w:r>
      <w:r w:rsidR="00373CB6">
        <w:t xml:space="preserve">De integratie van de Raad in de DBRC betekent </w:t>
      </w:r>
      <w:r w:rsidR="00A81981">
        <w:t>vooreerst</w:t>
      </w:r>
      <w:r w:rsidR="00373CB6">
        <w:t xml:space="preserve"> dat tal van bepalingen uit de Codex Hoger Onderwijs die </w:t>
      </w:r>
      <w:r w:rsidR="00D515E3">
        <w:t>de organisatie van de procedure voor de Raad regelden</w:t>
      </w:r>
      <w:r w:rsidR="00166DFB">
        <w:t>, worden opgeheven</w:t>
      </w:r>
      <w:r w:rsidR="00373CB6">
        <w:t>.</w:t>
      </w:r>
      <w:r w:rsidR="00373CB6">
        <w:rPr>
          <w:rStyle w:val="Voetnootmarkering"/>
        </w:rPr>
        <w:footnoteReference w:id="12"/>
      </w:r>
      <w:r w:rsidR="00D515E3">
        <w:t xml:space="preserve"> Tezelfdertijd vereist de integratie ook dat het decreet van 4 april 2014 betreffende de organisatie en de rechtspleging van sommige Vlaamse bestuursrechtscolleges wordt aangepast.</w:t>
      </w:r>
      <w:r w:rsidR="00D515E3">
        <w:rPr>
          <w:rStyle w:val="Voetnootmarkering"/>
        </w:rPr>
        <w:footnoteReference w:id="13"/>
      </w:r>
      <w:r w:rsidR="00D515E3">
        <w:t xml:space="preserve"> </w:t>
      </w:r>
      <w:r w:rsidR="00482435">
        <w:t xml:space="preserve">Een aantal algemene regels </w:t>
      </w:r>
      <w:r w:rsidR="007B494A">
        <w:t>die gelden voor (een aantal van) de rechtscolleges van de DBRC, zoals de regels inzake de aanstelling van de voorzitter en de regels inzake de rechtspleging voor de rechtscolleges voor de DBRC, worden ook van toepassing verklaard op de Raad.</w:t>
      </w:r>
      <w:r w:rsidR="007B494A">
        <w:rPr>
          <w:rStyle w:val="Voetnootmarkering"/>
        </w:rPr>
        <w:footnoteReference w:id="14"/>
      </w:r>
    </w:p>
    <w:p w14:paraId="3134C475" w14:textId="7E9B39B1" w:rsidR="007B494A" w:rsidRDefault="00C47C9B">
      <w:pPr>
        <w:pStyle w:val="Lijstalinea"/>
        <w:numPr>
          <w:ilvl w:val="0"/>
          <w:numId w:val="2"/>
        </w:numPr>
        <w:ind w:left="0" w:firstLine="0"/>
        <w:contextualSpacing w:val="0"/>
        <w:jc w:val="both"/>
      </w:pPr>
      <w:r>
        <w:t>Uit de integratie volgt dat er bij de Raad effectieve bestuursrechters worden aangesteld wiens voornaamste opdracht bij de Raad zal liggen.</w:t>
      </w:r>
      <w:r>
        <w:rPr>
          <w:rStyle w:val="Voetnootmarkering"/>
        </w:rPr>
        <w:footnoteReference w:id="15"/>
      </w:r>
      <w:r>
        <w:t xml:space="preserve"> De decreetgever voorziet daarnaast ook in aanvullende bestuursrechters die kunnen optreden wanneer er onverenigbaarheden gelden ten opzichte van de effectieve.</w:t>
      </w:r>
      <w:r>
        <w:rPr>
          <w:rStyle w:val="Voetnootmarkering"/>
        </w:rPr>
        <w:footnoteReference w:id="16"/>
      </w:r>
      <w:r>
        <w:t xml:space="preserve"> De bijzitters blijven behouden, al worden deze niet meer benoemd op voordracht van de koepels van de instellingen voor hoger onderwijs</w:t>
      </w:r>
      <w:r w:rsidR="002A7E21">
        <w:t xml:space="preserve"> maar op voordracht van de algemene vergadering van de DBRC</w:t>
      </w:r>
      <w:r>
        <w:t>.</w:t>
      </w:r>
      <w:r w:rsidR="002A7E21">
        <w:rPr>
          <w:rStyle w:val="Voetnootmarkering"/>
        </w:rPr>
        <w:footnoteReference w:id="17"/>
      </w:r>
    </w:p>
    <w:p w14:paraId="5CF8266E" w14:textId="77777777" w:rsidR="00BA79E2" w:rsidRDefault="00BA79E2" w:rsidP="00BA79E2">
      <w:pPr>
        <w:pStyle w:val="Lijstalinea"/>
        <w:ind w:left="0"/>
        <w:contextualSpacing w:val="0"/>
        <w:jc w:val="both"/>
      </w:pPr>
    </w:p>
    <w:p w14:paraId="5D9FD245" w14:textId="62B8FCE1" w:rsidR="00BA79E2" w:rsidRDefault="00C85A9F" w:rsidP="00BA79E2">
      <w:pPr>
        <w:pStyle w:val="Kop1"/>
      </w:pPr>
      <w:r>
        <w:t>Hybride onderwijs (24 maart 2023)</w:t>
      </w:r>
    </w:p>
    <w:p w14:paraId="04335FA3" w14:textId="77398A5C" w:rsidR="00AF4974" w:rsidRDefault="00FA313B">
      <w:pPr>
        <w:pStyle w:val="Lijstalinea"/>
        <w:numPr>
          <w:ilvl w:val="0"/>
          <w:numId w:val="2"/>
        </w:numPr>
        <w:ind w:left="0" w:firstLine="0"/>
        <w:contextualSpacing w:val="0"/>
        <w:jc w:val="both"/>
      </w:pPr>
      <w:r>
        <w:t>Tijdens</w:t>
      </w:r>
      <w:r w:rsidR="00C85A9F">
        <w:t xml:space="preserve"> de COVID-19 pandemie</w:t>
      </w:r>
      <w:r>
        <w:t xml:space="preserve"> </w:t>
      </w:r>
      <w:r w:rsidR="00166DFB">
        <w:t>zijn</w:t>
      </w:r>
      <w:r>
        <w:t xml:space="preserve"> de potentiële voordelen van afstandsonderwijs duidelijk geworden. Een decretaal kader daarvoor ontbrak echter</w:t>
      </w:r>
      <w:r w:rsidR="009E0D33">
        <w:t xml:space="preserve"> vooralsnog</w:t>
      </w:r>
      <w:r>
        <w:t xml:space="preserve">. Met het decreet van 24 maart 2023 heeft de decreetgever zulk kader voorzien voor het </w:t>
      </w:r>
      <w:r w:rsidR="003E5EBF">
        <w:t>secundair onderwijs.</w:t>
      </w:r>
      <w:r w:rsidR="009233BE">
        <w:t xml:space="preserve"> </w:t>
      </w:r>
      <w:r w:rsidR="009E0D33">
        <w:t>Naast het reguliere contactonderwijs, definieert dit decreet</w:t>
      </w:r>
      <w:r w:rsidR="00CF23C7">
        <w:t xml:space="preserve"> ‘interactief afstandsonderwijs’. Dit is onderwijs dat bestaat uit </w:t>
      </w:r>
      <w:r w:rsidR="00AF4974">
        <w:t>‘</w:t>
      </w:r>
      <w:r w:rsidR="00CF23C7" w:rsidRPr="0057699F">
        <w:rPr>
          <w:i/>
          <w:iCs/>
        </w:rPr>
        <w:t xml:space="preserve">onderwijsactiviteiten die via digitale media </w:t>
      </w:r>
      <w:proofErr w:type="spellStart"/>
      <w:r w:rsidR="00CF23C7" w:rsidRPr="0057699F">
        <w:rPr>
          <w:i/>
          <w:iCs/>
        </w:rPr>
        <w:t>plaatsonafhankelijk</w:t>
      </w:r>
      <w:proofErr w:type="spellEnd"/>
      <w:r w:rsidR="00CF23C7" w:rsidRPr="0057699F">
        <w:rPr>
          <w:i/>
          <w:iCs/>
        </w:rPr>
        <w:t xml:space="preserve"> worden georganiseerd tijdens de schooltijd en waarbij er interactie is tussen de leerling en de leerkracht, synchroon of asynchroon</w:t>
      </w:r>
      <w:r w:rsidR="00CF23C7">
        <w:t>’.</w:t>
      </w:r>
      <w:r w:rsidR="00CF23C7">
        <w:rPr>
          <w:rStyle w:val="Voetnootmarkering"/>
        </w:rPr>
        <w:footnoteReference w:id="18"/>
      </w:r>
      <w:r w:rsidR="00CF23C7">
        <w:t xml:space="preserve"> </w:t>
      </w:r>
    </w:p>
    <w:p w14:paraId="010B03D8" w14:textId="191CA20F" w:rsidR="00C85A9F" w:rsidRDefault="009233BE">
      <w:pPr>
        <w:pStyle w:val="Lijstalinea"/>
        <w:numPr>
          <w:ilvl w:val="0"/>
          <w:numId w:val="2"/>
        </w:numPr>
        <w:ind w:left="0" w:firstLine="0"/>
        <w:contextualSpacing w:val="0"/>
        <w:jc w:val="both"/>
      </w:pPr>
      <w:r>
        <w:t xml:space="preserve">Dit interactief afstandsonderwijs wordt </w:t>
      </w:r>
      <w:r w:rsidR="00AF4974">
        <w:t xml:space="preserve">in het voltijds secundair onderwijs en in het buitengewoon secundair onderwijs opleidingsvormen 3 en 4 </w:t>
      </w:r>
      <w:r>
        <w:t>aangeboden aan een leerlingengroep</w:t>
      </w:r>
      <w:r w:rsidR="00AF4974">
        <w:t>, behalve in de aanloopstructuuronderdelen</w:t>
      </w:r>
      <w:r>
        <w:t xml:space="preserve">. </w:t>
      </w:r>
      <w:r w:rsidR="00EB2010">
        <w:t xml:space="preserve">In de eerste graad kan tot 20% van de onderwijstijd op </w:t>
      </w:r>
      <w:r w:rsidR="00EB2010">
        <w:lastRenderedPageBreak/>
        <w:t xml:space="preserve">deze wijze worden ingevuld, in de tweede en derde graad tot 30% respectievelijk 40%. </w:t>
      </w:r>
      <w:r w:rsidR="00166DFB">
        <w:t xml:space="preserve">Slechts uitzonderlijk kan een school of centrum </w:t>
      </w:r>
      <w:r w:rsidR="009E0D33">
        <w:t>interactief</w:t>
      </w:r>
      <w:r w:rsidR="00166DFB">
        <w:t xml:space="preserve"> afstandsonderwijs organiseren voor een individuele leerling. </w:t>
      </w:r>
      <w:r w:rsidR="00AF4974">
        <w:t>Dit kan eveneens in</w:t>
      </w:r>
      <w:r w:rsidR="00EB2010">
        <w:t xml:space="preserve"> het buitengewoon secundair onderwijs,</w:t>
      </w:r>
      <w:r w:rsidR="00AF4974">
        <w:t xml:space="preserve"> de aanloopstructuuronderdelen, het stelsel van leren en werken,</w:t>
      </w:r>
      <w:r w:rsidR="00550D10">
        <w:t xml:space="preserve"> en</w:t>
      </w:r>
      <w:r w:rsidR="00AF4974">
        <w:t xml:space="preserve"> het deeltijds beroepssecundair onderwijs.</w:t>
      </w:r>
      <w:r w:rsidR="00EB2010">
        <w:t xml:space="preserve"> Wanneer het interactief afstandsonderwijs individueel wordt aangeboden, gelden de maxima niet.</w:t>
      </w:r>
      <w:r w:rsidR="00EB2010">
        <w:rPr>
          <w:rStyle w:val="Voetnootmarkering"/>
        </w:rPr>
        <w:footnoteReference w:id="19"/>
      </w:r>
    </w:p>
    <w:p w14:paraId="46A93BE2" w14:textId="24CE97D0" w:rsidR="00E56DD8" w:rsidRDefault="00E56DD8">
      <w:pPr>
        <w:pStyle w:val="Lijstalinea"/>
        <w:numPr>
          <w:ilvl w:val="0"/>
          <w:numId w:val="2"/>
        </w:numPr>
        <w:ind w:left="0" w:firstLine="0"/>
        <w:contextualSpacing w:val="0"/>
        <w:jc w:val="both"/>
      </w:pPr>
      <w:r>
        <w:t xml:space="preserve">Een </w:t>
      </w:r>
      <w:r w:rsidR="004D2C1C">
        <w:t>school</w:t>
      </w:r>
      <w:r w:rsidR="009E0D33">
        <w:t xml:space="preserve">, </w:t>
      </w:r>
      <w:r w:rsidR="00550D10">
        <w:t>een</w:t>
      </w:r>
      <w:r w:rsidR="004D2C1C">
        <w:t xml:space="preserve"> centrum voor deeltijds beroepssecundair onderwijs of een centrum voor </w:t>
      </w:r>
      <w:r w:rsidR="009233BE">
        <w:t xml:space="preserve">vorming van zelfstandigen en </w:t>
      </w:r>
      <w:proofErr w:type="spellStart"/>
      <w:r w:rsidR="009233BE">
        <w:t>KMO’s</w:t>
      </w:r>
      <w:proofErr w:type="spellEnd"/>
      <w:r w:rsidR="009233BE">
        <w:t xml:space="preserve"> dat interactief afstandsonderwijs wil aanbieden, </w:t>
      </w:r>
      <w:r w:rsidR="007B34A0">
        <w:t xml:space="preserve">moet aan een aantal voorwaarden voldoen. De school of </w:t>
      </w:r>
      <w:r w:rsidR="00550D10">
        <w:t xml:space="preserve">het </w:t>
      </w:r>
      <w:r w:rsidR="007B34A0">
        <w:t xml:space="preserve">centrum moet </w:t>
      </w:r>
      <w:r w:rsidR="009E0D33">
        <w:t xml:space="preserve">vooreerst </w:t>
      </w:r>
      <w:r w:rsidR="00550D10">
        <w:t>een</w:t>
      </w:r>
      <w:r w:rsidR="007B34A0">
        <w:t xml:space="preserve"> analyse maken van de </w:t>
      </w:r>
      <w:r w:rsidR="00550D10">
        <w:t>begin</w:t>
      </w:r>
      <w:r w:rsidR="007B34A0">
        <w:t xml:space="preserve">situatie met minstens aandacht voor de beschikbaarheid en kennis van de benodigde ICT-materialen en </w:t>
      </w:r>
      <w:r w:rsidR="00550D10">
        <w:t>-</w:t>
      </w:r>
      <w:r w:rsidR="007B34A0">
        <w:t>competenties bij de leerlingen en leerkrachten voor ze begint met het interactief afstandsonderwijs. Ze moet eveneens een visie</w:t>
      </w:r>
      <w:r w:rsidR="00624C80">
        <w:t xml:space="preserve"> op het interactief afstandsonderwijs</w:t>
      </w:r>
      <w:r w:rsidR="007B34A0">
        <w:t xml:space="preserve"> </w:t>
      </w:r>
      <w:r w:rsidR="00624C80">
        <w:t>en de bijhorende doelen</w:t>
      </w:r>
      <w:r w:rsidR="00550D10" w:rsidRPr="00550D10">
        <w:t xml:space="preserve"> </w:t>
      </w:r>
      <w:r w:rsidR="00550D10">
        <w:t>ontwikkelen</w:t>
      </w:r>
      <w:r w:rsidR="009E0D33">
        <w:t>. D</w:t>
      </w:r>
      <w:r w:rsidR="00624C80">
        <w:t xml:space="preserve">e participatiekansen voor iedere leerling moeten </w:t>
      </w:r>
      <w:r w:rsidR="009E0D33">
        <w:t xml:space="preserve">bovendien </w:t>
      </w:r>
      <w:r w:rsidR="00624C80">
        <w:t>gewaarborgd zijn. Dit houdt in dat een leerling het afstandsonderwijs op school moet kunnen volgen</w:t>
      </w:r>
      <w:r w:rsidR="00550D10">
        <w:t>.</w:t>
      </w:r>
      <w:r w:rsidR="00624C80">
        <w:t xml:space="preserve"> </w:t>
      </w:r>
      <w:r w:rsidR="00550D10">
        <w:t>D</w:t>
      </w:r>
      <w:r w:rsidR="00624C80">
        <w:t xml:space="preserve">e leraar </w:t>
      </w:r>
      <w:r w:rsidR="009E0D33">
        <w:t xml:space="preserve">op diens beurt </w:t>
      </w:r>
      <w:r w:rsidR="00550D10">
        <w:t xml:space="preserve">moet </w:t>
      </w:r>
      <w:r w:rsidR="00624C80">
        <w:t xml:space="preserve">het </w:t>
      </w:r>
      <w:r w:rsidR="00550D10">
        <w:t>onderwijs op school</w:t>
      </w:r>
      <w:r w:rsidR="00624C80">
        <w:t xml:space="preserve"> kunnen </w:t>
      </w:r>
      <w:r w:rsidR="00550D10">
        <w:t>gev</w:t>
      </w:r>
      <w:r w:rsidR="00624C80">
        <w:t>en.</w:t>
      </w:r>
      <w:r w:rsidR="00624C80">
        <w:rPr>
          <w:rStyle w:val="Voetnootmarkering"/>
        </w:rPr>
        <w:footnoteReference w:id="20"/>
      </w:r>
      <w:r w:rsidR="00624C80">
        <w:t xml:space="preserve"> De school of het centrum moet verder in het school of- centrumreglement de principes met betrekking tot de evaluatie van de leerstofonderdelen die dusdanig worden aangeboden, verduidelijken.</w:t>
      </w:r>
      <w:r w:rsidR="00624C80">
        <w:rPr>
          <w:rStyle w:val="Voetnootmarkering"/>
        </w:rPr>
        <w:footnoteReference w:id="21"/>
      </w:r>
      <w:r w:rsidR="00624C80">
        <w:t xml:space="preserve"> Eveneens de mogelijkheid om het afstandsonderwijs in de school te volgen, de structuuronderdelen in dewelke het wordt georganiseerd en of dit collectief dan wel individueel is, worden in het reglement vermeld.</w:t>
      </w:r>
      <w:r w:rsidR="00624C80">
        <w:rPr>
          <w:rStyle w:val="Voetnootmarkering"/>
        </w:rPr>
        <w:footnoteReference w:id="22"/>
      </w:r>
      <w:r w:rsidR="00773F9C">
        <w:t xml:space="preserve"> De wijze waarop personeelsleden worden ingezet </w:t>
      </w:r>
      <w:r w:rsidR="00550D10">
        <w:t>moet</w:t>
      </w:r>
      <w:r w:rsidR="00773F9C">
        <w:t xml:space="preserve"> in het arbeidsreglement </w:t>
      </w:r>
      <w:r w:rsidR="00550D10">
        <w:t xml:space="preserve">worden </w:t>
      </w:r>
      <w:r w:rsidR="00773F9C">
        <w:t>vastgelegd.</w:t>
      </w:r>
      <w:r w:rsidR="00773F9C">
        <w:rPr>
          <w:rStyle w:val="Voetnootmarkering"/>
        </w:rPr>
        <w:footnoteReference w:id="23"/>
      </w:r>
    </w:p>
    <w:p w14:paraId="5896F8BF" w14:textId="77777777" w:rsidR="00C85A9F" w:rsidRDefault="00C85A9F" w:rsidP="00C85A9F">
      <w:pPr>
        <w:pStyle w:val="Lijstalinea"/>
        <w:ind w:left="0"/>
        <w:contextualSpacing w:val="0"/>
        <w:jc w:val="both"/>
      </w:pPr>
    </w:p>
    <w:p w14:paraId="2BDB89EF" w14:textId="5C7B92EF" w:rsidR="00C85A9F" w:rsidRDefault="00C85A9F" w:rsidP="00C85A9F">
      <w:pPr>
        <w:pStyle w:val="Kop1"/>
      </w:pPr>
      <w:r>
        <w:t xml:space="preserve">Transitie van personeelsleden </w:t>
      </w:r>
      <w:r w:rsidR="001D005F">
        <w:t xml:space="preserve">van internaten </w:t>
      </w:r>
      <w:r>
        <w:t>van Onderwijs naar Welzijn (28 april 2023)</w:t>
      </w:r>
    </w:p>
    <w:p w14:paraId="6CC4FEC2" w14:textId="093641B1" w:rsidR="00C85A9F" w:rsidRDefault="009F68D1">
      <w:pPr>
        <w:pStyle w:val="Lijstalinea"/>
        <w:numPr>
          <w:ilvl w:val="0"/>
          <w:numId w:val="2"/>
        </w:numPr>
        <w:ind w:left="0" w:firstLine="0"/>
        <w:contextualSpacing w:val="0"/>
        <w:jc w:val="both"/>
      </w:pPr>
      <w:r>
        <w:t xml:space="preserve">Verschillende internaten bevonden zich juridisch in een aparte situatie. Ze boden immers plaats aan jongeren die er zowel verbleven vanuit </w:t>
      </w:r>
      <w:proofErr w:type="spellStart"/>
      <w:r>
        <w:t>onderwijsinternaatsoverwegingen</w:t>
      </w:r>
      <w:proofErr w:type="spellEnd"/>
      <w:r>
        <w:t xml:space="preserve"> als vanuit welzijnsoverwegingen. Om tot een gelijkwaardige financiering te komen van deze instellingen als andere welzijnsinstellingen voor jongeren, </w:t>
      </w:r>
      <w:r w:rsidR="00550D10">
        <w:t>werden</w:t>
      </w:r>
      <w:r w:rsidR="001858C0">
        <w:t xml:space="preserve"> zij overgedragen van het beleidsdomein Onderwijs aan het beleidsdomein Welzijn. In de vorige kroniek kwam al het decreet aan bod dat de overdracht van deze instellingen regelde.</w:t>
      </w:r>
      <w:r w:rsidR="00911256">
        <w:rPr>
          <w:rStyle w:val="Voetnootmarkering"/>
        </w:rPr>
        <w:footnoteReference w:id="24"/>
      </w:r>
      <w:r w:rsidR="001858C0">
        <w:t xml:space="preserve"> </w:t>
      </w:r>
      <w:r w:rsidR="00911256">
        <w:t>Het personeelsstatuut in Welzijn verschilt evenwel van da</w:t>
      </w:r>
      <w:r w:rsidR="001D005F">
        <w:t>t in Onderwijs. Dit decreet – waar we niet nader op ingaan – regelt de overgang van de personeelsleden van de internaten die de overgang maken van Onderwijs naar Welzijn.</w:t>
      </w:r>
      <w:r w:rsidR="001D005F">
        <w:rPr>
          <w:rStyle w:val="Voetnootmarkering"/>
        </w:rPr>
        <w:footnoteReference w:id="25"/>
      </w:r>
    </w:p>
    <w:p w14:paraId="6E97CE38" w14:textId="77777777" w:rsidR="00C85A9F" w:rsidRDefault="00C85A9F" w:rsidP="00C85A9F">
      <w:pPr>
        <w:pStyle w:val="Lijstalinea"/>
        <w:ind w:left="0"/>
        <w:contextualSpacing w:val="0"/>
        <w:jc w:val="both"/>
      </w:pPr>
    </w:p>
    <w:p w14:paraId="348DD214" w14:textId="503815C6" w:rsidR="00C85A9F" w:rsidRDefault="00C85A9F" w:rsidP="00C85A9F">
      <w:pPr>
        <w:pStyle w:val="Kop1"/>
      </w:pPr>
      <w:r>
        <w:t>Vlaamse toetsen (28 april 2023)</w:t>
      </w:r>
    </w:p>
    <w:p w14:paraId="1776ADDF" w14:textId="1005D2DC" w:rsidR="00FD367A" w:rsidRDefault="00646690">
      <w:pPr>
        <w:pStyle w:val="Lijstalinea"/>
        <w:numPr>
          <w:ilvl w:val="0"/>
          <w:numId w:val="2"/>
        </w:numPr>
        <w:ind w:left="0" w:firstLine="0"/>
        <w:contextualSpacing w:val="0"/>
        <w:jc w:val="both"/>
      </w:pPr>
      <w:r>
        <w:lastRenderedPageBreak/>
        <w:t xml:space="preserve">Een belangrijke – en door verschillende onderwijsactoren sterk gecontesteerde – vernieuwing die de decreetgever heeft ingevoerd in het voorbije schooljaar, </w:t>
      </w:r>
      <w:r w:rsidR="00DB6C19">
        <w:t>zijn de Vlaamse toetsen.</w:t>
      </w:r>
      <w:r w:rsidR="00CD0DCF">
        <w:t xml:space="preserve"> Dit zijn gestandaardiseerde, genormeerde en gevalideerde, net- en </w:t>
      </w:r>
      <w:proofErr w:type="spellStart"/>
      <w:r w:rsidR="00CD0DCF">
        <w:t>koepeloverschrijdende</w:t>
      </w:r>
      <w:proofErr w:type="spellEnd"/>
      <w:r w:rsidR="00CD0DCF">
        <w:t xml:space="preserve"> toetsen.</w:t>
      </w:r>
      <w:r w:rsidR="00CD0DCF">
        <w:rPr>
          <w:rStyle w:val="Voetnootmarkering"/>
        </w:rPr>
        <w:footnoteReference w:id="26"/>
      </w:r>
      <w:r w:rsidR="00D50BA2">
        <w:t xml:space="preserve"> Deze worden afgenomen op het einde van het vierde en zesde leerjaar van het lager onderwijs vanaf het schooljaar 2023-2024 respectievelijk 2025-2026, en op het einde van het tweede leerjaar van de eerste en derde graad vanaf het schooljaar 2023-2024 respectievelijk 2025-2026.</w:t>
      </w:r>
      <w:r w:rsidR="00D50BA2">
        <w:rPr>
          <w:rStyle w:val="Voetnootmarkering"/>
        </w:rPr>
        <w:footnoteReference w:id="27"/>
      </w:r>
      <w:r w:rsidR="00F27ED3">
        <w:t xml:space="preserve"> </w:t>
      </w:r>
      <w:r w:rsidR="005B3C2D">
        <w:t>De toetsen hebben tot doel de kwaliteit te verbeteren en te versterken door scholen zicht te geven op de mate waarin hun leerlingen de eindtermen behalen enerzijds en leerwinst boeken anderzijds.</w:t>
      </w:r>
      <w:r w:rsidR="005B3C2D">
        <w:rPr>
          <w:rStyle w:val="Voetnootmarkering"/>
        </w:rPr>
        <w:footnoteReference w:id="28"/>
      </w:r>
    </w:p>
    <w:p w14:paraId="3FFA436E" w14:textId="6FDEE1F8" w:rsidR="009E0D33" w:rsidRDefault="009E0D33" w:rsidP="009E0D33">
      <w:pPr>
        <w:pStyle w:val="Lijstalinea"/>
        <w:numPr>
          <w:ilvl w:val="0"/>
          <w:numId w:val="2"/>
        </w:numPr>
        <w:ind w:left="0" w:firstLine="0"/>
        <w:contextualSpacing w:val="0"/>
        <w:jc w:val="both"/>
      </w:pPr>
      <w:r>
        <w:t>In principe nemen alle leerlingen deel aan de toetsen. Een uitzondering geldt voor anderstalige nieuwkomers, die in het secundair onderwijs wel kunnen deelnemen indien de school daartoe beslist, en leerlingen met een individueel aangepast curriculum. Voor het buitengewoon onderwijs zijn er afwijkende regels. In het lager onderwijs kan een school voor buitengewoon onderwijs beslissen haar leerlingen te laten deelnemen. In het secundair onderwijs nemen leerlingen in het buitengewoon onderwijs ingeschreven in opleidingsvorm 4 in principe deel, tenzij de klassenraad gemotiveerd anders beslist. In opleidingsvorm 1, 2 en 3 kunnen leerlingen deelnemen indien een school daartoe besluit.</w:t>
      </w:r>
      <w:r>
        <w:rPr>
          <w:rStyle w:val="Voetnootmarkering"/>
        </w:rPr>
        <w:footnoteReference w:id="29"/>
      </w:r>
    </w:p>
    <w:p w14:paraId="4EE7576C" w14:textId="4FE2844C" w:rsidR="005B3C2D" w:rsidRDefault="005B3C2D">
      <w:pPr>
        <w:pStyle w:val="Lijstalinea"/>
        <w:numPr>
          <w:ilvl w:val="0"/>
          <w:numId w:val="2"/>
        </w:numPr>
        <w:ind w:left="0" w:firstLine="0"/>
        <w:contextualSpacing w:val="0"/>
        <w:jc w:val="both"/>
      </w:pPr>
      <w:r>
        <w:t>De toetsen worden ontwikkeld door een interuniversitair steunpunt</w:t>
      </w:r>
      <w:r w:rsidR="00BE52DE">
        <w:t xml:space="preserve"> met betrokkenheid van de onderwijsverstrekkers</w:t>
      </w:r>
      <w:r>
        <w:t xml:space="preserve">. </w:t>
      </w:r>
      <w:r w:rsidR="00BE52DE">
        <w:t xml:space="preserve">Dat steunpunt stelt de </w:t>
      </w:r>
      <w:proofErr w:type="spellStart"/>
      <w:r w:rsidR="00BE52DE">
        <w:t>toetsvragen</w:t>
      </w:r>
      <w:proofErr w:type="spellEnd"/>
      <w:r w:rsidR="00BE52DE">
        <w:t xml:space="preserve"> op</w:t>
      </w:r>
      <w:r>
        <w:t xml:space="preserve"> </w:t>
      </w:r>
      <w:proofErr w:type="spellStart"/>
      <w:r w:rsidR="00BE52DE">
        <w:t>op</w:t>
      </w:r>
      <w:proofErr w:type="spellEnd"/>
      <w:r w:rsidR="00BE52DE">
        <w:t xml:space="preserve"> </w:t>
      </w:r>
      <w:r>
        <w:t>basis van een selectie van eindtermen van de leergebieden Nederlands en wiskunde</w:t>
      </w:r>
      <w:r w:rsidR="00BE52DE">
        <w:t xml:space="preserve">. Van zodra technisch mogelijk, zullen de onderwijsverstrekkers eigen </w:t>
      </w:r>
      <w:proofErr w:type="spellStart"/>
      <w:r w:rsidR="00BE52DE">
        <w:t>toetsitems</w:t>
      </w:r>
      <w:proofErr w:type="spellEnd"/>
      <w:r w:rsidR="00BE52DE">
        <w:t xml:space="preserve"> kunnen toevoegen. De toetsen worden digitaal afgenomen door de scholen.</w:t>
      </w:r>
      <w:r w:rsidR="00BE52DE">
        <w:rPr>
          <w:rStyle w:val="Voetnootmarkering"/>
        </w:rPr>
        <w:footnoteReference w:id="30"/>
      </w:r>
    </w:p>
    <w:p w14:paraId="06D7F970" w14:textId="0CBD762A" w:rsidR="00CD0DCF" w:rsidRDefault="00BE52DE">
      <w:pPr>
        <w:pStyle w:val="Lijstalinea"/>
        <w:numPr>
          <w:ilvl w:val="0"/>
          <w:numId w:val="2"/>
        </w:numPr>
        <w:ind w:left="0" w:firstLine="0"/>
        <w:contextualSpacing w:val="0"/>
        <w:jc w:val="both"/>
      </w:pPr>
      <w:r>
        <w:t xml:space="preserve">De resultaten van de toetsen zullen ten eerste worden gebruikt op Vlaams niveau om op systeemniveau op te volgen in welke mate de eindtermen worden behaald. Ten tweede zullen scholen </w:t>
      </w:r>
      <w:r w:rsidR="00550D10">
        <w:t xml:space="preserve">na afname van de toetsen </w:t>
      </w:r>
      <w:r>
        <w:t>een eigen feedbackrapport ontvangen dat moet gebruikt worden in de interne kwaliteitszorg. Op schoolniveau zullen daarnaast de resultaten ook gebruikt worden als element in de werking van de pedagogische begeleidingsdiensten en in de werking van de onderwijsinspectie.</w:t>
      </w:r>
      <w:r w:rsidR="00F06635">
        <w:rPr>
          <w:rStyle w:val="Voetnootmarkering"/>
        </w:rPr>
        <w:footnoteReference w:id="31"/>
      </w:r>
      <w:r>
        <w:t xml:space="preserve"> </w:t>
      </w:r>
      <w:r w:rsidR="000F66DB">
        <w:t>De onderwijsinspectie zal de resultaten van de toetsen kunnen gebruiken om de intensiteit en de periodiciteit van de inspectiebezoeken te bepalen. Een doorlichting zal bovendien louter op basis van herhaaldelijk mindere prestaties op de toetsen of minder leerwinst – het decreet bepaalt niet ten opzicht van wie of wat die minder moeten zijn – kunnen georganiseerd worden.</w:t>
      </w:r>
      <w:r w:rsidR="000F66DB">
        <w:rPr>
          <w:rStyle w:val="Voetnootmarkering"/>
        </w:rPr>
        <w:footnoteReference w:id="32"/>
      </w:r>
      <w:r w:rsidR="000F66DB">
        <w:t xml:space="preserve"> </w:t>
      </w:r>
      <w:r>
        <w:t>Op het niveau van de leerlingengroep, ten derde, moeten de resultaten aanzetten tot reflectie over het pedagogisch-didactisch handelen van het schoolteam. Tot slot kunnen s</w:t>
      </w:r>
      <w:r w:rsidR="00CD0DCF">
        <w:t xml:space="preserve">cholen de resultaten behaald op de Vlaamse toetsen </w:t>
      </w:r>
      <w:r w:rsidR="00F06635">
        <w:t>ook</w:t>
      </w:r>
      <w:r w:rsidR="00CD0DCF">
        <w:t xml:space="preserve"> in rekening nemen bij de evaluatie van de leerling door de klassenraad.</w:t>
      </w:r>
      <w:r w:rsidR="00F06635">
        <w:rPr>
          <w:rStyle w:val="Voetnootmarkering"/>
        </w:rPr>
        <w:footnoteReference w:id="33"/>
      </w:r>
      <w:r w:rsidR="00CD0DCF">
        <w:t xml:space="preserve"> In hoeverre de school dat </w:t>
      </w:r>
      <w:r w:rsidR="00F06635">
        <w:t xml:space="preserve">laatste </w:t>
      </w:r>
      <w:r w:rsidR="00CD0DCF">
        <w:t xml:space="preserve">doet en op welke wijze, </w:t>
      </w:r>
      <w:r w:rsidR="00D50BA2">
        <w:t>moet verduidelijkt worden in het schoolreglement.</w:t>
      </w:r>
      <w:r w:rsidR="00D50BA2">
        <w:rPr>
          <w:rStyle w:val="Voetnootmarkering"/>
        </w:rPr>
        <w:footnoteReference w:id="34"/>
      </w:r>
    </w:p>
    <w:p w14:paraId="7FDFA8B6" w14:textId="77777777" w:rsidR="009E0D33" w:rsidRDefault="00F06635">
      <w:pPr>
        <w:pStyle w:val="Lijstalinea"/>
        <w:numPr>
          <w:ilvl w:val="0"/>
          <w:numId w:val="2"/>
        </w:numPr>
        <w:ind w:left="0" w:firstLine="0"/>
        <w:contextualSpacing w:val="0"/>
        <w:jc w:val="both"/>
      </w:pPr>
      <w:r>
        <w:t xml:space="preserve">In het decreet is bijzondere aandacht voorzien voor de openbaarheid van de </w:t>
      </w:r>
      <w:proofErr w:type="spellStart"/>
      <w:r>
        <w:t>toetsresultaten</w:t>
      </w:r>
      <w:proofErr w:type="spellEnd"/>
      <w:r>
        <w:t>. Leerlingen en hun ouders hebben recht op inzage in</w:t>
      </w:r>
      <w:r w:rsidR="00115139">
        <w:t xml:space="preserve"> hun toets, en recht op inzage in</w:t>
      </w:r>
      <w:r>
        <w:t xml:space="preserve"> en kopie van het </w:t>
      </w:r>
      <w:r>
        <w:lastRenderedPageBreak/>
        <w:t>feedbackrapport met hun resultaten.</w:t>
      </w:r>
      <w:r>
        <w:rPr>
          <w:rStyle w:val="Voetnootmarkering"/>
        </w:rPr>
        <w:footnoteReference w:id="35"/>
      </w:r>
      <w:r>
        <w:t xml:space="preserve"> </w:t>
      </w:r>
      <w:r w:rsidR="00115139">
        <w:t>Ouders die een bijzonder individueel belang doen gelden, kunnen eveneens inzage vragen in het schoolfeedbackrapport maar zijn hierbij gehouden tot een geheimhoudingsplicht.</w:t>
      </w:r>
      <w:r w:rsidR="00115139">
        <w:rPr>
          <w:rStyle w:val="Voetnootmarkering"/>
        </w:rPr>
        <w:footnoteReference w:id="36"/>
      </w:r>
      <w:r w:rsidR="00115139">
        <w:t xml:space="preserve"> </w:t>
      </w:r>
    </w:p>
    <w:p w14:paraId="001365B8" w14:textId="2AADF1B9" w:rsidR="00C42CF7" w:rsidRDefault="00F06635" w:rsidP="009E0D33">
      <w:pPr>
        <w:pStyle w:val="Lijstalinea"/>
        <w:ind w:left="0" w:firstLine="708"/>
        <w:contextualSpacing w:val="0"/>
        <w:jc w:val="both"/>
      </w:pPr>
      <w:r>
        <w:t xml:space="preserve">De betrokken pedagogische begeleidingsdienst, de onderwijsinspectie en de Raad van het Gemeenschapsonderwijs ontvangen de resultaten op schoolniveau. De personen binnen deze instanties mogen in afwijking van het </w:t>
      </w:r>
      <w:proofErr w:type="spellStart"/>
      <w:r>
        <w:t>Bestuursdecreet</w:t>
      </w:r>
      <w:proofErr w:type="spellEnd"/>
      <w:r w:rsidR="00115139">
        <w:t xml:space="preserve"> de resultaten van de toetsen in beginsel niet meedelen aan derden. Hetzelfde geldt voor leden van schoolraden en ouderraden.</w:t>
      </w:r>
      <w:r w:rsidR="00115139">
        <w:rPr>
          <w:rStyle w:val="Voetnootmarkering"/>
        </w:rPr>
        <w:footnoteReference w:id="37"/>
      </w:r>
      <w:r w:rsidR="00115139">
        <w:t xml:space="preserve"> Om de vertrouwelijkheid</w:t>
      </w:r>
      <w:r w:rsidR="00143084">
        <w:t xml:space="preserve"> van de resultaten op schooln</w:t>
      </w:r>
      <w:r w:rsidR="00550D10">
        <w:t>i</w:t>
      </w:r>
      <w:r w:rsidR="00143084">
        <w:t>veau</w:t>
      </w:r>
      <w:r w:rsidR="00115139">
        <w:t xml:space="preserve"> te garanderen geldt een geheimhoudingsplicht</w:t>
      </w:r>
      <w:r w:rsidR="00143084">
        <w:t xml:space="preserve"> voor de leden van schoolraden en ouderraden, en ouders die inzage krijgen in het schoolfeedbackrapport</w:t>
      </w:r>
      <w:r w:rsidR="009E0D33">
        <w:t xml:space="preserve">; </w:t>
      </w:r>
      <w:r w:rsidR="00143084">
        <w:t>voor de leden van de onderwijsinspectie, de personeelsleden van scholen, van de Vlaamse overheid, van het bevoegde steunpunt, van de begeleidingsdiensten, van de Raad van het Gemeenschapsonderwijs en de schoolbesturen</w:t>
      </w:r>
      <w:r w:rsidR="009E0D33">
        <w:t xml:space="preserve"> geldt</w:t>
      </w:r>
      <w:r w:rsidR="009E0D33">
        <w:t xml:space="preserve"> een beroepsgeheim</w:t>
      </w:r>
      <w:r w:rsidR="00115139">
        <w:t>.</w:t>
      </w:r>
      <w:r w:rsidR="00C42CF7">
        <w:rPr>
          <w:rStyle w:val="Voetnootmarkering"/>
        </w:rPr>
        <w:footnoteReference w:id="38"/>
      </w:r>
      <w:r w:rsidR="00C42CF7">
        <w:t xml:space="preserve"> Verder mogen de resultaten behaald op de toetsen niet leiden tot rankings.</w:t>
      </w:r>
      <w:r w:rsidR="000F66DB">
        <w:rPr>
          <w:rStyle w:val="Voetnootmarkering"/>
        </w:rPr>
        <w:footnoteReference w:id="39"/>
      </w:r>
    </w:p>
    <w:p w14:paraId="2B00CB5F" w14:textId="77777777" w:rsidR="00C85A9F" w:rsidRDefault="00C85A9F" w:rsidP="00C85A9F">
      <w:pPr>
        <w:pStyle w:val="Lijstalinea"/>
        <w:ind w:left="0"/>
        <w:contextualSpacing w:val="0"/>
        <w:jc w:val="both"/>
      </w:pPr>
    </w:p>
    <w:p w14:paraId="4543EB6E" w14:textId="1527C1DF" w:rsidR="00C85A9F" w:rsidRDefault="00C85A9F" w:rsidP="00C85A9F">
      <w:pPr>
        <w:pStyle w:val="Kop1"/>
      </w:pPr>
      <w:r>
        <w:t>Leersteun (</w:t>
      </w:r>
      <w:r w:rsidR="00BA7AFB">
        <w:t>5 mei 2023</w:t>
      </w:r>
      <w:r>
        <w:t>)</w:t>
      </w:r>
    </w:p>
    <w:p w14:paraId="67A462A3" w14:textId="76738968" w:rsidR="00AD4CB4" w:rsidRDefault="001B352E" w:rsidP="009D35CF">
      <w:pPr>
        <w:pStyle w:val="Lijstalinea"/>
        <w:numPr>
          <w:ilvl w:val="0"/>
          <w:numId w:val="2"/>
        </w:numPr>
        <w:ind w:left="0" w:firstLine="0"/>
        <w:contextualSpacing w:val="0"/>
        <w:jc w:val="both"/>
      </w:pPr>
      <w:r>
        <w:t xml:space="preserve">Een vervanging van het M-decreet was </w:t>
      </w:r>
      <w:r w:rsidR="009D35CF">
        <w:t>een andere</w:t>
      </w:r>
      <w:r>
        <w:t xml:space="preserve"> </w:t>
      </w:r>
      <w:r w:rsidR="00D656DF">
        <w:t>ambitie</w:t>
      </w:r>
      <w:r>
        <w:t xml:space="preserve"> uit het Vlaamse Regeerakkoord 2019-2024. </w:t>
      </w:r>
      <w:r w:rsidR="00D656DF">
        <w:t>M</w:t>
      </w:r>
      <w:r w:rsidR="00AC09C5">
        <w:t>et de aanname van het Leersteundecreet</w:t>
      </w:r>
      <w:r w:rsidR="009D35CF">
        <w:t xml:space="preserve"> van 5 mei 2023</w:t>
      </w:r>
      <w:r w:rsidR="00D656DF">
        <w:t xml:space="preserve"> is dit ook gebeurd</w:t>
      </w:r>
      <w:r w:rsidR="00AC09C5">
        <w:t>. Voor de redenen die aanleiding gegeven tot de vervanging van het M-decreet en de doelstellingen van het nieuwe decreet verwijzen we naar de memorie van toelichting bij het nieuwe decreet. Hier beperken we ons tot een bespreking van de nieuwe bepalingen.</w:t>
      </w:r>
      <w:r w:rsidR="00995BB2">
        <w:rPr>
          <w:rStyle w:val="Voetnootmarkering"/>
        </w:rPr>
        <w:footnoteReference w:id="40"/>
      </w:r>
    </w:p>
    <w:p w14:paraId="2C3C760B" w14:textId="53D33A6C" w:rsidR="009D35CF" w:rsidRDefault="004E631F">
      <w:pPr>
        <w:pStyle w:val="Lijstalinea"/>
        <w:numPr>
          <w:ilvl w:val="0"/>
          <w:numId w:val="2"/>
        </w:numPr>
        <w:ind w:left="0" w:firstLine="0"/>
        <w:contextualSpacing w:val="0"/>
        <w:jc w:val="both"/>
      </w:pPr>
      <w:r>
        <w:t xml:space="preserve">De </w:t>
      </w:r>
      <w:r w:rsidR="009D35CF">
        <w:t xml:space="preserve">bestaande </w:t>
      </w:r>
      <w:r w:rsidR="0074026C">
        <w:t>ondersteuningsnetwerken worden vervangen door leersteuncentra</w:t>
      </w:r>
      <w:r w:rsidR="009D35CF">
        <w:t xml:space="preserve"> die leersteun moeten bieden</w:t>
      </w:r>
      <w:r w:rsidR="0074026C">
        <w:t xml:space="preserve">. </w:t>
      </w:r>
      <w:r w:rsidR="009D35CF">
        <w:t>Leersteun is ondersteuning die 1) de maximale ontplooiing, de leerwinst, het welbevinden, de zelfredzaamheid en de volwaardige participatie van leerlingen met specifieke onderwijsbehoeften bevordert, 2) de competenties van leerkrachten en schoolteams in het begeleiden van leerlingen met onderwijsbehoeften versterkt en 3) leerlinggericht, leerkrachtgericht of teamgericht is.</w:t>
      </w:r>
      <w:r w:rsidR="009D35CF">
        <w:rPr>
          <w:rStyle w:val="Voetnootmarkering"/>
        </w:rPr>
        <w:footnoteReference w:id="41"/>
      </w:r>
      <w:r w:rsidR="009D35CF">
        <w:t xml:space="preserve"> De leersteun moet maximaal effect hebben op de klasvloer, en krijgt vorm op basis van proces van handelingsplanmatig werken en vanuit een handelingsgerichte samenwerking tussen de leerondersteuner, de leerkracht, de leerling en diens ouders, en het schoolteam.</w:t>
      </w:r>
      <w:r w:rsidR="009D35CF">
        <w:rPr>
          <w:rStyle w:val="Voetnootmarkering"/>
        </w:rPr>
        <w:footnoteReference w:id="42"/>
      </w:r>
      <w:r w:rsidR="009D35CF">
        <w:t xml:space="preserve"> </w:t>
      </w:r>
    </w:p>
    <w:p w14:paraId="568A64DF" w14:textId="1D6C7F65" w:rsidR="00357FB9" w:rsidRDefault="009D35CF" w:rsidP="00357FB9">
      <w:pPr>
        <w:pStyle w:val="Lijstalinea"/>
        <w:numPr>
          <w:ilvl w:val="0"/>
          <w:numId w:val="2"/>
        </w:numPr>
        <w:ind w:left="0" w:firstLine="0"/>
        <w:contextualSpacing w:val="0"/>
        <w:jc w:val="both"/>
      </w:pPr>
      <w:r>
        <w:t>Leersteuncentra bestaan</w:t>
      </w:r>
      <w:r w:rsidR="0074026C">
        <w:t xml:space="preserve"> </w:t>
      </w:r>
      <w:r w:rsidR="00D656DF">
        <w:t>als</w:t>
      </w:r>
      <w:r w:rsidR="0074026C">
        <w:t xml:space="preserve"> zelfstandige centra of </w:t>
      </w:r>
      <w:r w:rsidR="00D656DF">
        <w:t xml:space="preserve">als </w:t>
      </w:r>
      <w:r w:rsidR="0074026C">
        <w:t>centra die deel uitmaken van een school voor buitengewoon onderwijs</w:t>
      </w:r>
      <w:r w:rsidR="00357FB9">
        <w:t>.</w:t>
      </w:r>
      <w:r w:rsidR="00357FB9">
        <w:rPr>
          <w:rStyle w:val="Voetnootmarkering"/>
        </w:rPr>
        <w:footnoteReference w:id="43"/>
      </w:r>
      <w:r w:rsidR="0074026C">
        <w:t xml:space="preserve"> </w:t>
      </w:r>
      <w:r w:rsidR="00357FB9">
        <w:t>In dat laatste geval zijn de bepalingen uit het Decreet Basisonderwijs of de Codex Secundair Onderwijs met betrekking tot scholen voor buitengewoon onderwijs van toepassing.</w:t>
      </w:r>
      <w:r w:rsidR="00357FB9">
        <w:rPr>
          <w:rStyle w:val="Voetnootmarkering"/>
        </w:rPr>
        <w:footnoteReference w:id="44"/>
      </w:r>
      <w:r w:rsidR="00357FB9">
        <w:t xml:space="preserve"> In totaal kunnen 47 leersteuncentra opgericht worden. 23 daarvan hebben een privaatrechtelijke rechtspersoon als bestuur, twaalf hebben een scholengroep van het gemeenschapsonderwijs als bestuur en nog eens twaalf een andere publiekrechtelijke rechtspersoon </w:t>
      </w:r>
      <w:r w:rsidR="00357FB9">
        <w:lastRenderedPageBreak/>
        <w:t>als bestuur.</w:t>
      </w:r>
      <w:r w:rsidR="00357FB9">
        <w:rPr>
          <w:rStyle w:val="Voetnootmarkering"/>
        </w:rPr>
        <w:footnoteReference w:id="45"/>
      </w:r>
      <w:r w:rsidR="00357FB9">
        <w:t xml:space="preserve"> Daarnaast kunnen nog leersteuncentra type 4, 6 of 7 worden opgericht specifiek voor ondersteuning van leerlingen met een motorische, visuele of auditieve beperking, of een spraak- of taalstoornis. Zij moeten structureel samenwerken met de ‘algemene’ leersteuncentra.</w:t>
      </w:r>
      <w:r w:rsidR="00357FB9">
        <w:rPr>
          <w:rStyle w:val="Voetnootmarkering"/>
        </w:rPr>
        <w:footnoteReference w:id="46"/>
      </w:r>
      <w:r w:rsidR="00357FB9">
        <w:t xml:space="preserve"> Waar deze centra worden opgericht, wordt afgesproken in een protocol tussen de Vlaamse Regering, het gemeenschapsonderwijs en de onderwijskoepels.</w:t>
      </w:r>
      <w:r w:rsidR="00357FB9">
        <w:rPr>
          <w:rStyle w:val="Voetnootmarkering"/>
        </w:rPr>
        <w:footnoteReference w:id="47"/>
      </w:r>
      <w:r w:rsidR="00357FB9">
        <w:t xml:space="preserve"> </w:t>
      </w:r>
      <w:r w:rsidR="00D656DF">
        <w:t>L</w:t>
      </w:r>
      <w:r w:rsidR="00357FB9">
        <w:t>eersteuncentr</w:t>
      </w:r>
      <w:r w:rsidR="00D656DF">
        <w:t>a</w:t>
      </w:r>
      <w:r w:rsidR="00357FB9">
        <w:t xml:space="preserve"> van het gemeenschapsonderwijs en van het officieel gesubsidieerd onderwijs </w:t>
      </w:r>
      <w:r w:rsidR="00D656DF">
        <w:t xml:space="preserve">die </w:t>
      </w:r>
      <w:r w:rsidR="00357FB9">
        <w:t>in meerdere dezelfde gemeenten actief zijn, moeten verplicht samenwerken. Ze maken minstens afspraken over de wijze waarop aanvragen tot leersteun worden opgenomen.</w:t>
      </w:r>
      <w:r w:rsidR="00357FB9">
        <w:rPr>
          <w:rStyle w:val="Voetnootmarkering"/>
        </w:rPr>
        <w:footnoteReference w:id="48"/>
      </w:r>
    </w:p>
    <w:p w14:paraId="53940DE7" w14:textId="781EF42D" w:rsidR="0093314A" w:rsidRDefault="00357FB9">
      <w:pPr>
        <w:pStyle w:val="Lijstalinea"/>
        <w:numPr>
          <w:ilvl w:val="0"/>
          <w:numId w:val="2"/>
        </w:numPr>
        <w:ind w:left="0" w:firstLine="0"/>
        <w:contextualSpacing w:val="0"/>
        <w:jc w:val="both"/>
      </w:pPr>
      <w:r>
        <w:t>Een centrum biedt leersteun</w:t>
      </w:r>
      <w:r w:rsidR="0074026C">
        <w:t xml:space="preserve"> aan scholen voor gewoon basis- of secundair onderwijs met leerlingen met een verslag voor het gemeenschappelijk curriculum (GC-verslag), leerlingen met een verslag voor individueel aangepast curriculum (IAC-verslag) of een verslag dat toelating geeft tot opleidingsvorm 4 van het buitengewoon secundair onderwijs (OV4-verslag)</w:t>
      </w:r>
      <w:r w:rsidR="00405D7B">
        <w:t>, en voor wie maatregelen van de fasen van brede basiszorg en de verhoogde zorg van het zorgcontinuüm niet volstaan</w:t>
      </w:r>
      <w:r w:rsidR="0074026C">
        <w:t>.</w:t>
      </w:r>
      <w:r w:rsidR="0074026C">
        <w:rPr>
          <w:rStyle w:val="Voetnootmarkering"/>
        </w:rPr>
        <w:footnoteReference w:id="49"/>
      </w:r>
      <w:r w:rsidR="00C10D41">
        <w:t xml:space="preserve"> </w:t>
      </w:r>
      <w:r w:rsidR="00405D7B">
        <w:t>Een gemotiveerd verslag opgemaakt voor 1 september 2023 wordt gelijkgesteld aan een GC-verslag.</w:t>
      </w:r>
      <w:r w:rsidR="00405D7B">
        <w:rPr>
          <w:rStyle w:val="Voetnootmarkering"/>
        </w:rPr>
        <w:footnoteReference w:id="50"/>
      </w:r>
      <w:r w:rsidR="00405D7B">
        <w:t xml:space="preserve"> Een IAC-verslag opgemaakt voor die datum wordt gelijkgesteld aan een IAC-verslag volgens dit nieuwe decreet of een OV4-verslag.</w:t>
      </w:r>
      <w:r w:rsidR="00405D7B">
        <w:rPr>
          <w:rStyle w:val="Voetnootmarkering"/>
        </w:rPr>
        <w:footnoteReference w:id="51"/>
      </w:r>
      <w:r w:rsidR="00D74D13">
        <w:t xml:space="preserve"> Wanneer wijzigingen gebeuren aan de bestaande verslagen, moet een nieuw verslag opgemaakt worden overeenkomstig dit nieuwe decreet.</w:t>
      </w:r>
      <w:r w:rsidR="00D74D13">
        <w:rPr>
          <w:rStyle w:val="Voetnootmarkering"/>
        </w:rPr>
        <w:footnoteReference w:id="52"/>
      </w:r>
    </w:p>
    <w:p w14:paraId="7E493966" w14:textId="6C1C06DC" w:rsidR="004E631F" w:rsidRDefault="000D128C">
      <w:pPr>
        <w:pStyle w:val="Lijstalinea"/>
        <w:numPr>
          <w:ilvl w:val="0"/>
          <w:numId w:val="2"/>
        </w:numPr>
        <w:ind w:left="0" w:firstLine="0"/>
        <w:contextualSpacing w:val="0"/>
        <w:jc w:val="both"/>
      </w:pPr>
      <w:r>
        <w:t xml:space="preserve">Elk centrum moet expertise hebben om ondersteuning aan te bieden op het vlak van onderwijskunde, </w:t>
      </w:r>
      <w:proofErr w:type="spellStart"/>
      <w:r>
        <w:t>handicapspecifieke</w:t>
      </w:r>
      <w:proofErr w:type="spellEnd"/>
      <w:r>
        <w:t xml:space="preserve"> ondersteuning, inclusie en coaching.</w:t>
      </w:r>
      <w:r>
        <w:rPr>
          <w:rStyle w:val="Voetnootmarkering"/>
        </w:rPr>
        <w:footnoteReference w:id="53"/>
      </w:r>
      <w:r>
        <w:t xml:space="preserve"> </w:t>
      </w:r>
      <w:r w:rsidR="0093314A">
        <w:t xml:space="preserve">Elk leersteuncentrum </w:t>
      </w:r>
      <w:r w:rsidR="00D656DF">
        <w:t xml:space="preserve">moet hiervoor </w:t>
      </w:r>
      <w:r w:rsidR="0093314A">
        <w:t>beschik</w:t>
      </w:r>
      <w:r w:rsidR="00D656DF">
        <w:t>ken</w:t>
      </w:r>
      <w:r w:rsidR="0093314A">
        <w:t xml:space="preserve"> over een multidisciplinair team dat onderwijskundige, paramedische, sociale, psychologische en orthopedagogische expertise vertegenwoordigd. Ieder centrum moet expertise hebben voor alle types van het buitengewoon onderwijs, met uitzondering van de leersteuncentra die specifiek gericht zijn op leerlingen met een motorische</w:t>
      </w:r>
      <w:r w:rsidR="00405D7B">
        <w:t>, visuele of auditieve beperking, of een spraak- of taalstoornis.</w:t>
      </w:r>
      <w:r w:rsidR="00405D7B">
        <w:rPr>
          <w:rStyle w:val="Voetnootmarkering"/>
        </w:rPr>
        <w:footnoteReference w:id="54"/>
      </w:r>
    </w:p>
    <w:p w14:paraId="3FBA6595" w14:textId="0A656DC2" w:rsidR="00D045AB" w:rsidRDefault="00357FB9" w:rsidP="00357FB9">
      <w:pPr>
        <w:pStyle w:val="Lijstalinea"/>
        <w:numPr>
          <w:ilvl w:val="0"/>
          <w:numId w:val="2"/>
        </w:numPr>
        <w:ind w:left="0" w:firstLine="0"/>
        <w:contextualSpacing w:val="0"/>
        <w:jc w:val="both"/>
      </w:pPr>
      <w:r>
        <w:t>Ieder leersteuncentrum moet een visie en beleid over leersteun ontwikkelen.</w:t>
      </w:r>
      <w:r>
        <w:rPr>
          <w:rStyle w:val="Voetnootmarkering"/>
        </w:rPr>
        <w:footnoteReference w:id="55"/>
      </w:r>
      <w:r>
        <w:t xml:space="preserve"> </w:t>
      </w:r>
      <w:r w:rsidR="00C2538D">
        <w:t>Het</w:t>
      </w:r>
      <w:r>
        <w:t xml:space="preserve"> </w:t>
      </w:r>
      <w:r w:rsidR="00C2538D">
        <w:t>moet</w:t>
      </w:r>
      <w:r>
        <w:t xml:space="preserve"> ook een informatiepunt voor ouders, leerlingen en scholen inrichten.</w:t>
      </w:r>
      <w:r>
        <w:rPr>
          <w:rStyle w:val="Voetnootmarkering"/>
        </w:rPr>
        <w:footnoteReference w:id="56"/>
      </w:r>
      <w:r>
        <w:t xml:space="preserve"> </w:t>
      </w:r>
      <w:r w:rsidR="00C2538D">
        <w:t>Een</w:t>
      </w:r>
      <w:r>
        <w:t xml:space="preserve"> </w:t>
      </w:r>
      <w:r w:rsidR="00D045AB">
        <w:t xml:space="preserve">leersteuncentrum richt </w:t>
      </w:r>
      <w:r w:rsidR="00C2538D">
        <w:t xml:space="preserve">daarnaast </w:t>
      </w:r>
      <w:r w:rsidR="00D045AB">
        <w:t xml:space="preserve">een leersteunraad in waarin alle scholen aangesloten bij het centrum zetelen. De raad heeft een adviserende functie, minstens over 1) de procedure voor het toewijzen van leersteun, 2) de eventuele structurele samenwerking met een leersteuncentrum type 4, 6 of 7 </w:t>
      </w:r>
      <w:r w:rsidR="00230439">
        <w:t xml:space="preserve">en, </w:t>
      </w:r>
      <w:r w:rsidR="00D045AB">
        <w:t>3) het principe inzake de weigering van scholen omwille van het afstand</w:t>
      </w:r>
      <w:r w:rsidR="00230439">
        <w:t>.</w:t>
      </w:r>
      <w:r w:rsidR="00230439">
        <w:rPr>
          <w:rStyle w:val="Voetnootmarkering"/>
        </w:rPr>
        <w:footnoteReference w:id="57"/>
      </w:r>
    </w:p>
    <w:p w14:paraId="532BA798" w14:textId="63D61900" w:rsidR="00C2538D" w:rsidRDefault="00AB4658" w:rsidP="00C2538D">
      <w:pPr>
        <w:pStyle w:val="Lijstalinea"/>
        <w:numPr>
          <w:ilvl w:val="0"/>
          <w:numId w:val="2"/>
        </w:numPr>
        <w:ind w:left="0" w:firstLine="0"/>
        <w:contextualSpacing w:val="0"/>
        <w:jc w:val="both"/>
      </w:pPr>
      <w:r>
        <w:t>Elke school voor gewoon onderwijs maakt in het kader van leersteun afspraken met een leersteuncentrum.</w:t>
      </w:r>
      <w:r w:rsidR="00A80C3F">
        <w:rPr>
          <w:rStyle w:val="Voetnootmarkering"/>
        </w:rPr>
        <w:footnoteReference w:id="58"/>
      </w:r>
      <w:r w:rsidR="00A80C3F">
        <w:t xml:space="preserve"> </w:t>
      </w:r>
      <w:r w:rsidR="00D045AB">
        <w:t xml:space="preserve">De school kiest zelf bij welk leersteuncentrum het zich aansluit, ongeacht het net waartoe de school en het centrum behoren. Het centrum kan de school niet weigeren tenzij het </w:t>
      </w:r>
      <w:r w:rsidR="00D045AB">
        <w:lastRenderedPageBreak/>
        <w:t>op het een onredelijke afstand van het centrum ligt.</w:t>
      </w:r>
      <w:r w:rsidR="00D045AB">
        <w:rPr>
          <w:rStyle w:val="Voetnootmarkering"/>
        </w:rPr>
        <w:footnoteReference w:id="59"/>
      </w:r>
      <w:r w:rsidR="00D045AB">
        <w:t xml:space="preserve"> </w:t>
      </w:r>
      <w:r w:rsidR="00A80C3F">
        <w:t>De school communiceert via het schoolreglement over het leersteuncentrum waarbij het aangesloten is en informeert haar CLB, de pedagogische begeleidingsdienst en andere relevante partners over het centrum waarmee de school samenwerkt.</w:t>
      </w:r>
      <w:r w:rsidR="00A80C3F">
        <w:rPr>
          <w:rStyle w:val="Voetnootmarkering"/>
        </w:rPr>
        <w:footnoteReference w:id="60"/>
      </w:r>
      <w:r w:rsidR="00E17C67">
        <w:t xml:space="preserve"> De samenwerking met een leersteuncentrum betekent niet dat de school niet meer de regie over het totale leerproces </w:t>
      </w:r>
      <w:r w:rsidR="00C2538D">
        <w:t>behoudt</w:t>
      </w:r>
      <w:r w:rsidR="00E17C67">
        <w:t>. Het decreet bevestigt dat de school de regie van het leerproces heeft en verantwoordelijk is voor de coördinatie van en de afstemming met de partners die betrokken zijn bij de ondersteuning van de leerling</w:t>
      </w:r>
      <w:r w:rsidR="00C2538D">
        <w:t>en</w:t>
      </w:r>
      <w:r w:rsidR="00E17C67">
        <w:t>.</w:t>
      </w:r>
      <w:r w:rsidR="00E17C67">
        <w:rPr>
          <w:rStyle w:val="Voetnootmarkering"/>
        </w:rPr>
        <w:footnoteReference w:id="61"/>
      </w:r>
    </w:p>
    <w:p w14:paraId="1BA66ABA" w14:textId="10958568" w:rsidR="006D494E" w:rsidRDefault="006D494E" w:rsidP="00C2538D">
      <w:pPr>
        <w:pStyle w:val="Lijstalinea"/>
        <w:numPr>
          <w:ilvl w:val="0"/>
          <w:numId w:val="2"/>
        </w:numPr>
        <w:ind w:left="0" w:firstLine="0"/>
        <w:contextualSpacing w:val="0"/>
        <w:jc w:val="both"/>
      </w:pPr>
      <w:r>
        <w:t>De wijze waarop aanvragen voor leersteun kunnen gericht worden aan het centrum, bepaalt het centrum met inspraak van de betrokken scholen.</w:t>
      </w:r>
      <w:r>
        <w:rPr>
          <w:rStyle w:val="Voetnootmarkering"/>
        </w:rPr>
        <w:footnoteReference w:id="62"/>
      </w:r>
      <w:r>
        <w:t xml:space="preserve"> Binnen de vijf dagen na de start van het schooljaar wordt de leersteun opgestart voor leerlingen met een GC-verslag, IAC-verslag of OV4-verslag die gekend zijn. Aanvragen voor leerlingen die nog niet gekend zijn, moeten binnen de tien dagen leiden tot de opstart van ondersteuning.</w:t>
      </w:r>
      <w:r>
        <w:rPr>
          <w:rStyle w:val="Voetnootmarkering"/>
        </w:rPr>
        <w:footnoteReference w:id="63"/>
      </w:r>
    </w:p>
    <w:p w14:paraId="6217ABF1" w14:textId="4CDF6F99" w:rsidR="00AB4658" w:rsidRDefault="00201DFD">
      <w:pPr>
        <w:pStyle w:val="Lijstalinea"/>
        <w:numPr>
          <w:ilvl w:val="0"/>
          <w:numId w:val="2"/>
        </w:numPr>
        <w:ind w:left="0" w:firstLine="0"/>
        <w:contextualSpacing w:val="0"/>
        <w:jc w:val="both"/>
      </w:pPr>
      <w:r>
        <w:t>Net zoals scholen dienen leersteuncentra te voldoen aan erkenningsvoorwaarden. De veertien voorwaarde</w:t>
      </w:r>
      <w:r w:rsidR="003A3F5E">
        <w:t>n zijn generiek van aard, zoals aantoonbaar doelmatig en leefbaar zijn, opdrachten uitvoeren overeenkomstig dit decreet en een kwaliteitsbeleid voeren.</w:t>
      </w:r>
      <w:r w:rsidR="003A3F5E">
        <w:rPr>
          <w:rStyle w:val="Voetnootmarkering"/>
        </w:rPr>
        <w:footnoteReference w:id="64"/>
      </w:r>
      <w:r w:rsidR="003A3F5E">
        <w:t xml:space="preserve"> </w:t>
      </w:r>
      <w:r w:rsidR="00B51540">
        <w:t xml:space="preserve">De centra opgenomen in het protocol gesloten tussen de Vlaamse Regering en de onderwijskoepels zijn voorlopig erkend voor </w:t>
      </w:r>
      <w:r w:rsidR="00C2538D">
        <w:t>het</w:t>
      </w:r>
      <w:r w:rsidR="00B51540">
        <w:t xml:space="preserve"> schoolja</w:t>
      </w:r>
      <w:r w:rsidR="00C2538D">
        <w:t>a</w:t>
      </w:r>
      <w:r w:rsidR="00B51540">
        <w:t>r 2023-2024.</w:t>
      </w:r>
      <w:r w:rsidR="00B51540">
        <w:rPr>
          <w:rStyle w:val="Voetnootmarkering"/>
        </w:rPr>
        <w:footnoteReference w:id="65"/>
      </w:r>
      <w:r w:rsidR="00B51540">
        <w:t xml:space="preserve"> Een voorlopige erkenning houdt het recht op financiering of subsidiëring</w:t>
      </w:r>
      <w:r w:rsidR="00D656DF">
        <w:t xml:space="preserve"> in</w:t>
      </w:r>
      <w:r w:rsidR="00B51540">
        <w:t>.</w:t>
      </w:r>
      <w:r w:rsidR="00B51540">
        <w:rPr>
          <w:rStyle w:val="Voetnootmarkering"/>
        </w:rPr>
        <w:footnoteReference w:id="66"/>
      </w:r>
      <w:r w:rsidR="002046CC">
        <w:t xml:space="preserve"> Leersteuncentra type 4, 6 of 7 krijgen financiering voor zolang zij een minimaal aantal punten genere</w:t>
      </w:r>
      <w:r w:rsidR="00C2538D">
        <w:t>ren</w:t>
      </w:r>
      <w:r w:rsidR="002046CC">
        <w:t>.</w:t>
      </w:r>
    </w:p>
    <w:p w14:paraId="4FDEE29C" w14:textId="7007E928" w:rsidR="00E3007E" w:rsidRDefault="00E3007E">
      <w:pPr>
        <w:pStyle w:val="Lijstalinea"/>
        <w:numPr>
          <w:ilvl w:val="0"/>
          <w:numId w:val="2"/>
        </w:numPr>
        <w:ind w:left="0" w:firstLine="0"/>
        <w:contextualSpacing w:val="0"/>
        <w:jc w:val="both"/>
      </w:pPr>
      <w:r>
        <w:t xml:space="preserve">Ter afronding van de bespreking van dit decreet, </w:t>
      </w:r>
      <w:r w:rsidR="00C2538D">
        <w:t>stippen</w:t>
      </w:r>
      <w:r>
        <w:t xml:space="preserve"> we </w:t>
      </w:r>
      <w:r w:rsidR="00CD4E56">
        <w:t xml:space="preserve">nog </w:t>
      </w:r>
      <w:r>
        <w:t>volgende bepalingen aan:</w:t>
      </w:r>
    </w:p>
    <w:p w14:paraId="7DCEA01A" w14:textId="738FE06C" w:rsidR="004215DC" w:rsidRDefault="00CD4E56">
      <w:pPr>
        <w:pStyle w:val="Lijstalinea"/>
        <w:numPr>
          <w:ilvl w:val="0"/>
          <w:numId w:val="4"/>
        </w:numPr>
        <w:contextualSpacing w:val="0"/>
        <w:jc w:val="both"/>
      </w:pPr>
      <w:r>
        <w:t>D</w:t>
      </w:r>
      <w:r w:rsidR="00E329A8">
        <w:t xml:space="preserve">e decreten rechtspositie onderwijs </w:t>
      </w:r>
      <w:r w:rsidR="00DD11F0">
        <w:t>zijn van toepassing op het personeel van de leersteuncentra. Zij vormen een nieuwe personeelscategorie</w:t>
      </w:r>
      <w:r w:rsidR="00EC2446">
        <w:t>.</w:t>
      </w:r>
      <w:r w:rsidR="00E3007E">
        <w:rPr>
          <w:rStyle w:val="Voetnootmarkering"/>
        </w:rPr>
        <w:footnoteReference w:id="67"/>
      </w:r>
    </w:p>
    <w:p w14:paraId="6E5229D4" w14:textId="5B176F51" w:rsidR="00DD11F0" w:rsidRDefault="00CD4E56">
      <w:pPr>
        <w:pStyle w:val="Lijstalinea"/>
        <w:numPr>
          <w:ilvl w:val="0"/>
          <w:numId w:val="4"/>
        </w:numPr>
        <w:contextualSpacing w:val="0"/>
        <w:jc w:val="both"/>
      </w:pPr>
      <w:r>
        <w:t>P</w:t>
      </w:r>
      <w:r w:rsidR="00DD11F0">
        <w:t>ersoneel van de leersteuncentra moeten het Nederlands beheersen op niveau C1 van het Europees Referentiekader voor Talen</w:t>
      </w:r>
      <w:r w:rsidR="00EC2446">
        <w:t>.</w:t>
      </w:r>
      <w:r w:rsidR="00DD11F0">
        <w:rPr>
          <w:rStyle w:val="Voetnootmarkering"/>
        </w:rPr>
        <w:footnoteReference w:id="68"/>
      </w:r>
    </w:p>
    <w:p w14:paraId="6007ABE4" w14:textId="4DE3BD6C" w:rsidR="00AA3F9F" w:rsidRDefault="00CD4E56">
      <w:pPr>
        <w:pStyle w:val="Lijstalinea"/>
        <w:numPr>
          <w:ilvl w:val="0"/>
          <w:numId w:val="4"/>
        </w:numPr>
        <w:contextualSpacing w:val="0"/>
        <w:jc w:val="both"/>
      </w:pPr>
      <w:r>
        <w:t>E</w:t>
      </w:r>
      <w:r w:rsidR="00AA3F9F">
        <w:t>r is geen verplichting om alle betrekkingen vacant te verklaren</w:t>
      </w:r>
      <w:r w:rsidR="009B62FF">
        <w:t>. Een bestuur van een leersteuncentrum beslist hierover in het kader van een beleidsplan, dat wordt onderhandeld in het lokaal onderhandelingscomité</w:t>
      </w:r>
      <w:r w:rsidR="00EC2446">
        <w:t>.</w:t>
      </w:r>
      <w:r w:rsidR="009B62FF">
        <w:rPr>
          <w:rStyle w:val="Voetnootmarkering"/>
        </w:rPr>
        <w:footnoteReference w:id="69"/>
      </w:r>
    </w:p>
    <w:p w14:paraId="0103C59B" w14:textId="14A8ADC8" w:rsidR="009B62FF" w:rsidRDefault="00CD4E56">
      <w:pPr>
        <w:pStyle w:val="Lijstalinea"/>
        <w:numPr>
          <w:ilvl w:val="0"/>
          <w:numId w:val="4"/>
        </w:numPr>
        <w:contextualSpacing w:val="0"/>
        <w:jc w:val="both"/>
      </w:pPr>
      <w:r>
        <w:t>E</w:t>
      </w:r>
      <w:r w:rsidR="009B62FF">
        <w:t>en halftijdse betrekking in een bevorderingsambt in een leersteuncentrum wordt toegekend aan een enkel personeelslid; een betrekking in een selectieambt kan aan meerdere personeelsleden worden toegekend</w:t>
      </w:r>
      <w:r w:rsidR="00EC2446">
        <w:t>.</w:t>
      </w:r>
      <w:r w:rsidR="009B62FF">
        <w:rPr>
          <w:rStyle w:val="Voetnootmarkering"/>
        </w:rPr>
        <w:footnoteReference w:id="70"/>
      </w:r>
    </w:p>
    <w:p w14:paraId="43494387" w14:textId="20E48ACE" w:rsidR="009B62FF" w:rsidRDefault="00CD4E56">
      <w:pPr>
        <w:pStyle w:val="Lijstalinea"/>
        <w:numPr>
          <w:ilvl w:val="0"/>
          <w:numId w:val="4"/>
        </w:numPr>
        <w:contextualSpacing w:val="0"/>
        <w:jc w:val="both"/>
      </w:pPr>
      <w:r>
        <w:t>P</w:t>
      </w:r>
      <w:r w:rsidR="009B62FF">
        <w:t xml:space="preserve">ersoneelsleden in het ambt van </w:t>
      </w:r>
      <w:proofErr w:type="spellStart"/>
      <w:r w:rsidR="009B62FF">
        <w:t>leerondersteunend</w:t>
      </w:r>
      <w:proofErr w:type="spellEnd"/>
      <w:r w:rsidR="009B62FF">
        <w:t xml:space="preserve"> personeel kunnen geen instellingsgebonden opdrachten krijgen</w:t>
      </w:r>
      <w:r w:rsidR="00EC2446">
        <w:t>.</w:t>
      </w:r>
      <w:r w:rsidR="009B62FF">
        <w:rPr>
          <w:rStyle w:val="Voetnootmarkering"/>
        </w:rPr>
        <w:footnoteReference w:id="71"/>
      </w:r>
    </w:p>
    <w:p w14:paraId="2FA0995B" w14:textId="78D03043" w:rsidR="009B62FF" w:rsidRDefault="00CD4E56">
      <w:pPr>
        <w:pStyle w:val="Lijstalinea"/>
        <w:numPr>
          <w:ilvl w:val="0"/>
          <w:numId w:val="4"/>
        </w:numPr>
        <w:contextualSpacing w:val="0"/>
        <w:jc w:val="both"/>
      </w:pPr>
      <w:r>
        <w:lastRenderedPageBreak/>
        <w:t>T</w:t>
      </w:r>
      <w:r w:rsidR="009B7F37">
        <w:t>ot de kerntaak van de leerondersteuner behoort het bieden van leersteun, met inbegrip van de planning, voorbereiding en nazorg van de steun, de leersteun zelf, professionalisering en, het overleg en de samenwerking met directie, collega’s, schoolteams, ouders, in voorkomend geval het CLB en welzijnspartners, andere centra en eventuele andere relevante partners</w:t>
      </w:r>
      <w:r w:rsidR="00EC2446">
        <w:t>.</w:t>
      </w:r>
      <w:r w:rsidR="009B7F37">
        <w:rPr>
          <w:rStyle w:val="Voetnootmarkering"/>
        </w:rPr>
        <w:footnoteReference w:id="72"/>
      </w:r>
    </w:p>
    <w:p w14:paraId="5130EAC1" w14:textId="64B75C2C" w:rsidR="009B7F37" w:rsidRDefault="00EC2446">
      <w:pPr>
        <w:pStyle w:val="Lijstalinea"/>
        <w:numPr>
          <w:ilvl w:val="0"/>
          <w:numId w:val="4"/>
        </w:numPr>
        <w:contextualSpacing w:val="0"/>
        <w:jc w:val="both"/>
      </w:pPr>
      <w:r>
        <w:t>P</w:t>
      </w:r>
      <w:r w:rsidR="009B7F37">
        <w:t xml:space="preserve">ersoneelsleden die </w:t>
      </w:r>
      <w:r w:rsidR="00ED011B">
        <w:t>reeds aangesteld zijn als ondersteuner, worden bij voorrang aangeworven bij de leersteuncentra. Indien er na</w:t>
      </w:r>
      <w:r w:rsidR="00D656DF">
        <w:t xml:space="preserve">dien </w:t>
      </w:r>
      <w:r w:rsidR="00ED011B">
        <w:t>nog betrekkingen beschikbaar zijn, kan vrij personeel worden aangeworven</w:t>
      </w:r>
      <w:r>
        <w:t>.</w:t>
      </w:r>
      <w:r w:rsidR="00ED011B">
        <w:rPr>
          <w:rStyle w:val="Voetnootmarkering"/>
        </w:rPr>
        <w:footnoteReference w:id="73"/>
      </w:r>
      <w:r w:rsidR="00ED011B">
        <w:t xml:space="preserve"> </w:t>
      </w:r>
    </w:p>
    <w:p w14:paraId="47C71CC5" w14:textId="2C8455E7" w:rsidR="00685CD5" w:rsidRDefault="00EC2446">
      <w:pPr>
        <w:pStyle w:val="Lijstalinea"/>
        <w:numPr>
          <w:ilvl w:val="0"/>
          <w:numId w:val="4"/>
        </w:numPr>
        <w:contextualSpacing w:val="0"/>
        <w:jc w:val="both"/>
      </w:pPr>
      <w:r>
        <w:t>V</w:t>
      </w:r>
      <w:r w:rsidR="00685CD5">
        <w:t>oor zelfstandige leercentra in het vrij gesubsidieerd onderwijs moeten de inrichtende machten een lokaal onderhandelingscomité inrichten</w:t>
      </w:r>
      <w:r>
        <w:t>.</w:t>
      </w:r>
      <w:r w:rsidR="00685CD5">
        <w:rPr>
          <w:rStyle w:val="Voetnootmarkering"/>
        </w:rPr>
        <w:footnoteReference w:id="74"/>
      </w:r>
    </w:p>
    <w:p w14:paraId="20F3A847" w14:textId="18D0DB1E" w:rsidR="00685CD5" w:rsidRDefault="00EC2446">
      <w:pPr>
        <w:pStyle w:val="Lijstalinea"/>
        <w:numPr>
          <w:ilvl w:val="0"/>
          <w:numId w:val="4"/>
        </w:numPr>
        <w:contextualSpacing w:val="0"/>
        <w:jc w:val="both"/>
      </w:pPr>
      <w:r>
        <w:t>D</w:t>
      </w:r>
      <w:r w:rsidR="00685CD5">
        <w:t>e overstap van leerlingen van het buitengewoon naar het gewoon basisonderwijs wordt aangemoedigd</w:t>
      </w:r>
      <w:r w:rsidR="00197BC2">
        <w:t>. Scholen voor buitengewoon basisonderwijs geven jaarlijks</w:t>
      </w:r>
      <w:r w:rsidR="00685CD5">
        <w:t xml:space="preserve"> </w:t>
      </w:r>
      <w:r w:rsidR="00197BC2">
        <w:t>aan het CLB door voor welke leerlingen een evaluatie van de inschrijving aangewezen</w:t>
      </w:r>
      <w:r>
        <w:t>.</w:t>
      </w:r>
      <w:r w:rsidR="00685CD5">
        <w:rPr>
          <w:rStyle w:val="Voetnootmarkering"/>
        </w:rPr>
        <w:footnoteReference w:id="75"/>
      </w:r>
    </w:p>
    <w:p w14:paraId="23B31170" w14:textId="5CE35043" w:rsidR="00197BC2" w:rsidRDefault="00EC2446">
      <w:pPr>
        <w:pStyle w:val="Lijstalinea"/>
        <w:numPr>
          <w:ilvl w:val="0"/>
          <w:numId w:val="4"/>
        </w:numPr>
        <w:contextualSpacing w:val="0"/>
        <w:jc w:val="both"/>
      </w:pPr>
      <w:r>
        <w:t>Le</w:t>
      </w:r>
      <w:r w:rsidR="00197BC2">
        <w:t>erlingen met een IAC-verslag ingeschreven in het gewoon basisonderwijs kunnen maximaal tot de helft van de lessen en activiteiten in een school voor buitengewoon onderwijs volge</w:t>
      </w:r>
      <w:r w:rsidR="002358E0">
        <w:t>n.</w:t>
      </w:r>
      <w:r w:rsidR="00447122">
        <w:rPr>
          <w:rStyle w:val="Voetnootmarkering"/>
        </w:rPr>
        <w:footnoteReference w:id="76"/>
      </w:r>
      <w:r w:rsidR="002358E0">
        <w:t xml:space="preserve"> </w:t>
      </w:r>
      <w:r w:rsidR="00197BC2">
        <w:t xml:space="preserve">Leerlingen ingeschreven in het buitengewoon basisonderwijs kunnen </w:t>
      </w:r>
      <w:r w:rsidR="00B27DC1">
        <w:t>voor een periode van twee jaar tot voltijds de lessen en activiteiten in een school voor gewoon basisonderwijs bijwonen.</w:t>
      </w:r>
      <w:r w:rsidR="00447122">
        <w:rPr>
          <w:rStyle w:val="Voetnootmarkering"/>
        </w:rPr>
        <w:footnoteReference w:id="77"/>
      </w:r>
      <w:r w:rsidR="00B27DC1">
        <w:t xml:space="preserve"> De inschrijving van deze laatste mag niet worden geweigerd wanneer de capaciteit van de school bereikt is</w:t>
      </w:r>
      <w:r w:rsidR="00447122">
        <w:t>.</w:t>
      </w:r>
      <w:r w:rsidR="00447122">
        <w:rPr>
          <w:rStyle w:val="Voetnootmarkering"/>
        </w:rPr>
        <w:footnoteReference w:id="78"/>
      </w:r>
      <w:r w:rsidR="00447122">
        <w:t xml:space="preserve"> Eenzelfde regeling is voorzien voor het secundair onderwijs</w:t>
      </w:r>
      <w:r>
        <w:t>.</w:t>
      </w:r>
      <w:r w:rsidR="00447122">
        <w:rPr>
          <w:rStyle w:val="Voetnootmarkering"/>
        </w:rPr>
        <w:footnoteReference w:id="79"/>
      </w:r>
    </w:p>
    <w:p w14:paraId="1A14DFB1" w14:textId="4B054084" w:rsidR="00197BC2" w:rsidRDefault="00EC2446">
      <w:pPr>
        <w:pStyle w:val="Lijstalinea"/>
        <w:numPr>
          <w:ilvl w:val="0"/>
          <w:numId w:val="4"/>
        </w:numPr>
        <w:contextualSpacing w:val="0"/>
        <w:jc w:val="both"/>
      </w:pPr>
      <w:r>
        <w:t>L</w:t>
      </w:r>
      <w:r w:rsidR="00B27DC1">
        <w:t>eerlingen met een IAC-verslag worden voor de inschrijving in het gewoon basis</w:t>
      </w:r>
      <w:r w:rsidR="002358E0">
        <w:t xml:space="preserve">- en secundair </w:t>
      </w:r>
      <w:r w:rsidR="00B27DC1">
        <w:t>onderwijs beschouwd als een ondervertegenwoordigde groep</w:t>
      </w:r>
      <w:r>
        <w:t>.</w:t>
      </w:r>
      <w:r w:rsidR="00B27DC1">
        <w:rPr>
          <w:rStyle w:val="Voetnootmarkering"/>
        </w:rPr>
        <w:footnoteReference w:id="80"/>
      </w:r>
    </w:p>
    <w:p w14:paraId="561261AD" w14:textId="5830990D" w:rsidR="00B27DC1" w:rsidRDefault="00EC2446">
      <w:pPr>
        <w:pStyle w:val="Lijstalinea"/>
        <w:numPr>
          <w:ilvl w:val="0"/>
          <w:numId w:val="4"/>
        </w:numPr>
        <w:contextualSpacing w:val="0"/>
        <w:jc w:val="both"/>
      </w:pPr>
      <w:r>
        <w:t>I</w:t>
      </w:r>
      <w:r w:rsidR="00B27DC1">
        <w:t>n het buitengewoon</w:t>
      </w:r>
      <w:r w:rsidR="00447122">
        <w:t xml:space="preserve"> basis- en secundair</w:t>
      </w:r>
      <w:r w:rsidR="00B27DC1">
        <w:t xml:space="preserve"> onderwijs worden het individueel handelingsplan en de groepshandelingsplannen vervangen door een IAC voor iedere leerling</w:t>
      </w:r>
      <w:r w:rsidR="00447122">
        <w:t>.</w:t>
      </w:r>
      <w:r w:rsidR="00B27DC1">
        <w:rPr>
          <w:rStyle w:val="Voetnootmarkering"/>
        </w:rPr>
        <w:footnoteReference w:id="81"/>
      </w:r>
      <w:r w:rsidR="00447122">
        <w:t xml:space="preserve"> Leerlingen met een OV4-verslag volgen </w:t>
      </w:r>
      <w:r w:rsidR="00770070">
        <w:t xml:space="preserve">in beginsel </w:t>
      </w:r>
      <w:r w:rsidR="00447122">
        <w:t>het gemeenschappelijk curriculum in het secundair onderwijs</w:t>
      </w:r>
      <w:r>
        <w:t>.</w:t>
      </w:r>
      <w:r w:rsidR="00447122">
        <w:rPr>
          <w:rStyle w:val="Voetnootmarkering"/>
        </w:rPr>
        <w:footnoteReference w:id="82"/>
      </w:r>
    </w:p>
    <w:p w14:paraId="45A7B489" w14:textId="2582636F" w:rsidR="000857A7" w:rsidRDefault="00EC2446">
      <w:pPr>
        <w:pStyle w:val="Lijstalinea"/>
        <w:numPr>
          <w:ilvl w:val="0"/>
          <w:numId w:val="4"/>
        </w:numPr>
        <w:contextualSpacing w:val="0"/>
        <w:jc w:val="both"/>
      </w:pPr>
      <w:r>
        <w:t>D</w:t>
      </w:r>
      <w:r w:rsidR="000857A7">
        <w:t xml:space="preserve">e klassenraad kan leerlingen met een IAC toch een getuigschrift basisonderwijs uitreiken. De procedure </w:t>
      </w:r>
      <w:r w:rsidR="00D656DF">
        <w:t>voor</w:t>
      </w:r>
      <w:r w:rsidR="000857A7">
        <w:t xml:space="preserve"> gelijkwaardigheid van het IAC bij de onderwijsinspectie wordt verlaten</w:t>
      </w:r>
      <w:r>
        <w:t>.</w:t>
      </w:r>
      <w:r w:rsidR="000857A7">
        <w:rPr>
          <w:rStyle w:val="Voetnootmarkering"/>
        </w:rPr>
        <w:footnoteReference w:id="83"/>
      </w:r>
    </w:p>
    <w:p w14:paraId="261E0B14" w14:textId="6A77E943" w:rsidR="000857A7" w:rsidRDefault="00EC2446">
      <w:pPr>
        <w:pStyle w:val="Lijstalinea"/>
        <w:numPr>
          <w:ilvl w:val="0"/>
          <w:numId w:val="4"/>
        </w:numPr>
        <w:contextualSpacing w:val="0"/>
        <w:jc w:val="both"/>
      </w:pPr>
      <w:r>
        <w:t>S</w:t>
      </w:r>
      <w:r w:rsidR="00E25C88">
        <w:t>cholen voor buitengewoon basisonderwijs kunnen vrij nieuwe vestigingsplaatsen inrichten die niet in dezelfde gemeente of aangrenzende gemeente lig</w:t>
      </w:r>
      <w:r w:rsidR="00D656DF">
        <w:t>gen</w:t>
      </w:r>
      <w:r w:rsidR="00E25C88">
        <w:t xml:space="preserve"> van de administratieve vestigingsplaats van de school</w:t>
      </w:r>
      <w:r>
        <w:t>.</w:t>
      </w:r>
      <w:r w:rsidR="00E25C88">
        <w:rPr>
          <w:rStyle w:val="Voetnootmarkering"/>
        </w:rPr>
        <w:footnoteReference w:id="84"/>
      </w:r>
    </w:p>
    <w:p w14:paraId="73491377" w14:textId="66F919BB" w:rsidR="00E25C88" w:rsidRDefault="00EC2446">
      <w:pPr>
        <w:pStyle w:val="Lijstalinea"/>
        <w:numPr>
          <w:ilvl w:val="0"/>
          <w:numId w:val="4"/>
        </w:numPr>
        <w:contextualSpacing w:val="0"/>
        <w:jc w:val="both"/>
      </w:pPr>
      <w:r>
        <w:lastRenderedPageBreak/>
        <w:t>D</w:t>
      </w:r>
      <w:r w:rsidR="002358E0">
        <w:t xml:space="preserve">irecteurs van een school voor buitengewoon onderwijs moeten geen lesopdracht opnemen wanneer het minimaal aantal leerlingen niet behaald is </w:t>
      </w:r>
      <w:r w:rsidR="00D656DF">
        <w:t>indien</w:t>
      </w:r>
      <w:r w:rsidR="002358E0">
        <w:t xml:space="preserve"> een leercentrum deel uitmaakt van de school</w:t>
      </w:r>
      <w:r>
        <w:t>.</w:t>
      </w:r>
      <w:r w:rsidR="002358E0">
        <w:rPr>
          <w:rStyle w:val="Voetnootmarkering"/>
        </w:rPr>
        <w:footnoteReference w:id="85"/>
      </w:r>
    </w:p>
    <w:p w14:paraId="012B5F8F" w14:textId="3087EF32" w:rsidR="002358E0" w:rsidRDefault="00EC2446">
      <w:pPr>
        <w:pStyle w:val="Lijstalinea"/>
        <w:numPr>
          <w:ilvl w:val="0"/>
          <w:numId w:val="4"/>
        </w:numPr>
        <w:contextualSpacing w:val="0"/>
        <w:jc w:val="both"/>
      </w:pPr>
      <w:r>
        <w:t>E</w:t>
      </w:r>
      <w:r w:rsidR="00770070">
        <w:t>en CLB kan een bemiddelingsopdracht krijgen wanneer een afweging over redelijke aanpassingen voor een leerling met specifieke onderwijsbehoeften moeilijk verloopt</w:t>
      </w:r>
      <w:r>
        <w:t>.</w:t>
      </w:r>
      <w:r w:rsidR="00770070">
        <w:rPr>
          <w:rStyle w:val="Voetnootmarkering"/>
        </w:rPr>
        <w:footnoteReference w:id="86"/>
      </w:r>
    </w:p>
    <w:p w14:paraId="39C64C70" w14:textId="3BF3EAF4" w:rsidR="00770070" w:rsidRDefault="00EC2446">
      <w:pPr>
        <w:pStyle w:val="Lijstalinea"/>
        <w:numPr>
          <w:ilvl w:val="0"/>
          <w:numId w:val="4"/>
        </w:numPr>
        <w:contextualSpacing w:val="0"/>
        <w:jc w:val="both"/>
      </w:pPr>
      <w:r>
        <w:t>D</w:t>
      </w:r>
      <w:r w:rsidR="00E811B0">
        <w:t>e leersteuncentra worden gebracht onder het decreet van 8 mei 2009 betreffende de kwaliteit van het onderwijs. Om de kwaliteit van de leersteuncentra te controleren, hanteert de inspectie een referentiekader kwaliteitsvolle leersteun</w:t>
      </w:r>
      <w:r w:rsidR="00713267">
        <w:t>.</w:t>
      </w:r>
      <w:r w:rsidR="00E811B0">
        <w:rPr>
          <w:rStyle w:val="Voetnootmarkering"/>
        </w:rPr>
        <w:footnoteReference w:id="87"/>
      </w:r>
      <w:r w:rsidR="00713267">
        <w:t xml:space="preserve"> De pedagogische begeleidingsdiensten van de koepels staan in voor de begeleiding van de leersteuncentra</w:t>
      </w:r>
      <w:r>
        <w:t>.</w:t>
      </w:r>
      <w:r w:rsidR="00713267">
        <w:rPr>
          <w:rStyle w:val="Voetnootmarkering"/>
        </w:rPr>
        <w:footnoteReference w:id="88"/>
      </w:r>
    </w:p>
    <w:p w14:paraId="79734539" w14:textId="0B619B66" w:rsidR="00713267" w:rsidRDefault="00EC2446">
      <w:pPr>
        <w:pStyle w:val="Lijstalinea"/>
        <w:numPr>
          <w:ilvl w:val="0"/>
          <w:numId w:val="4"/>
        </w:numPr>
        <w:contextualSpacing w:val="0"/>
        <w:jc w:val="both"/>
      </w:pPr>
      <w:r>
        <w:t>D</w:t>
      </w:r>
      <w:r w:rsidR="00713267">
        <w:t>e onderwijsinspectie gaat na op welke wijze de school kwaliteitsvolle trajecten voor leerlingen met een IAC-verslag en OV4-verslag realiseert, en in hoeverre er in het buitengewoon onderwijs aandacht is voor de mogelijkheid tot terugkeer van leerlingen naar het gewoon onderwijs</w:t>
      </w:r>
      <w:r>
        <w:t>.</w:t>
      </w:r>
      <w:r w:rsidR="00713267">
        <w:rPr>
          <w:rStyle w:val="Voetnootmarkering"/>
        </w:rPr>
        <w:footnoteReference w:id="89"/>
      </w:r>
    </w:p>
    <w:p w14:paraId="235C39A9" w14:textId="29FAFD55" w:rsidR="00136049" w:rsidRDefault="00EC2446">
      <w:pPr>
        <w:pStyle w:val="Lijstalinea"/>
        <w:numPr>
          <w:ilvl w:val="0"/>
          <w:numId w:val="4"/>
        </w:numPr>
        <w:contextualSpacing w:val="0"/>
        <w:jc w:val="both"/>
      </w:pPr>
      <w:r>
        <w:t>E</w:t>
      </w:r>
      <w:r w:rsidR="00136049">
        <w:t>en gebrek aan beleid op leerlingenbegeleiding vastgesteld door de onderwijsinspectie, kan leiden tot de verplichting voor de school om zich op dat vlak extern te laten begeleiden. Een gebrek aan beleid op het vlak van de kwaliteit van de leersteun, kan leiden tot eenzelfde verplichting voor de leersteuncentra.</w:t>
      </w:r>
      <w:r w:rsidR="00136049">
        <w:rPr>
          <w:rStyle w:val="Voetnootmarkering"/>
        </w:rPr>
        <w:footnoteReference w:id="90"/>
      </w:r>
    </w:p>
    <w:p w14:paraId="555ADAA0" w14:textId="77777777" w:rsidR="00C85A9F" w:rsidRDefault="00C85A9F" w:rsidP="00C85A9F">
      <w:pPr>
        <w:pStyle w:val="Lijstalinea"/>
        <w:ind w:left="0"/>
        <w:contextualSpacing w:val="0"/>
        <w:jc w:val="both"/>
      </w:pPr>
    </w:p>
    <w:p w14:paraId="2F8CDF7A" w14:textId="2E78BA9C" w:rsidR="00C85A9F" w:rsidRDefault="00D74D13" w:rsidP="00C85A9F">
      <w:pPr>
        <w:pStyle w:val="Kop1"/>
      </w:pPr>
      <w:r>
        <w:t xml:space="preserve"> </w:t>
      </w:r>
      <w:r w:rsidR="00C85A9F">
        <w:t>Onderwijsinternaten (16 juni 2023)</w:t>
      </w:r>
    </w:p>
    <w:p w14:paraId="449854DC" w14:textId="65B5F582" w:rsidR="00C85A9F" w:rsidRDefault="00931345">
      <w:pPr>
        <w:pStyle w:val="Lijstalinea"/>
        <w:numPr>
          <w:ilvl w:val="0"/>
          <w:numId w:val="2"/>
        </w:numPr>
        <w:ind w:left="0" w:firstLine="0"/>
        <w:contextualSpacing w:val="0"/>
        <w:jc w:val="both"/>
      </w:pPr>
      <w:r>
        <w:t xml:space="preserve">Afgelopen school- en academiejaar heeft de Vlaamse decreetgever de regelgeving voor de </w:t>
      </w:r>
      <w:r w:rsidR="00A72E46">
        <w:t xml:space="preserve">onderwijsinternaten grondig vernieuwd. </w:t>
      </w:r>
      <w:r w:rsidR="00A00CCB">
        <w:t>Het nieuwe decreet kan beschouwd worden als een volwaardig niveaudecreet</w:t>
      </w:r>
      <w:r w:rsidR="00531B98">
        <w:t xml:space="preserve"> – weliswaar een kort, want zonder de wijzigings- en opheffingsbepalingen telt het slechts 45 artikelen.</w:t>
      </w:r>
      <w:r w:rsidR="00A00CCB">
        <w:t xml:space="preserve"> </w:t>
      </w:r>
      <w:r w:rsidR="00531B98">
        <w:t xml:space="preserve">Het decreet </w:t>
      </w:r>
      <w:r w:rsidR="0099120A">
        <w:t xml:space="preserve">voert een nieuw </w:t>
      </w:r>
      <w:r w:rsidR="00D656DF">
        <w:t xml:space="preserve">uniform </w:t>
      </w:r>
      <w:r w:rsidR="0099120A">
        <w:t>statuut voor de verschillende onderwijsinternaten</w:t>
      </w:r>
      <w:r w:rsidR="00121D1C">
        <w:t xml:space="preserve"> in</w:t>
      </w:r>
      <w:r w:rsidR="0099120A">
        <w:t xml:space="preserve">. </w:t>
      </w:r>
      <w:r w:rsidR="005E6233">
        <w:t>De verschillende categorieën die voorheen bestonden, houden op te bestaan</w:t>
      </w:r>
      <w:r w:rsidR="0057699F">
        <w:t>.</w:t>
      </w:r>
      <w:r w:rsidR="005E6233">
        <w:t xml:space="preserve"> </w:t>
      </w:r>
      <w:r w:rsidR="007D355D">
        <w:t>Dit is de eerste belangrijke wijziging die het decreet inhoudt. De tweede is de schaalvergroting die de decreetgever beoogt met de nieuwe financieringsregeling (</w:t>
      </w:r>
      <w:r w:rsidR="007D355D" w:rsidRPr="007D355D">
        <w:rPr>
          <w:i/>
          <w:iCs/>
        </w:rPr>
        <w:t>cf</w:t>
      </w:r>
      <w:r w:rsidR="007D355D">
        <w:t xml:space="preserve">. </w:t>
      </w:r>
      <w:r w:rsidR="007D355D" w:rsidRPr="007D355D">
        <w:rPr>
          <w:i/>
          <w:iCs/>
        </w:rPr>
        <w:t>infra</w:t>
      </w:r>
      <w:r w:rsidR="007D355D">
        <w:t xml:space="preserve">). </w:t>
      </w:r>
      <w:r w:rsidR="005E6233">
        <w:t>Hiernavolgend overlopen we de hoofdlijnen van d</w:t>
      </w:r>
      <w:r w:rsidR="00DF222D">
        <w:t>eze</w:t>
      </w:r>
      <w:r w:rsidR="005E6233">
        <w:t xml:space="preserve"> nieuwe </w:t>
      </w:r>
      <w:r w:rsidR="00DF222D">
        <w:t>regeling</w:t>
      </w:r>
      <w:r w:rsidR="00DE626F">
        <w:t>,</w:t>
      </w:r>
      <w:r w:rsidR="005E6233">
        <w:t xml:space="preserve"> </w:t>
      </w:r>
      <w:r w:rsidR="00DF222D">
        <w:t>die</w:t>
      </w:r>
      <w:r w:rsidR="005E6233">
        <w:t xml:space="preserve"> in beginsel in werking trad op 1 september 2023.</w:t>
      </w:r>
    </w:p>
    <w:p w14:paraId="25DFAFE2" w14:textId="5CC71097" w:rsidR="00610834" w:rsidRDefault="0057699F">
      <w:pPr>
        <w:pStyle w:val="Lijstalinea"/>
        <w:numPr>
          <w:ilvl w:val="0"/>
          <w:numId w:val="2"/>
        </w:numPr>
        <w:ind w:left="0" w:firstLine="0"/>
        <w:contextualSpacing w:val="0"/>
        <w:jc w:val="both"/>
      </w:pPr>
      <w:r>
        <w:t xml:space="preserve">Een onderwijsinternaat heeft als opdracht zorg te dragen voor een </w:t>
      </w:r>
      <w:r w:rsidR="00610834">
        <w:t>‘</w:t>
      </w:r>
      <w:r w:rsidRPr="00610834">
        <w:rPr>
          <w:i/>
          <w:iCs/>
        </w:rPr>
        <w:t xml:space="preserve">kwaliteitsvol verblijf en begeleiding van internen, gericht op hun ontwikkeling </w:t>
      </w:r>
      <w:r w:rsidR="00610834" w:rsidRPr="00610834">
        <w:rPr>
          <w:i/>
          <w:iCs/>
        </w:rPr>
        <w:t>en het realiseren van hun schoolloopbaan</w:t>
      </w:r>
      <w:r w:rsidR="00610834">
        <w:t>’.</w:t>
      </w:r>
      <w:r w:rsidR="00610834">
        <w:rPr>
          <w:rStyle w:val="Voetnootmarkering"/>
        </w:rPr>
        <w:footnoteReference w:id="91"/>
      </w:r>
      <w:r w:rsidR="00610834">
        <w:t xml:space="preserve"> </w:t>
      </w:r>
      <w:r w:rsidR="0069796C">
        <w:t xml:space="preserve">De erkenningsvoorwaarden en -procedure voor onderwijsinternaten </w:t>
      </w:r>
      <w:r w:rsidR="00D656DF">
        <w:t>zijn</w:t>
      </w:r>
      <w:r w:rsidR="0069796C">
        <w:t xml:space="preserve"> gebaseerd op wat in de regel geldt voor onderwijsinstellingen. Acht generieke voorwaarden zoals ingericht zijn onder verantwoordelijkheid van een bestuur en gevestigd zijn in gebouwen en lokalen die voldoen aan de voorwaarden voor bewoonbaarheid, veiligheid en hygiëne moeten vervuld zijn. </w:t>
      </w:r>
      <w:r w:rsidR="0007414F">
        <w:t xml:space="preserve">De erkenningsprocedure </w:t>
      </w:r>
      <w:r w:rsidR="00DE626F">
        <w:t>ver</w:t>
      </w:r>
      <w:r w:rsidR="0007414F">
        <w:t>loopt in twee fasen:</w:t>
      </w:r>
      <w:r w:rsidR="00DE626F">
        <w:t xml:space="preserve"> eerst is er</w:t>
      </w:r>
      <w:r w:rsidR="0007414F">
        <w:t xml:space="preserve"> een voorlopige erkenning</w:t>
      </w:r>
      <w:r w:rsidR="00DE626F">
        <w:t xml:space="preserve">, die vervolgens, </w:t>
      </w:r>
      <w:r w:rsidR="0024253E">
        <w:t xml:space="preserve">in </w:t>
      </w:r>
      <w:r w:rsidR="0024253E">
        <w:lastRenderedPageBreak/>
        <w:t>het daaropvolgende schooljaar al dan niet bevestigd</w:t>
      </w:r>
      <w:r w:rsidR="00DE626F">
        <w:t xml:space="preserve"> wordt</w:t>
      </w:r>
      <w:r w:rsidR="0024253E">
        <w:t>.</w:t>
      </w:r>
      <w:r w:rsidR="0024253E">
        <w:rPr>
          <w:rStyle w:val="Voetnootmarkering"/>
        </w:rPr>
        <w:footnoteReference w:id="92"/>
      </w:r>
      <w:r w:rsidR="0024253E">
        <w:t xml:space="preserve"> Een erkenning houdt op zich weinig in. Anders dan een school reikt een internaat immers geen studiebekrachtigingsbewijzen</w:t>
      </w:r>
      <w:r w:rsidR="00D656DF">
        <w:t xml:space="preserve"> uit</w:t>
      </w:r>
      <w:r w:rsidR="00FA4FFC">
        <w:t>; de financieringsvoorwaarden zijn van een groter belang.</w:t>
      </w:r>
    </w:p>
    <w:p w14:paraId="23FB5BB0" w14:textId="4C0C8446" w:rsidR="00303DF0" w:rsidRDefault="00E21B89">
      <w:pPr>
        <w:pStyle w:val="Lijstalinea"/>
        <w:numPr>
          <w:ilvl w:val="0"/>
          <w:numId w:val="2"/>
        </w:numPr>
        <w:ind w:left="0" w:firstLine="0"/>
        <w:contextualSpacing w:val="0"/>
        <w:jc w:val="both"/>
      </w:pPr>
      <w:r>
        <w:t>Om in aanmerking te komen voor financiering, moet het onderwijsinternaat erkend zijn, moet controle op de besteding van het werkingsbudget door de bevoegde dienst van de Vlaamse Gemeenschap mogelijk zijn en mag het internaat hooguit twee opeenvolgende jaren niet aan de rationalisatienorm van 62.875 omkaderingsrekeneenheden</w:t>
      </w:r>
      <w:r w:rsidR="00303DF0">
        <w:t xml:space="preserve"> (ORE)</w:t>
      </w:r>
      <w:r>
        <w:t xml:space="preserve"> voldoen.</w:t>
      </w:r>
      <w:r>
        <w:rPr>
          <w:rStyle w:val="Voetnootmarkering"/>
        </w:rPr>
        <w:footnoteReference w:id="93"/>
      </w:r>
      <w:r w:rsidR="00303DF0">
        <w:t xml:space="preserve"> </w:t>
      </w:r>
      <w:r w:rsidR="009008BD">
        <w:t xml:space="preserve">Deze financiering of subsidiëring is omvangrijker dan de middelen die de internaten toekwamen op basis van de oude regelgeving. </w:t>
      </w:r>
      <w:r w:rsidR="00303DF0">
        <w:t xml:space="preserve">De </w:t>
      </w:r>
      <w:proofErr w:type="spellStart"/>
      <w:r w:rsidR="009008BD">
        <w:t>ORE’s</w:t>
      </w:r>
      <w:proofErr w:type="spellEnd"/>
      <w:r w:rsidR="00303DF0">
        <w:t xml:space="preserve"> worden bepaald op basis van het aantal en de kenmerken van de internen waardoor </w:t>
      </w:r>
      <w:r w:rsidR="00DE626F">
        <w:t>dit</w:t>
      </w:r>
      <w:r w:rsidR="00303DF0">
        <w:t xml:space="preserve"> niet kan uitgedrukt worden in een bepaald aantal internen. Met deze norm streeft de decreetgever grotere onderwijsinternaten</w:t>
      </w:r>
      <w:r w:rsidR="00F951EB">
        <w:t xml:space="preserve"> na</w:t>
      </w:r>
      <w:r w:rsidR="00303DF0">
        <w:t xml:space="preserve"> om de organiseerbaarheid en de dagelijkse werking van de internaten te garanderen.</w:t>
      </w:r>
      <w:r w:rsidR="00E0451D">
        <w:t xml:space="preserve"> </w:t>
      </w:r>
      <w:r w:rsidR="00303DF0">
        <w:t xml:space="preserve">De </w:t>
      </w:r>
      <w:proofErr w:type="spellStart"/>
      <w:r w:rsidR="00303DF0">
        <w:t>ORE’s</w:t>
      </w:r>
      <w:proofErr w:type="spellEnd"/>
      <w:r w:rsidR="00303DF0">
        <w:t xml:space="preserve"> waar onderwijsinternaten recht op hebben,</w:t>
      </w:r>
      <w:r w:rsidR="00D90A16">
        <w:t xml:space="preserve"> </w:t>
      </w:r>
      <w:r w:rsidR="00DE626F">
        <w:t>zijn</w:t>
      </w:r>
      <w:r w:rsidR="00D90A16">
        <w:t xml:space="preserve"> bedoeld voor de gehele omkadering.</w:t>
      </w:r>
      <w:r w:rsidR="007D355D">
        <w:t xml:space="preserve"> Met de minimale omkadering kunnen de internaten een leidinggevende en vijf medewerkers aanstellen.</w:t>
      </w:r>
      <w:r w:rsidR="00D90A16">
        <w:t xml:space="preserve"> Voor de wijze waarop de ORE per internaat berekend wordt, verwijzen we naar de tekst van het decreet.</w:t>
      </w:r>
      <w:r w:rsidR="00436D80">
        <w:rPr>
          <w:rStyle w:val="Voetnootmarkering"/>
        </w:rPr>
        <w:footnoteReference w:id="94"/>
      </w:r>
    </w:p>
    <w:p w14:paraId="53D9851F" w14:textId="173B5370" w:rsidR="00436D80" w:rsidRDefault="00436D80" w:rsidP="006C2510">
      <w:pPr>
        <w:pStyle w:val="Lijstalinea"/>
        <w:ind w:left="0" w:firstLine="708"/>
        <w:contextualSpacing w:val="0"/>
        <w:jc w:val="both"/>
      </w:pPr>
      <w:r>
        <w:t>Het werkingsbudget van de internaten wordt berekend op basis van een forfaitair bedrag per interne.</w:t>
      </w:r>
      <w:r>
        <w:rPr>
          <w:rStyle w:val="Voetnootmarkering"/>
        </w:rPr>
        <w:footnoteReference w:id="95"/>
      </w:r>
      <w:r w:rsidR="00E0451D">
        <w:t xml:space="preserve"> Dit wordt aangevuld met een bijdrage die de internen betalen voor de kosten verbonden aan het verblijf. Er mag geen inschrijvingsgeld gevraagd worden voor inschrijving in het onderwijsinternaat.</w:t>
      </w:r>
      <w:r w:rsidR="00E0451D">
        <w:rPr>
          <w:rStyle w:val="Voetnootmarkering"/>
        </w:rPr>
        <w:footnoteReference w:id="96"/>
      </w:r>
    </w:p>
    <w:p w14:paraId="62C71394" w14:textId="5722DD26" w:rsidR="000423DD" w:rsidRDefault="000423DD">
      <w:pPr>
        <w:pStyle w:val="Lijstalinea"/>
        <w:numPr>
          <w:ilvl w:val="0"/>
          <w:numId w:val="2"/>
        </w:numPr>
        <w:ind w:left="0" w:firstLine="0"/>
        <w:contextualSpacing w:val="0"/>
        <w:jc w:val="both"/>
      </w:pPr>
      <w:r>
        <w:t xml:space="preserve">De internaten kunnen zelf een inschrijvingsbeleid voeren. Het decreet legt op dat vlak enkel vast dat voorafgaand aan de inschrijving het reglement moet aangeboden worden aan de betrokken personen; deze personen het reglement moeten ondertekenen; en dat de inschrijving enkel op initiatief van het bestuur kan beëindigd worden wanneer na wijziging van het reglement dit niet opnieuw wordt ondertekend, wanneer een tuchtsanctie daartoe aanleiding geeft of wanneer </w:t>
      </w:r>
      <w:r w:rsidR="00835A6E">
        <w:t xml:space="preserve">geen akkoord gevonden wordt over een aanpassing van het afsprakenkader en ondersteuningsplan </w:t>
      </w:r>
      <w:r w:rsidR="006C2510">
        <w:t>wanneer</w:t>
      </w:r>
      <w:r w:rsidR="00835A6E">
        <w:t xml:space="preserve"> het verblijf in het internaat kadert in jeugdhulpverlening.</w:t>
      </w:r>
      <w:r w:rsidR="00835A6E">
        <w:rPr>
          <w:rStyle w:val="Voetnootmarkering"/>
        </w:rPr>
        <w:footnoteReference w:id="97"/>
      </w:r>
      <w:r w:rsidR="00835A6E">
        <w:t xml:space="preserve"> Zulk kader en plan moeten bovendien worden opgesteld en ondertekend door alle betrokken partijen voorafgaand aan de inschrijving.</w:t>
      </w:r>
    </w:p>
    <w:p w14:paraId="443F84FA" w14:textId="7767EA85" w:rsidR="00835A6E" w:rsidRDefault="00835A6E">
      <w:pPr>
        <w:pStyle w:val="Lijstalinea"/>
        <w:numPr>
          <w:ilvl w:val="0"/>
          <w:numId w:val="2"/>
        </w:numPr>
        <w:ind w:left="0" w:firstLine="0"/>
        <w:contextualSpacing w:val="0"/>
        <w:jc w:val="both"/>
      </w:pPr>
      <w:r>
        <w:t>Net zoals voor leerlingen in scholen voor basis- of secundair onderwijs, kan een onderwijsinternaat sancties opleggen aan internen: een preventie schorsing en, een tijdelijke en definitieve uitsluiting.</w:t>
      </w:r>
      <w:r>
        <w:rPr>
          <w:rStyle w:val="Voetnootmarkering"/>
        </w:rPr>
        <w:footnoteReference w:id="98"/>
      </w:r>
      <w:r>
        <w:t xml:space="preserve"> Wanneer zulke sancties worden opgelegd, moet</w:t>
      </w:r>
      <w:r w:rsidR="00343C88">
        <w:t xml:space="preserve"> het internaatbestuur er</w:t>
      </w:r>
      <w:r w:rsidR="00DE626F">
        <w:t xml:space="preserve"> </w:t>
      </w:r>
      <w:r w:rsidR="00343C88">
        <w:t>mee voor zorgen dat de interne naar school kan blijven gaan.</w:t>
      </w:r>
    </w:p>
    <w:p w14:paraId="09026FEB" w14:textId="49E18AAF" w:rsidR="00610834" w:rsidRDefault="00C65AC7">
      <w:pPr>
        <w:pStyle w:val="Lijstalinea"/>
        <w:numPr>
          <w:ilvl w:val="0"/>
          <w:numId w:val="2"/>
        </w:numPr>
        <w:ind w:left="0" w:firstLine="0"/>
        <w:contextualSpacing w:val="0"/>
        <w:jc w:val="both"/>
      </w:pPr>
      <w:r>
        <w:t>Tot slot willen we volgende bepalingen uit het decreet nog aanstippen:</w:t>
      </w:r>
    </w:p>
    <w:p w14:paraId="27F41EBF" w14:textId="4D3FA00A" w:rsidR="00C65AC7" w:rsidRDefault="00DE626F" w:rsidP="00DE626F">
      <w:pPr>
        <w:pStyle w:val="Lijstalinea"/>
        <w:numPr>
          <w:ilvl w:val="0"/>
          <w:numId w:val="11"/>
        </w:numPr>
        <w:contextualSpacing w:val="0"/>
        <w:jc w:val="both"/>
      </w:pPr>
      <w:r>
        <w:t>D</w:t>
      </w:r>
      <w:r w:rsidR="00831D25">
        <w:t>e onderwijsinternaten vallen onder het toezicht van de onderwijsinspectie</w:t>
      </w:r>
      <w:r w:rsidR="009008BD">
        <w:t xml:space="preserve">. Het zal dit doen op basis van het referentiekader </w:t>
      </w:r>
      <w:proofErr w:type="spellStart"/>
      <w:r w:rsidR="009008BD">
        <w:t>onderwijsinternaatskwaliteit</w:t>
      </w:r>
      <w:proofErr w:type="spellEnd"/>
      <w:r>
        <w:t>.</w:t>
      </w:r>
      <w:r w:rsidR="00831D25">
        <w:rPr>
          <w:rStyle w:val="Voetnootmarkering"/>
        </w:rPr>
        <w:footnoteReference w:id="99"/>
      </w:r>
    </w:p>
    <w:p w14:paraId="7CE3C4E7" w14:textId="7E2AC4BB" w:rsidR="00831D25" w:rsidRDefault="00DE626F" w:rsidP="00DE626F">
      <w:pPr>
        <w:pStyle w:val="Lijstalinea"/>
        <w:numPr>
          <w:ilvl w:val="0"/>
          <w:numId w:val="11"/>
        </w:numPr>
        <w:contextualSpacing w:val="0"/>
        <w:jc w:val="both"/>
      </w:pPr>
      <w:r>
        <w:t>D</w:t>
      </w:r>
      <w:r w:rsidR="00831D25">
        <w:t xml:space="preserve">e besturen </w:t>
      </w:r>
      <w:r w:rsidR="00AB37B3">
        <w:t xml:space="preserve">van de internaten </w:t>
      </w:r>
      <w:r w:rsidR="00831D25">
        <w:t>moeten een participatiebeleid opzetten</w:t>
      </w:r>
      <w:r>
        <w:t>.</w:t>
      </w:r>
      <w:r w:rsidR="00831D25">
        <w:rPr>
          <w:rStyle w:val="Voetnootmarkering"/>
        </w:rPr>
        <w:footnoteReference w:id="100"/>
      </w:r>
    </w:p>
    <w:p w14:paraId="4DED154E" w14:textId="196C57DF" w:rsidR="00E21B89" w:rsidRDefault="00DE626F" w:rsidP="00DE626F">
      <w:pPr>
        <w:pStyle w:val="Lijstalinea"/>
        <w:numPr>
          <w:ilvl w:val="0"/>
          <w:numId w:val="11"/>
        </w:numPr>
        <w:contextualSpacing w:val="0"/>
        <w:jc w:val="both"/>
      </w:pPr>
      <w:r>
        <w:lastRenderedPageBreak/>
        <w:t>I</w:t>
      </w:r>
      <w:r w:rsidR="00E21B89">
        <w:t xml:space="preserve">eder internaat moet een reglement hebben dat minstens de bij het decreet opgelegde zaken </w:t>
      </w:r>
      <w:r w:rsidR="000F3FCB">
        <w:t>bevat</w:t>
      </w:r>
      <w:r w:rsidR="00E21B89">
        <w:t xml:space="preserve"> zoals de missie en visie van het internaat, de status van erkenning, de algemene organisatie, de financiële regeling …</w:t>
      </w:r>
      <w:r w:rsidR="00E21B89">
        <w:rPr>
          <w:rStyle w:val="Voetnootmarkering"/>
        </w:rPr>
        <w:footnoteReference w:id="101"/>
      </w:r>
    </w:p>
    <w:p w14:paraId="2A2A3F9E" w14:textId="00490BDB" w:rsidR="00144A2E" w:rsidRDefault="00DE626F" w:rsidP="00DE626F">
      <w:pPr>
        <w:pStyle w:val="Lijstalinea"/>
        <w:numPr>
          <w:ilvl w:val="0"/>
          <w:numId w:val="11"/>
        </w:numPr>
        <w:contextualSpacing w:val="0"/>
        <w:jc w:val="both"/>
      </w:pPr>
      <w:r>
        <w:t>D</w:t>
      </w:r>
      <w:r w:rsidR="00436D80">
        <w:t>e Vlaamse Regering wordt gemachtigd om de personeelscategorieën te bepalen en deze in te delen in wervings-, selectie en bevorderingsambten</w:t>
      </w:r>
      <w:r>
        <w:t>.</w:t>
      </w:r>
      <w:r w:rsidR="00144A2E">
        <w:rPr>
          <w:rStyle w:val="Voetnootmarkering"/>
        </w:rPr>
        <w:footnoteReference w:id="102"/>
      </w:r>
    </w:p>
    <w:p w14:paraId="58B32658" w14:textId="776A69B6" w:rsidR="00436D80" w:rsidRDefault="00DE626F" w:rsidP="00DE626F">
      <w:pPr>
        <w:pStyle w:val="Lijstalinea"/>
        <w:numPr>
          <w:ilvl w:val="0"/>
          <w:numId w:val="11"/>
        </w:numPr>
        <w:contextualSpacing w:val="0"/>
        <w:jc w:val="both"/>
      </w:pPr>
      <w:r>
        <w:t>I</w:t>
      </w:r>
      <w:r w:rsidR="00144A2E">
        <w:t xml:space="preserve">n geval van rampen, catastrofen, epidemieën of humanitaire crisissen, </w:t>
      </w:r>
      <w:r w:rsidR="0047066F">
        <w:t xml:space="preserve">kent het </w:t>
      </w:r>
      <w:r w:rsidR="00D453B5">
        <w:t>decreet</w:t>
      </w:r>
      <w:r w:rsidR="0047066F">
        <w:t xml:space="preserve"> een vorm van bijzondere machten. In die situaties </w:t>
      </w:r>
      <w:r w:rsidR="00144A2E">
        <w:t>kan de Vlaamse Regering</w:t>
      </w:r>
      <w:r w:rsidR="0047066F">
        <w:t>, in beginsel voor een periode van maximaal zes maanden,</w:t>
      </w:r>
      <w:r w:rsidR="00144A2E">
        <w:t xml:space="preserve"> bijkomende financiële middelen toekennen aan de onderwijsinternaten en afwijkingen van de decretale bepalingen toestaan</w:t>
      </w:r>
      <w:r w:rsidR="00436D80">
        <w:t>.</w:t>
      </w:r>
      <w:r w:rsidR="00144A2E">
        <w:t xml:space="preserve"> </w:t>
      </w:r>
      <w:r w:rsidR="00144A2E">
        <w:rPr>
          <w:rStyle w:val="Voetnootmarkering"/>
        </w:rPr>
        <w:footnoteReference w:id="103"/>
      </w:r>
    </w:p>
    <w:p w14:paraId="36523E9D" w14:textId="77777777" w:rsidR="0047066F" w:rsidRDefault="0047066F" w:rsidP="0047066F">
      <w:pPr>
        <w:pStyle w:val="Lijstalinea"/>
        <w:ind w:left="0"/>
        <w:contextualSpacing w:val="0"/>
        <w:jc w:val="both"/>
      </w:pPr>
    </w:p>
    <w:p w14:paraId="7AF01438" w14:textId="1959A928" w:rsidR="0047066F" w:rsidRDefault="00BA7AFB" w:rsidP="0047066F">
      <w:pPr>
        <w:pStyle w:val="Kop1"/>
      </w:pPr>
      <w:r>
        <w:t xml:space="preserve"> Klokkenluiders in het onderwijs (23 juni 2023)</w:t>
      </w:r>
    </w:p>
    <w:p w14:paraId="30F9AE9E" w14:textId="704D09A1" w:rsidR="00BA7AFB" w:rsidRDefault="00B7091D">
      <w:pPr>
        <w:pStyle w:val="Lijstalinea"/>
        <w:numPr>
          <w:ilvl w:val="0"/>
          <w:numId w:val="2"/>
        </w:numPr>
        <w:ind w:left="0" w:firstLine="0"/>
        <w:contextualSpacing w:val="0"/>
        <w:jc w:val="both"/>
      </w:pPr>
      <w:r>
        <w:t xml:space="preserve">Richtlijn 2019/1937 van het Europees Parlement en de Raad verplicht de lidstaten van de Europese Unie om een klokkenluidersregeling aan te nemen voor zowel de private als de publieke sector, en dus ook </w:t>
      </w:r>
      <w:r w:rsidR="00012947">
        <w:t xml:space="preserve">voor het </w:t>
      </w:r>
      <w:r w:rsidR="0017544D">
        <w:t xml:space="preserve">(hoger) </w:t>
      </w:r>
      <w:r w:rsidR="00012947">
        <w:t>onderwijs.</w:t>
      </w:r>
      <w:r w:rsidR="00CF77F6">
        <w:rPr>
          <w:rStyle w:val="Voetnootmarkering"/>
        </w:rPr>
        <w:footnoteReference w:id="104"/>
      </w:r>
      <w:r w:rsidR="00012947">
        <w:t xml:space="preserve"> Het toepassingsgebied van de richtlijn is beperkt tot inbreuken op bepaalde EU-regelgeving</w:t>
      </w:r>
      <w:r w:rsidR="00CF77F6">
        <w:t xml:space="preserve"> – waaronder overheidsopdrachten, financiële diensten, producten en markten, productveiligheid en -conformiteit, veiligheid van het vervoer, bescherming van het milieu, volksgezondheid, consumentenbescherming … – </w:t>
      </w:r>
      <w:r w:rsidR="000F3FCB">
        <w:t xml:space="preserve">waardoor </w:t>
      </w:r>
      <w:r w:rsidR="00CF77F6">
        <w:t>de relevantie van de regeling voor het onderwijs is beperkt.</w:t>
      </w:r>
      <w:r w:rsidR="00CF77F6">
        <w:rPr>
          <w:rStyle w:val="Voetnootmarkering"/>
        </w:rPr>
        <w:footnoteReference w:id="105"/>
      </w:r>
    </w:p>
    <w:p w14:paraId="69F74634" w14:textId="2F28C151" w:rsidR="000F49F9" w:rsidRDefault="0017544D">
      <w:pPr>
        <w:pStyle w:val="Lijstalinea"/>
        <w:numPr>
          <w:ilvl w:val="0"/>
          <w:numId w:val="2"/>
        </w:numPr>
        <w:ind w:left="0" w:firstLine="0"/>
        <w:contextualSpacing w:val="0"/>
        <w:jc w:val="both"/>
      </w:pPr>
      <w:r>
        <w:t>Melders die</w:t>
      </w:r>
      <w:r w:rsidR="000F49F9">
        <w:t xml:space="preserve"> melding maken van</w:t>
      </w:r>
      <w:r>
        <w:t xml:space="preserve"> inbreuken op de genoemde EU-regelgeving,</w:t>
      </w:r>
      <w:r w:rsidR="000F49F9">
        <w:t xml:space="preserve"> inbreuken waardoor de financiële belangen van de Unie worden geschaad of inbreuken in verband met de interne markt, genieten een bepaalde bescherming</w:t>
      </w:r>
      <w:r w:rsidR="00940CBA">
        <w:t>.</w:t>
      </w:r>
      <w:r w:rsidR="00940CBA">
        <w:rPr>
          <w:rStyle w:val="Voetnootmarkering"/>
        </w:rPr>
        <w:footnoteReference w:id="106"/>
      </w:r>
      <w:r w:rsidR="000F49F9">
        <w:t xml:space="preserve"> </w:t>
      </w:r>
      <w:r w:rsidR="002B6F41">
        <w:t>Interpersoonlijke klachten die enkel betrekking hebben op de melder, vallen niet binnen het toepassingsgebied van deze regeling.</w:t>
      </w:r>
    </w:p>
    <w:p w14:paraId="130221A1" w14:textId="400A43B1" w:rsidR="000F3FCB" w:rsidRDefault="002B6F41">
      <w:pPr>
        <w:pStyle w:val="Lijstalinea"/>
        <w:numPr>
          <w:ilvl w:val="0"/>
          <w:numId w:val="2"/>
        </w:numPr>
        <w:ind w:left="0" w:firstLine="0"/>
        <w:contextualSpacing w:val="0"/>
        <w:jc w:val="both"/>
      </w:pPr>
      <w:r>
        <w:t xml:space="preserve">Meldingen kunnen gebeuren via een intern of een extern meldkanaal, of via openbaarmaking van de informatie. Iedere </w:t>
      </w:r>
      <w:r w:rsidR="00DD47E4">
        <w:t xml:space="preserve">instelling (scholen, centra voor leerlingenbegeleiding, onderwijsinternaten, universiteiten, hogescholen …) moeten een intern meldkanaal hebben. Het meldpunt wordt bemand door minstens een persoon die geen lid mag zijn van een beslissingsorgaan of </w:t>
      </w:r>
      <w:r w:rsidR="000F3FCB">
        <w:t xml:space="preserve">van de </w:t>
      </w:r>
      <w:r w:rsidR="00DD47E4">
        <w:t>personeelsafvaardiging. Het intern meldpunt kan ook ter beschikking gesteld worden door een derde. Iedere instelling bepaalt zelf de procedure overeenkomstig dewelke meldingen kunnen worden ingediend.</w:t>
      </w:r>
      <w:r w:rsidR="00DD47E4">
        <w:rPr>
          <w:rStyle w:val="Voetnootmarkering"/>
        </w:rPr>
        <w:footnoteReference w:id="107"/>
      </w:r>
      <w:r w:rsidR="00DD47E4">
        <w:t xml:space="preserve"> </w:t>
      </w:r>
      <w:r w:rsidR="007E259E">
        <w:t>Melders kunnen ook terecht bij een extern meldpunt</w:t>
      </w:r>
      <w:r w:rsidR="00676722">
        <w:t xml:space="preserve">. In beginsel moet een melding </w:t>
      </w:r>
      <w:r w:rsidR="00AB37B3">
        <w:t xml:space="preserve">evenwel </w:t>
      </w:r>
      <w:r w:rsidR="00676722">
        <w:t>eerst intern gebeuren</w:t>
      </w:r>
      <w:r w:rsidR="00AB37B3">
        <w:t>,</w:t>
      </w:r>
      <w:r w:rsidR="00676722">
        <w:t xml:space="preserve"> tenzij de melder meent</w:t>
      </w:r>
      <w:r w:rsidR="007E259E">
        <w:t xml:space="preserve"> dat een interne melding niet doeltreffend behandeld kan worden</w:t>
      </w:r>
      <w:r w:rsidR="00676722">
        <w:t xml:space="preserve"> of dat er een risico op represailles bestaat</w:t>
      </w:r>
      <w:r w:rsidR="007E259E">
        <w:t>.</w:t>
      </w:r>
      <w:r w:rsidR="007E259E">
        <w:rPr>
          <w:rStyle w:val="Voetnootmarkering"/>
        </w:rPr>
        <w:footnoteReference w:id="108"/>
      </w:r>
      <w:r w:rsidR="007E259E">
        <w:t xml:space="preserve"> Voor het niet-hoger onderwijs treedt de Vlaamse </w:t>
      </w:r>
      <w:proofErr w:type="spellStart"/>
      <w:r w:rsidR="007E259E">
        <w:t>Ombudsdienst</w:t>
      </w:r>
      <w:proofErr w:type="spellEnd"/>
      <w:r w:rsidR="007E259E">
        <w:t xml:space="preserve"> op als extern meldpunt; voor de universiteiten en </w:t>
      </w:r>
      <w:r w:rsidR="007E259E">
        <w:lastRenderedPageBreak/>
        <w:t>hogescholen treden de regeringscommissarissen op als extern meldpunt.</w:t>
      </w:r>
      <w:r w:rsidR="007E259E">
        <w:rPr>
          <w:rStyle w:val="Voetnootmarkering"/>
        </w:rPr>
        <w:footnoteReference w:id="109"/>
      </w:r>
      <w:r w:rsidR="00676722">
        <w:t xml:space="preserve"> Derden kunnen terecht bij het externe meldpunt en wanneer de instelling zo beslist, ook bij het interne meldpunt.</w:t>
      </w:r>
      <w:r w:rsidR="00676722">
        <w:rPr>
          <w:rStyle w:val="Voetnootmarkering"/>
        </w:rPr>
        <w:footnoteReference w:id="110"/>
      </w:r>
      <w:r w:rsidR="00676722">
        <w:t xml:space="preserve"> </w:t>
      </w:r>
    </w:p>
    <w:p w14:paraId="59588A5B" w14:textId="54988DBB" w:rsidR="002B6F41" w:rsidRDefault="00676722" w:rsidP="000F3FCB">
      <w:pPr>
        <w:pStyle w:val="Lijstalinea"/>
        <w:ind w:left="0" w:firstLine="708"/>
        <w:contextualSpacing w:val="0"/>
        <w:jc w:val="both"/>
      </w:pPr>
      <w:r>
        <w:t xml:space="preserve">Openbaarmaking van inbreuken kan </w:t>
      </w:r>
      <w:r w:rsidR="00634F72">
        <w:t xml:space="preserve">ten eerste </w:t>
      </w:r>
      <w:r>
        <w:t>wanneer binnen de drie maanden na een interne en/of externe melding geen passende maatregelen genomen zijn</w:t>
      </w:r>
      <w:r w:rsidR="00634F72">
        <w:t xml:space="preserve">; en ten tweede wanneer er gegronde redenen zijn om aan te nemen dat de inbreuk een dreigend of reëel gevaar kan vormen voor het algemeen belang, er een risico bestaat </w:t>
      </w:r>
      <w:r w:rsidR="000F3FCB">
        <w:t>op</w:t>
      </w:r>
      <w:r w:rsidR="00634F72">
        <w:t xml:space="preserve"> represailles bij externe melding of </w:t>
      </w:r>
      <w:r w:rsidR="00AB37B3">
        <w:t xml:space="preserve">dat </w:t>
      </w:r>
      <w:r w:rsidR="00634F72">
        <w:t xml:space="preserve">het niet waarschijnlijk is dat de inbreuk doeltreffend wordt behandeld wegens de bijzondere omstandigheden van de zaak. Met dit laatste bedoeld de decreetgever bijvoorbeeld het risico op het achterhouden of </w:t>
      </w:r>
      <w:r w:rsidR="00AB37B3">
        <w:t xml:space="preserve">de </w:t>
      </w:r>
      <w:r w:rsidR="00634F72">
        <w:t>vernietig</w:t>
      </w:r>
      <w:r w:rsidR="00AB37B3">
        <w:t>i</w:t>
      </w:r>
      <w:r w:rsidR="00634F72">
        <w:t>n</w:t>
      </w:r>
      <w:r w:rsidR="00AB37B3">
        <w:t>g</w:t>
      </w:r>
      <w:r w:rsidR="00634F72">
        <w:t xml:space="preserve"> van bewijsmateriaal.</w:t>
      </w:r>
      <w:r w:rsidR="00634F72">
        <w:rPr>
          <w:rStyle w:val="Voetnootmarkering"/>
        </w:rPr>
        <w:footnoteReference w:id="111"/>
      </w:r>
    </w:p>
    <w:p w14:paraId="1F9ADE90" w14:textId="590764F7" w:rsidR="00634F72" w:rsidRDefault="00634F72">
      <w:pPr>
        <w:pStyle w:val="Lijstalinea"/>
        <w:numPr>
          <w:ilvl w:val="0"/>
          <w:numId w:val="2"/>
        </w:numPr>
        <w:ind w:left="0" w:firstLine="0"/>
        <w:contextualSpacing w:val="0"/>
        <w:jc w:val="both"/>
      </w:pPr>
      <w:r>
        <w:t>Inbreuken kunnen zowel schriftelijk, mondeling als via een fysieke ontmoeting gemeld worden.</w:t>
      </w:r>
      <w:r w:rsidR="001469EF">
        <w:t xml:space="preserve"> De meldkanalen moeten de juistheid van de informatie nagaan en de gepaste maatregelen nemen wanneer er een vermoeden van inbreuk is. De melder moet binnen een termijn van drie maanden die ingaat op de dag waarop de melder een ontvangstmelding kreeg van de melding of zeven dagen nadat de melding gedaan is wanneer er geen ontvangstmelding gedaan is</w:t>
      </w:r>
      <w:r w:rsidR="000F3FCB">
        <w:t>, op de hoogte gebracht worden</w:t>
      </w:r>
      <w:r w:rsidR="00B86A13">
        <w:t xml:space="preserve"> van de opvolging van de melding</w:t>
      </w:r>
      <w:r w:rsidR="001469EF">
        <w:t>.</w:t>
      </w:r>
      <w:r w:rsidR="001469EF">
        <w:rPr>
          <w:rStyle w:val="Voetnootmarkering"/>
        </w:rPr>
        <w:footnoteReference w:id="112"/>
      </w:r>
    </w:p>
    <w:p w14:paraId="4129F716" w14:textId="3FD18DD2" w:rsidR="006A4D35" w:rsidRDefault="00295E00">
      <w:pPr>
        <w:pStyle w:val="Lijstalinea"/>
        <w:numPr>
          <w:ilvl w:val="0"/>
          <w:numId w:val="2"/>
        </w:numPr>
        <w:ind w:left="0" w:firstLine="0"/>
        <w:contextualSpacing w:val="0"/>
        <w:jc w:val="both"/>
      </w:pPr>
      <w:r>
        <w:t>Tegen een melder mogen geen represailles genomen worden. Het decreet noemt onder meer de volgende maatregelen als verboden: een schorsing, ontslag of soortgelijke maatregelen; een evaluatie onvoldoende, een degradatie of het onthouden van bevordering; het onthouden van een benoeming; een overdracht van taken, verandering van locatie van de arbeidsplaats of verandering van de werktijden; het onthouden van opleiding; een negatieve arbeidsreferentie; dwang, intimidatie of pesterijen; opname op een zwarte lijst waardoor de melder geen baan meer kan vinden bij de instelling …</w:t>
      </w:r>
      <w:r w:rsidR="000318AE">
        <w:rPr>
          <w:rStyle w:val="Voetnootmarkering"/>
        </w:rPr>
        <w:footnoteReference w:id="113"/>
      </w:r>
      <w:r>
        <w:t xml:space="preserve"> Het verbod geldt </w:t>
      </w:r>
      <w:r w:rsidR="00AB37B3">
        <w:t xml:space="preserve">1) </w:t>
      </w:r>
      <w:r>
        <w:t>van zodra melding is gedaan of informatie is openbaargemaakt overeenkomstig het decreet of informatie over een inbreuk gemeld is bij een instelling, orgaan of instantie van de EU</w:t>
      </w:r>
      <w:r w:rsidR="00AB37B3">
        <w:t>,</w:t>
      </w:r>
      <w:r>
        <w:t xml:space="preserve"> </w:t>
      </w:r>
      <w:r w:rsidR="00AB37B3">
        <w:t xml:space="preserve">2) </w:t>
      </w:r>
      <w:r w:rsidR="000318AE">
        <w:t>de melder gegronde redenen had om te geloven dat de informatie juist was en binnen het toepassingsgebied van richtlijn 2019/1937 viel</w:t>
      </w:r>
      <w:r w:rsidR="00AB37B3">
        <w:t>,</w:t>
      </w:r>
      <w:r w:rsidR="000318AE">
        <w:t xml:space="preserve"> en</w:t>
      </w:r>
      <w:r w:rsidR="00AB37B3">
        <w:t xml:space="preserve"> 3)</w:t>
      </w:r>
      <w:r w:rsidR="000318AE">
        <w:t xml:space="preserve"> de identiteit van de melder gekend is bij minstens een meldpunt.</w:t>
      </w:r>
      <w:r w:rsidR="000318AE">
        <w:rPr>
          <w:rStyle w:val="Voetnootmarkering"/>
        </w:rPr>
        <w:footnoteReference w:id="114"/>
      </w:r>
    </w:p>
    <w:p w14:paraId="333A339E" w14:textId="31EEEFEF" w:rsidR="00666403" w:rsidRDefault="00666403">
      <w:pPr>
        <w:pStyle w:val="Lijstalinea"/>
        <w:numPr>
          <w:ilvl w:val="0"/>
          <w:numId w:val="2"/>
        </w:numPr>
        <w:ind w:left="0" w:firstLine="0"/>
        <w:contextualSpacing w:val="0"/>
        <w:jc w:val="both"/>
      </w:pPr>
      <w:r>
        <w:t>Ieder intern en extern meldkanaal moet een register bijhouden van de ontvangen meldingen.</w:t>
      </w:r>
      <w:r>
        <w:rPr>
          <w:rStyle w:val="Voetnootmarkering"/>
        </w:rPr>
        <w:footnoteReference w:id="115"/>
      </w:r>
      <w:r>
        <w:t xml:space="preserve"> De meldkanalen zijn verantwoordelijk voor de verwerking van de gegevens gelinkt aan de melding. </w:t>
      </w:r>
      <w:r w:rsidR="006A4D35">
        <w:t xml:space="preserve">De identiteit van de melder mag alleen bekend gemaakt worden wanneer de melder daarmee instemt of wanneer er een noodzakelijke en evenredige wettelijke verplichting in het kader van een onderzoek door nationale autoriteiten of gerechtelijke procedures </w:t>
      </w:r>
      <w:r w:rsidR="00B86A13">
        <w:t xml:space="preserve">bestaat </w:t>
      </w:r>
      <w:r w:rsidR="006A4D35">
        <w:t>om de rechten van verdediging van de melder te waarborgen.</w:t>
      </w:r>
      <w:r w:rsidR="006A4D35">
        <w:rPr>
          <w:rStyle w:val="Voetnootmarkering"/>
        </w:rPr>
        <w:footnoteReference w:id="116"/>
      </w:r>
    </w:p>
    <w:p w14:paraId="4275AB00" w14:textId="080FCFF6" w:rsidR="00940CBA" w:rsidRDefault="000F49F9">
      <w:pPr>
        <w:pStyle w:val="Lijstalinea"/>
        <w:numPr>
          <w:ilvl w:val="0"/>
          <w:numId w:val="2"/>
        </w:numPr>
        <w:ind w:left="0" w:firstLine="0"/>
        <w:contextualSpacing w:val="0"/>
        <w:jc w:val="both"/>
      </w:pPr>
      <w:r>
        <w:t xml:space="preserve">Deze regeling doet geen afbreuk aan de bescherming van informatie die op basis van andere gronden beschermd wordt, zoals de veiligheid van het land, het geheim van het rechterlijk beraad of het beroepsgeheim van artsen en </w:t>
      </w:r>
      <w:r w:rsidR="00C219D5">
        <w:t>advocaten</w:t>
      </w:r>
      <w:r>
        <w:t>.</w:t>
      </w:r>
      <w:r w:rsidR="00C219D5">
        <w:rPr>
          <w:rStyle w:val="Voetnootmarkering"/>
        </w:rPr>
        <w:footnoteReference w:id="117"/>
      </w:r>
    </w:p>
    <w:p w14:paraId="7D2FB27C" w14:textId="77777777" w:rsidR="00BA7AFB" w:rsidRDefault="00BA7AFB" w:rsidP="00BA7AFB">
      <w:pPr>
        <w:pStyle w:val="Lijstalinea"/>
        <w:ind w:left="0"/>
        <w:contextualSpacing w:val="0"/>
        <w:jc w:val="both"/>
      </w:pPr>
    </w:p>
    <w:p w14:paraId="7661B6C9" w14:textId="1B8B4F28" w:rsidR="00BA7AFB" w:rsidRDefault="00BA7AFB" w:rsidP="00BA7AFB">
      <w:pPr>
        <w:pStyle w:val="Kop1"/>
      </w:pPr>
      <w:r>
        <w:lastRenderedPageBreak/>
        <w:t xml:space="preserve"> Bekrachtiging proeftuinen in het kader van herwaardering van het lerarenambt (7 juli 2023)</w:t>
      </w:r>
    </w:p>
    <w:p w14:paraId="7700B7F7" w14:textId="77777777" w:rsidR="00B53923" w:rsidRDefault="00520DBD">
      <w:pPr>
        <w:pStyle w:val="Lijstalinea"/>
        <w:numPr>
          <w:ilvl w:val="0"/>
          <w:numId w:val="2"/>
        </w:numPr>
        <w:ind w:left="0" w:firstLine="0"/>
        <w:contextualSpacing w:val="0"/>
        <w:jc w:val="both"/>
      </w:pPr>
      <w:r>
        <w:t xml:space="preserve">Dat er een lerarentekort is, behoeft </w:t>
      </w:r>
      <w:r w:rsidR="002232B6">
        <w:t>geen argumentatie meer. Om dat tekort weg te werken en de negatieve impact ervan op scholen en leerlingen</w:t>
      </w:r>
      <w:r w:rsidR="00250B26">
        <w:t xml:space="preserve"> te milderen, namen de decreetgever en de Vlaamse Regering verschillende maatregelen. Een </w:t>
      </w:r>
      <w:r w:rsidR="00B53923">
        <w:t>daarvan</w:t>
      </w:r>
      <w:r w:rsidR="00250B26">
        <w:t xml:space="preserve"> was de goedkeuring van de ‘proeftuinen’. Op basis van het decreet van 9 december 2005 betreffende de organisatie van tijdelijke projecten in het onderwijs</w:t>
      </w:r>
      <w:r w:rsidR="00275326">
        <w:t xml:space="preserve"> (oftewel het Proeftuindecreet)</w:t>
      </w:r>
      <w:r w:rsidR="00250B26">
        <w:t xml:space="preserve">, </w:t>
      </w:r>
      <w:r w:rsidR="00F31620">
        <w:t xml:space="preserve">heeft de Vlaamse Regering bij besluit van 15 juli 2022 een oproep gelanceerd voor tijdelijke projecten (oftewel proeftuinen) die tot doel hebben om het lerarentekort aan te pakken en het lerarenberoep te herwaarderen </w:t>
      </w:r>
      <w:r w:rsidR="00B53923">
        <w:t>via</w:t>
      </w:r>
      <w:r w:rsidR="00F31620">
        <w:t xml:space="preserve"> ingrepen in de schoolorganisatie en via het HR-beleid.</w:t>
      </w:r>
      <w:r w:rsidR="00275326">
        <w:rPr>
          <w:rStyle w:val="Voetnootmarkering"/>
        </w:rPr>
        <w:footnoteReference w:id="118"/>
      </w:r>
      <w:r w:rsidR="00F31620">
        <w:t xml:space="preserve"> </w:t>
      </w:r>
    </w:p>
    <w:p w14:paraId="3DDD4325" w14:textId="63E9A162" w:rsidR="00BA7AFB" w:rsidRDefault="00B53923">
      <w:pPr>
        <w:pStyle w:val="Lijstalinea"/>
        <w:numPr>
          <w:ilvl w:val="0"/>
          <w:numId w:val="2"/>
        </w:numPr>
        <w:ind w:left="0" w:firstLine="0"/>
        <w:contextualSpacing w:val="0"/>
        <w:jc w:val="both"/>
      </w:pPr>
      <w:r>
        <w:t>Verschillende projectvoorstellen werden ingediend en 2</w:t>
      </w:r>
      <w:r w:rsidR="00F31620">
        <w:t xml:space="preserve">7 </w:t>
      </w:r>
      <w:r>
        <w:t>daarvan</w:t>
      </w:r>
      <w:r w:rsidR="00F31620">
        <w:t xml:space="preserve"> werden goedgekeurd</w:t>
      </w:r>
      <w:r>
        <w:t>. Zoals mogelijk is op basis van het Proeftuindecreet, behoefden 22 projecten toelating om af te kunnen wijken van geldende regelgeving.</w:t>
      </w:r>
      <w:r w:rsidR="00F31620">
        <w:t xml:space="preserve"> </w:t>
      </w:r>
      <w:r>
        <w:t>De gevraagde afwijkingen moesten onder meer toelaten:</w:t>
      </w:r>
      <w:r w:rsidR="00DA2681">
        <w:t xml:space="preserve"> de vrije aanwending van omkadering of ontkleuring van lestijden/lesuren/uren-leraar/punten, de onbeperkte overdracht van lestijden naar een andere school van hetzelfde schoolbestuur of naar een volgend schooljaar, aanpassingen van de duur van een lesuur, een andere invulling geven aan een van de twee lestijdens onderwijs in een erkende godsdienst …</w:t>
      </w:r>
      <w:r w:rsidR="00275326">
        <w:t xml:space="preserve"> Deze werden toegestaan door de Vlaamse Regering bij besluit van 24 maart 2023.</w:t>
      </w:r>
      <w:r w:rsidR="00275326">
        <w:rPr>
          <w:rStyle w:val="Voetnootmarkering"/>
        </w:rPr>
        <w:footnoteReference w:id="119"/>
      </w:r>
      <w:r w:rsidR="00275326">
        <w:t xml:space="preserve"> Overeenkomstig de voorschriften van het Proeftuindecreet heeft het Vlaams Parlement dit besluit bekrachtigd bij decreet van 7 juli 2023.</w:t>
      </w:r>
      <w:r w:rsidR="00275326">
        <w:rPr>
          <w:rStyle w:val="Voetnootmarkering"/>
        </w:rPr>
        <w:footnoteReference w:id="120"/>
      </w:r>
    </w:p>
    <w:p w14:paraId="15AD0B10" w14:textId="77777777" w:rsidR="00BA7AFB" w:rsidRDefault="00BA7AFB" w:rsidP="00BA7AFB">
      <w:pPr>
        <w:pStyle w:val="Lijstalinea"/>
        <w:ind w:left="0"/>
        <w:contextualSpacing w:val="0"/>
        <w:jc w:val="both"/>
      </w:pPr>
    </w:p>
    <w:p w14:paraId="2C2933CF" w14:textId="43612AC8" w:rsidR="00BA7AFB" w:rsidRDefault="00BA7AFB" w:rsidP="00BA7AFB">
      <w:pPr>
        <w:pStyle w:val="Kop1"/>
      </w:pPr>
      <w:r>
        <w:t xml:space="preserve"> Onderwijsdecreet XXXIII (7 juli 2023)</w:t>
      </w:r>
    </w:p>
    <w:p w14:paraId="2646C66A" w14:textId="2AD44382" w:rsidR="006F4879" w:rsidRDefault="006F4879">
      <w:pPr>
        <w:pStyle w:val="Lijstalinea"/>
        <w:numPr>
          <w:ilvl w:val="0"/>
          <w:numId w:val="2"/>
        </w:numPr>
        <w:ind w:left="0" w:firstLine="0"/>
        <w:contextualSpacing w:val="0"/>
        <w:jc w:val="both"/>
      </w:pPr>
      <w:r>
        <w:t xml:space="preserve">Zoals ieder jaar </w:t>
      </w:r>
      <w:r w:rsidR="004265D3">
        <w:t>heeft de decreetgever een genummerd onderwijsdecreet aangenomen</w:t>
      </w:r>
      <w:r w:rsidR="00026A0B">
        <w:t xml:space="preserve">. Dit decreet brengt wijzigingen aan in </w:t>
      </w:r>
      <w:r w:rsidR="001E5F64">
        <w:t>verschillende niveaudecreten. Voor zover mogelijk bespreken we de bepalingen hier per onderwijsniveau</w:t>
      </w:r>
      <w:r w:rsidR="00263D93">
        <w:t xml:space="preserve">. </w:t>
      </w:r>
      <w:r w:rsidR="003F6651">
        <w:t xml:space="preserve">Wijzigingen in de rechtspositiedecreten voor het </w:t>
      </w:r>
      <w:r w:rsidR="001F30C8">
        <w:t>gemeenschapsonderwijs en het gesubsidieerd onderwijs, en b</w:t>
      </w:r>
      <w:r w:rsidR="00263D93">
        <w:t>epalingen gemeenschappelijk of identiek voor meerdere niveaus, komen op het einde van deze titel aan bod.</w:t>
      </w:r>
    </w:p>
    <w:p w14:paraId="3BE21BAA" w14:textId="77777777" w:rsidR="006F4879" w:rsidRPr="006F4879" w:rsidRDefault="006F4879" w:rsidP="006F4879"/>
    <w:p w14:paraId="7D0AB926" w14:textId="64CC96A9" w:rsidR="006F4879" w:rsidRPr="006F4879" w:rsidRDefault="006F4879" w:rsidP="006F4879">
      <w:pPr>
        <w:pStyle w:val="Kop2"/>
      </w:pPr>
      <w:r>
        <w:t>Basisonderwijs</w:t>
      </w:r>
    </w:p>
    <w:p w14:paraId="0762E10B" w14:textId="4A74C665" w:rsidR="006F4879" w:rsidRDefault="00A62109">
      <w:pPr>
        <w:pStyle w:val="Lijstalinea"/>
        <w:numPr>
          <w:ilvl w:val="0"/>
          <w:numId w:val="2"/>
        </w:numPr>
        <w:ind w:left="0" w:firstLine="0"/>
        <w:contextualSpacing w:val="0"/>
        <w:jc w:val="both"/>
      </w:pPr>
      <w:r>
        <w:t xml:space="preserve">Leerlingen die jonger dan zes jaar zijn en willen instappen in het buitengewoon onderwijs, zullen worden geconfronteerd met strengere toelatingsvoorwaarden. </w:t>
      </w:r>
      <w:r w:rsidR="005810ED">
        <w:t>Leerlingen die in het voorafgaande schooljaar ingeschreven waren in een erkende school voor Nederlandstalig kleuteronderwijs, moeten beschikken over een gunstig</w:t>
      </w:r>
      <w:r>
        <w:t xml:space="preserve"> advies van de klassenraad van de school waar de leerling kleuteronderwijs gevolgd heeft</w:t>
      </w:r>
      <w:r w:rsidR="005810ED">
        <w:t xml:space="preserve">. Leerlingen die niet ingeschreven waren in een erkende school voor Nederlandstalig kleuteronderwijs moeten een gunstig advies hebben van de klassenraad </w:t>
      </w:r>
      <w:r w:rsidR="005810ED">
        <w:lastRenderedPageBreak/>
        <w:t>van de school voor buitengewoon onderwijs. Op deze wijze wordt deze regeling gelijkgetrokken met de regeling voor het gewoon basisonderwijs.</w:t>
      </w:r>
      <w:r w:rsidR="00A45B53">
        <w:rPr>
          <w:rStyle w:val="Voetnootmarkering"/>
        </w:rPr>
        <w:footnoteReference w:id="121"/>
      </w:r>
    </w:p>
    <w:p w14:paraId="1690FB67" w14:textId="74AD45A3" w:rsidR="003E7B2A" w:rsidRDefault="003E7B2A">
      <w:pPr>
        <w:pStyle w:val="Lijstalinea"/>
        <w:numPr>
          <w:ilvl w:val="0"/>
          <w:numId w:val="2"/>
        </w:numPr>
        <w:ind w:left="0" w:firstLine="0"/>
        <w:contextualSpacing w:val="0"/>
        <w:jc w:val="both"/>
      </w:pPr>
      <w:r>
        <w:t xml:space="preserve">De regels </w:t>
      </w:r>
      <w:r w:rsidR="00FC6419">
        <w:t xml:space="preserve">inzake aanwezigheden </w:t>
      </w:r>
      <w:r>
        <w:t>van toepassing op voltijds leerplichtige leerlingen worden ook van toepassing verklaard op leerlingen die dat niet zijn</w:t>
      </w:r>
      <w:r w:rsidR="00FC6419">
        <w:t>,</w:t>
      </w:r>
      <w:r>
        <w:t xml:space="preserve"> maar wel al in het lager onderwijs</w:t>
      </w:r>
      <w:r w:rsidR="00E54C50">
        <w:t xml:space="preserve"> ingeschreven zijn</w:t>
      </w:r>
      <w:r w:rsidR="00FC6419">
        <w:t>.</w:t>
      </w:r>
      <w:r w:rsidR="00FC6419">
        <w:rPr>
          <w:rStyle w:val="Voetnootmarkering"/>
        </w:rPr>
        <w:footnoteReference w:id="122"/>
      </w:r>
    </w:p>
    <w:p w14:paraId="2FD7C9E0" w14:textId="28829E9B" w:rsidR="006E7398" w:rsidRDefault="006E7398">
      <w:pPr>
        <w:pStyle w:val="Lijstalinea"/>
        <w:numPr>
          <w:ilvl w:val="0"/>
          <w:numId w:val="2"/>
        </w:numPr>
        <w:ind w:left="0" w:firstLine="0"/>
        <w:contextualSpacing w:val="0"/>
        <w:jc w:val="both"/>
      </w:pPr>
      <w:r>
        <w:t xml:space="preserve">Bij het bepalen van de capaciteit voor het kleuteronderwijs zullen scholen eenvoudiger kunnen omgaan met </w:t>
      </w:r>
      <w:proofErr w:type="spellStart"/>
      <w:r>
        <w:t>herkleuteraars</w:t>
      </w:r>
      <w:proofErr w:type="spellEnd"/>
      <w:r>
        <w:t xml:space="preserve">. Scholen zullen bij het bepalen van de capaciteit deze leerlingen kunnen samenvoegen met de capaciteit van het laatste geboortejaar van het kleuteronderwijs waarvoor een kind nog toegelaten </w:t>
      </w:r>
      <w:r w:rsidR="00E54C50">
        <w:t xml:space="preserve">kan </w:t>
      </w:r>
      <w:r>
        <w:t>worden</w:t>
      </w:r>
      <w:r w:rsidR="00340A70">
        <w:t>.</w:t>
      </w:r>
      <w:r w:rsidR="00340A70">
        <w:rPr>
          <w:rStyle w:val="Voetnootmarkering"/>
        </w:rPr>
        <w:footnoteReference w:id="123"/>
      </w:r>
    </w:p>
    <w:p w14:paraId="24954108" w14:textId="545187C6" w:rsidR="003528AC" w:rsidRDefault="003528AC">
      <w:pPr>
        <w:pStyle w:val="Lijstalinea"/>
        <w:numPr>
          <w:ilvl w:val="0"/>
          <w:numId w:val="2"/>
        </w:numPr>
        <w:ind w:left="0" w:firstLine="0"/>
        <w:contextualSpacing w:val="0"/>
        <w:jc w:val="both"/>
      </w:pPr>
      <w:r>
        <w:t>Een leerling die in het voorafgaande schooljaar ingeschreven was in een school voor kleuteronderwijs en die terugkeert uit een school voor lager onderwijs omdat de toelatingsvoorwaarden niet vervuld zijn</w:t>
      </w:r>
      <w:r w:rsidR="00AB37B3">
        <w:t>,</w:t>
      </w:r>
      <w:r>
        <w:t xml:space="preserve"> </w:t>
      </w:r>
      <w:r w:rsidR="00082DE3">
        <w:t>moet door de kleuterschool opnieuw ingeschreven worden, ook wanneer de capaciteit reeds bereikt werd.</w:t>
      </w:r>
      <w:r w:rsidR="00082DE3">
        <w:rPr>
          <w:rStyle w:val="Voetnootmarkering"/>
        </w:rPr>
        <w:footnoteReference w:id="124"/>
      </w:r>
    </w:p>
    <w:p w14:paraId="3B597C7E" w14:textId="77777777" w:rsidR="006F4879" w:rsidRDefault="006F4879" w:rsidP="006F4879">
      <w:pPr>
        <w:pStyle w:val="Lijstalinea"/>
        <w:ind w:left="0"/>
        <w:contextualSpacing w:val="0"/>
        <w:jc w:val="both"/>
      </w:pPr>
    </w:p>
    <w:p w14:paraId="5952A2AC" w14:textId="1837C15D" w:rsidR="006F4879" w:rsidRDefault="006F4879" w:rsidP="006F4879">
      <w:pPr>
        <w:pStyle w:val="Kop2"/>
      </w:pPr>
      <w:r>
        <w:t>Secundair onderwijs</w:t>
      </w:r>
    </w:p>
    <w:p w14:paraId="4F4F20D1" w14:textId="21FF931F" w:rsidR="0065285D" w:rsidRDefault="0065285D">
      <w:pPr>
        <w:pStyle w:val="Lijstalinea"/>
        <w:numPr>
          <w:ilvl w:val="0"/>
          <w:numId w:val="2"/>
        </w:numPr>
        <w:ind w:left="0" w:firstLine="0"/>
        <w:contextualSpacing w:val="0"/>
        <w:jc w:val="both"/>
      </w:pPr>
      <w:r>
        <w:t>De programmatieregels in het secundair onderwijs worden gewijzigd:</w:t>
      </w:r>
    </w:p>
    <w:p w14:paraId="3188DA88" w14:textId="033783F2" w:rsidR="00F2184E" w:rsidRDefault="00F2184E">
      <w:pPr>
        <w:pStyle w:val="Lijstalinea"/>
        <w:numPr>
          <w:ilvl w:val="0"/>
          <w:numId w:val="7"/>
        </w:numPr>
        <w:contextualSpacing w:val="0"/>
        <w:jc w:val="both"/>
      </w:pPr>
      <w:r w:rsidRPr="00F2184E">
        <w:t xml:space="preserve">Onderwijsdecreet XXXIII </w:t>
      </w:r>
      <w:r>
        <w:t>voegt twee nieuwe voorwaarden toe</w:t>
      </w:r>
      <w:r w:rsidR="00846156">
        <w:t xml:space="preserve"> waar </w:t>
      </w:r>
      <w:r w:rsidR="00846156">
        <w:t>een structuuronderdeel bij programmatie moet voldoen</w:t>
      </w:r>
      <w:r>
        <w:t>:</w:t>
      </w:r>
      <w:r w:rsidR="003B1CC7">
        <w:t xml:space="preserve"> 1)</w:t>
      </w:r>
      <w:r>
        <w:t xml:space="preserve"> </w:t>
      </w:r>
      <w:r w:rsidR="003B1CC7">
        <w:t xml:space="preserve">een structuuronderdeel mag niet worden ingericht op dezelfde vestigingsplaats waar een andere school hetzelfde onderdeel al organiseert en 2) </w:t>
      </w:r>
      <w:r w:rsidR="006523CA">
        <w:t>indien de vestigingsplaats nieuw is, volstaat het alleen de gemeente op te geven indien de exacte plaats nog niet bekend is.</w:t>
      </w:r>
    </w:p>
    <w:p w14:paraId="14806743" w14:textId="341614B8" w:rsidR="0065285D" w:rsidRDefault="00311578">
      <w:pPr>
        <w:pStyle w:val="Lijstalinea"/>
        <w:numPr>
          <w:ilvl w:val="0"/>
          <w:numId w:val="7"/>
        </w:numPr>
        <w:contextualSpacing w:val="0"/>
        <w:jc w:val="both"/>
      </w:pPr>
      <w:r>
        <w:t>D</w:t>
      </w:r>
      <w:r w:rsidR="00FD0DD7">
        <w:t>e ingebruikname van een nieuwe vestigingsplaats in dezelfde of aangrenzende gemeente moet niet langer aangevraagd worden bij de Vlaamse Regering; een melding bij de bevoegde diensten volstaat</w:t>
      </w:r>
      <w:r>
        <w:t>.</w:t>
      </w:r>
      <w:r w:rsidR="00FD0DD7">
        <w:rPr>
          <w:rStyle w:val="Voetnootmarkering"/>
        </w:rPr>
        <w:footnoteReference w:id="125"/>
      </w:r>
    </w:p>
    <w:p w14:paraId="347DFE24" w14:textId="4BEA6266" w:rsidR="00FD0DD7" w:rsidRDefault="00311578">
      <w:pPr>
        <w:pStyle w:val="Lijstalinea"/>
        <w:numPr>
          <w:ilvl w:val="0"/>
          <w:numId w:val="7"/>
        </w:numPr>
        <w:contextualSpacing w:val="0"/>
        <w:jc w:val="both"/>
      </w:pPr>
      <w:r>
        <w:t>D</w:t>
      </w:r>
      <w:r w:rsidR="006523CA">
        <w:t>e kern van het programmatiemodel word</w:t>
      </w:r>
      <w:r w:rsidR="00E54C50">
        <w:t>t</w:t>
      </w:r>
      <w:r w:rsidR="006523CA">
        <w:t xml:space="preserve"> de vrije programmatie. </w:t>
      </w:r>
      <w:r w:rsidR="00E54C50">
        <w:t>In drie situaties wordt daarom een vrije programmatie de regel</w:t>
      </w:r>
      <w:r w:rsidR="006523CA">
        <w:t xml:space="preserve">: 1) een niet-niche studiedomein van een studiedomein én onderwijsvorm dat de school al organiseert; 2) een niet-niche </w:t>
      </w:r>
      <w:proofErr w:type="spellStart"/>
      <w:r w:rsidR="006523CA">
        <w:t>domeinoverschreidend</w:t>
      </w:r>
      <w:proofErr w:type="spellEnd"/>
      <w:r w:rsidR="006523CA">
        <w:t xml:space="preserve"> structuuronderdeel algemeen secundair onderwijs als de school al minstens een dergelijk onderdeel inricht; en 3) een duaal structuuronderdeel dat gelijknamig is met een </w:t>
      </w:r>
      <w:r w:rsidR="005C4FBA">
        <w:t>niet-</w:t>
      </w:r>
      <w:r w:rsidR="006523CA">
        <w:t>duaal onderdeel dat de school al organiseert of mag organiseren, en omgekeerd.</w:t>
      </w:r>
      <w:r w:rsidR="006523CA">
        <w:rPr>
          <w:rStyle w:val="Voetnootmarkering"/>
        </w:rPr>
        <w:footnoteReference w:id="126"/>
      </w:r>
      <w:r w:rsidR="006523CA">
        <w:t xml:space="preserve"> </w:t>
      </w:r>
      <w:r w:rsidR="00846156">
        <w:t>Dit laatste geldt niet</w:t>
      </w:r>
      <w:r w:rsidR="006523CA">
        <w:t xml:space="preserve"> indien het duale structuuronderdeel enkel wordt ingericht door een centrum voor deel</w:t>
      </w:r>
      <w:r>
        <w:t>tijds beroepssecundair onderwijs.</w:t>
      </w:r>
    </w:p>
    <w:p w14:paraId="6F699C95" w14:textId="719858FB" w:rsidR="00311578" w:rsidRDefault="00311578">
      <w:pPr>
        <w:pStyle w:val="Lijstalinea"/>
        <w:numPr>
          <w:ilvl w:val="0"/>
          <w:numId w:val="7"/>
        </w:numPr>
        <w:contextualSpacing w:val="0"/>
        <w:jc w:val="both"/>
      </w:pPr>
      <w:r>
        <w:t xml:space="preserve">In de procedure voor aanvraag van en beslissing over niet-vrij programmeerbare structuuronderdelen, worden twee wijzigingen aangebracht: 1) de eventuele opheffing van structuuronderdelen die ingaat op het moment dat nieuwe programmatie doorgevoerd </w:t>
      </w:r>
      <w:r>
        <w:lastRenderedPageBreak/>
        <w:t>wordt, wordt een criterium waarmee de Vlaamse Regering rekening houdt, en 2) de vervaltermijn voor een beslissing van de Vlaamse Regering wordt een termijn van orde.</w:t>
      </w:r>
      <w:r>
        <w:rPr>
          <w:rStyle w:val="Voetnootmarkering"/>
        </w:rPr>
        <w:footnoteReference w:id="127"/>
      </w:r>
    </w:p>
    <w:p w14:paraId="6D62E337" w14:textId="7CFC71F4" w:rsidR="005C4FBA" w:rsidRDefault="005C4FBA">
      <w:pPr>
        <w:pStyle w:val="Lijstalinea"/>
        <w:numPr>
          <w:ilvl w:val="0"/>
          <w:numId w:val="7"/>
        </w:numPr>
        <w:contextualSpacing w:val="0"/>
        <w:jc w:val="both"/>
      </w:pPr>
      <w:r>
        <w:t>In opleidingsvorm</w:t>
      </w:r>
      <w:r w:rsidR="007F2187">
        <w:t xml:space="preserve"> 3</w:t>
      </w:r>
      <w:r>
        <w:t xml:space="preserve"> gebeuren vergelijkbare aanpassingen. De inrichting van een nieuw structuuronderdeel blijft weliswaar onderworpen aan goedkeuring door de Vlaamse Regering, maar in de volgende drie gevallen wordt de programmatie vrij: 1) een structuuronderdeel in de integratiefase mag worden georganiseerd indien de school hetzelfde onderdeel al in de kwalificatiefase mag inrichten; 2) indien de school een duaal structuuronderdeel in de integratie- of kwalificatiefase mag aanbieden, mag ze eveneens de niet-duale variant aanbieden; en 3) nieuwe structuuronderdelen in hetzelfde studiedomein mogen vrij worden ingericht indien de school geen type 9 aanbiedt.</w:t>
      </w:r>
      <w:r>
        <w:rPr>
          <w:rStyle w:val="Voetnootmarkering"/>
        </w:rPr>
        <w:footnoteReference w:id="128"/>
      </w:r>
      <w:r w:rsidR="007F2187">
        <w:t xml:space="preserve"> Indien de school van opleidingsvorm 3 duale opleidingen aanbiedt, mag zij </w:t>
      </w:r>
      <w:r w:rsidR="00E54C50">
        <w:t xml:space="preserve">een </w:t>
      </w:r>
      <w:r w:rsidR="00F545DB">
        <w:t xml:space="preserve">duaal onderdeel vrij programmaren in de integratiefase indien zij dat al mag in de kwalificatiefase </w:t>
      </w:r>
      <w:r w:rsidR="00846156">
        <w:t>alsook</w:t>
      </w:r>
      <w:r w:rsidR="00F545DB">
        <w:t xml:space="preserve"> indien zij het gelijknamige niet-duale onderdeel al mag inrichten.</w:t>
      </w:r>
      <w:r w:rsidR="00F545DB">
        <w:rPr>
          <w:rStyle w:val="Voetnootmarkering"/>
        </w:rPr>
        <w:footnoteReference w:id="129"/>
      </w:r>
    </w:p>
    <w:p w14:paraId="05B39903" w14:textId="6EAA4C6A" w:rsidR="005C4FBA" w:rsidRDefault="005C4FBA">
      <w:pPr>
        <w:pStyle w:val="Lijstalinea"/>
        <w:numPr>
          <w:ilvl w:val="0"/>
          <w:numId w:val="7"/>
        </w:numPr>
        <w:contextualSpacing w:val="0"/>
        <w:jc w:val="both"/>
      </w:pPr>
      <w:r>
        <w:t xml:space="preserve">In scholen voor opleidingsvorm 4 die geen type 9 aanbieden, volgen de programmatieregels uit het gewoon secundair onderwijs. Indien de school wel type 9 aanbiedt, moeten alle programmatieaanvragen verlopen via een procedure bij de Vlaamse Regering. De school mag wel een duaal structuuronderdeel dat gelijknamig is met een niet-duaal onderdeel dat de school </w:t>
      </w:r>
      <w:r w:rsidR="00846156">
        <w:t xml:space="preserve">al </w:t>
      </w:r>
      <w:r>
        <w:t>mag organiseren en omgekeerd, vrij inrichten.</w:t>
      </w:r>
      <w:r>
        <w:rPr>
          <w:rStyle w:val="Voetnootmarkering"/>
        </w:rPr>
        <w:footnoteReference w:id="130"/>
      </w:r>
    </w:p>
    <w:p w14:paraId="73C87CA6" w14:textId="67EECEF3" w:rsidR="005C4FBA" w:rsidRDefault="005C4FBA">
      <w:pPr>
        <w:pStyle w:val="Lijstalinea"/>
        <w:numPr>
          <w:ilvl w:val="0"/>
          <w:numId w:val="7"/>
        </w:numPr>
        <w:contextualSpacing w:val="0"/>
        <w:jc w:val="both"/>
      </w:pPr>
      <w:r>
        <w:t>V</w:t>
      </w:r>
      <w:r w:rsidR="007F2187">
        <w:t xml:space="preserve">anaf de modernisering van het secundair onderwijs zullen voor de aanbieders van duale structuuronderdelen dezelfde programmatieregels gelden als voor het gewoon secundair onderwijs. Voor </w:t>
      </w:r>
      <w:proofErr w:type="spellStart"/>
      <w:r w:rsidR="007F2187">
        <w:t>Syntra</w:t>
      </w:r>
      <w:proofErr w:type="spellEnd"/>
      <w:r w:rsidR="007F2187">
        <w:t xml:space="preserve"> blijft, bij wijze van uitzondering, de huidige regeling van toepassing.</w:t>
      </w:r>
      <w:r w:rsidR="007F2187">
        <w:rPr>
          <w:rStyle w:val="Voetnootmarkering"/>
        </w:rPr>
        <w:footnoteReference w:id="131"/>
      </w:r>
    </w:p>
    <w:p w14:paraId="16FA2477" w14:textId="68282A0B" w:rsidR="00993F3C" w:rsidRDefault="00993F3C">
      <w:pPr>
        <w:pStyle w:val="Lijstalinea"/>
        <w:numPr>
          <w:ilvl w:val="0"/>
          <w:numId w:val="7"/>
        </w:numPr>
        <w:contextualSpacing w:val="0"/>
        <w:jc w:val="both"/>
      </w:pPr>
      <w:r>
        <w:t>Een school die vanaf schooljaar 2024-2025 een nieuw structuuronderdeel programmeert, moet voldoen aan een minimumnorm wat het aantal ingeschreven leerlingen betreft. De norm, die eenmalig moet behaald worden</w:t>
      </w:r>
      <w:r w:rsidR="001F4892">
        <w:t xml:space="preserve"> in het aanvangsjaar of het daaropvolgende schooljaar</w:t>
      </w:r>
      <w:r>
        <w:t>, bedraagt 5 leerlingen</w:t>
      </w:r>
      <w:r w:rsidR="001F4892">
        <w:t>. Voor onderdelen die leiden tot een knelpuntberoep en die door de Vlaamse Regering worden aangeduid, geldt een tweejarige gedoogperiode. Topsportopleidingen worden uitgezonderd.</w:t>
      </w:r>
      <w:r w:rsidR="001F4892">
        <w:rPr>
          <w:rStyle w:val="Voetnootmarkering"/>
        </w:rPr>
        <w:footnoteReference w:id="132"/>
      </w:r>
      <w:r w:rsidR="001F4892">
        <w:t xml:space="preserve"> </w:t>
      </w:r>
    </w:p>
    <w:p w14:paraId="2ABAC710" w14:textId="1DF01115" w:rsidR="001F4892" w:rsidRDefault="001F4892">
      <w:pPr>
        <w:pStyle w:val="Lijstalinea"/>
        <w:numPr>
          <w:ilvl w:val="0"/>
          <w:numId w:val="7"/>
        </w:numPr>
        <w:contextualSpacing w:val="0"/>
        <w:jc w:val="both"/>
      </w:pPr>
      <w:r>
        <w:t>De programmatie van een derde leerjaar van de derde graad</w:t>
      </w:r>
      <w:r w:rsidR="00B30E18">
        <w:t xml:space="preserve"> tot en met het schooljaar 2024-2025,</w:t>
      </w:r>
      <w:r>
        <w:t xml:space="preserve"> </w:t>
      </w:r>
      <w:r w:rsidR="00B30E18">
        <w:t>met uitzondering van het zevende leerjaar gericht op het hoger onderwijs (</w:t>
      </w:r>
      <w:r w:rsidR="00B30E18" w:rsidRPr="00B30E18">
        <w:rPr>
          <w:i/>
          <w:iCs/>
        </w:rPr>
        <w:t>cf</w:t>
      </w:r>
      <w:r w:rsidR="00B30E18">
        <w:rPr>
          <w:i/>
          <w:iCs/>
        </w:rPr>
        <w:t>.</w:t>
      </w:r>
      <w:r w:rsidR="00B30E18" w:rsidRPr="00B30E18">
        <w:rPr>
          <w:i/>
          <w:iCs/>
        </w:rPr>
        <w:t xml:space="preserve"> infra</w:t>
      </w:r>
      <w:r w:rsidR="00B30E18">
        <w:t>), blijft mogelijk voor de studiecontinuïteit van de leerlingen indien de Vlaamse Regering goedkeuring verleent.</w:t>
      </w:r>
      <w:r w:rsidR="00B30E18">
        <w:rPr>
          <w:rStyle w:val="Voetnootmarkering"/>
        </w:rPr>
        <w:footnoteReference w:id="133"/>
      </w:r>
      <w:r w:rsidR="00B30E18">
        <w:t xml:space="preserve"> De programmatie van het 7</w:t>
      </w:r>
      <w:r w:rsidR="00B30E18" w:rsidRPr="00B30E18">
        <w:rPr>
          <w:vertAlign w:val="superscript"/>
        </w:rPr>
        <w:t>de</w:t>
      </w:r>
      <w:r w:rsidR="00B30E18">
        <w:t xml:space="preserve"> leerjaar gericht op het hoger onderwijs kan tot en met datzelfde schooljaar vrij gebeuren.</w:t>
      </w:r>
      <w:r w:rsidR="00B30E18">
        <w:rPr>
          <w:rStyle w:val="Voetnootmarkering"/>
        </w:rPr>
        <w:footnoteReference w:id="134"/>
      </w:r>
    </w:p>
    <w:p w14:paraId="2FB34703" w14:textId="552BB432" w:rsidR="00D73AF9" w:rsidRDefault="00D73AF9">
      <w:pPr>
        <w:pStyle w:val="Lijstalinea"/>
        <w:numPr>
          <w:ilvl w:val="0"/>
          <w:numId w:val="7"/>
        </w:numPr>
        <w:contextualSpacing w:val="0"/>
        <w:jc w:val="both"/>
      </w:pPr>
      <w:r>
        <w:t xml:space="preserve">De overheveling van structuuronderdelen tussen scholen wordt opnieuw ingevoerd. </w:t>
      </w:r>
      <w:r w:rsidR="00B22A91">
        <w:t xml:space="preserve">Zeven voorwaarden, waarvoor we naar het decreet verwijzen, moeten vervuld zijn wanneer scholen zouden kiezen om onderdelen te ruilen. In het geval van overheveling van een duaal </w:t>
      </w:r>
      <w:r w:rsidR="00B22A91">
        <w:lastRenderedPageBreak/>
        <w:t>structuuronderdeel, houdt dit ook de overheveling van het gelijknamige niet-duale onderdeel in en omgekeerd, alsook van het aanloopstructuuronderdeel.</w:t>
      </w:r>
      <w:r w:rsidR="00DB632D">
        <w:rPr>
          <w:rStyle w:val="Voetnootmarkering"/>
        </w:rPr>
        <w:footnoteReference w:id="135"/>
      </w:r>
    </w:p>
    <w:p w14:paraId="3028E585" w14:textId="346D31A6" w:rsidR="00DB632D" w:rsidRDefault="00DB632D">
      <w:pPr>
        <w:pStyle w:val="Lijstalinea"/>
        <w:numPr>
          <w:ilvl w:val="0"/>
          <w:numId w:val="7"/>
        </w:numPr>
        <w:contextualSpacing w:val="0"/>
        <w:jc w:val="both"/>
      </w:pPr>
      <w:r>
        <w:t>Bij de programmatie van een nieuwe school in het buitengewoon onderwijs die meerdere opleidingsvormen aanbiedt, moet 150% van de rationalisatienorm voor alle opleidingsvormen behaald worden.</w:t>
      </w:r>
      <w:r w:rsidR="002715F2">
        <w:rPr>
          <w:rStyle w:val="Voetnootmarkering"/>
        </w:rPr>
        <w:footnoteReference w:id="136"/>
      </w:r>
      <w:r>
        <w:t xml:space="preserve"> Een nieuwe school voor buitengewoon onderwijs met een enkele opleidingsvorm kan </w:t>
      </w:r>
      <w:r w:rsidR="002715F2">
        <w:t>worden ingericht zonder deze hogere rationalisatienorm. In dat geval moet er in die regio een aantoonbaar capaciteitstekort zijn voor leerlingen van die vorm dat niet kan worden ondervangen met een nieuwe vestigingsplaats van bestaande school.</w:t>
      </w:r>
      <w:r w:rsidR="002715F2">
        <w:rPr>
          <w:rStyle w:val="Voetnootmarkering"/>
        </w:rPr>
        <w:footnoteReference w:id="137"/>
      </w:r>
    </w:p>
    <w:p w14:paraId="6E094C5B" w14:textId="5CEF64C0" w:rsidR="00F63D28" w:rsidRDefault="00F63D28">
      <w:pPr>
        <w:pStyle w:val="Lijstalinea"/>
        <w:numPr>
          <w:ilvl w:val="0"/>
          <w:numId w:val="2"/>
        </w:numPr>
        <w:ind w:left="0" w:firstLine="0"/>
        <w:contextualSpacing w:val="0"/>
        <w:jc w:val="both"/>
      </w:pPr>
      <w:r>
        <w:t xml:space="preserve">Voor inschrijvingen in het buitengewoon onderwijs wordt een regeling ingevoerd voor dubbele inschrijvingen. Elke inschrijving voor 1 september voor het daaropvolgende schooljaar voor een bepaalde administratieve groep maakt de daaraan voorafgaande inschrijving voor een andere school van diezelfde groep van rechtswege ongedaan. </w:t>
      </w:r>
      <w:r w:rsidR="008B3C76">
        <w:t xml:space="preserve">Een inschrijving in de loop van het schooljaar </w:t>
      </w:r>
      <w:r w:rsidR="00E54C50">
        <w:t xml:space="preserve">voor datzelfde schooljaar </w:t>
      </w:r>
      <w:r w:rsidR="008B3C76">
        <w:t>maakt de daaraan voorafgaande inschrijving in een school voor buitengewoon onderwijs in dezelfde of een andere administratieve groep ongedaan vanaf de effectieve lesbijwoning.</w:t>
      </w:r>
      <w:r w:rsidR="008B3C76">
        <w:rPr>
          <w:rStyle w:val="Voetnootmarkering"/>
        </w:rPr>
        <w:footnoteReference w:id="138"/>
      </w:r>
    </w:p>
    <w:p w14:paraId="5C53969F" w14:textId="66F904F8" w:rsidR="00F63D28" w:rsidRDefault="0018098C">
      <w:pPr>
        <w:pStyle w:val="Lijstalinea"/>
        <w:numPr>
          <w:ilvl w:val="0"/>
          <w:numId w:val="2"/>
        </w:numPr>
        <w:ind w:left="0" w:firstLine="0"/>
        <w:contextualSpacing w:val="0"/>
        <w:jc w:val="both"/>
      </w:pPr>
      <w:r>
        <w:t>Scholen van opleidingsvorm 4, type 5 die verbonden zijn aan een ziekenhuis of een residentiële setting worden vrijgesteld van de verplichting om een schoolreglement te hebben.</w:t>
      </w:r>
      <w:r>
        <w:rPr>
          <w:rStyle w:val="Voetnootmarkering"/>
        </w:rPr>
        <w:footnoteReference w:id="139"/>
      </w:r>
    </w:p>
    <w:p w14:paraId="0AAB14C5" w14:textId="255B8DFD" w:rsidR="00F63D28" w:rsidRDefault="00254C74">
      <w:pPr>
        <w:pStyle w:val="Lijstalinea"/>
        <w:numPr>
          <w:ilvl w:val="0"/>
          <w:numId w:val="2"/>
        </w:numPr>
        <w:ind w:left="0" w:firstLine="0"/>
        <w:contextualSpacing w:val="0"/>
        <w:jc w:val="both"/>
      </w:pPr>
      <w:r>
        <w:t xml:space="preserve">Het </w:t>
      </w:r>
      <w:r w:rsidR="00716D8B">
        <w:t>‘</w:t>
      </w:r>
      <w:r>
        <w:t>secundair-na-secundair onderwijs</w:t>
      </w:r>
      <w:r w:rsidR="00716D8B">
        <w:t>’</w:t>
      </w:r>
      <w:r>
        <w:t xml:space="preserve"> of </w:t>
      </w:r>
      <w:r w:rsidR="00716D8B">
        <w:t>‘</w:t>
      </w:r>
      <w:r>
        <w:t>Se-n-Se</w:t>
      </w:r>
      <w:r w:rsidR="00716D8B">
        <w:t>’,</w:t>
      </w:r>
      <w:r>
        <w:t xml:space="preserve"> </w:t>
      </w:r>
      <w:r w:rsidR="001F4892">
        <w:t>het ‘naamloos leerjaar’, het</w:t>
      </w:r>
      <w:r>
        <w:t xml:space="preserve"> ‘7</w:t>
      </w:r>
      <w:r w:rsidRPr="00254C74">
        <w:rPr>
          <w:vertAlign w:val="superscript"/>
        </w:rPr>
        <w:t>de</w:t>
      </w:r>
      <w:r>
        <w:t xml:space="preserve"> leerjaar</w:t>
      </w:r>
      <w:r w:rsidR="00CA25F1">
        <w:t>’</w:t>
      </w:r>
      <w:r w:rsidR="00716D8B">
        <w:t xml:space="preserve"> en het ‘specialisatiejaar’</w:t>
      </w:r>
      <w:r w:rsidR="00CA25F1">
        <w:t xml:space="preserve"> </w:t>
      </w:r>
      <w:r w:rsidR="00E54C50">
        <w:t>wijzigen van naam</w:t>
      </w:r>
      <w:r>
        <w:t xml:space="preserve">. </w:t>
      </w:r>
      <w:r w:rsidR="00B36E7B">
        <w:t>De</w:t>
      </w:r>
      <w:r w:rsidR="009C15BA">
        <w:t xml:space="preserve">ze worden vervangen door: </w:t>
      </w:r>
      <w:r w:rsidR="00B36E7B">
        <w:t xml:space="preserve">in het algemeen en </w:t>
      </w:r>
      <w:proofErr w:type="spellStart"/>
      <w:r w:rsidR="00B36E7B">
        <w:t>kunstsecundair</w:t>
      </w:r>
      <w:proofErr w:type="spellEnd"/>
      <w:r w:rsidR="00B36E7B">
        <w:t xml:space="preserve"> onderwijs </w:t>
      </w:r>
      <w:r w:rsidR="009C15BA">
        <w:t>‘</w:t>
      </w:r>
      <w:r w:rsidR="00B36E7B">
        <w:t>7</w:t>
      </w:r>
      <w:r w:rsidR="00B36E7B" w:rsidRPr="00B36E7B">
        <w:rPr>
          <w:vertAlign w:val="superscript"/>
        </w:rPr>
        <w:t>de</w:t>
      </w:r>
      <w:r w:rsidR="00B36E7B">
        <w:t xml:space="preserve"> leerjaar gericht op het hoger onderwijs</w:t>
      </w:r>
      <w:r w:rsidR="009C15BA">
        <w:t>’</w:t>
      </w:r>
      <w:r w:rsidR="00B36E7B">
        <w:t xml:space="preserve">; in het technisch onderwijs </w:t>
      </w:r>
      <w:r w:rsidR="009C15BA">
        <w:t>‘</w:t>
      </w:r>
      <w:r w:rsidR="00B36E7B">
        <w:t>7</w:t>
      </w:r>
      <w:r w:rsidR="00B36E7B" w:rsidRPr="00B36E7B">
        <w:rPr>
          <w:vertAlign w:val="superscript"/>
        </w:rPr>
        <w:t>de</w:t>
      </w:r>
      <w:r w:rsidR="00B36E7B">
        <w:t xml:space="preserve"> leerjaar</w:t>
      </w:r>
      <w:r w:rsidR="009C15BA">
        <w:t>’</w:t>
      </w:r>
      <w:r w:rsidR="00B36E7B">
        <w:t xml:space="preserve">; en in het beroepssecundair onderwijs </w:t>
      </w:r>
      <w:r w:rsidR="009C15BA">
        <w:t>‘</w:t>
      </w:r>
      <w:r w:rsidR="00B36E7B">
        <w:t>7</w:t>
      </w:r>
      <w:r w:rsidR="00B36E7B" w:rsidRPr="00B36E7B">
        <w:rPr>
          <w:vertAlign w:val="superscript"/>
        </w:rPr>
        <w:t>de</w:t>
      </w:r>
      <w:r w:rsidR="00B36E7B">
        <w:t xml:space="preserve"> leerjaar gericht op instroom arbeidsmarkt</w:t>
      </w:r>
      <w:r w:rsidR="009C15BA">
        <w:t>’</w:t>
      </w:r>
      <w:r w:rsidR="00B36E7B">
        <w:t xml:space="preserve"> of </w:t>
      </w:r>
      <w:r w:rsidR="009C15BA">
        <w:t>‘</w:t>
      </w:r>
      <w:r w:rsidR="00B36E7B">
        <w:t>7</w:t>
      </w:r>
      <w:r w:rsidR="00B36E7B" w:rsidRPr="00B36E7B">
        <w:rPr>
          <w:vertAlign w:val="superscript"/>
        </w:rPr>
        <w:t>de</w:t>
      </w:r>
      <w:r w:rsidR="00B36E7B">
        <w:t xml:space="preserve"> leerjaar gericht op het hoger onderwijs</w:t>
      </w:r>
      <w:r w:rsidR="009C15BA">
        <w:t>’</w:t>
      </w:r>
      <w:r w:rsidR="00B36E7B">
        <w:t>.</w:t>
      </w:r>
      <w:r w:rsidR="00B36E7B">
        <w:rPr>
          <w:rStyle w:val="Voetnootmarkering"/>
        </w:rPr>
        <w:footnoteReference w:id="140"/>
      </w:r>
    </w:p>
    <w:p w14:paraId="4070B96D" w14:textId="77777777" w:rsidR="00BF7B79" w:rsidRDefault="0088248D">
      <w:pPr>
        <w:pStyle w:val="Lijstalinea"/>
        <w:numPr>
          <w:ilvl w:val="0"/>
          <w:numId w:val="2"/>
        </w:numPr>
        <w:ind w:left="0" w:firstLine="0"/>
        <w:contextualSpacing w:val="0"/>
        <w:jc w:val="both"/>
      </w:pPr>
      <w:r>
        <w:t>De maximumpercentages voor interactief afstandsonderwijs voor opleidingsvorm 3 worden in de codex secundair onderwijs verankerd: 20% voor de eerste graad, het onthaaljaar en de observatiefase, 30% in de tweede graad en 40% in de derde graad, de kwalificatiefase en de schoolcomponent van de integratiefase.</w:t>
      </w:r>
      <w:r>
        <w:rPr>
          <w:rStyle w:val="Voetnootmarkering"/>
        </w:rPr>
        <w:footnoteReference w:id="141"/>
      </w:r>
      <w:r w:rsidR="00BF7B79" w:rsidRPr="00BF7B79">
        <w:t xml:space="preserve"> </w:t>
      </w:r>
    </w:p>
    <w:p w14:paraId="2032A099" w14:textId="4462F9D4" w:rsidR="00BF7B79" w:rsidRDefault="00BF7B79">
      <w:pPr>
        <w:pStyle w:val="Lijstalinea"/>
        <w:numPr>
          <w:ilvl w:val="0"/>
          <w:numId w:val="2"/>
        </w:numPr>
        <w:ind w:left="0" w:firstLine="0"/>
        <w:contextualSpacing w:val="0"/>
        <w:jc w:val="both"/>
      </w:pPr>
      <w:r>
        <w:t>Scholen met een studieaanbod van tweejarige structuuronderdelen voor topsport in de tweede of derde graad, kunnen dit structuuronderdeel organiseren in slechts een van beide leerjaren van een graad indien er geen leerlingen ingeschreven zijn in dat jaar op de eerste lesdag van oktober.</w:t>
      </w:r>
      <w:r>
        <w:rPr>
          <w:rStyle w:val="Voetnootmarkering"/>
        </w:rPr>
        <w:footnoteReference w:id="142"/>
      </w:r>
    </w:p>
    <w:p w14:paraId="2696E665" w14:textId="3E55180F" w:rsidR="00BF7B79" w:rsidRDefault="00E4521D">
      <w:pPr>
        <w:pStyle w:val="Lijstalinea"/>
        <w:numPr>
          <w:ilvl w:val="0"/>
          <w:numId w:val="2"/>
        </w:numPr>
        <w:ind w:left="0" w:firstLine="0"/>
        <w:contextualSpacing w:val="0"/>
        <w:jc w:val="both"/>
      </w:pPr>
      <w:r>
        <w:t xml:space="preserve">Een school </w:t>
      </w:r>
      <w:r w:rsidR="00BF7B79">
        <w:t xml:space="preserve">zal leerlingen kunnen vrijstellen </w:t>
      </w:r>
      <w:r>
        <w:t xml:space="preserve">voor een onderdeel of onderdelen van de vorming van een structuuronderdeel indien die leerling al is geslaagd voor dat onderdeel of </w:t>
      </w:r>
      <w:r w:rsidR="00E54C50">
        <w:t xml:space="preserve">die </w:t>
      </w:r>
      <w:r>
        <w:t>onderdelen via de examencommissie.</w:t>
      </w:r>
      <w:r>
        <w:rPr>
          <w:rStyle w:val="Voetnootmarkering"/>
        </w:rPr>
        <w:footnoteReference w:id="143"/>
      </w:r>
    </w:p>
    <w:p w14:paraId="3DBD96F2" w14:textId="77777777" w:rsidR="007F2187" w:rsidRDefault="00D16778">
      <w:pPr>
        <w:pStyle w:val="Lijstalinea"/>
        <w:numPr>
          <w:ilvl w:val="0"/>
          <w:numId w:val="2"/>
        </w:numPr>
        <w:ind w:left="0" w:firstLine="0"/>
        <w:contextualSpacing w:val="0"/>
        <w:jc w:val="both"/>
      </w:pPr>
      <w:r>
        <w:lastRenderedPageBreak/>
        <w:t xml:space="preserve">De bevoegdheid om aan ieder structuuronderdeel de toepasbare specifieke eindtermen, beroepskwalificatie(s), deelkwalificatie(s) of set’(s) van competenties te koppelen, wordt </w:t>
      </w:r>
      <w:r w:rsidR="00F63F53">
        <w:t xml:space="preserve">gedelegeerd </w:t>
      </w:r>
      <w:r>
        <w:t>aan de Vlaamse Regering.</w:t>
      </w:r>
      <w:r>
        <w:rPr>
          <w:rStyle w:val="Voetnootmarkering"/>
        </w:rPr>
        <w:footnoteReference w:id="144"/>
      </w:r>
      <w:r w:rsidR="007F2187">
        <w:t xml:space="preserve"> </w:t>
      </w:r>
    </w:p>
    <w:p w14:paraId="018720E7" w14:textId="2D549430" w:rsidR="00D16778" w:rsidRDefault="007F2187">
      <w:pPr>
        <w:pStyle w:val="Lijstalinea"/>
        <w:numPr>
          <w:ilvl w:val="0"/>
          <w:numId w:val="2"/>
        </w:numPr>
        <w:ind w:left="0" w:firstLine="0"/>
        <w:contextualSpacing w:val="0"/>
        <w:jc w:val="both"/>
      </w:pPr>
      <w:r>
        <w:t>Eveneens de koppeling van de aanloopstructuuronderdelen en de duale structuuronderdelen wordt aan de Vlaamse Regering gedelegeerd.</w:t>
      </w:r>
      <w:r>
        <w:rPr>
          <w:rStyle w:val="Voetnootmarkering"/>
        </w:rPr>
        <w:footnoteReference w:id="145"/>
      </w:r>
    </w:p>
    <w:p w14:paraId="523E4BC5" w14:textId="0C40815E" w:rsidR="00F63F53" w:rsidRDefault="00296996">
      <w:pPr>
        <w:pStyle w:val="Lijstalinea"/>
        <w:numPr>
          <w:ilvl w:val="0"/>
          <w:numId w:val="2"/>
        </w:numPr>
        <w:ind w:left="0" w:firstLine="0"/>
        <w:contextualSpacing w:val="0"/>
        <w:jc w:val="both"/>
      </w:pPr>
      <w:r>
        <w:t>In beginsel kan een structuuronderdeel pas georganiseerd worden van zodra er een goedgekeurd curriculumdossier is. Op deze regels voert OD XXXIII een uitzondering in. Voor een structuuronderdeel dat nieuw is of bestaat maar inhoudelijk gewijzigd wordt</w:t>
      </w:r>
      <w:r w:rsidR="007709D2">
        <w:t>, en waarvoor de eerste beslissing uitzonderlijk is genomen na 1 september van het schooljaar voorafgaand aan de organisatie van het nieuwe of gewijzigde onderdeel, moet een curriculumdossier pas zijn goedgekeurd vanaf het tweede schooljaar dat het</w:t>
      </w:r>
      <w:r w:rsidR="00E54C50">
        <w:t xml:space="preserve"> structuuronderdeel</w:t>
      </w:r>
      <w:r w:rsidR="007709D2">
        <w:t xml:space="preserve"> wordt georganiseerd.</w:t>
      </w:r>
      <w:r w:rsidR="007709D2">
        <w:rPr>
          <w:rStyle w:val="Voetnootmarkering"/>
        </w:rPr>
        <w:footnoteReference w:id="146"/>
      </w:r>
    </w:p>
    <w:p w14:paraId="3B7F0E86" w14:textId="4FCE0561" w:rsidR="007709D2" w:rsidRDefault="007709D2">
      <w:pPr>
        <w:pStyle w:val="Lijstalinea"/>
        <w:numPr>
          <w:ilvl w:val="0"/>
          <w:numId w:val="2"/>
        </w:numPr>
        <w:ind w:left="0" w:firstLine="0"/>
        <w:contextualSpacing w:val="0"/>
        <w:jc w:val="both"/>
      </w:pPr>
      <w:r>
        <w:t>In</w:t>
      </w:r>
      <w:r w:rsidR="005517B2">
        <w:t xml:space="preserve"> de derde graad van</w:t>
      </w:r>
      <w:r>
        <w:t xml:space="preserve"> het technisch en beroepsonderwijs </w:t>
      </w:r>
      <w:r w:rsidR="005517B2">
        <w:t>en in de zevende leerjaren gericht op instroom arbeidsmarkt, met uitzondering van de aanloop- en duale structuuronderdelen, wordt een leerlingenstage van minimaal achttien halve dagen per schooljaar verplicht.</w:t>
      </w:r>
      <w:r w:rsidR="005517B2">
        <w:rPr>
          <w:rStyle w:val="Voetnootmarkering"/>
        </w:rPr>
        <w:footnoteReference w:id="147"/>
      </w:r>
      <w:r w:rsidR="005517B2">
        <w:t xml:space="preserve"> Indien er onvoldoende stageplekken beschikbaar zijn, moet de school inzetten op observatieactiviteiten in een organisatie of onderneming zodat leerlingen toch kennismaken met een beroep of werkplek. De verplichting geldt vanaf 1 september 2023 voor het tweede en derde </w:t>
      </w:r>
      <w:r w:rsidR="00E67424">
        <w:t>leerjaar</w:t>
      </w:r>
      <w:r w:rsidR="00E54C50">
        <w:t xml:space="preserve"> van de derde graad</w:t>
      </w:r>
      <w:r w:rsidR="00E67424">
        <w:t>, en vanaf 1 september 2024 voor het eerste leerjaar van d</w:t>
      </w:r>
      <w:r w:rsidR="00E54C50">
        <w:t xml:space="preserve">ezelfde </w:t>
      </w:r>
      <w:r w:rsidR="00E67424">
        <w:t>graad.</w:t>
      </w:r>
    </w:p>
    <w:p w14:paraId="2DDD44F6" w14:textId="2F5A8DF1" w:rsidR="00E67424" w:rsidRDefault="006F1EA4">
      <w:pPr>
        <w:pStyle w:val="Lijstalinea"/>
        <w:numPr>
          <w:ilvl w:val="0"/>
          <w:numId w:val="2"/>
        </w:numPr>
        <w:ind w:left="0" w:firstLine="0"/>
        <w:contextualSpacing w:val="0"/>
        <w:jc w:val="both"/>
      </w:pPr>
      <w:r>
        <w:t xml:space="preserve">Bij een inschrijvingsprocedure moesten een schoolbestuur, schoolbesturen of </w:t>
      </w:r>
      <w:r w:rsidR="00AE0250">
        <w:t>een</w:t>
      </w:r>
      <w:r>
        <w:t xml:space="preserve"> LOP alle mogelijke optimalisaties doen opdat leerlingen zo veel als mogelijk</w:t>
      </w:r>
      <w:r w:rsidR="00AE0250">
        <w:t xml:space="preserve"> zich in</w:t>
      </w:r>
      <w:r>
        <w:t xml:space="preserve"> </w:t>
      </w:r>
      <w:r w:rsidR="00E54C50">
        <w:t>een</w:t>
      </w:r>
      <w:r>
        <w:t xml:space="preserve"> school van </w:t>
      </w:r>
      <w:r w:rsidR="00E54C50">
        <w:t>een</w:t>
      </w:r>
      <w:r w:rsidR="00AE0250">
        <w:t xml:space="preserve"> </w:t>
      </w:r>
      <w:r w:rsidR="00DB632D">
        <w:t>hogere</w:t>
      </w:r>
      <w:r w:rsidR="00AE0250">
        <w:t xml:space="preserve"> </w:t>
      </w:r>
      <w:r w:rsidR="00DB632D">
        <w:t>voorkeur</w:t>
      </w:r>
      <w:r>
        <w:t xml:space="preserve"> konden </w:t>
      </w:r>
      <w:r w:rsidR="00AE0250">
        <w:t xml:space="preserve">inschrijven. Op basis van dit decreet krijgen een schoolbestuur, schoolbesturen of een LOP de mogelijkheid om </w:t>
      </w:r>
      <w:r w:rsidR="00995490">
        <w:t>zich te beperken tot een of meerdere optimalisaties</w:t>
      </w:r>
      <w:r w:rsidR="00AE0250">
        <w:t>.</w:t>
      </w:r>
      <w:r w:rsidR="00AE0250">
        <w:rPr>
          <w:rStyle w:val="Voetnootmarkering"/>
        </w:rPr>
        <w:footnoteReference w:id="148"/>
      </w:r>
    </w:p>
    <w:p w14:paraId="1FA541B3" w14:textId="0FCC3DA0" w:rsidR="0088248D" w:rsidRDefault="00BF7B79">
      <w:pPr>
        <w:pStyle w:val="Lijstalinea"/>
        <w:numPr>
          <w:ilvl w:val="0"/>
          <w:numId w:val="2"/>
        </w:numPr>
        <w:ind w:left="0" w:firstLine="0"/>
        <w:contextualSpacing w:val="0"/>
        <w:jc w:val="both"/>
      </w:pPr>
      <w:r>
        <w:t xml:space="preserve">Voor het stelsel van leren en werken voegt het genummerd onderwijsdecreet toe dat de klassenraad voor cognitief sterk functionerende leerlingen kan afwijken van de minimale studieduur. Dit geldt voor het getuigschrift van de tweede graad, het studiegetuigschrift van de derde graad, het diploma secundair onderwijs en het getuigschrift over de basiskennis bedrijfsbeheer uitgereikt door de centra voor deeltijds beroepssecundair onderwijs en de </w:t>
      </w:r>
      <w:proofErr w:type="spellStart"/>
      <w:r>
        <w:t>Syntra</w:t>
      </w:r>
      <w:proofErr w:type="spellEnd"/>
      <w:r>
        <w:t>.</w:t>
      </w:r>
      <w:r>
        <w:rPr>
          <w:rStyle w:val="Voetnootmarkering"/>
        </w:rPr>
        <w:footnoteReference w:id="149"/>
      </w:r>
    </w:p>
    <w:p w14:paraId="5F81C502" w14:textId="77777777" w:rsidR="006F4879" w:rsidRDefault="006F4879" w:rsidP="006F4879">
      <w:pPr>
        <w:pStyle w:val="Lijstalinea"/>
        <w:ind w:left="0"/>
        <w:contextualSpacing w:val="0"/>
        <w:jc w:val="both"/>
      </w:pPr>
    </w:p>
    <w:p w14:paraId="2B20ED7C" w14:textId="44B6D82F" w:rsidR="006F4879" w:rsidRDefault="006F4879" w:rsidP="006F4879">
      <w:pPr>
        <w:pStyle w:val="Kop2"/>
      </w:pPr>
      <w:r>
        <w:t>Hoger onderwijs</w:t>
      </w:r>
    </w:p>
    <w:p w14:paraId="1BE6C1FD" w14:textId="64035AE6" w:rsidR="006F4879" w:rsidRDefault="00F545DB">
      <w:pPr>
        <w:pStyle w:val="Lijstalinea"/>
        <w:numPr>
          <w:ilvl w:val="0"/>
          <w:numId w:val="2"/>
        </w:numPr>
        <w:ind w:left="0" w:firstLine="0"/>
        <w:contextualSpacing w:val="0"/>
        <w:jc w:val="both"/>
      </w:pPr>
      <w:r>
        <w:t>De toegang tot de verkorte educatieve bachelor zonder onderwijsvakken wordt, zonder beperking in de tijd, verruimd tot alle studenten die beschikken over een master of een gelijkwaardig diploma.</w:t>
      </w:r>
      <w:r>
        <w:rPr>
          <w:rStyle w:val="Voetnootmarkering"/>
        </w:rPr>
        <w:footnoteReference w:id="150"/>
      </w:r>
    </w:p>
    <w:p w14:paraId="6CA09058" w14:textId="6956E670" w:rsidR="005F20F2" w:rsidRDefault="005F20F2">
      <w:pPr>
        <w:pStyle w:val="Lijstalinea"/>
        <w:numPr>
          <w:ilvl w:val="0"/>
          <w:numId w:val="2"/>
        </w:numPr>
        <w:ind w:left="0" w:firstLine="0"/>
        <w:contextualSpacing w:val="0"/>
        <w:jc w:val="both"/>
      </w:pPr>
      <w:r>
        <w:t xml:space="preserve">Instellingen voor hoger onderwijs krijgen een rechtsbasis voor samenwerkingsovereenkomsten met derden voor de organisatie van onderwijs- en studieactiviteiten, </w:t>
      </w:r>
      <w:r w:rsidR="00995490">
        <w:t xml:space="preserve">en </w:t>
      </w:r>
      <w:r>
        <w:t xml:space="preserve">het gebruik van infrastructuur en apparatuur. </w:t>
      </w:r>
    </w:p>
    <w:p w14:paraId="235A3EDD" w14:textId="5CBEAD7F" w:rsidR="004B1C6A" w:rsidRDefault="004B1C6A">
      <w:pPr>
        <w:pStyle w:val="Lijstalinea"/>
        <w:numPr>
          <w:ilvl w:val="0"/>
          <w:numId w:val="2"/>
        </w:numPr>
        <w:ind w:left="0" w:firstLine="0"/>
        <w:contextualSpacing w:val="0"/>
        <w:jc w:val="both"/>
      </w:pPr>
      <w:r>
        <w:lastRenderedPageBreak/>
        <w:t xml:space="preserve">Op basis van het decreet van 15 juli 2022 over de instroom en het optimaliseren van de studie-efficiëntie in het hoger onderwijs </w:t>
      </w:r>
      <w:r w:rsidR="00816017">
        <w:t>moesten studenten die na een eerste inschrijving niet voor alle opleidingsonderdelen waren geslaagd en die zich opnieuw wilden inschrijven in dezelfde opleiding, alle niet-behaalde opleidingsonderdelen</w:t>
      </w:r>
      <w:r w:rsidR="00995490">
        <w:t xml:space="preserve"> opnieuw</w:t>
      </w:r>
      <w:r w:rsidR="00816017">
        <w:t xml:space="preserve"> opnemen. Dit decreet voorziet op die regel een uitzondering voor studenten die andere keuzeopleidingsonderdelen, opleidingsonderdelen van een andere afstudeerrichting of andere onderwijsvakken in de educatieve bachelor willen opnemen.</w:t>
      </w:r>
      <w:r w:rsidR="00816017">
        <w:rPr>
          <w:rStyle w:val="Voetnootmarkering"/>
        </w:rPr>
        <w:footnoteReference w:id="151"/>
      </w:r>
    </w:p>
    <w:p w14:paraId="6D4E476B" w14:textId="05C1D60F" w:rsidR="0069043A" w:rsidRDefault="0069043A">
      <w:pPr>
        <w:pStyle w:val="Lijstalinea"/>
        <w:numPr>
          <w:ilvl w:val="0"/>
          <w:numId w:val="2"/>
        </w:numPr>
        <w:ind w:left="0" w:firstLine="0"/>
        <w:contextualSpacing w:val="0"/>
        <w:jc w:val="both"/>
      </w:pPr>
      <w:r>
        <w:t xml:space="preserve">Aan de studievoortgangsmaatregelen die bij het genoemde decreet werden aangepast, gebeuren daarnaast nog </w:t>
      </w:r>
      <w:r w:rsidR="00BD443B">
        <w:t>drie</w:t>
      </w:r>
      <w:r>
        <w:t xml:space="preserve"> andere aanpassingen:</w:t>
      </w:r>
    </w:p>
    <w:p w14:paraId="1267C9CE" w14:textId="19AE4C03" w:rsidR="0069043A" w:rsidRDefault="0069043A">
      <w:pPr>
        <w:pStyle w:val="Lijstalinea"/>
        <w:numPr>
          <w:ilvl w:val="0"/>
          <w:numId w:val="8"/>
        </w:numPr>
        <w:contextualSpacing w:val="0"/>
        <w:jc w:val="both"/>
      </w:pPr>
      <w:r>
        <w:t xml:space="preserve">De studievoortgangsmaatregelen </w:t>
      </w:r>
      <w:r w:rsidR="00CA3F09">
        <w:t xml:space="preserve">die </w:t>
      </w:r>
      <w:r>
        <w:t>voor het hoger beroepsonderwijs</w:t>
      </w:r>
      <w:r w:rsidR="00B521C4">
        <w:t xml:space="preserve"> golden voor de wijzigingen, worden opnieuw ingevoerd. Onbedoeld was de mogelijkheid voor instellingen om studenten die een studierendement haalden van minder 60% bindende voorwaarden op te leggen</w:t>
      </w:r>
      <w:r w:rsidR="00CA3F09">
        <w:t>,</w:t>
      </w:r>
      <w:r w:rsidR="00B521C4">
        <w:t xml:space="preserve"> geschrapt.</w:t>
      </w:r>
      <w:r w:rsidR="00B521C4">
        <w:rPr>
          <w:rStyle w:val="Voetnootmarkering"/>
        </w:rPr>
        <w:footnoteReference w:id="152"/>
      </w:r>
    </w:p>
    <w:p w14:paraId="7EF849CC" w14:textId="386DB951" w:rsidR="00B521C4" w:rsidRDefault="00B521C4">
      <w:pPr>
        <w:pStyle w:val="Lijstalinea"/>
        <w:numPr>
          <w:ilvl w:val="0"/>
          <w:numId w:val="8"/>
        </w:numPr>
        <w:contextualSpacing w:val="0"/>
        <w:jc w:val="both"/>
      </w:pPr>
      <w:r>
        <w:t xml:space="preserve">De bepaling dat een student na twee academiejaren alle studiepunten opgenomen tijdens de eerste inschrijving moet behaald hebben, geldt niet voor studenten die wijzigen van </w:t>
      </w:r>
      <w:proofErr w:type="spellStart"/>
      <w:r>
        <w:t>onderwijsvak</w:t>
      </w:r>
      <w:proofErr w:type="spellEnd"/>
      <w:r>
        <w:t>.</w:t>
      </w:r>
      <w:r>
        <w:rPr>
          <w:rStyle w:val="Voetnootmarkering"/>
        </w:rPr>
        <w:footnoteReference w:id="153"/>
      </w:r>
    </w:p>
    <w:p w14:paraId="734BB3A9" w14:textId="10371BCA" w:rsidR="00BD443B" w:rsidRDefault="00BD443B">
      <w:pPr>
        <w:pStyle w:val="Lijstalinea"/>
        <w:numPr>
          <w:ilvl w:val="0"/>
          <w:numId w:val="8"/>
        </w:numPr>
        <w:contextualSpacing w:val="0"/>
        <w:jc w:val="both"/>
      </w:pPr>
      <w:r>
        <w:t xml:space="preserve">Een student wiens inschrijving geweigerd werd na het </w:t>
      </w:r>
      <w:r w:rsidR="008F727F">
        <w:t xml:space="preserve">niet-behalen van de studiepunten van de eerste inschrijving na twee inschrijvingen, moet zes academiejaren wachten na </w:t>
      </w:r>
      <w:proofErr w:type="spellStart"/>
      <w:r w:rsidR="008F727F">
        <w:t>hetgene</w:t>
      </w:r>
      <w:proofErr w:type="spellEnd"/>
      <w:r w:rsidR="008F727F">
        <w:t xml:space="preserve"> waarin de inschrijving geweigerd werd om zich opnieuw te kunnen inschrijven in dezelfde opleiding.</w:t>
      </w:r>
      <w:r w:rsidR="007D6BF3">
        <w:rPr>
          <w:rStyle w:val="Voetnootmarkering"/>
        </w:rPr>
        <w:footnoteReference w:id="154"/>
      </w:r>
    </w:p>
    <w:p w14:paraId="4509A788" w14:textId="5F650122" w:rsidR="006F4879" w:rsidRDefault="00074700">
      <w:pPr>
        <w:pStyle w:val="Lijstalinea"/>
        <w:numPr>
          <w:ilvl w:val="0"/>
          <w:numId w:val="2"/>
        </w:numPr>
        <w:ind w:left="0" w:firstLine="0"/>
        <w:contextualSpacing w:val="0"/>
        <w:jc w:val="both"/>
      </w:pPr>
      <w:r>
        <w:t>In de codificatie sommige bepalingen voor het onderwijs van 28 oktober 2016 wordt de groep studenten die aanspraak kan maken op speciale onderwijsleermiddelen verruim</w:t>
      </w:r>
      <w:r w:rsidR="00CA3F09">
        <w:t>d</w:t>
      </w:r>
      <w:r>
        <w:t xml:space="preserve">. De studenten van de Hogere </w:t>
      </w:r>
      <w:r w:rsidR="00CA3F09">
        <w:t>I</w:t>
      </w:r>
      <w:r>
        <w:t xml:space="preserve">nstituten en andere instellingen voor Schone Kunsten, van de stichtingen van openbaar nut voor </w:t>
      </w:r>
      <w:proofErr w:type="spellStart"/>
      <w:r>
        <w:t>postinitieel</w:t>
      </w:r>
      <w:proofErr w:type="spellEnd"/>
      <w:r>
        <w:t xml:space="preserve"> onderwijs (zijnde </w:t>
      </w:r>
      <w:proofErr w:type="spellStart"/>
      <w:r>
        <w:t>Vlerick</w:t>
      </w:r>
      <w:proofErr w:type="spellEnd"/>
      <w:r>
        <w:t xml:space="preserve"> Business School, de </w:t>
      </w:r>
      <w:proofErr w:type="spellStart"/>
      <w:r>
        <w:t>Antwerp</w:t>
      </w:r>
      <w:proofErr w:type="spellEnd"/>
      <w:r>
        <w:t xml:space="preserve"> Management School en het Instituut voor Tropische Geneeskunde), van de erkende faculteiten voor protestante godgeleerdheid en de studenten uit de postgraduaten zullen beroep kunnen doen op de leermiddelen.</w:t>
      </w:r>
      <w:r>
        <w:rPr>
          <w:rStyle w:val="Voetnootmarkering"/>
        </w:rPr>
        <w:footnoteReference w:id="155"/>
      </w:r>
    </w:p>
    <w:p w14:paraId="74C12AA7" w14:textId="77777777" w:rsidR="00074700" w:rsidRDefault="00074700" w:rsidP="006F4879">
      <w:pPr>
        <w:pStyle w:val="Lijstalinea"/>
        <w:ind w:left="0"/>
        <w:contextualSpacing w:val="0"/>
        <w:jc w:val="both"/>
      </w:pPr>
    </w:p>
    <w:p w14:paraId="7BE50A39" w14:textId="52A9FA91" w:rsidR="006F4879" w:rsidRDefault="006F4879" w:rsidP="006F4879">
      <w:pPr>
        <w:pStyle w:val="Kop2"/>
      </w:pPr>
      <w:r>
        <w:t>Volwassenenonderwijs</w:t>
      </w:r>
    </w:p>
    <w:p w14:paraId="5FFB7199" w14:textId="19D5C612" w:rsidR="006F4879" w:rsidRDefault="00704EFB">
      <w:pPr>
        <w:pStyle w:val="Lijstalinea"/>
        <w:numPr>
          <w:ilvl w:val="0"/>
          <w:numId w:val="2"/>
        </w:numPr>
        <w:ind w:left="0" w:firstLine="0"/>
        <w:contextualSpacing w:val="0"/>
        <w:jc w:val="both"/>
      </w:pPr>
      <w:r>
        <w:t>De opleidingen NT2 op het niveau richtgraad 2 van de basiseducatie worden toegevoegd aan de lijst van vrijstellingscategorieën voor het inschrijvingsgeld.</w:t>
      </w:r>
      <w:r>
        <w:rPr>
          <w:rStyle w:val="Voetnootmarkering"/>
        </w:rPr>
        <w:footnoteReference w:id="156"/>
      </w:r>
      <w:r>
        <w:t xml:space="preserve"> </w:t>
      </w:r>
      <w:r w:rsidR="00F9028A">
        <w:t>Zodanig worden deze opleidingen op dezelfde manier behandeld als de NT2-opleidingen richtgraad 2 van de centra voor volwassenenonderwijs.</w:t>
      </w:r>
    </w:p>
    <w:p w14:paraId="137319B7" w14:textId="45118A12" w:rsidR="00F9028A" w:rsidRDefault="0068057A">
      <w:pPr>
        <w:pStyle w:val="Lijstalinea"/>
        <w:numPr>
          <w:ilvl w:val="0"/>
          <w:numId w:val="2"/>
        </w:numPr>
        <w:ind w:left="0" w:firstLine="0"/>
        <w:contextualSpacing w:val="0"/>
        <w:jc w:val="both"/>
      </w:pPr>
      <w:r>
        <w:lastRenderedPageBreak/>
        <w:t>Inburgeraars die voor de inwerkingtreding van het wijzigingsdecreet NT2 van 24 juni 2022 hun inburgeringscontract ondertekend hadden, vielen onder een overgangsregeling.</w:t>
      </w:r>
      <w:r>
        <w:rPr>
          <w:rStyle w:val="Voetnootmarkering"/>
        </w:rPr>
        <w:footnoteReference w:id="157"/>
      </w:r>
      <w:r>
        <w:t xml:space="preserve"> In die </w:t>
      </w:r>
      <w:r w:rsidR="00920114">
        <w:t>regeling wordt nu verduidelijkt dat er een ook een vrijstelling van het inschrijvingsgeld is voor de cursussen die beogen het Latijns schrift aan te leren. Er wordt daarnaast geëxpliciteerd dat de vrijstelling van inschrijvingsgeld ook geldt voor deelname aan de NT2-test.</w:t>
      </w:r>
      <w:r w:rsidR="00920114">
        <w:rPr>
          <w:rStyle w:val="Voetnootmarkering"/>
        </w:rPr>
        <w:footnoteReference w:id="158"/>
      </w:r>
    </w:p>
    <w:p w14:paraId="78F520FA" w14:textId="4C41EF18" w:rsidR="006F4879" w:rsidRDefault="006F4879" w:rsidP="006F4879">
      <w:pPr>
        <w:pStyle w:val="Lijstalinea"/>
        <w:ind w:left="0"/>
        <w:contextualSpacing w:val="0"/>
        <w:jc w:val="both"/>
      </w:pPr>
    </w:p>
    <w:p w14:paraId="2B4C7550" w14:textId="079B5200" w:rsidR="006F4879" w:rsidRDefault="006F4879" w:rsidP="006F4879">
      <w:pPr>
        <w:pStyle w:val="Kop2"/>
      </w:pPr>
      <w:r>
        <w:t>Deeltijds kunstonderwijs</w:t>
      </w:r>
    </w:p>
    <w:p w14:paraId="29E348D0" w14:textId="77777777" w:rsidR="001205FF" w:rsidRDefault="001205FF">
      <w:pPr>
        <w:pStyle w:val="Lijstalinea"/>
        <w:numPr>
          <w:ilvl w:val="0"/>
          <w:numId w:val="2"/>
        </w:numPr>
        <w:ind w:left="0" w:firstLine="0"/>
        <w:contextualSpacing w:val="0"/>
        <w:jc w:val="both"/>
      </w:pPr>
      <w:r>
        <w:t>Voor het deeltijds kunstonderwijs houdt het onderwijsdecreet volgende wijzigingen in:</w:t>
      </w:r>
    </w:p>
    <w:p w14:paraId="45E50CC7" w14:textId="77777777" w:rsidR="001205FF" w:rsidRDefault="00FF279C">
      <w:pPr>
        <w:pStyle w:val="Lijstalinea"/>
        <w:numPr>
          <w:ilvl w:val="0"/>
          <w:numId w:val="9"/>
        </w:numPr>
        <w:contextualSpacing w:val="0"/>
        <w:jc w:val="both"/>
      </w:pPr>
      <w:r>
        <w:t>Naar analogie met wat mogelijk is voor het veranderen van optie, kunnen leerlingen voortaan enkel nog tot de eerste lesdag na de kerstvakantie wisselen van een kort, intensief traject naar een langer traject met minder lestijden, of omgekeerd.</w:t>
      </w:r>
      <w:r>
        <w:rPr>
          <w:rStyle w:val="Voetnootmarkering"/>
        </w:rPr>
        <w:footnoteReference w:id="159"/>
      </w:r>
    </w:p>
    <w:p w14:paraId="458006FF" w14:textId="7090403C" w:rsidR="00284F52" w:rsidRDefault="00284F52">
      <w:pPr>
        <w:pStyle w:val="Lijstalinea"/>
        <w:numPr>
          <w:ilvl w:val="0"/>
          <w:numId w:val="9"/>
        </w:numPr>
        <w:contextualSpacing w:val="0"/>
        <w:jc w:val="both"/>
      </w:pPr>
      <w:r>
        <w:t xml:space="preserve">Ouders en leerlingen kunnen zich vanaf nu </w:t>
      </w:r>
      <w:r w:rsidR="00CA3F09">
        <w:t>ook</w:t>
      </w:r>
      <w:r>
        <w:t xml:space="preserve"> </w:t>
      </w:r>
      <w:r w:rsidR="00846156">
        <w:t>digitaal</w:t>
      </w:r>
      <w:r>
        <w:t xml:space="preserve"> akkoord verklaren met </w:t>
      </w:r>
      <w:r w:rsidR="001205FF">
        <w:t>(</w:t>
      </w:r>
      <w:r>
        <w:t>een wijziging van</w:t>
      </w:r>
      <w:r w:rsidR="001205FF">
        <w:t>)</w:t>
      </w:r>
      <w:r>
        <w:t xml:space="preserve"> het </w:t>
      </w:r>
      <w:r w:rsidR="001205FF">
        <w:t>academie</w:t>
      </w:r>
      <w:r>
        <w:t>reglement.</w:t>
      </w:r>
      <w:r>
        <w:rPr>
          <w:rStyle w:val="Voetnootmarkering"/>
        </w:rPr>
        <w:footnoteReference w:id="160"/>
      </w:r>
    </w:p>
    <w:p w14:paraId="7176EA31" w14:textId="78D53919" w:rsidR="001205FF" w:rsidRDefault="001205FF">
      <w:pPr>
        <w:pStyle w:val="Lijstalinea"/>
        <w:numPr>
          <w:ilvl w:val="0"/>
          <w:numId w:val="9"/>
        </w:numPr>
        <w:contextualSpacing w:val="0"/>
        <w:jc w:val="both"/>
      </w:pPr>
      <w:r>
        <w:t xml:space="preserve">De voorrang </w:t>
      </w:r>
      <w:r w:rsidR="00CA3F09">
        <w:t xml:space="preserve">bij de inschrijvingen </w:t>
      </w:r>
      <w:r>
        <w:t>v</w:t>
      </w:r>
      <w:r w:rsidR="00CA3F09">
        <w:t>oor</w:t>
      </w:r>
      <w:r>
        <w:t xml:space="preserve"> leerlingen die al een opleiding volgen in een academie </w:t>
      </w:r>
      <w:r w:rsidR="00CA3F09">
        <w:t xml:space="preserve">wordt uitgebreid van inschrijvingen voor </w:t>
      </w:r>
      <w:r>
        <w:t xml:space="preserve">de vervolgopleiding </w:t>
      </w:r>
      <w:r w:rsidR="00CA3F09">
        <w:t>naar</w:t>
      </w:r>
      <w:r>
        <w:t xml:space="preserve"> het verder volgen van dezelfde opleiding. Leerlingen die van die voorrang gebruik willen maken moet zich </w:t>
      </w:r>
      <w:proofErr w:type="spellStart"/>
      <w:r>
        <w:t>herinschrijven</w:t>
      </w:r>
      <w:proofErr w:type="spellEnd"/>
      <w:r>
        <w:t xml:space="preserve"> op ten laatste 5 juli.</w:t>
      </w:r>
      <w:r>
        <w:rPr>
          <w:rStyle w:val="Voetnootmarkering"/>
        </w:rPr>
        <w:footnoteReference w:id="161"/>
      </w:r>
    </w:p>
    <w:p w14:paraId="2E2757DD" w14:textId="26FC6779" w:rsidR="001205FF" w:rsidRDefault="001205FF">
      <w:pPr>
        <w:pStyle w:val="Lijstalinea"/>
        <w:numPr>
          <w:ilvl w:val="0"/>
          <w:numId w:val="9"/>
        </w:numPr>
        <w:contextualSpacing w:val="0"/>
        <w:jc w:val="both"/>
      </w:pPr>
      <w:r>
        <w:t>Academies kunnen de inschrijving van leerlingen die niet het volledige inschrijvingsgeld betaald hebben, ongedaan maken.</w:t>
      </w:r>
      <w:r w:rsidR="00EF454E">
        <w:t xml:space="preserve"> Gebeurt de uitschrijving voor 1 oktober, krijgen leerlingen hun inschrijvingsgeld terug; gebeurt de uitschrijving na die datum, dan beslist de academie over de mate waarin de leerling het betaalde inschrijvingsgeld terugkrijgt.</w:t>
      </w:r>
      <w:r w:rsidR="00EF454E">
        <w:rPr>
          <w:rStyle w:val="Voetnootmarkering"/>
        </w:rPr>
        <w:footnoteReference w:id="162"/>
      </w:r>
    </w:p>
    <w:p w14:paraId="69D5A945" w14:textId="77777777" w:rsidR="00284F52" w:rsidRDefault="00284F52" w:rsidP="00284F52">
      <w:pPr>
        <w:pStyle w:val="Lijstalinea"/>
        <w:ind w:left="0"/>
        <w:contextualSpacing w:val="0"/>
        <w:jc w:val="both"/>
      </w:pPr>
    </w:p>
    <w:p w14:paraId="4E7AF5A5" w14:textId="4D846E66" w:rsidR="006F4879" w:rsidRDefault="006F4879" w:rsidP="006F4879">
      <w:pPr>
        <w:pStyle w:val="Kop2"/>
      </w:pPr>
      <w:r>
        <w:t>Leersteuncentra</w:t>
      </w:r>
    </w:p>
    <w:p w14:paraId="200FEB34" w14:textId="3C1A5C4F" w:rsidR="00BA7AFB" w:rsidRDefault="00263D93">
      <w:pPr>
        <w:pStyle w:val="Lijstalinea"/>
        <w:numPr>
          <w:ilvl w:val="0"/>
          <w:numId w:val="2"/>
        </w:numPr>
        <w:ind w:left="0" w:firstLine="0"/>
        <w:contextualSpacing w:val="0"/>
        <w:jc w:val="both"/>
      </w:pPr>
      <w:r>
        <w:t xml:space="preserve">Door een wijzing van de </w:t>
      </w:r>
      <w:r w:rsidR="003F6651">
        <w:t>wet van 29 mei 1959 tot wijziging van sommige bepalingen van de onderwijswetgeving</w:t>
      </w:r>
      <w:r>
        <w:t xml:space="preserve">, kunnen de leersteuncentra beroep doen op </w:t>
      </w:r>
      <w:r w:rsidR="003F6651">
        <w:t>investeringsmiddelen.</w:t>
      </w:r>
      <w:r w:rsidR="003F6651">
        <w:rPr>
          <w:rStyle w:val="Voetnootmarkering"/>
        </w:rPr>
        <w:footnoteReference w:id="163"/>
      </w:r>
      <w:r w:rsidR="003F6651">
        <w:t xml:space="preserve"> Deze wet wordt verder ook gewijzigd zodat de centra van het officieel gesubsidieerd onderwijs aanspraak kunnen maken op subsidiëring voor de aankoop van, werken aan/in en de eerste uitrusting van gebouwen</w:t>
      </w:r>
      <w:r w:rsidR="00CA3F09">
        <w:t>,</w:t>
      </w:r>
      <w:r w:rsidR="003F6651">
        <w:t xml:space="preserve"> en huursubsidies.</w:t>
      </w:r>
      <w:r w:rsidR="003F6651">
        <w:rPr>
          <w:rStyle w:val="Voetnootmarkering"/>
        </w:rPr>
        <w:footnoteReference w:id="164"/>
      </w:r>
    </w:p>
    <w:p w14:paraId="43413724" w14:textId="77777777" w:rsidR="00BA7AFB" w:rsidRDefault="00BA7AFB" w:rsidP="00BA7AFB">
      <w:pPr>
        <w:pStyle w:val="Lijstalinea"/>
        <w:ind w:left="0"/>
        <w:contextualSpacing w:val="0"/>
        <w:jc w:val="both"/>
      </w:pPr>
    </w:p>
    <w:p w14:paraId="7EA3C9A1" w14:textId="68AB93F9" w:rsidR="003F6651" w:rsidRDefault="003F6651" w:rsidP="003F6651">
      <w:pPr>
        <w:pStyle w:val="Kop2"/>
      </w:pPr>
      <w:r>
        <w:t>Rechtspositiedecreten</w:t>
      </w:r>
      <w:r w:rsidR="001F30C8">
        <w:t xml:space="preserve"> voor het gemeenschaps- en het gesubsidieerd onderwijs</w:t>
      </w:r>
    </w:p>
    <w:p w14:paraId="4C0E414A" w14:textId="0329F31C" w:rsidR="003F6651" w:rsidRDefault="001F30C8">
      <w:pPr>
        <w:pStyle w:val="Lijstalinea"/>
        <w:numPr>
          <w:ilvl w:val="0"/>
          <w:numId w:val="2"/>
        </w:numPr>
        <w:ind w:left="0" w:firstLine="0"/>
        <w:contextualSpacing w:val="0"/>
        <w:jc w:val="both"/>
      </w:pPr>
      <w:r>
        <w:lastRenderedPageBreak/>
        <w:t>Procedures bij de kamer van beroep of bij het college van beroep kunnen</w:t>
      </w:r>
      <w:r w:rsidR="00CA3F09">
        <w:t xml:space="preserve"> op basis van het genummerd onderwijsdecreet</w:t>
      </w:r>
      <w:r>
        <w:t xml:space="preserve"> via een vereenvoudigde procedure worden afgehandeld indien het beroep zonder voorwerp of klaarblijkelijk onontvankelijk, of indien de kamer/het college klaarblijkelijk onbevoegd is.</w:t>
      </w:r>
      <w:r>
        <w:rPr>
          <w:rStyle w:val="Voetnootmarkering"/>
        </w:rPr>
        <w:footnoteReference w:id="165"/>
      </w:r>
    </w:p>
    <w:p w14:paraId="76211E66" w14:textId="383EEF2D" w:rsidR="001F30C8" w:rsidRDefault="00046ACD">
      <w:pPr>
        <w:pStyle w:val="Lijstalinea"/>
        <w:numPr>
          <w:ilvl w:val="0"/>
          <w:numId w:val="2"/>
        </w:numPr>
        <w:ind w:left="0" w:firstLine="0"/>
        <w:contextualSpacing w:val="0"/>
        <w:jc w:val="both"/>
      </w:pPr>
      <w:r>
        <w:t>Het onderwijsdecreet verduidelijkt dat de resultaten op de Vlaamse toetsen niet gebruikt kunnen worden bij de evaluatie van een individueel personeelslid.</w:t>
      </w:r>
      <w:r>
        <w:rPr>
          <w:rStyle w:val="Voetnootmarkering"/>
        </w:rPr>
        <w:footnoteReference w:id="166"/>
      </w:r>
    </w:p>
    <w:p w14:paraId="4C0E9EBA" w14:textId="77777777" w:rsidR="003F6651" w:rsidRDefault="003F6651" w:rsidP="00BA7AFB">
      <w:pPr>
        <w:pStyle w:val="Lijstalinea"/>
        <w:ind w:left="0"/>
        <w:contextualSpacing w:val="0"/>
        <w:jc w:val="both"/>
      </w:pPr>
    </w:p>
    <w:p w14:paraId="10258C9B" w14:textId="1AB79606" w:rsidR="00263D93" w:rsidRDefault="00263D93" w:rsidP="00CA3F09">
      <w:pPr>
        <w:pStyle w:val="Kop2"/>
      </w:pPr>
      <w:r>
        <w:t>Bepalingen gemeenschappelijk aan meerdere onderwijsniveaus</w:t>
      </w:r>
      <w:r w:rsidR="00EF4AD2">
        <w:t xml:space="preserve"> of onderwijsinstellingen</w:t>
      </w:r>
    </w:p>
    <w:p w14:paraId="0B8FD82D" w14:textId="78AA60DD" w:rsidR="00263D93" w:rsidRDefault="00C816BB">
      <w:pPr>
        <w:pStyle w:val="Lijstalinea"/>
        <w:numPr>
          <w:ilvl w:val="0"/>
          <w:numId w:val="2"/>
        </w:numPr>
        <w:ind w:left="0" w:firstLine="0"/>
        <w:contextualSpacing w:val="0"/>
        <w:jc w:val="both"/>
      </w:pPr>
      <w:r>
        <w:t xml:space="preserve">De inschrijving van leerlingen in het gewoon basis- en secundair onderwijs voor wie de redelijke aanpassingen om het gemeenschappelijke curriculum te volgen door de school als disproportioneel worden beschouwd, wordt ontbonden. Die ontbinding gebeurt in beginsel op het moment dat de leerling is ingeschreven in een andere school of uiterlijk een maand nadat de school kennis heeft gegeven van de disproportionaliteit. OD XXXIII voegt toe dat de school ook kan beslissen om de ontbinding te laten ingaan op het </w:t>
      </w:r>
      <w:r w:rsidR="00B03240">
        <w:t>einde van het lopende of het volgende schooljaar.</w:t>
      </w:r>
      <w:r w:rsidR="00B03240">
        <w:rPr>
          <w:rStyle w:val="Voetnootmarkering"/>
        </w:rPr>
        <w:footnoteReference w:id="167"/>
      </w:r>
    </w:p>
    <w:p w14:paraId="035AB199" w14:textId="6E4A5C67" w:rsidR="00A43561" w:rsidRDefault="00A43561">
      <w:pPr>
        <w:pStyle w:val="Lijstalinea"/>
        <w:numPr>
          <w:ilvl w:val="0"/>
          <w:numId w:val="2"/>
        </w:numPr>
        <w:ind w:left="0" w:firstLine="0"/>
        <w:contextualSpacing w:val="0"/>
        <w:jc w:val="both"/>
      </w:pPr>
      <w:r>
        <w:t>De controle van voorrangsgroepen bij de inschrijvingen</w:t>
      </w:r>
      <w:r w:rsidR="009875F6">
        <w:t xml:space="preserve"> in het basis- of secundair onderwijs</w:t>
      </w:r>
      <w:r>
        <w:t xml:space="preserve"> kan, zoals dit decreet verduidelijkt, op verschillende momenten gebeuren. Een schoolbestuur, meerdere schoolbesturen of een lokaal overlegplatform kunnen beslissen dit te doen uiterlijk na de einddatum van de aanmeldin</w:t>
      </w:r>
      <w:r w:rsidR="009875F6">
        <w:t>gsperiode en voordat de resultaten van de aanmelding worden bekendgemaakt.</w:t>
      </w:r>
      <w:r w:rsidR="009875F6">
        <w:rPr>
          <w:rStyle w:val="Voetnootmarkering"/>
        </w:rPr>
        <w:footnoteReference w:id="168"/>
      </w:r>
    </w:p>
    <w:p w14:paraId="4E4B3022" w14:textId="658AABE5" w:rsidR="00C93F23" w:rsidRDefault="00CA3F09">
      <w:pPr>
        <w:pStyle w:val="Lijstalinea"/>
        <w:numPr>
          <w:ilvl w:val="0"/>
          <w:numId w:val="2"/>
        </w:numPr>
        <w:ind w:left="0" w:firstLine="0"/>
        <w:contextualSpacing w:val="0"/>
        <w:jc w:val="both"/>
      </w:pPr>
      <w:r>
        <w:t>Dit decreet schrijft</w:t>
      </w:r>
      <w:r w:rsidR="00C93F23">
        <w:t xml:space="preserve"> een vermoeden van deskundigheid van de klassenraad bij het nemen van een beslissing over het getuigschrift basisonderwijs of bij evaluatiebeslissingen in het secundair onderwijs, </w:t>
      </w:r>
      <w:r>
        <w:t>voor</w:t>
      </w:r>
      <w:r w:rsidR="00C93F23">
        <w:t>.</w:t>
      </w:r>
      <w:r w:rsidR="00C93F23">
        <w:rPr>
          <w:rStyle w:val="Voetnootmarkering"/>
        </w:rPr>
        <w:footnoteReference w:id="169"/>
      </w:r>
    </w:p>
    <w:p w14:paraId="5C4D8095" w14:textId="47BFF7F6" w:rsidR="00EF4AD2" w:rsidRDefault="00EF4AD2">
      <w:pPr>
        <w:pStyle w:val="Lijstalinea"/>
        <w:numPr>
          <w:ilvl w:val="0"/>
          <w:numId w:val="2"/>
        </w:numPr>
        <w:ind w:left="0" w:firstLine="0"/>
        <w:contextualSpacing w:val="0"/>
        <w:jc w:val="both"/>
      </w:pPr>
      <w:r>
        <w:t>In de codificatie sommige bepalingen voor het onderwijs van 28 oktober 2016</w:t>
      </w:r>
      <w:r w:rsidR="006A7644">
        <w:t xml:space="preserve"> wordt een rechtsgrond voorzien voor een samenwerking met </w:t>
      </w:r>
      <w:proofErr w:type="spellStart"/>
      <w:r w:rsidR="006A7644">
        <w:t>publiq</w:t>
      </w:r>
      <w:proofErr w:type="spellEnd"/>
      <w:r w:rsidR="006A7644">
        <w:t xml:space="preserve"> vzw om de cultuureducatie in de onderwijssector te consolideren, te verhogen en te verbreden.</w:t>
      </w:r>
      <w:r w:rsidR="006B5A35">
        <w:t xml:space="preserve"> </w:t>
      </w:r>
      <w:r w:rsidR="00C50921">
        <w:t>De v</w:t>
      </w:r>
      <w:r w:rsidR="00814D9B">
        <w:t>zw kan een subsidie ontvangen o</w:t>
      </w:r>
      <w:r w:rsidR="006B5A35">
        <w:t xml:space="preserve">p voorwaarde dat </w:t>
      </w:r>
      <w:r w:rsidR="00814D9B">
        <w:t xml:space="preserve">ze </w:t>
      </w:r>
      <w:r w:rsidR="00C50921">
        <w:t xml:space="preserve">1) </w:t>
      </w:r>
      <w:r w:rsidR="006B5A35">
        <w:t>zich prioritair richt op “</w:t>
      </w:r>
      <w:r w:rsidR="006B5A35" w:rsidRPr="006B5A35">
        <w:rPr>
          <w:i/>
          <w:iCs/>
        </w:rPr>
        <w:t>een actieve exploitatie van een digitaal platform waarin diverse instrumenten geïntegreerd zijn die de cultuureducatie bevorderen</w:t>
      </w:r>
      <w:r w:rsidR="006B5A35">
        <w:t xml:space="preserve">”, </w:t>
      </w:r>
      <w:r w:rsidR="00C50921">
        <w:t xml:space="preserve">2) </w:t>
      </w:r>
      <w:r w:rsidR="00846156">
        <w:t xml:space="preserve">zich </w:t>
      </w:r>
      <w:r w:rsidR="006B5A35">
        <w:t xml:space="preserve">inzet ICT om de educatie te verstrekken en </w:t>
      </w:r>
      <w:r w:rsidR="00C50921">
        <w:t xml:space="preserve">3) </w:t>
      </w:r>
      <w:r w:rsidR="006B5A35">
        <w:t>zich prioritair en rechtstreeks richt tot</w:t>
      </w:r>
      <w:r w:rsidR="00C50921">
        <w:t xml:space="preserve"> bestaande en potentiële partners, naast de lokale besturen en organisatoren van cultuuractiviteiten</w:t>
      </w:r>
      <w:r w:rsidR="00814D9B">
        <w:t>.</w:t>
      </w:r>
      <w:r w:rsidR="00814D9B">
        <w:rPr>
          <w:rStyle w:val="Voetnootmarkering"/>
        </w:rPr>
        <w:footnoteReference w:id="170"/>
      </w:r>
    </w:p>
    <w:p w14:paraId="1F843348" w14:textId="0B9DE972" w:rsidR="004C0994" w:rsidRDefault="004C0994">
      <w:pPr>
        <w:pStyle w:val="Lijstalinea"/>
        <w:numPr>
          <w:ilvl w:val="0"/>
          <w:numId w:val="2"/>
        </w:numPr>
        <w:ind w:left="0" w:firstLine="0"/>
        <w:contextualSpacing w:val="0"/>
        <w:jc w:val="both"/>
      </w:pPr>
      <w:r>
        <w:t>In de codificatie worden verder nog verschillende andere wijzigingen aangebracht:</w:t>
      </w:r>
    </w:p>
    <w:p w14:paraId="336D7627" w14:textId="1C08FAA4" w:rsidR="008B213D" w:rsidRDefault="008B213D">
      <w:pPr>
        <w:pStyle w:val="Lijstalinea"/>
        <w:numPr>
          <w:ilvl w:val="0"/>
          <w:numId w:val="10"/>
        </w:numPr>
        <w:contextualSpacing w:val="0"/>
        <w:jc w:val="both"/>
      </w:pPr>
      <w:r>
        <w:t>OD XXXIII verzelfstandigt het Onderwijsnetwerk van Islamexperten</w:t>
      </w:r>
      <w:r w:rsidR="000C3C61">
        <w:t xml:space="preserve"> opdat het in afwachting van de erkenning van een (nieuwe) instantie van de </w:t>
      </w:r>
      <w:proofErr w:type="spellStart"/>
      <w:r w:rsidR="000C3C61">
        <w:t>islamtische</w:t>
      </w:r>
      <w:proofErr w:type="spellEnd"/>
      <w:r w:rsidR="000C3C61">
        <w:t xml:space="preserve"> eredienst</w:t>
      </w:r>
      <w:r w:rsidR="004C0994">
        <w:t>, subsidies kan blijven ontvangen.</w:t>
      </w:r>
      <w:r w:rsidR="004C0994" w:rsidRPr="004C0994">
        <w:rPr>
          <w:vertAlign w:val="superscript"/>
        </w:rPr>
        <w:footnoteReference w:id="171"/>
      </w:r>
    </w:p>
    <w:p w14:paraId="3BF723D2" w14:textId="4BD44C1D" w:rsidR="004C0994" w:rsidRDefault="004C0994">
      <w:pPr>
        <w:pStyle w:val="Lijstalinea"/>
        <w:numPr>
          <w:ilvl w:val="0"/>
          <w:numId w:val="10"/>
        </w:numPr>
        <w:contextualSpacing w:val="0"/>
        <w:jc w:val="both"/>
      </w:pPr>
      <w:r>
        <w:lastRenderedPageBreak/>
        <w:t>De decreetgever creëert de mogelijkheid voor leerlingen om met een unieke login zich aan te melden bij verschillende dienstenleveranciers van digitale leermiddelen. De scholen bepalen zelf welke leermiddelen en toepassingen de leerling gebruikt.</w:t>
      </w:r>
      <w:r w:rsidRPr="004C0994">
        <w:rPr>
          <w:vertAlign w:val="superscript"/>
        </w:rPr>
        <w:footnoteReference w:id="172"/>
      </w:r>
    </w:p>
    <w:p w14:paraId="729B2932" w14:textId="57BF252E" w:rsidR="00D621DC" w:rsidRDefault="00D621DC">
      <w:pPr>
        <w:pStyle w:val="Lijstalinea"/>
        <w:numPr>
          <w:ilvl w:val="0"/>
          <w:numId w:val="10"/>
        </w:numPr>
        <w:contextualSpacing w:val="0"/>
        <w:jc w:val="both"/>
      </w:pPr>
      <w:r>
        <w:t xml:space="preserve">Het decreet van 7 mei 2004 betreffende </w:t>
      </w:r>
      <w:r w:rsidR="00CA3F09">
        <w:t>‘</w:t>
      </w:r>
      <w:r>
        <w:t>de regionale technologische centra en houdende noodzakelijke</w:t>
      </w:r>
      <w:r w:rsidR="00CA3F09">
        <w:t xml:space="preserve"> en dringende onderwijsbepalingen’</w:t>
      </w:r>
      <w:r w:rsidR="00846156">
        <w:t xml:space="preserve"> </w:t>
      </w:r>
      <w:r>
        <w:t>wordt opgeheven.</w:t>
      </w:r>
      <w:r>
        <w:rPr>
          <w:rStyle w:val="Voetnootmarkering"/>
        </w:rPr>
        <w:footnoteReference w:id="173"/>
      </w:r>
      <w:r w:rsidR="00AC240F">
        <w:t xml:space="preserve"> Verschillende bepalingen uit dat decreet worden daarom verplaatst naar de codificatie sommige bepalingen voor het onderwijs. Het betreft de </w:t>
      </w:r>
      <w:r w:rsidR="007A75C4">
        <w:t xml:space="preserve">bepalingen inzake de organisatie van de </w:t>
      </w:r>
      <w:proofErr w:type="spellStart"/>
      <w:r w:rsidR="007A75C4">
        <w:t>busbegeleiding</w:t>
      </w:r>
      <w:proofErr w:type="spellEnd"/>
      <w:r w:rsidR="007A75C4">
        <w:t xml:space="preserve"> en de betoelaging van de </w:t>
      </w:r>
      <w:proofErr w:type="spellStart"/>
      <w:r w:rsidR="007A75C4">
        <w:t>busbegeleiders</w:t>
      </w:r>
      <w:proofErr w:type="spellEnd"/>
      <w:r w:rsidR="007A75C4">
        <w:t>.</w:t>
      </w:r>
      <w:r w:rsidR="007A75C4">
        <w:rPr>
          <w:rStyle w:val="Voetnootmarkering"/>
        </w:rPr>
        <w:footnoteReference w:id="174"/>
      </w:r>
    </w:p>
    <w:p w14:paraId="11A8B49C" w14:textId="1D4C992F" w:rsidR="00263D93" w:rsidRDefault="00074700">
      <w:pPr>
        <w:pStyle w:val="Lijstalinea"/>
        <w:numPr>
          <w:ilvl w:val="0"/>
          <w:numId w:val="2"/>
        </w:numPr>
        <w:ind w:left="0" w:firstLine="0"/>
        <w:contextualSpacing w:val="0"/>
        <w:jc w:val="both"/>
      </w:pPr>
      <w:r>
        <w:t>In het decreet van 26 april 2019 betreffende het kwaliteitstoezicht voor beroepskwalificerende trajecten op basis van een gemeenschappelijk kwaliteitskader, wordt het begrip ‘deelkwalificatie’ geïntroduceerd.</w:t>
      </w:r>
      <w:r>
        <w:rPr>
          <w:rStyle w:val="Voetnootmarkering"/>
        </w:rPr>
        <w:footnoteReference w:id="175"/>
      </w:r>
      <w:r w:rsidR="00561894">
        <w:t xml:space="preserve"> Een erkende organisatie voor beroepskwalificerende trajecten kan enkel bevoegd zijn om trajecten op het niveau van een deelkwalificatie aan te bieden.</w:t>
      </w:r>
      <w:r w:rsidR="00561894">
        <w:rPr>
          <w:rStyle w:val="Voetnootmarkering"/>
        </w:rPr>
        <w:footnoteReference w:id="176"/>
      </w:r>
      <w:r w:rsidR="00561894">
        <w:t xml:space="preserve"> Dezelfde wijzigingen gebeuren in het decreet van 26 april 2019 betreffende een geïntegreerd beleid voor de erkenning van verworven competenties. Ook in dat decreet wordt bepaald dat een erkend EVC-testcentrum louter bevoegd kan zijn om trajecten op het niveau van een deelkwalificatie aan te bieden.</w:t>
      </w:r>
      <w:r w:rsidR="00561894">
        <w:rPr>
          <w:rStyle w:val="Voetnootmarkering"/>
        </w:rPr>
        <w:footnoteReference w:id="177"/>
      </w:r>
    </w:p>
    <w:p w14:paraId="75772744" w14:textId="77777777" w:rsidR="00074700" w:rsidRDefault="00074700" w:rsidP="00BA7AFB">
      <w:pPr>
        <w:pStyle w:val="Lijstalinea"/>
        <w:ind w:left="0"/>
        <w:contextualSpacing w:val="0"/>
        <w:jc w:val="both"/>
      </w:pPr>
    </w:p>
    <w:p w14:paraId="2346B8DF" w14:textId="39E5F5A6" w:rsidR="00BA7AFB" w:rsidRDefault="00BA7AFB" w:rsidP="00BA7AFB">
      <w:pPr>
        <w:pStyle w:val="Kop1"/>
      </w:pPr>
      <w:r>
        <w:t xml:space="preserve"> </w:t>
      </w:r>
      <w:r w:rsidR="002932B0">
        <w:t>Maatregelen over het lerarenambt (17 juli 2023)</w:t>
      </w:r>
    </w:p>
    <w:p w14:paraId="6B90AA56" w14:textId="24881B94" w:rsidR="00737CB9" w:rsidRDefault="000D4825" w:rsidP="00846156">
      <w:pPr>
        <w:pStyle w:val="Lijstalinea"/>
        <w:numPr>
          <w:ilvl w:val="0"/>
          <w:numId w:val="2"/>
        </w:numPr>
        <w:ind w:left="0" w:firstLine="0"/>
        <w:contextualSpacing w:val="0"/>
        <w:jc w:val="both"/>
      </w:pPr>
      <w:r>
        <w:t xml:space="preserve">We stipten eerder al aan dat de decreetgever verschillende maatregelen had genomen ter versterking van het lerarenambt. In een decreet aangenomen midden juli </w:t>
      </w:r>
      <w:r w:rsidR="00F531DD">
        <w:t>– en dat in beginsel inwerking trad op 1 september 2023 – zitten meer maatregelen om het lerarentekort aan te pakken en het ambt te herwaarderen.</w:t>
      </w:r>
      <w:r w:rsidR="00846156">
        <w:t xml:space="preserve"> Zo krijgen s</w:t>
      </w:r>
      <w:r w:rsidR="00737CB9">
        <w:t>cholen voor basis- en secundair onderwijs</w:t>
      </w:r>
      <w:r w:rsidR="00CA3F09">
        <w:t>, ten eerste,</w:t>
      </w:r>
      <w:r w:rsidR="00737CB9">
        <w:t xml:space="preserve"> voor de schooljaren 2023-2024 en 2024-2025 de mogelijkheid om flexibeler </w:t>
      </w:r>
      <w:r w:rsidR="00DC3A6B">
        <w:t>afwezige leerkrachten te vervangen. Basisscholen kunnen in deze jaren bij een vastgesteld lerarentekort een niet-vacante betrekking van een leerkracht die in aanmerking komt voor een reguliere vervanging, omzetten in punten voor beleids- en ondersteunend personeel of, in het buitengewoon onderwijs, in uren voor paramedisch, sociaal, medisch, psychologisch en orthopedagogisch personeel. Over de vaststelling van het lerarentekort en de aanwending van de punten of uren wordt onderhandeld in het lokaal overlegcomité.</w:t>
      </w:r>
      <w:r w:rsidR="00564678">
        <w:rPr>
          <w:rStyle w:val="Voetnootmarkering"/>
        </w:rPr>
        <w:footnoteReference w:id="178"/>
      </w:r>
      <w:r w:rsidR="00615348">
        <w:t xml:space="preserve"> Voor scholen voor secundair onderwijs geldt eenzelfde maatregel.</w:t>
      </w:r>
      <w:r w:rsidR="00617D46">
        <w:t xml:space="preserve"> Zij kunnen daarnaast niet-vacante betrekkingen die in aanmerking komen voor een reguliere vervanging omzetten in een krediet om gastleraren mee aan te werven (</w:t>
      </w:r>
      <w:r w:rsidR="00617D46" w:rsidRPr="00846156">
        <w:rPr>
          <w:i/>
          <w:iCs/>
        </w:rPr>
        <w:t>cf</w:t>
      </w:r>
      <w:r w:rsidR="00617D46">
        <w:t xml:space="preserve">. </w:t>
      </w:r>
      <w:r w:rsidR="00CA3F09" w:rsidRPr="00846156">
        <w:rPr>
          <w:i/>
          <w:iCs/>
        </w:rPr>
        <w:t>infra</w:t>
      </w:r>
      <w:r w:rsidR="00617D46">
        <w:t>).</w:t>
      </w:r>
      <w:r w:rsidR="00617D46">
        <w:rPr>
          <w:rStyle w:val="Voetnootmarkering"/>
        </w:rPr>
        <w:footnoteReference w:id="179"/>
      </w:r>
    </w:p>
    <w:p w14:paraId="4D2944E1" w14:textId="385FB7CE" w:rsidR="00564678" w:rsidRDefault="00564678" w:rsidP="00564678">
      <w:pPr>
        <w:pStyle w:val="Lijstalinea"/>
        <w:ind w:left="0" w:firstLine="708"/>
        <w:contextualSpacing w:val="0"/>
        <w:jc w:val="both"/>
      </w:pPr>
      <w:r>
        <w:t xml:space="preserve">Deze maatregel doet geen afbreuk aan de mogelijkheid van scholen om tot 20% van de vacante </w:t>
      </w:r>
      <w:r w:rsidR="00615348">
        <w:t>lestijden om te zetten naar punten of uren.</w:t>
      </w:r>
      <w:r w:rsidR="00615348">
        <w:rPr>
          <w:rStyle w:val="Voetnootmarkering"/>
        </w:rPr>
        <w:footnoteReference w:id="180"/>
      </w:r>
    </w:p>
    <w:p w14:paraId="33379BD2" w14:textId="32F87FFB" w:rsidR="00BA7AFB" w:rsidRDefault="00E50F1C">
      <w:pPr>
        <w:pStyle w:val="Lijstalinea"/>
        <w:numPr>
          <w:ilvl w:val="0"/>
          <w:numId w:val="2"/>
        </w:numPr>
        <w:ind w:left="0" w:firstLine="0"/>
        <w:contextualSpacing w:val="0"/>
        <w:jc w:val="both"/>
      </w:pPr>
      <w:r>
        <w:lastRenderedPageBreak/>
        <w:t>Scholen voor</w:t>
      </w:r>
      <w:r w:rsidR="009B797F">
        <w:t xml:space="preserve"> basisonderwijs, scholen voor</w:t>
      </w:r>
      <w:r>
        <w:t xml:space="preserve"> voltijds secundair onderwijs, academies voor deeltijdskunstonderwijs</w:t>
      </w:r>
      <w:r w:rsidR="00DB787E">
        <w:t xml:space="preserve"> </w:t>
      </w:r>
      <w:r>
        <w:t>en</w:t>
      </w:r>
      <w:r w:rsidR="00DB787E">
        <w:t>,</w:t>
      </w:r>
      <w:r>
        <w:t xml:space="preserve"> centra voor volwassenenonderwijs en basiseducatie</w:t>
      </w:r>
      <w:r w:rsidR="009B797F">
        <w:t xml:space="preserve"> krijgen de mogelijkheid om in de schooljaren 2023-2024 en 2024-2025 eenvoudiger gastleraren (voorheen: voordrachtgevers) in te schakelen. In het basisonderwijs kunnen vacante lestijden aangewend worden voor een gastleraar. Een gastleraar mag voor hooguit een derde van het aantal lestijden</w:t>
      </w:r>
      <w:r w:rsidR="00C35757">
        <w:t xml:space="preserve"> van een voltijds lesopdracht worden ingeschakeld.</w:t>
      </w:r>
      <w:r w:rsidR="00C35757">
        <w:rPr>
          <w:rStyle w:val="Voetnootmarkering"/>
        </w:rPr>
        <w:footnoteReference w:id="181"/>
      </w:r>
      <w:r w:rsidR="00C35757">
        <w:t xml:space="preserve"> Voor scholen </w:t>
      </w:r>
      <w:r w:rsidR="006C18A3">
        <w:t xml:space="preserve">voor gewoon secundair onderwijs voert het decreet een vergelijkbare regeling in: vacante uren-leraar kunnen aangewend worden voor gastleraren. Een gastleraar mag </w:t>
      </w:r>
      <w:r w:rsidR="00AB627F">
        <w:t>voor een maximum van een derde van de lesuren van de wekelijkse lessentabel worden ingezet.</w:t>
      </w:r>
      <w:r w:rsidR="00AB627F">
        <w:rPr>
          <w:rStyle w:val="Voetnootmarkering"/>
        </w:rPr>
        <w:footnoteReference w:id="182"/>
      </w:r>
      <w:r w:rsidR="006C18A3">
        <w:t xml:space="preserve"> </w:t>
      </w:r>
      <w:r w:rsidR="00C35757">
        <w:t xml:space="preserve">Centra voor basiseducatie en centra voor volwassenenonderwijs kunnen op basis van het decreet zonder beperking vacante </w:t>
      </w:r>
      <w:proofErr w:type="spellStart"/>
      <w:r w:rsidR="00C35757">
        <w:t>VTE’s</w:t>
      </w:r>
      <w:proofErr w:type="spellEnd"/>
      <w:r w:rsidR="00C35757">
        <w:t xml:space="preserve"> aanwenden voor gastleraren.</w:t>
      </w:r>
      <w:r w:rsidR="00C35757">
        <w:rPr>
          <w:rStyle w:val="Voetnootmarkering"/>
        </w:rPr>
        <w:footnoteReference w:id="183"/>
      </w:r>
      <w:r w:rsidR="00C35757">
        <w:t xml:space="preserve"> </w:t>
      </w:r>
      <w:r w:rsidR="0039746F">
        <w:t>Academies voor deeltijds kunstonderwijs kunnen hetzelfde met vacante lestijden.</w:t>
      </w:r>
      <w:r w:rsidR="0039746F">
        <w:rPr>
          <w:rStyle w:val="Voetnootmarkering"/>
        </w:rPr>
        <w:footnoteReference w:id="184"/>
      </w:r>
    </w:p>
    <w:p w14:paraId="46D37AC1" w14:textId="668F69AD" w:rsidR="00AB627F" w:rsidRDefault="00AB627F" w:rsidP="00AB627F">
      <w:pPr>
        <w:pStyle w:val="Lijstalinea"/>
        <w:ind w:left="0" w:firstLine="708"/>
        <w:contextualSpacing w:val="0"/>
        <w:jc w:val="both"/>
      </w:pPr>
      <w:r>
        <w:t>In het buitengewoon secundair onderwijs wordt het principe van de gastleraar algemeen ingevoerd</w:t>
      </w:r>
      <w:r w:rsidR="0039746F">
        <w:t xml:space="preserve"> voor de schooljaren 2023-2024 en 2024-2025</w:t>
      </w:r>
      <w:r>
        <w:t>, waar het voorheen enkel mogelijk was in</w:t>
      </w:r>
      <w:r w:rsidR="0039746F">
        <w:t xml:space="preserve"> de duale structuuronderdelen in</w:t>
      </w:r>
      <w:r>
        <w:t xml:space="preserve"> opleidingsvormen </w:t>
      </w:r>
      <w:r w:rsidR="0039746F">
        <w:t>3 en 4.</w:t>
      </w:r>
      <w:r w:rsidR="0039746F">
        <w:rPr>
          <w:rStyle w:val="Voetnootmarkering"/>
        </w:rPr>
        <w:footnoteReference w:id="185"/>
      </w:r>
    </w:p>
    <w:p w14:paraId="1333862C" w14:textId="62384EAA" w:rsidR="00E916EE" w:rsidRDefault="005167D8">
      <w:pPr>
        <w:pStyle w:val="Lijstalinea"/>
        <w:numPr>
          <w:ilvl w:val="0"/>
          <w:numId w:val="2"/>
        </w:numPr>
        <w:ind w:left="0" w:firstLine="0"/>
        <w:contextualSpacing w:val="0"/>
        <w:jc w:val="both"/>
      </w:pPr>
      <w:r>
        <w:t>Het decreet voorziet verder in de mogelijkheid voor schoolbesturen in het basis- en secundair onderwijs, en voor besturen van de centra voor volwassenenonderwijs</w:t>
      </w:r>
      <w:r w:rsidR="00D65F39">
        <w:t xml:space="preserve"> die een lesopdracht niet ingevuld krijgen via een statutaire aanstelling, om een vacature in te vullen via een dienstverleningsovereenkomst met een bedrijf of organisatie. De personen die deze opdracht </w:t>
      </w:r>
      <w:r w:rsidR="005F264E">
        <w:t>uitvoeren blijven in dienst van hun oorspronkelijke werkgever</w:t>
      </w:r>
      <w:r w:rsidR="00C84BB4">
        <w:t>. De rechtspositiedecreten onderwijs zijn aldus niet van toepassing</w:t>
      </w:r>
      <w:r w:rsidR="00DB787E">
        <w:t>, maar</w:t>
      </w:r>
      <w:r w:rsidR="00C84BB4">
        <w:t xml:space="preserve"> </w:t>
      </w:r>
      <w:r w:rsidR="00DB787E">
        <w:t>d</w:t>
      </w:r>
      <w:r w:rsidR="00C84BB4">
        <w:t xml:space="preserve">e Vlaamse Regering zal een model van dienstverleningsovereenkomst opstellen in dewelke de aanstellingsvoorwaarden worden bepaald. Om de kwaliteit van het onderwijs te borgen moeten de betrokken werknemers </w:t>
      </w:r>
      <w:r w:rsidR="00DB787E">
        <w:t>in ieder geval</w:t>
      </w:r>
      <w:r w:rsidR="00C84BB4">
        <w:t xml:space="preserve"> </w:t>
      </w:r>
      <w:r w:rsidR="00D71817">
        <w:t>de onderwijstaal beheersen op niveau C1 van het Gemeenschappelijk Europees Referentiekader voor Talen. De werknemer moet daarnaast over een diploma beschikken dat minstens een voldoende geacht bekwaamheidsbewijs is</w:t>
      </w:r>
      <w:r w:rsidR="00FA29D8">
        <w:t>, van onberispelijk gedrag zijn en minstens drie jaar in dienst zijn bij de onderneming of de organisatie.</w:t>
      </w:r>
      <w:r w:rsidR="0063346E">
        <w:rPr>
          <w:rStyle w:val="Voetnootmarkering"/>
        </w:rPr>
        <w:footnoteReference w:id="186"/>
      </w:r>
    </w:p>
    <w:p w14:paraId="4A39B90F" w14:textId="1A0CF1F3" w:rsidR="00936919" w:rsidRDefault="00CE3B63">
      <w:pPr>
        <w:pStyle w:val="Lijstalinea"/>
        <w:numPr>
          <w:ilvl w:val="0"/>
          <w:numId w:val="2"/>
        </w:numPr>
        <w:ind w:left="0" w:firstLine="0"/>
        <w:contextualSpacing w:val="0"/>
        <w:jc w:val="both"/>
      </w:pPr>
      <w:r>
        <w:t>Het decreet wijzigt in de Codex Hoger Onderwijs de regeling inzake de LIO-baan (leraar-in-</w:t>
      </w:r>
      <w:proofErr w:type="spellStart"/>
      <w:r>
        <w:t>opleidingbaan</w:t>
      </w:r>
      <w:proofErr w:type="spellEnd"/>
      <w:r>
        <w:t>) om enerzijds de regelgeving te verduidelijken en anderzijds te versoepelen. Een LIO-baan is vanaf heden</w:t>
      </w:r>
      <w:r w:rsidR="00464C6D">
        <w:t xml:space="preserve"> elke lesopdracht in combinatie met het volgen van een lerarenopleiding voor hetzelfde onderwijsniveau als waar de lesopdracht plaatsvindt. Dit kan in </w:t>
      </w:r>
      <w:r w:rsidR="00846156">
        <w:t xml:space="preserve">zowel </w:t>
      </w:r>
      <w:r w:rsidR="00464C6D">
        <w:t xml:space="preserve">het gewoon als buitengewoon basis- en secundair onderwijs, het deeltijds beroepssecundair onderwijs, het deeltijds kunstonderwijs, het volwassenenonderwijs of de basiseducatie. De LIO-baan </w:t>
      </w:r>
      <w:r w:rsidR="00A5490E">
        <w:t>moet</w:t>
      </w:r>
      <w:r w:rsidR="00464C6D">
        <w:t xml:space="preserve"> op jaarbasis ten minste vijfhonderd uren-leraar/lesuren/leraarsuren/lestijden </w:t>
      </w:r>
      <w:r w:rsidR="00A5490E">
        <w:t>bedragen</w:t>
      </w:r>
      <w:r w:rsidR="00DB787E">
        <w:t xml:space="preserve"> of </w:t>
      </w:r>
      <w:r w:rsidR="00A5490E">
        <w:t xml:space="preserve">overeenstemmen met ten minste </w:t>
      </w:r>
      <w:r w:rsidR="00DB787E">
        <w:t>0,6 VTE in een centrum voor basiseducatie</w:t>
      </w:r>
      <w:r w:rsidR="00A5490E">
        <w:t>.</w:t>
      </w:r>
      <w:r w:rsidR="00464C6D">
        <w:t xml:space="preserve"> </w:t>
      </w:r>
      <w:r w:rsidR="00D832F8">
        <w:t>Wanneer de baan geen vijfhonderd uur bedraagt</w:t>
      </w:r>
      <w:r w:rsidR="00DB787E">
        <w:t xml:space="preserve"> of niet overeenstemt met 0,6 VTE</w:t>
      </w:r>
      <w:r w:rsidR="00D832F8">
        <w:t xml:space="preserve">, wordt ze aangevuld met </w:t>
      </w:r>
      <w:proofErr w:type="spellStart"/>
      <w:r w:rsidR="00D832F8">
        <w:t>preservicetraining</w:t>
      </w:r>
      <w:proofErr w:type="spellEnd"/>
      <w:r w:rsidR="00D832F8">
        <w:t>.</w:t>
      </w:r>
      <w:r w:rsidR="00A5490E">
        <w:t xml:space="preserve"> De LIO-baan kan tot maximaal dertig studiepunten praktijkcomponent uit de opleiding vervangen.</w:t>
      </w:r>
      <w:r w:rsidR="00D832F8">
        <w:rPr>
          <w:rStyle w:val="Voetnootmarkering"/>
        </w:rPr>
        <w:footnoteReference w:id="187"/>
      </w:r>
    </w:p>
    <w:p w14:paraId="0B1D9AA5" w14:textId="59536C5D" w:rsidR="00D832F8" w:rsidRDefault="00D832F8">
      <w:pPr>
        <w:pStyle w:val="Lijstalinea"/>
        <w:numPr>
          <w:ilvl w:val="0"/>
          <w:numId w:val="2"/>
        </w:numPr>
        <w:ind w:left="0" w:firstLine="0"/>
        <w:contextualSpacing w:val="0"/>
        <w:jc w:val="both"/>
      </w:pPr>
      <w:r>
        <w:t>Een andere maatregel uit het decreet is de leraar-specialist.</w:t>
      </w:r>
      <w:r w:rsidR="009424BC">
        <w:t xml:space="preserve"> Het schoolbestuur kan dat mandaat toekennen aan een of meerdere personeelsleden in een school voor basis- en secundair onderwijs of in een centrum voor deeltijds onderwijs. Tot maximaal 5% van de lesomkadering waar </w:t>
      </w:r>
      <w:r w:rsidR="009424BC">
        <w:lastRenderedPageBreak/>
        <w:t>een school recht op heeft, kan zo worden ingezet.</w:t>
      </w:r>
      <w:r w:rsidR="009424BC">
        <w:rPr>
          <w:rStyle w:val="Voetnootmarkering"/>
        </w:rPr>
        <w:footnoteReference w:id="188"/>
      </w:r>
      <w:r w:rsidR="009424BC">
        <w:t xml:space="preserve"> De lesomkadering omvat naargelang het geval het totaal aantal uren-leraar/lesuren/lestijden waar een school recht op heeft.</w:t>
      </w:r>
      <w:r w:rsidR="009424BC">
        <w:rPr>
          <w:rStyle w:val="Voetnootmarkering"/>
        </w:rPr>
        <w:footnoteReference w:id="189"/>
      </w:r>
      <w:r w:rsidR="001A27D1">
        <w:t xml:space="preserve"> In het lokaal onderhandelingscomité wordt onderhandeld over de criteria voor toekenning en de specifieke taken van de leraar specialist. Het mandaat wordt toegekend voor drie schooljaren en tijdens deze periode wordt de leraar-specialist bijkomend vergoed.</w:t>
      </w:r>
      <w:r w:rsidR="001A27D1">
        <w:rPr>
          <w:rStyle w:val="Voetnootmarkering"/>
        </w:rPr>
        <w:footnoteReference w:id="190"/>
      </w:r>
    </w:p>
    <w:p w14:paraId="62CCFE72" w14:textId="1D221EA0" w:rsidR="00987256" w:rsidRDefault="00987256">
      <w:pPr>
        <w:pStyle w:val="Lijstalinea"/>
        <w:numPr>
          <w:ilvl w:val="0"/>
          <w:numId w:val="2"/>
        </w:numPr>
        <w:ind w:left="0" w:firstLine="0"/>
        <w:contextualSpacing w:val="0"/>
        <w:jc w:val="both"/>
      </w:pPr>
      <w:r>
        <w:t>In het basisonderwijs creëert de decreetgever een nieuw selectieambt, zijnde dat van adjunct-directeur. Op dit ambt zijn de bepalingen die van kracht zijn voor beleids- en ondersteunend personeel van toepassing.</w:t>
      </w:r>
      <w:r>
        <w:rPr>
          <w:rStyle w:val="Voetnootmarkering"/>
        </w:rPr>
        <w:footnoteReference w:id="191"/>
      </w:r>
      <w:r>
        <w:t xml:space="preserve"> Het ambt hoeft niet voltijds of halftijds worden ingevuld.</w:t>
      </w:r>
      <w:r>
        <w:rPr>
          <w:rStyle w:val="Voetnootmarkering"/>
        </w:rPr>
        <w:footnoteReference w:id="192"/>
      </w:r>
    </w:p>
    <w:p w14:paraId="4F183D97" w14:textId="6C94DA1D" w:rsidR="00987256" w:rsidRDefault="00081EDB" w:rsidP="00D070D5">
      <w:pPr>
        <w:pStyle w:val="Lijstalinea"/>
        <w:numPr>
          <w:ilvl w:val="0"/>
          <w:numId w:val="2"/>
        </w:numPr>
        <w:ind w:left="0" w:firstLine="0"/>
        <w:contextualSpacing w:val="0"/>
        <w:jc w:val="both"/>
      </w:pPr>
      <w:r>
        <w:t xml:space="preserve">In het volwassenenonderwijs bestaat sinds enkele jaren een zomeraanbod dat voornamelijk </w:t>
      </w:r>
      <w:r w:rsidR="00D070D5">
        <w:t xml:space="preserve">maar niet uitsluitend </w:t>
      </w:r>
      <w:r>
        <w:t>gericht is op personen die een cursus Nederlands als tweede taal (NT2) willen volgen. De regelgeving was echter niet afgestemd op de organisatie van dit aanbod.</w:t>
      </w:r>
      <w:r w:rsidR="009535E3">
        <w:t xml:space="preserve"> Daarom </w:t>
      </w:r>
      <w:r w:rsidR="00D070D5">
        <w:t>definieert</w:t>
      </w:r>
      <w:r w:rsidR="009535E3">
        <w:t xml:space="preserve"> </w:t>
      </w:r>
      <w:r w:rsidR="00C82D14">
        <w:t xml:space="preserve">het decreet ten eerste </w:t>
      </w:r>
      <w:r w:rsidR="00D070D5">
        <w:t>het zomeraanbod als het aanbod van opleidingen uit een van de studiegebieden van het volwassenenonderwijs aangeboden tussen 1 juli en 31 augustus.</w:t>
      </w:r>
      <w:r w:rsidR="00D070D5">
        <w:rPr>
          <w:rStyle w:val="Voetnootmarkering"/>
        </w:rPr>
        <w:footnoteReference w:id="193"/>
      </w:r>
      <w:r w:rsidR="00D070D5">
        <w:t xml:space="preserve"> B</w:t>
      </w:r>
      <w:r w:rsidR="00C82D14">
        <w:t xml:space="preserve">ij aanstelling in het zomeraanbod </w:t>
      </w:r>
      <w:r w:rsidR="00D070D5">
        <w:t xml:space="preserve">tellen, ten tweede, op basis van dit decreet de </w:t>
      </w:r>
      <w:r w:rsidR="00C82D14">
        <w:t>gepresteerde dagen in de zomervakantie mee voor de opbouw van dienstanciënniteit.</w:t>
      </w:r>
      <w:r w:rsidR="00C82D14">
        <w:rPr>
          <w:rStyle w:val="Voetnootmarkering"/>
        </w:rPr>
        <w:footnoteReference w:id="194"/>
      </w:r>
      <w:r w:rsidR="00470D65">
        <w:t xml:space="preserve"> Ten </w:t>
      </w:r>
      <w:r w:rsidR="00D070D5">
        <w:t>der</w:t>
      </w:r>
      <w:r w:rsidR="00470D65">
        <w:t>de bepaalt het decreet dat een aanstelling in een betrekking in het zomeraanbod naargelang het statuut van de persoon vastbenoemd of tijdelijk is. Uit de decreten rechtspositie personeel zijn verschillende bepalingen niet van toepassing op deze aanstelling</w:t>
      </w:r>
      <w:r w:rsidR="00534ABE">
        <w:t>: 1)</w:t>
      </w:r>
      <w:r w:rsidR="00470D65">
        <w:t xml:space="preserve"> </w:t>
      </w:r>
      <w:r w:rsidR="00534ABE">
        <w:t>d</w:t>
      </w:r>
      <w:r w:rsidR="00470D65">
        <w:t xml:space="preserve">e betrekking is </w:t>
      </w:r>
      <w:r w:rsidR="001404A3">
        <w:t xml:space="preserve">ten eerste </w:t>
      </w:r>
      <w:r w:rsidR="00470D65">
        <w:t>niet onderworpen aan de reglementering over de ter beschikkingsstelling wegens ontstentenis van betrekking, de reaffectatie en de wedertewerkstelling</w:t>
      </w:r>
      <w:r w:rsidR="001404A3">
        <w:t>, maar de betrekking kan wel overeenkomstig die regels worden ingevuld</w:t>
      </w:r>
      <w:r w:rsidR="00534ABE">
        <w:t>; en 2)</w:t>
      </w:r>
      <w:r w:rsidR="001404A3">
        <w:t xml:space="preserve"> de aanstelling</w:t>
      </w:r>
      <w:r w:rsidR="00534ABE">
        <w:t xml:space="preserve"> hoeft</w:t>
      </w:r>
      <w:r w:rsidR="001404A3">
        <w:t xml:space="preserve"> niet te gebeuren overeenkomst</w:t>
      </w:r>
      <w:r w:rsidR="00534ABE">
        <w:t>ig</w:t>
      </w:r>
      <w:r w:rsidR="001404A3">
        <w:t xml:space="preserve"> de regels voor personeelsleden die voorrang hebben voor </w:t>
      </w:r>
      <w:r w:rsidR="00534ABE">
        <w:t xml:space="preserve">een </w:t>
      </w:r>
      <w:r w:rsidR="001404A3">
        <w:t>tijdelijke aanstelling of die</w:t>
      </w:r>
      <w:r w:rsidR="00534ABE">
        <w:t xml:space="preserve"> het</w:t>
      </w:r>
      <w:r w:rsidR="001404A3">
        <w:t xml:space="preserve"> recht verworven hebben op een tijdelijke aanstelling van doorlopende duur. </w:t>
      </w:r>
      <w:r w:rsidR="001A60CE">
        <w:t xml:space="preserve">Ten </w:t>
      </w:r>
      <w:r w:rsidR="00534ABE">
        <w:t xml:space="preserve">slotte </w:t>
      </w:r>
      <w:r w:rsidR="001A60CE">
        <w:t>kan de betrekking</w:t>
      </w:r>
      <w:r w:rsidR="00534ABE">
        <w:t xml:space="preserve"> in het zomeraanbod</w:t>
      </w:r>
      <w:r w:rsidR="001A60CE">
        <w:t xml:space="preserve"> niet vacant worden verklaard</w:t>
      </w:r>
      <w:r w:rsidR="001404A3">
        <w:t>.</w:t>
      </w:r>
      <w:r w:rsidR="001404A3">
        <w:rPr>
          <w:rStyle w:val="Voetnootmarkering"/>
        </w:rPr>
        <w:footnoteReference w:id="195"/>
      </w:r>
    </w:p>
    <w:p w14:paraId="0BDEBB8A" w14:textId="77777777" w:rsidR="00134B6E" w:rsidRDefault="002C1106">
      <w:pPr>
        <w:pStyle w:val="Lijstalinea"/>
        <w:numPr>
          <w:ilvl w:val="0"/>
          <w:numId w:val="2"/>
        </w:numPr>
        <w:ind w:left="0" w:firstLine="0"/>
        <w:contextualSpacing w:val="0"/>
        <w:jc w:val="both"/>
      </w:pPr>
      <w:r>
        <w:t xml:space="preserve">Het decreet past </w:t>
      </w:r>
      <w:r w:rsidR="00534ABE">
        <w:t xml:space="preserve">verder </w:t>
      </w:r>
      <w:r>
        <w:t xml:space="preserve">de administratieve stand terbeschikkingstelling aan. Het verlof voor verminderde prestaties </w:t>
      </w:r>
      <w:r w:rsidR="000A17F7">
        <w:t xml:space="preserve">wegens ziekte </w:t>
      </w:r>
      <w:r>
        <w:t xml:space="preserve">kan ook genomen worden door personeelsleden wiens ziekteverlof is uitgeput, </w:t>
      </w:r>
      <w:r w:rsidR="00534ABE">
        <w:t>waardoor</w:t>
      </w:r>
      <w:r>
        <w:t xml:space="preserve"> het nodig</w:t>
      </w:r>
      <w:r w:rsidR="00534ABE">
        <w:t xml:space="preserve"> is</w:t>
      </w:r>
      <w:r>
        <w:t xml:space="preserve"> om de administratieve stand waarin zij zich bevinden wanneer zij </w:t>
      </w:r>
      <w:r w:rsidR="00534ABE">
        <w:t>zulk</w:t>
      </w:r>
      <w:r>
        <w:t xml:space="preserve"> verlof opnemen </w:t>
      </w:r>
      <w:r w:rsidR="000A17F7">
        <w:t xml:space="preserve">te regelen. </w:t>
      </w:r>
      <w:r w:rsidR="00134B6E">
        <w:t>De stand waarin zij</w:t>
      </w:r>
      <w:r w:rsidR="000A17F7">
        <w:t xml:space="preserve"> komen in die situatie i</w:t>
      </w:r>
      <w:r w:rsidR="00134B6E">
        <w:t>s</w:t>
      </w:r>
      <w:r w:rsidR="000A17F7">
        <w:t xml:space="preserve"> de stand terbeschikkingstelling</w:t>
      </w:r>
      <w:r w:rsidR="00134B6E">
        <w:t>. In dat geval valt het personeelslid</w:t>
      </w:r>
      <w:r w:rsidR="000A17F7">
        <w:t xml:space="preserve"> terug op een wachtgeld dat overeenstemt met 60% van het salaris. </w:t>
      </w:r>
      <w:r w:rsidR="00054F58">
        <w:t>De Vlaamse Regering bepaalt de voorwaarden onder dewelke iemand aanspraak kan maken op dat wachtgeld.</w:t>
      </w:r>
      <w:r w:rsidR="00054F58">
        <w:rPr>
          <w:rStyle w:val="Voetnootmarkering"/>
        </w:rPr>
        <w:footnoteReference w:id="196"/>
      </w:r>
      <w:r w:rsidR="00054F58">
        <w:t xml:space="preserve"> </w:t>
      </w:r>
    </w:p>
    <w:p w14:paraId="3507B40D" w14:textId="34B7432A" w:rsidR="002C1106" w:rsidRDefault="000A17F7" w:rsidP="00134B6E">
      <w:pPr>
        <w:pStyle w:val="Lijstalinea"/>
        <w:ind w:left="0" w:firstLine="708"/>
        <w:contextualSpacing w:val="0"/>
        <w:jc w:val="both"/>
      </w:pPr>
      <w:r>
        <w:t xml:space="preserve">Wanneer een persoon in </w:t>
      </w:r>
      <w:r w:rsidR="00134B6E">
        <w:t>deze</w:t>
      </w:r>
      <w:r>
        <w:t xml:space="preserve"> stand terechtkomt, kan die dat blijven wanneer die in aanmerking komt voor een rustpensioen en dertig dienstjaren telt die aanmerking komen voor dat pensioen.</w:t>
      </w:r>
      <w:r>
        <w:rPr>
          <w:rStyle w:val="Voetnootmarkering"/>
        </w:rPr>
        <w:footnoteReference w:id="197"/>
      </w:r>
      <w:r>
        <w:t xml:space="preserve"> </w:t>
      </w:r>
      <w:r w:rsidR="00134B6E">
        <w:t>Normaal</w:t>
      </w:r>
      <w:r>
        <w:t xml:space="preserve"> kan een personeelslid</w:t>
      </w:r>
      <w:r w:rsidR="00134B6E">
        <w:t xml:space="preserve"> die aan die voorwaarden voldoet</w:t>
      </w:r>
      <w:r>
        <w:t xml:space="preserve"> niet in de administratieve stand</w:t>
      </w:r>
      <w:r w:rsidR="00510100">
        <w:t xml:space="preserve"> terbeschikkingstelling</w:t>
      </w:r>
      <w:r>
        <w:t xml:space="preserve"> blijven.</w:t>
      </w:r>
      <w:r w:rsidR="00054F58">
        <w:t xml:space="preserve"> </w:t>
      </w:r>
    </w:p>
    <w:p w14:paraId="281D3771" w14:textId="4D80D676" w:rsidR="00F978CE" w:rsidRDefault="00054F58">
      <w:pPr>
        <w:pStyle w:val="Lijstalinea"/>
        <w:numPr>
          <w:ilvl w:val="0"/>
          <w:numId w:val="2"/>
        </w:numPr>
        <w:ind w:left="0" w:firstLine="0"/>
        <w:contextualSpacing w:val="0"/>
        <w:jc w:val="both"/>
      </w:pPr>
      <w:r>
        <w:lastRenderedPageBreak/>
        <w:t xml:space="preserve">Richtlijn 2019/1158 van </w:t>
      </w:r>
      <w:r w:rsidR="00FB65CF">
        <w:t>het Europees Parlement en de Raad 20 juni 2019</w:t>
      </w:r>
      <w:r>
        <w:t xml:space="preserve"> verplicht de Vlaamse Gemeenschap om de nodige maatregelen te nemen </w:t>
      </w:r>
      <w:r w:rsidR="00510100">
        <w:t xml:space="preserve">zodat </w:t>
      </w:r>
      <w:r>
        <w:t>werknemers met kinderen tot minstens acht jaar en mantelzorgers een flexibele werkregeling kunnen krijgen om zorgtaken op te nemen.</w:t>
      </w:r>
      <w:r w:rsidR="00FB65CF">
        <w:rPr>
          <w:rStyle w:val="Voetnootmarkering"/>
        </w:rPr>
        <w:footnoteReference w:id="198"/>
      </w:r>
      <w:r w:rsidR="0026229C">
        <w:t xml:space="preserve"> Dit decreet voorziet de mogelijkheid voor personeelsleden om zulke regeling te vragen, evenwel zonder dat ze er recht op hebben. Personeelsleden die aan de voorwaarden voldoen om loonbaanonderbreking op te nemen voor ouderschapsverlof, medische bijstand, mantelzorg of palliatieve zorg kunnen de flexibele werkregeling voor zorgdoeleinden aanvragen voor een aaneengesloten periode van maximaal twaalf maanden.</w:t>
      </w:r>
      <w:r w:rsidR="00E64C49">
        <w:rPr>
          <w:rStyle w:val="Voetnootmarkering"/>
        </w:rPr>
        <w:footnoteReference w:id="199"/>
      </w:r>
      <w:r w:rsidR="00B12839">
        <w:t xml:space="preserve"> Na afloop van de regeling heeft het personeelslid het recht om het oorspronkelijke werkpatroon te hervatten.</w:t>
      </w:r>
      <w:r w:rsidR="003B7514">
        <w:rPr>
          <w:rStyle w:val="Voetnootmarkering"/>
        </w:rPr>
        <w:footnoteReference w:id="200"/>
      </w:r>
      <w:r w:rsidR="000B7073">
        <w:t xml:space="preserve"> </w:t>
      </w:r>
      <w:r w:rsidR="00B12839">
        <w:t xml:space="preserve">De regeling is voorzien voor personeelsleden die </w:t>
      </w:r>
      <w:r w:rsidR="008E16CB">
        <w:t xml:space="preserve">vallen </w:t>
      </w:r>
      <w:r w:rsidR="00B12839">
        <w:t>onder het toepassingsgebied van de rechtspositiedecreten voor het gesubsidieerd en gemeenschapsonderwijs, het decreet rechtspositie basiseducatie, het decreet betreffende kwaliteit van het onderwijs en het decreet betreffende de inspectie en begeleiding van de levensbeschouwelijke vakken.</w:t>
      </w:r>
      <w:r w:rsidR="00B12839" w:rsidRPr="00B12839">
        <w:rPr>
          <w:rStyle w:val="Voetnootmarkering"/>
        </w:rPr>
        <w:t xml:space="preserve"> </w:t>
      </w:r>
    </w:p>
    <w:p w14:paraId="0DAF07A0" w14:textId="77777777" w:rsidR="00AB627F" w:rsidRDefault="00AB627F" w:rsidP="00AB627F">
      <w:pPr>
        <w:pStyle w:val="Lijstalinea"/>
        <w:ind w:left="0"/>
        <w:contextualSpacing w:val="0"/>
        <w:jc w:val="both"/>
      </w:pPr>
    </w:p>
    <w:p w14:paraId="783E3758" w14:textId="425D7020" w:rsidR="00BA7AFB" w:rsidRDefault="002932B0" w:rsidP="002932B0">
      <w:pPr>
        <w:pStyle w:val="Kop1"/>
      </w:pPr>
      <w:r>
        <w:t xml:space="preserve"> Onderwijsdoelen tweede en derde graad secundair onderwijs (17 juli 2023)</w:t>
      </w:r>
    </w:p>
    <w:p w14:paraId="38A677A9" w14:textId="3FAD49EA" w:rsidR="00BA7AFB" w:rsidRDefault="008725D1">
      <w:pPr>
        <w:pStyle w:val="Lijstalinea"/>
        <w:numPr>
          <w:ilvl w:val="0"/>
          <w:numId w:val="2"/>
        </w:numPr>
        <w:ind w:left="0" w:firstLine="0"/>
        <w:contextualSpacing w:val="0"/>
        <w:jc w:val="both"/>
      </w:pPr>
      <w:r>
        <w:t>Ingevolge de vernietiging van de eindtermen voor de tweede en derde graad van het secundair onderwijs door het Grondwettelijk Hof bij arrest van 16 juni 2022</w:t>
      </w:r>
      <w:r w:rsidR="00BF406A">
        <w:t>, moest de decreetgever opnieuw aan de slag</w:t>
      </w:r>
      <w:r>
        <w:t>.</w:t>
      </w:r>
      <w:r w:rsidR="00BF406A">
        <w:rPr>
          <w:rStyle w:val="Voetnootmarkering"/>
        </w:rPr>
        <w:footnoteReference w:id="201"/>
      </w:r>
      <w:r w:rsidR="00BF406A">
        <w:t xml:space="preserve"> Een ruim jaar later </w:t>
      </w:r>
      <w:r w:rsidR="008E16CB">
        <w:t>werden de</w:t>
      </w:r>
      <w:r w:rsidR="00BF406A">
        <w:t xml:space="preserve"> nieuwe eindtermen voor de tweede en derde graad van het </w:t>
      </w:r>
      <w:r w:rsidR="00845D92">
        <w:t>voltijds gewoon secundair onderwijs en opleidingsvorm 4 van het buitengewoon secundair onderwijs</w:t>
      </w:r>
      <w:r w:rsidR="008E16CB" w:rsidRPr="008E16CB">
        <w:t xml:space="preserve"> </w:t>
      </w:r>
      <w:r w:rsidR="008E16CB">
        <w:t>goedgekeurd door het Vlaams Parlement</w:t>
      </w:r>
      <w:r w:rsidR="00845D92">
        <w:t>.</w:t>
      </w:r>
      <w:r w:rsidR="00845D92">
        <w:rPr>
          <w:rStyle w:val="Voetnootmarkering"/>
        </w:rPr>
        <w:footnoteReference w:id="202"/>
      </w:r>
      <w:r w:rsidR="009670C2">
        <w:t xml:space="preserve"> Het vertrekpunt voor de nieuwe doelen waren de vernietigde eindtermen.</w:t>
      </w:r>
      <w:r w:rsidR="00A40146">
        <w:t xml:space="preserve"> De eindtermen voor de sleutelcompetenties ‘Nederlands’, ‘andere talen’ en ‘wiskunde, exacte wetenschappen en technologie’ zijn</w:t>
      </w:r>
      <w:r w:rsidR="0038755C">
        <w:t xml:space="preserve"> dan ook</w:t>
      </w:r>
      <w:r w:rsidR="00A40146">
        <w:t xml:space="preserve"> prioritair gebleven.</w:t>
      </w:r>
    </w:p>
    <w:p w14:paraId="20C771F3" w14:textId="61860AD5" w:rsidR="00845D92" w:rsidRDefault="00614E8A">
      <w:pPr>
        <w:pStyle w:val="Lijstalinea"/>
        <w:numPr>
          <w:ilvl w:val="0"/>
          <w:numId w:val="2"/>
        </w:numPr>
        <w:ind w:left="0" w:firstLine="0"/>
        <w:contextualSpacing w:val="0"/>
        <w:jc w:val="both"/>
      </w:pPr>
      <w:r>
        <w:t xml:space="preserve">De formulering van de individuele eindtermen is aangepast en versoberd. </w:t>
      </w:r>
      <w:r w:rsidR="00845D92">
        <w:t xml:space="preserve">Iedere eindterm bestaat uit een </w:t>
      </w:r>
      <w:proofErr w:type="spellStart"/>
      <w:r w:rsidR="00845D92">
        <w:t>doelzin</w:t>
      </w:r>
      <w:proofErr w:type="spellEnd"/>
      <w:r w:rsidR="0028621A">
        <w:t xml:space="preserve"> die zoveel als mogelijk de noodzakelijke kenniselementen integreert en in beginsel slechts een enkel handelingswerkwoord (aangeven, aanpassen, analyseren, berekenen, bespreken, situeren, schrijven …) heeft</w:t>
      </w:r>
      <w:r w:rsidR="00845D92">
        <w:t xml:space="preserve">. Deze zin kan </w:t>
      </w:r>
      <w:r>
        <w:t xml:space="preserve">evenwel </w:t>
      </w:r>
      <w:r w:rsidR="00845D92">
        <w:t xml:space="preserve">aangevuld worden met verschillende elementen: </w:t>
      </w:r>
      <w:r w:rsidR="00CB55B7">
        <w:t xml:space="preserve">1) </w:t>
      </w:r>
      <w:r w:rsidR="00845D92">
        <w:t xml:space="preserve">onderliggende kenniselementen die een aanvulling of precisering bevatten van elementen die niet uit de </w:t>
      </w:r>
      <w:proofErr w:type="spellStart"/>
      <w:r w:rsidR="00845D92">
        <w:t>doelzin</w:t>
      </w:r>
      <w:proofErr w:type="spellEnd"/>
      <w:r w:rsidR="00845D92">
        <w:t xml:space="preserve"> blijken, </w:t>
      </w:r>
      <w:r w:rsidR="00CB55B7">
        <w:t xml:space="preserve">2) </w:t>
      </w:r>
      <w:r w:rsidR="00845D92">
        <w:t xml:space="preserve">tekstkenmerken die vereisten uitdrukken waaraan de </w:t>
      </w:r>
      <w:r w:rsidR="00CB55B7">
        <w:t>gekozen en aangeboden teksten in</w:t>
      </w:r>
      <w:r w:rsidR="00510100">
        <w:t xml:space="preserve"> de</w:t>
      </w:r>
      <w:r w:rsidR="00CB55B7">
        <w:t xml:space="preserve"> doeltaal moeten voldoen, 3) minimumvereisten waaraan de teksten die leerlingen produceren moeten voldoen, en 4) voetnoten die verduidelijkingen bevatten met betrekking tot de ontwikkeling van leerlingen, de context of het toepassingsgebied</w:t>
      </w:r>
      <w:r w:rsidR="008E16CB">
        <w:t xml:space="preserve"> van de eindterm</w:t>
      </w:r>
      <w:r w:rsidR="00CB55B7">
        <w:t>.</w:t>
      </w:r>
      <w:r w:rsidR="00CB55B7">
        <w:rPr>
          <w:rStyle w:val="Voetnootmarkering"/>
        </w:rPr>
        <w:footnoteReference w:id="203"/>
      </w:r>
    </w:p>
    <w:p w14:paraId="543D8D53" w14:textId="27412727" w:rsidR="00CB55B7" w:rsidRDefault="00614E8A">
      <w:pPr>
        <w:pStyle w:val="Lijstalinea"/>
        <w:numPr>
          <w:ilvl w:val="0"/>
          <w:numId w:val="2"/>
        </w:numPr>
        <w:ind w:left="0" w:firstLine="0"/>
        <w:contextualSpacing w:val="0"/>
        <w:jc w:val="both"/>
      </w:pPr>
      <w:r>
        <w:t>De andere, meest voorname wijzigingen aan de eindtermen zijn:</w:t>
      </w:r>
    </w:p>
    <w:p w14:paraId="3C47A69F" w14:textId="7DB4C78C" w:rsidR="00614E8A" w:rsidRDefault="009670C2">
      <w:pPr>
        <w:pStyle w:val="Lijstalinea"/>
        <w:numPr>
          <w:ilvl w:val="0"/>
          <w:numId w:val="5"/>
        </w:numPr>
        <w:contextualSpacing w:val="0"/>
        <w:jc w:val="both"/>
      </w:pPr>
      <w:r>
        <w:lastRenderedPageBreak/>
        <w:t>Eindtermen die onder verschillende van de zestien sleutelcompetenties waren geformuleerd, w</w:t>
      </w:r>
      <w:r w:rsidR="00510100">
        <w:t>o</w:t>
      </w:r>
      <w:r>
        <w:t>rden geschrapt.</w:t>
      </w:r>
      <w:r w:rsidR="00A40146">
        <w:t xml:space="preserve"> Het is dus noodzakelijk om de eindtermen en specifieke eindtermen samen te lezen, ook over graden heen.</w:t>
      </w:r>
      <w:r w:rsidR="0028621A">
        <w:t xml:space="preserve"> Dit betekent dat bepaalde sleutelcompetenties, meer specifiek deze inzake </w:t>
      </w:r>
      <w:r w:rsidR="00510100">
        <w:t>‘</w:t>
      </w:r>
      <w:r w:rsidR="0028621A">
        <w:t>duurzaamheid</w:t>
      </w:r>
      <w:r w:rsidR="00510100">
        <w:t>’</w:t>
      </w:r>
      <w:r w:rsidR="0028621A">
        <w:t xml:space="preserve">, </w:t>
      </w:r>
      <w:r w:rsidR="00510100">
        <w:t>‘</w:t>
      </w:r>
      <w:r w:rsidR="0028621A">
        <w:t>juridische competenties</w:t>
      </w:r>
      <w:r w:rsidR="00510100">
        <w:t>’</w:t>
      </w:r>
      <w:r w:rsidR="0028621A">
        <w:t xml:space="preserve"> en ‘zelfbewustzijn en zelfexpressie, zelfsturing en wendbaarheid’</w:t>
      </w:r>
      <w:r w:rsidR="008E16CB">
        <w:t xml:space="preserve"> leeg zijn gebleven</w:t>
      </w:r>
      <w:r w:rsidR="0028621A">
        <w:t>.</w:t>
      </w:r>
    </w:p>
    <w:p w14:paraId="5A443FB1" w14:textId="4709DAC2" w:rsidR="009670C2" w:rsidRDefault="009670C2">
      <w:pPr>
        <w:pStyle w:val="Lijstalinea"/>
        <w:numPr>
          <w:ilvl w:val="0"/>
          <w:numId w:val="5"/>
        </w:numPr>
        <w:contextualSpacing w:val="0"/>
        <w:jc w:val="both"/>
      </w:pPr>
      <w:r>
        <w:t xml:space="preserve">Bepaalde eindtermen die behoorden tot de basisvorming en die iedere leerling diende te behalen, zijn verschoven </w:t>
      </w:r>
      <w:r w:rsidR="00ED6840">
        <w:t>naar specifieke eindtermen die enkel in bepaalde studierichtingen behaald moeten worden.</w:t>
      </w:r>
    </w:p>
    <w:p w14:paraId="370FECCE" w14:textId="41528843" w:rsidR="0028621A" w:rsidRDefault="0028621A">
      <w:pPr>
        <w:pStyle w:val="Lijstalinea"/>
        <w:numPr>
          <w:ilvl w:val="0"/>
          <w:numId w:val="5"/>
        </w:numPr>
        <w:contextualSpacing w:val="0"/>
        <w:jc w:val="both"/>
      </w:pPr>
      <w:r>
        <w:t xml:space="preserve">Wanneer eenzelfde eindterm bestaat voor de tweede en derde graad en het verschil niet in de </w:t>
      </w:r>
      <w:proofErr w:type="spellStart"/>
      <w:r>
        <w:t>doelzin</w:t>
      </w:r>
      <w:proofErr w:type="spellEnd"/>
      <w:r>
        <w:t xml:space="preserve"> verduidelijkt kon worden</w:t>
      </w:r>
      <w:r w:rsidR="003E17B7">
        <w:t>, is het onderscheid opgenomen in een voetnoot bij de eindterm.</w:t>
      </w:r>
    </w:p>
    <w:p w14:paraId="539CB45E" w14:textId="1B583E92" w:rsidR="0028621A" w:rsidRDefault="003E17B7">
      <w:pPr>
        <w:pStyle w:val="Lijstalinea"/>
        <w:numPr>
          <w:ilvl w:val="0"/>
          <w:numId w:val="5"/>
        </w:numPr>
        <w:contextualSpacing w:val="0"/>
        <w:jc w:val="both"/>
      </w:pPr>
      <w:r>
        <w:t>Ter verduidelijking van sommige eindtermen, is gebruik gemaakt van een memorie van toelichting om, ter illustratie, de eindterm te verduidelijken.</w:t>
      </w:r>
    </w:p>
    <w:p w14:paraId="5A96D774" w14:textId="0BC1BA0D" w:rsidR="00CB55B7" w:rsidRDefault="00CB55B7">
      <w:pPr>
        <w:pStyle w:val="Lijstalinea"/>
        <w:numPr>
          <w:ilvl w:val="0"/>
          <w:numId w:val="2"/>
        </w:numPr>
        <w:ind w:left="0" w:firstLine="0"/>
        <w:contextualSpacing w:val="0"/>
        <w:jc w:val="both"/>
      </w:pPr>
      <w:r>
        <w:t>De nieuwe eindtermen traden in werking op 1 september 2023 voor het eerste jaar van de tweede en derde graad en zullen dat doen op 1 september 2024 voor het tweede jaar van die graden.</w:t>
      </w:r>
      <w:r>
        <w:rPr>
          <w:rStyle w:val="Voetnootmarkering"/>
        </w:rPr>
        <w:footnoteReference w:id="204"/>
      </w:r>
      <w:r>
        <w:t xml:space="preserve"> De leerplannen </w:t>
      </w:r>
      <w:r w:rsidR="00B50D67">
        <w:t>voor de tweede en derde graad die gebruikt worden het schooljaar 2023-2024 hoeven bij wijze van uitzondering niet door de Vlaamse Regering goedgekeurd te zijn.</w:t>
      </w:r>
      <w:r w:rsidR="00B50D67">
        <w:rPr>
          <w:rStyle w:val="Voetnootmarkering"/>
        </w:rPr>
        <w:footnoteReference w:id="205"/>
      </w:r>
    </w:p>
    <w:p w14:paraId="4C22381D" w14:textId="77777777" w:rsidR="00BA7AFB" w:rsidRDefault="00BA7AFB" w:rsidP="002932B0">
      <w:pPr>
        <w:pStyle w:val="Lijstalinea"/>
        <w:ind w:left="0"/>
        <w:contextualSpacing w:val="0"/>
        <w:jc w:val="both"/>
      </w:pPr>
    </w:p>
    <w:p w14:paraId="530193C2" w14:textId="36E62654" w:rsidR="00BA7AFB" w:rsidRDefault="002932B0" w:rsidP="002932B0">
      <w:pPr>
        <w:pStyle w:val="Kop1"/>
      </w:pPr>
      <w:r>
        <w:t xml:space="preserve"> Opleiding Basisverpleegkunde (17 juli 2023)</w:t>
      </w:r>
    </w:p>
    <w:p w14:paraId="3EC4C471" w14:textId="6967C4A3" w:rsidR="00C65AC7" w:rsidRDefault="001D53F8">
      <w:pPr>
        <w:pStyle w:val="Lijstalinea"/>
        <w:numPr>
          <w:ilvl w:val="0"/>
          <w:numId w:val="2"/>
        </w:numPr>
        <w:ind w:left="0" w:firstLine="0"/>
        <w:contextualSpacing w:val="0"/>
        <w:jc w:val="both"/>
      </w:pPr>
      <w:r>
        <w:t xml:space="preserve">In de Vlaamse Gemeenschap leidden tot voor kort twee opleidingen tot het beroep van verpleegkundige: de hbo5-opleiding en de professionele bachelor. Deze eerste voldeed echter niet aan de voorwaarden van de </w:t>
      </w:r>
      <w:r w:rsidRPr="00726404">
        <w:t xml:space="preserve">richtlijn </w:t>
      </w:r>
      <w:r w:rsidR="00726404" w:rsidRPr="00726404">
        <w:t>2005/36/EG</w:t>
      </w:r>
      <w:r w:rsidRPr="00726404">
        <w:t xml:space="preserve"> </w:t>
      </w:r>
      <w:r w:rsidR="00726404">
        <w:t xml:space="preserve">van het Europees Parlement en de Raad van 7 september 2005 </w:t>
      </w:r>
      <w:r w:rsidRPr="00726404">
        <w:t>betreffende de erkenning van beroepskwalificaties en kon aldus niet tot de titel van verpleegkundige</w:t>
      </w:r>
      <w:r>
        <w:t xml:space="preserve"> leidden.</w:t>
      </w:r>
      <w:r w:rsidR="00726404">
        <w:rPr>
          <w:rStyle w:val="Voetnootmarkering"/>
        </w:rPr>
        <w:footnoteReference w:id="206"/>
      </w:r>
      <w:r>
        <w:t xml:space="preserve"> Daarop heeft de federale regering het profiel ‘basisverpleegkundige’ ingericht</w:t>
      </w:r>
      <w:r w:rsidR="00467929">
        <w:t>.</w:t>
      </w:r>
      <w:r w:rsidR="00467929">
        <w:rPr>
          <w:rStyle w:val="Voetnootmarkering"/>
        </w:rPr>
        <w:footnoteReference w:id="207"/>
      </w:r>
      <w:r w:rsidR="00467929">
        <w:t xml:space="preserve"> De </w:t>
      </w:r>
      <w:r w:rsidR="00785312">
        <w:t>HBO5</w:t>
      </w:r>
      <w:r w:rsidR="00467929">
        <w:t xml:space="preserve">-opleiding wordt daarom door de decreetgever hervormd tot de opleiding Basisverpleegkunde om toe te leiden naar dit profiel. Daar deze hervormde opleidingen </w:t>
      </w:r>
      <w:r w:rsidR="0011231C">
        <w:t>startten</w:t>
      </w:r>
      <w:r w:rsidR="00467929">
        <w:t xml:space="preserve"> op 1 september 2023, was een aanpassing van het decretale kader nodig.</w:t>
      </w:r>
    </w:p>
    <w:p w14:paraId="5B300412" w14:textId="77777777" w:rsidR="00292778" w:rsidRDefault="00785312">
      <w:pPr>
        <w:pStyle w:val="Lijstalinea"/>
        <w:numPr>
          <w:ilvl w:val="0"/>
          <w:numId w:val="2"/>
        </w:numPr>
        <w:ind w:left="0" w:firstLine="0"/>
        <w:contextualSpacing w:val="0"/>
        <w:jc w:val="both"/>
      </w:pPr>
      <w:r>
        <w:t xml:space="preserve">De hervorming is, minstens wat het decretale kader betreft, niet bijzonder groot. </w:t>
      </w:r>
      <w:r w:rsidR="00467929">
        <w:t xml:space="preserve">Ten eerste houdt de hervorming in dat </w:t>
      </w:r>
      <w:r>
        <w:t>wordt afgestapt van de naam ‘HBO5’ en dat deze wordt vervangen door de term ‘hoger beroepsonderwijs’, in lijn met de terminologie voor de graduaatsopleidingen</w:t>
      </w:r>
      <w:r w:rsidR="0011231C">
        <w:t xml:space="preserve"> aan de hogescholen</w:t>
      </w:r>
      <w:r w:rsidR="00467929">
        <w:t>.</w:t>
      </w:r>
      <w:r w:rsidR="00467929">
        <w:rPr>
          <w:rStyle w:val="Voetnootmarkering"/>
        </w:rPr>
        <w:footnoteReference w:id="208"/>
      </w:r>
      <w:r>
        <w:t xml:space="preserve"> Hoger beroepsonderwijs wordt gedefinieerd als beroepsonderwijs dat wordt georganiseerd overeenkomstig de Codex Secundair Onderwijs en de Codex Hoger Onderwijs, dat beroepsgericht is</w:t>
      </w:r>
      <w:r w:rsidR="006B6622">
        <w:t xml:space="preserve">, leidt tot een onderwijskwalificatie van niveau 5 die bestaat uit ten minste een </w:t>
      </w:r>
      <w:r w:rsidR="006B6622">
        <w:lastRenderedPageBreak/>
        <w:t>erkende beroepskwalificatie van hetzelfde niveau en wordt bekrachtigd met het diploma van gegradueerde.</w:t>
      </w:r>
      <w:r w:rsidR="006B6622">
        <w:rPr>
          <w:rStyle w:val="Voetnootmarkering"/>
        </w:rPr>
        <w:footnoteReference w:id="209"/>
      </w:r>
      <w:r w:rsidR="006B6622">
        <w:t xml:space="preserve"> </w:t>
      </w:r>
    </w:p>
    <w:p w14:paraId="57E89A31" w14:textId="61B3D38A" w:rsidR="006F12BA" w:rsidRPr="00B11269" w:rsidRDefault="006B6622" w:rsidP="00292778">
      <w:pPr>
        <w:pStyle w:val="Lijstalinea"/>
        <w:numPr>
          <w:ilvl w:val="0"/>
          <w:numId w:val="2"/>
        </w:numPr>
        <w:ind w:left="0" w:firstLine="0"/>
        <w:contextualSpacing w:val="0"/>
        <w:jc w:val="both"/>
      </w:pPr>
      <w:r>
        <w:t xml:space="preserve">Scholen voor voltijds secundair onderwijs kunnen de HBO5-opleiding Verpleegkunde </w:t>
      </w:r>
      <w:r w:rsidR="00292778">
        <w:t xml:space="preserve">blijven aanbieden </w:t>
      </w:r>
      <w:r>
        <w:t xml:space="preserve">tot deze </w:t>
      </w:r>
      <w:r w:rsidR="00510100">
        <w:t>is</w:t>
      </w:r>
      <w:r>
        <w:t xml:space="preserve"> </w:t>
      </w:r>
      <w:proofErr w:type="spellStart"/>
      <w:r>
        <w:t>uitgefaseerd</w:t>
      </w:r>
      <w:proofErr w:type="spellEnd"/>
      <w:r>
        <w:t xml:space="preserve"> en kunnen vanaf 1 september 2023 gradueel de nieuwe opleiding Basisverpleegkunde aanbieden.</w:t>
      </w:r>
      <w:r>
        <w:rPr>
          <w:rStyle w:val="Voetnootmarkering"/>
        </w:rPr>
        <w:footnoteReference w:id="210"/>
      </w:r>
      <w:r>
        <w:t xml:space="preserve"> </w:t>
      </w:r>
      <w:r w:rsidR="0005589B">
        <w:t xml:space="preserve">De duurtijd van de nieuwe opleiding wordt uitgedrukt in studiepunten en </w:t>
      </w:r>
      <w:r w:rsidR="00510100">
        <w:t>bedraagt</w:t>
      </w:r>
      <w:r w:rsidR="0005589B">
        <w:t xml:space="preserve"> 180 studiepunten.</w:t>
      </w:r>
      <w:r w:rsidR="0005589B">
        <w:rPr>
          <w:rStyle w:val="Voetnootmarkering"/>
        </w:rPr>
        <w:footnoteReference w:id="211"/>
      </w:r>
      <w:r w:rsidR="0005589B">
        <w:t xml:space="preserve"> De toelatingsvoorwaarden voor de nieuwe opleiding worden eveneens afgestemd op de toelatingsvoorwaarden voor de graduaatsopleidingen aangeboden door de hogescholen.</w:t>
      </w:r>
      <w:r w:rsidR="006F12BA">
        <w:rPr>
          <w:rStyle w:val="Voetnootmarkering"/>
        </w:rPr>
        <w:footnoteReference w:id="212"/>
      </w:r>
      <w:r w:rsidR="00292778">
        <w:t xml:space="preserve"> </w:t>
      </w:r>
      <w:r w:rsidR="006F12BA">
        <w:t xml:space="preserve">Wat de diplomering betreft, blijft de klassenraad aan zet om te bepalen of een cursist geslaagd is of niet. Studiebekrachtiging via deelcertificering blijft mogelijk voor zover het opleidingstraject modulair wordt georganiseerd. Cursisten die nog geen houder zijn van een diploma van </w:t>
      </w:r>
      <w:r w:rsidR="00724A66">
        <w:t xml:space="preserve">secundair onderwijs (vanaf schooljaar 2025-2026 </w:t>
      </w:r>
      <w:r w:rsidR="00D80966">
        <w:t xml:space="preserve">een </w:t>
      </w:r>
      <w:r w:rsidR="00724A66">
        <w:t>onderwijskwalificatie niveau 4), kunnen dat ook nog steeds behalen in de nieuwe opleiding.</w:t>
      </w:r>
      <w:r w:rsidR="00724A66">
        <w:rPr>
          <w:rStyle w:val="Voetnootmarkering"/>
        </w:rPr>
        <w:footnoteReference w:id="213"/>
      </w:r>
    </w:p>
    <w:sectPr w:rsidR="006F12BA" w:rsidRPr="00B1126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728BA" w14:textId="77777777" w:rsidR="00E912C2" w:rsidRDefault="00E912C2" w:rsidP="00231F41">
      <w:pPr>
        <w:spacing w:after="0" w:line="240" w:lineRule="auto"/>
      </w:pPr>
      <w:r>
        <w:separator/>
      </w:r>
    </w:p>
  </w:endnote>
  <w:endnote w:type="continuationSeparator" w:id="0">
    <w:p w14:paraId="10DE3B51" w14:textId="77777777" w:rsidR="00E912C2" w:rsidRDefault="00E912C2" w:rsidP="00231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9224563"/>
      <w:docPartObj>
        <w:docPartGallery w:val="Page Numbers (Bottom of Page)"/>
        <w:docPartUnique/>
      </w:docPartObj>
    </w:sdtPr>
    <w:sdtContent>
      <w:p w14:paraId="43314C6C" w14:textId="1EB15C5A" w:rsidR="00AB5EAC" w:rsidRDefault="00AB5EAC">
        <w:pPr>
          <w:pStyle w:val="Voettekst"/>
          <w:jc w:val="right"/>
        </w:pPr>
        <w:r>
          <w:fldChar w:fldCharType="begin"/>
        </w:r>
        <w:r>
          <w:instrText>PAGE   \* MERGEFORMAT</w:instrText>
        </w:r>
        <w:r>
          <w:fldChar w:fldCharType="separate"/>
        </w:r>
        <w:r>
          <w:rPr>
            <w:lang w:val="nl-NL"/>
          </w:rPr>
          <w:t>2</w:t>
        </w:r>
        <w:r>
          <w:fldChar w:fldCharType="end"/>
        </w:r>
      </w:p>
    </w:sdtContent>
  </w:sdt>
  <w:p w14:paraId="26E80342" w14:textId="77777777" w:rsidR="00AB5EAC" w:rsidRDefault="00AB5EA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CB736" w14:textId="77777777" w:rsidR="00E912C2" w:rsidRDefault="00E912C2" w:rsidP="00231F41">
      <w:pPr>
        <w:spacing w:after="0" w:line="240" w:lineRule="auto"/>
      </w:pPr>
      <w:r>
        <w:separator/>
      </w:r>
    </w:p>
  </w:footnote>
  <w:footnote w:type="continuationSeparator" w:id="0">
    <w:p w14:paraId="63BF106D" w14:textId="77777777" w:rsidR="00E912C2" w:rsidRDefault="00E912C2" w:rsidP="00231F41">
      <w:pPr>
        <w:spacing w:after="0" w:line="240" w:lineRule="auto"/>
      </w:pPr>
      <w:r>
        <w:continuationSeparator/>
      </w:r>
    </w:p>
  </w:footnote>
  <w:footnote w:id="1">
    <w:p w14:paraId="57FDFEB9" w14:textId="7CCC22C6" w:rsidR="0002255D" w:rsidRPr="0002255D" w:rsidRDefault="0002255D" w:rsidP="00945227">
      <w:pPr>
        <w:pStyle w:val="Voetnoottekst"/>
        <w:jc w:val="both"/>
        <w:rPr>
          <w:lang w:val="nl-NL"/>
        </w:rPr>
      </w:pPr>
      <w:r>
        <w:rPr>
          <w:rStyle w:val="Voetnootmarkering"/>
        </w:rPr>
        <w:footnoteRef/>
      </w:r>
      <w:r>
        <w:t xml:space="preserve"> </w:t>
      </w:r>
      <w:r>
        <w:rPr>
          <w:lang w:val="nl-NL"/>
        </w:rPr>
        <w:t>GwH 14 juli 2022, nr. 2022/96.</w:t>
      </w:r>
    </w:p>
  </w:footnote>
  <w:footnote w:id="2">
    <w:p w14:paraId="5189ACF2" w14:textId="499BCC0E" w:rsidR="00693B61" w:rsidRPr="00340E67" w:rsidRDefault="00693B61" w:rsidP="00945227">
      <w:pPr>
        <w:pStyle w:val="Voetnoottekst"/>
        <w:jc w:val="both"/>
        <w:rPr>
          <w:lang w:val="nl-NL"/>
        </w:rPr>
      </w:pPr>
      <w:r>
        <w:rPr>
          <w:rStyle w:val="Voetnootmarkering"/>
        </w:rPr>
        <w:footnoteRef/>
      </w:r>
      <w:r>
        <w:t xml:space="preserve"> </w:t>
      </w:r>
      <w:r w:rsidR="00273F37">
        <w:rPr>
          <w:lang w:val="nl-NL"/>
        </w:rPr>
        <w:t>Art. VI.19 d</w:t>
      </w:r>
      <w:r w:rsidR="00340E67">
        <w:rPr>
          <w:lang w:val="nl-NL"/>
        </w:rPr>
        <w:t xml:space="preserve">ecreet van 17 mei 2019 houdende wijziging van het decreet basisonderwijs van 25 februari 1997, van de Codex Secundair Onderwijs van 17 december 2010 en van de Codificatie sommige bepalingen voor het onderwijs van 28 oktober 2016, wat het inschrijvingsgeld betreft, </w:t>
      </w:r>
      <w:r w:rsidR="00340E67">
        <w:rPr>
          <w:i/>
          <w:iCs/>
          <w:lang w:val="nl-NL"/>
        </w:rPr>
        <w:t>BS</w:t>
      </w:r>
      <w:r w:rsidR="00340E67">
        <w:rPr>
          <w:lang w:val="nl-NL"/>
        </w:rPr>
        <w:t xml:space="preserve"> 26 juli 2019.</w:t>
      </w:r>
    </w:p>
  </w:footnote>
  <w:footnote w:id="3">
    <w:p w14:paraId="1C2D59A9" w14:textId="1208A38D" w:rsidR="002C2B95" w:rsidRPr="00BD0443" w:rsidRDefault="002C2B95" w:rsidP="00945227">
      <w:pPr>
        <w:pStyle w:val="Voetnoottekst"/>
        <w:jc w:val="both"/>
        <w:rPr>
          <w:lang w:val="nl-NL"/>
        </w:rPr>
      </w:pPr>
      <w:r>
        <w:rPr>
          <w:rStyle w:val="Voetnootmarkering"/>
        </w:rPr>
        <w:footnoteRef/>
      </w:r>
      <w:r>
        <w:t xml:space="preserve"> </w:t>
      </w:r>
      <w:r w:rsidR="00BD0443">
        <w:t xml:space="preserve">Art. 3 decreet van 28 oktober 2022 tot wijziging van de Codex Secundair Onderwijs van 17 december 2010, wat de voorrangsgroepen voor de leerlingen met een voortraject in het Nederlandstalig basisonderwijs bij de inschrijvingen in het gewoon secundair onderwijs betreft, </w:t>
      </w:r>
      <w:r w:rsidR="00BD0443">
        <w:rPr>
          <w:i/>
          <w:iCs/>
        </w:rPr>
        <w:t xml:space="preserve">BS </w:t>
      </w:r>
      <w:r w:rsidR="00BD0443">
        <w:t>13 januari 2023.</w:t>
      </w:r>
    </w:p>
  </w:footnote>
  <w:footnote w:id="4">
    <w:p w14:paraId="34D1C0FF" w14:textId="49238110" w:rsidR="002C2B95" w:rsidRPr="002C2B95" w:rsidRDefault="002C2B95" w:rsidP="00945227">
      <w:pPr>
        <w:pStyle w:val="Voetnoottekst"/>
        <w:jc w:val="both"/>
        <w:rPr>
          <w:lang w:val="nl-NL"/>
        </w:rPr>
      </w:pPr>
      <w:r>
        <w:rPr>
          <w:rStyle w:val="Voetnootmarkering"/>
        </w:rPr>
        <w:footnoteRef/>
      </w:r>
      <w:r>
        <w:t xml:space="preserve"> </w:t>
      </w:r>
      <w:r w:rsidR="00340E67">
        <w:t xml:space="preserve">Art. 2 en 3 </w:t>
      </w:r>
      <w:bookmarkStart w:id="0" w:name="_Hlk112596663"/>
      <w:r w:rsidR="00340E67">
        <w:t xml:space="preserve">decreet van 18 februari 2022 tot wijziging van het decreet basisonderwijs van 25 februari 1997 en de Codex Secundair Onderwijs van 17 december 2010, wat betreft bijkomende maatregelen voor het inschrijvingsrecht betreffende voorrangs- en ordeningscriteria, </w:t>
      </w:r>
      <w:r w:rsidR="00340E67">
        <w:rPr>
          <w:i/>
          <w:iCs/>
        </w:rPr>
        <w:t>BS</w:t>
      </w:r>
      <w:r w:rsidR="00340E67">
        <w:t xml:space="preserve"> 5 mei 2022.</w:t>
      </w:r>
      <w:bookmarkEnd w:id="0"/>
    </w:p>
  </w:footnote>
  <w:footnote w:id="5">
    <w:p w14:paraId="3B59235D" w14:textId="237DD4BD" w:rsidR="00BD0443" w:rsidRPr="00BD0443" w:rsidRDefault="00BD0443" w:rsidP="00945227">
      <w:pPr>
        <w:pStyle w:val="Voetnoottekst"/>
        <w:jc w:val="both"/>
        <w:rPr>
          <w:lang w:val="nl-NL"/>
        </w:rPr>
      </w:pPr>
      <w:r>
        <w:rPr>
          <w:rStyle w:val="Voetnootmarkering"/>
        </w:rPr>
        <w:footnoteRef/>
      </w:r>
      <w:r>
        <w:t xml:space="preserve"> Art. </w:t>
      </w:r>
      <w:r w:rsidR="00E43F0E">
        <w:t>1</w:t>
      </w:r>
      <w:r w:rsidR="009D2FE6">
        <w:t>5-18</w:t>
      </w:r>
      <w:r>
        <w:t xml:space="preserve"> decreet van 28 oktober 2022 tot wijziging van de Codex Secundair Onderwijs van 17 december 2010, wat de voorrangsgroepen voor de leerlingen met een voortraject in het Nederlandstalig basisonderwijs bij de inschrijvingen in het gewoon secundair onderwijs betreft, </w:t>
      </w:r>
      <w:r>
        <w:rPr>
          <w:i/>
          <w:iCs/>
        </w:rPr>
        <w:t xml:space="preserve">BS </w:t>
      </w:r>
      <w:r>
        <w:t>13 januari 2023.</w:t>
      </w:r>
    </w:p>
  </w:footnote>
  <w:footnote w:id="6">
    <w:p w14:paraId="6CE6734F" w14:textId="77777777" w:rsidR="00E43F0E" w:rsidRPr="00517933" w:rsidRDefault="00E43F0E" w:rsidP="00945227">
      <w:pPr>
        <w:pStyle w:val="Voetnoottekst"/>
        <w:jc w:val="both"/>
        <w:rPr>
          <w:lang w:val="nl-NL"/>
        </w:rPr>
      </w:pPr>
      <w:r>
        <w:rPr>
          <w:rStyle w:val="Voetnootmarkering"/>
        </w:rPr>
        <w:footnoteRef/>
      </w:r>
      <w:r>
        <w:t xml:space="preserve"> Art. 2 </w:t>
      </w:r>
      <w:r w:rsidRPr="00A96F0B">
        <w:t>decreet van 2</w:t>
      </w:r>
      <w:r>
        <w:t xml:space="preserve">3 december </w:t>
      </w:r>
      <w:r w:rsidRPr="00A96F0B">
        <w:t>2022 tot het nemen van dringende maatregelen</w:t>
      </w:r>
      <w:r>
        <w:t xml:space="preserve"> </w:t>
      </w:r>
      <w:r w:rsidRPr="00A96F0B">
        <w:t>in het onderwijs naar</w:t>
      </w:r>
      <w:r>
        <w:t xml:space="preserve"> </w:t>
      </w:r>
      <w:r w:rsidRPr="00A96F0B">
        <w:t>aanleiding van de Oekraïnecrisis,</w:t>
      </w:r>
      <w:r>
        <w:t xml:space="preserve"> </w:t>
      </w:r>
      <w:r w:rsidRPr="00A96F0B">
        <w:t>tot wijziging van het decreet van 8 juni 2007</w:t>
      </w:r>
      <w:r>
        <w:t xml:space="preserve"> </w:t>
      </w:r>
      <w:r w:rsidRPr="00A96F0B">
        <w:t>betreffende de studiefinanciering</w:t>
      </w:r>
      <w:r>
        <w:t xml:space="preserve"> </w:t>
      </w:r>
      <w:r w:rsidRPr="00A96F0B">
        <w:t>van de Vlaamse Gemeenschap</w:t>
      </w:r>
      <w:r>
        <w:t xml:space="preserve"> </w:t>
      </w:r>
      <w:r w:rsidRPr="00A96F0B">
        <w:t>en tot wijziging van de Codex Hoger Onderwijs</w:t>
      </w:r>
      <w:r>
        <w:t xml:space="preserve"> </w:t>
      </w:r>
      <w:r w:rsidRPr="00A96F0B">
        <w:t>van 11 oktober 2013 voor</w:t>
      </w:r>
      <w:r>
        <w:t xml:space="preserve"> </w:t>
      </w:r>
      <w:r w:rsidRPr="00A96F0B">
        <w:t>leerlingen en studenten</w:t>
      </w:r>
      <w:r>
        <w:t xml:space="preserve"> </w:t>
      </w:r>
      <w:r w:rsidRPr="00A96F0B">
        <w:t>die ressorteren onder richtlijn 2001/55/EG</w:t>
      </w:r>
      <w:r>
        <w:t xml:space="preserve"> </w:t>
      </w:r>
      <w:r w:rsidRPr="00A96F0B">
        <w:t>van de Raad van 20 juli 2001</w:t>
      </w:r>
      <w:r>
        <w:t xml:space="preserve"> </w:t>
      </w:r>
      <w:r w:rsidRPr="00A96F0B">
        <w:t>betreffende minimumnormen voor het verlenen</w:t>
      </w:r>
      <w:r>
        <w:t xml:space="preserve"> </w:t>
      </w:r>
      <w:r w:rsidRPr="00A96F0B">
        <w:t>van tijdelijke bescherming</w:t>
      </w:r>
      <w:r>
        <w:t xml:space="preserve"> </w:t>
      </w:r>
      <w:r w:rsidRPr="00A96F0B">
        <w:t>in geval van massale toestroom van ontheemden</w:t>
      </w:r>
      <w:r>
        <w:t xml:space="preserve"> </w:t>
      </w:r>
      <w:r w:rsidRPr="00A96F0B">
        <w:t>en maatregelen ter bevordering van een evenwicht</w:t>
      </w:r>
      <w:r>
        <w:t xml:space="preserve"> </w:t>
      </w:r>
      <w:r w:rsidRPr="00A96F0B">
        <w:t>tussen de inspanning van de lidstaten voor de opvang</w:t>
      </w:r>
      <w:r>
        <w:t xml:space="preserve"> </w:t>
      </w:r>
      <w:r w:rsidRPr="00A96F0B">
        <w:t>en het dragen van de consequenties</w:t>
      </w:r>
      <w:r>
        <w:t xml:space="preserve"> </w:t>
      </w:r>
      <w:r w:rsidRPr="00A96F0B">
        <w:t>van de opvang van deze</w:t>
      </w:r>
      <w:r>
        <w:t xml:space="preserve"> </w:t>
      </w:r>
      <w:r w:rsidRPr="00A96F0B">
        <w:t>personen</w:t>
      </w:r>
      <w:r>
        <w:t xml:space="preserve"> (IV), </w:t>
      </w:r>
      <w:r>
        <w:rPr>
          <w:i/>
          <w:iCs/>
        </w:rPr>
        <w:t>BS</w:t>
      </w:r>
      <w:r>
        <w:t xml:space="preserve"> 5 januari 2023 (hierna: Nooddecreet IV).</w:t>
      </w:r>
    </w:p>
  </w:footnote>
  <w:footnote w:id="7">
    <w:p w14:paraId="02BD8903" w14:textId="48677801" w:rsidR="00FB5F4D" w:rsidRPr="00FB5F4D" w:rsidRDefault="00FB5F4D" w:rsidP="00945227">
      <w:pPr>
        <w:pStyle w:val="Voetnoottekst"/>
        <w:jc w:val="both"/>
      </w:pPr>
      <w:r>
        <w:rPr>
          <w:rStyle w:val="Voetnootmarkering"/>
        </w:rPr>
        <w:footnoteRef/>
      </w:r>
      <w:r w:rsidRPr="00FB5F4D">
        <w:t xml:space="preserve"> Art. 7 besluit van de V</w:t>
      </w:r>
      <w:r>
        <w:t xml:space="preserve">laamse Regering van 24 mei 2002 inzake </w:t>
      </w:r>
      <w:r w:rsidRPr="00FB5F4D">
        <w:t>de organisatie van onthaalonderwijs voor anderstalige nieuwkomers in het gewoon voltijds secundair onderwijs</w:t>
      </w:r>
      <w:r>
        <w:t xml:space="preserve">, </w:t>
      </w:r>
      <w:r>
        <w:rPr>
          <w:i/>
          <w:iCs/>
        </w:rPr>
        <w:t>BS</w:t>
      </w:r>
      <w:r>
        <w:t xml:space="preserve"> 11 september 2002.</w:t>
      </w:r>
    </w:p>
  </w:footnote>
  <w:footnote w:id="8">
    <w:p w14:paraId="07536E35" w14:textId="3F0D3214" w:rsidR="00F33370" w:rsidRPr="00C85A9F" w:rsidRDefault="00F33370" w:rsidP="00945227">
      <w:pPr>
        <w:pStyle w:val="Voetnoottekst"/>
        <w:jc w:val="both"/>
      </w:pPr>
      <w:r>
        <w:rPr>
          <w:rStyle w:val="Voetnootmarkering"/>
        </w:rPr>
        <w:footnoteRef/>
      </w:r>
      <w:r w:rsidRPr="00C85A9F">
        <w:t xml:space="preserve"> Art. 20 Nooddecreet IV.</w:t>
      </w:r>
    </w:p>
  </w:footnote>
  <w:footnote w:id="9">
    <w:p w14:paraId="3DC6E3ED" w14:textId="7FB24219" w:rsidR="005F4FB1" w:rsidRPr="001E3F40" w:rsidRDefault="005F4FB1" w:rsidP="005F4FB1">
      <w:pPr>
        <w:pStyle w:val="Voetnoottekst"/>
      </w:pPr>
      <w:r>
        <w:rPr>
          <w:rStyle w:val="Voetnootmarkering"/>
        </w:rPr>
        <w:footnoteRef/>
      </w:r>
      <w:r>
        <w:t xml:space="preserve"> Art. 10 </w:t>
      </w:r>
      <w:r w:rsidRPr="00A96F0B">
        <w:t xml:space="preserve">decreet van </w:t>
      </w:r>
      <w:r>
        <w:t>7 juli 2023</w:t>
      </w:r>
      <w:r w:rsidRPr="00A96F0B">
        <w:t xml:space="preserve"> tot het nemen van dringende maatregelen</w:t>
      </w:r>
      <w:r>
        <w:t xml:space="preserve"> </w:t>
      </w:r>
      <w:r w:rsidRPr="00A96F0B">
        <w:t>in het onderwijs naar</w:t>
      </w:r>
      <w:r>
        <w:t xml:space="preserve"> </w:t>
      </w:r>
      <w:r w:rsidRPr="00A96F0B">
        <w:t>aanleiding van de Oekraïnecrisis,</w:t>
      </w:r>
      <w:r>
        <w:t xml:space="preserve"> </w:t>
      </w:r>
      <w:r w:rsidRPr="00A96F0B">
        <w:t>tot wijziging van het decreet van 8 juni 2007</w:t>
      </w:r>
      <w:r>
        <w:t xml:space="preserve"> </w:t>
      </w:r>
      <w:r w:rsidRPr="00A96F0B">
        <w:t>betreffende de studiefinanciering</w:t>
      </w:r>
      <w:r>
        <w:t xml:space="preserve"> </w:t>
      </w:r>
      <w:r w:rsidRPr="00A96F0B">
        <w:t>van de Vlaamse Gemeenschap</w:t>
      </w:r>
      <w:r>
        <w:t xml:space="preserve"> </w:t>
      </w:r>
      <w:r w:rsidRPr="00A96F0B">
        <w:t>en tot wijziging van de Codex Hoger Onderwijs</w:t>
      </w:r>
      <w:r>
        <w:t xml:space="preserve"> </w:t>
      </w:r>
      <w:r w:rsidRPr="00A96F0B">
        <w:t>van 11 oktober 2013 voor</w:t>
      </w:r>
      <w:r>
        <w:t xml:space="preserve"> </w:t>
      </w:r>
      <w:r w:rsidRPr="00A96F0B">
        <w:t>leerlingen en studenten</w:t>
      </w:r>
      <w:r>
        <w:t xml:space="preserve"> </w:t>
      </w:r>
      <w:r w:rsidRPr="00A96F0B">
        <w:t>die ressorteren onder richtlijn 2001/55/EG</w:t>
      </w:r>
      <w:r>
        <w:t xml:space="preserve"> </w:t>
      </w:r>
      <w:r w:rsidRPr="00A96F0B">
        <w:t>van de Raad van 20 juli 2001</w:t>
      </w:r>
      <w:r>
        <w:t xml:space="preserve"> </w:t>
      </w:r>
      <w:r w:rsidRPr="00A96F0B">
        <w:t>betreffende minimumnormen voor het verlenen</w:t>
      </w:r>
      <w:r>
        <w:t xml:space="preserve"> </w:t>
      </w:r>
      <w:r w:rsidRPr="00A96F0B">
        <w:t>van tijdelijke bescherming</w:t>
      </w:r>
      <w:r>
        <w:t xml:space="preserve"> </w:t>
      </w:r>
      <w:r w:rsidRPr="00A96F0B">
        <w:t>in geval van massale toestroom van ontheemden</w:t>
      </w:r>
      <w:r>
        <w:t xml:space="preserve"> </w:t>
      </w:r>
      <w:r w:rsidRPr="00A96F0B">
        <w:t>en maatregelen ter bevordering van een evenwicht</w:t>
      </w:r>
      <w:r>
        <w:t xml:space="preserve"> </w:t>
      </w:r>
      <w:r w:rsidRPr="00A96F0B">
        <w:t>tussen de inspanning van de lidstaten voor de opvang</w:t>
      </w:r>
      <w:r>
        <w:t xml:space="preserve"> </w:t>
      </w:r>
      <w:r w:rsidRPr="00A96F0B">
        <w:t>en het dragen van de consequenties</w:t>
      </w:r>
      <w:r>
        <w:t xml:space="preserve"> </w:t>
      </w:r>
      <w:r w:rsidRPr="00A96F0B">
        <w:t>van de opvang van deze</w:t>
      </w:r>
      <w:r>
        <w:t xml:space="preserve"> </w:t>
      </w:r>
      <w:r w:rsidRPr="00A96F0B">
        <w:t>personen</w:t>
      </w:r>
      <w:r>
        <w:t xml:space="preserve"> (V), </w:t>
      </w:r>
      <w:r w:rsidR="00457BF3" w:rsidRPr="00457BF3">
        <w:rPr>
          <w:i/>
          <w:iCs/>
        </w:rPr>
        <w:t>BS</w:t>
      </w:r>
      <w:r w:rsidR="00457BF3">
        <w:t xml:space="preserve"> </w:t>
      </w:r>
      <w:r w:rsidR="00273F37" w:rsidRPr="00457BF3">
        <w:t>3</w:t>
      </w:r>
      <w:r w:rsidR="00273F37">
        <w:t xml:space="preserve"> augustus 2023</w:t>
      </w:r>
      <w:r>
        <w:t>.</w:t>
      </w:r>
    </w:p>
  </w:footnote>
  <w:footnote w:id="10">
    <w:p w14:paraId="63AAC430" w14:textId="0BE5DCC1" w:rsidR="004E546F" w:rsidRPr="007D2479" w:rsidRDefault="004E546F">
      <w:pPr>
        <w:pStyle w:val="Voetnoottekst"/>
      </w:pPr>
      <w:r>
        <w:rPr>
          <w:rStyle w:val="Voetnootmarkering"/>
        </w:rPr>
        <w:footnoteRef/>
      </w:r>
      <w:r>
        <w:t xml:space="preserve"> </w:t>
      </w:r>
      <w:r w:rsidR="004A476A">
        <w:t>Art. 6 d</w:t>
      </w:r>
      <w:r>
        <w:t xml:space="preserve">ecreet van 23 december 2023 over de premie kwalificerend </w:t>
      </w:r>
      <w:r w:rsidR="007D2479">
        <w:t xml:space="preserve">werkplekleren voor ondernemingen en de leerlingenpremie alternerende opleiding, </w:t>
      </w:r>
      <w:r w:rsidR="007D2479">
        <w:rPr>
          <w:i/>
          <w:iCs/>
        </w:rPr>
        <w:t>BS</w:t>
      </w:r>
      <w:r w:rsidR="007D2479">
        <w:t xml:space="preserve"> 31 januari 2023.</w:t>
      </w:r>
    </w:p>
  </w:footnote>
  <w:footnote w:id="11">
    <w:p w14:paraId="2FAEB080" w14:textId="7C2403B9" w:rsidR="004C227C" w:rsidRPr="004C227C" w:rsidRDefault="004C227C">
      <w:pPr>
        <w:pStyle w:val="Voetnoottekst"/>
        <w:rPr>
          <w:lang w:val="nl-NL"/>
        </w:rPr>
      </w:pPr>
      <w:r>
        <w:rPr>
          <w:rStyle w:val="Voetnootmarkering"/>
        </w:rPr>
        <w:footnoteRef/>
      </w:r>
      <w:r>
        <w:t xml:space="preserve"> </w:t>
      </w:r>
      <w:r>
        <w:rPr>
          <w:lang w:val="nl-NL"/>
        </w:rPr>
        <w:t xml:space="preserve">Art. 2-5 decreet van 3 februari 2023 tot wijziging van het decreet basisonderwijs van 25 februari 1997, wat betreft de rol van de centra voor leerlingenbegeleiding, </w:t>
      </w:r>
      <w:r>
        <w:rPr>
          <w:i/>
          <w:iCs/>
          <w:lang w:val="nl-NL"/>
        </w:rPr>
        <w:t>BS</w:t>
      </w:r>
      <w:r>
        <w:rPr>
          <w:lang w:val="nl-NL"/>
        </w:rPr>
        <w:t xml:space="preserve"> 28 februari 2023.</w:t>
      </w:r>
    </w:p>
  </w:footnote>
  <w:footnote w:id="12">
    <w:p w14:paraId="756F1674" w14:textId="4B0F113B" w:rsidR="00373CB6" w:rsidRPr="00373CB6" w:rsidRDefault="00373CB6">
      <w:pPr>
        <w:pStyle w:val="Voetnoottekst"/>
        <w:rPr>
          <w:lang w:val="nl-NL"/>
        </w:rPr>
      </w:pPr>
      <w:r>
        <w:rPr>
          <w:rStyle w:val="Voetnootmarkering"/>
        </w:rPr>
        <w:footnoteRef/>
      </w:r>
      <w:r>
        <w:t xml:space="preserve"> </w:t>
      </w:r>
      <w:r>
        <w:rPr>
          <w:lang w:val="nl-NL"/>
        </w:rPr>
        <w:t xml:space="preserve">Art. </w:t>
      </w:r>
      <w:r w:rsidR="00D515E3">
        <w:rPr>
          <w:lang w:val="nl-NL"/>
        </w:rPr>
        <w:t xml:space="preserve">2-10 </w:t>
      </w:r>
      <w:r>
        <w:rPr>
          <w:lang w:val="nl-NL"/>
        </w:rPr>
        <w:t xml:space="preserve">decreet van 17 maart 2023 tot wijziging van de Codex Hoger Onderwijs en het decreet van 4 april 2014 betreffende de organisatie en de rechtspleging van sommige Vlaamse bestuursrechtscolleges, wat betreft de Raad voor betwistingen inzake studievoortgangsbeslissingen en de rechtspositieregeling van de bestuursrechters, </w:t>
      </w:r>
      <w:r>
        <w:rPr>
          <w:i/>
          <w:iCs/>
          <w:lang w:val="nl-NL"/>
        </w:rPr>
        <w:t>BS</w:t>
      </w:r>
      <w:r>
        <w:t xml:space="preserve"> 14 april 2023.</w:t>
      </w:r>
    </w:p>
  </w:footnote>
  <w:footnote w:id="13">
    <w:p w14:paraId="44314260" w14:textId="3571C426" w:rsidR="00D515E3" w:rsidRPr="00EE2D24" w:rsidRDefault="00D515E3">
      <w:pPr>
        <w:pStyle w:val="Voetnoottekst"/>
        <w:rPr>
          <w:lang w:val="en-GB"/>
        </w:rPr>
      </w:pPr>
      <w:r>
        <w:rPr>
          <w:rStyle w:val="Voetnootmarkering"/>
        </w:rPr>
        <w:footnoteRef/>
      </w:r>
      <w:r w:rsidRPr="00EE2D24">
        <w:rPr>
          <w:lang w:val="en-GB"/>
        </w:rPr>
        <w:t xml:space="preserve"> </w:t>
      </w:r>
      <w:r w:rsidRPr="00EE2D24">
        <w:rPr>
          <w:i/>
          <w:iCs/>
          <w:lang w:val="en-GB"/>
        </w:rPr>
        <w:t>Ibid</w:t>
      </w:r>
      <w:r w:rsidRPr="00EE2D24">
        <w:rPr>
          <w:lang w:val="en-GB"/>
        </w:rPr>
        <w:t>., art. 11</w:t>
      </w:r>
      <w:r w:rsidR="007B494A" w:rsidRPr="00EE2D24">
        <w:rPr>
          <w:lang w:val="en-GB"/>
        </w:rPr>
        <w:t>-12, 14, 16</w:t>
      </w:r>
      <w:r w:rsidR="00C47C9B" w:rsidRPr="00EE2D24">
        <w:rPr>
          <w:lang w:val="en-GB"/>
        </w:rPr>
        <w:t>, 19-21, 23-26</w:t>
      </w:r>
      <w:r w:rsidR="00EE2D24" w:rsidRPr="00EE2D24">
        <w:rPr>
          <w:lang w:val="en-GB"/>
        </w:rPr>
        <w:t>, 28, 30</w:t>
      </w:r>
      <w:r w:rsidR="00C47C9B" w:rsidRPr="00EE2D24">
        <w:rPr>
          <w:lang w:val="en-GB"/>
        </w:rPr>
        <w:t>.</w:t>
      </w:r>
    </w:p>
  </w:footnote>
  <w:footnote w:id="14">
    <w:p w14:paraId="0C09752E" w14:textId="727483FD" w:rsidR="007B494A" w:rsidRPr="00EE2D24" w:rsidRDefault="007B494A">
      <w:pPr>
        <w:pStyle w:val="Voetnoottekst"/>
        <w:rPr>
          <w:lang w:val="en-GB"/>
        </w:rPr>
      </w:pPr>
      <w:r>
        <w:rPr>
          <w:rStyle w:val="Voetnootmarkering"/>
        </w:rPr>
        <w:footnoteRef/>
      </w:r>
      <w:r w:rsidRPr="00EE2D24">
        <w:rPr>
          <w:lang w:val="en-GB"/>
        </w:rPr>
        <w:t xml:space="preserve"> </w:t>
      </w:r>
      <w:r w:rsidRPr="00EE2D24">
        <w:rPr>
          <w:i/>
          <w:iCs/>
          <w:lang w:val="en-GB"/>
        </w:rPr>
        <w:t>Ibid</w:t>
      </w:r>
      <w:r w:rsidRPr="00EE2D24">
        <w:rPr>
          <w:lang w:val="en-GB"/>
        </w:rPr>
        <w:t xml:space="preserve">., art. 13, 15, 17, </w:t>
      </w:r>
      <w:r w:rsidR="00C47C9B" w:rsidRPr="00EE2D24">
        <w:rPr>
          <w:lang w:val="en-GB"/>
        </w:rPr>
        <w:t>22</w:t>
      </w:r>
      <w:r w:rsidR="00EE2D24" w:rsidRPr="00EE2D24">
        <w:rPr>
          <w:lang w:val="en-GB"/>
        </w:rPr>
        <w:t>,</w:t>
      </w:r>
      <w:r w:rsidR="00EE2D24">
        <w:rPr>
          <w:lang w:val="en-GB"/>
        </w:rPr>
        <w:t xml:space="preserve"> 31</w:t>
      </w:r>
      <w:r w:rsidR="002A7E21">
        <w:rPr>
          <w:lang w:val="en-GB"/>
        </w:rPr>
        <w:t>.</w:t>
      </w:r>
    </w:p>
  </w:footnote>
  <w:footnote w:id="15">
    <w:p w14:paraId="6F88B252" w14:textId="0DCA87DE" w:rsidR="00C47C9B" w:rsidRPr="00EE2D24" w:rsidRDefault="00C47C9B">
      <w:pPr>
        <w:pStyle w:val="Voetnoottekst"/>
        <w:rPr>
          <w:lang w:val="en-GB"/>
        </w:rPr>
      </w:pPr>
      <w:r>
        <w:rPr>
          <w:rStyle w:val="Voetnootmarkering"/>
        </w:rPr>
        <w:footnoteRef/>
      </w:r>
      <w:r w:rsidRPr="00EE2D24">
        <w:rPr>
          <w:lang w:val="en-GB"/>
        </w:rPr>
        <w:t xml:space="preserve"> </w:t>
      </w:r>
      <w:r w:rsidRPr="00EE2D24">
        <w:rPr>
          <w:i/>
          <w:iCs/>
          <w:lang w:val="en-GB"/>
        </w:rPr>
        <w:t>Ibid</w:t>
      </w:r>
      <w:r w:rsidRPr="00EE2D24">
        <w:rPr>
          <w:lang w:val="en-GB"/>
        </w:rPr>
        <w:t>., art. 11.</w:t>
      </w:r>
    </w:p>
  </w:footnote>
  <w:footnote w:id="16">
    <w:p w14:paraId="0ACB0098" w14:textId="38750181" w:rsidR="00C47C9B" w:rsidRPr="00C47C9B" w:rsidRDefault="00C47C9B">
      <w:pPr>
        <w:pStyle w:val="Voetnoottekst"/>
        <w:rPr>
          <w:lang w:val="nl-NL"/>
        </w:rPr>
      </w:pPr>
      <w:r>
        <w:rPr>
          <w:rStyle w:val="Voetnootmarkering"/>
        </w:rPr>
        <w:footnoteRef/>
      </w:r>
      <w:r>
        <w:t xml:space="preserve"> </w:t>
      </w:r>
      <w:r>
        <w:rPr>
          <w:i/>
          <w:iCs/>
          <w:lang w:val="nl-NL"/>
        </w:rPr>
        <w:t>Ibid</w:t>
      </w:r>
      <w:r>
        <w:rPr>
          <w:lang w:val="nl-NL"/>
        </w:rPr>
        <w:t>., art. 27.</w:t>
      </w:r>
    </w:p>
  </w:footnote>
  <w:footnote w:id="17">
    <w:p w14:paraId="4E4897BE" w14:textId="75DE6240" w:rsidR="002A7E21" w:rsidRPr="002A7E21" w:rsidRDefault="002A7E21">
      <w:pPr>
        <w:pStyle w:val="Voetnoottekst"/>
        <w:rPr>
          <w:lang w:val="nl-NL"/>
        </w:rPr>
      </w:pPr>
      <w:r>
        <w:rPr>
          <w:rStyle w:val="Voetnootmarkering"/>
        </w:rPr>
        <w:footnoteRef/>
      </w:r>
      <w:r>
        <w:t xml:space="preserve"> </w:t>
      </w:r>
      <w:r>
        <w:rPr>
          <w:i/>
          <w:iCs/>
          <w:lang w:val="nl-NL"/>
        </w:rPr>
        <w:t>Ibid</w:t>
      </w:r>
      <w:r>
        <w:rPr>
          <w:lang w:val="nl-NL"/>
        </w:rPr>
        <w:t>., art. 27.</w:t>
      </w:r>
    </w:p>
  </w:footnote>
  <w:footnote w:id="18">
    <w:p w14:paraId="02E62CFE" w14:textId="11071A09" w:rsidR="00CF23C7" w:rsidRPr="00882BD3" w:rsidRDefault="00CF23C7">
      <w:pPr>
        <w:pStyle w:val="Voetnoottekst"/>
      </w:pPr>
      <w:r>
        <w:rPr>
          <w:rStyle w:val="Voetnootmarkering"/>
        </w:rPr>
        <w:footnoteRef/>
      </w:r>
      <w:r w:rsidR="00882BD3" w:rsidRPr="00882BD3">
        <w:t xml:space="preserve"> A</w:t>
      </w:r>
      <w:r w:rsidRPr="00882BD3">
        <w:t>rt. 6</w:t>
      </w:r>
      <w:r w:rsidR="00882BD3" w:rsidRPr="00882BD3">
        <w:t xml:space="preserve"> decreet van 24 maart 2023 over het hybride onderwijs in het se</w:t>
      </w:r>
      <w:r w:rsidR="00882BD3">
        <w:t xml:space="preserve">cundair onderwijs, </w:t>
      </w:r>
      <w:r w:rsidR="00882BD3">
        <w:rPr>
          <w:i/>
          <w:iCs/>
        </w:rPr>
        <w:t>BS</w:t>
      </w:r>
      <w:r w:rsidR="00882BD3">
        <w:t xml:space="preserve"> 7 april 2023</w:t>
      </w:r>
      <w:r w:rsidRPr="00882BD3">
        <w:t>.</w:t>
      </w:r>
    </w:p>
  </w:footnote>
  <w:footnote w:id="19">
    <w:p w14:paraId="254FF290" w14:textId="77777777" w:rsidR="00EB2010" w:rsidRPr="00EB2010" w:rsidRDefault="00EB2010" w:rsidP="00EB2010">
      <w:pPr>
        <w:pStyle w:val="Voetnoottekst"/>
        <w:rPr>
          <w:lang w:val="en-GB"/>
        </w:rPr>
      </w:pPr>
      <w:r>
        <w:rPr>
          <w:rStyle w:val="Voetnootmarkering"/>
        </w:rPr>
        <w:footnoteRef/>
      </w:r>
      <w:r w:rsidRPr="00EB2010">
        <w:rPr>
          <w:lang w:val="en-GB"/>
        </w:rPr>
        <w:t xml:space="preserve"> </w:t>
      </w:r>
      <w:r w:rsidRPr="00EB2010">
        <w:rPr>
          <w:i/>
          <w:iCs/>
          <w:lang w:val="en-GB"/>
        </w:rPr>
        <w:t>I</w:t>
      </w:r>
      <w:r>
        <w:rPr>
          <w:i/>
          <w:iCs/>
          <w:lang w:val="en-GB"/>
        </w:rPr>
        <w:t>bid</w:t>
      </w:r>
      <w:r>
        <w:rPr>
          <w:lang w:val="en-GB"/>
        </w:rPr>
        <w:t>., art. 6.</w:t>
      </w:r>
    </w:p>
  </w:footnote>
  <w:footnote w:id="20">
    <w:p w14:paraId="5A308E0E" w14:textId="280FD710" w:rsidR="00624C80" w:rsidRPr="00882BD3" w:rsidRDefault="00624C80">
      <w:pPr>
        <w:pStyle w:val="Voetnoottekst"/>
        <w:rPr>
          <w:lang w:val="en-GB"/>
        </w:rPr>
      </w:pPr>
      <w:r>
        <w:rPr>
          <w:rStyle w:val="Voetnootmarkering"/>
        </w:rPr>
        <w:footnoteRef/>
      </w:r>
      <w:r w:rsidRPr="00882BD3">
        <w:rPr>
          <w:lang w:val="en-GB"/>
        </w:rPr>
        <w:t xml:space="preserve"> </w:t>
      </w:r>
      <w:r w:rsidRPr="00882BD3">
        <w:rPr>
          <w:i/>
          <w:iCs/>
          <w:lang w:val="en-GB"/>
        </w:rPr>
        <w:t>Ibid</w:t>
      </w:r>
      <w:r w:rsidRPr="00882BD3">
        <w:rPr>
          <w:lang w:val="en-GB"/>
        </w:rPr>
        <w:t>., art. 7.</w:t>
      </w:r>
    </w:p>
  </w:footnote>
  <w:footnote w:id="21">
    <w:p w14:paraId="045066DC" w14:textId="77777777" w:rsidR="00624C80" w:rsidRPr="00EB2010" w:rsidRDefault="00624C80" w:rsidP="00624C80">
      <w:pPr>
        <w:pStyle w:val="Voetnoottekst"/>
        <w:rPr>
          <w:lang w:val="en-GB"/>
        </w:rPr>
      </w:pPr>
      <w:r>
        <w:rPr>
          <w:rStyle w:val="Voetnootmarkering"/>
        </w:rPr>
        <w:footnoteRef/>
      </w:r>
      <w:r w:rsidRPr="00EB2010">
        <w:rPr>
          <w:lang w:val="en-GB"/>
        </w:rPr>
        <w:t xml:space="preserve"> </w:t>
      </w:r>
      <w:r w:rsidRPr="00EB2010">
        <w:rPr>
          <w:i/>
          <w:iCs/>
          <w:lang w:val="en-GB"/>
        </w:rPr>
        <w:t>Ibid</w:t>
      </w:r>
      <w:r w:rsidRPr="00EB2010">
        <w:rPr>
          <w:lang w:val="en-GB"/>
        </w:rPr>
        <w:t>., art. 4.</w:t>
      </w:r>
    </w:p>
  </w:footnote>
  <w:footnote w:id="22">
    <w:p w14:paraId="7A98BF7C" w14:textId="264CDCF1" w:rsidR="00624C80" w:rsidRPr="00624C80" w:rsidRDefault="00624C80">
      <w:pPr>
        <w:pStyle w:val="Voetnoottekst"/>
        <w:rPr>
          <w:lang w:val="nl-NL"/>
        </w:rPr>
      </w:pPr>
      <w:r>
        <w:rPr>
          <w:rStyle w:val="Voetnootmarkering"/>
        </w:rPr>
        <w:footnoteRef/>
      </w:r>
      <w:r>
        <w:t xml:space="preserve"> </w:t>
      </w:r>
      <w:r>
        <w:rPr>
          <w:i/>
          <w:iCs/>
          <w:lang w:val="nl-NL"/>
        </w:rPr>
        <w:t>Ibid</w:t>
      </w:r>
      <w:r>
        <w:rPr>
          <w:lang w:val="nl-NL"/>
        </w:rPr>
        <w:t xml:space="preserve">., </w:t>
      </w:r>
      <w:r w:rsidR="00773F9C">
        <w:rPr>
          <w:lang w:val="nl-NL"/>
        </w:rPr>
        <w:t>art. 8.</w:t>
      </w:r>
    </w:p>
  </w:footnote>
  <w:footnote w:id="23">
    <w:p w14:paraId="02B97546" w14:textId="781D35E5" w:rsidR="00773F9C" w:rsidRPr="00773F9C" w:rsidRDefault="00773F9C">
      <w:pPr>
        <w:pStyle w:val="Voetnoottekst"/>
        <w:rPr>
          <w:lang w:val="nl-NL"/>
        </w:rPr>
      </w:pPr>
      <w:r>
        <w:rPr>
          <w:rStyle w:val="Voetnootmarkering"/>
        </w:rPr>
        <w:footnoteRef/>
      </w:r>
      <w:r>
        <w:t xml:space="preserve"> </w:t>
      </w:r>
      <w:r>
        <w:rPr>
          <w:i/>
          <w:iCs/>
          <w:lang w:val="nl-NL"/>
        </w:rPr>
        <w:t>Ibid</w:t>
      </w:r>
      <w:r>
        <w:rPr>
          <w:lang w:val="nl-NL"/>
        </w:rPr>
        <w:t>., art. 9.</w:t>
      </w:r>
    </w:p>
  </w:footnote>
  <w:footnote w:id="24">
    <w:p w14:paraId="4F08B91C" w14:textId="6FDEE515" w:rsidR="00911256" w:rsidRPr="00911256" w:rsidRDefault="00911256">
      <w:pPr>
        <w:pStyle w:val="Voetnoottekst"/>
        <w:rPr>
          <w:lang w:val="nl-NL"/>
        </w:rPr>
      </w:pPr>
      <w:r>
        <w:rPr>
          <w:rStyle w:val="Voetnootmarkering"/>
        </w:rPr>
        <w:footnoteRef/>
      </w:r>
      <w:r>
        <w:t xml:space="preserve"> </w:t>
      </w:r>
      <w:r w:rsidR="00273F37">
        <w:t xml:space="preserve">Decreet van 24 juni 2022 tot wijziging van de Codificatie sommige bepalingen voor het onderwijs van 28 oktober 2016, wat betreft de voorbereiding van de transitie van sommige voorzieningen van Onderwijs naar Welzijn, </w:t>
      </w:r>
      <w:r w:rsidR="00273F37">
        <w:rPr>
          <w:i/>
          <w:iCs/>
        </w:rPr>
        <w:t>BS</w:t>
      </w:r>
      <w:r w:rsidR="00273F37">
        <w:t xml:space="preserve"> 12 juli 2022.</w:t>
      </w:r>
    </w:p>
  </w:footnote>
  <w:footnote w:id="25">
    <w:p w14:paraId="4D5C1F1C" w14:textId="529EC759" w:rsidR="001D005F" w:rsidRPr="001D005F" w:rsidRDefault="001D005F">
      <w:pPr>
        <w:pStyle w:val="Voetnoottekst"/>
        <w:rPr>
          <w:lang w:val="nl-NL"/>
        </w:rPr>
      </w:pPr>
      <w:r>
        <w:rPr>
          <w:rStyle w:val="Voetnootmarkering"/>
        </w:rPr>
        <w:footnoteRef/>
      </w:r>
      <w:r>
        <w:t xml:space="preserve"> </w:t>
      </w:r>
      <w:r>
        <w:rPr>
          <w:lang w:val="nl-NL"/>
        </w:rPr>
        <w:t xml:space="preserve">Decreet van 28 april 2023 over de transitie van personeelsleden van sommige instellingen van Onderwijs naar Welzijn, </w:t>
      </w:r>
      <w:r>
        <w:rPr>
          <w:i/>
          <w:iCs/>
          <w:lang w:val="nl-NL"/>
        </w:rPr>
        <w:t>BS</w:t>
      </w:r>
      <w:r>
        <w:t xml:space="preserve"> 5 juni 2023.</w:t>
      </w:r>
    </w:p>
  </w:footnote>
  <w:footnote w:id="26">
    <w:p w14:paraId="3CAC71F6" w14:textId="20D8BB20" w:rsidR="00CD0DCF" w:rsidRPr="00CD0DCF" w:rsidRDefault="00CD0DCF">
      <w:pPr>
        <w:pStyle w:val="Voetnoottekst"/>
      </w:pPr>
      <w:r>
        <w:rPr>
          <w:rStyle w:val="Voetnootmarkering"/>
        </w:rPr>
        <w:footnoteRef/>
      </w:r>
      <w:r>
        <w:t xml:space="preserve"> Art. 2, 3° en 9, 4° decreet van 28 april 2023 over de Vlaamse toetsen in het onderwijs, </w:t>
      </w:r>
      <w:r w:rsidR="00882B07">
        <w:t>18 juli 2023</w:t>
      </w:r>
      <w:r>
        <w:t>.</w:t>
      </w:r>
    </w:p>
  </w:footnote>
  <w:footnote w:id="27">
    <w:p w14:paraId="711C3501" w14:textId="06201175" w:rsidR="00D50BA2" w:rsidRPr="001D53F8" w:rsidRDefault="00D50BA2">
      <w:pPr>
        <w:pStyle w:val="Voetnoottekst"/>
        <w:rPr>
          <w:lang w:val="en-GB"/>
        </w:rPr>
      </w:pPr>
      <w:r>
        <w:rPr>
          <w:rStyle w:val="Voetnootmarkering"/>
        </w:rPr>
        <w:footnoteRef/>
      </w:r>
      <w:r w:rsidRPr="001D53F8">
        <w:rPr>
          <w:lang w:val="en-GB"/>
        </w:rPr>
        <w:t xml:space="preserve"> </w:t>
      </w:r>
      <w:r w:rsidR="00F27ED3" w:rsidRPr="001D53F8">
        <w:rPr>
          <w:i/>
          <w:iCs/>
          <w:lang w:val="en-GB"/>
        </w:rPr>
        <w:t>Ibid</w:t>
      </w:r>
      <w:r w:rsidR="00F27ED3" w:rsidRPr="001D53F8">
        <w:rPr>
          <w:lang w:val="en-GB"/>
        </w:rPr>
        <w:t>., art. 5 en 12.</w:t>
      </w:r>
    </w:p>
  </w:footnote>
  <w:footnote w:id="28">
    <w:p w14:paraId="4A76F53F" w14:textId="32131E88" w:rsidR="005B3C2D" w:rsidRPr="00F06635" w:rsidRDefault="005B3C2D">
      <w:pPr>
        <w:pStyle w:val="Voetnoottekst"/>
        <w:rPr>
          <w:lang w:val="en-GB"/>
        </w:rPr>
      </w:pPr>
      <w:r>
        <w:rPr>
          <w:rStyle w:val="Voetnootmarkering"/>
        </w:rPr>
        <w:footnoteRef/>
      </w:r>
      <w:r w:rsidRPr="00F06635">
        <w:rPr>
          <w:lang w:val="en-GB"/>
        </w:rPr>
        <w:t xml:space="preserve"> </w:t>
      </w:r>
      <w:r w:rsidRPr="00F06635">
        <w:rPr>
          <w:i/>
          <w:iCs/>
          <w:lang w:val="en-GB"/>
        </w:rPr>
        <w:t>Ibid</w:t>
      </w:r>
      <w:r w:rsidRPr="00F06635">
        <w:rPr>
          <w:lang w:val="en-GB"/>
        </w:rPr>
        <w:t>.</w:t>
      </w:r>
    </w:p>
  </w:footnote>
  <w:footnote w:id="29">
    <w:p w14:paraId="4D978CED" w14:textId="77777777" w:rsidR="009E0D33" w:rsidRPr="00F06635" w:rsidRDefault="009E0D33" w:rsidP="009E0D33">
      <w:pPr>
        <w:pStyle w:val="Voetnoottekst"/>
        <w:rPr>
          <w:lang w:val="en-GB"/>
        </w:rPr>
      </w:pPr>
      <w:r>
        <w:rPr>
          <w:rStyle w:val="Voetnootmarkering"/>
        </w:rPr>
        <w:footnoteRef/>
      </w:r>
      <w:r w:rsidRPr="00F06635">
        <w:rPr>
          <w:lang w:val="en-GB"/>
        </w:rPr>
        <w:t xml:space="preserve"> </w:t>
      </w:r>
      <w:r w:rsidRPr="00F06635">
        <w:rPr>
          <w:i/>
          <w:iCs/>
          <w:lang w:val="en-GB"/>
        </w:rPr>
        <w:t>Ibid</w:t>
      </w:r>
      <w:r w:rsidRPr="00F06635">
        <w:rPr>
          <w:lang w:val="en-GB"/>
        </w:rPr>
        <w:t>.</w:t>
      </w:r>
    </w:p>
  </w:footnote>
  <w:footnote w:id="30">
    <w:p w14:paraId="7220EC87" w14:textId="1760A7AA" w:rsidR="00BE52DE" w:rsidRPr="00F06635" w:rsidRDefault="00BE52DE">
      <w:pPr>
        <w:pStyle w:val="Voetnoottekst"/>
        <w:rPr>
          <w:lang w:val="en-GB"/>
        </w:rPr>
      </w:pPr>
      <w:r>
        <w:rPr>
          <w:rStyle w:val="Voetnootmarkering"/>
        </w:rPr>
        <w:footnoteRef/>
      </w:r>
      <w:r w:rsidRPr="00F06635">
        <w:rPr>
          <w:lang w:val="en-GB"/>
        </w:rPr>
        <w:t xml:space="preserve"> </w:t>
      </w:r>
      <w:r w:rsidRPr="00F06635">
        <w:rPr>
          <w:i/>
          <w:iCs/>
          <w:lang w:val="en-GB"/>
        </w:rPr>
        <w:t>Ibid</w:t>
      </w:r>
      <w:r w:rsidRPr="00F06635">
        <w:rPr>
          <w:lang w:val="en-GB"/>
        </w:rPr>
        <w:t>.</w:t>
      </w:r>
    </w:p>
  </w:footnote>
  <w:footnote w:id="31">
    <w:p w14:paraId="31ED6F86" w14:textId="58C8E21F" w:rsidR="00F06635" w:rsidRPr="000F66DB" w:rsidRDefault="00F06635">
      <w:pPr>
        <w:pStyle w:val="Voetnoottekst"/>
        <w:rPr>
          <w:lang w:val="en-GB"/>
        </w:rPr>
      </w:pPr>
      <w:r>
        <w:rPr>
          <w:rStyle w:val="Voetnootmarkering"/>
        </w:rPr>
        <w:footnoteRef/>
      </w:r>
      <w:r w:rsidRPr="000F66DB">
        <w:rPr>
          <w:lang w:val="en-GB"/>
        </w:rPr>
        <w:t xml:space="preserve"> </w:t>
      </w:r>
      <w:r w:rsidRPr="000F66DB">
        <w:rPr>
          <w:i/>
          <w:iCs/>
          <w:lang w:val="en-GB"/>
        </w:rPr>
        <w:t>Ibid</w:t>
      </w:r>
      <w:r w:rsidRPr="000F66DB">
        <w:rPr>
          <w:lang w:val="en-GB"/>
        </w:rPr>
        <w:t>.</w:t>
      </w:r>
    </w:p>
  </w:footnote>
  <w:footnote w:id="32">
    <w:p w14:paraId="4D1460B2" w14:textId="67502F9D" w:rsidR="000F66DB" w:rsidRPr="000F66DB" w:rsidRDefault="000F66DB">
      <w:pPr>
        <w:pStyle w:val="Voetnoottekst"/>
        <w:rPr>
          <w:lang w:val="en-GB"/>
        </w:rPr>
      </w:pPr>
      <w:r>
        <w:rPr>
          <w:rStyle w:val="Voetnootmarkering"/>
        </w:rPr>
        <w:footnoteRef/>
      </w:r>
      <w:r w:rsidRPr="000F66DB">
        <w:rPr>
          <w:lang w:val="en-GB"/>
        </w:rPr>
        <w:t xml:space="preserve"> </w:t>
      </w:r>
      <w:r w:rsidRPr="000F66DB">
        <w:rPr>
          <w:i/>
          <w:iCs/>
          <w:lang w:val="en-GB"/>
        </w:rPr>
        <w:t>I</w:t>
      </w:r>
      <w:r>
        <w:rPr>
          <w:i/>
          <w:iCs/>
          <w:lang w:val="en-GB"/>
        </w:rPr>
        <w:t>bid</w:t>
      </w:r>
      <w:r>
        <w:rPr>
          <w:lang w:val="en-GB"/>
        </w:rPr>
        <w:t>., art. 16.</w:t>
      </w:r>
    </w:p>
  </w:footnote>
  <w:footnote w:id="33">
    <w:p w14:paraId="192A5D88" w14:textId="6AAC3F40" w:rsidR="00F06635" w:rsidRPr="00F06635" w:rsidRDefault="00F06635">
      <w:pPr>
        <w:pStyle w:val="Voetnoottekst"/>
        <w:rPr>
          <w:lang w:val="en-GB"/>
        </w:rPr>
      </w:pPr>
      <w:r>
        <w:rPr>
          <w:rStyle w:val="Voetnootmarkering"/>
        </w:rPr>
        <w:footnoteRef/>
      </w:r>
      <w:r w:rsidRPr="00F06635">
        <w:rPr>
          <w:lang w:val="en-GB"/>
        </w:rPr>
        <w:t xml:space="preserve"> </w:t>
      </w:r>
      <w:r>
        <w:rPr>
          <w:i/>
          <w:iCs/>
          <w:lang w:val="en-GB"/>
        </w:rPr>
        <w:t xml:space="preserve">Ibid, </w:t>
      </w:r>
      <w:r>
        <w:rPr>
          <w:lang w:val="en-GB"/>
        </w:rPr>
        <w:t>art. 5 en 12.</w:t>
      </w:r>
    </w:p>
  </w:footnote>
  <w:footnote w:id="34">
    <w:p w14:paraId="6DB13DBE" w14:textId="0E3338B8" w:rsidR="00D50BA2" w:rsidRPr="001D53F8" w:rsidRDefault="00D50BA2">
      <w:pPr>
        <w:pStyle w:val="Voetnoottekst"/>
        <w:rPr>
          <w:lang w:val="de-DE"/>
        </w:rPr>
      </w:pPr>
      <w:r>
        <w:rPr>
          <w:rStyle w:val="Voetnootmarkering"/>
        </w:rPr>
        <w:footnoteRef/>
      </w:r>
      <w:r w:rsidRPr="001D53F8">
        <w:rPr>
          <w:lang w:val="de-DE"/>
        </w:rPr>
        <w:t xml:space="preserve"> </w:t>
      </w:r>
      <w:r w:rsidRPr="001D53F8">
        <w:rPr>
          <w:i/>
          <w:iCs/>
          <w:lang w:val="de-DE"/>
        </w:rPr>
        <w:t>Ibid</w:t>
      </w:r>
      <w:r w:rsidRPr="001D53F8">
        <w:rPr>
          <w:lang w:val="de-DE"/>
        </w:rPr>
        <w:t>., art. 3 en 10.</w:t>
      </w:r>
    </w:p>
  </w:footnote>
  <w:footnote w:id="35">
    <w:p w14:paraId="15162CC0" w14:textId="37503699" w:rsidR="00F06635" w:rsidRPr="001D53F8" w:rsidRDefault="00F06635">
      <w:pPr>
        <w:pStyle w:val="Voetnoottekst"/>
        <w:rPr>
          <w:lang w:val="de-DE"/>
        </w:rPr>
      </w:pPr>
      <w:r>
        <w:rPr>
          <w:rStyle w:val="Voetnootmarkering"/>
        </w:rPr>
        <w:footnoteRef/>
      </w:r>
      <w:r w:rsidRPr="001D53F8">
        <w:rPr>
          <w:lang w:val="de-DE"/>
        </w:rPr>
        <w:t xml:space="preserve"> </w:t>
      </w:r>
      <w:r w:rsidRPr="001D53F8">
        <w:rPr>
          <w:i/>
          <w:iCs/>
          <w:lang w:val="de-DE"/>
        </w:rPr>
        <w:t>Ibid</w:t>
      </w:r>
      <w:r w:rsidRPr="001D53F8">
        <w:rPr>
          <w:lang w:val="de-DE"/>
        </w:rPr>
        <w:t>., art. 6 en 13.</w:t>
      </w:r>
    </w:p>
  </w:footnote>
  <w:footnote w:id="36">
    <w:p w14:paraId="7824E6C8" w14:textId="633B8DCF" w:rsidR="00115139" w:rsidRPr="001D53F8" w:rsidRDefault="00115139">
      <w:pPr>
        <w:pStyle w:val="Voetnoottekst"/>
        <w:rPr>
          <w:lang w:val="en-GB"/>
        </w:rPr>
      </w:pPr>
      <w:r>
        <w:rPr>
          <w:rStyle w:val="Voetnootmarkering"/>
        </w:rPr>
        <w:footnoteRef/>
      </w:r>
      <w:r w:rsidRPr="001D53F8">
        <w:rPr>
          <w:lang w:val="en-GB"/>
        </w:rPr>
        <w:t xml:space="preserve"> </w:t>
      </w:r>
      <w:r w:rsidRPr="001D53F8">
        <w:rPr>
          <w:i/>
          <w:iCs/>
          <w:lang w:val="en-GB"/>
        </w:rPr>
        <w:t>Ibid</w:t>
      </w:r>
      <w:r w:rsidRPr="001D53F8">
        <w:rPr>
          <w:lang w:val="en-GB"/>
        </w:rPr>
        <w:t>., art. 7 en 14.</w:t>
      </w:r>
    </w:p>
  </w:footnote>
  <w:footnote w:id="37">
    <w:p w14:paraId="5472FF3D" w14:textId="1AC6E2B2" w:rsidR="00115139" w:rsidRPr="001D53F8" w:rsidRDefault="00115139">
      <w:pPr>
        <w:pStyle w:val="Voetnoottekst"/>
        <w:rPr>
          <w:lang w:val="en-GB"/>
        </w:rPr>
      </w:pPr>
      <w:r>
        <w:rPr>
          <w:rStyle w:val="Voetnootmarkering"/>
        </w:rPr>
        <w:footnoteRef/>
      </w:r>
      <w:r w:rsidRPr="001D53F8">
        <w:rPr>
          <w:lang w:val="en-GB"/>
        </w:rPr>
        <w:t xml:space="preserve"> </w:t>
      </w:r>
      <w:r w:rsidRPr="001D53F8">
        <w:rPr>
          <w:i/>
          <w:iCs/>
          <w:lang w:val="en-GB"/>
        </w:rPr>
        <w:t>Ibid</w:t>
      </w:r>
      <w:r w:rsidRPr="001D53F8">
        <w:rPr>
          <w:lang w:val="en-GB"/>
        </w:rPr>
        <w:t>.</w:t>
      </w:r>
    </w:p>
  </w:footnote>
  <w:footnote w:id="38">
    <w:p w14:paraId="242EEA56" w14:textId="6AF93B44" w:rsidR="00C42CF7" w:rsidRPr="001D53F8" w:rsidRDefault="00C42CF7">
      <w:pPr>
        <w:pStyle w:val="Voetnoottekst"/>
        <w:rPr>
          <w:lang w:val="en-GB"/>
        </w:rPr>
      </w:pPr>
      <w:r>
        <w:rPr>
          <w:rStyle w:val="Voetnootmarkering"/>
        </w:rPr>
        <w:footnoteRef/>
      </w:r>
      <w:r w:rsidRPr="001D53F8">
        <w:rPr>
          <w:lang w:val="en-GB"/>
        </w:rPr>
        <w:t xml:space="preserve"> </w:t>
      </w:r>
      <w:r w:rsidRPr="001D53F8">
        <w:rPr>
          <w:i/>
          <w:iCs/>
          <w:lang w:val="en-GB"/>
        </w:rPr>
        <w:t>Ibid</w:t>
      </w:r>
      <w:r w:rsidRPr="001D53F8">
        <w:rPr>
          <w:lang w:val="en-GB"/>
        </w:rPr>
        <w:t>.</w:t>
      </w:r>
    </w:p>
  </w:footnote>
  <w:footnote w:id="39">
    <w:p w14:paraId="722CEC4D" w14:textId="57BB9363" w:rsidR="000F66DB" w:rsidRPr="000F66DB" w:rsidRDefault="000F66DB">
      <w:pPr>
        <w:pStyle w:val="Voetnoottekst"/>
      </w:pPr>
      <w:r>
        <w:rPr>
          <w:rStyle w:val="Voetnootmarkering"/>
        </w:rPr>
        <w:footnoteRef/>
      </w:r>
      <w:r>
        <w:t xml:space="preserve"> </w:t>
      </w:r>
      <w:r>
        <w:rPr>
          <w:i/>
          <w:iCs/>
        </w:rPr>
        <w:t>Ibid</w:t>
      </w:r>
      <w:r>
        <w:t>.</w:t>
      </w:r>
    </w:p>
  </w:footnote>
  <w:footnote w:id="40">
    <w:p w14:paraId="3D400222" w14:textId="7552784B" w:rsidR="00995BB2" w:rsidRPr="00EF2E5A" w:rsidRDefault="00995BB2">
      <w:pPr>
        <w:pStyle w:val="Voetnoottekst"/>
      </w:pPr>
      <w:r>
        <w:rPr>
          <w:rStyle w:val="Voetnootmarkering"/>
        </w:rPr>
        <w:footnoteRef/>
      </w:r>
      <w:r>
        <w:t xml:space="preserve"> </w:t>
      </w:r>
      <w:proofErr w:type="spellStart"/>
      <w:r w:rsidR="00EF2E5A">
        <w:t>MvT</w:t>
      </w:r>
      <w:proofErr w:type="spellEnd"/>
      <w:r w:rsidR="00EF2E5A">
        <w:t xml:space="preserve"> bij het ontwerp van decreet over leersteun, </w:t>
      </w:r>
      <w:r w:rsidR="00EF2E5A">
        <w:rPr>
          <w:i/>
          <w:iCs/>
        </w:rPr>
        <w:t>Parl.St.</w:t>
      </w:r>
      <w:r w:rsidR="00EF2E5A">
        <w:t xml:space="preserve"> Vl.Parl. 2022-23, nr. 1634/1.</w:t>
      </w:r>
    </w:p>
  </w:footnote>
  <w:footnote w:id="41">
    <w:p w14:paraId="7E8F7028" w14:textId="547B8D1D" w:rsidR="009D35CF" w:rsidRPr="009D35CF" w:rsidRDefault="009D35CF" w:rsidP="009D35CF">
      <w:pPr>
        <w:pStyle w:val="Voetnoottekst"/>
      </w:pPr>
      <w:r>
        <w:rPr>
          <w:rStyle w:val="Voetnootmarkering"/>
        </w:rPr>
        <w:footnoteRef/>
      </w:r>
      <w:r w:rsidRPr="009D35CF">
        <w:t xml:space="preserve"> </w:t>
      </w:r>
      <w:r>
        <w:t xml:space="preserve">Art. 6 decreet van 5 mei 2023 over leersteun, </w:t>
      </w:r>
      <w:r>
        <w:rPr>
          <w:i/>
          <w:iCs/>
        </w:rPr>
        <w:t>BS</w:t>
      </w:r>
      <w:r>
        <w:t xml:space="preserve"> 2 augustus 2023.</w:t>
      </w:r>
    </w:p>
  </w:footnote>
  <w:footnote w:id="42">
    <w:p w14:paraId="5FCEAF1B" w14:textId="77777777" w:rsidR="009D35CF" w:rsidRPr="00457BF3" w:rsidRDefault="009D35CF" w:rsidP="009D35CF">
      <w:pPr>
        <w:pStyle w:val="Voetnoottekst"/>
        <w:rPr>
          <w:lang w:val="en-GB"/>
        </w:rPr>
      </w:pPr>
      <w:r>
        <w:rPr>
          <w:rStyle w:val="Voetnootmarkering"/>
        </w:rPr>
        <w:footnoteRef/>
      </w:r>
      <w:r w:rsidRPr="00457BF3">
        <w:rPr>
          <w:lang w:val="en-GB"/>
        </w:rPr>
        <w:t xml:space="preserve"> </w:t>
      </w:r>
      <w:r w:rsidRPr="00457BF3">
        <w:rPr>
          <w:i/>
          <w:iCs/>
          <w:lang w:val="en-GB"/>
        </w:rPr>
        <w:t>Ibid</w:t>
      </w:r>
      <w:r w:rsidRPr="00457BF3">
        <w:rPr>
          <w:lang w:val="en-GB"/>
        </w:rPr>
        <w:t>., art. 7.</w:t>
      </w:r>
    </w:p>
  </w:footnote>
  <w:footnote w:id="43">
    <w:p w14:paraId="5E3C648D" w14:textId="5412CC4E" w:rsidR="00357FB9" w:rsidRPr="00457BF3" w:rsidRDefault="00357FB9">
      <w:pPr>
        <w:pStyle w:val="Voetnoottekst"/>
        <w:rPr>
          <w:lang w:val="en-GB"/>
        </w:rPr>
      </w:pPr>
      <w:r>
        <w:rPr>
          <w:rStyle w:val="Voetnootmarkering"/>
        </w:rPr>
        <w:footnoteRef/>
      </w:r>
      <w:r w:rsidRPr="00457BF3">
        <w:rPr>
          <w:lang w:val="en-GB"/>
        </w:rPr>
        <w:t xml:space="preserve"> </w:t>
      </w:r>
      <w:r w:rsidRPr="00457BF3">
        <w:rPr>
          <w:i/>
          <w:iCs/>
          <w:lang w:val="en-GB"/>
        </w:rPr>
        <w:t>Ibid</w:t>
      </w:r>
      <w:r w:rsidRPr="00457BF3">
        <w:rPr>
          <w:lang w:val="en-GB"/>
        </w:rPr>
        <w:t>., art. 20.</w:t>
      </w:r>
    </w:p>
  </w:footnote>
  <w:footnote w:id="44">
    <w:p w14:paraId="497712F4" w14:textId="77777777" w:rsidR="00357FB9" w:rsidRPr="0066317A" w:rsidRDefault="00357FB9" w:rsidP="00357FB9">
      <w:pPr>
        <w:pStyle w:val="Voetnoottekst"/>
        <w:rPr>
          <w:lang w:val="en-GB"/>
        </w:rPr>
      </w:pPr>
      <w:r>
        <w:rPr>
          <w:rStyle w:val="Voetnootmarkering"/>
        </w:rPr>
        <w:footnoteRef/>
      </w:r>
      <w:r w:rsidRPr="0066317A">
        <w:rPr>
          <w:lang w:val="en-GB"/>
        </w:rPr>
        <w:t xml:space="preserve"> </w:t>
      </w:r>
      <w:r>
        <w:rPr>
          <w:i/>
          <w:iCs/>
          <w:lang w:val="en-GB"/>
        </w:rPr>
        <w:t>Ibid</w:t>
      </w:r>
      <w:r>
        <w:rPr>
          <w:lang w:val="en-GB"/>
        </w:rPr>
        <w:t>., art. 26.</w:t>
      </w:r>
    </w:p>
  </w:footnote>
  <w:footnote w:id="45">
    <w:p w14:paraId="41C1B249" w14:textId="77777777" w:rsidR="00357FB9" w:rsidRPr="00D74D13" w:rsidRDefault="00357FB9" w:rsidP="00357FB9">
      <w:pPr>
        <w:pStyle w:val="Voetnoottekst"/>
        <w:rPr>
          <w:lang w:val="en-GB"/>
        </w:rPr>
      </w:pPr>
      <w:r>
        <w:rPr>
          <w:rStyle w:val="Voetnootmarkering"/>
        </w:rPr>
        <w:footnoteRef/>
      </w:r>
      <w:r w:rsidRPr="00D74D13">
        <w:rPr>
          <w:lang w:val="en-GB"/>
        </w:rPr>
        <w:t xml:space="preserve"> </w:t>
      </w:r>
      <w:r w:rsidRPr="00D74D13">
        <w:rPr>
          <w:i/>
          <w:iCs/>
          <w:lang w:val="en-GB"/>
        </w:rPr>
        <w:t>Ibid</w:t>
      </w:r>
      <w:r w:rsidRPr="00D74D13">
        <w:rPr>
          <w:lang w:val="en-GB"/>
        </w:rPr>
        <w:t>., art. 19, §1.</w:t>
      </w:r>
    </w:p>
  </w:footnote>
  <w:footnote w:id="46">
    <w:p w14:paraId="3EE16BBE" w14:textId="77777777" w:rsidR="00357FB9" w:rsidRPr="00D74D13" w:rsidRDefault="00357FB9" w:rsidP="00357FB9">
      <w:pPr>
        <w:pStyle w:val="Voetnoottekst"/>
        <w:rPr>
          <w:lang w:val="en-GB"/>
        </w:rPr>
      </w:pPr>
      <w:r>
        <w:rPr>
          <w:rStyle w:val="Voetnootmarkering"/>
        </w:rPr>
        <w:footnoteRef/>
      </w:r>
      <w:r w:rsidRPr="00D74D13">
        <w:rPr>
          <w:lang w:val="en-GB"/>
        </w:rPr>
        <w:t xml:space="preserve"> </w:t>
      </w:r>
      <w:r w:rsidRPr="00D74D13">
        <w:rPr>
          <w:i/>
          <w:iCs/>
          <w:lang w:val="en-GB"/>
        </w:rPr>
        <w:t>Ibid</w:t>
      </w:r>
      <w:r w:rsidRPr="00D74D13">
        <w:rPr>
          <w:lang w:val="en-GB"/>
        </w:rPr>
        <w:t>., art. 19, §2.</w:t>
      </w:r>
    </w:p>
  </w:footnote>
  <w:footnote w:id="47">
    <w:p w14:paraId="68EF2DF7" w14:textId="77777777" w:rsidR="00357FB9" w:rsidRPr="00230439" w:rsidRDefault="00357FB9" w:rsidP="00357FB9">
      <w:pPr>
        <w:pStyle w:val="Voetnoottekst"/>
        <w:rPr>
          <w:lang w:val="en-GB"/>
        </w:rPr>
      </w:pPr>
      <w:r>
        <w:rPr>
          <w:rStyle w:val="Voetnootmarkering"/>
        </w:rPr>
        <w:footnoteRef/>
      </w:r>
      <w:r w:rsidRPr="00230439">
        <w:rPr>
          <w:lang w:val="en-GB"/>
        </w:rPr>
        <w:t xml:space="preserve"> </w:t>
      </w:r>
      <w:r w:rsidRPr="00230439">
        <w:rPr>
          <w:i/>
          <w:iCs/>
          <w:lang w:val="en-GB"/>
        </w:rPr>
        <w:t>Ibid</w:t>
      </w:r>
      <w:r w:rsidRPr="00230439">
        <w:rPr>
          <w:lang w:val="en-GB"/>
        </w:rPr>
        <w:t>., art. 21.</w:t>
      </w:r>
    </w:p>
  </w:footnote>
  <w:footnote w:id="48">
    <w:p w14:paraId="70085A14" w14:textId="77777777" w:rsidR="00357FB9" w:rsidRPr="0066317A" w:rsidRDefault="00357FB9" w:rsidP="00357FB9">
      <w:pPr>
        <w:pStyle w:val="Voetnoottekst"/>
        <w:rPr>
          <w:lang w:val="en-GB"/>
        </w:rPr>
      </w:pPr>
      <w:r>
        <w:rPr>
          <w:rStyle w:val="Voetnootmarkering"/>
        </w:rPr>
        <w:footnoteRef/>
      </w:r>
      <w:r w:rsidRPr="0066317A">
        <w:rPr>
          <w:lang w:val="en-GB"/>
        </w:rPr>
        <w:t xml:space="preserve"> </w:t>
      </w:r>
      <w:r w:rsidRPr="0066317A">
        <w:rPr>
          <w:i/>
          <w:iCs/>
          <w:lang w:val="en-GB"/>
        </w:rPr>
        <w:t>I</w:t>
      </w:r>
      <w:r>
        <w:rPr>
          <w:i/>
          <w:iCs/>
          <w:lang w:val="en-GB"/>
        </w:rPr>
        <w:t>bid</w:t>
      </w:r>
      <w:r>
        <w:rPr>
          <w:lang w:val="en-GB"/>
        </w:rPr>
        <w:t>., art. 24.</w:t>
      </w:r>
    </w:p>
  </w:footnote>
  <w:footnote w:id="49">
    <w:p w14:paraId="3325AFAD" w14:textId="58D18987" w:rsidR="0074026C" w:rsidRPr="00457BF3" w:rsidRDefault="0074026C">
      <w:pPr>
        <w:pStyle w:val="Voetnoottekst"/>
        <w:rPr>
          <w:lang w:val="en-GB"/>
        </w:rPr>
      </w:pPr>
      <w:r>
        <w:rPr>
          <w:rStyle w:val="Voetnootmarkering"/>
        </w:rPr>
        <w:footnoteRef/>
      </w:r>
      <w:r w:rsidRPr="00457BF3">
        <w:rPr>
          <w:lang w:val="en-GB"/>
        </w:rPr>
        <w:t xml:space="preserve"> </w:t>
      </w:r>
      <w:r w:rsidRPr="00457BF3">
        <w:rPr>
          <w:i/>
          <w:iCs/>
          <w:lang w:val="en-GB"/>
        </w:rPr>
        <w:t>Ibid</w:t>
      </w:r>
      <w:r w:rsidRPr="00457BF3">
        <w:rPr>
          <w:lang w:val="en-GB"/>
        </w:rPr>
        <w:t>., art. 5, 10°</w:t>
      </w:r>
      <w:r w:rsidR="00405D7B" w:rsidRPr="00457BF3">
        <w:rPr>
          <w:lang w:val="en-GB"/>
        </w:rPr>
        <w:t xml:space="preserve"> en 9, §1</w:t>
      </w:r>
      <w:r w:rsidRPr="00457BF3">
        <w:rPr>
          <w:lang w:val="en-GB"/>
        </w:rPr>
        <w:t>.</w:t>
      </w:r>
    </w:p>
  </w:footnote>
  <w:footnote w:id="50">
    <w:p w14:paraId="7DB02BE8" w14:textId="7F5FD73A" w:rsidR="00405D7B" w:rsidRPr="00405D7B" w:rsidRDefault="00405D7B">
      <w:pPr>
        <w:pStyle w:val="Voetnoottekst"/>
        <w:rPr>
          <w:lang w:val="en-GB"/>
        </w:rPr>
      </w:pPr>
      <w:r>
        <w:rPr>
          <w:rStyle w:val="Voetnootmarkering"/>
        </w:rPr>
        <w:footnoteRef/>
      </w:r>
      <w:r w:rsidRPr="00405D7B">
        <w:rPr>
          <w:lang w:val="en-GB"/>
        </w:rPr>
        <w:t xml:space="preserve"> </w:t>
      </w:r>
      <w:r w:rsidRPr="00405D7B">
        <w:rPr>
          <w:i/>
          <w:iCs/>
          <w:lang w:val="en-GB"/>
        </w:rPr>
        <w:t>Ibid</w:t>
      </w:r>
      <w:r w:rsidRPr="00405D7B">
        <w:rPr>
          <w:lang w:val="en-GB"/>
        </w:rPr>
        <w:t>., art. 9, §2.</w:t>
      </w:r>
    </w:p>
  </w:footnote>
  <w:footnote w:id="51">
    <w:p w14:paraId="3D9D71C5" w14:textId="3800A532" w:rsidR="00405D7B" w:rsidRPr="00405D7B" w:rsidRDefault="00405D7B">
      <w:pPr>
        <w:pStyle w:val="Voetnoottekst"/>
        <w:rPr>
          <w:lang w:val="en-GB"/>
        </w:rPr>
      </w:pPr>
      <w:r>
        <w:rPr>
          <w:rStyle w:val="Voetnootmarkering"/>
        </w:rPr>
        <w:footnoteRef/>
      </w:r>
      <w:r w:rsidRPr="00405D7B">
        <w:rPr>
          <w:lang w:val="en-GB"/>
        </w:rPr>
        <w:t xml:space="preserve"> </w:t>
      </w:r>
      <w:r w:rsidRPr="00405D7B">
        <w:rPr>
          <w:i/>
          <w:iCs/>
          <w:lang w:val="en-GB"/>
        </w:rPr>
        <w:t>I</w:t>
      </w:r>
      <w:r>
        <w:rPr>
          <w:i/>
          <w:iCs/>
          <w:lang w:val="en-GB"/>
        </w:rPr>
        <w:t>bid</w:t>
      </w:r>
      <w:r>
        <w:rPr>
          <w:lang w:val="en-GB"/>
        </w:rPr>
        <w:t>., art. 9, §3.</w:t>
      </w:r>
    </w:p>
  </w:footnote>
  <w:footnote w:id="52">
    <w:p w14:paraId="05629D04" w14:textId="4D4BD98E" w:rsidR="00D74D13" w:rsidRPr="00F239E5" w:rsidRDefault="00D74D13">
      <w:pPr>
        <w:pStyle w:val="Voetnoottekst"/>
        <w:rPr>
          <w:lang w:val="en-GB"/>
        </w:rPr>
      </w:pPr>
      <w:r>
        <w:rPr>
          <w:rStyle w:val="Voetnootmarkering"/>
        </w:rPr>
        <w:footnoteRef/>
      </w:r>
      <w:r w:rsidRPr="00F239E5">
        <w:rPr>
          <w:lang w:val="en-GB"/>
        </w:rPr>
        <w:t xml:space="preserve"> </w:t>
      </w:r>
      <w:r w:rsidRPr="00F239E5">
        <w:rPr>
          <w:i/>
          <w:iCs/>
          <w:lang w:val="en-GB"/>
        </w:rPr>
        <w:t>Ibid</w:t>
      </w:r>
      <w:r w:rsidRPr="00F239E5">
        <w:rPr>
          <w:lang w:val="en-GB"/>
        </w:rPr>
        <w:t>., art. 108 en 149-150.</w:t>
      </w:r>
    </w:p>
  </w:footnote>
  <w:footnote w:id="53">
    <w:p w14:paraId="01B7C227" w14:textId="6F0C0539" w:rsidR="000D128C" w:rsidRPr="00D74D13" w:rsidRDefault="000D128C">
      <w:pPr>
        <w:pStyle w:val="Voetnoottekst"/>
        <w:rPr>
          <w:lang w:val="en-GB"/>
        </w:rPr>
      </w:pPr>
      <w:r>
        <w:rPr>
          <w:rStyle w:val="Voetnootmarkering"/>
        </w:rPr>
        <w:footnoteRef/>
      </w:r>
      <w:r w:rsidRPr="00D74D13">
        <w:rPr>
          <w:lang w:val="en-GB"/>
        </w:rPr>
        <w:t xml:space="preserve"> </w:t>
      </w:r>
      <w:r w:rsidRPr="00D74D13">
        <w:rPr>
          <w:i/>
          <w:iCs/>
          <w:lang w:val="en-GB"/>
        </w:rPr>
        <w:t>Ibid</w:t>
      </w:r>
      <w:r w:rsidRPr="00D74D13">
        <w:rPr>
          <w:lang w:val="en-GB"/>
        </w:rPr>
        <w:t>., art. 8.</w:t>
      </w:r>
    </w:p>
  </w:footnote>
  <w:footnote w:id="54">
    <w:p w14:paraId="51344CE7" w14:textId="56075A28" w:rsidR="00405D7B" w:rsidRPr="00D74D13" w:rsidRDefault="00405D7B">
      <w:pPr>
        <w:pStyle w:val="Voetnoottekst"/>
        <w:rPr>
          <w:lang w:val="en-GB"/>
        </w:rPr>
      </w:pPr>
      <w:r>
        <w:rPr>
          <w:rStyle w:val="Voetnootmarkering"/>
        </w:rPr>
        <w:footnoteRef/>
      </w:r>
      <w:r w:rsidRPr="00D74D13">
        <w:rPr>
          <w:lang w:val="en-GB"/>
        </w:rPr>
        <w:t xml:space="preserve"> </w:t>
      </w:r>
      <w:r w:rsidRPr="00D74D13">
        <w:rPr>
          <w:i/>
          <w:iCs/>
          <w:lang w:val="en-GB"/>
        </w:rPr>
        <w:t>Ibid</w:t>
      </w:r>
      <w:r w:rsidRPr="00D74D13">
        <w:rPr>
          <w:lang w:val="en-GB"/>
        </w:rPr>
        <w:t>.</w:t>
      </w:r>
    </w:p>
  </w:footnote>
  <w:footnote w:id="55">
    <w:p w14:paraId="4D4EC2DF" w14:textId="77777777" w:rsidR="00357FB9" w:rsidRPr="006D494E" w:rsidRDefault="00357FB9" w:rsidP="00357FB9">
      <w:pPr>
        <w:pStyle w:val="Voetnoottekst"/>
        <w:rPr>
          <w:lang w:val="en-GB"/>
        </w:rPr>
      </w:pPr>
      <w:r>
        <w:rPr>
          <w:rStyle w:val="Voetnootmarkering"/>
        </w:rPr>
        <w:footnoteRef/>
      </w:r>
      <w:r w:rsidRPr="006D494E">
        <w:rPr>
          <w:lang w:val="en-GB"/>
        </w:rPr>
        <w:t xml:space="preserve"> </w:t>
      </w:r>
      <w:r w:rsidRPr="006D494E">
        <w:rPr>
          <w:i/>
          <w:iCs/>
          <w:lang w:val="en-GB"/>
        </w:rPr>
        <w:t>Ibid</w:t>
      </w:r>
      <w:r w:rsidRPr="006D494E">
        <w:rPr>
          <w:lang w:val="en-GB"/>
        </w:rPr>
        <w:t>., art. 10.</w:t>
      </w:r>
    </w:p>
  </w:footnote>
  <w:footnote w:id="56">
    <w:p w14:paraId="6196C79E" w14:textId="77777777" w:rsidR="00357FB9" w:rsidRPr="006D494E" w:rsidRDefault="00357FB9" w:rsidP="00357FB9">
      <w:pPr>
        <w:pStyle w:val="Voetnoottekst"/>
        <w:rPr>
          <w:iCs/>
          <w:lang w:val="en-GB"/>
        </w:rPr>
      </w:pPr>
      <w:r>
        <w:rPr>
          <w:rStyle w:val="Voetnootmarkering"/>
        </w:rPr>
        <w:footnoteRef/>
      </w:r>
      <w:r w:rsidRPr="006D494E">
        <w:rPr>
          <w:lang w:val="en-GB"/>
        </w:rPr>
        <w:t xml:space="preserve"> </w:t>
      </w:r>
      <w:r>
        <w:rPr>
          <w:i/>
          <w:lang w:val="en-GB"/>
        </w:rPr>
        <w:t>Ibid</w:t>
      </w:r>
      <w:r>
        <w:rPr>
          <w:iCs/>
          <w:lang w:val="en-GB"/>
        </w:rPr>
        <w:t>., art. 13.</w:t>
      </w:r>
    </w:p>
  </w:footnote>
  <w:footnote w:id="57">
    <w:p w14:paraId="3B86BB2A" w14:textId="1558A8C5" w:rsidR="00230439" w:rsidRPr="00230439" w:rsidRDefault="00230439">
      <w:pPr>
        <w:pStyle w:val="Voetnoottekst"/>
        <w:rPr>
          <w:lang w:val="en-GB"/>
        </w:rPr>
      </w:pPr>
      <w:r>
        <w:rPr>
          <w:rStyle w:val="Voetnootmarkering"/>
        </w:rPr>
        <w:footnoteRef/>
      </w:r>
      <w:r w:rsidRPr="00230439">
        <w:rPr>
          <w:lang w:val="en-GB"/>
        </w:rPr>
        <w:t xml:space="preserve"> </w:t>
      </w:r>
      <w:r>
        <w:rPr>
          <w:i/>
          <w:iCs/>
          <w:lang w:val="en-GB"/>
        </w:rPr>
        <w:t>Ibid</w:t>
      </w:r>
      <w:r>
        <w:rPr>
          <w:lang w:val="en-GB"/>
        </w:rPr>
        <w:t>., art. 23.</w:t>
      </w:r>
    </w:p>
  </w:footnote>
  <w:footnote w:id="58">
    <w:p w14:paraId="64930510" w14:textId="229E15E7" w:rsidR="00A80C3F" w:rsidRPr="006D494E" w:rsidRDefault="00A80C3F">
      <w:pPr>
        <w:pStyle w:val="Voetnoottekst"/>
        <w:rPr>
          <w:lang w:val="en-GB"/>
        </w:rPr>
      </w:pPr>
      <w:r>
        <w:rPr>
          <w:rStyle w:val="Voetnootmarkering"/>
        </w:rPr>
        <w:footnoteRef/>
      </w:r>
      <w:r w:rsidRPr="006D494E">
        <w:rPr>
          <w:lang w:val="en-GB"/>
        </w:rPr>
        <w:t xml:space="preserve"> </w:t>
      </w:r>
      <w:r w:rsidRPr="006D494E">
        <w:rPr>
          <w:i/>
          <w:iCs/>
          <w:lang w:val="en-GB"/>
        </w:rPr>
        <w:t>Ibid</w:t>
      </w:r>
      <w:r w:rsidRPr="006D494E">
        <w:rPr>
          <w:lang w:val="en-GB"/>
        </w:rPr>
        <w:t>., art. 15.</w:t>
      </w:r>
    </w:p>
  </w:footnote>
  <w:footnote w:id="59">
    <w:p w14:paraId="2E66D7BD" w14:textId="42041CE5" w:rsidR="00D045AB" w:rsidRPr="00D74D13" w:rsidRDefault="00D045AB">
      <w:pPr>
        <w:pStyle w:val="Voetnoottekst"/>
        <w:rPr>
          <w:lang w:val="en-GB"/>
        </w:rPr>
      </w:pPr>
      <w:r>
        <w:rPr>
          <w:rStyle w:val="Voetnootmarkering"/>
        </w:rPr>
        <w:footnoteRef/>
      </w:r>
      <w:r w:rsidRPr="00D74D13">
        <w:rPr>
          <w:lang w:val="en-GB"/>
        </w:rPr>
        <w:t xml:space="preserve"> </w:t>
      </w:r>
      <w:r w:rsidRPr="00D74D13">
        <w:rPr>
          <w:i/>
          <w:iCs/>
          <w:lang w:val="en-GB"/>
        </w:rPr>
        <w:t>Ibid</w:t>
      </w:r>
      <w:r w:rsidRPr="00D74D13">
        <w:rPr>
          <w:lang w:val="en-GB"/>
        </w:rPr>
        <w:t>., art. 22.</w:t>
      </w:r>
    </w:p>
  </w:footnote>
  <w:footnote w:id="60">
    <w:p w14:paraId="79EEE1EC" w14:textId="3DB0A252" w:rsidR="00A80C3F" w:rsidRPr="00D74D13" w:rsidRDefault="00A80C3F">
      <w:pPr>
        <w:pStyle w:val="Voetnoottekst"/>
        <w:rPr>
          <w:lang w:val="en-GB"/>
        </w:rPr>
      </w:pPr>
      <w:r>
        <w:rPr>
          <w:rStyle w:val="Voetnootmarkering"/>
        </w:rPr>
        <w:footnoteRef/>
      </w:r>
      <w:r w:rsidRPr="00D74D13">
        <w:rPr>
          <w:lang w:val="en-GB"/>
        </w:rPr>
        <w:t xml:space="preserve"> </w:t>
      </w:r>
      <w:r w:rsidRPr="00D74D13">
        <w:rPr>
          <w:i/>
          <w:iCs/>
          <w:lang w:val="en-GB"/>
        </w:rPr>
        <w:t>Ibid</w:t>
      </w:r>
      <w:r w:rsidRPr="00D74D13">
        <w:rPr>
          <w:lang w:val="en-GB"/>
        </w:rPr>
        <w:t>., art. 16.</w:t>
      </w:r>
    </w:p>
  </w:footnote>
  <w:footnote w:id="61">
    <w:p w14:paraId="15FAC267" w14:textId="0BFA4061" w:rsidR="00E17C67" w:rsidRPr="00D74D13" w:rsidRDefault="00E17C67">
      <w:pPr>
        <w:pStyle w:val="Voetnoottekst"/>
        <w:rPr>
          <w:lang w:val="en-GB"/>
        </w:rPr>
      </w:pPr>
      <w:r>
        <w:rPr>
          <w:rStyle w:val="Voetnootmarkering"/>
        </w:rPr>
        <w:footnoteRef/>
      </w:r>
      <w:r w:rsidRPr="00D74D13">
        <w:rPr>
          <w:lang w:val="en-GB"/>
        </w:rPr>
        <w:t xml:space="preserve"> </w:t>
      </w:r>
      <w:r w:rsidRPr="00D74D13">
        <w:rPr>
          <w:i/>
          <w:iCs/>
          <w:lang w:val="en-GB"/>
        </w:rPr>
        <w:t>Ibid</w:t>
      </w:r>
      <w:r w:rsidRPr="00D74D13">
        <w:rPr>
          <w:lang w:val="en-GB"/>
        </w:rPr>
        <w:t>., art. 18.</w:t>
      </w:r>
    </w:p>
  </w:footnote>
  <w:footnote w:id="62">
    <w:p w14:paraId="56E5E5B3" w14:textId="21CB92DE" w:rsidR="006D494E" w:rsidRPr="00D74D13" w:rsidRDefault="006D494E">
      <w:pPr>
        <w:pStyle w:val="Voetnoottekst"/>
        <w:rPr>
          <w:lang w:val="en-GB"/>
        </w:rPr>
      </w:pPr>
      <w:r>
        <w:rPr>
          <w:rStyle w:val="Voetnootmarkering"/>
        </w:rPr>
        <w:footnoteRef/>
      </w:r>
      <w:r w:rsidRPr="00D74D13">
        <w:rPr>
          <w:lang w:val="en-GB"/>
        </w:rPr>
        <w:t xml:space="preserve"> </w:t>
      </w:r>
      <w:r w:rsidRPr="00D74D13">
        <w:rPr>
          <w:i/>
          <w:iCs/>
          <w:lang w:val="en-GB"/>
        </w:rPr>
        <w:t>Ibid</w:t>
      </w:r>
      <w:r w:rsidRPr="00D74D13">
        <w:rPr>
          <w:lang w:val="en-GB"/>
        </w:rPr>
        <w:t>., art. 12.</w:t>
      </w:r>
    </w:p>
  </w:footnote>
  <w:footnote w:id="63">
    <w:p w14:paraId="5134C5C0" w14:textId="31E78C8A" w:rsidR="006D494E" w:rsidRPr="00D74D13" w:rsidRDefault="006D494E">
      <w:pPr>
        <w:pStyle w:val="Voetnoottekst"/>
        <w:rPr>
          <w:lang w:val="en-GB"/>
        </w:rPr>
      </w:pPr>
      <w:r>
        <w:rPr>
          <w:rStyle w:val="Voetnootmarkering"/>
        </w:rPr>
        <w:footnoteRef/>
      </w:r>
      <w:r w:rsidRPr="00D74D13">
        <w:rPr>
          <w:lang w:val="en-GB"/>
        </w:rPr>
        <w:t xml:space="preserve"> </w:t>
      </w:r>
      <w:r w:rsidRPr="00D74D13">
        <w:rPr>
          <w:i/>
          <w:iCs/>
          <w:lang w:val="en-GB"/>
        </w:rPr>
        <w:t>Ibid</w:t>
      </w:r>
      <w:r w:rsidRPr="00D74D13">
        <w:rPr>
          <w:lang w:val="en-GB"/>
        </w:rPr>
        <w:t xml:space="preserve">., art. </w:t>
      </w:r>
      <w:r w:rsidR="008C3AFA" w:rsidRPr="00D74D13">
        <w:rPr>
          <w:lang w:val="en-GB"/>
        </w:rPr>
        <w:t>17.</w:t>
      </w:r>
    </w:p>
  </w:footnote>
  <w:footnote w:id="64">
    <w:p w14:paraId="0DAE4379" w14:textId="54F0E617" w:rsidR="003A3F5E" w:rsidRPr="00D74D13" w:rsidRDefault="003A3F5E">
      <w:pPr>
        <w:pStyle w:val="Voetnoottekst"/>
        <w:rPr>
          <w:lang w:val="en-GB"/>
        </w:rPr>
      </w:pPr>
      <w:r>
        <w:rPr>
          <w:rStyle w:val="Voetnootmarkering"/>
        </w:rPr>
        <w:footnoteRef/>
      </w:r>
      <w:r w:rsidRPr="00D74D13">
        <w:rPr>
          <w:lang w:val="en-GB"/>
        </w:rPr>
        <w:t xml:space="preserve"> </w:t>
      </w:r>
      <w:r w:rsidRPr="00D74D13">
        <w:rPr>
          <w:i/>
          <w:iCs/>
          <w:lang w:val="en-GB"/>
        </w:rPr>
        <w:t>Ibid</w:t>
      </w:r>
      <w:r w:rsidRPr="00D74D13">
        <w:rPr>
          <w:lang w:val="en-GB"/>
        </w:rPr>
        <w:t>., art. 28.</w:t>
      </w:r>
    </w:p>
  </w:footnote>
  <w:footnote w:id="65">
    <w:p w14:paraId="044D804C" w14:textId="1DA9BD28" w:rsidR="00B51540" w:rsidRPr="00D74D13" w:rsidRDefault="00B51540">
      <w:pPr>
        <w:pStyle w:val="Voetnoottekst"/>
        <w:rPr>
          <w:lang w:val="en-GB"/>
        </w:rPr>
      </w:pPr>
      <w:r>
        <w:rPr>
          <w:rStyle w:val="Voetnootmarkering"/>
        </w:rPr>
        <w:footnoteRef/>
      </w:r>
      <w:r w:rsidRPr="00D74D13">
        <w:rPr>
          <w:lang w:val="en-GB"/>
        </w:rPr>
        <w:t xml:space="preserve"> </w:t>
      </w:r>
      <w:r w:rsidRPr="00D74D13">
        <w:rPr>
          <w:i/>
          <w:iCs/>
          <w:lang w:val="en-GB"/>
        </w:rPr>
        <w:t>Ibid</w:t>
      </w:r>
      <w:r w:rsidRPr="00D74D13">
        <w:rPr>
          <w:lang w:val="en-GB"/>
        </w:rPr>
        <w:t>., art. 29, §1.</w:t>
      </w:r>
    </w:p>
  </w:footnote>
  <w:footnote w:id="66">
    <w:p w14:paraId="5965D9EE" w14:textId="42F02D18" w:rsidR="00B51540" w:rsidRPr="00457BF3" w:rsidRDefault="00B51540">
      <w:pPr>
        <w:pStyle w:val="Voetnoottekst"/>
        <w:rPr>
          <w:lang w:val="en-GB"/>
        </w:rPr>
      </w:pPr>
      <w:r>
        <w:rPr>
          <w:rStyle w:val="Voetnootmarkering"/>
        </w:rPr>
        <w:footnoteRef/>
      </w:r>
      <w:r w:rsidRPr="00457BF3">
        <w:rPr>
          <w:lang w:val="en-GB"/>
        </w:rPr>
        <w:t xml:space="preserve"> </w:t>
      </w:r>
      <w:r w:rsidRPr="00457BF3">
        <w:rPr>
          <w:i/>
          <w:iCs/>
          <w:lang w:val="en-GB"/>
        </w:rPr>
        <w:t>Ibid</w:t>
      </w:r>
      <w:r w:rsidRPr="00457BF3">
        <w:rPr>
          <w:lang w:val="en-GB"/>
        </w:rPr>
        <w:t>., art. 31, §1.</w:t>
      </w:r>
    </w:p>
  </w:footnote>
  <w:footnote w:id="67">
    <w:p w14:paraId="3A0C6843" w14:textId="69C7E83C" w:rsidR="00E3007E" w:rsidRPr="00D74D13" w:rsidRDefault="00E3007E" w:rsidP="00E3007E">
      <w:pPr>
        <w:pStyle w:val="Voetnoottekst"/>
        <w:rPr>
          <w:lang w:val="de-DE"/>
        </w:rPr>
      </w:pPr>
      <w:r>
        <w:rPr>
          <w:rStyle w:val="Voetnootmarkering"/>
        </w:rPr>
        <w:footnoteRef/>
      </w:r>
      <w:r w:rsidRPr="00D74D13">
        <w:rPr>
          <w:lang w:val="de-DE"/>
        </w:rPr>
        <w:t xml:space="preserve"> </w:t>
      </w:r>
      <w:r w:rsidRPr="00D74D13">
        <w:rPr>
          <w:i/>
          <w:iCs/>
          <w:lang w:val="de-DE"/>
        </w:rPr>
        <w:t>Ibid.</w:t>
      </w:r>
      <w:r w:rsidRPr="00D74D13">
        <w:rPr>
          <w:lang w:val="de-DE"/>
        </w:rPr>
        <w:t xml:space="preserve">, art. </w:t>
      </w:r>
      <w:r w:rsidR="00DD11F0" w:rsidRPr="00D74D13">
        <w:rPr>
          <w:lang w:val="de-DE"/>
        </w:rPr>
        <w:t>59 en 72</w:t>
      </w:r>
      <w:r w:rsidRPr="00D74D13">
        <w:rPr>
          <w:lang w:val="de-DE"/>
        </w:rPr>
        <w:t>.</w:t>
      </w:r>
    </w:p>
  </w:footnote>
  <w:footnote w:id="68">
    <w:p w14:paraId="2E2C21DF" w14:textId="311A5C97" w:rsidR="00DD11F0" w:rsidRPr="00D74D13" w:rsidRDefault="00DD11F0">
      <w:pPr>
        <w:pStyle w:val="Voetnoottekst"/>
        <w:rPr>
          <w:lang w:val="de-DE"/>
        </w:rPr>
      </w:pPr>
      <w:r>
        <w:rPr>
          <w:rStyle w:val="Voetnootmarkering"/>
        </w:rPr>
        <w:footnoteRef/>
      </w:r>
      <w:r w:rsidRPr="00D74D13">
        <w:rPr>
          <w:lang w:val="de-DE"/>
        </w:rPr>
        <w:t xml:space="preserve"> </w:t>
      </w:r>
      <w:r w:rsidRPr="00D74D13">
        <w:rPr>
          <w:i/>
          <w:iCs/>
          <w:lang w:val="de-DE"/>
        </w:rPr>
        <w:t>Ibid</w:t>
      </w:r>
      <w:r w:rsidRPr="00D74D13">
        <w:rPr>
          <w:lang w:val="de-DE"/>
        </w:rPr>
        <w:t>., art. 61</w:t>
      </w:r>
      <w:r w:rsidR="00AA3F9F" w:rsidRPr="00D74D13">
        <w:rPr>
          <w:lang w:val="de-DE"/>
        </w:rPr>
        <w:t xml:space="preserve"> en 75.</w:t>
      </w:r>
    </w:p>
  </w:footnote>
  <w:footnote w:id="69">
    <w:p w14:paraId="27D58CDC" w14:textId="299B1DB8" w:rsidR="009B62FF" w:rsidRPr="00D74D13" w:rsidRDefault="009B62FF">
      <w:pPr>
        <w:pStyle w:val="Voetnoottekst"/>
        <w:rPr>
          <w:lang w:val="de-DE"/>
        </w:rPr>
      </w:pPr>
      <w:r>
        <w:rPr>
          <w:rStyle w:val="Voetnootmarkering"/>
        </w:rPr>
        <w:footnoteRef/>
      </w:r>
      <w:r w:rsidRPr="00D74D13">
        <w:rPr>
          <w:lang w:val="de-DE"/>
        </w:rPr>
        <w:t xml:space="preserve"> </w:t>
      </w:r>
      <w:r w:rsidRPr="00D74D13">
        <w:rPr>
          <w:i/>
          <w:iCs/>
          <w:lang w:val="de-DE"/>
        </w:rPr>
        <w:t>Ibid</w:t>
      </w:r>
      <w:r w:rsidRPr="00D74D13">
        <w:rPr>
          <w:lang w:val="de-DE"/>
        </w:rPr>
        <w:t>., art. 62 en 76.</w:t>
      </w:r>
    </w:p>
  </w:footnote>
  <w:footnote w:id="70">
    <w:p w14:paraId="376233FD" w14:textId="1DCED383" w:rsidR="009B62FF" w:rsidRPr="00D74D13" w:rsidRDefault="009B62FF">
      <w:pPr>
        <w:pStyle w:val="Voetnoottekst"/>
        <w:rPr>
          <w:lang w:val="de-DE"/>
        </w:rPr>
      </w:pPr>
      <w:r>
        <w:rPr>
          <w:rStyle w:val="Voetnootmarkering"/>
        </w:rPr>
        <w:footnoteRef/>
      </w:r>
      <w:r w:rsidRPr="00D74D13">
        <w:rPr>
          <w:lang w:val="de-DE"/>
        </w:rPr>
        <w:t xml:space="preserve"> </w:t>
      </w:r>
      <w:r w:rsidRPr="00D74D13">
        <w:rPr>
          <w:i/>
          <w:iCs/>
          <w:lang w:val="de-DE"/>
        </w:rPr>
        <w:t>Ibid</w:t>
      </w:r>
      <w:r w:rsidRPr="00D74D13">
        <w:rPr>
          <w:lang w:val="de-DE"/>
        </w:rPr>
        <w:t>., art. 65 en 79.</w:t>
      </w:r>
    </w:p>
  </w:footnote>
  <w:footnote w:id="71">
    <w:p w14:paraId="7AAEAAFD" w14:textId="68C14826" w:rsidR="009B62FF" w:rsidRPr="00D74D13" w:rsidRDefault="009B62FF">
      <w:pPr>
        <w:pStyle w:val="Voetnoottekst"/>
        <w:rPr>
          <w:lang w:val="de-DE"/>
        </w:rPr>
      </w:pPr>
      <w:r>
        <w:rPr>
          <w:rStyle w:val="Voetnootmarkering"/>
        </w:rPr>
        <w:footnoteRef/>
      </w:r>
      <w:r w:rsidRPr="00D74D13">
        <w:rPr>
          <w:lang w:val="de-DE"/>
        </w:rPr>
        <w:t xml:space="preserve"> </w:t>
      </w:r>
      <w:r w:rsidRPr="00D74D13">
        <w:rPr>
          <w:i/>
          <w:iCs/>
          <w:lang w:val="de-DE"/>
        </w:rPr>
        <w:t>Ibid</w:t>
      </w:r>
      <w:r w:rsidRPr="00D74D13">
        <w:rPr>
          <w:lang w:val="de-DE"/>
        </w:rPr>
        <w:t>., art.</w:t>
      </w:r>
      <w:r w:rsidR="009B7F37" w:rsidRPr="00D74D13">
        <w:rPr>
          <w:lang w:val="de-DE"/>
        </w:rPr>
        <w:t>67 en 81.</w:t>
      </w:r>
    </w:p>
  </w:footnote>
  <w:footnote w:id="72">
    <w:p w14:paraId="1D6CBCD6" w14:textId="6D8BD4F3" w:rsidR="009B7F37" w:rsidRPr="00D74D13" w:rsidRDefault="009B7F37">
      <w:pPr>
        <w:pStyle w:val="Voetnoottekst"/>
        <w:rPr>
          <w:lang w:val="de-DE"/>
        </w:rPr>
      </w:pPr>
      <w:r>
        <w:rPr>
          <w:rStyle w:val="Voetnootmarkering"/>
        </w:rPr>
        <w:footnoteRef/>
      </w:r>
      <w:r w:rsidRPr="00D74D13">
        <w:rPr>
          <w:lang w:val="de-DE"/>
        </w:rPr>
        <w:t xml:space="preserve"> </w:t>
      </w:r>
      <w:r w:rsidRPr="00D74D13">
        <w:rPr>
          <w:i/>
          <w:iCs/>
          <w:lang w:val="de-DE"/>
        </w:rPr>
        <w:t>Ibid</w:t>
      </w:r>
      <w:r w:rsidRPr="00D74D13">
        <w:rPr>
          <w:lang w:val="de-DE"/>
        </w:rPr>
        <w:t>., art. 68 en 82.</w:t>
      </w:r>
    </w:p>
  </w:footnote>
  <w:footnote w:id="73">
    <w:p w14:paraId="342EC308" w14:textId="001CAC0C" w:rsidR="00ED011B" w:rsidRPr="00D74D13" w:rsidRDefault="00ED011B">
      <w:pPr>
        <w:pStyle w:val="Voetnoottekst"/>
        <w:rPr>
          <w:lang w:val="de-DE"/>
        </w:rPr>
      </w:pPr>
      <w:r>
        <w:rPr>
          <w:rStyle w:val="Voetnootmarkering"/>
        </w:rPr>
        <w:footnoteRef/>
      </w:r>
      <w:r w:rsidRPr="00D74D13">
        <w:rPr>
          <w:lang w:val="de-DE"/>
        </w:rPr>
        <w:t xml:space="preserve"> </w:t>
      </w:r>
      <w:r w:rsidRPr="00D74D13">
        <w:rPr>
          <w:i/>
          <w:iCs/>
          <w:lang w:val="de-DE"/>
        </w:rPr>
        <w:t>Ibid</w:t>
      </w:r>
      <w:r w:rsidRPr="00D74D13">
        <w:rPr>
          <w:lang w:val="de-DE"/>
        </w:rPr>
        <w:t>., art. 69 en 83.</w:t>
      </w:r>
    </w:p>
  </w:footnote>
  <w:footnote w:id="74">
    <w:p w14:paraId="055F59E5" w14:textId="2743395F" w:rsidR="00685CD5" w:rsidRPr="00D74D13" w:rsidRDefault="00685CD5">
      <w:pPr>
        <w:pStyle w:val="Voetnoottekst"/>
        <w:rPr>
          <w:lang w:val="de-DE"/>
        </w:rPr>
      </w:pPr>
      <w:r>
        <w:rPr>
          <w:rStyle w:val="Voetnootmarkering"/>
        </w:rPr>
        <w:footnoteRef/>
      </w:r>
      <w:r w:rsidRPr="00D74D13">
        <w:rPr>
          <w:lang w:val="de-DE"/>
        </w:rPr>
        <w:t xml:space="preserve"> </w:t>
      </w:r>
      <w:r w:rsidRPr="00D74D13">
        <w:rPr>
          <w:i/>
          <w:iCs/>
          <w:lang w:val="de-DE"/>
        </w:rPr>
        <w:t>Ibid</w:t>
      </w:r>
      <w:r w:rsidRPr="00D74D13">
        <w:rPr>
          <w:lang w:val="de-DE"/>
        </w:rPr>
        <w:t>., art. 86-87.</w:t>
      </w:r>
    </w:p>
  </w:footnote>
  <w:footnote w:id="75">
    <w:p w14:paraId="10752A37" w14:textId="0EDC9738" w:rsidR="00685CD5" w:rsidRPr="00447122" w:rsidRDefault="00685CD5">
      <w:pPr>
        <w:pStyle w:val="Voetnoottekst"/>
        <w:rPr>
          <w:lang w:val="de-DE"/>
        </w:rPr>
      </w:pPr>
      <w:r>
        <w:rPr>
          <w:rStyle w:val="Voetnootmarkering"/>
        </w:rPr>
        <w:footnoteRef/>
      </w:r>
      <w:r w:rsidRPr="00447122">
        <w:rPr>
          <w:lang w:val="de-DE"/>
        </w:rPr>
        <w:t xml:space="preserve"> </w:t>
      </w:r>
      <w:r w:rsidRPr="00447122">
        <w:rPr>
          <w:i/>
          <w:iCs/>
          <w:lang w:val="de-DE"/>
        </w:rPr>
        <w:t>Ibid</w:t>
      </w:r>
      <w:r w:rsidRPr="00447122">
        <w:rPr>
          <w:lang w:val="de-DE"/>
        </w:rPr>
        <w:t>., art. 89</w:t>
      </w:r>
      <w:r w:rsidR="000857A7" w:rsidRPr="00447122">
        <w:rPr>
          <w:lang w:val="de-DE"/>
        </w:rPr>
        <w:t xml:space="preserve"> en 109</w:t>
      </w:r>
      <w:r w:rsidRPr="00447122">
        <w:rPr>
          <w:lang w:val="de-DE"/>
        </w:rPr>
        <w:t>.</w:t>
      </w:r>
    </w:p>
  </w:footnote>
  <w:footnote w:id="76">
    <w:p w14:paraId="2F4603A0" w14:textId="55DA716C" w:rsidR="00447122" w:rsidRPr="00447122" w:rsidRDefault="00447122">
      <w:pPr>
        <w:pStyle w:val="Voetnoottekst"/>
        <w:rPr>
          <w:lang w:val="en-GB"/>
        </w:rPr>
      </w:pPr>
      <w:r>
        <w:rPr>
          <w:rStyle w:val="Voetnootmarkering"/>
        </w:rPr>
        <w:footnoteRef/>
      </w:r>
      <w:r w:rsidRPr="00447122">
        <w:rPr>
          <w:lang w:val="en-GB"/>
        </w:rPr>
        <w:t xml:space="preserve"> </w:t>
      </w:r>
      <w:r w:rsidRPr="00447122">
        <w:rPr>
          <w:i/>
          <w:iCs/>
          <w:lang w:val="en-GB"/>
        </w:rPr>
        <w:t>I</w:t>
      </w:r>
      <w:r>
        <w:rPr>
          <w:i/>
          <w:iCs/>
          <w:lang w:val="en-GB"/>
        </w:rPr>
        <w:t>bid</w:t>
      </w:r>
      <w:r>
        <w:rPr>
          <w:lang w:val="en-GB"/>
        </w:rPr>
        <w:t>., art. 94.</w:t>
      </w:r>
    </w:p>
  </w:footnote>
  <w:footnote w:id="77">
    <w:p w14:paraId="4B3890A5" w14:textId="46DFF799" w:rsidR="00447122" w:rsidRPr="00447122" w:rsidRDefault="00447122" w:rsidP="00447122">
      <w:pPr>
        <w:pStyle w:val="Voetnoottekst"/>
        <w:rPr>
          <w:lang w:val="en-GB"/>
        </w:rPr>
      </w:pPr>
      <w:r>
        <w:rPr>
          <w:rStyle w:val="Voetnootmarkering"/>
        </w:rPr>
        <w:footnoteRef/>
      </w:r>
      <w:r w:rsidRPr="00447122">
        <w:rPr>
          <w:lang w:val="en-GB"/>
        </w:rPr>
        <w:t xml:space="preserve"> </w:t>
      </w:r>
      <w:r w:rsidRPr="00447122">
        <w:rPr>
          <w:i/>
          <w:iCs/>
          <w:lang w:val="en-GB"/>
        </w:rPr>
        <w:t>Ibid</w:t>
      </w:r>
      <w:r w:rsidRPr="00447122">
        <w:rPr>
          <w:lang w:val="en-GB"/>
        </w:rPr>
        <w:t>.</w:t>
      </w:r>
    </w:p>
  </w:footnote>
  <w:footnote w:id="78">
    <w:p w14:paraId="6CF7B918" w14:textId="6A5811FE" w:rsidR="00447122" w:rsidRPr="00447122" w:rsidRDefault="00447122">
      <w:pPr>
        <w:pStyle w:val="Voetnoottekst"/>
        <w:rPr>
          <w:lang w:val="en-GB"/>
        </w:rPr>
      </w:pPr>
      <w:r>
        <w:rPr>
          <w:rStyle w:val="Voetnootmarkering"/>
        </w:rPr>
        <w:footnoteRef/>
      </w:r>
      <w:r w:rsidRPr="00447122">
        <w:rPr>
          <w:lang w:val="en-GB"/>
        </w:rPr>
        <w:t xml:space="preserve"> </w:t>
      </w:r>
      <w:r>
        <w:rPr>
          <w:i/>
          <w:iCs/>
          <w:lang w:val="en-GB"/>
        </w:rPr>
        <w:t>Ibid</w:t>
      </w:r>
      <w:r>
        <w:rPr>
          <w:lang w:val="en-GB"/>
        </w:rPr>
        <w:t>., art. 99.</w:t>
      </w:r>
    </w:p>
  </w:footnote>
  <w:footnote w:id="79">
    <w:p w14:paraId="569DD82F" w14:textId="0B3432AE" w:rsidR="00447122" w:rsidRPr="002358E0" w:rsidRDefault="00447122">
      <w:pPr>
        <w:pStyle w:val="Voetnoottekst"/>
        <w:rPr>
          <w:lang w:val="de-DE"/>
        </w:rPr>
      </w:pPr>
      <w:r>
        <w:rPr>
          <w:rStyle w:val="Voetnootmarkering"/>
        </w:rPr>
        <w:footnoteRef/>
      </w:r>
      <w:r w:rsidRPr="002358E0">
        <w:rPr>
          <w:lang w:val="de-DE"/>
        </w:rPr>
        <w:t xml:space="preserve"> </w:t>
      </w:r>
      <w:r w:rsidRPr="002358E0">
        <w:rPr>
          <w:i/>
          <w:iCs/>
          <w:lang w:val="de-DE"/>
        </w:rPr>
        <w:t>Ibid</w:t>
      </w:r>
      <w:r w:rsidRPr="002358E0">
        <w:rPr>
          <w:lang w:val="de-DE"/>
        </w:rPr>
        <w:t>., art. 154</w:t>
      </w:r>
      <w:r w:rsidR="002358E0" w:rsidRPr="002358E0">
        <w:rPr>
          <w:lang w:val="de-DE"/>
        </w:rPr>
        <w:t xml:space="preserve">, </w:t>
      </w:r>
      <w:r w:rsidRPr="002358E0">
        <w:rPr>
          <w:lang w:val="de-DE"/>
        </w:rPr>
        <w:t>158</w:t>
      </w:r>
      <w:r w:rsidR="002358E0">
        <w:rPr>
          <w:lang w:val="de-DE"/>
        </w:rPr>
        <w:t xml:space="preserve">, </w:t>
      </w:r>
      <w:r w:rsidR="002358E0" w:rsidRPr="002358E0">
        <w:rPr>
          <w:lang w:val="de-DE"/>
        </w:rPr>
        <w:t>162</w:t>
      </w:r>
      <w:r w:rsidR="002358E0">
        <w:rPr>
          <w:lang w:val="de-DE"/>
        </w:rPr>
        <w:t xml:space="preserve"> en 168</w:t>
      </w:r>
      <w:r w:rsidRPr="002358E0">
        <w:rPr>
          <w:lang w:val="de-DE"/>
        </w:rPr>
        <w:t>.</w:t>
      </w:r>
    </w:p>
  </w:footnote>
  <w:footnote w:id="80">
    <w:p w14:paraId="6934E066" w14:textId="1DD24AB8" w:rsidR="00B27DC1" w:rsidRPr="002358E0" w:rsidRDefault="00B27DC1">
      <w:pPr>
        <w:pStyle w:val="Voetnoottekst"/>
        <w:rPr>
          <w:lang w:val="de-DE"/>
        </w:rPr>
      </w:pPr>
      <w:r>
        <w:rPr>
          <w:rStyle w:val="Voetnootmarkering"/>
        </w:rPr>
        <w:footnoteRef/>
      </w:r>
      <w:r w:rsidRPr="002358E0">
        <w:rPr>
          <w:lang w:val="de-DE"/>
        </w:rPr>
        <w:t xml:space="preserve"> </w:t>
      </w:r>
      <w:r w:rsidRPr="002358E0">
        <w:rPr>
          <w:i/>
          <w:iCs/>
          <w:lang w:val="de-DE"/>
        </w:rPr>
        <w:t>Ibid</w:t>
      </w:r>
      <w:r w:rsidRPr="002358E0">
        <w:rPr>
          <w:lang w:val="de-DE"/>
        </w:rPr>
        <w:t>., art. 98</w:t>
      </w:r>
      <w:r w:rsidR="002358E0" w:rsidRPr="002358E0">
        <w:rPr>
          <w:lang w:val="de-DE"/>
        </w:rPr>
        <w:t>,</w:t>
      </w:r>
      <w:r w:rsidRPr="002358E0">
        <w:rPr>
          <w:lang w:val="de-DE"/>
        </w:rPr>
        <w:t xml:space="preserve"> 103</w:t>
      </w:r>
      <w:r w:rsidR="002358E0" w:rsidRPr="002358E0">
        <w:rPr>
          <w:lang w:val="de-DE"/>
        </w:rPr>
        <w:t>, 157 en 161</w:t>
      </w:r>
      <w:r w:rsidRPr="002358E0">
        <w:rPr>
          <w:lang w:val="de-DE"/>
        </w:rPr>
        <w:t>.</w:t>
      </w:r>
    </w:p>
  </w:footnote>
  <w:footnote w:id="81">
    <w:p w14:paraId="41FFAA25" w14:textId="055635B3" w:rsidR="00B27DC1" w:rsidRPr="00D74D13" w:rsidRDefault="00B27DC1">
      <w:pPr>
        <w:pStyle w:val="Voetnoottekst"/>
        <w:rPr>
          <w:lang w:val="de-DE"/>
        </w:rPr>
      </w:pPr>
      <w:r>
        <w:rPr>
          <w:rStyle w:val="Voetnootmarkering"/>
        </w:rPr>
        <w:footnoteRef/>
      </w:r>
      <w:r w:rsidRPr="00D74D13">
        <w:rPr>
          <w:lang w:val="de-DE"/>
        </w:rPr>
        <w:t xml:space="preserve"> </w:t>
      </w:r>
      <w:r w:rsidRPr="00D74D13">
        <w:rPr>
          <w:i/>
          <w:iCs/>
          <w:lang w:val="de-DE"/>
        </w:rPr>
        <w:t>Ibid</w:t>
      </w:r>
      <w:r w:rsidRPr="00D74D13">
        <w:rPr>
          <w:lang w:val="de-DE"/>
        </w:rPr>
        <w:t>., art. 108</w:t>
      </w:r>
      <w:r w:rsidR="00447122" w:rsidRPr="00D74D13">
        <w:rPr>
          <w:lang w:val="de-DE"/>
        </w:rPr>
        <w:t xml:space="preserve"> en 149</w:t>
      </w:r>
      <w:r w:rsidRPr="00D74D13">
        <w:rPr>
          <w:lang w:val="de-DE"/>
        </w:rPr>
        <w:t>.</w:t>
      </w:r>
    </w:p>
  </w:footnote>
  <w:footnote w:id="82">
    <w:p w14:paraId="4AA6F26B" w14:textId="2079BECD" w:rsidR="00447122" w:rsidRPr="00D74D13" w:rsidRDefault="00447122">
      <w:pPr>
        <w:pStyle w:val="Voetnoottekst"/>
        <w:rPr>
          <w:lang w:val="de-DE"/>
        </w:rPr>
      </w:pPr>
      <w:r>
        <w:rPr>
          <w:rStyle w:val="Voetnootmarkering"/>
        </w:rPr>
        <w:footnoteRef/>
      </w:r>
      <w:r w:rsidRPr="00D74D13">
        <w:rPr>
          <w:lang w:val="de-DE"/>
        </w:rPr>
        <w:t xml:space="preserve"> </w:t>
      </w:r>
      <w:r w:rsidRPr="00D74D13">
        <w:rPr>
          <w:i/>
          <w:iCs/>
          <w:lang w:val="de-DE"/>
        </w:rPr>
        <w:t>Ibid</w:t>
      </w:r>
      <w:r w:rsidRPr="00D74D13">
        <w:rPr>
          <w:lang w:val="de-DE"/>
        </w:rPr>
        <w:t>., art. 150</w:t>
      </w:r>
      <w:r w:rsidR="00770070" w:rsidRPr="00D74D13">
        <w:rPr>
          <w:lang w:val="de-DE"/>
        </w:rPr>
        <w:t xml:space="preserve"> en 182</w:t>
      </w:r>
      <w:r w:rsidRPr="00D74D13">
        <w:rPr>
          <w:lang w:val="de-DE"/>
        </w:rPr>
        <w:t>.</w:t>
      </w:r>
    </w:p>
  </w:footnote>
  <w:footnote w:id="83">
    <w:p w14:paraId="4C23D0A0" w14:textId="48B5747B" w:rsidR="000857A7" w:rsidRPr="00447122" w:rsidRDefault="000857A7">
      <w:pPr>
        <w:pStyle w:val="Voetnoottekst"/>
        <w:rPr>
          <w:lang w:val="en-GB"/>
        </w:rPr>
      </w:pPr>
      <w:r>
        <w:rPr>
          <w:rStyle w:val="Voetnootmarkering"/>
        </w:rPr>
        <w:footnoteRef/>
      </w:r>
      <w:r w:rsidRPr="00447122">
        <w:rPr>
          <w:lang w:val="en-GB"/>
        </w:rPr>
        <w:t xml:space="preserve"> </w:t>
      </w:r>
      <w:r w:rsidRPr="00447122">
        <w:rPr>
          <w:i/>
          <w:iCs/>
          <w:lang w:val="en-GB"/>
        </w:rPr>
        <w:t>Ibid</w:t>
      </w:r>
      <w:r w:rsidRPr="00447122">
        <w:rPr>
          <w:lang w:val="en-GB"/>
        </w:rPr>
        <w:t>., art. 112.</w:t>
      </w:r>
    </w:p>
  </w:footnote>
  <w:footnote w:id="84">
    <w:p w14:paraId="29C3A933" w14:textId="7B9C8D86" w:rsidR="00E25C88" w:rsidRPr="00447122" w:rsidRDefault="00E25C88">
      <w:pPr>
        <w:pStyle w:val="Voetnoottekst"/>
        <w:rPr>
          <w:lang w:val="en-GB"/>
        </w:rPr>
      </w:pPr>
      <w:r>
        <w:rPr>
          <w:rStyle w:val="Voetnootmarkering"/>
        </w:rPr>
        <w:footnoteRef/>
      </w:r>
      <w:r w:rsidRPr="00447122">
        <w:rPr>
          <w:lang w:val="en-GB"/>
        </w:rPr>
        <w:t xml:space="preserve"> </w:t>
      </w:r>
      <w:r w:rsidRPr="00447122">
        <w:rPr>
          <w:i/>
          <w:iCs/>
          <w:lang w:val="en-GB"/>
        </w:rPr>
        <w:t>Ibid</w:t>
      </w:r>
      <w:r w:rsidRPr="00447122">
        <w:rPr>
          <w:lang w:val="en-GB"/>
        </w:rPr>
        <w:t>., art. 117.</w:t>
      </w:r>
    </w:p>
  </w:footnote>
  <w:footnote w:id="85">
    <w:p w14:paraId="55FED946" w14:textId="1EADD9E1" w:rsidR="002358E0" w:rsidRPr="00D74D13" w:rsidRDefault="002358E0">
      <w:pPr>
        <w:pStyle w:val="Voetnoottekst"/>
        <w:rPr>
          <w:lang w:val="en-GB"/>
        </w:rPr>
      </w:pPr>
      <w:r>
        <w:rPr>
          <w:rStyle w:val="Voetnootmarkering"/>
        </w:rPr>
        <w:footnoteRef/>
      </w:r>
      <w:r w:rsidRPr="00D74D13">
        <w:rPr>
          <w:lang w:val="en-GB"/>
        </w:rPr>
        <w:t xml:space="preserve"> </w:t>
      </w:r>
      <w:r w:rsidRPr="00D74D13">
        <w:rPr>
          <w:i/>
          <w:iCs/>
          <w:lang w:val="en-GB"/>
        </w:rPr>
        <w:t>Ibid</w:t>
      </w:r>
      <w:r w:rsidRPr="00D74D13">
        <w:rPr>
          <w:lang w:val="en-GB"/>
        </w:rPr>
        <w:t xml:space="preserve">., art. </w:t>
      </w:r>
      <w:r w:rsidR="00770070" w:rsidRPr="00D74D13">
        <w:rPr>
          <w:lang w:val="en-GB"/>
        </w:rPr>
        <w:t>118 en 177.</w:t>
      </w:r>
    </w:p>
  </w:footnote>
  <w:footnote w:id="86">
    <w:p w14:paraId="51B3133B" w14:textId="652186E2" w:rsidR="00770070" w:rsidRPr="00D74D13" w:rsidRDefault="00770070">
      <w:pPr>
        <w:pStyle w:val="Voetnoottekst"/>
        <w:rPr>
          <w:lang w:val="en-GB"/>
        </w:rPr>
      </w:pPr>
      <w:r>
        <w:rPr>
          <w:rStyle w:val="Voetnootmarkering"/>
        </w:rPr>
        <w:footnoteRef/>
      </w:r>
      <w:r w:rsidRPr="00D74D13">
        <w:rPr>
          <w:lang w:val="en-GB"/>
        </w:rPr>
        <w:t xml:space="preserve"> </w:t>
      </w:r>
      <w:r w:rsidRPr="00D74D13">
        <w:rPr>
          <w:i/>
          <w:iCs/>
          <w:lang w:val="en-GB"/>
        </w:rPr>
        <w:t>Ibid</w:t>
      </w:r>
      <w:r w:rsidRPr="00D74D13">
        <w:rPr>
          <w:lang w:val="en-GB"/>
        </w:rPr>
        <w:t>., art. 187.</w:t>
      </w:r>
    </w:p>
  </w:footnote>
  <w:footnote w:id="87">
    <w:p w14:paraId="7C5CC0CB" w14:textId="727DC279" w:rsidR="00E811B0" w:rsidRPr="00D74D13" w:rsidRDefault="00E811B0">
      <w:pPr>
        <w:pStyle w:val="Voetnoottekst"/>
        <w:rPr>
          <w:lang w:val="en-GB"/>
        </w:rPr>
      </w:pPr>
      <w:r>
        <w:rPr>
          <w:rStyle w:val="Voetnootmarkering"/>
        </w:rPr>
        <w:footnoteRef/>
      </w:r>
      <w:r w:rsidRPr="00D74D13">
        <w:rPr>
          <w:lang w:val="en-GB"/>
        </w:rPr>
        <w:t xml:space="preserve"> </w:t>
      </w:r>
      <w:r w:rsidRPr="00D74D13">
        <w:rPr>
          <w:i/>
          <w:iCs/>
          <w:lang w:val="en-GB"/>
        </w:rPr>
        <w:t>Ibid</w:t>
      </w:r>
      <w:r w:rsidRPr="00D74D13">
        <w:rPr>
          <w:lang w:val="en-GB"/>
        </w:rPr>
        <w:t>., art. 126, 7°.</w:t>
      </w:r>
    </w:p>
  </w:footnote>
  <w:footnote w:id="88">
    <w:p w14:paraId="07E2DD05" w14:textId="415E6F6C" w:rsidR="00713267" w:rsidRPr="00D74D13" w:rsidRDefault="00713267">
      <w:pPr>
        <w:pStyle w:val="Voetnoottekst"/>
        <w:rPr>
          <w:lang w:val="en-GB"/>
        </w:rPr>
      </w:pPr>
      <w:r>
        <w:rPr>
          <w:rStyle w:val="Voetnootmarkering"/>
        </w:rPr>
        <w:footnoteRef/>
      </w:r>
      <w:r w:rsidRPr="00D74D13">
        <w:rPr>
          <w:lang w:val="en-GB"/>
        </w:rPr>
        <w:t xml:space="preserve"> </w:t>
      </w:r>
      <w:r w:rsidRPr="00D74D13">
        <w:rPr>
          <w:i/>
          <w:iCs/>
          <w:lang w:val="en-GB"/>
        </w:rPr>
        <w:t>Ibid</w:t>
      </w:r>
      <w:r w:rsidRPr="00D74D13">
        <w:rPr>
          <w:lang w:val="en-GB"/>
        </w:rPr>
        <w:t>., art. 133.</w:t>
      </w:r>
    </w:p>
  </w:footnote>
  <w:footnote w:id="89">
    <w:p w14:paraId="28A782C5" w14:textId="3F2A4152" w:rsidR="00713267" w:rsidRPr="00D74D13" w:rsidRDefault="00713267">
      <w:pPr>
        <w:pStyle w:val="Voetnoottekst"/>
        <w:rPr>
          <w:lang w:val="en-GB"/>
        </w:rPr>
      </w:pPr>
      <w:r>
        <w:rPr>
          <w:rStyle w:val="Voetnootmarkering"/>
        </w:rPr>
        <w:footnoteRef/>
      </w:r>
      <w:r w:rsidRPr="00D74D13">
        <w:rPr>
          <w:lang w:val="en-GB"/>
        </w:rPr>
        <w:t xml:space="preserve"> </w:t>
      </w:r>
      <w:r w:rsidRPr="00D74D13">
        <w:rPr>
          <w:i/>
          <w:iCs/>
          <w:lang w:val="en-GB"/>
        </w:rPr>
        <w:t>Ibid</w:t>
      </w:r>
      <w:r w:rsidRPr="00D74D13">
        <w:rPr>
          <w:lang w:val="en-GB"/>
        </w:rPr>
        <w:t>., art. 138.</w:t>
      </w:r>
    </w:p>
  </w:footnote>
  <w:footnote w:id="90">
    <w:p w14:paraId="7E5A406E" w14:textId="137558C8" w:rsidR="00136049" w:rsidRPr="00136049" w:rsidRDefault="00136049">
      <w:pPr>
        <w:pStyle w:val="Voetnoottekst"/>
      </w:pPr>
      <w:r>
        <w:rPr>
          <w:rStyle w:val="Voetnootmarkering"/>
        </w:rPr>
        <w:footnoteRef/>
      </w:r>
      <w:r>
        <w:t xml:space="preserve"> </w:t>
      </w:r>
      <w:r>
        <w:rPr>
          <w:i/>
          <w:iCs/>
        </w:rPr>
        <w:t>Ibid</w:t>
      </w:r>
      <w:r>
        <w:t>., art. 139.</w:t>
      </w:r>
    </w:p>
  </w:footnote>
  <w:footnote w:id="91">
    <w:p w14:paraId="12339501" w14:textId="545F7AAB" w:rsidR="00610834" w:rsidRPr="00610834" w:rsidRDefault="00610834">
      <w:pPr>
        <w:pStyle w:val="Voetnoottekst"/>
        <w:rPr>
          <w:lang w:val="nl-NL"/>
        </w:rPr>
      </w:pPr>
      <w:r>
        <w:rPr>
          <w:rStyle w:val="Voetnootmarkering"/>
        </w:rPr>
        <w:footnoteRef/>
      </w:r>
      <w:r>
        <w:t xml:space="preserve"> </w:t>
      </w:r>
      <w:r>
        <w:rPr>
          <w:lang w:val="nl-NL"/>
        </w:rPr>
        <w:t xml:space="preserve">Art. 4 decreet van 16 juni 2023 over de onderwijsinternaten, </w:t>
      </w:r>
      <w:r w:rsidR="00457BF3">
        <w:rPr>
          <w:i/>
          <w:iCs/>
          <w:lang w:val="nl-NL"/>
        </w:rPr>
        <w:t xml:space="preserve">BS </w:t>
      </w:r>
      <w:r w:rsidR="00457BF3">
        <w:rPr>
          <w:lang w:val="nl-NL"/>
        </w:rPr>
        <w:t>14 augustus 2023</w:t>
      </w:r>
      <w:r>
        <w:rPr>
          <w:lang w:val="nl-NL"/>
        </w:rPr>
        <w:t>.</w:t>
      </w:r>
    </w:p>
  </w:footnote>
  <w:footnote w:id="92">
    <w:p w14:paraId="772EC239" w14:textId="5E0398C9" w:rsidR="0024253E" w:rsidRPr="001D53F8" w:rsidRDefault="0024253E">
      <w:pPr>
        <w:pStyle w:val="Voetnoottekst"/>
        <w:rPr>
          <w:lang w:val="en-GB"/>
        </w:rPr>
      </w:pPr>
      <w:r>
        <w:rPr>
          <w:rStyle w:val="Voetnootmarkering"/>
        </w:rPr>
        <w:footnoteRef/>
      </w:r>
      <w:r w:rsidRPr="001D53F8">
        <w:rPr>
          <w:lang w:val="en-GB"/>
        </w:rPr>
        <w:t xml:space="preserve"> </w:t>
      </w:r>
      <w:r w:rsidRPr="001D53F8">
        <w:rPr>
          <w:i/>
          <w:iCs/>
          <w:lang w:val="en-GB"/>
        </w:rPr>
        <w:t>Ibid</w:t>
      </w:r>
      <w:r w:rsidRPr="001D53F8">
        <w:rPr>
          <w:lang w:val="en-GB"/>
        </w:rPr>
        <w:t>., art. 7-8.</w:t>
      </w:r>
    </w:p>
  </w:footnote>
  <w:footnote w:id="93">
    <w:p w14:paraId="1A1C4E44" w14:textId="0FC0F4A5" w:rsidR="00E21B89" w:rsidRPr="00E21B89" w:rsidRDefault="00E21B89">
      <w:pPr>
        <w:pStyle w:val="Voetnoottekst"/>
        <w:rPr>
          <w:lang w:val="en-GB"/>
        </w:rPr>
      </w:pPr>
      <w:r>
        <w:rPr>
          <w:rStyle w:val="Voetnootmarkering"/>
        </w:rPr>
        <w:footnoteRef/>
      </w:r>
      <w:r w:rsidRPr="00E21B89">
        <w:rPr>
          <w:lang w:val="en-GB"/>
        </w:rPr>
        <w:t xml:space="preserve"> </w:t>
      </w:r>
      <w:r w:rsidRPr="00E21B89">
        <w:rPr>
          <w:i/>
          <w:iCs/>
          <w:lang w:val="en-GB"/>
        </w:rPr>
        <w:t>I</w:t>
      </w:r>
      <w:r>
        <w:rPr>
          <w:i/>
          <w:iCs/>
          <w:lang w:val="en-GB"/>
        </w:rPr>
        <w:t>bid</w:t>
      </w:r>
      <w:r>
        <w:rPr>
          <w:lang w:val="en-GB"/>
        </w:rPr>
        <w:t>., art. 23.</w:t>
      </w:r>
    </w:p>
  </w:footnote>
  <w:footnote w:id="94">
    <w:p w14:paraId="4346E386" w14:textId="4BD206A6" w:rsidR="00436D80" w:rsidRPr="00436D80" w:rsidRDefault="00436D80">
      <w:pPr>
        <w:pStyle w:val="Voetnoottekst"/>
        <w:rPr>
          <w:lang w:val="en-GB"/>
        </w:rPr>
      </w:pPr>
      <w:r>
        <w:rPr>
          <w:rStyle w:val="Voetnootmarkering"/>
        </w:rPr>
        <w:footnoteRef/>
      </w:r>
      <w:r w:rsidRPr="00436D80">
        <w:rPr>
          <w:lang w:val="en-GB"/>
        </w:rPr>
        <w:t xml:space="preserve"> </w:t>
      </w:r>
      <w:r w:rsidRPr="00436D80">
        <w:rPr>
          <w:i/>
          <w:iCs/>
          <w:lang w:val="en-GB"/>
        </w:rPr>
        <w:t>Ibid</w:t>
      </w:r>
      <w:r w:rsidRPr="00436D80">
        <w:rPr>
          <w:lang w:val="en-GB"/>
        </w:rPr>
        <w:t>.,</w:t>
      </w:r>
      <w:r>
        <w:rPr>
          <w:lang w:val="en-GB"/>
        </w:rPr>
        <w:t xml:space="preserve"> art.24-28.</w:t>
      </w:r>
    </w:p>
  </w:footnote>
  <w:footnote w:id="95">
    <w:p w14:paraId="0A2AF4F7" w14:textId="47A16D82" w:rsidR="00436D80" w:rsidRPr="00436D80" w:rsidRDefault="00436D80">
      <w:pPr>
        <w:pStyle w:val="Voetnoottekst"/>
        <w:rPr>
          <w:lang w:val="en-GB"/>
        </w:rPr>
      </w:pPr>
      <w:r>
        <w:rPr>
          <w:rStyle w:val="Voetnootmarkering"/>
        </w:rPr>
        <w:footnoteRef/>
      </w:r>
      <w:r w:rsidRPr="00436D80">
        <w:rPr>
          <w:lang w:val="en-GB"/>
        </w:rPr>
        <w:t xml:space="preserve"> </w:t>
      </w:r>
      <w:r>
        <w:rPr>
          <w:i/>
          <w:iCs/>
          <w:lang w:val="en-GB"/>
        </w:rPr>
        <w:t>Ibid.</w:t>
      </w:r>
      <w:r>
        <w:rPr>
          <w:lang w:val="en-GB"/>
        </w:rPr>
        <w:t xml:space="preserve">, art. </w:t>
      </w:r>
      <w:r w:rsidR="00E0451D">
        <w:rPr>
          <w:lang w:val="en-GB"/>
        </w:rPr>
        <w:t>39.</w:t>
      </w:r>
    </w:p>
  </w:footnote>
  <w:footnote w:id="96">
    <w:p w14:paraId="50B769DF" w14:textId="68AE7993" w:rsidR="00E0451D" w:rsidRPr="00E0451D" w:rsidRDefault="00E0451D">
      <w:pPr>
        <w:pStyle w:val="Voetnoottekst"/>
        <w:rPr>
          <w:lang w:val="en-GB"/>
        </w:rPr>
      </w:pPr>
      <w:r>
        <w:rPr>
          <w:rStyle w:val="Voetnootmarkering"/>
        </w:rPr>
        <w:footnoteRef/>
      </w:r>
      <w:r w:rsidRPr="00E0451D">
        <w:rPr>
          <w:lang w:val="en-GB"/>
        </w:rPr>
        <w:t xml:space="preserve"> </w:t>
      </w:r>
      <w:r w:rsidRPr="00E0451D">
        <w:rPr>
          <w:i/>
          <w:iCs/>
          <w:lang w:val="en-GB"/>
        </w:rPr>
        <w:t>I</w:t>
      </w:r>
      <w:r>
        <w:rPr>
          <w:i/>
          <w:iCs/>
          <w:lang w:val="en-GB"/>
        </w:rPr>
        <w:t>bid</w:t>
      </w:r>
      <w:r>
        <w:rPr>
          <w:lang w:val="en-GB"/>
        </w:rPr>
        <w:t>., art. 38.</w:t>
      </w:r>
    </w:p>
  </w:footnote>
  <w:footnote w:id="97">
    <w:p w14:paraId="64E3B261" w14:textId="4E097FA3" w:rsidR="00835A6E" w:rsidRPr="00835A6E" w:rsidRDefault="00835A6E">
      <w:pPr>
        <w:pStyle w:val="Voetnoottekst"/>
        <w:rPr>
          <w:lang w:val="en-GB"/>
        </w:rPr>
      </w:pPr>
      <w:r>
        <w:rPr>
          <w:rStyle w:val="Voetnootmarkering"/>
        </w:rPr>
        <w:footnoteRef/>
      </w:r>
      <w:r w:rsidRPr="00835A6E">
        <w:rPr>
          <w:lang w:val="en-GB"/>
        </w:rPr>
        <w:t xml:space="preserve"> </w:t>
      </w:r>
      <w:r w:rsidRPr="00835A6E">
        <w:rPr>
          <w:i/>
          <w:iCs/>
          <w:lang w:val="en-GB"/>
        </w:rPr>
        <w:t>I</w:t>
      </w:r>
      <w:r>
        <w:rPr>
          <w:i/>
          <w:iCs/>
          <w:lang w:val="en-GB"/>
        </w:rPr>
        <w:t>bid</w:t>
      </w:r>
      <w:r>
        <w:rPr>
          <w:lang w:val="en-GB"/>
        </w:rPr>
        <w:t>., art. 13.</w:t>
      </w:r>
    </w:p>
  </w:footnote>
  <w:footnote w:id="98">
    <w:p w14:paraId="06C0A9C7" w14:textId="5082B7A0" w:rsidR="00835A6E" w:rsidRPr="00835A6E" w:rsidRDefault="00835A6E">
      <w:pPr>
        <w:pStyle w:val="Voetnoottekst"/>
        <w:rPr>
          <w:lang w:val="en-GB"/>
        </w:rPr>
      </w:pPr>
      <w:r>
        <w:rPr>
          <w:rStyle w:val="Voetnootmarkering"/>
        </w:rPr>
        <w:footnoteRef/>
      </w:r>
      <w:r w:rsidRPr="00835A6E">
        <w:rPr>
          <w:lang w:val="en-GB"/>
        </w:rPr>
        <w:t xml:space="preserve"> </w:t>
      </w:r>
      <w:r w:rsidRPr="00835A6E">
        <w:rPr>
          <w:i/>
          <w:iCs/>
          <w:lang w:val="en-GB"/>
        </w:rPr>
        <w:t>I</w:t>
      </w:r>
      <w:r>
        <w:rPr>
          <w:i/>
          <w:iCs/>
          <w:lang w:val="en-GB"/>
        </w:rPr>
        <w:t>bid</w:t>
      </w:r>
      <w:r>
        <w:rPr>
          <w:lang w:val="en-GB"/>
        </w:rPr>
        <w:t>., art. 17.</w:t>
      </w:r>
    </w:p>
  </w:footnote>
  <w:footnote w:id="99">
    <w:p w14:paraId="5D6EB41A" w14:textId="3406FEE3" w:rsidR="00831D25" w:rsidRPr="00835A6E" w:rsidRDefault="00831D25">
      <w:pPr>
        <w:pStyle w:val="Voetnoottekst"/>
        <w:rPr>
          <w:lang w:val="en-GB"/>
        </w:rPr>
      </w:pPr>
      <w:r>
        <w:rPr>
          <w:rStyle w:val="Voetnootmarkering"/>
        </w:rPr>
        <w:footnoteRef/>
      </w:r>
      <w:r w:rsidRPr="00835A6E">
        <w:rPr>
          <w:lang w:val="en-GB"/>
        </w:rPr>
        <w:t xml:space="preserve"> </w:t>
      </w:r>
      <w:r w:rsidRPr="00835A6E">
        <w:rPr>
          <w:i/>
          <w:iCs/>
          <w:lang w:val="en-GB"/>
        </w:rPr>
        <w:t>Ibid.</w:t>
      </w:r>
      <w:r w:rsidRPr="00835A6E">
        <w:rPr>
          <w:lang w:val="en-GB"/>
        </w:rPr>
        <w:t>, art. 11.</w:t>
      </w:r>
    </w:p>
  </w:footnote>
  <w:footnote w:id="100">
    <w:p w14:paraId="08C6694A" w14:textId="3758DBC1" w:rsidR="00831D25" w:rsidRPr="00835A6E" w:rsidRDefault="00831D25">
      <w:pPr>
        <w:pStyle w:val="Voetnoottekst"/>
        <w:rPr>
          <w:lang w:val="en-GB"/>
        </w:rPr>
      </w:pPr>
      <w:r>
        <w:rPr>
          <w:rStyle w:val="Voetnootmarkering"/>
        </w:rPr>
        <w:footnoteRef/>
      </w:r>
      <w:r w:rsidRPr="00835A6E">
        <w:rPr>
          <w:lang w:val="en-GB"/>
        </w:rPr>
        <w:t xml:space="preserve"> </w:t>
      </w:r>
      <w:r w:rsidRPr="00835A6E">
        <w:rPr>
          <w:i/>
          <w:iCs/>
          <w:lang w:val="en-GB"/>
        </w:rPr>
        <w:t>Ibid</w:t>
      </w:r>
      <w:r w:rsidRPr="00835A6E">
        <w:rPr>
          <w:lang w:val="en-GB"/>
        </w:rPr>
        <w:t>., art. 12.</w:t>
      </w:r>
    </w:p>
  </w:footnote>
  <w:footnote w:id="101">
    <w:p w14:paraId="2B96B36B" w14:textId="325626B9" w:rsidR="00E21B89" w:rsidRPr="001D53F8" w:rsidRDefault="00E21B89">
      <w:pPr>
        <w:pStyle w:val="Voetnoottekst"/>
        <w:rPr>
          <w:lang w:val="en-GB"/>
        </w:rPr>
      </w:pPr>
      <w:r>
        <w:rPr>
          <w:rStyle w:val="Voetnootmarkering"/>
        </w:rPr>
        <w:footnoteRef/>
      </w:r>
      <w:r w:rsidRPr="001D53F8">
        <w:rPr>
          <w:lang w:val="en-GB"/>
        </w:rPr>
        <w:t xml:space="preserve"> </w:t>
      </w:r>
      <w:r w:rsidRPr="001D53F8">
        <w:rPr>
          <w:i/>
          <w:iCs/>
          <w:lang w:val="en-GB"/>
        </w:rPr>
        <w:t>Ibid</w:t>
      </w:r>
      <w:r w:rsidRPr="001D53F8">
        <w:rPr>
          <w:lang w:val="en-GB"/>
        </w:rPr>
        <w:t>., art. 22.</w:t>
      </w:r>
    </w:p>
  </w:footnote>
  <w:footnote w:id="102">
    <w:p w14:paraId="2EDA25EE" w14:textId="168FEEAC" w:rsidR="00144A2E" w:rsidRPr="001D53F8" w:rsidRDefault="00144A2E">
      <w:pPr>
        <w:pStyle w:val="Voetnoottekst"/>
        <w:rPr>
          <w:lang w:val="en-GB"/>
        </w:rPr>
      </w:pPr>
      <w:r>
        <w:rPr>
          <w:rStyle w:val="Voetnootmarkering"/>
        </w:rPr>
        <w:footnoteRef/>
      </w:r>
      <w:r w:rsidRPr="001D53F8">
        <w:rPr>
          <w:lang w:val="en-GB"/>
        </w:rPr>
        <w:t xml:space="preserve"> </w:t>
      </w:r>
      <w:r w:rsidRPr="001D53F8">
        <w:rPr>
          <w:i/>
          <w:iCs/>
          <w:lang w:val="en-GB"/>
        </w:rPr>
        <w:t>Ibid</w:t>
      </w:r>
      <w:r w:rsidRPr="001D53F8">
        <w:rPr>
          <w:lang w:val="en-GB"/>
        </w:rPr>
        <w:t>., art. 29.</w:t>
      </w:r>
    </w:p>
  </w:footnote>
  <w:footnote w:id="103">
    <w:p w14:paraId="034B2A98" w14:textId="4923F920" w:rsidR="00144A2E" w:rsidRPr="001D53F8" w:rsidRDefault="00144A2E">
      <w:pPr>
        <w:pStyle w:val="Voetnoottekst"/>
        <w:rPr>
          <w:lang w:val="en-GB"/>
        </w:rPr>
      </w:pPr>
      <w:r>
        <w:rPr>
          <w:rStyle w:val="Voetnootmarkering"/>
        </w:rPr>
        <w:footnoteRef/>
      </w:r>
      <w:r w:rsidRPr="001D53F8">
        <w:rPr>
          <w:lang w:val="en-GB"/>
        </w:rPr>
        <w:t xml:space="preserve"> </w:t>
      </w:r>
      <w:r w:rsidRPr="001D53F8">
        <w:rPr>
          <w:i/>
          <w:iCs/>
          <w:lang w:val="en-GB"/>
        </w:rPr>
        <w:t>Ibid</w:t>
      </w:r>
      <w:r w:rsidRPr="001D53F8">
        <w:rPr>
          <w:lang w:val="en-GB"/>
        </w:rPr>
        <w:t>., art. 44.</w:t>
      </w:r>
    </w:p>
  </w:footnote>
  <w:footnote w:id="104">
    <w:p w14:paraId="75B0915D" w14:textId="3F2E8E2B" w:rsidR="00CF77F6" w:rsidRPr="00103E4A" w:rsidRDefault="00CF77F6">
      <w:pPr>
        <w:pStyle w:val="Voetnoottekst"/>
        <w:rPr>
          <w:lang w:val="nl-NL"/>
        </w:rPr>
      </w:pPr>
      <w:r>
        <w:rPr>
          <w:rStyle w:val="Voetnootmarkering"/>
        </w:rPr>
        <w:footnoteRef/>
      </w:r>
      <w:r>
        <w:t xml:space="preserve"> </w:t>
      </w:r>
      <w:r w:rsidR="00103E4A" w:rsidRPr="00103E4A">
        <w:t>Richtlijn (EU) 2019/1937 van het Europees Parlement en de Raad van 23 oktober 2019 inzake de bescherming van personen die inbreuken op het Unierecht melden</w:t>
      </w:r>
      <w:r w:rsidR="00103E4A">
        <w:t xml:space="preserve">, </w:t>
      </w:r>
      <w:r w:rsidR="00103E4A">
        <w:rPr>
          <w:i/>
          <w:iCs/>
        </w:rPr>
        <w:t>PB L 305</w:t>
      </w:r>
      <w:r w:rsidR="00103E4A">
        <w:t>, 26 november 2019, 17-56.</w:t>
      </w:r>
    </w:p>
  </w:footnote>
  <w:footnote w:id="105">
    <w:p w14:paraId="0FA84E06" w14:textId="65B9BFF5" w:rsidR="00CF77F6" w:rsidRPr="00CF77F6" w:rsidRDefault="00CF77F6">
      <w:pPr>
        <w:pStyle w:val="Voetnoottekst"/>
        <w:rPr>
          <w:lang w:val="nl-NL"/>
        </w:rPr>
      </w:pPr>
      <w:r>
        <w:rPr>
          <w:rStyle w:val="Voetnootmarkering"/>
        </w:rPr>
        <w:footnoteRef/>
      </w:r>
      <w:r>
        <w:t xml:space="preserve"> </w:t>
      </w:r>
      <w:r w:rsidR="000F49F9">
        <w:t xml:space="preserve">Art. 4 en 29 </w:t>
      </w:r>
      <w:r w:rsidR="000F49F9">
        <w:rPr>
          <w:lang w:val="nl-NL"/>
        </w:rPr>
        <w:t xml:space="preserve">decreet van 23 juni 2023 tot bescherming van klokkenluiders in het onderwijs, </w:t>
      </w:r>
      <w:r w:rsidR="00457BF3" w:rsidRPr="00457BF3">
        <w:rPr>
          <w:i/>
          <w:iCs/>
          <w:lang w:val="nl-NL"/>
        </w:rPr>
        <w:t>BS</w:t>
      </w:r>
      <w:r w:rsidR="00457BF3">
        <w:rPr>
          <w:lang w:val="nl-NL"/>
        </w:rPr>
        <w:t xml:space="preserve"> </w:t>
      </w:r>
      <w:r w:rsidR="00457BF3" w:rsidRPr="00457BF3">
        <w:rPr>
          <w:lang w:val="nl-NL"/>
        </w:rPr>
        <w:t>10</w:t>
      </w:r>
      <w:r w:rsidR="00457BF3">
        <w:rPr>
          <w:lang w:val="nl-NL"/>
        </w:rPr>
        <w:t xml:space="preserve"> augustus 2023</w:t>
      </w:r>
      <w:r w:rsidR="000F49F9">
        <w:rPr>
          <w:lang w:val="nl-NL"/>
        </w:rPr>
        <w:t>.</w:t>
      </w:r>
    </w:p>
  </w:footnote>
  <w:footnote w:id="106">
    <w:p w14:paraId="5B986536" w14:textId="2866EB96" w:rsidR="00940CBA" w:rsidRPr="001D53F8" w:rsidRDefault="00940CBA">
      <w:pPr>
        <w:pStyle w:val="Voetnoottekst"/>
        <w:rPr>
          <w:lang w:val="de-DE"/>
        </w:rPr>
      </w:pPr>
      <w:r>
        <w:rPr>
          <w:rStyle w:val="Voetnootmarkering"/>
        </w:rPr>
        <w:footnoteRef/>
      </w:r>
      <w:r w:rsidRPr="001D53F8">
        <w:rPr>
          <w:lang w:val="de-DE"/>
        </w:rPr>
        <w:t xml:space="preserve"> </w:t>
      </w:r>
      <w:r w:rsidR="000F49F9" w:rsidRPr="001D53F8">
        <w:rPr>
          <w:i/>
          <w:iCs/>
          <w:lang w:val="de-DE"/>
        </w:rPr>
        <w:t>Ibid</w:t>
      </w:r>
      <w:r w:rsidR="000F49F9" w:rsidRPr="001D53F8">
        <w:rPr>
          <w:lang w:val="de-DE"/>
        </w:rPr>
        <w:t>.</w:t>
      </w:r>
    </w:p>
  </w:footnote>
  <w:footnote w:id="107">
    <w:p w14:paraId="74276644" w14:textId="7556727B" w:rsidR="00DD47E4" w:rsidRPr="007E259E" w:rsidRDefault="00DD47E4">
      <w:pPr>
        <w:pStyle w:val="Voetnoottekst"/>
        <w:rPr>
          <w:lang w:val="de-DE"/>
        </w:rPr>
      </w:pPr>
      <w:r>
        <w:rPr>
          <w:rStyle w:val="Voetnootmarkering"/>
        </w:rPr>
        <w:footnoteRef/>
      </w:r>
      <w:r w:rsidRPr="007E259E">
        <w:rPr>
          <w:lang w:val="de-DE"/>
        </w:rPr>
        <w:t xml:space="preserve"> </w:t>
      </w:r>
      <w:r w:rsidRPr="007E259E">
        <w:rPr>
          <w:i/>
          <w:iCs/>
          <w:lang w:val="de-DE"/>
        </w:rPr>
        <w:t>Ibid</w:t>
      </w:r>
      <w:r w:rsidRPr="007E259E">
        <w:rPr>
          <w:lang w:val="de-DE"/>
        </w:rPr>
        <w:t>., art. 8 en 34.</w:t>
      </w:r>
    </w:p>
  </w:footnote>
  <w:footnote w:id="108">
    <w:p w14:paraId="21DF14AA" w14:textId="12184F77" w:rsidR="007E259E" w:rsidRPr="001D53F8" w:rsidRDefault="007E259E">
      <w:pPr>
        <w:pStyle w:val="Voetnoottekst"/>
        <w:rPr>
          <w:lang w:val="de-DE"/>
        </w:rPr>
      </w:pPr>
      <w:r>
        <w:rPr>
          <w:rStyle w:val="Voetnootmarkering"/>
        </w:rPr>
        <w:footnoteRef/>
      </w:r>
      <w:r w:rsidRPr="001D53F8">
        <w:rPr>
          <w:lang w:val="de-DE"/>
        </w:rPr>
        <w:t xml:space="preserve"> </w:t>
      </w:r>
      <w:r w:rsidRPr="001D53F8">
        <w:rPr>
          <w:i/>
          <w:iCs/>
          <w:lang w:val="de-DE"/>
        </w:rPr>
        <w:t>Ibid</w:t>
      </w:r>
      <w:r w:rsidRPr="001D53F8">
        <w:rPr>
          <w:lang w:val="de-DE"/>
        </w:rPr>
        <w:t xml:space="preserve">., art. </w:t>
      </w:r>
      <w:r w:rsidR="00676722" w:rsidRPr="001D53F8">
        <w:rPr>
          <w:lang w:val="de-DE"/>
        </w:rPr>
        <w:t>10 en 36.</w:t>
      </w:r>
    </w:p>
  </w:footnote>
  <w:footnote w:id="109">
    <w:p w14:paraId="3571B16C" w14:textId="2217BF6B" w:rsidR="007E259E" w:rsidRPr="001D53F8" w:rsidRDefault="007E259E">
      <w:pPr>
        <w:pStyle w:val="Voetnoottekst"/>
        <w:rPr>
          <w:lang w:val="de-DE"/>
        </w:rPr>
      </w:pPr>
      <w:r>
        <w:rPr>
          <w:rStyle w:val="Voetnootmarkering"/>
        </w:rPr>
        <w:footnoteRef/>
      </w:r>
      <w:r w:rsidRPr="001D53F8">
        <w:rPr>
          <w:lang w:val="de-DE"/>
        </w:rPr>
        <w:t xml:space="preserve"> </w:t>
      </w:r>
      <w:r w:rsidRPr="001D53F8">
        <w:rPr>
          <w:i/>
          <w:iCs/>
          <w:lang w:val="de-DE"/>
        </w:rPr>
        <w:t>Ibid</w:t>
      </w:r>
      <w:r w:rsidRPr="001D53F8">
        <w:rPr>
          <w:lang w:val="de-DE"/>
        </w:rPr>
        <w:t>., art. 9 en 35.</w:t>
      </w:r>
    </w:p>
  </w:footnote>
  <w:footnote w:id="110">
    <w:p w14:paraId="305A2D3F" w14:textId="6AEA139F" w:rsidR="00676722" w:rsidRPr="00634F72" w:rsidRDefault="00676722">
      <w:pPr>
        <w:pStyle w:val="Voetnoottekst"/>
        <w:rPr>
          <w:lang w:val="de-DE"/>
        </w:rPr>
      </w:pPr>
      <w:r>
        <w:rPr>
          <w:rStyle w:val="Voetnootmarkering"/>
        </w:rPr>
        <w:footnoteRef/>
      </w:r>
      <w:r w:rsidRPr="00634F72">
        <w:rPr>
          <w:lang w:val="de-DE"/>
        </w:rPr>
        <w:t xml:space="preserve"> </w:t>
      </w:r>
      <w:r w:rsidRPr="00634F72">
        <w:rPr>
          <w:i/>
          <w:iCs/>
          <w:lang w:val="de-DE"/>
        </w:rPr>
        <w:t>Ibid</w:t>
      </w:r>
      <w:r w:rsidRPr="00634F72">
        <w:rPr>
          <w:lang w:val="de-DE"/>
        </w:rPr>
        <w:t>., art. 10 en 36.</w:t>
      </w:r>
    </w:p>
  </w:footnote>
  <w:footnote w:id="111">
    <w:p w14:paraId="3CDF6462" w14:textId="66CE39BE" w:rsidR="00634F72" w:rsidRPr="001D53F8" w:rsidRDefault="00634F72">
      <w:pPr>
        <w:pStyle w:val="Voetnoottekst"/>
        <w:rPr>
          <w:lang w:val="de-DE"/>
        </w:rPr>
      </w:pPr>
      <w:r>
        <w:rPr>
          <w:rStyle w:val="Voetnootmarkering"/>
        </w:rPr>
        <w:footnoteRef/>
      </w:r>
      <w:r w:rsidRPr="001D53F8">
        <w:rPr>
          <w:lang w:val="de-DE"/>
        </w:rPr>
        <w:t xml:space="preserve"> </w:t>
      </w:r>
      <w:r w:rsidRPr="001D53F8">
        <w:rPr>
          <w:i/>
          <w:iCs/>
          <w:lang w:val="de-DE"/>
        </w:rPr>
        <w:t>Ibid</w:t>
      </w:r>
      <w:r w:rsidRPr="001D53F8">
        <w:rPr>
          <w:lang w:val="de-DE"/>
        </w:rPr>
        <w:t>.</w:t>
      </w:r>
    </w:p>
  </w:footnote>
  <w:footnote w:id="112">
    <w:p w14:paraId="6E56266F" w14:textId="2572D119" w:rsidR="001469EF" w:rsidRPr="001469EF" w:rsidRDefault="001469EF">
      <w:pPr>
        <w:pStyle w:val="Voetnoottekst"/>
        <w:rPr>
          <w:lang w:val="de-DE"/>
        </w:rPr>
      </w:pPr>
      <w:r>
        <w:rPr>
          <w:rStyle w:val="Voetnootmarkering"/>
        </w:rPr>
        <w:footnoteRef/>
      </w:r>
      <w:r w:rsidRPr="001469EF">
        <w:rPr>
          <w:lang w:val="de-DE"/>
        </w:rPr>
        <w:t xml:space="preserve"> </w:t>
      </w:r>
      <w:r w:rsidRPr="001469EF">
        <w:rPr>
          <w:i/>
          <w:iCs/>
          <w:lang w:val="de-DE"/>
        </w:rPr>
        <w:t>Ibid</w:t>
      </w:r>
      <w:r w:rsidRPr="001469EF">
        <w:rPr>
          <w:lang w:val="de-DE"/>
        </w:rPr>
        <w:t>., art. 12 en 39.</w:t>
      </w:r>
    </w:p>
  </w:footnote>
  <w:footnote w:id="113">
    <w:p w14:paraId="099549FA" w14:textId="6DC92FC9" w:rsidR="000318AE" w:rsidRPr="000318AE" w:rsidRDefault="000318AE">
      <w:pPr>
        <w:pStyle w:val="Voetnoottekst"/>
        <w:rPr>
          <w:lang w:val="de-DE"/>
        </w:rPr>
      </w:pPr>
      <w:r>
        <w:rPr>
          <w:rStyle w:val="Voetnootmarkering"/>
        </w:rPr>
        <w:footnoteRef/>
      </w:r>
      <w:r w:rsidRPr="000318AE">
        <w:rPr>
          <w:lang w:val="de-DE"/>
        </w:rPr>
        <w:t xml:space="preserve"> </w:t>
      </w:r>
      <w:r w:rsidRPr="000318AE">
        <w:rPr>
          <w:i/>
          <w:iCs/>
          <w:lang w:val="de-DE"/>
        </w:rPr>
        <w:t>Ibid</w:t>
      </w:r>
      <w:r w:rsidRPr="000318AE">
        <w:rPr>
          <w:lang w:val="de-DE"/>
        </w:rPr>
        <w:t>., art. 18 en 48.</w:t>
      </w:r>
    </w:p>
  </w:footnote>
  <w:footnote w:id="114">
    <w:p w14:paraId="7105A44C" w14:textId="0B7CBBC9" w:rsidR="000318AE" w:rsidRPr="000318AE" w:rsidRDefault="000318AE">
      <w:pPr>
        <w:pStyle w:val="Voetnoottekst"/>
        <w:rPr>
          <w:lang w:val="de-DE"/>
        </w:rPr>
      </w:pPr>
      <w:r>
        <w:rPr>
          <w:rStyle w:val="Voetnootmarkering"/>
        </w:rPr>
        <w:footnoteRef/>
      </w:r>
      <w:r w:rsidRPr="000318AE">
        <w:rPr>
          <w:lang w:val="de-DE"/>
        </w:rPr>
        <w:t xml:space="preserve"> </w:t>
      </w:r>
      <w:r>
        <w:rPr>
          <w:i/>
          <w:iCs/>
          <w:lang w:val="de-DE"/>
        </w:rPr>
        <w:t>Ibid</w:t>
      </w:r>
      <w:r>
        <w:rPr>
          <w:lang w:val="de-DE"/>
        </w:rPr>
        <w:t>.</w:t>
      </w:r>
    </w:p>
  </w:footnote>
  <w:footnote w:id="115">
    <w:p w14:paraId="4B8C67FC" w14:textId="20FE183C" w:rsidR="00666403" w:rsidRPr="000318AE" w:rsidRDefault="00666403">
      <w:pPr>
        <w:pStyle w:val="Voetnoottekst"/>
        <w:rPr>
          <w:lang w:val="de-DE"/>
        </w:rPr>
      </w:pPr>
      <w:r>
        <w:rPr>
          <w:rStyle w:val="Voetnootmarkering"/>
        </w:rPr>
        <w:footnoteRef/>
      </w:r>
      <w:r w:rsidRPr="000318AE">
        <w:rPr>
          <w:lang w:val="de-DE"/>
        </w:rPr>
        <w:t xml:space="preserve"> </w:t>
      </w:r>
      <w:r w:rsidRPr="000318AE">
        <w:rPr>
          <w:i/>
          <w:iCs/>
          <w:lang w:val="de-DE"/>
        </w:rPr>
        <w:t>Ibid</w:t>
      </w:r>
      <w:r w:rsidRPr="000318AE">
        <w:rPr>
          <w:lang w:val="de-DE"/>
        </w:rPr>
        <w:t>., art. 14 en 42.</w:t>
      </w:r>
    </w:p>
  </w:footnote>
  <w:footnote w:id="116">
    <w:p w14:paraId="7B8F092C" w14:textId="749B33A5" w:rsidR="006A4D35" w:rsidRPr="000318AE" w:rsidRDefault="006A4D35">
      <w:pPr>
        <w:pStyle w:val="Voetnoottekst"/>
        <w:rPr>
          <w:lang w:val="de-DE"/>
        </w:rPr>
      </w:pPr>
      <w:r>
        <w:rPr>
          <w:rStyle w:val="Voetnootmarkering"/>
        </w:rPr>
        <w:footnoteRef/>
      </w:r>
      <w:r w:rsidRPr="000318AE">
        <w:rPr>
          <w:lang w:val="de-DE"/>
        </w:rPr>
        <w:t xml:space="preserve"> </w:t>
      </w:r>
      <w:r w:rsidRPr="000318AE">
        <w:rPr>
          <w:i/>
          <w:iCs/>
          <w:lang w:val="de-DE"/>
        </w:rPr>
        <w:t>Ibid</w:t>
      </w:r>
      <w:r w:rsidRPr="000318AE">
        <w:rPr>
          <w:lang w:val="de-DE"/>
        </w:rPr>
        <w:t>., art. 15 en 43.</w:t>
      </w:r>
    </w:p>
  </w:footnote>
  <w:footnote w:id="117">
    <w:p w14:paraId="05B9BE50" w14:textId="18F3D0C1" w:rsidR="00C219D5" w:rsidRPr="001D53F8" w:rsidRDefault="00C219D5">
      <w:pPr>
        <w:pStyle w:val="Voetnoottekst"/>
      </w:pPr>
      <w:r>
        <w:rPr>
          <w:rStyle w:val="Voetnootmarkering"/>
        </w:rPr>
        <w:footnoteRef/>
      </w:r>
      <w:r w:rsidRPr="001D53F8">
        <w:t xml:space="preserve"> </w:t>
      </w:r>
      <w:r w:rsidRPr="001D53F8">
        <w:rPr>
          <w:i/>
          <w:iCs/>
        </w:rPr>
        <w:t>Ibid</w:t>
      </w:r>
      <w:r w:rsidRPr="001D53F8">
        <w:t xml:space="preserve">., art. </w:t>
      </w:r>
      <w:r w:rsidR="002B6F41" w:rsidRPr="001D53F8">
        <w:t>5 en 30.</w:t>
      </w:r>
    </w:p>
  </w:footnote>
  <w:footnote w:id="118">
    <w:p w14:paraId="5856853D" w14:textId="1795DBAE" w:rsidR="00275326" w:rsidRPr="00275326" w:rsidRDefault="00275326">
      <w:pPr>
        <w:pStyle w:val="Voetnoottekst"/>
        <w:rPr>
          <w:lang w:val="nl-NL"/>
        </w:rPr>
      </w:pPr>
      <w:r>
        <w:rPr>
          <w:rStyle w:val="Voetnootmarkering"/>
        </w:rPr>
        <w:footnoteRef/>
      </w:r>
      <w:r>
        <w:t xml:space="preserve"> </w:t>
      </w:r>
      <w:r w:rsidR="009300C1">
        <w:t xml:space="preserve">Omzendbrief (PERS/2022/02) van 27 april 2022 houdende oproep tot het indienen van projectvoorstellen voor tijdelijke projecten in het kader van het lerarentekort en herwaardering van het lerarenambt in het basis- en secundair onderwijs, </w:t>
      </w:r>
      <w:r w:rsidR="009300C1" w:rsidRPr="009300C1">
        <w:t>https://data-onderwijs.vlaanderen.be/edulex/document/15963</w:t>
      </w:r>
      <w:r w:rsidR="009300C1">
        <w:t>.</w:t>
      </w:r>
    </w:p>
  </w:footnote>
  <w:footnote w:id="119">
    <w:p w14:paraId="52DCC07F" w14:textId="5CF7B5FB" w:rsidR="00275326" w:rsidRPr="00275326" w:rsidRDefault="00275326">
      <w:pPr>
        <w:pStyle w:val="Voetnoottekst"/>
        <w:rPr>
          <w:lang w:val="nl-NL"/>
        </w:rPr>
      </w:pPr>
      <w:r>
        <w:rPr>
          <w:rStyle w:val="Voetnootmarkering"/>
        </w:rPr>
        <w:footnoteRef/>
      </w:r>
      <w:r>
        <w:t xml:space="preserve"> </w:t>
      </w:r>
      <w:r>
        <w:rPr>
          <w:lang w:val="nl-NL"/>
        </w:rPr>
        <w:t xml:space="preserve">Besluit van de Vlaamse Regering van 24 maart 2023 over tijdelijke projecten in het basis- en secundair onderwijs in het kader van een herwaardering van het lerarenambt, </w:t>
      </w:r>
      <w:r w:rsidR="00705FEF">
        <w:rPr>
          <w:i/>
          <w:iCs/>
          <w:lang w:val="nl-NL"/>
        </w:rPr>
        <w:t>BS</w:t>
      </w:r>
      <w:r w:rsidR="00705FEF">
        <w:rPr>
          <w:lang w:val="nl-NL"/>
        </w:rPr>
        <w:t xml:space="preserve"> 18 augustus 2023</w:t>
      </w:r>
      <w:r>
        <w:rPr>
          <w:lang w:val="nl-NL"/>
        </w:rPr>
        <w:t>.</w:t>
      </w:r>
    </w:p>
  </w:footnote>
  <w:footnote w:id="120">
    <w:p w14:paraId="60F425AF" w14:textId="6A4F2FEA" w:rsidR="00275326" w:rsidRPr="00275326" w:rsidRDefault="00275326">
      <w:pPr>
        <w:pStyle w:val="Voetnoottekst"/>
        <w:rPr>
          <w:lang w:val="nl-NL"/>
        </w:rPr>
      </w:pPr>
      <w:r>
        <w:rPr>
          <w:rStyle w:val="Voetnootmarkering"/>
        </w:rPr>
        <w:footnoteRef/>
      </w:r>
      <w:r>
        <w:t xml:space="preserve"> </w:t>
      </w:r>
      <w:r>
        <w:rPr>
          <w:lang w:val="nl-NL"/>
        </w:rPr>
        <w:t xml:space="preserve">Art. 2 decreet van 7 juli 2023 tot bekrachtiging van het besluit van de Vlaamse Regering van 24 maart 2023 over tijdelijke projecten in het basis- en secundair onderwijs in het kader van een herwaardering van het lerarenambt, </w:t>
      </w:r>
      <w:r w:rsidR="00553168">
        <w:rPr>
          <w:i/>
          <w:iCs/>
          <w:lang w:val="nl-NL"/>
        </w:rPr>
        <w:t xml:space="preserve">BS </w:t>
      </w:r>
      <w:r w:rsidR="00553168">
        <w:rPr>
          <w:lang w:val="nl-NL"/>
        </w:rPr>
        <w:t>18 augustus 2023</w:t>
      </w:r>
      <w:r>
        <w:rPr>
          <w:lang w:val="nl-NL"/>
        </w:rPr>
        <w:t>.</w:t>
      </w:r>
    </w:p>
  </w:footnote>
  <w:footnote w:id="121">
    <w:p w14:paraId="7CEBFA69" w14:textId="385BFB1C" w:rsidR="00A45B53" w:rsidRPr="00A45B53" w:rsidRDefault="00A45B53">
      <w:pPr>
        <w:pStyle w:val="Voetnoottekst"/>
      </w:pPr>
      <w:r>
        <w:rPr>
          <w:rStyle w:val="Voetnootmarkering"/>
        </w:rPr>
        <w:footnoteRef/>
      </w:r>
      <w:r w:rsidRPr="00A45B53">
        <w:t xml:space="preserve"> Art. 14 decreet van 7 juli 2023 ov</w:t>
      </w:r>
      <w:r>
        <w:t xml:space="preserve">er het onderwijs XXXIII, </w:t>
      </w:r>
      <w:r w:rsidRPr="00AB37B3">
        <w:rPr>
          <w:i/>
          <w:iCs/>
        </w:rPr>
        <w:t>BS</w:t>
      </w:r>
      <w:r>
        <w:t xml:space="preserve"> </w:t>
      </w:r>
      <w:r w:rsidR="00AB37B3">
        <w:t>28 augustus 2023</w:t>
      </w:r>
      <w:r>
        <w:t>.</w:t>
      </w:r>
    </w:p>
  </w:footnote>
  <w:footnote w:id="122">
    <w:p w14:paraId="20798956" w14:textId="20A1CFC5" w:rsidR="00FC6419" w:rsidRPr="00340A70" w:rsidRDefault="00FC6419">
      <w:pPr>
        <w:pStyle w:val="Voetnoottekst"/>
        <w:rPr>
          <w:lang w:val="en-GB"/>
        </w:rPr>
      </w:pPr>
      <w:r>
        <w:rPr>
          <w:rStyle w:val="Voetnootmarkering"/>
        </w:rPr>
        <w:footnoteRef/>
      </w:r>
      <w:r w:rsidRPr="00340A70">
        <w:rPr>
          <w:lang w:val="en-GB"/>
        </w:rPr>
        <w:t xml:space="preserve"> </w:t>
      </w:r>
      <w:r w:rsidRPr="00340A70">
        <w:rPr>
          <w:i/>
          <w:iCs/>
          <w:lang w:val="en-GB"/>
        </w:rPr>
        <w:t>Ibid</w:t>
      </w:r>
      <w:r w:rsidRPr="00340A70">
        <w:rPr>
          <w:lang w:val="en-GB"/>
        </w:rPr>
        <w:t>., art. 15.</w:t>
      </w:r>
    </w:p>
  </w:footnote>
  <w:footnote w:id="123">
    <w:p w14:paraId="78FE191A" w14:textId="6C157EEF" w:rsidR="00340A70" w:rsidRPr="00340A70" w:rsidRDefault="00340A70">
      <w:pPr>
        <w:pStyle w:val="Voetnoottekst"/>
        <w:rPr>
          <w:lang w:val="en-GB"/>
        </w:rPr>
      </w:pPr>
      <w:r>
        <w:rPr>
          <w:rStyle w:val="Voetnootmarkering"/>
        </w:rPr>
        <w:footnoteRef/>
      </w:r>
      <w:r w:rsidRPr="00340A70">
        <w:rPr>
          <w:lang w:val="en-GB"/>
        </w:rPr>
        <w:t xml:space="preserve"> </w:t>
      </w:r>
      <w:r w:rsidRPr="00340A70">
        <w:rPr>
          <w:i/>
          <w:iCs/>
          <w:lang w:val="en-GB"/>
        </w:rPr>
        <w:t>I</w:t>
      </w:r>
      <w:r>
        <w:rPr>
          <w:i/>
          <w:iCs/>
          <w:lang w:val="en-GB"/>
        </w:rPr>
        <w:t>bid</w:t>
      </w:r>
      <w:r>
        <w:rPr>
          <w:lang w:val="en-GB"/>
        </w:rPr>
        <w:t xml:space="preserve">., art. 21, 28, </w:t>
      </w:r>
    </w:p>
  </w:footnote>
  <w:footnote w:id="124">
    <w:p w14:paraId="64582DA4" w14:textId="04505667" w:rsidR="00082DE3" w:rsidRPr="00082DE3" w:rsidRDefault="00082DE3">
      <w:pPr>
        <w:pStyle w:val="Voetnoottekst"/>
        <w:rPr>
          <w:lang w:val="en-GB"/>
        </w:rPr>
      </w:pPr>
      <w:r>
        <w:rPr>
          <w:rStyle w:val="Voetnootmarkering"/>
        </w:rPr>
        <w:footnoteRef/>
      </w:r>
      <w:r w:rsidRPr="00082DE3">
        <w:rPr>
          <w:lang w:val="en-GB"/>
        </w:rPr>
        <w:t xml:space="preserve"> </w:t>
      </w:r>
      <w:r w:rsidRPr="00082DE3">
        <w:rPr>
          <w:i/>
          <w:iCs/>
          <w:lang w:val="en-GB"/>
        </w:rPr>
        <w:t>I</w:t>
      </w:r>
      <w:r>
        <w:rPr>
          <w:i/>
          <w:iCs/>
          <w:lang w:val="en-GB"/>
        </w:rPr>
        <w:t>bid</w:t>
      </w:r>
      <w:r>
        <w:rPr>
          <w:lang w:val="en-GB"/>
        </w:rPr>
        <w:t>., art. 24 en 31.</w:t>
      </w:r>
    </w:p>
  </w:footnote>
  <w:footnote w:id="125">
    <w:p w14:paraId="61D0700D" w14:textId="18C958E8" w:rsidR="00FD0DD7" w:rsidRPr="00FD0DD7" w:rsidRDefault="00FD0DD7">
      <w:pPr>
        <w:pStyle w:val="Voetnoottekst"/>
        <w:rPr>
          <w:lang w:val="en-GB"/>
        </w:rPr>
      </w:pPr>
      <w:r>
        <w:rPr>
          <w:rStyle w:val="Voetnootmarkering"/>
        </w:rPr>
        <w:footnoteRef/>
      </w:r>
      <w:r w:rsidRPr="00FD0DD7">
        <w:rPr>
          <w:lang w:val="en-GB"/>
        </w:rPr>
        <w:t xml:space="preserve"> </w:t>
      </w:r>
      <w:r w:rsidRPr="00FD0DD7">
        <w:rPr>
          <w:i/>
          <w:iCs/>
          <w:lang w:val="en-GB"/>
        </w:rPr>
        <w:t>I</w:t>
      </w:r>
      <w:r>
        <w:rPr>
          <w:i/>
          <w:iCs/>
          <w:lang w:val="en-GB"/>
        </w:rPr>
        <w:t>bid</w:t>
      </w:r>
      <w:r>
        <w:rPr>
          <w:lang w:val="en-GB"/>
        </w:rPr>
        <w:t>., art. 51.</w:t>
      </w:r>
    </w:p>
  </w:footnote>
  <w:footnote w:id="126">
    <w:p w14:paraId="5EF5468A" w14:textId="28DA47DA" w:rsidR="006523CA" w:rsidRPr="006523CA" w:rsidRDefault="006523CA">
      <w:pPr>
        <w:pStyle w:val="Voetnoottekst"/>
        <w:rPr>
          <w:lang w:val="en-GB"/>
        </w:rPr>
      </w:pPr>
      <w:r>
        <w:rPr>
          <w:rStyle w:val="Voetnootmarkering"/>
        </w:rPr>
        <w:footnoteRef/>
      </w:r>
      <w:r w:rsidRPr="006523CA">
        <w:rPr>
          <w:lang w:val="en-GB"/>
        </w:rPr>
        <w:t xml:space="preserve"> </w:t>
      </w:r>
      <w:r w:rsidRPr="006523CA">
        <w:rPr>
          <w:i/>
          <w:iCs/>
          <w:lang w:val="en-GB"/>
        </w:rPr>
        <w:t>I</w:t>
      </w:r>
      <w:r>
        <w:rPr>
          <w:i/>
          <w:iCs/>
          <w:lang w:val="en-GB"/>
        </w:rPr>
        <w:t>bid</w:t>
      </w:r>
      <w:r>
        <w:rPr>
          <w:lang w:val="en-GB"/>
        </w:rPr>
        <w:t>., art. 84.</w:t>
      </w:r>
    </w:p>
  </w:footnote>
  <w:footnote w:id="127">
    <w:p w14:paraId="7C9A7E4E" w14:textId="3FCB359F" w:rsidR="00311578" w:rsidRPr="00311578" w:rsidRDefault="00311578">
      <w:pPr>
        <w:pStyle w:val="Voetnoottekst"/>
        <w:rPr>
          <w:lang w:val="en-GB"/>
        </w:rPr>
      </w:pPr>
      <w:r>
        <w:rPr>
          <w:rStyle w:val="Voetnootmarkering"/>
        </w:rPr>
        <w:footnoteRef/>
      </w:r>
      <w:r w:rsidRPr="00311578">
        <w:rPr>
          <w:lang w:val="en-GB"/>
        </w:rPr>
        <w:t xml:space="preserve"> </w:t>
      </w:r>
      <w:r w:rsidRPr="00311578">
        <w:rPr>
          <w:i/>
          <w:iCs/>
          <w:lang w:val="en-GB"/>
        </w:rPr>
        <w:t>I</w:t>
      </w:r>
      <w:r>
        <w:rPr>
          <w:i/>
          <w:iCs/>
          <w:lang w:val="en-GB"/>
        </w:rPr>
        <w:t>bid</w:t>
      </w:r>
      <w:r>
        <w:rPr>
          <w:lang w:val="en-GB"/>
        </w:rPr>
        <w:t>., art. 85.</w:t>
      </w:r>
    </w:p>
  </w:footnote>
  <w:footnote w:id="128">
    <w:p w14:paraId="5601CE72" w14:textId="77777777" w:rsidR="005C4FBA" w:rsidRPr="005C4FBA" w:rsidRDefault="005C4FBA" w:rsidP="005C4FBA">
      <w:pPr>
        <w:pStyle w:val="Voetnoottekst"/>
        <w:rPr>
          <w:lang w:val="en-GB"/>
        </w:rPr>
      </w:pPr>
      <w:r>
        <w:rPr>
          <w:rStyle w:val="Voetnootmarkering"/>
        </w:rPr>
        <w:footnoteRef/>
      </w:r>
      <w:r w:rsidRPr="005C4FBA">
        <w:rPr>
          <w:lang w:val="en-GB"/>
        </w:rPr>
        <w:t xml:space="preserve"> </w:t>
      </w:r>
      <w:r w:rsidRPr="005C4FBA">
        <w:rPr>
          <w:i/>
          <w:iCs/>
          <w:lang w:val="en-GB"/>
        </w:rPr>
        <w:t>Ibid</w:t>
      </w:r>
      <w:r w:rsidRPr="005C4FBA">
        <w:rPr>
          <w:lang w:val="en-GB"/>
        </w:rPr>
        <w:t>., art. 96</w:t>
      </w:r>
      <w:r>
        <w:rPr>
          <w:lang w:val="en-GB"/>
        </w:rPr>
        <w:t>, 1° en 3°</w:t>
      </w:r>
      <w:r w:rsidRPr="005C4FBA">
        <w:rPr>
          <w:lang w:val="en-GB"/>
        </w:rPr>
        <w:t>.</w:t>
      </w:r>
    </w:p>
  </w:footnote>
  <w:footnote w:id="129">
    <w:p w14:paraId="6BB2A4E9" w14:textId="2C53F9DA" w:rsidR="00F545DB" w:rsidRPr="00F545DB" w:rsidRDefault="00F545DB">
      <w:pPr>
        <w:pStyle w:val="Voetnoottekst"/>
        <w:rPr>
          <w:lang w:val="en-GB"/>
        </w:rPr>
      </w:pPr>
      <w:r>
        <w:rPr>
          <w:rStyle w:val="Voetnootmarkering"/>
        </w:rPr>
        <w:footnoteRef/>
      </w:r>
      <w:r w:rsidRPr="00F545DB">
        <w:rPr>
          <w:lang w:val="en-GB"/>
        </w:rPr>
        <w:t xml:space="preserve"> </w:t>
      </w:r>
      <w:r w:rsidRPr="00F545DB">
        <w:rPr>
          <w:i/>
          <w:iCs/>
          <w:lang w:val="en-GB"/>
        </w:rPr>
        <w:t>I</w:t>
      </w:r>
      <w:r>
        <w:rPr>
          <w:i/>
          <w:iCs/>
          <w:lang w:val="en-GB"/>
        </w:rPr>
        <w:t>bid</w:t>
      </w:r>
      <w:r>
        <w:rPr>
          <w:lang w:val="en-GB"/>
        </w:rPr>
        <w:t>., art. 118, 2°.</w:t>
      </w:r>
    </w:p>
  </w:footnote>
  <w:footnote w:id="130">
    <w:p w14:paraId="1E59DAC3" w14:textId="77777777" w:rsidR="005C4FBA" w:rsidRPr="005C4FBA" w:rsidRDefault="005C4FBA" w:rsidP="005C4FBA">
      <w:pPr>
        <w:pStyle w:val="Voetnoottekst"/>
        <w:rPr>
          <w:lang w:val="en-GB"/>
        </w:rPr>
      </w:pPr>
      <w:r>
        <w:rPr>
          <w:rStyle w:val="Voetnootmarkering"/>
        </w:rPr>
        <w:footnoteRef/>
      </w:r>
      <w:r w:rsidRPr="005C4FBA">
        <w:rPr>
          <w:lang w:val="en-GB"/>
        </w:rPr>
        <w:t xml:space="preserve"> </w:t>
      </w:r>
      <w:r w:rsidRPr="005C4FBA">
        <w:rPr>
          <w:i/>
          <w:iCs/>
          <w:lang w:val="en-GB"/>
        </w:rPr>
        <w:t>I</w:t>
      </w:r>
      <w:r>
        <w:rPr>
          <w:i/>
          <w:iCs/>
          <w:lang w:val="en-GB"/>
        </w:rPr>
        <w:t>bid</w:t>
      </w:r>
      <w:r>
        <w:rPr>
          <w:lang w:val="en-GB"/>
        </w:rPr>
        <w:t>., art. 96, 5°.</w:t>
      </w:r>
    </w:p>
  </w:footnote>
  <w:footnote w:id="131">
    <w:p w14:paraId="4F86311E" w14:textId="48F4B385" w:rsidR="007F2187" w:rsidRPr="00F545DB" w:rsidRDefault="007F2187">
      <w:pPr>
        <w:pStyle w:val="Voetnoottekst"/>
        <w:rPr>
          <w:lang w:val="en-GB"/>
        </w:rPr>
      </w:pPr>
      <w:r>
        <w:rPr>
          <w:rStyle w:val="Voetnootmarkering"/>
        </w:rPr>
        <w:footnoteRef/>
      </w:r>
      <w:r w:rsidRPr="00F545DB">
        <w:rPr>
          <w:lang w:val="en-GB"/>
        </w:rPr>
        <w:t xml:space="preserve"> </w:t>
      </w:r>
      <w:r w:rsidRPr="00F545DB">
        <w:rPr>
          <w:i/>
          <w:iCs/>
          <w:lang w:val="en-GB"/>
        </w:rPr>
        <w:t>Ibid</w:t>
      </w:r>
      <w:r w:rsidRPr="00F545DB">
        <w:rPr>
          <w:lang w:val="en-GB"/>
        </w:rPr>
        <w:t>., art. 115.</w:t>
      </w:r>
    </w:p>
  </w:footnote>
  <w:footnote w:id="132">
    <w:p w14:paraId="67E1D4B7" w14:textId="06554583" w:rsidR="001F4892" w:rsidRPr="001F4892" w:rsidRDefault="001F4892">
      <w:pPr>
        <w:pStyle w:val="Voetnoottekst"/>
        <w:rPr>
          <w:lang w:val="en-GB"/>
        </w:rPr>
      </w:pPr>
      <w:r>
        <w:rPr>
          <w:rStyle w:val="Voetnootmarkering"/>
        </w:rPr>
        <w:footnoteRef/>
      </w:r>
      <w:r w:rsidRPr="001F4892">
        <w:rPr>
          <w:lang w:val="en-GB"/>
        </w:rPr>
        <w:t xml:space="preserve"> </w:t>
      </w:r>
      <w:r w:rsidRPr="001F4892">
        <w:rPr>
          <w:i/>
          <w:iCs/>
          <w:lang w:val="en-GB"/>
        </w:rPr>
        <w:t>I</w:t>
      </w:r>
      <w:r>
        <w:rPr>
          <w:i/>
          <w:iCs/>
          <w:lang w:val="en-GB"/>
        </w:rPr>
        <w:t>bid</w:t>
      </w:r>
      <w:r>
        <w:rPr>
          <w:lang w:val="en-GB"/>
        </w:rPr>
        <w:t>., art. 87.</w:t>
      </w:r>
    </w:p>
  </w:footnote>
  <w:footnote w:id="133">
    <w:p w14:paraId="1087ACF4" w14:textId="4FDD8627" w:rsidR="00B30E18" w:rsidRPr="00B30E18" w:rsidRDefault="00B30E18">
      <w:pPr>
        <w:pStyle w:val="Voetnoottekst"/>
        <w:rPr>
          <w:lang w:val="en-GB"/>
        </w:rPr>
      </w:pPr>
      <w:r>
        <w:rPr>
          <w:rStyle w:val="Voetnootmarkering"/>
        </w:rPr>
        <w:footnoteRef/>
      </w:r>
      <w:r w:rsidRPr="00B30E18">
        <w:rPr>
          <w:lang w:val="en-GB"/>
        </w:rPr>
        <w:t xml:space="preserve"> </w:t>
      </w:r>
      <w:r w:rsidRPr="00B30E18">
        <w:rPr>
          <w:i/>
          <w:iCs/>
          <w:lang w:val="en-GB"/>
        </w:rPr>
        <w:t>I</w:t>
      </w:r>
      <w:r>
        <w:rPr>
          <w:i/>
          <w:iCs/>
          <w:lang w:val="en-GB"/>
        </w:rPr>
        <w:t>bid</w:t>
      </w:r>
      <w:r>
        <w:rPr>
          <w:lang w:val="en-GB"/>
        </w:rPr>
        <w:t>., art. 88.</w:t>
      </w:r>
    </w:p>
  </w:footnote>
  <w:footnote w:id="134">
    <w:p w14:paraId="1DCC0FFF" w14:textId="7A3D7085" w:rsidR="00B30E18" w:rsidRPr="00B30E18" w:rsidRDefault="00B30E18">
      <w:pPr>
        <w:pStyle w:val="Voetnoottekst"/>
        <w:rPr>
          <w:lang w:val="en-GB"/>
        </w:rPr>
      </w:pPr>
      <w:r>
        <w:rPr>
          <w:rStyle w:val="Voetnootmarkering"/>
        </w:rPr>
        <w:footnoteRef/>
      </w:r>
      <w:r w:rsidRPr="00B30E18">
        <w:rPr>
          <w:lang w:val="en-GB"/>
        </w:rPr>
        <w:t xml:space="preserve"> </w:t>
      </w:r>
      <w:r w:rsidRPr="00B30E18">
        <w:rPr>
          <w:i/>
          <w:iCs/>
          <w:lang w:val="en-GB"/>
        </w:rPr>
        <w:t>I</w:t>
      </w:r>
      <w:r>
        <w:rPr>
          <w:i/>
          <w:iCs/>
          <w:lang w:val="en-GB"/>
        </w:rPr>
        <w:t>bid</w:t>
      </w:r>
      <w:r>
        <w:rPr>
          <w:lang w:val="en-GB"/>
        </w:rPr>
        <w:t>., art. 89.</w:t>
      </w:r>
    </w:p>
  </w:footnote>
  <w:footnote w:id="135">
    <w:p w14:paraId="08ACBF9A" w14:textId="08658CC2" w:rsidR="00DB632D" w:rsidRPr="00DB632D" w:rsidRDefault="00DB632D">
      <w:pPr>
        <w:pStyle w:val="Voetnoottekst"/>
        <w:rPr>
          <w:lang w:val="en-GB"/>
        </w:rPr>
      </w:pPr>
      <w:r>
        <w:rPr>
          <w:rStyle w:val="Voetnootmarkering"/>
        </w:rPr>
        <w:footnoteRef/>
      </w:r>
      <w:r w:rsidRPr="00DB632D">
        <w:rPr>
          <w:lang w:val="en-GB"/>
        </w:rPr>
        <w:t xml:space="preserve"> </w:t>
      </w:r>
      <w:r w:rsidRPr="00DB632D">
        <w:rPr>
          <w:i/>
          <w:iCs/>
          <w:lang w:val="en-GB"/>
        </w:rPr>
        <w:t>I</w:t>
      </w:r>
      <w:r>
        <w:rPr>
          <w:i/>
          <w:iCs/>
          <w:lang w:val="en-GB"/>
        </w:rPr>
        <w:t>bid</w:t>
      </w:r>
      <w:r>
        <w:rPr>
          <w:lang w:val="en-GB"/>
        </w:rPr>
        <w:t>., art. 93.</w:t>
      </w:r>
    </w:p>
  </w:footnote>
  <w:footnote w:id="136">
    <w:p w14:paraId="3400AC9D" w14:textId="3E8C83DD" w:rsidR="002715F2" w:rsidRPr="002715F2" w:rsidRDefault="002715F2">
      <w:pPr>
        <w:pStyle w:val="Voetnoottekst"/>
        <w:rPr>
          <w:lang w:val="en-GB"/>
        </w:rPr>
      </w:pPr>
      <w:r>
        <w:rPr>
          <w:rStyle w:val="Voetnootmarkering"/>
        </w:rPr>
        <w:footnoteRef/>
      </w:r>
      <w:r w:rsidRPr="002715F2">
        <w:rPr>
          <w:lang w:val="en-GB"/>
        </w:rPr>
        <w:t xml:space="preserve"> </w:t>
      </w:r>
      <w:r w:rsidRPr="002715F2">
        <w:rPr>
          <w:i/>
          <w:iCs/>
          <w:lang w:val="en-GB"/>
        </w:rPr>
        <w:t>I</w:t>
      </w:r>
      <w:r>
        <w:rPr>
          <w:i/>
          <w:iCs/>
          <w:lang w:val="en-GB"/>
        </w:rPr>
        <w:t>bid</w:t>
      </w:r>
      <w:r>
        <w:rPr>
          <w:lang w:val="en-GB"/>
        </w:rPr>
        <w:t>., art. 110, 1°.</w:t>
      </w:r>
    </w:p>
  </w:footnote>
  <w:footnote w:id="137">
    <w:p w14:paraId="2CC2FE65" w14:textId="5DF25329" w:rsidR="002715F2" w:rsidRPr="002715F2" w:rsidRDefault="002715F2">
      <w:pPr>
        <w:pStyle w:val="Voetnoottekst"/>
        <w:rPr>
          <w:lang w:val="en-GB"/>
        </w:rPr>
      </w:pPr>
      <w:r>
        <w:rPr>
          <w:rStyle w:val="Voetnootmarkering"/>
        </w:rPr>
        <w:footnoteRef/>
      </w:r>
      <w:r w:rsidRPr="002715F2">
        <w:rPr>
          <w:lang w:val="en-GB"/>
        </w:rPr>
        <w:t xml:space="preserve"> </w:t>
      </w:r>
      <w:r w:rsidRPr="002715F2">
        <w:rPr>
          <w:i/>
          <w:iCs/>
          <w:lang w:val="en-GB"/>
        </w:rPr>
        <w:t>I</w:t>
      </w:r>
      <w:r>
        <w:rPr>
          <w:i/>
          <w:iCs/>
          <w:lang w:val="en-GB"/>
        </w:rPr>
        <w:t>bid</w:t>
      </w:r>
      <w:r>
        <w:rPr>
          <w:lang w:val="en-GB"/>
        </w:rPr>
        <w:t>., art. 110, 2°.</w:t>
      </w:r>
    </w:p>
  </w:footnote>
  <w:footnote w:id="138">
    <w:p w14:paraId="55FE03D2" w14:textId="52E4AD43" w:rsidR="008B3C76" w:rsidRPr="008B3C76" w:rsidRDefault="008B3C76">
      <w:pPr>
        <w:pStyle w:val="Voetnoottekst"/>
        <w:rPr>
          <w:lang w:val="en-GB"/>
        </w:rPr>
      </w:pPr>
      <w:r>
        <w:rPr>
          <w:rStyle w:val="Voetnootmarkering"/>
        </w:rPr>
        <w:footnoteRef/>
      </w:r>
      <w:r w:rsidRPr="008B3C76">
        <w:rPr>
          <w:lang w:val="en-GB"/>
        </w:rPr>
        <w:t xml:space="preserve"> </w:t>
      </w:r>
      <w:r w:rsidRPr="008B3C76">
        <w:rPr>
          <w:i/>
          <w:iCs/>
          <w:lang w:val="en-GB"/>
        </w:rPr>
        <w:t>I</w:t>
      </w:r>
      <w:r>
        <w:rPr>
          <w:i/>
          <w:iCs/>
          <w:lang w:val="en-GB"/>
        </w:rPr>
        <w:t>bid</w:t>
      </w:r>
      <w:r>
        <w:rPr>
          <w:lang w:val="en-GB"/>
        </w:rPr>
        <w:t>., art. 54.</w:t>
      </w:r>
    </w:p>
  </w:footnote>
  <w:footnote w:id="139">
    <w:p w14:paraId="112959E7" w14:textId="57A487A2" w:rsidR="0018098C" w:rsidRPr="0018098C" w:rsidRDefault="0018098C">
      <w:pPr>
        <w:pStyle w:val="Voetnoottekst"/>
        <w:rPr>
          <w:lang w:val="en-GB"/>
        </w:rPr>
      </w:pPr>
      <w:r>
        <w:rPr>
          <w:rStyle w:val="Voetnootmarkering"/>
        </w:rPr>
        <w:footnoteRef/>
      </w:r>
      <w:r w:rsidRPr="0018098C">
        <w:rPr>
          <w:lang w:val="en-GB"/>
        </w:rPr>
        <w:t xml:space="preserve"> </w:t>
      </w:r>
      <w:r w:rsidRPr="0018098C">
        <w:rPr>
          <w:i/>
          <w:iCs/>
          <w:lang w:val="en-GB"/>
        </w:rPr>
        <w:t>I</w:t>
      </w:r>
      <w:r>
        <w:rPr>
          <w:i/>
          <w:iCs/>
          <w:lang w:val="en-GB"/>
        </w:rPr>
        <w:t>bid</w:t>
      </w:r>
      <w:r>
        <w:rPr>
          <w:lang w:val="en-GB"/>
        </w:rPr>
        <w:t>., art. 56.</w:t>
      </w:r>
    </w:p>
  </w:footnote>
  <w:footnote w:id="140">
    <w:p w14:paraId="6C90FFBA" w14:textId="1642678F" w:rsidR="00B36E7B" w:rsidRPr="00B36E7B" w:rsidRDefault="00B36E7B">
      <w:pPr>
        <w:pStyle w:val="Voetnoottekst"/>
        <w:rPr>
          <w:lang w:val="en-GB"/>
        </w:rPr>
      </w:pPr>
      <w:r>
        <w:rPr>
          <w:rStyle w:val="Voetnootmarkering"/>
        </w:rPr>
        <w:footnoteRef/>
      </w:r>
      <w:r w:rsidRPr="00B36E7B">
        <w:rPr>
          <w:lang w:val="en-GB"/>
        </w:rPr>
        <w:t xml:space="preserve"> </w:t>
      </w:r>
      <w:r w:rsidRPr="00B36E7B">
        <w:rPr>
          <w:i/>
          <w:iCs/>
          <w:lang w:val="en-GB"/>
        </w:rPr>
        <w:t>I</w:t>
      </w:r>
      <w:r>
        <w:rPr>
          <w:i/>
          <w:iCs/>
          <w:lang w:val="en-GB"/>
        </w:rPr>
        <w:t>bid</w:t>
      </w:r>
      <w:r>
        <w:rPr>
          <w:lang w:val="en-GB"/>
        </w:rPr>
        <w:t xml:space="preserve">., art. </w:t>
      </w:r>
      <w:r w:rsidR="00CA25F1">
        <w:rPr>
          <w:lang w:val="en-GB"/>
        </w:rPr>
        <w:t>57</w:t>
      </w:r>
      <w:r w:rsidR="0084081E">
        <w:rPr>
          <w:lang w:val="en-GB"/>
        </w:rPr>
        <w:t>,</w:t>
      </w:r>
      <w:r w:rsidR="00CA25F1">
        <w:rPr>
          <w:lang w:val="en-GB"/>
        </w:rPr>
        <w:t xml:space="preserve"> </w:t>
      </w:r>
      <w:r>
        <w:rPr>
          <w:lang w:val="en-GB"/>
        </w:rPr>
        <w:t>63, 3°</w:t>
      </w:r>
      <w:r w:rsidR="0084081E">
        <w:rPr>
          <w:lang w:val="en-GB"/>
        </w:rPr>
        <w:t>; 66, 67</w:t>
      </w:r>
      <w:r w:rsidR="00716D8B">
        <w:rPr>
          <w:lang w:val="en-GB"/>
        </w:rPr>
        <w:t>-70, 72, 2°</w:t>
      </w:r>
      <w:r w:rsidR="009C15BA">
        <w:rPr>
          <w:lang w:val="en-GB"/>
        </w:rPr>
        <w:t>; 75, 78-80, 91, 97, 104, 114.</w:t>
      </w:r>
    </w:p>
  </w:footnote>
  <w:footnote w:id="141">
    <w:p w14:paraId="28EE23EA" w14:textId="70C27B3C" w:rsidR="0088248D" w:rsidRPr="00B36E7B" w:rsidRDefault="0088248D">
      <w:pPr>
        <w:pStyle w:val="Voetnoottekst"/>
        <w:rPr>
          <w:lang w:val="en-GB"/>
        </w:rPr>
      </w:pPr>
      <w:r>
        <w:rPr>
          <w:rStyle w:val="Voetnootmarkering"/>
        </w:rPr>
        <w:footnoteRef/>
      </w:r>
      <w:r w:rsidRPr="00B36E7B">
        <w:rPr>
          <w:lang w:val="en-GB"/>
        </w:rPr>
        <w:t xml:space="preserve"> </w:t>
      </w:r>
      <w:r w:rsidRPr="00B36E7B">
        <w:rPr>
          <w:i/>
          <w:iCs/>
          <w:lang w:val="en-GB"/>
        </w:rPr>
        <w:t>Ibid</w:t>
      </w:r>
      <w:r w:rsidRPr="00B36E7B">
        <w:rPr>
          <w:lang w:val="en-GB"/>
        </w:rPr>
        <w:t>., art.60.</w:t>
      </w:r>
    </w:p>
  </w:footnote>
  <w:footnote w:id="142">
    <w:p w14:paraId="536B3FB1" w14:textId="029187CF" w:rsidR="00BF7B79" w:rsidRPr="00BF7B79" w:rsidRDefault="00BF7B79">
      <w:pPr>
        <w:pStyle w:val="Voetnoottekst"/>
        <w:rPr>
          <w:lang w:val="en-GB"/>
        </w:rPr>
      </w:pPr>
      <w:r>
        <w:rPr>
          <w:rStyle w:val="Voetnootmarkering"/>
        </w:rPr>
        <w:footnoteRef/>
      </w:r>
      <w:r w:rsidRPr="00BF7B79">
        <w:rPr>
          <w:lang w:val="en-GB"/>
        </w:rPr>
        <w:t xml:space="preserve"> </w:t>
      </w:r>
      <w:r w:rsidRPr="00BF7B79">
        <w:rPr>
          <w:i/>
          <w:iCs/>
          <w:lang w:val="en-GB"/>
        </w:rPr>
        <w:t>I</w:t>
      </w:r>
      <w:r>
        <w:rPr>
          <w:i/>
          <w:iCs/>
          <w:lang w:val="en-GB"/>
        </w:rPr>
        <w:t>bid</w:t>
      </w:r>
      <w:r>
        <w:rPr>
          <w:lang w:val="en-GB"/>
        </w:rPr>
        <w:t>., art. 71.</w:t>
      </w:r>
    </w:p>
  </w:footnote>
  <w:footnote w:id="143">
    <w:p w14:paraId="0B10E5D9" w14:textId="760D0C7F" w:rsidR="00E4521D" w:rsidRPr="00E4521D" w:rsidRDefault="00E4521D">
      <w:pPr>
        <w:pStyle w:val="Voetnoottekst"/>
        <w:rPr>
          <w:lang w:val="en-GB"/>
        </w:rPr>
      </w:pPr>
      <w:r>
        <w:rPr>
          <w:rStyle w:val="Voetnootmarkering"/>
        </w:rPr>
        <w:footnoteRef/>
      </w:r>
      <w:r w:rsidRPr="00E4521D">
        <w:rPr>
          <w:lang w:val="en-GB"/>
        </w:rPr>
        <w:t xml:space="preserve"> </w:t>
      </w:r>
      <w:r w:rsidRPr="00E4521D">
        <w:rPr>
          <w:i/>
          <w:iCs/>
          <w:lang w:val="en-GB"/>
        </w:rPr>
        <w:t>Ib</w:t>
      </w:r>
      <w:r>
        <w:rPr>
          <w:i/>
          <w:iCs/>
          <w:lang w:val="en-GB"/>
        </w:rPr>
        <w:t>id</w:t>
      </w:r>
      <w:r>
        <w:rPr>
          <w:lang w:val="en-GB"/>
        </w:rPr>
        <w:t>., art. 72, 1°.</w:t>
      </w:r>
    </w:p>
  </w:footnote>
  <w:footnote w:id="144">
    <w:p w14:paraId="2F59ADF6" w14:textId="39994775" w:rsidR="00D16778" w:rsidRPr="00D16778" w:rsidRDefault="00D16778">
      <w:pPr>
        <w:pStyle w:val="Voetnoottekst"/>
        <w:rPr>
          <w:lang w:val="en-GB"/>
        </w:rPr>
      </w:pPr>
      <w:r>
        <w:rPr>
          <w:rStyle w:val="Voetnootmarkering"/>
        </w:rPr>
        <w:footnoteRef/>
      </w:r>
      <w:r w:rsidRPr="00D16778">
        <w:rPr>
          <w:lang w:val="en-GB"/>
        </w:rPr>
        <w:t xml:space="preserve"> </w:t>
      </w:r>
      <w:r w:rsidRPr="00D16778">
        <w:rPr>
          <w:i/>
          <w:iCs/>
          <w:lang w:val="en-GB"/>
        </w:rPr>
        <w:t>I</w:t>
      </w:r>
      <w:r>
        <w:rPr>
          <w:i/>
          <w:iCs/>
          <w:lang w:val="en-GB"/>
        </w:rPr>
        <w:t>bid</w:t>
      </w:r>
      <w:r>
        <w:rPr>
          <w:lang w:val="en-GB"/>
        </w:rPr>
        <w:t>., art. 73.</w:t>
      </w:r>
    </w:p>
  </w:footnote>
  <w:footnote w:id="145">
    <w:p w14:paraId="20C5B9D9" w14:textId="310A4F6B" w:rsidR="007F2187" w:rsidRPr="00D74D13" w:rsidRDefault="007F2187">
      <w:pPr>
        <w:pStyle w:val="Voetnoottekst"/>
        <w:rPr>
          <w:lang w:val="en-GB"/>
        </w:rPr>
      </w:pPr>
      <w:r>
        <w:rPr>
          <w:rStyle w:val="Voetnootmarkering"/>
        </w:rPr>
        <w:footnoteRef/>
      </w:r>
      <w:r w:rsidRPr="00D74D13">
        <w:rPr>
          <w:lang w:val="en-GB"/>
        </w:rPr>
        <w:t xml:space="preserve"> </w:t>
      </w:r>
      <w:r w:rsidRPr="00D74D13">
        <w:rPr>
          <w:i/>
          <w:iCs/>
          <w:lang w:val="en-GB"/>
        </w:rPr>
        <w:t>Ibid</w:t>
      </w:r>
      <w:r w:rsidRPr="00D74D13">
        <w:rPr>
          <w:lang w:val="en-GB"/>
        </w:rPr>
        <w:t>., art. 116, 1°.</w:t>
      </w:r>
    </w:p>
  </w:footnote>
  <w:footnote w:id="146">
    <w:p w14:paraId="070B3808" w14:textId="1822614C" w:rsidR="007709D2" w:rsidRPr="007709D2" w:rsidRDefault="007709D2">
      <w:pPr>
        <w:pStyle w:val="Voetnoottekst"/>
        <w:rPr>
          <w:lang w:val="en-GB"/>
        </w:rPr>
      </w:pPr>
      <w:r>
        <w:rPr>
          <w:rStyle w:val="Voetnootmarkering"/>
        </w:rPr>
        <w:footnoteRef/>
      </w:r>
      <w:r w:rsidRPr="007709D2">
        <w:rPr>
          <w:lang w:val="en-GB"/>
        </w:rPr>
        <w:t xml:space="preserve"> </w:t>
      </w:r>
      <w:r w:rsidRPr="007709D2">
        <w:rPr>
          <w:i/>
          <w:iCs/>
          <w:lang w:val="en-GB"/>
        </w:rPr>
        <w:t>I</w:t>
      </w:r>
      <w:r>
        <w:rPr>
          <w:i/>
          <w:iCs/>
          <w:lang w:val="en-GB"/>
        </w:rPr>
        <w:t>bid</w:t>
      </w:r>
      <w:r>
        <w:rPr>
          <w:lang w:val="en-GB"/>
        </w:rPr>
        <w:t>., art. 74.</w:t>
      </w:r>
    </w:p>
  </w:footnote>
  <w:footnote w:id="147">
    <w:p w14:paraId="0610C84B" w14:textId="06F63C6C" w:rsidR="005517B2" w:rsidRPr="005517B2" w:rsidRDefault="005517B2">
      <w:pPr>
        <w:pStyle w:val="Voetnoottekst"/>
        <w:rPr>
          <w:lang w:val="en-GB"/>
        </w:rPr>
      </w:pPr>
      <w:r>
        <w:rPr>
          <w:rStyle w:val="Voetnootmarkering"/>
        </w:rPr>
        <w:footnoteRef/>
      </w:r>
      <w:r w:rsidRPr="005517B2">
        <w:rPr>
          <w:lang w:val="en-GB"/>
        </w:rPr>
        <w:t xml:space="preserve"> </w:t>
      </w:r>
      <w:r w:rsidRPr="005517B2">
        <w:rPr>
          <w:i/>
          <w:iCs/>
          <w:lang w:val="en-GB"/>
        </w:rPr>
        <w:t>I</w:t>
      </w:r>
      <w:r>
        <w:rPr>
          <w:i/>
          <w:iCs/>
          <w:lang w:val="en-GB"/>
        </w:rPr>
        <w:t>bid</w:t>
      </w:r>
      <w:r>
        <w:rPr>
          <w:lang w:val="en-GB"/>
        </w:rPr>
        <w:t>., art. 77.</w:t>
      </w:r>
    </w:p>
  </w:footnote>
  <w:footnote w:id="148">
    <w:p w14:paraId="7E100091" w14:textId="3DBB4AA7" w:rsidR="00AE0250" w:rsidRPr="00DB632D" w:rsidRDefault="00AE0250">
      <w:pPr>
        <w:pStyle w:val="Voetnoottekst"/>
        <w:rPr>
          <w:lang w:val="en-GB"/>
        </w:rPr>
      </w:pPr>
      <w:r>
        <w:rPr>
          <w:rStyle w:val="Voetnootmarkering"/>
        </w:rPr>
        <w:footnoteRef/>
      </w:r>
      <w:r w:rsidRPr="00DB632D">
        <w:rPr>
          <w:lang w:val="en-GB"/>
        </w:rPr>
        <w:t xml:space="preserve"> </w:t>
      </w:r>
      <w:r w:rsidR="00DB632D" w:rsidRPr="00DB632D">
        <w:rPr>
          <w:i/>
          <w:iCs/>
          <w:lang w:val="en-GB"/>
        </w:rPr>
        <w:t>I</w:t>
      </w:r>
      <w:r w:rsidR="00DB632D">
        <w:rPr>
          <w:i/>
          <w:iCs/>
          <w:lang w:val="en-GB"/>
        </w:rPr>
        <w:t>bid</w:t>
      </w:r>
      <w:r w:rsidR="00DB632D">
        <w:rPr>
          <w:lang w:val="en-GB"/>
        </w:rPr>
        <w:t>., art. 102 en 108.</w:t>
      </w:r>
    </w:p>
  </w:footnote>
  <w:footnote w:id="149">
    <w:p w14:paraId="29AC5788" w14:textId="77777777" w:rsidR="00BF7B79" w:rsidRPr="00FD0DD7" w:rsidRDefault="00BF7B79" w:rsidP="00BF7B79">
      <w:pPr>
        <w:pStyle w:val="Voetnoottekst"/>
        <w:rPr>
          <w:lang w:val="en-GB"/>
        </w:rPr>
      </w:pPr>
      <w:r>
        <w:rPr>
          <w:rStyle w:val="Voetnootmarkering"/>
        </w:rPr>
        <w:footnoteRef/>
      </w:r>
      <w:r w:rsidRPr="00FD0DD7">
        <w:rPr>
          <w:lang w:val="en-GB"/>
        </w:rPr>
        <w:t xml:space="preserve"> </w:t>
      </w:r>
      <w:r w:rsidRPr="00FD0DD7">
        <w:rPr>
          <w:i/>
          <w:iCs/>
          <w:lang w:val="en-GB"/>
        </w:rPr>
        <w:t>Ibid</w:t>
      </w:r>
      <w:r w:rsidRPr="00FD0DD7">
        <w:rPr>
          <w:lang w:val="en-GB"/>
        </w:rPr>
        <w:t>., art. 44-46.</w:t>
      </w:r>
    </w:p>
  </w:footnote>
  <w:footnote w:id="150">
    <w:p w14:paraId="6FC32722" w14:textId="6D92AF7E" w:rsidR="00F545DB" w:rsidRPr="00A45B53" w:rsidRDefault="00F545DB">
      <w:pPr>
        <w:pStyle w:val="Voetnoottekst"/>
        <w:rPr>
          <w:lang w:val="en-GB"/>
        </w:rPr>
      </w:pPr>
      <w:r>
        <w:rPr>
          <w:rStyle w:val="Voetnootmarkering"/>
        </w:rPr>
        <w:footnoteRef/>
      </w:r>
      <w:r w:rsidRPr="00A45B53">
        <w:rPr>
          <w:lang w:val="en-GB"/>
        </w:rPr>
        <w:t xml:space="preserve"> </w:t>
      </w:r>
      <w:r w:rsidRPr="00A45B53">
        <w:rPr>
          <w:i/>
          <w:iCs/>
          <w:lang w:val="en-GB"/>
        </w:rPr>
        <w:t>Ibid</w:t>
      </w:r>
      <w:r w:rsidRPr="00A45B53">
        <w:rPr>
          <w:lang w:val="en-GB"/>
        </w:rPr>
        <w:t>., art. 120.</w:t>
      </w:r>
    </w:p>
  </w:footnote>
  <w:footnote w:id="151">
    <w:p w14:paraId="404F9F1E" w14:textId="13751421" w:rsidR="00816017" w:rsidRPr="00816017" w:rsidRDefault="00816017">
      <w:pPr>
        <w:pStyle w:val="Voetnoottekst"/>
        <w:rPr>
          <w:lang w:val="en-GB"/>
        </w:rPr>
      </w:pPr>
      <w:r>
        <w:rPr>
          <w:rStyle w:val="Voetnootmarkering"/>
        </w:rPr>
        <w:footnoteRef/>
      </w:r>
      <w:r w:rsidRPr="00816017">
        <w:rPr>
          <w:lang w:val="en-GB"/>
        </w:rPr>
        <w:t xml:space="preserve"> </w:t>
      </w:r>
      <w:r w:rsidRPr="00816017">
        <w:rPr>
          <w:i/>
          <w:iCs/>
          <w:lang w:val="en-GB"/>
        </w:rPr>
        <w:t>I</w:t>
      </w:r>
      <w:r>
        <w:rPr>
          <w:i/>
          <w:iCs/>
          <w:lang w:val="en-GB"/>
        </w:rPr>
        <w:t>bid</w:t>
      </w:r>
      <w:r>
        <w:rPr>
          <w:lang w:val="en-GB"/>
        </w:rPr>
        <w:t>., art. 126, 2°.</w:t>
      </w:r>
    </w:p>
  </w:footnote>
  <w:footnote w:id="152">
    <w:p w14:paraId="5B3283ED" w14:textId="35C072A7" w:rsidR="00B521C4" w:rsidRPr="00B521C4" w:rsidRDefault="00B521C4">
      <w:pPr>
        <w:pStyle w:val="Voetnoottekst"/>
        <w:rPr>
          <w:lang w:val="en-GB"/>
        </w:rPr>
      </w:pPr>
      <w:r>
        <w:rPr>
          <w:rStyle w:val="Voetnootmarkering"/>
        </w:rPr>
        <w:footnoteRef/>
      </w:r>
      <w:r w:rsidRPr="00B521C4">
        <w:rPr>
          <w:lang w:val="en-GB"/>
        </w:rPr>
        <w:t xml:space="preserve"> </w:t>
      </w:r>
      <w:r w:rsidRPr="00B521C4">
        <w:rPr>
          <w:i/>
          <w:iCs/>
          <w:lang w:val="en-GB"/>
        </w:rPr>
        <w:t>I</w:t>
      </w:r>
      <w:r>
        <w:rPr>
          <w:i/>
          <w:iCs/>
          <w:lang w:val="en-GB"/>
        </w:rPr>
        <w:t>bid</w:t>
      </w:r>
      <w:r>
        <w:rPr>
          <w:lang w:val="en-GB"/>
        </w:rPr>
        <w:t>., art. 127, 1°.</w:t>
      </w:r>
    </w:p>
  </w:footnote>
  <w:footnote w:id="153">
    <w:p w14:paraId="437DF060" w14:textId="2A20F114" w:rsidR="00B521C4" w:rsidRPr="00B521C4" w:rsidRDefault="00B521C4">
      <w:pPr>
        <w:pStyle w:val="Voetnoottekst"/>
        <w:rPr>
          <w:lang w:val="en-GB"/>
        </w:rPr>
      </w:pPr>
      <w:r>
        <w:rPr>
          <w:rStyle w:val="Voetnootmarkering"/>
        </w:rPr>
        <w:footnoteRef/>
      </w:r>
      <w:r w:rsidRPr="00B521C4">
        <w:rPr>
          <w:lang w:val="en-GB"/>
        </w:rPr>
        <w:t xml:space="preserve"> </w:t>
      </w:r>
      <w:r w:rsidRPr="00B521C4">
        <w:rPr>
          <w:i/>
          <w:iCs/>
          <w:lang w:val="en-GB"/>
        </w:rPr>
        <w:t>I</w:t>
      </w:r>
      <w:r>
        <w:rPr>
          <w:i/>
          <w:iCs/>
          <w:lang w:val="en-GB"/>
        </w:rPr>
        <w:t>bid</w:t>
      </w:r>
      <w:r>
        <w:rPr>
          <w:lang w:val="en-GB"/>
        </w:rPr>
        <w:t>., art. 127, 2°.</w:t>
      </w:r>
    </w:p>
  </w:footnote>
  <w:footnote w:id="154">
    <w:p w14:paraId="2D31BE45" w14:textId="3639903F" w:rsidR="007D6BF3" w:rsidRPr="007D6BF3" w:rsidRDefault="007D6BF3">
      <w:pPr>
        <w:pStyle w:val="Voetnoottekst"/>
        <w:rPr>
          <w:lang w:val="en-GB"/>
        </w:rPr>
      </w:pPr>
      <w:r>
        <w:rPr>
          <w:rStyle w:val="Voetnootmarkering"/>
        </w:rPr>
        <w:footnoteRef/>
      </w:r>
      <w:r w:rsidRPr="007D6BF3">
        <w:rPr>
          <w:lang w:val="en-GB"/>
        </w:rPr>
        <w:t xml:space="preserve"> </w:t>
      </w:r>
      <w:r w:rsidRPr="007D6BF3">
        <w:rPr>
          <w:i/>
          <w:iCs/>
          <w:lang w:val="en-GB"/>
        </w:rPr>
        <w:t>I</w:t>
      </w:r>
      <w:r>
        <w:rPr>
          <w:i/>
          <w:iCs/>
          <w:lang w:val="en-GB"/>
        </w:rPr>
        <w:t>bid</w:t>
      </w:r>
      <w:r>
        <w:rPr>
          <w:lang w:val="en-GB"/>
        </w:rPr>
        <w:t>., art. 127, 4°.</w:t>
      </w:r>
    </w:p>
  </w:footnote>
  <w:footnote w:id="155">
    <w:p w14:paraId="3B351D42" w14:textId="77777777" w:rsidR="00074700" w:rsidRPr="00457BF3" w:rsidRDefault="00074700" w:rsidP="00074700">
      <w:pPr>
        <w:pStyle w:val="Voetnoottekst"/>
      </w:pPr>
      <w:r>
        <w:rPr>
          <w:rStyle w:val="Voetnootmarkering"/>
        </w:rPr>
        <w:footnoteRef/>
      </w:r>
      <w:r w:rsidRPr="00457BF3">
        <w:t xml:space="preserve"> </w:t>
      </w:r>
      <w:r w:rsidRPr="00457BF3">
        <w:rPr>
          <w:i/>
          <w:iCs/>
        </w:rPr>
        <w:t>Ibid</w:t>
      </w:r>
      <w:r w:rsidRPr="00457BF3">
        <w:t>., art. 132.</w:t>
      </w:r>
    </w:p>
  </w:footnote>
  <w:footnote w:id="156">
    <w:p w14:paraId="3DBA782B" w14:textId="0966853D" w:rsidR="00704EFB" w:rsidRPr="00D74D13" w:rsidRDefault="00704EFB">
      <w:pPr>
        <w:pStyle w:val="Voetnoottekst"/>
      </w:pPr>
      <w:r>
        <w:rPr>
          <w:rStyle w:val="Voetnootmarkering"/>
        </w:rPr>
        <w:footnoteRef/>
      </w:r>
      <w:r w:rsidRPr="00D74D13">
        <w:t xml:space="preserve"> </w:t>
      </w:r>
      <w:r w:rsidRPr="00D74D13">
        <w:rPr>
          <w:i/>
          <w:iCs/>
        </w:rPr>
        <w:t>Ibid</w:t>
      </w:r>
      <w:r w:rsidRPr="00D74D13">
        <w:t>., art. 42.</w:t>
      </w:r>
    </w:p>
  </w:footnote>
  <w:footnote w:id="157">
    <w:p w14:paraId="21D099D4" w14:textId="0C2BA88F" w:rsidR="0068057A" w:rsidRPr="00D74D13" w:rsidRDefault="0068057A">
      <w:pPr>
        <w:pStyle w:val="Voetnoottekst"/>
      </w:pPr>
      <w:r>
        <w:rPr>
          <w:rStyle w:val="Voetnootmarkering"/>
        </w:rPr>
        <w:footnoteRef/>
      </w:r>
      <w:r w:rsidRPr="00D74D13">
        <w:t xml:space="preserve"> </w:t>
      </w:r>
      <w:r w:rsidR="00FB65CF">
        <w:t>D</w:t>
      </w:r>
      <w:r w:rsidR="009300C1">
        <w:t xml:space="preserve">ecreet van 24 juni 2022 tot wijziging van het decreet van 15 juni 2007 betreffende het volwassenenonderwijs en tot wijziging van het decreet van 7 juni 2013 betreffende het Vlaamse integratie- en inburgeringsbeleid in functie van het hertekende inburgeringsbeleid, </w:t>
      </w:r>
      <w:r w:rsidR="009300C1">
        <w:rPr>
          <w:i/>
          <w:iCs/>
        </w:rPr>
        <w:t xml:space="preserve">BS </w:t>
      </w:r>
      <w:r w:rsidR="009300C1">
        <w:t>15 juli 2022.</w:t>
      </w:r>
    </w:p>
  </w:footnote>
  <w:footnote w:id="158">
    <w:p w14:paraId="4CEABF76" w14:textId="413F0616" w:rsidR="00920114" w:rsidRPr="0065285D" w:rsidRDefault="00920114">
      <w:pPr>
        <w:pStyle w:val="Voetnoottekst"/>
      </w:pPr>
      <w:r>
        <w:rPr>
          <w:rStyle w:val="Voetnootmarkering"/>
        </w:rPr>
        <w:footnoteRef/>
      </w:r>
      <w:r w:rsidRPr="0065285D">
        <w:t xml:space="preserve"> Art. 43</w:t>
      </w:r>
      <w:r w:rsidR="0065285D" w:rsidRPr="0065285D">
        <w:t xml:space="preserve"> decreet van 7 juli 2023 over h</w:t>
      </w:r>
      <w:r w:rsidR="0065285D">
        <w:t xml:space="preserve">et onderwijs XXXIII, </w:t>
      </w:r>
      <w:r w:rsidR="0065285D" w:rsidRPr="00846156">
        <w:rPr>
          <w:i/>
          <w:iCs/>
        </w:rPr>
        <w:t>BS</w:t>
      </w:r>
      <w:r w:rsidR="0065285D">
        <w:t xml:space="preserve"> </w:t>
      </w:r>
      <w:r w:rsidR="00846156">
        <w:t>28 augustus 2023</w:t>
      </w:r>
      <w:r w:rsidR="0065285D">
        <w:t>.</w:t>
      </w:r>
    </w:p>
  </w:footnote>
  <w:footnote w:id="159">
    <w:p w14:paraId="167198C8" w14:textId="259C2F29" w:rsidR="00FF279C" w:rsidRPr="00D74D13" w:rsidRDefault="00FF279C">
      <w:pPr>
        <w:pStyle w:val="Voetnoottekst"/>
      </w:pPr>
      <w:r>
        <w:rPr>
          <w:rStyle w:val="Voetnootmarkering"/>
        </w:rPr>
        <w:footnoteRef/>
      </w:r>
      <w:r w:rsidRPr="00D74D13">
        <w:t xml:space="preserve"> </w:t>
      </w:r>
      <w:r w:rsidR="00284F52" w:rsidRPr="00D74D13">
        <w:rPr>
          <w:i/>
          <w:iCs/>
        </w:rPr>
        <w:t>Ibid</w:t>
      </w:r>
      <w:r w:rsidR="00284F52" w:rsidRPr="00D74D13">
        <w:t>., art. 140.</w:t>
      </w:r>
    </w:p>
  </w:footnote>
  <w:footnote w:id="160">
    <w:p w14:paraId="65C6D3C7" w14:textId="4A339CE6" w:rsidR="00284F52" w:rsidRPr="00D74D13" w:rsidRDefault="00284F52">
      <w:pPr>
        <w:pStyle w:val="Voetnoottekst"/>
      </w:pPr>
      <w:r>
        <w:rPr>
          <w:rStyle w:val="Voetnootmarkering"/>
        </w:rPr>
        <w:footnoteRef/>
      </w:r>
      <w:r w:rsidRPr="00D74D13">
        <w:t xml:space="preserve"> </w:t>
      </w:r>
      <w:r w:rsidRPr="00D74D13">
        <w:rPr>
          <w:i/>
          <w:iCs/>
        </w:rPr>
        <w:t>Ibid</w:t>
      </w:r>
      <w:r w:rsidRPr="00D74D13">
        <w:t xml:space="preserve">., art. 141 en </w:t>
      </w:r>
      <w:r w:rsidR="001205FF" w:rsidRPr="00D74D13">
        <w:t>143, 1°.</w:t>
      </w:r>
    </w:p>
  </w:footnote>
  <w:footnote w:id="161">
    <w:p w14:paraId="346D4AB1" w14:textId="5C4A032C" w:rsidR="001205FF" w:rsidRPr="00D74D13" w:rsidRDefault="001205FF">
      <w:pPr>
        <w:pStyle w:val="Voetnoottekst"/>
      </w:pPr>
      <w:r>
        <w:rPr>
          <w:rStyle w:val="Voetnootmarkering"/>
        </w:rPr>
        <w:footnoteRef/>
      </w:r>
      <w:r w:rsidRPr="00D74D13">
        <w:t xml:space="preserve"> </w:t>
      </w:r>
      <w:r w:rsidRPr="00D74D13">
        <w:rPr>
          <w:i/>
          <w:iCs/>
        </w:rPr>
        <w:t>Ibid</w:t>
      </w:r>
      <w:r w:rsidRPr="00D74D13">
        <w:t>., art. 142.</w:t>
      </w:r>
    </w:p>
  </w:footnote>
  <w:footnote w:id="162">
    <w:p w14:paraId="7A6C9C85" w14:textId="5619C162" w:rsidR="00EF454E" w:rsidRPr="00D74D13" w:rsidRDefault="00EF454E">
      <w:pPr>
        <w:pStyle w:val="Voetnoottekst"/>
      </w:pPr>
      <w:r>
        <w:rPr>
          <w:rStyle w:val="Voetnootmarkering"/>
        </w:rPr>
        <w:footnoteRef/>
      </w:r>
      <w:r w:rsidRPr="00D74D13">
        <w:t xml:space="preserve"> </w:t>
      </w:r>
      <w:r w:rsidRPr="00D74D13">
        <w:rPr>
          <w:i/>
          <w:iCs/>
        </w:rPr>
        <w:t>Ibid</w:t>
      </w:r>
      <w:r w:rsidRPr="00D74D13">
        <w:t>., art. 143, 2° en 146.</w:t>
      </w:r>
    </w:p>
  </w:footnote>
  <w:footnote w:id="163">
    <w:p w14:paraId="6F76D627" w14:textId="7CD8D464" w:rsidR="003F6651" w:rsidRPr="00D74D13" w:rsidRDefault="003F6651">
      <w:pPr>
        <w:pStyle w:val="Voetnoottekst"/>
      </w:pPr>
      <w:r>
        <w:rPr>
          <w:rStyle w:val="Voetnootmarkering"/>
        </w:rPr>
        <w:footnoteRef/>
      </w:r>
      <w:r w:rsidRPr="00D74D13">
        <w:t xml:space="preserve"> </w:t>
      </w:r>
      <w:r w:rsidRPr="00D74D13">
        <w:rPr>
          <w:i/>
          <w:iCs/>
        </w:rPr>
        <w:t>Ibid</w:t>
      </w:r>
      <w:r w:rsidRPr="00D74D13">
        <w:t>., art. 2.</w:t>
      </w:r>
    </w:p>
  </w:footnote>
  <w:footnote w:id="164">
    <w:p w14:paraId="07366BD5" w14:textId="4B465DFF" w:rsidR="003F6651" w:rsidRPr="003F6651" w:rsidRDefault="003F6651">
      <w:pPr>
        <w:pStyle w:val="Voetnoottekst"/>
      </w:pPr>
      <w:r>
        <w:rPr>
          <w:rStyle w:val="Voetnootmarkering"/>
        </w:rPr>
        <w:footnoteRef/>
      </w:r>
      <w:r>
        <w:t xml:space="preserve"> </w:t>
      </w:r>
      <w:r>
        <w:rPr>
          <w:i/>
          <w:iCs/>
        </w:rPr>
        <w:t>Ibid</w:t>
      </w:r>
      <w:r>
        <w:t>., art. 4-5.</w:t>
      </w:r>
    </w:p>
  </w:footnote>
  <w:footnote w:id="165">
    <w:p w14:paraId="55B78592" w14:textId="6A17DA9B" w:rsidR="001F30C8" w:rsidRPr="001F30C8" w:rsidRDefault="001F30C8">
      <w:pPr>
        <w:pStyle w:val="Voetnoottekst"/>
      </w:pPr>
      <w:r>
        <w:rPr>
          <w:rStyle w:val="Voetnootmarkering"/>
        </w:rPr>
        <w:footnoteRef/>
      </w:r>
      <w:r>
        <w:t xml:space="preserve"> </w:t>
      </w:r>
      <w:r>
        <w:rPr>
          <w:i/>
          <w:iCs/>
        </w:rPr>
        <w:t>Ibid</w:t>
      </w:r>
      <w:r>
        <w:t>., art. 7, 9, 11 en 12.</w:t>
      </w:r>
    </w:p>
  </w:footnote>
  <w:footnote w:id="166">
    <w:p w14:paraId="616A5A07" w14:textId="286EF140" w:rsidR="00046ACD" w:rsidRPr="00046ACD" w:rsidRDefault="00046ACD">
      <w:pPr>
        <w:pStyle w:val="Voetnoottekst"/>
      </w:pPr>
      <w:r>
        <w:rPr>
          <w:rStyle w:val="Voetnootmarkering"/>
        </w:rPr>
        <w:footnoteRef/>
      </w:r>
      <w:r>
        <w:t xml:space="preserve"> </w:t>
      </w:r>
      <w:r>
        <w:rPr>
          <w:i/>
          <w:iCs/>
        </w:rPr>
        <w:t>Ibid</w:t>
      </w:r>
      <w:r>
        <w:t>., art. 8-10.</w:t>
      </w:r>
    </w:p>
  </w:footnote>
  <w:footnote w:id="167">
    <w:p w14:paraId="3B52E71C" w14:textId="6474AA0E" w:rsidR="00B03240" w:rsidRPr="00B03240" w:rsidRDefault="00B03240">
      <w:pPr>
        <w:pStyle w:val="Voetnoottekst"/>
      </w:pPr>
      <w:r>
        <w:rPr>
          <w:rStyle w:val="Voetnootmarkering"/>
        </w:rPr>
        <w:footnoteRef/>
      </w:r>
      <w:r>
        <w:t xml:space="preserve"> </w:t>
      </w:r>
      <w:r>
        <w:rPr>
          <w:i/>
          <w:iCs/>
        </w:rPr>
        <w:t>Ibid</w:t>
      </w:r>
      <w:r>
        <w:t xml:space="preserve">., art. 17, 2°-3°; 26, 2°-3°; 98, 2°-3° en 105, 2°-3°. </w:t>
      </w:r>
    </w:p>
  </w:footnote>
  <w:footnote w:id="168">
    <w:p w14:paraId="53BA77B8" w14:textId="212FD119" w:rsidR="009875F6" w:rsidRPr="00D74D13" w:rsidRDefault="009875F6">
      <w:pPr>
        <w:pStyle w:val="Voetnoottekst"/>
        <w:rPr>
          <w:lang w:val="de-DE"/>
        </w:rPr>
      </w:pPr>
      <w:r>
        <w:rPr>
          <w:rStyle w:val="Voetnootmarkering"/>
        </w:rPr>
        <w:footnoteRef/>
      </w:r>
      <w:r w:rsidRPr="00D74D13">
        <w:rPr>
          <w:lang w:val="de-DE"/>
        </w:rPr>
        <w:t xml:space="preserve"> </w:t>
      </w:r>
      <w:r w:rsidRPr="00D74D13">
        <w:rPr>
          <w:i/>
          <w:iCs/>
          <w:lang w:val="de-DE"/>
        </w:rPr>
        <w:t>Ibid</w:t>
      </w:r>
      <w:r w:rsidRPr="00D74D13">
        <w:rPr>
          <w:lang w:val="de-DE"/>
        </w:rPr>
        <w:t>., art. 16, 23, 30, 55, 103 en 109.</w:t>
      </w:r>
    </w:p>
  </w:footnote>
  <w:footnote w:id="169">
    <w:p w14:paraId="64E13046" w14:textId="4D27EE80" w:rsidR="00C93F23" w:rsidRPr="00D74D13" w:rsidRDefault="00C93F23" w:rsidP="00C93F23">
      <w:pPr>
        <w:pStyle w:val="Voetnoottekst"/>
        <w:rPr>
          <w:lang w:val="de-DE"/>
        </w:rPr>
      </w:pPr>
      <w:r>
        <w:rPr>
          <w:rStyle w:val="Voetnootmarkering"/>
        </w:rPr>
        <w:footnoteRef/>
      </w:r>
      <w:r w:rsidRPr="00D74D13">
        <w:rPr>
          <w:lang w:val="de-DE"/>
        </w:rPr>
        <w:t xml:space="preserve"> </w:t>
      </w:r>
      <w:r w:rsidRPr="00D74D13">
        <w:rPr>
          <w:i/>
          <w:iCs/>
          <w:lang w:val="de-DE"/>
        </w:rPr>
        <w:t>Ibid</w:t>
      </w:r>
      <w:r w:rsidRPr="00D74D13">
        <w:rPr>
          <w:lang w:val="de-DE"/>
        </w:rPr>
        <w:t>., art. 33 en 58.</w:t>
      </w:r>
    </w:p>
  </w:footnote>
  <w:footnote w:id="170">
    <w:p w14:paraId="71D8B009" w14:textId="3B8CB711" w:rsidR="00814D9B" w:rsidRPr="00D74D13" w:rsidRDefault="00814D9B">
      <w:pPr>
        <w:pStyle w:val="Voetnoottekst"/>
        <w:rPr>
          <w:lang w:val="en-GB"/>
        </w:rPr>
      </w:pPr>
      <w:r>
        <w:rPr>
          <w:rStyle w:val="Voetnootmarkering"/>
        </w:rPr>
        <w:footnoteRef/>
      </w:r>
      <w:r w:rsidRPr="00D74D13">
        <w:rPr>
          <w:lang w:val="en-GB"/>
        </w:rPr>
        <w:t xml:space="preserve"> </w:t>
      </w:r>
      <w:r w:rsidRPr="00D74D13">
        <w:rPr>
          <w:i/>
          <w:iCs/>
          <w:lang w:val="en-GB"/>
        </w:rPr>
        <w:t>Ibid</w:t>
      </w:r>
      <w:r w:rsidRPr="00D74D13">
        <w:rPr>
          <w:lang w:val="en-GB"/>
        </w:rPr>
        <w:t>., art. 129.</w:t>
      </w:r>
    </w:p>
  </w:footnote>
  <w:footnote w:id="171">
    <w:p w14:paraId="22B41046" w14:textId="7994EA3E" w:rsidR="004C0994" w:rsidRPr="004C0994" w:rsidRDefault="004C0994">
      <w:pPr>
        <w:pStyle w:val="Voetnoottekst"/>
        <w:rPr>
          <w:lang w:val="en-GB"/>
        </w:rPr>
      </w:pPr>
      <w:r>
        <w:rPr>
          <w:rStyle w:val="Voetnootmarkering"/>
        </w:rPr>
        <w:footnoteRef/>
      </w:r>
      <w:r w:rsidRPr="004C0994">
        <w:rPr>
          <w:lang w:val="en-GB"/>
        </w:rPr>
        <w:t xml:space="preserve"> </w:t>
      </w:r>
      <w:r w:rsidRPr="004C0994">
        <w:rPr>
          <w:i/>
          <w:iCs/>
          <w:lang w:val="en-GB"/>
        </w:rPr>
        <w:t>I</w:t>
      </w:r>
      <w:r>
        <w:rPr>
          <w:i/>
          <w:iCs/>
          <w:lang w:val="en-GB"/>
        </w:rPr>
        <w:t>bid</w:t>
      </w:r>
      <w:r>
        <w:rPr>
          <w:lang w:val="en-GB"/>
        </w:rPr>
        <w:t>., art. 133.</w:t>
      </w:r>
    </w:p>
  </w:footnote>
  <w:footnote w:id="172">
    <w:p w14:paraId="2A78E095" w14:textId="25713E85" w:rsidR="004C0994" w:rsidRPr="004C0994" w:rsidRDefault="004C0994">
      <w:pPr>
        <w:pStyle w:val="Voetnoottekst"/>
        <w:rPr>
          <w:lang w:val="en-GB"/>
        </w:rPr>
      </w:pPr>
      <w:r>
        <w:rPr>
          <w:rStyle w:val="Voetnootmarkering"/>
        </w:rPr>
        <w:footnoteRef/>
      </w:r>
      <w:r w:rsidRPr="004C0994">
        <w:rPr>
          <w:lang w:val="en-GB"/>
        </w:rPr>
        <w:t xml:space="preserve"> </w:t>
      </w:r>
      <w:r w:rsidRPr="004C0994">
        <w:rPr>
          <w:i/>
          <w:iCs/>
          <w:lang w:val="en-GB"/>
        </w:rPr>
        <w:t>I</w:t>
      </w:r>
      <w:r>
        <w:rPr>
          <w:i/>
          <w:iCs/>
          <w:lang w:val="en-GB"/>
        </w:rPr>
        <w:t>bid</w:t>
      </w:r>
      <w:r>
        <w:rPr>
          <w:lang w:val="en-GB"/>
        </w:rPr>
        <w:t>., art. 134-135.</w:t>
      </w:r>
    </w:p>
  </w:footnote>
  <w:footnote w:id="173">
    <w:p w14:paraId="21F956D1" w14:textId="5B899DB4" w:rsidR="00D621DC" w:rsidRPr="008B213D" w:rsidRDefault="00D621DC">
      <w:pPr>
        <w:pStyle w:val="Voetnoottekst"/>
        <w:rPr>
          <w:lang w:val="en-GB"/>
        </w:rPr>
      </w:pPr>
      <w:r>
        <w:rPr>
          <w:rStyle w:val="Voetnootmarkering"/>
        </w:rPr>
        <w:footnoteRef/>
      </w:r>
      <w:r w:rsidRPr="008B213D">
        <w:rPr>
          <w:lang w:val="en-GB"/>
        </w:rPr>
        <w:t xml:space="preserve"> </w:t>
      </w:r>
      <w:r w:rsidR="00AC240F" w:rsidRPr="008B213D">
        <w:rPr>
          <w:i/>
          <w:iCs/>
          <w:lang w:val="en-GB"/>
        </w:rPr>
        <w:t>Ibid</w:t>
      </w:r>
      <w:r w:rsidR="00AC240F" w:rsidRPr="008B213D">
        <w:rPr>
          <w:lang w:val="en-GB"/>
        </w:rPr>
        <w:t>., art. 160.</w:t>
      </w:r>
    </w:p>
  </w:footnote>
  <w:footnote w:id="174">
    <w:p w14:paraId="003D84BB" w14:textId="26334DDF" w:rsidR="007A75C4" w:rsidRPr="008B213D" w:rsidRDefault="007A75C4">
      <w:pPr>
        <w:pStyle w:val="Voetnoottekst"/>
        <w:rPr>
          <w:lang w:val="en-GB"/>
        </w:rPr>
      </w:pPr>
      <w:r>
        <w:rPr>
          <w:rStyle w:val="Voetnootmarkering"/>
        </w:rPr>
        <w:footnoteRef/>
      </w:r>
      <w:r w:rsidRPr="008B213D">
        <w:rPr>
          <w:lang w:val="en-GB"/>
        </w:rPr>
        <w:t xml:space="preserve"> </w:t>
      </w:r>
      <w:r w:rsidRPr="008B213D">
        <w:rPr>
          <w:i/>
          <w:iCs/>
          <w:lang w:val="en-GB"/>
        </w:rPr>
        <w:t>Ibid</w:t>
      </w:r>
      <w:r w:rsidRPr="008B213D">
        <w:rPr>
          <w:lang w:val="en-GB"/>
        </w:rPr>
        <w:t>., art. 130-131.</w:t>
      </w:r>
    </w:p>
  </w:footnote>
  <w:footnote w:id="175">
    <w:p w14:paraId="48D62BFA" w14:textId="43D0AEE8" w:rsidR="00074700" w:rsidRPr="00D74D13" w:rsidRDefault="00074700">
      <w:pPr>
        <w:pStyle w:val="Voetnoottekst"/>
        <w:rPr>
          <w:lang w:val="en-GB"/>
        </w:rPr>
      </w:pPr>
      <w:r>
        <w:rPr>
          <w:rStyle w:val="Voetnootmarkering"/>
        </w:rPr>
        <w:footnoteRef/>
      </w:r>
      <w:r w:rsidRPr="00D74D13">
        <w:rPr>
          <w:lang w:val="en-GB"/>
        </w:rPr>
        <w:t xml:space="preserve"> </w:t>
      </w:r>
      <w:r w:rsidRPr="00D74D13">
        <w:rPr>
          <w:i/>
          <w:iCs/>
          <w:lang w:val="en-GB"/>
        </w:rPr>
        <w:t>Ibid</w:t>
      </w:r>
      <w:r w:rsidRPr="00D74D13">
        <w:rPr>
          <w:lang w:val="en-GB"/>
        </w:rPr>
        <w:t>., art. 150 en 152-154.</w:t>
      </w:r>
    </w:p>
  </w:footnote>
  <w:footnote w:id="176">
    <w:p w14:paraId="5D9B1E61" w14:textId="6904977F" w:rsidR="00561894" w:rsidRPr="00D74D13" w:rsidRDefault="00561894">
      <w:pPr>
        <w:pStyle w:val="Voetnoottekst"/>
        <w:rPr>
          <w:lang w:val="en-GB"/>
        </w:rPr>
      </w:pPr>
      <w:r>
        <w:rPr>
          <w:rStyle w:val="Voetnootmarkering"/>
        </w:rPr>
        <w:footnoteRef/>
      </w:r>
      <w:r w:rsidRPr="00D74D13">
        <w:rPr>
          <w:lang w:val="en-GB"/>
        </w:rPr>
        <w:t xml:space="preserve"> </w:t>
      </w:r>
      <w:r w:rsidRPr="00D74D13">
        <w:rPr>
          <w:i/>
          <w:iCs/>
          <w:lang w:val="en-GB"/>
        </w:rPr>
        <w:t>Ibid</w:t>
      </w:r>
      <w:r w:rsidRPr="00D74D13">
        <w:rPr>
          <w:lang w:val="en-GB"/>
        </w:rPr>
        <w:t>., art. 151.</w:t>
      </w:r>
    </w:p>
  </w:footnote>
  <w:footnote w:id="177">
    <w:p w14:paraId="1E9D5068" w14:textId="440E17CC" w:rsidR="00561894" w:rsidRPr="00561894" w:rsidRDefault="00561894">
      <w:pPr>
        <w:pStyle w:val="Voetnoottekst"/>
      </w:pPr>
      <w:r>
        <w:rPr>
          <w:rStyle w:val="Voetnootmarkering"/>
        </w:rPr>
        <w:footnoteRef/>
      </w:r>
      <w:r>
        <w:t xml:space="preserve"> </w:t>
      </w:r>
      <w:r>
        <w:rPr>
          <w:i/>
          <w:iCs/>
        </w:rPr>
        <w:t>Ibid</w:t>
      </w:r>
      <w:r>
        <w:t>., art. 155-157.</w:t>
      </w:r>
    </w:p>
  </w:footnote>
  <w:footnote w:id="178">
    <w:p w14:paraId="02F88CB9" w14:textId="568C1451" w:rsidR="00564678" w:rsidRPr="00C75648" w:rsidRDefault="00564678">
      <w:pPr>
        <w:pStyle w:val="Voetnoottekst"/>
      </w:pPr>
      <w:r>
        <w:rPr>
          <w:rStyle w:val="Voetnootmarkering"/>
        </w:rPr>
        <w:footnoteRef/>
      </w:r>
      <w:r w:rsidRPr="00564678">
        <w:t xml:space="preserve"> Art. 48</w:t>
      </w:r>
      <w:r w:rsidR="00615348">
        <w:t>-</w:t>
      </w:r>
      <w:r w:rsidRPr="00564678">
        <w:t>49</w:t>
      </w:r>
      <w:r w:rsidR="00615348">
        <w:t xml:space="preserve"> en 71</w:t>
      </w:r>
      <w:r w:rsidRPr="00564678">
        <w:t xml:space="preserve"> decreet van 17 juli 2023 tot uitvoering van maatreg</w:t>
      </w:r>
      <w:r>
        <w:t xml:space="preserve">elen over het </w:t>
      </w:r>
      <w:r w:rsidRPr="00C75648">
        <w:t xml:space="preserve">lerarenambt, </w:t>
      </w:r>
      <w:r w:rsidRPr="00C75648">
        <w:rPr>
          <w:i/>
          <w:iCs/>
        </w:rPr>
        <w:t>BS</w:t>
      </w:r>
      <w:r w:rsidRPr="00C75648">
        <w:t xml:space="preserve"> </w:t>
      </w:r>
      <w:r w:rsidR="00C75648" w:rsidRPr="00C75648">
        <w:t>24 augustus 2023</w:t>
      </w:r>
      <w:r w:rsidRPr="00C75648">
        <w:t>.</w:t>
      </w:r>
    </w:p>
  </w:footnote>
  <w:footnote w:id="179">
    <w:p w14:paraId="3E1B72C1" w14:textId="57EE8431" w:rsidR="00617D46" w:rsidRPr="00C75648" w:rsidRDefault="00617D46">
      <w:pPr>
        <w:pStyle w:val="Voetnoottekst"/>
      </w:pPr>
      <w:r w:rsidRPr="00C75648">
        <w:rPr>
          <w:rStyle w:val="Voetnootmarkering"/>
        </w:rPr>
        <w:footnoteRef/>
      </w:r>
      <w:r w:rsidRPr="00C75648">
        <w:t xml:space="preserve"> </w:t>
      </w:r>
      <w:r w:rsidRPr="00C75648">
        <w:rPr>
          <w:i/>
          <w:iCs/>
        </w:rPr>
        <w:t>Ibid</w:t>
      </w:r>
      <w:r w:rsidRPr="00C75648">
        <w:t>., art.</w:t>
      </w:r>
      <w:r w:rsidR="00C35757" w:rsidRPr="00C75648">
        <w:t xml:space="preserve"> </w:t>
      </w:r>
      <w:r w:rsidRPr="00C75648">
        <w:t>72.</w:t>
      </w:r>
    </w:p>
  </w:footnote>
  <w:footnote w:id="180">
    <w:p w14:paraId="4B1B3732" w14:textId="6E6A617E" w:rsidR="00615348" w:rsidRPr="00C75648" w:rsidRDefault="00615348">
      <w:pPr>
        <w:pStyle w:val="Voetnoottekst"/>
      </w:pPr>
      <w:r w:rsidRPr="00C75648">
        <w:rPr>
          <w:rStyle w:val="Voetnootmarkering"/>
        </w:rPr>
        <w:footnoteRef/>
      </w:r>
      <w:r w:rsidRPr="00C75648">
        <w:t xml:space="preserve"> Art. 130, §2 Decreet Basisonderwijs; art. 211, §4 Codex Secundair Onderwijs.</w:t>
      </w:r>
    </w:p>
  </w:footnote>
  <w:footnote w:id="181">
    <w:p w14:paraId="56A1A899" w14:textId="7B072F3E" w:rsidR="00C35757" w:rsidRPr="00C35757" w:rsidRDefault="00C35757">
      <w:pPr>
        <w:pStyle w:val="Voetnoottekst"/>
        <w:rPr>
          <w:lang w:val="nl-NL"/>
        </w:rPr>
      </w:pPr>
      <w:r w:rsidRPr="00C75648">
        <w:rPr>
          <w:rStyle w:val="Voetnootmarkering"/>
        </w:rPr>
        <w:footnoteRef/>
      </w:r>
      <w:r w:rsidRPr="00C75648">
        <w:t xml:space="preserve"> </w:t>
      </w:r>
      <w:r w:rsidRPr="00C75648">
        <w:rPr>
          <w:lang w:val="nl-NL"/>
        </w:rPr>
        <w:t xml:space="preserve">Art. 47 </w:t>
      </w:r>
      <w:r w:rsidRPr="00C75648">
        <w:t xml:space="preserve">decreet van 17 juli 2023 tot uitvoering van maatregelen over het lerarenambt, </w:t>
      </w:r>
      <w:r w:rsidRPr="00C75648">
        <w:rPr>
          <w:i/>
          <w:iCs/>
        </w:rPr>
        <w:t>BS</w:t>
      </w:r>
      <w:r w:rsidRPr="00C75648">
        <w:t xml:space="preserve"> </w:t>
      </w:r>
      <w:r w:rsidR="00C75648" w:rsidRPr="00C75648">
        <w:t>24 augustus</w:t>
      </w:r>
      <w:r w:rsidR="00C75648">
        <w:t xml:space="preserve"> 2023</w:t>
      </w:r>
      <w:r w:rsidRPr="00564678">
        <w:t>.</w:t>
      </w:r>
    </w:p>
  </w:footnote>
  <w:footnote w:id="182">
    <w:p w14:paraId="2B6AD5DF" w14:textId="053D351E" w:rsidR="00AB627F" w:rsidRPr="00D74D13" w:rsidRDefault="00AB627F">
      <w:pPr>
        <w:pStyle w:val="Voetnoottekst"/>
        <w:rPr>
          <w:lang w:val="en-GB"/>
        </w:rPr>
      </w:pPr>
      <w:r>
        <w:rPr>
          <w:rStyle w:val="Voetnootmarkering"/>
        </w:rPr>
        <w:footnoteRef/>
      </w:r>
      <w:r w:rsidRPr="00D74D13">
        <w:rPr>
          <w:lang w:val="en-GB"/>
        </w:rPr>
        <w:t xml:space="preserve"> </w:t>
      </w:r>
      <w:r w:rsidRPr="00D74D13">
        <w:rPr>
          <w:i/>
          <w:iCs/>
          <w:lang w:val="en-GB"/>
        </w:rPr>
        <w:t>Ibid</w:t>
      </w:r>
      <w:r w:rsidRPr="00D74D13">
        <w:rPr>
          <w:lang w:val="en-GB"/>
        </w:rPr>
        <w:t>., art. 73-79 en 83-85.</w:t>
      </w:r>
    </w:p>
  </w:footnote>
  <w:footnote w:id="183">
    <w:p w14:paraId="5098A402" w14:textId="03A3E0A4" w:rsidR="00C35757" w:rsidRPr="00D74D13" w:rsidRDefault="00C35757">
      <w:pPr>
        <w:pStyle w:val="Voetnoottekst"/>
        <w:rPr>
          <w:lang w:val="en-GB"/>
        </w:rPr>
      </w:pPr>
      <w:r>
        <w:rPr>
          <w:rStyle w:val="Voetnootmarkering"/>
        </w:rPr>
        <w:footnoteRef/>
      </w:r>
      <w:r w:rsidRPr="00D74D13">
        <w:rPr>
          <w:lang w:val="en-GB"/>
        </w:rPr>
        <w:t xml:space="preserve"> </w:t>
      </w:r>
      <w:r w:rsidRPr="00D74D13">
        <w:rPr>
          <w:i/>
          <w:iCs/>
          <w:lang w:val="en-GB"/>
        </w:rPr>
        <w:t>Ibid</w:t>
      </w:r>
      <w:r w:rsidRPr="00D74D13">
        <w:rPr>
          <w:lang w:val="en-GB"/>
        </w:rPr>
        <w:t>., art. 51-52.</w:t>
      </w:r>
    </w:p>
  </w:footnote>
  <w:footnote w:id="184">
    <w:p w14:paraId="58B5F332" w14:textId="0F7F6995" w:rsidR="0039746F" w:rsidRPr="0063346E" w:rsidRDefault="0039746F">
      <w:pPr>
        <w:pStyle w:val="Voetnoottekst"/>
        <w:rPr>
          <w:lang w:val="en-GB"/>
        </w:rPr>
      </w:pPr>
      <w:r>
        <w:rPr>
          <w:rStyle w:val="Voetnootmarkering"/>
        </w:rPr>
        <w:footnoteRef/>
      </w:r>
      <w:r w:rsidRPr="0063346E">
        <w:rPr>
          <w:lang w:val="en-GB"/>
        </w:rPr>
        <w:t xml:space="preserve"> </w:t>
      </w:r>
      <w:r w:rsidRPr="0063346E">
        <w:rPr>
          <w:i/>
          <w:iCs/>
          <w:lang w:val="en-GB"/>
        </w:rPr>
        <w:t>Ibid</w:t>
      </w:r>
      <w:r w:rsidRPr="0063346E">
        <w:rPr>
          <w:lang w:val="en-GB"/>
        </w:rPr>
        <w:t>. art. 95.</w:t>
      </w:r>
    </w:p>
  </w:footnote>
  <w:footnote w:id="185">
    <w:p w14:paraId="3C72779F" w14:textId="70E65174" w:rsidR="0039746F" w:rsidRPr="0063346E" w:rsidRDefault="0039746F">
      <w:pPr>
        <w:pStyle w:val="Voetnoottekst"/>
        <w:rPr>
          <w:lang w:val="en-GB"/>
        </w:rPr>
      </w:pPr>
      <w:r>
        <w:rPr>
          <w:rStyle w:val="Voetnootmarkering"/>
        </w:rPr>
        <w:footnoteRef/>
      </w:r>
      <w:r w:rsidRPr="0063346E">
        <w:rPr>
          <w:lang w:val="en-GB"/>
        </w:rPr>
        <w:t xml:space="preserve"> </w:t>
      </w:r>
      <w:r w:rsidRPr="0063346E">
        <w:rPr>
          <w:i/>
          <w:iCs/>
          <w:lang w:val="en-GB"/>
        </w:rPr>
        <w:t>Ibid</w:t>
      </w:r>
      <w:r w:rsidRPr="0063346E">
        <w:rPr>
          <w:lang w:val="en-GB"/>
        </w:rPr>
        <w:t>., art. 83-85.</w:t>
      </w:r>
    </w:p>
  </w:footnote>
  <w:footnote w:id="186">
    <w:p w14:paraId="3F8C85A1" w14:textId="0B18B7A6" w:rsidR="0063346E" w:rsidRPr="00D74D13" w:rsidRDefault="0063346E">
      <w:pPr>
        <w:pStyle w:val="Voetnoottekst"/>
        <w:rPr>
          <w:lang w:val="de-DE"/>
        </w:rPr>
      </w:pPr>
      <w:r>
        <w:rPr>
          <w:rStyle w:val="Voetnootmarkering"/>
        </w:rPr>
        <w:footnoteRef/>
      </w:r>
      <w:r w:rsidRPr="00D74D13">
        <w:rPr>
          <w:lang w:val="de-DE"/>
        </w:rPr>
        <w:t xml:space="preserve"> </w:t>
      </w:r>
      <w:r w:rsidRPr="00D74D13">
        <w:rPr>
          <w:i/>
          <w:iCs/>
          <w:lang w:val="de-DE"/>
        </w:rPr>
        <w:t>Ibid</w:t>
      </w:r>
      <w:r w:rsidRPr="00D74D13">
        <w:rPr>
          <w:lang w:val="de-DE"/>
        </w:rPr>
        <w:t>., art.46,</w:t>
      </w:r>
      <w:r w:rsidR="00260E56" w:rsidRPr="00D74D13">
        <w:rPr>
          <w:lang w:val="de-DE"/>
        </w:rPr>
        <w:t xml:space="preserve"> 53, 60, 80 en 82.</w:t>
      </w:r>
    </w:p>
  </w:footnote>
  <w:footnote w:id="187">
    <w:p w14:paraId="3577D60D" w14:textId="5C758269" w:rsidR="00D832F8" w:rsidRPr="00D74D13" w:rsidRDefault="00D832F8">
      <w:pPr>
        <w:pStyle w:val="Voetnoottekst"/>
        <w:rPr>
          <w:lang w:val="de-DE"/>
        </w:rPr>
      </w:pPr>
      <w:r>
        <w:rPr>
          <w:rStyle w:val="Voetnootmarkering"/>
        </w:rPr>
        <w:footnoteRef/>
      </w:r>
      <w:r w:rsidRPr="00D74D13">
        <w:rPr>
          <w:lang w:val="de-DE"/>
        </w:rPr>
        <w:t xml:space="preserve"> </w:t>
      </w:r>
      <w:r w:rsidRPr="00D74D13">
        <w:rPr>
          <w:i/>
          <w:iCs/>
          <w:lang w:val="de-DE"/>
        </w:rPr>
        <w:t>Ibid</w:t>
      </w:r>
      <w:r w:rsidRPr="00D74D13">
        <w:rPr>
          <w:lang w:val="de-DE"/>
        </w:rPr>
        <w:t>., art. 86.</w:t>
      </w:r>
    </w:p>
  </w:footnote>
  <w:footnote w:id="188">
    <w:p w14:paraId="7A1A30C8" w14:textId="11F5AF0D" w:rsidR="009424BC" w:rsidRPr="00D74D13" w:rsidRDefault="009424BC">
      <w:pPr>
        <w:pStyle w:val="Voetnoottekst"/>
        <w:rPr>
          <w:lang w:val="de-DE"/>
        </w:rPr>
      </w:pPr>
      <w:r>
        <w:rPr>
          <w:rStyle w:val="Voetnootmarkering"/>
        </w:rPr>
        <w:footnoteRef/>
      </w:r>
      <w:r w:rsidRPr="00D74D13">
        <w:rPr>
          <w:lang w:val="de-DE"/>
        </w:rPr>
        <w:t xml:space="preserve"> </w:t>
      </w:r>
      <w:r w:rsidRPr="00D74D13">
        <w:rPr>
          <w:i/>
          <w:iCs/>
          <w:lang w:val="de-DE"/>
        </w:rPr>
        <w:t>Ibid</w:t>
      </w:r>
      <w:r w:rsidRPr="00D74D13">
        <w:rPr>
          <w:lang w:val="de-DE"/>
        </w:rPr>
        <w:t>., art. 14 en 34.</w:t>
      </w:r>
    </w:p>
  </w:footnote>
  <w:footnote w:id="189">
    <w:p w14:paraId="5AA79C15" w14:textId="4BCD15EC" w:rsidR="009424BC" w:rsidRPr="00D74D13" w:rsidRDefault="009424BC">
      <w:pPr>
        <w:pStyle w:val="Voetnoottekst"/>
        <w:rPr>
          <w:lang w:val="de-DE"/>
        </w:rPr>
      </w:pPr>
      <w:r>
        <w:rPr>
          <w:rStyle w:val="Voetnootmarkering"/>
        </w:rPr>
        <w:footnoteRef/>
      </w:r>
      <w:r w:rsidRPr="00D74D13">
        <w:rPr>
          <w:lang w:val="de-DE"/>
        </w:rPr>
        <w:t xml:space="preserve"> </w:t>
      </w:r>
      <w:r w:rsidRPr="00D74D13">
        <w:rPr>
          <w:i/>
          <w:iCs/>
          <w:lang w:val="de-DE"/>
        </w:rPr>
        <w:t>Ibid</w:t>
      </w:r>
      <w:r w:rsidRPr="00D74D13">
        <w:rPr>
          <w:lang w:val="de-DE"/>
        </w:rPr>
        <w:t>., art. 13 en 33.</w:t>
      </w:r>
    </w:p>
  </w:footnote>
  <w:footnote w:id="190">
    <w:p w14:paraId="6806830B" w14:textId="1EE1665E" w:rsidR="001A27D1" w:rsidRPr="00D74D13" w:rsidRDefault="001A27D1">
      <w:pPr>
        <w:pStyle w:val="Voetnoottekst"/>
        <w:rPr>
          <w:lang w:val="de-DE"/>
        </w:rPr>
      </w:pPr>
      <w:r>
        <w:rPr>
          <w:rStyle w:val="Voetnootmarkering"/>
        </w:rPr>
        <w:footnoteRef/>
      </w:r>
      <w:r w:rsidRPr="00D74D13">
        <w:rPr>
          <w:lang w:val="de-DE"/>
        </w:rPr>
        <w:t xml:space="preserve"> </w:t>
      </w:r>
      <w:r w:rsidRPr="00D74D13">
        <w:rPr>
          <w:i/>
          <w:iCs/>
          <w:lang w:val="de-DE"/>
        </w:rPr>
        <w:t>Ibid</w:t>
      </w:r>
      <w:r w:rsidRPr="00D74D13">
        <w:rPr>
          <w:lang w:val="de-DE"/>
        </w:rPr>
        <w:t>., art. 14, 16, 34 en 36.</w:t>
      </w:r>
    </w:p>
  </w:footnote>
  <w:footnote w:id="191">
    <w:p w14:paraId="7C9B3F79" w14:textId="206AD1D3" w:rsidR="00987256" w:rsidRPr="00D74D13" w:rsidRDefault="00987256">
      <w:pPr>
        <w:pStyle w:val="Voetnoottekst"/>
        <w:rPr>
          <w:iCs/>
          <w:lang w:val="de-DE"/>
        </w:rPr>
      </w:pPr>
      <w:r>
        <w:rPr>
          <w:rStyle w:val="Voetnootmarkering"/>
        </w:rPr>
        <w:footnoteRef/>
      </w:r>
      <w:r w:rsidRPr="00D74D13">
        <w:rPr>
          <w:lang w:val="de-DE"/>
        </w:rPr>
        <w:t xml:space="preserve"> </w:t>
      </w:r>
      <w:r w:rsidRPr="00D74D13">
        <w:rPr>
          <w:i/>
          <w:lang w:val="de-DE"/>
        </w:rPr>
        <w:t>Ibid</w:t>
      </w:r>
      <w:r w:rsidRPr="00D74D13">
        <w:rPr>
          <w:iCs/>
          <w:lang w:val="de-DE"/>
        </w:rPr>
        <w:t>., art. 10, 11, 30 en 31.</w:t>
      </w:r>
    </w:p>
  </w:footnote>
  <w:footnote w:id="192">
    <w:p w14:paraId="6D236D3C" w14:textId="23FC9D1A" w:rsidR="00987256" w:rsidRPr="00D74D13" w:rsidRDefault="00987256">
      <w:pPr>
        <w:pStyle w:val="Voetnoottekst"/>
        <w:rPr>
          <w:lang w:val="de-DE"/>
        </w:rPr>
      </w:pPr>
      <w:r>
        <w:rPr>
          <w:rStyle w:val="Voetnootmarkering"/>
        </w:rPr>
        <w:footnoteRef/>
      </w:r>
      <w:r w:rsidRPr="00D74D13">
        <w:rPr>
          <w:lang w:val="de-DE"/>
        </w:rPr>
        <w:t xml:space="preserve"> </w:t>
      </w:r>
      <w:r w:rsidRPr="00D74D13">
        <w:rPr>
          <w:i/>
          <w:iCs/>
          <w:lang w:val="de-DE"/>
        </w:rPr>
        <w:t>Ibid</w:t>
      </w:r>
      <w:r w:rsidRPr="00D74D13">
        <w:rPr>
          <w:lang w:val="de-DE"/>
        </w:rPr>
        <w:t>., art. 17 en 37.</w:t>
      </w:r>
    </w:p>
  </w:footnote>
  <w:footnote w:id="193">
    <w:p w14:paraId="29FA6217" w14:textId="77777777" w:rsidR="00D070D5" w:rsidRPr="00D74D13" w:rsidRDefault="00D070D5" w:rsidP="00D070D5">
      <w:pPr>
        <w:pStyle w:val="Voetnoottekst"/>
        <w:rPr>
          <w:lang w:val="de-DE"/>
        </w:rPr>
      </w:pPr>
      <w:r>
        <w:rPr>
          <w:rStyle w:val="Voetnootmarkering"/>
        </w:rPr>
        <w:footnoteRef/>
      </w:r>
      <w:r w:rsidRPr="00D74D13">
        <w:rPr>
          <w:lang w:val="de-DE"/>
        </w:rPr>
        <w:t xml:space="preserve"> </w:t>
      </w:r>
      <w:r w:rsidRPr="00D74D13">
        <w:rPr>
          <w:i/>
          <w:iCs/>
          <w:lang w:val="de-DE"/>
        </w:rPr>
        <w:t>Ibid</w:t>
      </w:r>
      <w:r w:rsidRPr="00D74D13">
        <w:rPr>
          <w:lang w:val="de-DE"/>
        </w:rPr>
        <w:t>., art. 54-55.</w:t>
      </w:r>
    </w:p>
  </w:footnote>
  <w:footnote w:id="194">
    <w:p w14:paraId="30E676AD" w14:textId="459FF6B9" w:rsidR="00C82D14" w:rsidRPr="00D74D13" w:rsidRDefault="00C82D14">
      <w:pPr>
        <w:pStyle w:val="Voetnoottekst"/>
        <w:rPr>
          <w:lang w:val="de-DE"/>
        </w:rPr>
      </w:pPr>
      <w:r>
        <w:rPr>
          <w:rStyle w:val="Voetnootmarkering"/>
        </w:rPr>
        <w:footnoteRef/>
      </w:r>
      <w:r w:rsidRPr="00D74D13">
        <w:rPr>
          <w:lang w:val="de-DE"/>
        </w:rPr>
        <w:t xml:space="preserve"> </w:t>
      </w:r>
      <w:r w:rsidRPr="00D74D13">
        <w:rPr>
          <w:i/>
          <w:iCs/>
          <w:lang w:val="de-DE"/>
        </w:rPr>
        <w:t>Ibid</w:t>
      </w:r>
      <w:r w:rsidRPr="00D74D13">
        <w:rPr>
          <w:lang w:val="de-DE"/>
        </w:rPr>
        <w:t>., art. 2 en 22.</w:t>
      </w:r>
    </w:p>
  </w:footnote>
  <w:footnote w:id="195">
    <w:p w14:paraId="4D7A9491" w14:textId="19B83C0A" w:rsidR="001404A3" w:rsidRPr="00D74D13" w:rsidRDefault="001404A3">
      <w:pPr>
        <w:pStyle w:val="Voetnoottekst"/>
        <w:rPr>
          <w:lang w:val="de-DE"/>
        </w:rPr>
      </w:pPr>
      <w:r>
        <w:rPr>
          <w:rStyle w:val="Voetnootmarkering"/>
        </w:rPr>
        <w:footnoteRef/>
      </w:r>
      <w:r w:rsidRPr="00D74D13">
        <w:rPr>
          <w:lang w:val="de-DE"/>
        </w:rPr>
        <w:t xml:space="preserve"> </w:t>
      </w:r>
      <w:r w:rsidRPr="00D74D13">
        <w:rPr>
          <w:i/>
          <w:iCs/>
          <w:lang w:val="de-DE"/>
        </w:rPr>
        <w:t>Ibid</w:t>
      </w:r>
      <w:r w:rsidRPr="00D74D13">
        <w:rPr>
          <w:lang w:val="de-DE"/>
        </w:rPr>
        <w:t>., art. 56.</w:t>
      </w:r>
    </w:p>
  </w:footnote>
  <w:footnote w:id="196">
    <w:p w14:paraId="67D5892C" w14:textId="7016F2E2" w:rsidR="00054F58" w:rsidRPr="00D74D13" w:rsidRDefault="00054F58">
      <w:pPr>
        <w:pStyle w:val="Voetnoottekst"/>
        <w:rPr>
          <w:lang w:val="de-DE"/>
        </w:rPr>
      </w:pPr>
      <w:r>
        <w:rPr>
          <w:rStyle w:val="Voetnootmarkering"/>
        </w:rPr>
        <w:footnoteRef/>
      </w:r>
      <w:r w:rsidRPr="00D74D13">
        <w:rPr>
          <w:lang w:val="de-DE"/>
        </w:rPr>
        <w:t xml:space="preserve"> </w:t>
      </w:r>
      <w:r w:rsidRPr="00D74D13">
        <w:rPr>
          <w:i/>
          <w:iCs/>
          <w:lang w:val="de-DE"/>
        </w:rPr>
        <w:t>Ibid</w:t>
      </w:r>
      <w:r w:rsidRPr="00D74D13">
        <w:rPr>
          <w:lang w:val="de-DE"/>
        </w:rPr>
        <w:t>., art. 19 en 39.</w:t>
      </w:r>
    </w:p>
  </w:footnote>
  <w:footnote w:id="197">
    <w:p w14:paraId="6B2A4F9B" w14:textId="02EA2EA5" w:rsidR="000A17F7" w:rsidRPr="00457BF3" w:rsidRDefault="000A17F7">
      <w:pPr>
        <w:pStyle w:val="Voetnoottekst"/>
        <w:rPr>
          <w:lang w:val="de-DE"/>
        </w:rPr>
      </w:pPr>
      <w:r>
        <w:rPr>
          <w:rStyle w:val="Voetnootmarkering"/>
        </w:rPr>
        <w:footnoteRef/>
      </w:r>
      <w:r w:rsidRPr="00457BF3">
        <w:rPr>
          <w:lang w:val="de-DE"/>
        </w:rPr>
        <w:t xml:space="preserve"> </w:t>
      </w:r>
      <w:r w:rsidRPr="00457BF3">
        <w:rPr>
          <w:i/>
          <w:iCs/>
          <w:lang w:val="de-DE"/>
        </w:rPr>
        <w:t>Ibid</w:t>
      </w:r>
      <w:r w:rsidRPr="00457BF3">
        <w:rPr>
          <w:lang w:val="de-DE"/>
        </w:rPr>
        <w:t>., art. 18</w:t>
      </w:r>
      <w:r w:rsidR="00134B6E" w:rsidRPr="00457BF3">
        <w:rPr>
          <w:lang w:val="de-DE"/>
        </w:rPr>
        <w:t xml:space="preserve">, </w:t>
      </w:r>
      <w:r w:rsidRPr="00457BF3">
        <w:rPr>
          <w:lang w:val="de-DE"/>
        </w:rPr>
        <w:t>38</w:t>
      </w:r>
      <w:r w:rsidR="00134B6E" w:rsidRPr="00457BF3">
        <w:rPr>
          <w:lang w:val="de-DE"/>
        </w:rPr>
        <w:t>, 68 en 94</w:t>
      </w:r>
      <w:r w:rsidRPr="00457BF3">
        <w:rPr>
          <w:lang w:val="de-DE"/>
        </w:rPr>
        <w:t>.</w:t>
      </w:r>
    </w:p>
  </w:footnote>
  <w:footnote w:id="198">
    <w:p w14:paraId="7F4B5586" w14:textId="36ACA32C" w:rsidR="00FB65CF" w:rsidRPr="00FB65CF" w:rsidRDefault="00FB65CF">
      <w:pPr>
        <w:pStyle w:val="Voetnoottekst"/>
        <w:rPr>
          <w:lang w:val="nl-NL"/>
        </w:rPr>
      </w:pPr>
      <w:r>
        <w:rPr>
          <w:rStyle w:val="Voetnootmarkering"/>
        </w:rPr>
        <w:footnoteRef/>
      </w:r>
      <w:r>
        <w:t xml:space="preserve"> </w:t>
      </w:r>
      <w:r>
        <w:rPr>
          <w:lang w:val="nl-NL"/>
        </w:rPr>
        <w:t xml:space="preserve">Richtlijn 2019/1158 van het Europees Parlement en de Raad van 20 juni 2019 betreffende het evenwicht tussen werk en privéleven voor ouders en mantelzorgers en tot intrekking van Richtlijn 2010/18/EU van de Raad, </w:t>
      </w:r>
      <w:r>
        <w:rPr>
          <w:i/>
          <w:iCs/>
          <w:lang w:val="nl-NL"/>
        </w:rPr>
        <w:t>PB L 188</w:t>
      </w:r>
      <w:r>
        <w:rPr>
          <w:lang w:val="nl-NL"/>
        </w:rPr>
        <w:t>, 12 juli 2019, 79-</w:t>
      </w:r>
      <w:r w:rsidR="00E64C49">
        <w:rPr>
          <w:lang w:val="nl-NL"/>
        </w:rPr>
        <w:t>93.</w:t>
      </w:r>
    </w:p>
  </w:footnote>
  <w:footnote w:id="199">
    <w:p w14:paraId="4C29F222" w14:textId="021BA1F9" w:rsidR="00E64C49" w:rsidRPr="00FB65CF" w:rsidRDefault="00E64C49" w:rsidP="00E64C49">
      <w:pPr>
        <w:pStyle w:val="Voetnoottekst"/>
      </w:pPr>
      <w:r>
        <w:rPr>
          <w:rStyle w:val="Voetnootmarkering"/>
        </w:rPr>
        <w:footnoteRef/>
      </w:r>
      <w:r w:rsidRPr="00FB65CF">
        <w:t xml:space="preserve"> </w:t>
      </w:r>
      <w:r>
        <w:t xml:space="preserve">Art. </w:t>
      </w:r>
      <w:r w:rsidR="003B7514">
        <w:t>5-7, 25-27, 43, 63-65 en 89-91</w:t>
      </w:r>
      <w:r>
        <w:t xml:space="preserve"> </w:t>
      </w:r>
      <w:r w:rsidRPr="00564678">
        <w:t>decreet van 17 juli 2023 tot uitvoering van maatreg</w:t>
      </w:r>
      <w:r>
        <w:t xml:space="preserve">elen over het lerarenambt, </w:t>
      </w:r>
      <w:r w:rsidRPr="000271E1">
        <w:rPr>
          <w:i/>
          <w:iCs/>
        </w:rPr>
        <w:t>BS</w:t>
      </w:r>
      <w:r>
        <w:t xml:space="preserve"> </w:t>
      </w:r>
      <w:r w:rsidR="00510100">
        <w:t>24 augustus 2023</w:t>
      </w:r>
      <w:r w:rsidRPr="00564678">
        <w:t>.</w:t>
      </w:r>
    </w:p>
  </w:footnote>
  <w:footnote w:id="200">
    <w:p w14:paraId="02931B51" w14:textId="11F68487" w:rsidR="003B7514" w:rsidRPr="00457BF3" w:rsidRDefault="003B7514">
      <w:pPr>
        <w:pStyle w:val="Voetnoottekst"/>
      </w:pPr>
      <w:r>
        <w:rPr>
          <w:rStyle w:val="Voetnootmarkering"/>
        </w:rPr>
        <w:footnoteRef/>
      </w:r>
      <w:r w:rsidRPr="00457BF3">
        <w:t xml:space="preserve"> </w:t>
      </w:r>
      <w:r w:rsidRPr="00457BF3">
        <w:rPr>
          <w:i/>
          <w:iCs/>
        </w:rPr>
        <w:t>Ibid</w:t>
      </w:r>
      <w:r w:rsidRPr="00457BF3">
        <w:t>., art. 8, 28, 66 en 92.</w:t>
      </w:r>
    </w:p>
  </w:footnote>
  <w:footnote w:id="201">
    <w:p w14:paraId="2D52BC02" w14:textId="4DD414EB" w:rsidR="00BF406A" w:rsidRPr="00D74D13" w:rsidRDefault="00BF406A">
      <w:pPr>
        <w:pStyle w:val="Voetnoottekst"/>
      </w:pPr>
      <w:r>
        <w:rPr>
          <w:rStyle w:val="Voetnootmarkering"/>
        </w:rPr>
        <w:footnoteRef/>
      </w:r>
      <w:r w:rsidRPr="00D74D13">
        <w:t xml:space="preserve"> GwH 16 juni 2022, nr. 82/2022.</w:t>
      </w:r>
    </w:p>
  </w:footnote>
  <w:footnote w:id="202">
    <w:p w14:paraId="41959D37" w14:textId="5B377CC0" w:rsidR="00845D92" w:rsidRPr="00845D92" w:rsidRDefault="00845D92">
      <w:pPr>
        <w:pStyle w:val="Voetnoottekst"/>
      </w:pPr>
      <w:r>
        <w:rPr>
          <w:rStyle w:val="Voetnootmarkering"/>
        </w:rPr>
        <w:footnoteRef/>
      </w:r>
      <w:r>
        <w:t xml:space="preserve"> Art. 2</w:t>
      </w:r>
      <w:r w:rsidR="00CB55B7">
        <w:t>, lid 1</w:t>
      </w:r>
      <w:r>
        <w:t xml:space="preserve"> decreet van 17 juli 2023 over de onderwijsdoelen voor de tweede en derde graad van het secundair onderwijs, </w:t>
      </w:r>
      <w:r w:rsidRPr="000271E1">
        <w:rPr>
          <w:i/>
          <w:iCs/>
        </w:rPr>
        <w:t>BS</w:t>
      </w:r>
      <w:r>
        <w:t xml:space="preserve"> </w:t>
      </w:r>
      <w:r w:rsidR="00510100">
        <w:t>28 augustus 2023</w:t>
      </w:r>
      <w:r>
        <w:t>.</w:t>
      </w:r>
    </w:p>
  </w:footnote>
  <w:footnote w:id="203">
    <w:p w14:paraId="1F8E5F85" w14:textId="64E03416" w:rsidR="00CB55B7" w:rsidRPr="00CB55B7" w:rsidRDefault="00CB55B7">
      <w:pPr>
        <w:pStyle w:val="Voetnoottekst"/>
      </w:pPr>
      <w:r>
        <w:rPr>
          <w:rStyle w:val="Voetnootmarkering"/>
        </w:rPr>
        <w:footnoteRef/>
      </w:r>
      <w:r>
        <w:t xml:space="preserve"> </w:t>
      </w:r>
      <w:r>
        <w:rPr>
          <w:i/>
          <w:iCs/>
        </w:rPr>
        <w:t>Ibid</w:t>
      </w:r>
      <w:r>
        <w:t>., art., lid 3.</w:t>
      </w:r>
    </w:p>
  </w:footnote>
  <w:footnote w:id="204">
    <w:p w14:paraId="0552E862" w14:textId="6F77D2F2" w:rsidR="00CB55B7" w:rsidRPr="00CB55B7" w:rsidRDefault="00CB55B7">
      <w:pPr>
        <w:pStyle w:val="Voetnoottekst"/>
      </w:pPr>
      <w:r>
        <w:rPr>
          <w:rStyle w:val="Voetnootmarkering"/>
        </w:rPr>
        <w:footnoteRef/>
      </w:r>
      <w:r>
        <w:t xml:space="preserve"> Art. 5 decreet van 17 juli 2023 over de onderwijsdoelen voor de tweede en derde graad van het secundair onderwijs, </w:t>
      </w:r>
      <w:r w:rsidRPr="00510100">
        <w:rPr>
          <w:i/>
          <w:iCs/>
        </w:rPr>
        <w:t>BS</w:t>
      </w:r>
      <w:r>
        <w:t xml:space="preserve"> </w:t>
      </w:r>
      <w:r w:rsidR="00510100">
        <w:t>28 augustus 2023</w:t>
      </w:r>
      <w:r>
        <w:t>.</w:t>
      </w:r>
    </w:p>
  </w:footnote>
  <w:footnote w:id="205">
    <w:p w14:paraId="220B404B" w14:textId="4FC44801" w:rsidR="00B50D67" w:rsidRPr="00B50D67" w:rsidRDefault="00B50D67">
      <w:pPr>
        <w:pStyle w:val="Voetnoottekst"/>
      </w:pPr>
      <w:r>
        <w:rPr>
          <w:rStyle w:val="Voetnootmarkering"/>
        </w:rPr>
        <w:footnoteRef/>
      </w:r>
      <w:r>
        <w:t xml:space="preserve"> </w:t>
      </w:r>
      <w:r>
        <w:rPr>
          <w:i/>
          <w:iCs/>
        </w:rPr>
        <w:t>Ibid</w:t>
      </w:r>
      <w:r>
        <w:t>., art. 6.</w:t>
      </w:r>
    </w:p>
  </w:footnote>
  <w:footnote w:id="206">
    <w:p w14:paraId="38EC3E8B" w14:textId="46AE623C" w:rsidR="00726404" w:rsidRPr="00726404" w:rsidRDefault="00726404">
      <w:pPr>
        <w:pStyle w:val="Voetnoottekst"/>
      </w:pPr>
      <w:r>
        <w:rPr>
          <w:rStyle w:val="Voetnootmarkering"/>
        </w:rPr>
        <w:footnoteRef/>
      </w:r>
      <w:r>
        <w:t xml:space="preserve"> R</w:t>
      </w:r>
      <w:r w:rsidRPr="00726404">
        <w:t>ichtlijn 2005/36/EG van het Europees Parlement en de Raad van 7 september 2005 betreffende de erkenning van beroepskwalificaties</w:t>
      </w:r>
      <w:r>
        <w:t xml:space="preserve">, </w:t>
      </w:r>
      <w:r>
        <w:rPr>
          <w:i/>
          <w:iCs/>
        </w:rPr>
        <w:t>PB L 255</w:t>
      </w:r>
      <w:r>
        <w:t>, 30 september 2005, 22-142.</w:t>
      </w:r>
    </w:p>
  </w:footnote>
  <w:footnote w:id="207">
    <w:p w14:paraId="13336FAA" w14:textId="318B236D" w:rsidR="00467929" w:rsidRPr="00726404" w:rsidRDefault="00467929">
      <w:pPr>
        <w:pStyle w:val="Voetnoottekst"/>
        <w:rPr>
          <w:u w:val="single"/>
          <w:lang w:val="nl-NL"/>
        </w:rPr>
      </w:pPr>
      <w:r>
        <w:rPr>
          <w:rStyle w:val="Voetnootmarkering"/>
        </w:rPr>
        <w:footnoteRef/>
      </w:r>
      <w:r>
        <w:t xml:space="preserve"> </w:t>
      </w:r>
      <w:r w:rsidR="00726404">
        <w:t xml:space="preserve">Art. 45, §1/2 </w:t>
      </w:r>
      <w:r w:rsidR="00726404" w:rsidRPr="00726404">
        <w:t xml:space="preserve">gecoördineerde </w:t>
      </w:r>
      <w:r w:rsidR="00726404" w:rsidRPr="00726404">
        <w:rPr>
          <w:lang w:val="nl-NL"/>
        </w:rPr>
        <w:t>w</w:t>
      </w:r>
      <w:r w:rsidRPr="00726404">
        <w:rPr>
          <w:lang w:val="nl-NL"/>
        </w:rPr>
        <w:t>et van 10 mei 2015 betreffende de uitoefening van de gezondheidszorgberoepen</w:t>
      </w:r>
      <w:r w:rsidR="00726404" w:rsidRPr="00726404">
        <w:rPr>
          <w:lang w:val="nl-NL"/>
        </w:rPr>
        <w:t xml:space="preserve">, </w:t>
      </w:r>
      <w:r w:rsidR="00726404" w:rsidRPr="00726404">
        <w:rPr>
          <w:i/>
          <w:iCs/>
          <w:lang w:val="nl-NL"/>
        </w:rPr>
        <w:t xml:space="preserve">BS </w:t>
      </w:r>
      <w:r w:rsidR="00726404" w:rsidRPr="00726404">
        <w:rPr>
          <w:lang w:val="nl-NL"/>
        </w:rPr>
        <w:t>18 juni 2015.</w:t>
      </w:r>
    </w:p>
  </w:footnote>
  <w:footnote w:id="208">
    <w:p w14:paraId="2887F85E" w14:textId="634E1AE5" w:rsidR="00467929" w:rsidRPr="00785312" w:rsidRDefault="00467929">
      <w:pPr>
        <w:pStyle w:val="Voetnoottekst"/>
        <w:rPr>
          <w:lang w:val="nl-NL"/>
        </w:rPr>
      </w:pPr>
      <w:r w:rsidRPr="00726404">
        <w:rPr>
          <w:rStyle w:val="Voetnootmarkering"/>
        </w:rPr>
        <w:footnoteRef/>
      </w:r>
      <w:r w:rsidRPr="00726404">
        <w:t xml:space="preserve"> </w:t>
      </w:r>
      <w:r w:rsidRPr="00726404">
        <w:rPr>
          <w:lang w:val="nl-NL"/>
        </w:rPr>
        <w:t>Art. 2-8, 19-22 en 26 decreet van 17 juli 2023</w:t>
      </w:r>
      <w:r>
        <w:rPr>
          <w:lang w:val="nl-NL"/>
        </w:rPr>
        <w:t xml:space="preserve"> tot wijziging van de Codex Secundair Onderwijs van 17 december 2010 en van de Codex Hoger Onderwijs van 11 oktober 20</w:t>
      </w:r>
      <w:r w:rsidR="00785312">
        <w:rPr>
          <w:lang w:val="nl-NL"/>
        </w:rPr>
        <w:t xml:space="preserve">13, wat de opleiding Basisverpleegkunde betreft, </w:t>
      </w:r>
      <w:r w:rsidR="00785312" w:rsidRPr="00510100">
        <w:rPr>
          <w:i/>
          <w:iCs/>
          <w:lang w:val="nl-NL"/>
        </w:rPr>
        <w:t>BS</w:t>
      </w:r>
      <w:r w:rsidR="00785312">
        <w:rPr>
          <w:lang w:val="nl-NL"/>
        </w:rPr>
        <w:t xml:space="preserve"> </w:t>
      </w:r>
      <w:r w:rsidR="00510100">
        <w:rPr>
          <w:lang w:val="nl-NL"/>
        </w:rPr>
        <w:t>28 augustus 2023</w:t>
      </w:r>
      <w:r w:rsidR="00785312">
        <w:rPr>
          <w:lang w:val="nl-NL"/>
        </w:rPr>
        <w:t>.</w:t>
      </w:r>
    </w:p>
  </w:footnote>
  <w:footnote w:id="209">
    <w:p w14:paraId="5962C9F2" w14:textId="0D1C63E2" w:rsidR="006B6622" w:rsidRPr="00D74D13" w:rsidRDefault="006B6622">
      <w:pPr>
        <w:pStyle w:val="Voetnoottekst"/>
        <w:rPr>
          <w:lang w:val="en-GB"/>
        </w:rPr>
      </w:pPr>
      <w:r>
        <w:rPr>
          <w:rStyle w:val="Voetnootmarkering"/>
        </w:rPr>
        <w:footnoteRef/>
      </w:r>
      <w:r w:rsidRPr="00D74D13">
        <w:rPr>
          <w:lang w:val="en-GB"/>
        </w:rPr>
        <w:t xml:space="preserve"> </w:t>
      </w:r>
      <w:r w:rsidRPr="00D74D13">
        <w:rPr>
          <w:i/>
          <w:iCs/>
          <w:lang w:val="en-GB"/>
        </w:rPr>
        <w:t>Ibid</w:t>
      </w:r>
      <w:r w:rsidRPr="00D74D13">
        <w:rPr>
          <w:lang w:val="en-GB"/>
        </w:rPr>
        <w:t>., art. 17.</w:t>
      </w:r>
    </w:p>
  </w:footnote>
  <w:footnote w:id="210">
    <w:p w14:paraId="61FDC1A3" w14:textId="16E41D58" w:rsidR="006B6622" w:rsidRPr="00D74D13" w:rsidRDefault="006B6622">
      <w:pPr>
        <w:pStyle w:val="Voetnoottekst"/>
        <w:rPr>
          <w:lang w:val="en-GB"/>
        </w:rPr>
      </w:pPr>
      <w:r>
        <w:rPr>
          <w:rStyle w:val="Voetnootmarkering"/>
        </w:rPr>
        <w:footnoteRef/>
      </w:r>
      <w:r w:rsidRPr="00D74D13">
        <w:rPr>
          <w:lang w:val="en-GB"/>
        </w:rPr>
        <w:t xml:space="preserve"> </w:t>
      </w:r>
      <w:r w:rsidRPr="00D74D13">
        <w:rPr>
          <w:i/>
          <w:iCs/>
          <w:lang w:val="en-GB"/>
        </w:rPr>
        <w:t>Ibid</w:t>
      </w:r>
      <w:r w:rsidRPr="00D74D13">
        <w:rPr>
          <w:lang w:val="en-GB"/>
        </w:rPr>
        <w:t>.</w:t>
      </w:r>
    </w:p>
  </w:footnote>
  <w:footnote w:id="211">
    <w:p w14:paraId="2BF38796" w14:textId="4640D093" w:rsidR="0005589B" w:rsidRPr="00D74D13" w:rsidRDefault="0005589B">
      <w:pPr>
        <w:pStyle w:val="Voetnoottekst"/>
        <w:rPr>
          <w:lang w:val="en-GB"/>
        </w:rPr>
      </w:pPr>
      <w:r>
        <w:rPr>
          <w:rStyle w:val="Voetnootmarkering"/>
        </w:rPr>
        <w:footnoteRef/>
      </w:r>
      <w:r w:rsidRPr="00D74D13">
        <w:rPr>
          <w:lang w:val="en-GB"/>
        </w:rPr>
        <w:t xml:space="preserve"> </w:t>
      </w:r>
      <w:r w:rsidRPr="00D74D13">
        <w:rPr>
          <w:i/>
          <w:iCs/>
          <w:lang w:val="en-GB"/>
        </w:rPr>
        <w:t>Ibid</w:t>
      </w:r>
      <w:r w:rsidRPr="00D74D13">
        <w:rPr>
          <w:lang w:val="en-GB"/>
        </w:rPr>
        <w:t xml:space="preserve">., </w:t>
      </w:r>
      <w:r w:rsidR="006F12BA" w:rsidRPr="00D74D13">
        <w:rPr>
          <w:lang w:val="en-GB"/>
        </w:rPr>
        <w:t xml:space="preserve">art. </w:t>
      </w:r>
      <w:r w:rsidRPr="00D74D13">
        <w:rPr>
          <w:lang w:val="en-GB"/>
        </w:rPr>
        <w:t>18.</w:t>
      </w:r>
    </w:p>
  </w:footnote>
  <w:footnote w:id="212">
    <w:p w14:paraId="7067F8EB" w14:textId="401210A4" w:rsidR="006F12BA" w:rsidRPr="006F12BA" w:rsidRDefault="006F12BA">
      <w:pPr>
        <w:pStyle w:val="Voetnoottekst"/>
        <w:rPr>
          <w:lang w:val="nl-NL"/>
        </w:rPr>
      </w:pPr>
      <w:r>
        <w:rPr>
          <w:rStyle w:val="Voetnootmarkering"/>
        </w:rPr>
        <w:footnoteRef/>
      </w:r>
      <w:r>
        <w:t xml:space="preserve"> </w:t>
      </w:r>
      <w:r>
        <w:rPr>
          <w:i/>
          <w:iCs/>
          <w:lang w:val="nl-NL"/>
        </w:rPr>
        <w:t>Ibid</w:t>
      </w:r>
      <w:r>
        <w:rPr>
          <w:lang w:val="nl-NL"/>
        </w:rPr>
        <w:t>., art. 24.</w:t>
      </w:r>
    </w:p>
  </w:footnote>
  <w:footnote w:id="213">
    <w:p w14:paraId="460A81E1" w14:textId="76988CC9" w:rsidR="00724A66" w:rsidRPr="00724A66" w:rsidRDefault="00724A66">
      <w:pPr>
        <w:pStyle w:val="Voetnoottekst"/>
        <w:rPr>
          <w:lang w:val="nl-NL"/>
        </w:rPr>
      </w:pPr>
      <w:r>
        <w:rPr>
          <w:rStyle w:val="Voetnootmarkering"/>
        </w:rPr>
        <w:footnoteRef/>
      </w:r>
      <w:r>
        <w:t xml:space="preserve"> </w:t>
      </w:r>
      <w:r>
        <w:rPr>
          <w:i/>
          <w:iCs/>
          <w:lang w:val="nl-NL"/>
        </w:rPr>
        <w:t>Ibid</w:t>
      </w:r>
      <w:r>
        <w:rPr>
          <w:lang w:val="nl-NL"/>
        </w:rPr>
        <w:t>., art. 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E1DFE"/>
    <w:multiLevelType w:val="multilevel"/>
    <w:tmpl w:val="2C3EA7DC"/>
    <w:lvl w:ilvl="0">
      <w:start w:val="1"/>
      <w:numFmt w:val="decimal"/>
      <w:pStyle w:val="Kop1"/>
      <w:lvlText w:val="%1."/>
      <w:lvlJc w:val="left"/>
      <w:pPr>
        <w:ind w:left="360" w:hanging="360"/>
      </w:pPr>
      <w:rPr>
        <w:rFonts w:hint="default"/>
        <w:b/>
        <w:bCs w:val="0"/>
      </w:rPr>
    </w:lvl>
    <w:lvl w:ilvl="1">
      <w:start w:val="1"/>
      <w:numFmt w:val="decimal"/>
      <w:pStyle w:val="Kop2"/>
      <w:lvlText w:val="%1.%2."/>
      <w:lvlJc w:val="left"/>
      <w:pPr>
        <w:ind w:left="792" w:hanging="432"/>
      </w:pPr>
      <w:rPr>
        <w:b/>
      </w:rPr>
    </w:lvl>
    <w:lvl w:ilvl="2">
      <w:start w:val="1"/>
      <w:numFmt w:val="decimal"/>
      <w:pStyle w:val="Kop3"/>
      <w:lvlText w:val="%1.%2.%3."/>
      <w:lvlJc w:val="left"/>
      <w:pPr>
        <w:ind w:left="1224" w:hanging="504"/>
      </w:pPr>
      <w:rPr>
        <w:sz w:val="22"/>
        <w:szCs w:val="24"/>
      </w:rPr>
    </w:lvl>
    <w:lvl w:ilvl="3">
      <w:start w:val="1"/>
      <w:numFmt w:val="decimal"/>
      <w:pStyle w:val="Kop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DE87B52"/>
    <w:multiLevelType w:val="hybridMultilevel"/>
    <w:tmpl w:val="AF00446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C995372"/>
    <w:multiLevelType w:val="hybridMultilevel"/>
    <w:tmpl w:val="AF00446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8EB02D8"/>
    <w:multiLevelType w:val="hybridMultilevel"/>
    <w:tmpl w:val="AF00446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9B675DD"/>
    <w:multiLevelType w:val="multilevel"/>
    <w:tmpl w:val="BD90C536"/>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DF96B6F"/>
    <w:multiLevelType w:val="hybridMultilevel"/>
    <w:tmpl w:val="AF00446C"/>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646A7787"/>
    <w:multiLevelType w:val="hybridMultilevel"/>
    <w:tmpl w:val="7D06DD1C"/>
    <w:lvl w:ilvl="0" w:tplc="D804D1B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684D27E9"/>
    <w:multiLevelType w:val="hybridMultilevel"/>
    <w:tmpl w:val="AF00446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06E7060"/>
    <w:multiLevelType w:val="hybridMultilevel"/>
    <w:tmpl w:val="AF00446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57E28C7"/>
    <w:multiLevelType w:val="hybridMultilevel"/>
    <w:tmpl w:val="AF00446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64886940">
    <w:abstractNumId w:val="0"/>
  </w:num>
  <w:num w:numId="2" w16cid:durableId="934284792">
    <w:abstractNumId w:val="4"/>
  </w:num>
  <w:num w:numId="3" w16cid:durableId="931012949">
    <w:abstractNumId w:val="6"/>
  </w:num>
  <w:num w:numId="4" w16cid:durableId="630868034">
    <w:abstractNumId w:val="5"/>
  </w:num>
  <w:num w:numId="5" w16cid:durableId="45029092">
    <w:abstractNumId w:val="2"/>
  </w:num>
  <w:num w:numId="6" w16cid:durableId="12762517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24249301">
    <w:abstractNumId w:val="8"/>
  </w:num>
  <w:num w:numId="8" w16cid:durableId="1545798965">
    <w:abstractNumId w:val="7"/>
  </w:num>
  <w:num w:numId="9" w16cid:durableId="1100025280">
    <w:abstractNumId w:val="3"/>
  </w:num>
  <w:num w:numId="10" w16cid:durableId="1222598525">
    <w:abstractNumId w:val="1"/>
  </w:num>
  <w:num w:numId="11" w16cid:durableId="266933604">
    <w:abstractNumId w:val="9"/>
  </w:num>
  <w:num w:numId="12" w16cid:durableId="382601656">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C626C"/>
    <w:rsid w:val="000011B3"/>
    <w:rsid w:val="00003D32"/>
    <w:rsid w:val="00011633"/>
    <w:rsid w:val="0001209F"/>
    <w:rsid w:val="00012947"/>
    <w:rsid w:val="0001484A"/>
    <w:rsid w:val="0002063A"/>
    <w:rsid w:val="000208B2"/>
    <w:rsid w:val="00020B01"/>
    <w:rsid w:val="0002255D"/>
    <w:rsid w:val="00025257"/>
    <w:rsid w:val="0002582F"/>
    <w:rsid w:val="00026A0B"/>
    <w:rsid w:val="000271E1"/>
    <w:rsid w:val="000318AE"/>
    <w:rsid w:val="000349C9"/>
    <w:rsid w:val="000423DD"/>
    <w:rsid w:val="000434D6"/>
    <w:rsid w:val="00046ACD"/>
    <w:rsid w:val="00051BB3"/>
    <w:rsid w:val="000529D2"/>
    <w:rsid w:val="00054F58"/>
    <w:rsid w:val="0005589B"/>
    <w:rsid w:val="0006002A"/>
    <w:rsid w:val="0006181E"/>
    <w:rsid w:val="00062266"/>
    <w:rsid w:val="00063BDD"/>
    <w:rsid w:val="0006636B"/>
    <w:rsid w:val="00070685"/>
    <w:rsid w:val="00070E71"/>
    <w:rsid w:val="0007414F"/>
    <w:rsid w:val="000745E9"/>
    <w:rsid w:val="00074700"/>
    <w:rsid w:val="000761D6"/>
    <w:rsid w:val="000762F8"/>
    <w:rsid w:val="0007636D"/>
    <w:rsid w:val="0007771D"/>
    <w:rsid w:val="00081EDB"/>
    <w:rsid w:val="00082DE3"/>
    <w:rsid w:val="00082F68"/>
    <w:rsid w:val="00084856"/>
    <w:rsid w:val="000857A7"/>
    <w:rsid w:val="00087236"/>
    <w:rsid w:val="00090A0F"/>
    <w:rsid w:val="00092E49"/>
    <w:rsid w:val="00093025"/>
    <w:rsid w:val="0009378D"/>
    <w:rsid w:val="000968C0"/>
    <w:rsid w:val="000A17F7"/>
    <w:rsid w:val="000B0A48"/>
    <w:rsid w:val="000B7073"/>
    <w:rsid w:val="000C3C61"/>
    <w:rsid w:val="000C591F"/>
    <w:rsid w:val="000C6DC3"/>
    <w:rsid w:val="000C73AF"/>
    <w:rsid w:val="000D0128"/>
    <w:rsid w:val="000D128C"/>
    <w:rsid w:val="000D4825"/>
    <w:rsid w:val="000D6BD7"/>
    <w:rsid w:val="000E10CA"/>
    <w:rsid w:val="000E3338"/>
    <w:rsid w:val="000E5CDD"/>
    <w:rsid w:val="000E6C4E"/>
    <w:rsid w:val="000E6E40"/>
    <w:rsid w:val="000F376E"/>
    <w:rsid w:val="000F3FCB"/>
    <w:rsid w:val="000F49F9"/>
    <w:rsid w:val="000F577F"/>
    <w:rsid w:val="000F6596"/>
    <w:rsid w:val="000F66DB"/>
    <w:rsid w:val="001008AF"/>
    <w:rsid w:val="00102D67"/>
    <w:rsid w:val="00103E4A"/>
    <w:rsid w:val="0011231C"/>
    <w:rsid w:val="00113125"/>
    <w:rsid w:val="00115139"/>
    <w:rsid w:val="00117ED1"/>
    <w:rsid w:val="001205DD"/>
    <w:rsid w:val="001205FF"/>
    <w:rsid w:val="00121D1C"/>
    <w:rsid w:val="00122111"/>
    <w:rsid w:val="001242F2"/>
    <w:rsid w:val="001314FD"/>
    <w:rsid w:val="00133109"/>
    <w:rsid w:val="00134B6E"/>
    <w:rsid w:val="00134D60"/>
    <w:rsid w:val="00136049"/>
    <w:rsid w:val="00136BE9"/>
    <w:rsid w:val="001404A3"/>
    <w:rsid w:val="001410CF"/>
    <w:rsid w:val="00143084"/>
    <w:rsid w:val="00144A2E"/>
    <w:rsid w:val="00144BA2"/>
    <w:rsid w:val="00145C8C"/>
    <w:rsid w:val="001469EF"/>
    <w:rsid w:val="00151E2A"/>
    <w:rsid w:val="00153754"/>
    <w:rsid w:val="00153F01"/>
    <w:rsid w:val="0016224A"/>
    <w:rsid w:val="00164684"/>
    <w:rsid w:val="00165A0D"/>
    <w:rsid w:val="00166DFB"/>
    <w:rsid w:val="00167F5F"/>
    <w:rsid w:val="00170ED0"/>
    <w:rsid w:val="00172E7E"/>
    <w:rsid w:val="001738CF"/>
    <w:rsid w:val="00173E65"/>
    <w:rsid w:val="0017490E"/>
    <w:rsid w:val="0017544D"/>
    <w:rsid w:val="00176ADB"/>
    <w:rsid w:val="00177583"/>
    <w:rsid w:val="00177FAF"/>
    <w:rsid w:val="001808E2"/>
    <w:rsid w:val="0018098C"/>
    <w:rsid w:val="00181877"/>
    <w:rsid w:val="0018566F"/>
    <w:rsid w:val="001858C0"/>
    <w:rsid w:val="001865D9"/>
    <w:rsid w:val="00193CD7"/>
    <w:rsid w:val="001950F2"/>
    <w:rsid w:val="001951EF"/>
    <w:rsid w:val="00197BC2"/>
    <w:rsid w:val="001A27D1"/>
    <w:rsid w:val="001A3A7C"/>
    <w:rsid w:val="001A60CE"/>
    <w:rsid w:val="001B352E"/>
    <w:rsid w:val="001B54A9"/>
    <w:rsid w:val="001C117B"/>
    <w:rsid w:val="001C16D3"/>
    <w:rsid w:val="001C2FCD"/>
    <w:rsid w:val="001D005F"/>
    <w:rsid w:val="001D01F6"/>
    <w:rsid w:val="001D126A"/>
    <w:rsid w:val="001D4EBA"/>
    <w:rsid w:val="001D53EA"/>
    <w:rsid w:val="001D53F8"/>
    <w:rsid w:val="001D6D37"/>
    <w:rsid w:val="001D6FDC"/>
    <w:rsid w:val="001E1ED9"/>
    <w:rsid w:val="001E3F40"/>
    <w:rsid w:val="001E4138"/>
    <w:rsid w:val="001E4338"/>
    <w:rsid w:val="001E578F"/>
    <w:rsid w:val="001E5D75"/>
    <w:rsid w:val="001E5F64"/>
    <w:rsid w:val="001F08F3"/>
    <w:rsid w:val="001F30C8"/>
    <w:rsid w:val="001F4892"/>
    <w:rsid w:val="001F48D4"/>
    <w:rsid w:val="001F4EA4"/>
    <w:rsid w:val="001F625D"/>
    <w:rsid w:val="00201DFD"/>
    <w:rsid w:val="0020218D"/>
    <w:rsid w:val="00202383"/>
    <w:rsid w:val="002046CC"/>
    <w:rsid w:val="00214921"/>
    <w:rsid w:val="0021677E"/>
    <w:rsid w:val="002232B6"/>
    <w:rsid w:val="0022677F"/>
    <w:rsid w:val="00227330"/>
    <w:rsid w:val="002303A9"/>
    <w:rsid w:val="00230439"/>
    <w:rsid w:val="00231A86"/>
    <w:rsid w:val="00231C32"/>
    <w:rsid w:val="00231F41"/>
    <w:rsid w:val="00233206"/>
    <w:rsid w:val="002358E0"/>
    <w:rsid w:val="00235DFD"/>
    <w:rsid w:val="00236835"/>
    <w:rsid w:val="002372C8"/>
    <w:rsid w:val="00237B4A"/>
    <w:rsid w:val="00241F16"/>
    <w:rsid w:val="0024253E"/>
    <w:rsid w:val="00242AA1"/>
    <w:rsid w:val="00245812"/>
    <w:rsid w:val="00250B26"/>
    <w:rsid w:val="002533E8"/>
    <w:rsid w:val="00254C74"/>
    <w:rsid w:val="0025531C"/>
    <w:rsid w:val="00260E56"/>
    <w:rsid w:val="00261D75"/>
    <w:rsid w:val="0026229C"/>
    <w:rsid w:val="00262878"/>
    <w:rsid w:val="00263993"/>
    <w:rsid w:val="00263D93"/>
    <w:rsid w:val="002642CB"/>
    <w:rsid w:val="00264FAD"/>
    <w:rsid w:val="00266343"/>
    <w:rsid w:val="002715F2"/>
    <w:rsid w:val="0027166D"/>
    <w:rsid w:val="002736D3"/>
    <w:rsid w:val="00273F37"/>
    <w:rsid w:val="0027463D"/>
    <w:rsid w:val="00274E3E"/>
    <w:rsid w:val="00275326"/>
    <w:rsid w:val="0027561A"/>
    <w:rsid w:val="00275DB9"/>
    <w:rsid w:val="00276B4D"/>
    <w:rsid w:val="00280CA1"/>
    <w:rsid w:val="00281BD6"/>
    <w:rsid w:val="00281C64"/>
    <w:rsid w:val="00283FA7"/>
    <w:rsid w:val="00284F52"/>
    <w:rsid w:val="0028621A"/>
    <w:rsid w:val="0028732D"/>
    <w:rsid w:val="00290168"/>
    <w:rsid w:val="00292778"/>
    <w:rsid w:val="00292B05"/>
    <w:rsid w:val="002932B0"/>
    <w:rsid w:val="00294766"/>
    <w:rsid w:val="00295E00"/>
    <w:rsid w:val="00296996"/>
    <w:rsid w:val="002970C1"/>
    <w:rsid w:val="00297334"/>
    <w:rsid w:val="00297DD7"/>
    <w:rsid w:val="002A04D0"/>
    <w:rsid w:val="002A0C59"/>
    <w:rsid w:val="002A0D54"/>
    <w:rsid w:val="002A168E"/>
    <w:rsid w:val="002A3624"/>
    <w:rsid w:val="002A3D4A"/>
    <w:rsid w:val="002A4879"/>
    <w:rsid w:val="002A4E60"/>
    <w:rsid w:val="002A5614"/>
    <w:rsid w:val="002A63FF"/>
    <w:rsid w:val="002A697D"/>
    <w:rsid w:val="002A7E21"/>
    <w:rsid w:val="002B5275"/>
    <w:rsid w:val="002B6F41"/>
    <w:rsid w:val="002C1106"/>
    <w:rsid w:val="002C23F9"/>
    <w:rsid w:val="002C2B95"/>
    <w:rsid w:val="002C41B4"/>
    <w:rsid w:val="002C78DA"/>
    <w:rsid w:val="002D1531"/>
    <w:rsid w:val="002D4506"/>
    <w:rsid w:val="002D45E3"/>
    <w:rsid w:val="002D62B3"/>
    <w:rsid w:val="002E5D9E"/>
    <w:rsid w:val="002E6856"/>
    <w:rsid w:val="002E702D"/>
    <w:rsid w:val="002F13BC"/>
    <w:rsid w:val="002F1ECB"/>
    <w:rsid w:val="002F20C5"/>
    <w:rsid w:val="002F3320"/>
    <w:rsid w:val="002F6E13"/>
    <w:rsid w:val="002F7F22"/>
    <w:rsid w:val="00300193"/>
    <w:rsid w:val="0030120F"/>
    <w:rsid w:val="00302BFC"/>
    <w:rsid w:val="00302DF8"/>
    <w:rsid w:val="00303DF0"/>
    <w:rsid w:val="00303FB8"/>
    <w:rsid w:val="00304140"/>
    <w:rsid w:val="00304720"/>
    <w:rsid w:val="00311578"/>
    <w:rsid w:val="00316A27"/>
    <w:rsid w:val="00321ADA"/>
    <w:rsid w:val="003232C7"/>
    <w:rsid w:val="00323634"/>
    <w:rsid w:val="003238DA"/>
    <w:rsid w:val="00323D24"/>
    <w:rsid w:val="00326625"/>
    <w:rsid w:val="00331EBE"/>
    <w:rsid w:val="00333F9E"/>
    <w:rsid w:val="00334404"/>
    <w:rsid w:val="00340A70"/>
    <w:rsid w:val="00340B7E"/>
    <w:rsid w:val="00340E67"/>
    <w:rsid w:val="0034244B"/>
    <w:rsid w:val="003425D9"/>
    <w:rsid w:val="00343142"/>
    <w:rsid w:val="00343C88"/>
    <w:rsid w:val="00344B00"/>
    <w:rsid w:val="00346B52"/>
    <w:rsid w:val="00350B74"/>
    <w:rsid w:val="003528AC"/>
    <w:rsid w:val="00353294"/>
    <w:rsid w:val="00354FA9"/>
    <w:rsid w:val="00355368"/>
    <w:rsid w:val="00356E28"/>
    <w:rsid w:val="00357FB9"/>
    <w:rsid w:val="00363656"/>
    <w:rsid w:val="00370A33"/>
    <w:rsid w:val="00373CB6"/>
    <w:rsid w:val="00375247"/>
    <w:rsid w:val="00375970"/>
    <w:rsid w:val="0037755D"/>
    <w:rsid w:val="003777D7"/>
    <w:rsid w:val="00384518"/>
    <w:rsid w:val="00386AE0"/>
    <w:rsid w:val="00386D84"/>
    <w:rsid w:val="0038755C"/>
    <w:rsid w:val="00393934"/>
    <w:rsid w:val="0039746F"/>
    <w:rsid w:val="003A018E"/>
    <w:rsid w:val="003A026F"/>
    <w:rsid w:val="003A1157"/>
    <w:rsid w:val="003A3F5E"/>
    <w:rsid w:val="003A4240"/>
    <w:rsid w:val="003A4A72"/>
    <w:rsid w:val="003A7E32"/>
    <w:rsid w:val="003B1CC7"/>
    <w:rsid w:val="003B3768"/>
    <w:rsid w:val="003B38D7"/>
    <w:rsid w:val="003B399D"/>
    <w:rsid w:val="003B695F"/>
    <w:rsid w:val="003B7404"/>
    <w:rsid w:val="003B7514"/>
    <w:rsid w:val="003C1C44"/>
    <w:rsid w:val="003C3797"/>
    <w:rsid w:val="003C40A3"/>
    <w:rsid w:val="003D0A54"/>
    <w:rsid w:val="003D138B"/>
    <w:rsid w:val="003D4712"/>
    <w:rsid w:val="003D7650"/>
    <w:rsid w:val="003E17B7"/>
    <w:rsid w:val="003E3B22"/>
    <w:rsid w:val="003E558F"/>
    <w:rsid w:val="003E5EBF"/>
    <w:rsid w:val="003E7B2A"/>
    <w:rsid w:val="003F050D"/>
    <w:rsid w:val="003F1206"/>
    <w:rsid w:val="003F12E0"/>
    <w:rsid w:val="003F6651"/>
    <w:rsid w:val="003F6AB1"/>
    <w:rsid w:val="003F784C"/>
    <w:rsid w:val="0040134A"/>
    <w:rsid w:val="00403711"/>
    <w:rsid w:val="004050EF"/>
    <w:rsid w:val="00405909"/>
    <w:rsid w:val="00405D7B"/>
    <w:rsid w:val="00407EFB"/>
    <w:rsid w:val="00410DA8"/>
    <w:rsid w:val="004131C0"/>
    <w:rsid w:val="0041401A"/>
    <w:rsid w:val="00414040"/>
    <w:rsid w:val="004166A8"/>
    <w:rsid w:val="00420281"/>
    <w:rsid w:val="00420282"/>
    <w:rsid w:val="004215DC"/>
    <w:rsid w:val="00425EAB"/>
    <w:rsid w:val="004265D3"/>
    <w:rsid w:val="004312E8"/>
    <w:rsid w:val="004318CD"/>
    <w:rsid w:val="00431B83"/>
    <w:rsid w:val="00432E79"/>
    <w:rsid w:val="004368F1"/>
    <w:rsid w:val="00436D80"/>
    <w:rsid w:val="00442943"/>
    <w:rsid w:val="00442F03"/>
    <w:rsid w:val="00443DB0"/>
    <w:rsid w:val="00443F8A"/>
    <w:rsid w:val="00447122"/>
    <w:rsid w:val="00452DD3"/>
    <w:rsid w:val="00453FE6"/>
    <w:rsid w:val="004573F0"/>
    <w:rsid w:val="00457BF3"/>
    <w:rsid w:val="00462104"/>
    <w:rsid w:val="00462868"/>
    <w:rsid w:val="00462BF9"/>
    <w:rsid w:val="00464C6D"/>
    <w:rsid w:val="0046744B"/>
    <w:rsid w:val="00467929"/>
    <w:rsid w:val="0047066F"/>
    <w:rsid w:val="00470D65"/>
    <w:rsid w:val="00471515"/>
    <w:rsid w:val="00473C47"/>
    <w:rsid w:val="00475E82"/>
    <w:rsid w:val="00480754"/>
    <w:rsid w:val="00482435"/>
    <w:rsid w:val="0048383D"/>
    <w:rsid w:val="0048562D"/>
    <w:rsid w:val="00485C81"/>
    <w:rsid w:val="00487B84"/>
    <w:rsid w:val="00487B8B"/>
    <w:rsid w:val="00487D31"/>
    <w:rsid w:val="00487E6B"/>
    <w:rsid w:val="0049136A"/>
    <w:rsid w:val="00491C38"/>
    <w:rsid w:val="004955D1"/>
    <w:rsid w:val="004962F0"/>
    <w:rsid w:val="004A08C7"/>
    <w:rsid w:val="004A3C02"/>
    <w:rsid w:val="004A476A"/>
    <w:rsid w:val="004A5DF1"/>
    <w:rsid w:val="004A718F"/>
    <w:rsid w:val="004B1C6A"/>
    <w:rsid w:val="004B5427"/>
    <w:rsid w:val="004B781E"/>
    <w:rsid w:val="004B7A1F"/>
    <w:rsid w:val="004C0994"/>
    <w:rsid w:val="004C1930"/>
    <w:rsid w:val="004C19BF"/>
    <w:rsid w:val="004C1CF1"/>
    <w:rsid w:val="004C227C"/>
    <w:rsid w:val="004C2B37"/>
    <w:rsid w:val="004C4BB2"/>
    <w:rsid w:val="004C7F56"/>
    <w:rsid w:val="004D2C1C"/>
    <w:rsid w:val="004D4327"/>
    <w:rsid w:val="004D46E4"/>
    <w:rsid w:val="004E01F5"/>
    <w:rsid w:val="004E4421"/>
    <w:rsid w:val="004E546F"/>
    <w:rsid w:val="004E5BA7"/>
    <w:rsid w:val="004E60C5"/>
    <w:rsid w:val="004E631F"/>
    <w:rsid w:val="004F0835"/>
    <w:rsid w:val="004F19D8"/>
    <w:rsid w:val="004F2B5C"/>
    <w:rsid w:val="004F30C8"/>
    <w:rsid w:val="004F559E"/>
    <w:rsid w:val="004F716D"/>
    <w:rsid w:val="004F749D"/>
    <w:rsid w:val="004F7545"/>
    <w:rsid w:val="005016B0"/>
    <w:rsid w:val="005023DB"/>
    <w:rsid w:val="00504570"/>
    <w:rsid w:val="00504E54"/>
    <w:rsid w:val="00505261"/>
    <w:rsid w:val="00506939"/>
    <w:rsid w:val="005071F5"/>
    <w:rsid w:val="00507849"/>
    <w:rsid w:val="00510100"/>
    <w:rsid w:val="00510CFA"/>
    <w:rsid w:val="005116EC"/>
    <w:rsid w:val="005124D0"/>
    <w:rsid w:val="00512923"/>
    <w:rsid w:val="00515F89"/>
    <w:rsid w:val="005167D8"/>
    <w:rsid w:val="00517933"/>
    <w:rsid w:val="00517F79"/>
    <w:rsid w:val="00520DBD"/>
    <w:rsid w:val="005211FE"/>
    <w:rsid w:val="0053195B"/>
    <w:rsid w:val="00531B98"/>
    <w:rsid w:val="00532B39"/>
    <w:rsid w:val="00534ABE"/>
    <w:rsid w:val="00537AC1"/>
    <w:rsid w:val="00537C63"/>
    <w:rsid w:val="0054089A"/>
    <w:rsid w:val="005408DA"/>
    <w:rsid w:val="00541C13"/>
    <w:rsid w:val="0054226B"/>
    <w:rsid w:val="00550D10"/>
    <w:rsid w:val="005517B2"/>
    <w:rsid w:val="00551CA3"/>
    <w:rsid w:val="00552662"/>
    <w:rsid w:val="00553168"/>
    <w:rsid w:val="00554297"/>
    <w:rsid w:val="0055489F"/>
    <w:rsid w:val="0055769F"/>
    <w:rsid w:val="00560C16"/>
    <w:rsid w:val="0056164F"/>
    <w:rsid w:val="00561894"/>
    <w:rsid w:val="00562E88"/>
    <w:rsid w:val="00564678"/>
    <w:rsid w:val="00571943"/>
    <w:rsid w:val="005719E8"/>
    <w:rsid w:val="00573663"/>
    <w:rsid w:val="00574584"/>
    <w:rsid w:val="00575FE1"/>
    <w:rsid w:val="0057699F"/>
    <w:rsid w:val="00577425"/>
    <w:rsid w:val="005810ED"/>
    <w:rsid w:val="00583967"/>
    <w:rsid w:val="0059190A"/>
    <w:rsid w:val="0059232A"/>
    <w:rsid w:val="00592D95"/>
    <w:rsid w:val="00593705"/>
    <w:rsid w:val="00594B7E"/>
    <w:rsid w:val="0059718C"/>
    <w:rsid w:val="00597AA2"/>
    <w:rsid w:val="005A5BB4"/>
    <w:rsid w:val="005A614B"/>
    <w:rsid w:val="005A7211"/>
    <w:rsid w:val="005A7A6A"/>
    <w:rsid w:val="005B275D"/>
    <w:rsid w:val="005B2925"/>
    <w:rsid w:val="005B3C2D"/>
    <w:rsid w:val="005B7A61"/>
    <w:rsid w:val="005C03D4"/>
    <w:rsid w:val="005C0CA7"/>
    <w:rsid w:val="005C41F2"/>
    <w:rsid w:val="005C4FBA"/>
    <w:rsid w:val="005C5B4E"/>
    <w:rsid w:val="005C6D23"/>
    <w:rsid w:val="005C777B"/>
    <w:rsid w:val="005D0445"/>
    <w:rsid w:val="005D077C"/>
    <w:rsid w:val="005D2579"/>
    <w:rsid w:val="005D328D"/>
    <w:rsid w:val="005D421C"/>
    <w:rsid w:val="005D577F"/>
    <w:rsid w:val="005D6A07"/>
    <w:rsid w:val="005E2D0A"/>
    <w:rsid w:val="005E4B52"/>
    <w:rsid w:val="005E6233"/>
    <w:rsid w:val="005F0B37"/>
    <w:rsid w:val="005F20F2"/>
    <w:rsid w:val="005F264E"/>
    <w:rsid w:val="005F3B9E"/>
    <w:rsid w:val="005F4E87"/>
    <w:rsid w:val="005F4FB1"/>
    <w:rsid w:val="005F517C"/>
    <w:rsid w:val="00600D6A"/>
    <w:rsid w:val="00605473"/>
    <w:rsid w:val="006056A7"/>
    <w:rsid w:val="0061009B"/>
    <w:rsid w:val="0061020D"/>
    <w:rsid w:val="00610834"/>
    <w:rsid w:val="006119D8"/>
    <w:rsid w:val="00612CD2"/>
    <w:rsid w:val="006135D7"/>
    <w:rsid w:val="00614E8A"/>
    <w:rsid w:val="00615348"/>
    <w:rsid w:val="006155F4"/>
    <w:rsid w:val="00617D46"/>
    <w:rsid w:val="0062113B"/>
    <w:rsid w:val="00624C80"/>
    <w:rsid w:val="00626506"/>
    <w:rsid w:val="006271FA"/>
    <w:rsid w:val="00627AB7"/>
    <w:rsid w:val="00633469"/>
    <w:rsid w:val="0063346E"/>
    <w:rsid w:val="00634F72"/>
    <w:rsid w:val="00635DD7"/>
    <w:rsid w:val="00636158"/>
    <w:rsid w:val="00636565"/>
    <w:rsid w:val="00636F9C"/>
    <w:rsid w:val="00640F07"/>
    <w:rsid w:val="0064248A"/>
    <w:rsid w:val="00644F47"/>
    <w:rsid w:val="00646690"/>
    <w:rsid w:val="006523CA"/>
    <w:rsid w:val="006527F4"/>
    <w:rsid w:val="0065285D"/>
    <w:rsid w:val="00652F85"/>
    <w:rsid w:val="006572D6"/>
    <w:rsid w:val="0065771B"/>
    <w:rsid w:val="00662B12"/>
    <w:rsid w:val="0066317A"/>
    <w:rsid w:val="00664A5C"/>
    <w:rsid w:val="00665E39"/>
    <w:rsid w:val="00666342"/>
    <w:rsid w:val="00666403"/>
    <w:rsid w:val="00671B8B"/>
    <w:rsid w:val="00672F2C"/>
    <w:rsid w:val="00674155"/>
    <w:rsid w:val="00675066"/>
    <w:rsid w:val="006754D9"/>
    <w:rsid w:val="00676722"/>
    <w:rsid w:val="0068057A"/>
    <w:rsid w:val="006807B1"/>
    <w:rsid w:val="00680B65"/>
    <w:rsid w:val="00681DB7"/>
    <w:rsid w:val="0068538B"/>
    <w:rsid w:val="006855B3"/>
    <w:rsid w:val="00685924"/>
    <w:rsid w:val="00685CD5"/>
    <w:rsid w:val="006902A0"/>
    <w:rsid w:val="0069043A"/>
    <w:rsid w:val="00690A5D"/>
    <w:rsid w:val="00691033"/>
    <w:rsid w:val="00691FFD"/>
    <w:rsid w:val="00693B61"/>
    <w:rsid w:val="0069796C"/>
    <w:rsid w:val="00697980"/>
    <w:rsid w:val="006A17E6"/>
    <w:rsid w:val="006A2553"/>
    <w:rsid w:val="006A4D35"/>
    <w:rsid w:val="006A6F74"/>
    <w:rsid w:val="006A7644"/>
    <w:rsid w:val="006B1938"/>
    <w:rsid w:val="006B2019"/>
    <w:rsid w:val="006B3D5B"/>
    <w:rsid w:val="006B5A35"/>
    <w:rsid w:val="006B6622"/>
    <w:rsid w:val="006B691F"/>
    <w:rsid w:val="006C18A3"/>
    <w:rsid w:val="006C227D"/>
    <w:rsid w:val="006C2510"/>
    <w:rsid w:val="006C419F"/>
    <w:rsid w:val="006C4567"/>
    <w:rsid w:val="006C70C7"/>
    <w:rsid w:val="006D036C"/>
    <w:rsid w:val="006D1F52"/>
    <w:rsid w:val="006D2A8D"/>
    <w:rsid w:val="006D494E"/>
    <w:rsid w:val="006D7BCE"/>
    <w:rsid w:val="006E4A3C"/>
    <w:rsid w:val="006E5092"/>
    <w:rsid w:val="006E7398"/>
    <w:rsid w:val="006F0D09"/>
    <w:rsid w:val="006F12BA"/>
    <w:rsid w:val="006F1671"/>
    <w:rsid w:val="006F1808"/>
    <w:rsid w:val="006F1EA4"/>
    <w:rsid w:val="006F4879"/>
    <w:rsid w:val="006F7016"/>
    <w:rsid w:val="00701D4D"/>
    <w:rsid w:val="00703F0C"/>
    <w:rsid w:val="00704317"/>
    <w:rsid w:val="00704EFB"/>
    <w:rsid w:val="00705FEF"/>
    <w:rsid w:val="00707F36"/>
    <w:rsid w:val="007116DB"/>
    <w:rsid w:val="00711DCD"/>
    <w:rsid w:val="0071231E"/>
    <w:rsid w:val="00713267"/>
    <w:rsid w:val="00714CBE"/>
    <w:rsid w:val="00716D8B"/>
    <w:rsid w:val="007219D0"/>
    <w:rsid w:val="0072418B"/>
    <w:rsid w:val="00724A66"/>
    <w:rsid w:val="007256DC"/>
    <w:rsid w:val="00726404"/>
    <w:rsid w:val="00726E46"/>
    <w:rsid w:val="00727695"/>
    <w:rsid w:val="007321CE"/>
    <w:rsid w:val="00735137"/>
    <w:rsid w:val="00735AE8"/>
    <w:rsid w:val="00736C3A"/>
    <w:rsid w:val="00737CB9"/>
    <w:rsid w:val="007400B6"/>
    <w:rsid w:val="0074026C"/>
    <w:rsid w:val="00740D03"/>
    <w:rsid w:val="00740E21"/>
    <w:rsid w:val="00743B87"/>
    <w:rsid w:val="007473DD"/>
    <w:rsid w:val="00747718"/>
    <w:rsid w:val="00747F93"/>
    <w:rsid w:val="00751E14"/>
    <w:rsid w:val="0075504B"/>
    <w:rsid w:val="007554B8"/>
    <w:rsid w:val="00756B8B"/>
    <w:rsid w:val="00757841"/>
    <w:rsid w:val="007646BC"/>
    <w:rsid w:val="00770070"/>
    <w:rsid w:val="007709D2"/>
    <w:rsid w:val="00771C04"/>
    <w:rsid w:val="00773F9C"/>
    <w:rsid w:val="00785312"/>
    <w:rsid w:val="0078598D"/>
    <w:rsid w:val="007867FE"/>
    <w:rsid w:val="00790BB6"/>
    <w:rsid w:val="00791973"/>
    <w:rsid w:val="00791C85"/>
    <w:rsid w:val="007925A3"/>
    <w:rsid w:val="007934F6"/>
    <w:rsid w:val="00793B53"/>
    <w:rsid w:val="007A2BAD"/>
    <w:rsid w:val="007A7382"/>
    <w:rsid w:val="007A74BB"/>
    <w:rsid w:val="007A75C4"/>
    <w:rsid w:val="007B020F"/>
    <w:rsid w:val="007B200E"/>
    <w:rsid w:val="007B21F3"/>
    <w:rsid w:val="007B34A0"/>
    <w:rsid w:val="007B494A"/>
    <w:rsid w:val="007C0C45"/>
    <w:rsid w:val="007C136A"/>
    <w:rsid w:val="007C3971"/>
    <w:rsid w:val="007C6465"/>
    <w:rsid w:val="007C7EE9"/>
    <w:rsid w:val="007D2479"/>
    <w:rsid w:val="007D3122"/>
    <w:rsid w:val="007D355D"/>
    <w:rsid w:val="007D39CF"/>
    <w:rsid w:val="007D6BF3"/>
    <w:rsid w:val="007E259E"/>
    <w:rsid w:val="007E340D"/>
    <w:rsid w:val="007E52F2"/>
    <w:rsid w:val="007E5C24"/>
    <w:rsid w:val="007F12DA"/>
    <w:rsid w:val="007F2187"/>
    <w:rsid w:val="007F41DB"/>
    <w:rsid w:val="007F545F"/>
    <w:rsid w:val="007F60BE"/>
    <w:rsid w:val="007F7FDD"/>
    <w:rsid w:val="008002CB"/>
    <w:rsid w:val="00803C37"/>
    <w:rsid w:val="00807C28"/>
    <w:rsid w:val="00810413"/>
    <w:rsid w:val="00811888"/>
    <w:rsid w:val="00811ED5"/>
    <w:rsid w:val="008121E5"/>
    <w:rsid w:val="008130E0"/>
    <w:rsid w:val="008131C5"/>
    <w:rsid w:val="00814034"/>
    <w:rsid w:val="00814D9B"/>
    <w:rsid w:val="00815773"/>
    <w:rsid w:val="008159C5"/>
    <w:rsid w:val="00815BFA"/>
    <w:rsid w:val="00816017"/>
    <w:rsid w:val="00816F2C"/>
    <w:rsid w:val="00825C66"/>
    <w:rsid w:val="00826B66"/>
    <w:rsid w:val="00827E05"/>
    <w:rsid w:val="00830259"/>
    <w:rsid w:val="0083075E"/>
    <w:rsid w:val="00830F32"/>
    <w:rsid w:val="00831D25"/>
    <w:rsid w:val="0083302E"/>
    <w:rsid w:val="0083308C"/>
    <w:rsid w:val="00835A6E"/>
    <w:rsid w:val="00837CD2"/>
    <w:rsid w:val="00840467"/>
    <w:rsid w:val="0084081E"/>
    <w:rsid w:val="00844A7D"/>
    <w:rsid w:val="00845D92"/>
    <w:rsid w:val="00845E6E"/>
    <w:rsid w:val="00846156"/>
    <w:rsid w:val="00852978"/>
    <w:rsid w:val="00853A88"/>
    <w:rsid w:val="00854F5D"/>
    <w:rsid w:val="00856FFA"/>
    <w:rsid w:val="00857271"/>
    <w:rsid w:val="0086777B"/>
    <w:rsid w:val="00871D86"/>
    <w:rsid w:val="00871FA6"/>
    <w:rsid w:val="008725D1"/>
    <w:rsid w:val="00875DC7"/>
    <w:rsid w:val="00876119"/>
    <w:rsid w:val="008761A6"/>
    <w:rsid w:val="00877457"/>
    <w:rsid w:val="00880248"/>
    <w:rsid w:val="008815D9"/>
    <w:rsid w:val="00881733"/>
    <w:rsid w:val="00881CCF"/>
    <w:rsid w:val="0088248D"/>
    <w:rsid w:val="00882B07"/>
    <w:rsid w:val="00882BD3"/>
    <w:rsid w:val="0088374C"/>
    <w:rsid w:val="00891DC2"/>
    <w:rsid w:val="00892966"/>
    <w:rsid w:val="0089334D"/>
    <w:rsid w:val="008A099F"/>
    <w:rsid w:val="008A2296"/>
    <w:rsid w:val="008A5EAE"/>
    <w:rsid w:val="008A74DF"/>
    <w:rsid w:val="008A78EE"/>
    <w:rsid w:val="008A7BBF"/>
    <w:rsid w:val="008B083B"/>
    <w:rsid w:val="008B213D"/>
    <w:rsid w:val="008B39A8"/>
    <w:rsid w:val="008B3C76"/>
    <w:rsid w:val="008B6AFF"/>
    <w:rsid w:val="008C3AFA"/>
    <w:rsid w:val="008C6DEE"/>
    <w:rsid w:val="008D5381"/>
    <w:rsid w:val="008D56AA"/>
    <w:rsid w:val="008E16CB"/>
    <w:rsid w:val="008E1893"/>
    <w:rsid w:val="008E232B"/>
    <w:rsid w:val="008E31C5"/>
    <w:rsid w:val="008F3467"/>
    <w:rsid w:val="008F479F"/>
    <w:rsid w:val="008F59B4"/>
    <w:rsid w:val="008F5A46"/>
    <w:rsid w:val="008F727F"/>
    <w:rsid w:val="009006FA"/>
    <w:rsid w:val="009008BD"/>
    <w:rsid w:val="00902289"/>
    <w:rsid w:val="00903400"/>
    <w:rsid w:val="00910DC2"/>
    <w:rsid w:val="00910EBF"/>
    <w:rsid w:val="00911256"/>
    <w:rsid w:val="00911432"/>
    <w:rsid w:val="00911897"/>
    <w:rsid w:val="00911B2B"/>
    <w:rsid w:val="00912137"/>
    <w:rsid w:val="00912FAB"/>
    <w:rsid w:val="00913A07"/>
    <w:rsid w:val="00914A78"/>
    <w:rsid w:val="0091719C"/>
    <w:rsid w:val="00920114"/>
    <w:rsid w:val="009233BE"/>
    <w:rsid w:val="00924A0D"/>
    <w:rsid w:val="009261DC"/>
    <w:rsid w:val="00926735"/>
    <w:rsid w:val="009279DA"/>
    <w:rsid w:val="009300C1"/>
    <w:rsid w:val="00931283"/>
    <w:rsid w:val="00931345"/>
    <w:rsid w:val="009321F6"/>
    <w:rsid w:val="0093314A"/>
    <w:rsid w:val="0093379F"/>
    <w:rsid w:val="00934612"/>
    <w:rsid w:val="00936334"/>
    <w:rsid w:val="00936919"/>
    <w:rsid w:val="00936F33"/>
    <w:rsid w:val="00937F45"/>
    <w:rsid w:val="00940CBA"/>
    <w:rsid w:val="009424BC"/>
    <w:rsid w:val="00942AD6"/>
    <w:rsid w:val="00945227"/>
    <w:rsid w:val="009458F5"/>
    <w:rsid w:val="0095005F"/>
    <w:rsid w:val="009513C2"/>
    <w:rsid w:val="009535E3"/>
    <w:rsid w:val="00953BFA"/>
    <w:rsid w:val="00955950"/>
    <w:rsid w:val="009607F0"/>
    <w:rsid w:val="0096177C"/>
    <w:rsid w:val="00961E1F"/>
    <w:rsid w:val="0096201E"/>
    <w:rsid w:val="0096280C"/>
    <w:rsid w:val="00966695"/>
    <w:rsid w:val="009670C2"/>
    <w:rsid w:val="00974423"/>
    <w:rsid w:val="00984451"/>
    <w:rsid w:val="00984748"/>
    <w:rsid w:val="009868F1"/>
    <w:rsid w:val="00987256"/>
    <w:rsid w:val="009875F6"/>
    <w:rsid w:val="00987AB8"/>
    <w:rsid w:val="00987B8E"/>
    <w:rsid w:val="00990A17"/>
    <w:rsid w:val="0099120A"/>
    <w:rsid w:val="00991C93"/>
    <w:rsid w:val="0099236C"/>
    <w:rsid w:val="00993F3C"/>
    <w:rsid w:val="00995490"/>
    <w:rsid w:val="00995BB2"/>
    <w:rsid w:val="00997596"/>
    <w:rsid w:val="009A0846"/>
    <w:rsid w:val="009A1A07"/>
    <w:rsid w:val="009A6A3C"/>
    <w:rsid w:val="009B12E5"/>
    <w:rsid w:val="009B303B"/>
    <w:rsid w:val="009B5B3D"/>
    <w:rsid w:val="009B62FF"/>
    <w:rsid w:val="009B797F"/>
    <w:rsid w:val="009B7C16"/>
    <w:rsid w:val="009B7F37"/>
    <w:rsid w:val="009C15BA"/>
    <w:rsid w:val="009C1F71"/>
    <w:rsid w:val="009C3D4A"/>
    <w:rsid w:val="009C5088"/>
    <w:rsid w:val="009C5B44"/>
    <w:rsid w:val="009D0F9F"/>
    <w:rsid w:val="009D19BF"/>
    <w:rsid w:val="009D2FE6"/>
    <w:rsid w:val="009D35CF"/>
    <w:rsid w:val="009D6056"/>
    <w:rsid w:val="009D7332"/>
    <w:rsid w:val="009D77DF"/>
    <w:rsid w:val="009D7C22"/>
    <w:rsid w:val="009D7E5B"/>
    <w:rsid w:val="009E065B"/>
    <w:rsid w:val="009E0D33"/>
    <w:rsid w:val="009E2299"/>
    <w:rsid w:val="009E6093"/>
    <w:rsid w:val="009F45D6"/>
    <w:rsid w:val="009F68D1"/>
    <w:rsid w:val="009F6FEC"/>
    <w:rsid w:val="009F7FDA"/>
    <w:rsid w:val="00A00CCB"/>
    <w:rsid w:val="00A04DB2"/>
    <w:rsid w:val="00A06D86"/>
    <w:rsid w:val="00A1068E"/>
    <w:rsid w:val="00A14ADD"/>
    <w:rsid w:val="00A15C29"/>
    <w:rsid w:val="00A17740"/>
    <w:rsid w:val="00A1779E"/>
    <w:rsid w:val="00A22AC9"/>
    <w:rsid w:val="00A246F4"/>
    <w:rsid w:val="00A26F3B"/>
    <w:rsid w:val="00A31267"/>
    <w:rsid w:val="00A31F18"/>
    <w:rsid w:val="00A353CC"/>
    <w:rsid w:val="00A36474"/>
    <w:rsid w:val="00A40146"/>
    <w:rsid w:val="00A4198A"/>
    <w:rsid w:val="00A43561"/>
    <w:rsid w:val="00A43EE8"/>
    <w:rsid w:val="00A45B53"/>
    <w:rsid w:val="00A502D3"/>
    <w:rsid w:val="00A517C2"/>
    <w:rsid w:val="00A5490E"/>
    <w:rsid w:val="00A54BB8"/>
    <w:rsid w:val="00A55059"/>
    <w:rsid w:val="00A56275"/>
    <w:rsid w:val="00A57468"/>
    <w:rsid w:val="00A62109"/>
    <w:rsid w:val="00A627F4"/>
    <w:rsid w:val="00A634DF"/>
    <w:rsid w:val="00A67E83"/>
    <w:rsid w:val="00A71FAA"/>
    <w:rsid w:val="00A72E46"/>
    <w:rsid w:val="00A73EEE"/>
    <w:rsid w:val="00A74275"/>
    <w:rsid w:val="00A74F31"/>
    <w:rsid w:val="00A7531F"/>
    <w:rsid w:val="00A76A17"/>
    <w:rsid w:val="00A77D61"/>
    <w:rsid w:val="00A80C3F"/>
    <w:rsid w:val="00A818F9"/>
    <w:rsid w:val="00A81981"/>
    <w:rsid w:val="00A84A23"/>
    <w:rsid w:val="00A860F5"/>
    <w:rsid w:val="00A86FD1"/>
    <w:rsid w:val="00A90962"/>
    <w:rsid w:val="00A9201F"/>
    <w:rsid w:val="00A96F0B"/>
    <w:rsid w:val="00AA02DC"/>
    <w:rsid w:val="00AA0638"/>
    <w:rsid w:val="00AA3F9F"/>
    <w:rsid w:val="00AA72D3"/>
    <w:rsid w:val="00AB036F"/>
    <w:rsid w:val="00AB16DA"/>
    <w:rsid w:val="00AB1D84"/>
    <w:rsid w:val="00AB2375"/>
    <w:rsid w:val="00AB37B3"/>
    <w:rsid w:val="00AB3BAB"/>
    <w:rsid w:val="00AB4658"/>
    <w:rsid w:val="00AB5EAC"/>
    <w:rsid w:val="00AB627F"/>
    <w:rsid w:val="00AB6906"/>
    <w:rsid w:val="00AC09C5"/>
    <w:rsid w:val="00AC1F73"/>
    <w:rsid w:val="00AC240F"/>
    <w:rsid w:val="00AC46E1"/>
    <w:rsid w:val="00AC549B"/>
    <w:rsid w:val="00AD1494"/>
    <w:rsid w:val="00AD2A6F"/>
    <w:rsid w:val="00AD3E59"/>
    <w:rsid w:val="00AD4CB4"/>
    <w:rsid w:val="00AD70E1"/>
    <w:rsid w:val="00AE0250"/>
    <w:rsid w:val="00AE2F38"/>
    <w:rsid w:val="00AE3A5E"/>
    <w:rsid w:val="00AE3D75"/>
    <w:rsid w:val="00AE476B"/>
    <w:rsid w:val="00AE495D"/>
    <w:rsid w:val="00AE78CD"/>
    <w:rsid w:val="00AF39BC"/>
    <w:rsid w:val="00AF4974"/>
    <w:rsid w:val="00AF4B31"/>
    <w:rsid w:val="00B00A00"/>
    <w:rsid w:val="00B02D68"/>
    <w:rsid w:val="00B03240"/>
    <w:rsid w:val="00B04E55"/>
    <w:rsid w:val="00B06E19"/>
    <w:rsid w:val="00B11269"/>
    <w:rsid w:val="00B1217F"/>
    <w:rsid w:val="00B12839"/>
    <w:rsid w:val="00B1336C"/>
    <w:rsid w:val="00B13B9C"/>
    <w:rsid w:val="00B15751"/>
    <w:rsid w:val="00B21AA1"/>
    <w:rsid w:val="00B2284A"/>
    <w:rsid w:val="00B22A91"/>
    <w:rsid w:val="00B22EDA"/>
    <w:rsid w:val="00B25B17"/>
    <w:rsid w:val="00B26A09"/>
    <w:rsid w:val="00B27DC1"/>
    <w:rsid w:val="00B30781"/>
    <w:rsid w:val="00B30E18"/>
    <w:rsid w:val="00B32715"/>
    <w:rsid w:val="00B36E7B"/>
    <w:rsid w:val="00B37E05"/>
    <w:rsid w:val="00B43EA5"/>
    <w:rsid w:val="00B440CF"/>
    <w:rsid w:val="00B45B31"/>
    <w:rsid w:val="00B45F49"/>
    <w:rsid w:val="00B50D67"/>
    <w:rsid w:val="00B51540"/>
    <w:rsid w:val="00B51FB2"/>
    <w:rsid w:val="00B521C4"/>
    <w:rsid w:val="00B53923"/>
    <w:rsid w:val="00B54784"/>
    <w:rsid w:val="00B57833"/>
    <w:rsid w:val="00B60BFF"/>
    <w:rsid w:val="00B62648"/>
    <w:rsid w:val="00B62994"/>
    <w:rsid w:val="00B629D4"/>
    <w:rsid w:val="00B63D3F"/>
    <w:rsid w:val="00B64867"/>
    <w:rsid w:val="00B6512D"/>
    <w:rsid w:val="00B65993"/>
    <w:rsid w:val="00B7091D"/>
    <w:rsid w:val="00B74245"/>
    <w:rsid w:val="00B77157"/>
    <w:rsid w:val="00B8309D"/>
    <w:rsid w:val="00B83BE6"/>
    <w:rsid w:val="00B86A13"/>
    <w:rsid w:val="00B92B56"/>
    <w:rsid w:val="00B94589"/>
    <w:rsid w:val="00B954B8"/>
    <w:rsid w:val="00B95E95"/>
    <w:rsid w:val="00B969DD"/>
    <w:rsid w:val="00B9726C"/>
    <w:rsid w:val="00BA1B0D"/>
    <w:rsid w:val="00BA79E2"/>
    <w:rsid w:val="00BA7AFB"/>
    <w:rsid w:val="00BB1FDD"/>
    <w:rsid w:val="00BB4AD4"/>
    <w:rsid w:val="00BB7733"/>
    <w:rsid w:val="00BC1590"/>
    <w:rsid w:val="00BC23DF"/>
    <w:rsid w:val="00BD0443"/>
    <w:rsid w:val="00BD0F9C"/>
    <w:rsid w:val="00BD1CF0"/>
    <w:rsid w:val="00BD443B"/>
    <w:rsid w:val="00BD50C7"/>
    <w:rsid w:val="00BD52CB"/>
    <w:rsid w:val="00BD6DFA"/>
    <w:rsid w:val="00BD708A"/>
    <w:rsid w:val="00BE36A5"/>
    <w:rsid w:val="00BE52DE"/>
    <w:rsid w:val="00BF0747"/>
    <w:rsid w:val="00BF0A41"/>
    <w:rsid w:val="00BF0A79"/>
    <w:rsid w:val="00BF336A"/>
    <w:rsid w:val="00BF3949"/>
    <w:rsid w:val="00BF3A7C"/>
    <w:rsid w:val="00BF406A"/>
    <w:rsid w:val="00BF437D"/>
    <w:rsid w:val="00BF50F0"/>
    <w:rsid w:val="00BF7B79"/>
    <w:rsid w:val="00C041E7"/>
    <w:rsid w:val="00C04F23"/>
    <w:rsid w:val="00C07D6A"/>
    <w:rsid w:val="00C107F4"/>
    <w:rsid w:val="00C10D41"/>
    <w:rsid w:val="00C11832"/>
    <w:rsid w:val="00C14308"/>
    <w:rsid w:val="00C1516C"/>
    <w:rsid w:val="00C1616D"/>
    <w:rsid w:val="00C219D5"/>
    <w:rsid w:val="00C22D7A"/>
    <w:rsid w:val="00C2361D"/>
    <w:rsid w:val="00C2538D"/>
    <w:rsid w:val="00C25FC6"/>
    <w:rsid w:val="00C2779B"/>
    <w:rsid w:val="00C31032"/>
    <w:rsid w:val="00C34E37"/>
    <w:rsid w:val="00C35757"/>
    <w:rsid w:val="00C35A2A"/>
    <w:rsid w:val="00C36A52"/>
    <w:rsid w:val="00C36B56"/>
    <w:rsid w:val="00C41DB0"/>
    <w:rsid w:val="00C42301"/>
    <w:rsid w:val="00C42CF7"/>
    <w:rsid w:val="00C47C9B"/>
    <w:rsid w:val="00C50883"/>
    <w:rsid w:val="00C50921"/>
    <w:rsid w:val="00C52B34"/>
    <w:rsid w:val="00C52D32"/>
    <w:rsid w:val="00C54309"/>
    <w:rsid w:val="00C5754B"/>
    <w:rsid w:val="00C57BFA"/>
    <w:rsid w:val="00C63D92"/>
    <w:rsid w:val="00C658D1"/>
    <w:rsid w:val="00C65AC7"/>
    <w:rsid w:val="00C7182E"/>
    <w:rsid w:val="00C731FC"/>
    <w:rsid w:val="00C75480"/>
    <w:rsid w:val="00C75648"/>
    <w:rsid w:val="00C769A7"/>
    <w:rsid w:val="00C816BB"/>
    <w:rsid w:val="00C826F2"/>
    <w:rsid w:val="00C82D14"/>
    <w:rsid w:val="00C847E6"/>
    <w:rsid w:val="00C84BB4"/>
    <w:rsid w:val="00C85A9F"/>
    <w:rsid w:val="00C872F7"/>
    <w:rsid w:val="00C90587"/>
    <w:rsid w:val="00C906E3"/>
    <w:rsid w:val="00C930BD"/>
    <w:rsid w:val="00C93F23"/>
    <w:rsid w:val="00C94EF1"/>
    <w:rsid w:val="00CA25F1"/>
    <w:rsid w:val="00CA3408"/>
    <w:rsid w:val="00CA3F09"/>
    <w:rsid w:val="00CB0B3B"/>
    <w:rsid w:val="00CB234B"/>
    <w:rsid w:val="00CB365B"/>
    <w:rsid w:val="00CB53A0"/>
    <w:rsid w:val="00CB55B7"/>
    <w:rsid w:val="00CC2970"/>
    <w:rsid w:val="00CC3F63"/>
    <w:rsid w:val="00CC626C"/>
    <w:rsid w:val="00CC7515"/>
    <w:rsid w:val="00CD0DCF"/>
    <w:rsid w:val="00CD100D"/>
    <w:rsid w:val="00CD2E1C"/>
    <w:rsid w:val="00CD3335"/>
    <w:rsid w:val="00CD4E56"/>
    <w:rsid w:val="00CE1245"/>
    <w:rsid w:val="00CE2A7A"/>
    <w:rsid w:val="00CE2AD7"/>
    <w:rsid w:val="00CE3B63"/>
    <w:rsid w:val="00CE5232"/>
    <w:rsid w:val="00CE7AB5"/>
    <w:rsid w:val="00CE7F81"/>
    <w:rsid w:val="00CF0158"/>
    <w:rsid w:val="00CF018F"/>
    <w:rsid w:val="00CF23C7"/>
    <w:rsid w:val="00CF2AE4"/>
    <w:rsid w:val="00CF3F0F"/>
    <w:rsid w:val="00CF6799"/>
    <w:rsid w:val="00CF6EF3"/>
    <w:rsid w:val="00CF70FD"/>
    <w:rsid w:val="00CF77F6"/>
    <w:rsid w:val="00D026AA"/>
    <w:rsid w:val="00D045AB"/>
    <w:rsid w:val="00D04E4A"/>
    <w:rsid w:val="00D067A9"/>
    <w:rsid w:val="00D070D5"/>
    <w:rsid w:val="00D15C82"/>
    <w:rsid w:val="00D1670F"/>
    <w:rsid w:val="00D16778"/>
    <w:rsid w:val="00D168DF"/>
    <w:rsid w:val="00D16F05"/>
    <w:rsid w:val="00D200FB"/>
    <w:rsid w:val="00D20C87"/>
    <w:rsid w:val="00D223B7"/>
    <w:rsid w:val="00D2539F"/>
    <w:rsid w:val="00D26730"/>
    <w:rsid w:val="00D30F2C"/>
    <w:rsid w:val="00D323A9"/>
    <w:rsid w:val="00D333A9"/>
    <w:rsid w:val="00D3437E"/>
    <w:rsid w:val="00D369CF"/>
    <w:rsid w:val="00D42AA7"/>
    <w:rsid w:val="00D453B5"/>
    <w:rsid w:val="00D47028"/>
    <w:rsid w:val="00D47DE4"/>
    <w:rsid w:val="00D50BA2"/>
    <w:rsid w:val="00D515E3"/>
    <w:rsid w:val="00D52F80"/>
    <w:rsid w:val="00D57DEB"/>
    <w:rsid w:val="00D6065F"/>
    <w:rsid w:val="00D621DC"/>
    <w:rsid w:val="00D62E0F"/>
    <w:rsid w:val="00D6443D"/>
    <w:rsid w:val="00D656DF"/>
    <w:rsid w:val="00D65F39"/>
    <w:rsid w:val="00D71817"/>
    <w:rsid w:val="00D71C2A"/>
    <w:rsid w:val="00D737FC"/>
    <w:rsid w:val="00D73AF9"/>
    <w:rsid w:val="00D74D13"/>
    <w:rsid w:val="00D80966"/>
    <w:rsid w:val="00D80EBC"/>
    <w:rsid w:val="00D810FB"/>
    <w:rsid w:val="00D8275C"/>
    <w:rsid w:val="00D832F8"/>
    <w:rsid w:val="00D90A16"/>
    <w:rsid w:val="00D90CD1"/>
    <w:rsid w:val="00D917F3"/>
    <w:rsid w:val="00D93931"/>
    <w:rsid w:val="00DA2681"/>
    <w:rsid w:val="00DA396B"/>
    <w:rsid w:val="00DA5B32"/>
    <w:rsid w:val="00DB0CAF"/>
    <w:rsid w:val="00DB632D"/>
    <w:rsid w:val="00DB6C19"/>
    <w:rsid w:val="00DB787E"/>
    <w:rsid w:val="00DC0B49"/>
    <w:rsid w:val="00DC3A6B"/>
    <w:rsid w:val="00DC628D"/>
    <w:rsid w:val="00DC632F"/>
    <w:rsid w:val="00DC6912"/>
    <w:rsid w:val="00DC7D4A"/>
    <w:rsid w:val="00DD11F0"/>
    <w:rsid w:val="00DD1365"/>
    <w:rsid w:val="00DD2038"/>
    <w:rsid w:val="00DD369A"/>
    <w:rsid w:val="00DD47E4"/>
    <w:rsid w:val="00DD4A3D"/>
    <w:rsid w:val="00DD4F12"/>
    <w:rsid w:val="00DD7AA5"/>
    <w:rsid w:val="00DD7DE2"/>
    <w:rsid w:val="00DE0628"/>
    <w:rsid w:val="00DE0E5E"/>
    <w:rsid w:val="00DE25A9"/>
    <w:rsid w:val="00DE5D39"/>
    <w:rsid w:val="00DE626F"/>
    <w:rsid w:val="00DE7396"/>
    <w:rsid w:val="00DF05CC"/>
    <w:rsid w:val="00DF0CE4"/>
    <w:rsid w:val="00DF222D"/>
    <w:rsid w:val="00DF4A5D"/>
    <w:rsid w:val="00DF7C40"/>
    <w:rsid w:val="00E01A0D"/>
    <w:rsid w:val="00E0451D"/>
    <w:rsid w:val="00E05F0C"/>
    <w:rsid w:val="00E11AB6"/>
    <w:rsid w:val="00E147C6"/>
    <w:rsid w:val="00E17C67"/>
    <w:rsid w:val="00E17DF0"/>
    <w:rsid w:val="00E17FEE"/>
    <w:rsid w:val="00E20F36"/>
    <w:rsid w:val="00E21B89"/>
    <w:rsid w:val="00E22529"/>
    <w:rsid w:val="00E2354F"/>
    <w:rsid w:val="00E257C0"/>
    <w:rsid w:val="00E25C88"/>
    <w:rsid w:val="00E276B7"/>
    <w:rsid w:val="00E3007E"/>
    <w:rsid w:val="00E3212B"/>
    <w:rsid w:val="00E329A8"/>
    <w:rsid w:val="00E33224"/>
    <w:rsid w:val="00E33DB9"/>
    <w:rsid w:val="00E3481E"/>
    <w:rsid w:val="00E372A7"/>
    <w:rsid w:val="00E40046"/>
    <w:rsid w:val="00E425A0"/>
    <w:rsid w:val="00E42BD1"/>
    <w:rsid w:val="00E4343B"/>
    <w:rsid w:val="00E43F0E"/>
    <w:rsid w:val="00E4521D"/>
    <w:rsid w:val="00E454FA"/>
    <w:rsid w:val="00E46FA9"/>
    <w:rsid w:val="00E5063B"/>
    <w:rsid w:val="00E50F1C"/>
    <w:rsid w:val="00E528C7"/>
    <w:rsid w:val="00E52EB2"/>
    <w:rsid w:val="00E53EFB"/>
    <w:rsid w:val="00E54C50"/>
    <w:rsid w:val="00E56277"/>
    <w:rsid w:val="00E56DD8"/>
    <w:rsid w:val="00E57D0E"/>
    <w:rsid w:val="00E57E6B"/>
    <w:rsid w:val="00E60037"/>
    <w:rsid w:val="00E60F34"/>
    <w:rsid w:val="00E633CC"/>
    <w:rsid w:val="00E645A5"/>
    <w:rsid w:val="00E64C49"/>
    <w:rsid w:val="00E66AF2"/>
    <w:rsid w:val="00E67424"/>
    <w:rsid w:val="00E72A3B"/>
    <w:rsid w:val="00E738AF"/>
    <w:rsid w:val="00E7390E"/>
    <w:rsid w:val="00E7453E"/>
    <w:rsid w:val="00E74EC6"/>
    <w:rsid w:val="00E75714"/>
    <w:rsid w:val="00E77A53"/>
    <w:rsid w:val="00E8046E"/>
    <w:rsid w:val="00E811B0"/>
    <w:rsid w:val="00E8276A"/>
    <w:rsid w:val="00E912C2"/>
    <w:rsid w:val="00E916EE"/>
    <w:rsid w:val="00E93D20"/>
    <w:rsid w:val="00E95230"/>
    <w:rsid w:val="00E97987"/>
    <w:rsid w:val="00EA059B"/>
    <w:rsid w:val="00EA4A72"/>
    <w:rsid w:val="00EA4B08"/>
    <w:rsid w:val="00EA5698"/>
    <w:rsid w:val="00EA5BF0"/>
    <w:rsid w:val="00EB2010"/>
    <w:rsid w:val="00EB22D1"/>
    <w:rsid w:val="00EB23D6"/>
    <w:rsid w:val="00EB5FCF"/>
    <w:rsid w:val="00EC0A69"/>
    <w:rsid w:val="00EC1125"/>
    <w:rsid w:val="00EC1C30"/>
    <w:rsid w:val="00EC2446"/>
    <w:rsid w:val="00EC2FFE"/>
    <w:rsid w:val="00EC51D1"/>
    <w:rsid w:val="00ED011B"/>
    <w:rsid w:val="00ED16FE"/>
    <w:rsid w:val="00ED253F"/>
    <w:rsid w:val="00ED2701"/>
    <w:rsid w:val="00ED28A8"/>
    <w:rsid w:val="00ED6654"/>
    <w:rsid w:val="00ED6840"/>
    <w:rsid w:val="00ED6B11"/>
    <w:rsid w:val="00EE2D24"/>
    <w:rsid w:val="00EE3031"/>
    <w:rsid w:val="00EE4916"/>
    <w:rsid w:val="00EF14DD"/>
    <w:rsid w:val="00EF2103"/>
    <w:rsid w:val="00EF2E5A"/>
    <w:rsid w:val="00EF3ED0"/>
    <w:rsid w:val="00EF454E"/>
    <w:rsid w:val="00EF4AD2"/>
    <w:rsid w:val="00EF7F68"/>
    <w:rsid w:val="00F0224A"/>
    <w:rsid w:val="00F06635"/>
    <w:rsid w:val="00F06B88"/>
    <w:rsid w:val="00F127A8"/>
    <w:rsid w:val="00F12BDB"/>
    <w:rsid w:val="00F14B09"/>
    <w:rsid w:val="00F158AC"/>
    <w:rsid w:val="00F17101"/>
    <w:rsid w:val="00F17FC5"/>
    <w:rsid w:val="00F2184E"/>
    <w:rsid w:val="00F22D8D"/>
    <w:rsid w:val="00F239E5"/>
    <w:rsid w:val="00F266BB"/>
    <w:rsid w:val="00F2701E"/>
    <w:rsid w:val="00F27365"/>
    <w:rsid w:val="00F27ED3"/>
    <w:rsid w:val="00F31620"/>
    <w:rsid w:val="00F31C20"/>
    <w:rsid w:val="00F3266F"/>
    <w:rsid w:val="00F33370"/>
    <w:rsid w:val="00F339BC"/>
    <w:rsid w:val="00F34102"/>
    <w:rsid w:val="00F35FF5"/>
    <w:rsid w:val="00F42244"/>
    <w:rsid w:val="00F4431E"/>
    <w:rsid w:val="00F44A25"/>
    <w:rsid w:val="00F45BAB"/>
    <w:rsid w:val="00F46149"/>
    <w:rsid w:val="00F466FC"/>
    <w:rsid w:val="00F474AB"/>
    <w:rsid w:val="00F5019F"/>
    <w:rsid w:val="00F50A6B"/>
    <w:rsid w:val="00F531DD"/>
    <w:rsid w:val="00F545DB"/>
    <w:rsid w:val="00F5616E"/>
    <w:rsid w:val="00F61EFB"/>
    <w:rsid w:val="00F6210D"/>
    <w:rsid w:val="00F62FE2"/>
    <w:rsid w:val="00F63D28"/>
    <w:rsid w:val="00F63F53"/>
    <w:rsid w:val="00F66F35"/>
    <w:rsid w:val="00F707D6"/>
    <w:rsid w:val="00F70A92"/>
    <w:rsid w:val="00F7125D"/>
    <w:rsid w:val="00F73A2A"/>
    <w:rsid w:val="00F7466F"/>
    <w:rsid w:val="00F764AA"/>
    <w:rsid w:val="00F764E4"/>
    <w:rsid w:val="00F76530"/>
    <w:rsid w:val="00F82225"/>
    <w:rsid w:val="00F838A6"/>
    <w:rsid w:val="00F85E02"/>
    <w:rsid w:val="00F87FD9"/>
    <w:rsid w:val="00F9028A"/>
    <w:rsid w:val="00F90A3F"/>
    <w:rsid w:val="00F934FB"/>
    <w:rsid w:val="00F951EB"/>
    <w:rsid w:val="00F978CE"/>
    <w:rsid w:val="00F97E24"/>
    <w:rsid w:val="00FA02DB"/>
    <w:rsid w:val="00FA29D8"/>
    <w:rsid w:val="00FA313B"/>
    <w:rsid w:val="00FA42EA"/>
    <w:rsid w:val="00FA4FFC"/>
    <w:rsid w:val="00FA7DDF"/>
    <w:rsid w:val="00FB0938"/>
    <w:rsid w:val="00FB0ACA"/>
    <w:rsid w:val="00FB0CAC"/>
    <w:rsid w:val="00FB5F4D"/>
    <w:rsid w:val="00FB65CF"/>
    <w:rsid w:val="00FB7365"/>
    <w:rsid w:val="00FC4C90"/>
    <w:rsid w:val="00FC63C6"/>
    <w:rsid w:val="00FC6419"/>
    <w:rsid w:val="00FC6ECA"/>
    <w:rsid w:val="00FD086F"/>
    <w:rsid w:val="00FD0DD7"/>
    <w:rsid w:val="00FD3158"/>
    <w:rsid w:val="00FD367A"/>
    <w:rsid w:val="00FD48F7"/>
    <w:rsid w:val="00FD4EBC"/>
    <w:rsid w:val="00FD67AB"/>
    <w:rsid w:val="00FD68AC"/>
    <w:rsid w:val="00FD6F65"/>
    <w:rsid w:val="00FE1448"/>
    <w:rsid w:val="00FE28BE"/>
    <w:rsid w:val="00FE3E4F"/>
    <w:rsid w:val="00FE646B"/>
    <w:rsid w:val="00FF1F6A"/>
    <w:rsid w:val="00FF279C"/>
    <w:rsid w:val="00FF5894"/>
    <w:rsid w:val="00FF6F48"/>
    <w:rsid w:val="3BCBE17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203F4"/>
  <w15:docId w15:val="{CCA4F929-7FA0-4887-8A6A-B0569A75F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Lijstalinea"/>
    <w:next w:val="Standaard"/>
    <w:link w:val="Kop1Char"/>
    <w:uiPriority w:val="9"/>
    <w:qFormat/>
    <w:rsid w:val="00560C16"/>
    <w:pPr>
      <w:numPr>
        <w:numId w:val="1"/>
      </w:numPr>
      <w:outlineLvl w:val="0"/>
    </w:pPr>
    <w:rPr>
      <w:b/>
      <w:bCs/>
      <w:sz w:val="28"/>
      <w:szCs w:val="28"/>
    </w:rPr>
  </w:style>
  <w:style w:type="paragraph" w:styleId="Kop2">
    <w:name w:val="heading 2"/>
    <w:basedOn w:val="Lijstalinea"/>
    <w:next w:val="Standaard"/>
    <w:link w:val="Kop2Char"/>
    <w:uiPriority w:val="9"/>
    <w:unhideWhenUsed/>
    <w:qFormat/>
    <w:rsid w:val="00560C16"/>
    <w:pPr>
      <w:numPr>
        <w:ilvl w:val="1"/>
        <w:numId w:val="1"/>
      </w:numPr>
      <w:outlineLvl w:val="1"/>
    </w:pPr>
    <w:rPr>
      <w:b/>
      <w:sz w:val="24"/>
    </w:rPr>
  </w:style>
  <w:style w:type="paragraph" w:styleId="Kop3">
    <w:name w:val="heading 3"/>
    <w:basedOn w:val="Lijstalinea"/>
    <w:next w:val="Standaard"/>
    <w:link w:val="Kop3Char"/>
    <w:uiPriority w:val="9"/>
    <w:unhideWhenUsed/>
    <w:qFormat/>
    <w:rsid w:val="00560C16"/>
    <w:pPr>
      <w:numPr>
        <w:ilvl w:val="2"/>
        <w:numId w:val="1"/>
      </w:numPr>
      <w:outlineLvl w:val="2"/>
    </w:pPr>
    <w:rPr>
      <w:b/>
      <w:bCs/>
      <w:szCs w:val="24"/>
    </w:rPr>
  </w:style>
  <w:style w:type="paragraph" w:styleId="Kop4">
    <w:name w:val="heading 4"/>
    <w:basedOn w:val="Kop1"/>
    <w:next w:val="Standaard"/>
    <w:link w:val="Kop4Char"/>
    <w:uiPriority w:val="9"/>
    <w:unhideWhenUsed/>
    <w:qFormat/>
    <w:rsid w:val="009458F5"/>
    <w:pPr>
      <w:numPr>
        <w:ilvl w:val="3"/>
      </w:numPr>
      <w:outlineLvl w:val="3"/>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C626C"/>
    <w:pPr>
      <w:ind w:left="720"/>
      <w:contextualSpacing/>
    </w:pPr>
  </w:style>
  <w:style w:type="paragraph" w:styleId="Voetnoottekst">
    <w:name w:val="footnote text"/>
    <w:basedOn w:val="Standaard"/>
    <w:link w:val="VoetnoottekstChar"/>
    <w:uiPriority w:val="99"/>
    <w:semiHidden/>
    <w:unhideWhenUsed/>
    <w:rsid w:val="00231F4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31F41"/>
    <w:rPr>
      <w:sz w:val="20"/>
      <w:szCs w:val="20"/>
    </w:rPr>
  </w:style>
  <w:style w:type="character" w:styleId="Voetnootmarkering">
    <w:name w:val="footnote reference"/>
    <w:basedOn w:val="Standaardalinea-lettertype"/>
    <w:uiPriority w:val="99"/>
    <w:semiHidden/>
    <w:unhideWhenUsed/>
    <w:rsid w:val="00231F41"/>
    <w:rPr>
      <w:vertAlign w:val="superscript"/>
    </w:rPr>
  </w:style>
  <w:style w:type="character" w:styleId="Verwijzingopmerking">
    <w:name w:val="annotation reference"/>
    <w:basedOn w:val="Standaardalinea-lettertype"/>
    <w:uiPriority w:val="99"/>
    <w:semiHidden/>
    <w:unhideWhenUsed/>
    <w:rsid w:val="006527F4"/>
    <w:rPr>
      <w:sz w:val="16"/>
      <w:szCs w:val="16"/>
    </w:rPr>
  </w:style>
  <w:style w:type="paragraph" w:styleId="Tekstopmerking">
    <w:name w:val="annotation text"/>
    <w:basedOn w:val="Standaard"/>
    <w:link w:val="TekstopmerkingChar"/>
    <w:uiPriority w:val="99"/>
    <w:semiHidden/>
    <w:unhideWhenUsed/>
    <w:rsid w:val="006527F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527F4"/>
    <w:rPr>
      <w:sz w:val="20"/>
      <w:szCs w:val="20"/>
    </w:rPr>
  </w:style>
  <w:style w:type="paragraph" w:styleId="Onderwerpvanopmerking">
    <w:name w:val="annotation subject"/>
    <w:basedOn w:val="Tekstopmerking"/>
    <w:next w:val="Tekstopmerking"/>
    <w:link w:val="OnderwerpvanopmerkingChar"/>
    <w:uiPriority w:val="99"/>
    <w:semiHidden/>
    <w:unhideWhenUsed/>
    <w:rsid w:val="006527F4"/>
    <w:rPr>
      <w:b/>
      <w:bCs/>
    </w:rPr>
  </w:style>
  <w:style w:type="character" w:customStyle="1" w:styleId="OnderwerpvanopmerkingChar">
    <w:name w:val="Onderwerp van opmerking Char"/>
    <w:basedOn w:val="TekstopmerkingChar"/>
    <w:link w:val="Onderwerpvanopmerking"/>
    <w:uiPriority w:val="99"/>
    <w:semiHidden/>
    <w:rsid w:val="006527F4"/>
    <w:rPr>
      <w:b/>
      <w:bCs/>
      <w:sz w:val="20"/>
      <w:szCs w:val="20"/>
    </w:rPr>
  </w:style>
  <w:style w:type="paragraph" w:styleId="Ballontekst">
    <w:name w:val="Balloon Text"/>
    <w:basedOn w:val="Standaard"/>
    <w:link w:val="BallontekstChar"/>
    <w:uiPriority w:val="99"/>
    <w:semiHidden/>
    <w:unhideWhenUsed/>
    <w:rsid w:val="006527F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527F4"/>
    <w:rPr>
      <w:rFonts w:ascii="Segoe UI" w:hAnsi="Segoe UI" w:cs="Segoe UI"/>
      <w:sz w:val="18"/>
      <w:szCs w:val="18"/>
    </w:rPr>
  </w:style>
  <w:style w:type="paragraph" w:styleId="Inhopg1">
    <w:name w:val="toc 1"/>
    <w:basedOn w:val="Standaard"/>
    <w:next w:val="Standaard"/>
    <w:autoRedefine/>
    <w:uiPriority w:val="39"/>
    <w:unhideWhenUsed/>
    <w:rsid w:val="001D4EBA"/>
    <w:pPr>
      <w:spacing w:after="100"/>
    </w:pPr>
  </w:style>
  <w:style w:type="paragraph" w:styleId="Inhopg2">
    <w:name w:val="toc 2"/>
    <w:basedOn w:val="Standaard"/>
    <w:next w:val="Standaard"/>
    <w:autoRedefine/>
    <w:uiPriority w:val="39"/>
    <w:unhideWhenUsed/>
    <w:rsid w:val="001D4EBA"/>
    <w:pPr>
      <w:spacing w:after="100"/>
      <w:ind w:left="220"/>
    </w:pPr>
  </w:style>
  <w:style w:type="paragraph" w:styleId="Inhopg3">
    <w:name w:val="toc 3"/>
    <w:basedOn w:val="Standaard"/>
    <w:next w:val="Standaard"/>
    <w:autoRedefine/>
    <w:uiPriority w:val="39"/>
    <w:unhideWhenUsed/>
    <w:rsid w:val="001D4EBA"/>
    <w:pPr>
      <w:spacing w:after="100"/>
      <w:ind w:left="440"/>
    </w:pPr>
  </w:style>
  <w:style w:type="character" w:styleId="Hyperlink">
    <w:name w:val="Hyperlink"/>
    <w:basedOn w:val="Standaardalinea-lettertype"/>
    <w:uiPriority w:val="99"/>
    <w:unhideWhenUsed/>
    <w:rsid w:val="001D4EBA"/>
    <w:rPr>
      <w:color w:val="0563C1" w:themeColor="hyperlink"/>
      <w:u w:val="single"/>
    </w:rPr>
  </w:style>
  <w:style w:type="character" w:styleId="Onopgelostemelding">
    <w:name w:val="Unresolved Mention"/>
    <w:basedOn w:val="Standaardalinea-lettertype"/>
    <w:uiPriority w:val="99"/>
    <w:semiHidden/>
    <w:unhideWhenUsed/>
    <w:rsid w:val="0017490E"/>
    <w:rPr>
      <w:color w:val="605E5C"/>
      <w:shd w:val="clear" w:color="auto" w:fill="E1DFDD"/>
    </w:rPr>
  </w:style>
  <w:style w:type="paragraph" w:styleId="Koptekst">
    <w:name w:val="header"/>
    <w:basedOn w:val="Standaard"/>
    <w:link w:val="KoptekstChar"/>
    <w:uiPriority w:val="99"/>
    <w:unhideWhenUsed/>
    <w:rsid w:val="00DF7C4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F7C40"/>
  </w:style>
  <w:style w:type="paragraph" w:styleId="Voettekst">
    <w:name w:val="footer"/>
    <w:basedOn w:val="Standaard"/>
    <w:link w:val="VoettekstChar"/>
    <w:uiPriority w:val="99"/>
    <w:unhideWhenUsed/>
    <w:rsid w:val="00DF7C4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F7C40"/>
  </w:style>
  <w:style w:type="character" w:customStyle="1" w:styleId="Kop1Char">
    <w:name w:val="Kop 1 Char"/>
    <w:basedOn w:val="Standaardalinea-lettertype"/>
    <w:link w:val="Kop1"/>
    <w:uiPriority w:val="9"/>
    <w:rsid w:val="00560C16"/>
    <w:rPr>
      <w:b/>
      <w:bCs/>
      <w:sz w:val="28"/>
      <w:szCs w:val="28"/>
    </w:rPr>
  </w:style>
  <w:style w:type="character" w:customStyle="1" w:styleId="Kop2Char">
    <w:name w:val="Kop 2 Char"/>
    <w:basedOn w:val="Standaardalinea-lettertype"/>
    <w:link w:val="Kop2"/>
    <w:uiPriority w:val="9"/>
    <w:rsid w:val="00560C16"/>
    <w:rPr>
      <w:b/>
      <w:sz w:val="24"/>
    </w:rPr>
  </w:style>
  <w:style w:type="character" w:customStyle="1" w:styleId="Kop3Char">
    <w:name w:val="Kop 3 Char"/>
    <w:basedOn w:val="Standaardalinea-lettertype"/>
    <w:link w:val="Kop3"/>
    <w:uiPriority w:val="9"/>
    <w:rsid w:val="00560C16"/>
    <w:rPr>
      <w:b/>
      <w:bCs/>
      <w:szCs w:val="24"/>
    </w:rPr>
  </w:style>
  <w:style w:type="character" w:customStyle="1" w:styleId="Kop4Char">
    <w:name w:val="Kop 4 Char"/>
    <w:basedOn w:val="Standaardalinea-lettertype"/>
    <w:link w:val="Kop4"/>
    <w:uiPriority w:val="9"/>
    <w:rsid w:val="009458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493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CEFA0-18D4-4C49-8D1D-C2D9B0956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11256</Words>
  <Characters>61908</Characters>
  <Application>Microsoft Office Word</Application>
  <DocSecurity>0</DocSecurity>
  <Lines>515</Lines>
  <Paragraphs>146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Couck</dc:creator>
  <cp:keywords/>
  <dc:description/>
  <cp:lastModifiedBy>Dylan Couck</cp:lastModifiedBy>
  <cp:revision>81</cp:revision>
  <dcterms:created xsi:type="dcterms:W3CDTF">2023-07-08T01:42:00Z</dcterms:created>
  <dcterms:modified xsi:type="dcterms:W3CDTF">2023-09-04T15:49:00Z</dcterms:modified>
</cp:coreProperties>
</file>